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FD98A">
      <w:pPr>
        <w:rPr>
          <w:rFonts w:hint="eastAsia" w:ascii="宋体" w:hAnsi="宋体" w:eastAsia="宋体" w:cs="宋体"/>
          <w:b/>
          <w:bCs/>
          <w:color w:val="auto"/>
          <w:sz w:val="52"/>
          <w:szCs w:val="52"/>
          <w:highlight w:val="none"/>
        </w:rPr>
      </w:pPr>
      <w:bookmarkStart w:id="0" w:name="_Toc15236"/>
      <w:bookmarkStart w:id="1" w:name="_Toc12347"/>
      <w:bookmarkStart w:id="248" w:name="_GoBack"/>
      <w:bookmarkEnd w:id="248"/>
      <w:r>
        <w:rPr>
          <w:rFonts w:hint="eastAsia" w:ascii="宋体" w:hAnsi="宋体" w:eastAsia="宋体" w:cs="宋体"/>
          <w:b/>
          <w:bCs/>
          <w:color w:val="auto"/>
          <w:sz w:val="52"/>
          <w:szCs w:val="52"/>
          <w:highlight w:val="none"/>
        </w:rPr>
        <w:drawing>
          <wp:inline distT="0" distB="0" distL="114300" distR="114300">
            <wp:extent cx="5268595" cy="7448550"/>
            <wp:effectExtent l="0" t="0" r="8255" b="0"/>
            <wp:docPr id="9" name="图片 9" descr="磋商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磋商文件封面"/>
                    <pic:cNvPicPr>
                      <a:picLocks noChangeAspect="1"/>
                    </pic:cNvPicPr>
                  </pic:nvPicPr>
                  <pic:blipFill>
                    <a:blip r:embed="rId14"/>
                    <a:stretch>
                      <a:fillRect/>
                    </a:stretch>
                  </pic:blipFill>
                  <pic:spPr>
                    <a:xfrm>
                      <a:off x="0" y="0"/>
                      <a:ext cx="5268595" cy="7448550"/>
                    </a:xfrm>
                    <a:prstGeom prst="rect">
                      <a:avLst/>
                    </a:prstGeom>
                  </pic:spPr>
                </pic:pic>
              </a:graphicData>
            </a:graphic>
          </wp:inline>
        </w:drawing>
      </w:r>
      <w:r>
        <w:rPr>
          <w:rFonts w:hint="eastAsia" w:ascii="宋体" w:hAnsi="宋体" w:eastAsia="宋体" w:cs="宋体"/>
          <w:b/>
          <w:bCs/>
          <w:color w:val="auto"/>
          <w:sz w:val="52"/>
          <w:szCs w:val="52"/>
          <w:highlight w:val="none"/>
        </w:rPr>
        <w:br w:type="page"/>
      </w:r>
    </w:p>
    <w:p w14:paraId="7F4E07BD">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渑池县林业局2025年森林防火物资采购项目</w:t>
      </w:r>
    </w:p>
    <w:p w14:paraId="61BFB086">
      <w:pPr>
        <w:jc w:val="center"/>
        <w:rPr>
          <w:rFonts w:hint="eastAsia" w:ascii="宋体" w:hAnsi="宋体" w:eastAsia="宋体" w:cs="宋体"/>
          <w:b/>
          <w:bCs/>
          <w:color w:val="auto"/>
          <w:sz w:val="52"/>
          <w:szCs w:val="52"/>
          <w:highlight w:val="none"/>
        </w:rPr>
      </w:pPr>
    </w:p>
    <w:p w14:paraId="417DBD7F">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竞争性磋商文件</w:t>
      </w:r>
      <w:bookmarkEnd w:id="0"/>
      <w:bookmarkEnd w:id="1"/>
    </w:p>
    <w:p w14:paraId="5984E0B8">
      <w:pPr>
        <w:ind w:firstLine="435"/>
        <w:jc w:val="center"/>
        <w:rPr>
          <w:color w:val="auto"/>
          <w:highlight w:val="none"/>
        </w:rPr>
      </w:pPr>
    </w:p>
    <w:p w14:paraId="585E7F6D">
      <w:pPr>
        <w:spacing w:line="360" w:lineRule="auto"/>
        <w:jc w:val="center"/>
        <w:rPr>
          <w:rFonts w:ascii="宋体" w:hAnsi="宋体" w:cs="宋体"/>
          <w:b/>
          <w:color w:val="auto"/>
          <w:sz w:val="24"/>
          <w:szCs w:val="28"/>
          <w:highlight w:val="none"/>
        </w:rPr>
      </w:pPr>
      <w:bookmarkStart w:id="2" w:name="_Toc12438"/>
    </w:p>
    <w:p w14:paraId="0BF8957A">
      <w:pPr>
        <w:jc w:val="center"/>
        <w:rPr>
          <w:rFonts w:hint="eastAsia" w:ascii="宋体" w:hAnsi="宋体" w:eastAsia="宋体" w:cs="宋体"/>
          <w:b/>
          <w:bCs/>
          <w:color w:val="auto"/>
          <w:sz w:val="28"/>
          <w:szCs w:val="28"/>
          <w:highlight w:val="none"/>
          <w:lang w:eastAsia="zh-CN"/>
        </w:rPr>
      </w:pPr>
      <w:bookmarkStart w:id="3" w:name="_Toc12587"/>
      <w:r>
        <w:rPr>
          <w:rFonts w:hint="eastAsia" w:ascii="宋体" w:hAnsi="宋体" w:eastAsia="宋体" w:cs="宋体"/>
          <w:b/>
          <w:bCs/>
          <w:color w:val="auto"/>
          <w:sz w:val="28"/>
          <w:szCs w:val="28"/>
          <w:highlight w:val="none"/>
        </w:rPr>
        <w:t>项目编号：</w:t>
      </w:r>
      <w:bookmarkEnd w:id="2"/>
      <w:bookmarkEnd w:id="3"/>
      <w:bookmarkStart w:id="4" w:name="OLE_LINK3"/>
      <w:bookmarkEnd w:id="4"/>
      <w:bookmarkStart w:id="5" w:name="OLE_LINK2"/>
      <w:bookmarkEnd w:id="5"/>
      <w:r>
        <w:rPr>
          <w:rFonts w:hint="eastAsia" w:ascii="宋体" w:hAnsi="宋体" w:eastAsia="宋体" w:cs="宋体"/>
          <w:b/>
          <w:bCs/>
          <w:color w:val="auto"/>
          <w:sz w:val="28"/>
          <w:szCs w:val="28"/>
          <w:highlight w:val="none"/>
          <w:lang w:eastAsia="zh-CN"/>
        </w:rPr>
        <w:t>渑池竞磋采购-2026-59、</w:t>
      </w:r>
    </w:p>
    <w:p w14:paraId="6411BFAC">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MCGZ[2026]093-ZC087</w:t>
      </w:r>
    </w:p>
    <w:p w14:paraId="161DE417">
      <w:pPr>
        <w:rPr>
          <w:color w:val="auto"/>
          <w:highlight w:val="none"/>
        </w:rPr>
      </w:pPr>
    </w:p>
    <w:p w14:paraId="19CFCF7F">
      <w:pPr>
        <w:pStyle w:val="8"/>
        <w:rPr>
          <w:rFonts w:hAnsi="宋体" w:eastAsia="宋体" w:cs="宋体"/>
          <w:b/>
          <w:color w:val="auto"/>
          <w:spacing w:val="30"/>
          <w:kern w:val="44"/>
          <w:sz w:val="32"/>
          <w:szCs w:val="44"/>
          <w:highlight w:val="none"/>
        </w:rPr>
      </w:pPr>
      <w:r>
        <w:rPr>
          <w:color w:val="auto"/>
          <w:highlight w:val="none"/>
        </w:rPr>
        <w:drawing>
          <wp:anchor distT="0" distB="0" distL="114300" distR="114300" simplePos="0" relativeHeight="251660288" behindDoc="1" locked="0" layoutInCell="1" allowOverlap="1">
            <wp:simplePos x="0" y="0"/>
            <wp:positionH relativeFrom="column">
              <wp:posOffset>1504950</wp:posOffset>
            </wp:positionH>
            <wp:positionV relativeFrom="paragraph">
              <wp:posOffset>200660</wp:posOffset>
            </wp:positionV>
            <wp:extent cx="2435860" cy="2521585"/>
            <wp:effectExtent l="0" t="0" r="2540" b="8255"/>
            <wp:wrapTight wrapText="bothSides">
              <wp:wrapPolygon>
                <wp:start x="0" y="0"/>
                <wp:lineTo x="0" y="21410"/>
                <wp:lineTo x="21487" y="21410"/>
                <wp:lineTo x="21487" y="0"/>
                <wp:lineTo x="0" y="0"/>
              </wp:wrapPolygon>
            </wp:wrapTight>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5"/>
                    <a:stretch>
                      <a:fillRect/>
                    </a:stretch>
                  </pic:blipFill>
                  <pic:spPr>
                    <a:xfrm>
                      <a:off x="0" y="0"/>
                      <a:ext cx="2435860" cy="2521585"/>
                    </a:xfrm>
                    <a:prstGeom prst="rect">
                      <a:avLst/>
                    </a:prstGeom>
                    <a:noFill/>
                    <a:ln>
                      <a:noFill/>
                    </a:ln>
                  </pic:spPr>
                </pic:pic>
              </a:graphicData>
            </a:graphic>
          </wp:anchor>
        </w:drawing>
      </w:r>
      <w:r>
        <w:rPr>
          <w:rFonts w:hint="eastAsia" w:hAnsi="宋体" w:eastAsia="宋体" w:cs="宋体"/>
          <w:b/>
          <w:color w:val="auto"/>
          <w:spacing w:val="30"/>
          <w:kern w:val="44"/>
          <w:sz w:val="32"/>
          <w:szCs w:val="44"/>
          <w:highlight w:val="none"/>
        </w:rPr>
        <w:t xml:space="preserve">    </w:t>
      </w:r>
    </w:p>
    <w:p w14:paraId="13AECB5A">
      <w:pPr>
        <w:pStyle w:val="8"/>
        <w:rPr>
          <w:rFonts w:hAnsi="宋体" w:eastAsia="宋体" w:cs="宋体"/>
          <w:b/>
          <w:color w:val="auto"/>
          <w:spacing w:val="30"/>
          <w:kern w:val="44"/>
          <w:sz w:val="32"/>
          <w:szCs w:val="44"/>
          <w:highlight w:val="none"/>
        </w:rPr>
      </w:pPr>
    </w:p>
    <w:p w14:paraId="3C89DC9F">
      <w:pPr>
        <w:ind w:firstLine="1606" w:firstLineChars="500"/>
        <w:rPr>
          <w:rFonts w:cs="宋体"/>
          <w:b/>
          <w:color w:val="auto"/>
          <w:sz w:val="32"/>
          <w:highlight w:val="none"/>
          <w:lang w:bidi="ar"/>
        </w:rPr>
      </w:pPr>
    </w:p>
    <w:p w14:paraId="4950B81C">
      <w:pPr>
        <w:ind w:firstLine="1606" w:firstLineChars="500"/>
        <w:rPr>
          <w:rFonts w:cs="宋体"/>
          <w:b/>
          <w:color w:val="auto"/>
          <w:sz w:val="32"/>
          <w:highlight w:val="none"/>
          <w:lang w:bidi="ar"/>
        </w:rPr>
      </w:pPr>
    </w:p>
    <w:p w14:paraId="7A16E20B">
      <w:pPr>
        <w:ind w:firstLine="1606" w:firstLineChars="500"/>
        <w:rPr>
          <w:rFonts w:cs="宋体"/>
          <w:b/>
          <w:color w:val="auto"/>
          <w:sz w:val="32"/>
          <w:highlight w:val="none"/>
          <w:lang w:bidi="ar"/>
        </w:rPr>
      </w:pPr>
    </w:p>
    <w:p w14:paraId="13B0D68B">
      <w:pPr>
        <w:ind w:firstLine="1606" w:firstLineChars="500"/>
        <w:rPr>
          <w:rFonts w:cs="宋体"/>
          <w:b/>
          <w:color w:val="auto"/>
          <w:sz w:val="32"/>
          <w:highlight w:val="none"/>
          <w:lang w:bidi="ar"/>
        </w:rPr>
      </w:pPr>
    </w:p>
    <w:p w14:paraId="75143C31">
      <w:pPr>
        <w:ind w:firstLine="1606" w:firstLineChars="500"/>
        <w:rPr>
          <w:rFonts w:cs="宋体"/>
          <w:b/>
          <w:color w:val="auto"/>
          <w:sz w:val="32"/>
          <w:highlight w:val="none"/>
          <w:lang w:bidi="ar"/>
        </w:rPr>
      </w:pPr>
    </w:p>
    <w:p w14:paraId="10424254">
      <w:pPr>
        <w:ind w:firstLine="1606" w:firstLineChars="500"/>
        <w:rPr>
          <w:rFonts w:cs="宋体"/>
          <w:b/>
          <w:color w:val="auto"/>
          <w:sz w:val="32"/>
          <w:highlight w:val="none"/>
          <w:lang w:bidi="ar"/>
        </w:rPr>
      </w:pPr>
    </w:p>
    <w:p w14:paraId="3635C383">
      <w:pPr>
        <w:ind w:firstLine="1606" w:firstLineChars="500"/>
        <w:rPr>
          <w:b/>
          <w:color w:val="auto"/>
          <w:sz w:val="32"/>
          <w:highlight w:val="none"/>
        </w:rPr>
      </w:pPr>
      <w:r>
        <w:rPr>
          <w:rFonts w:hint="eastAsia" w:cs="宋体"/>
          <w:b/>
          <w:color w:val="auto"/>
          <w:sz w:val="32"/>
          <w:highlight w:val="none"/>
          <w:lang w:bidi="ar"/>
        </w:rPr>
        <w:t>采 购 人：渑池县林业局</w:t>
      </w:r>
    </w:p>
    <w:p w14:paraId="401FCC4F">
      <w:pPr>
        <w:ind w:firstLine="1606" w:firstLineChars="500"/>
        <w:rPr>
          <w:b/>
          <w:color w:val="auto"/>
          <w:sz w:val="32"/>
          <w:highlight w:val="none"/>
        </w:rPr>
      </w:pPr>
      <w:r>
        <w:rPr>
          <w:rFonts w:hint="eastAsia" w:cs="宋体"/>
          <w:b/>
          <w:color w:val="auto"/>
          <w:sz w:val="32"/>
          <w:highlight w:val="none"/>
          <w:lang w:bidi="ar"/>
        </w:rPr>
        <w:t>代理机构：河南德厚工程管理有限公司</w:t>
      </w:r>
    </w:p>
    <w:p w14:paraId="1F03BF61">
      <w:pPr>
        <w:ind w:firstLine="1606" w:firstLineChars="500"/>
        <w:rPr>
          <w:b/>
          <w:color w:val="auto"/>
          <w:sz w:val="32"/>
          <w:highlight w:val="none"/>
        </w:rPr>
      </w:pPr>
      <w:r>
        <w:rPr>
          <w:rFonts w:hint="eastAsia" w:cs="宋体"/>
          <w:b/>
          <w:color w:val="auto"/>
          <w:sz w:val="32"/>
          <w:highlight w:val="none"/>
          <w:lang w:bidi="ar"/>
        </w:rPr>
        <w:t xml:space="preserve">时 </w:t>
      </w:r>
      <w:r>
        <w:rPr>
          <w:rFonts w:cs="宋体"/>
          <w:b/>
          <w:color w:val="auto"/>
          <w:sz w:val="32"/>
          <w:highlight w:val="none"/>
          <w:lang w:bidi="ar"/>
        </w:rPr>
        <w:t xml:space="preserve">   </w:t>
      </w:r>
      <w:r>
        <w:rPr>
          <w:rFonts w:hint="eastAsia" w:cs="宋体"/>
          <w:b/>
          <w:color w:val="auto"/>
          <w:sz w:val="32"/>
          <w:highlight w:val="none"/>
          <w:lang w:bidi="ar"/>
        </w:rPr>
        <w:t>间：二零二六年</w:t>
      </w:r>
      <w:r>
        <w:rPr>
          <w:rFonts w:hint="eastAsia" w:cs="宋体"/>
          <w:b/>
          <w:color w:val="auto"/>
          <w:sz w:val="32"/>
          <w:highlight w:val="none"/>
          <w:lang w:val="en-US" w:eastAsia="zh-CN" w:bidi="ar"/>
        </w:rPr>
        <w:t>六</w:t>
      </w:r>
      <w:r>
        <w:rPr>
          <w:rFonts w:hint="eastAsia" w:cs="宋体"/>
          <w:b/>
          <w:color w:val="auto"/>
          <w:sz w:val="32"/>
          <w:highlight w:val="none"/>
          <w:lang w:bidi="ar"/>
        </w:rPr>
        <w:t>月</w:t>
      </w:r>
    </w:p>
    <w:p w14:paraId="0EC3591A">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sdt>
      <w:sdtPr>
        <w:rPr>
          <w:rFonts w:ascii="宋体" w:hAnsi="宋体" w:eastAsia="宋体" w:cstheme="minorBidi"/>
          <w:color w:val="auto"/>
          <w:kern w:val="2"/>
          <w:sz w:val="21"/>
          <w:szCs w:val="22"/>
          <w:highlight w:val="none"/>
          <w:lang w:val="en-US" w:eastAsia="zh-CN" w:bidi="ar-SA"/>
        </w:rPr>
        <w:id w:val="147455241"/>
        <w15:color w:val="DBDBDB"/>
        <w:docPartObj>
          <w:docPartGallery w:val="Table of Contents"/>
          <w:docPartUnique/>
        </w:docPartObj>
      </w:sdtPr>
      <w:sdtEndPr>
        <w:rPr>
          <w:rFonts w:hint="eastAsia" w:ascii="宋体" w:hAnsi="宋体" w:cs="宋体" w:eastAsiaTheme="minorEastAsia"/>
          <w:bCs/>
          <w:color w:val="auto"/>
          <w:kern w:val="2"/>
          <w:sz w:val="21"/>
          <w:szCs w:val="28"/>
          <w:highlight w:val="none"/>
          <w:lang w:val="en-US" w:eastAsia="zh-CN" w:bidi="ar-SA"/>
        </w:rPr>
      </w:sdtEndPr>
      <w:sdtContent>
        <w:p w14:paraId="71C99FBD">
          <w:pPr>
            <w:spacing w:before="0" w:beforeLines="0" w:after="0" w:afterLines="0" w:line="480" w:lineRule="auto"/>
            <w:ind w:left="0" w:leftChars="0" w:right="0" w:rightChars="0" w:firstLine="0" w:firstLineChars="0"/>
            <w:jc w:val="center"/>
            <w:rPr>
              <w:b/>
              <w:bCs/>
              <w:color w:val="auto"/>
              <w:sz w:val="48"/>
              <w:szCs w:val="48"/>
              <w:highlight w:val="none"/>
            </w:rPr>
          </w:pPr>
          <w:r>
            <w:rPr>
              <w:rFonts w:ascii="宋体" w:hAnsi="宋体" w:eastAsia="宋体"/>
              <w:b/>
              <w:bCs/>
              <w:color w:val="auto"/>
              <w:sz w:val="48"/>
              <w:szCs w:val="48"/>
              <w:highlight w:val="none"/>
            </w:rPr>
            <w:t>目录</w:t>
          </w:r>
        </w:p>
        <w:p w14:paraId="7BB4D37D">
          <w:pPr>
            <w:pStyle w:val="12"/>
            <w:tabs>
              <w:tab w:val="right" w:leader="dot" w:pos="8306"/>
            </w:tabs>
            <w:spacing w:line="360" w:lineRule="auto"/>
            <w:rPr>
              <w:b/>
              <w:bCs w:val="0"/>
              <w:color w:val="auto"/>
              <w:sz w:val="28"/>
              <w:szCs w:val="28"/>
              <w:highlight w:val="none"/>
            </w:rPr>
          </w:pPr>
          <w:r>
            <w:rPr>
              <w:rFonts w:hint="eastAsia" w:ascii="宋体" w:hAnsi="宋体" w:cs="宋体"/>
              <w:bCs/>
              <w:color w:val="auto"/>
              <w:szCs w:val="28"/>
              <w:highlight w:val="none"/>
            </w:rPr>
            <w:fldChar w:fldCharType="begin"/>
          </w:r>
          <w:r>
            <w:rPr>
              <w:rFonts w:hint="eastAsia" w:ascii="宋体" w:hAnsi="宋体" w:cs="宋体"/>
              <w:bCs/>
              <w:color w:val="auto"/>
              <w:szCs w:val="28"/>
              <w:highlight w:val="none"/>
            </w:rPr>
            <w:instrText xml:space="preserve">TOC \o "1-1" \h \u </w:instrText>
          </w:r>
          <w:r>
            <w:rPr>
              <w:rFonts w:hint="eastAsia" w:ascii="宋体" w:hAnsi="宋体" w:cs="宋体"/>
              <w:bCs/>
              <w:color w:val="auto"/>
              <w:szCs w:val="28"/>
              <w:highlight w:val="none"/>
            </w:rPr>
            <w:fldChar w:fldCharType="separate"/>
          </w:r>
          <w:r>
            <w:rPr>
              <w:rFonts w:hint="eastAsia" w:ascii="宋体" w:hAnsi="宋体" w:cs="宋体"/>
              <w:b/>
              <w:bCs w:val="0"/>
              <w:color w:val="auto"/>
              <w:sz w:val="28"/>
              <w:szCs w:val="28"/>
              <w:highlight w:val="none"/>
            </w:rPr>
            <w:fldChar w:fldCharType="begin"/>
          </w:r>
          <w:r>
            <w:rPr>
              <w:rFonts w:hint="eastAsia" w:ascii="宋体" w:hAnsi="宋体" w:cs="宋体"/>
              <w:b/>
              <w:bCs w:val="0"/>
              <w:color w:val="auto"/>
              <w:sz w:val="28"/>
              <w:szCs w:val="28"/>
              <w:highlight w:val="none"/>
            </w:rPr>
            <w:instrText xml:space="preserve"> HYPERLINK \l _Toc21808 </w:instrText>
          </w:r>
          <w:r>
            <w:rPr>
              <w:rFonts w:hint="eastAsia" w:ascii="宋体" w:hAnsi="宋体" w:cs="宋体"/>
              <w:b/>
              <w:bCs w:val="0"/>
              <w:color w:val="auto"/>
              <w:sz w:val="28"/>
              <w:szCs w:val="28"/>
              <w:highlight w:val="none"/>
            </w:rPr>
            <w:fldChar w:fldCharType="separate"/>
          </w:r>
          <w:r>
            <w:rPr>
              <w:rFonts w:hint="eastAsia" w:ascii="宋体" w:hAnsi="宋体" w:cs="宋体"/>
              <w:b/>
              <w:bCs w:val="0"/>
              <w:color w:val="auto"/>
              <w:sz w:val="28"/>
              <w:szCs w:val="28"/>
              <w:highlight w:val="none"/>
              <w:lang w:bidi="ar"/>
            </w:rPr>
            <w:t>第一章  竞争性磋商公告</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_Toc21808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rFonts w:hint="eastAsia" w:ascii="宋体" w:hAnsi="宋体" w:cs="宋体"/>
              <w:b/>
              <w:bCs w:val="0"/>
              <w:color w:val="auto"/>
              <w:sz w:val="28"/>
              <w:szCs w:val="28"/>
              <w:highlight w:val="none"/>
            </w:rPr>
            <w:fldChar w:fldCharType="end"/>
          </w:r>
        </w:p>
        <w:p w14:paraId="2D8A891B">
          <w:pPr>
            <w:pStyle w:val="12"/>
            <w:tabs>
              <w:tab w:val="right" w:leader="dot" w:pos="8306"/>
            </w:tabs>
            <w:spacing w:line="360" w:lineRule="auto"/>
            <w:rPr>
              <w:b/>
              <w:bCs w:val="0"/>
              <w:color w:val="auto"/>
              <w:sz w:val="28"/>
              <w:szCs w:val="28"/>
              <w:highlight w:val="none"/>
            </w:rPr>
          </w:pPr>
          <w:r>
            <w:rPr>
              <w:rFonts w:hint="eastAsia" w:ascii="宋体" w:hAnsi="宋体" w:cs="宋体"/>
              <w:b/>
              <w:bCs w:val="0"/>
              <w:color w:val="auto"/>
              <w:sz w:val="28"/>
              <w:szCs w:val="28"/>
              <w:highlight w:val="none"/>
            </w:rPr>
            <w:fldChar w:fldCharType="begin"/>
          </w:r>
          <w:r>
            <w:rPr>
              <w:rFonts w:hint="eastAsia" w:ascii="宋体" w:hAnsi="宋体" w:cs="宋体"/>
              <w:b/>
              <w:bCs w:val="0"/>
              <w:color w:val="auto"/>
              <w:sz w:val="28"/>
              <w:szCs w:val="28"/>
              <w:highlight w:val="none"/>
            </w:rPr>
            <w:instrText xml:space="preserve"> HYPERLINK \l _Toc19657 </w:instrText>
          </w:r>
          <w:r>
            <w:rPr>
              <w:rFonts w:hint="eastAsia" w:ascii="宋体" w:hAnsi="宋体" w:cs="宋体"/>
              <w:b/>
              <w:bCs w:val="0"/>
              <w:color w:val="auto"/>
              <w:sz w:val="28"/>
              <w:szCs w:val="28"/>
              <w:highlight w:val="none"/>
            </w:rPr>
            <w:fldChar w:fldCharType="separate"/>
          </w:r>
          <w:r>
            <w:rPr>
              <w:rFonts w:hint="eastAsia" w:ascii="宋体" w:hAnsi="宋体" w:cs="宋体"/>
              <w:b/>
              <w:bCs w:val="0"/>
              <w:color w:val="auto"/>
              <w:sz w:val="28"/>
              <w:szCs w:val="28"/>
              <w:highlight w:val="none"/>
              <w:lang w:bidi="ar"/>
            </w:rPr>
            <w:t>第二章  供应商须知</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_Toc19657 \h </w:instrText>
          </w:r>
          <w:r>
            <w:rPr>
              <w:b/>
              <w:bCs w:val="0"/>
              <w:color w:val="auto"/>
              <w:sz w:val="28"/>
              <w:szCs w:val="28"/>
              <w:highlight w:val="none"/>
            </w:rPr>
            <w:fldChar w:fldCharType="separate"/>
          </w:r>
          <w:r>
            <w:rPr>
              <w:b/>
              <w:bCs w:val="0"/>
              <w:color w:val="auto"/>
              <w:sz w:val="28"/>
              <w:szCs w:val="28"/>
              <w:highlight w:val="none"/>
            </w:rPr>
            <w:t>5</w:t>
          </w:r>
          <w:r>
            <w:rPr>
              <w:b/>
              <w:bCs w:val="0"/>
              <w:color w:val="auto"/>
              <w:sz w:val="28"/>
              <w:szCs w:val="28"/>
              <w:highlight w:val="none"/>
            </w:rPr>
            <w:fldChar w:fldCharType="end"/>
          </w:r>
          <w:r>
            <w:rPr>
              <w:rFonts w:hint="eastAsia" w:ascii="宋体" w:hAnsi="宋体" w:cs="宋体"/>
              <w:b/>
              <w:bCs w:val="0"/>
              <w:color w:val="auto"/>
              <w:sz w:val="28"/>
              <w:szCs w:val="28"/>
              <w:highlight w:val="none"/>
            </w:rPr>
            <w:fldChar w:fldCharType="end"/>
          </w:r>
        </w:p>
        <w:p w14:paraId="6A26D9D3">
          <w:pPr>
            <w:pStyle w:val="12"/>
            <w:tabs>
              <w:tab w:val="right" w:leader="dot" w:pos="8306"/>
            </w:tabs>
            <w:spacing w:line="360" w:lineRule="auto"/>
            <w:rPr>
              <w:b/>
              <w:bCs w:val="0"/>
              <w:color w:val="auto"/>
              <w:sz w:val="28"/>
              <w:szCs w:val="28"/>
              <w:highlight w:val="none"/>
            </w:rPr>
          </w:pPr>
          <w:r>
            <w:rPr>
              <w:rFonts w:hint="eastAsia" w:ascii="宋体" w:hAnsi="宋体" w:cs="宋体"/>
              <w:b/>
              <w:bCs w:val="0"/>
              <w:color w:val="auto"/>
              <w:sz w:val="28"/>
              <w:szCs w:val="28"/>
              <w:highlight w:val="none"/>
            </w:rPr>
            <w:fldChar w:fldCharType="begin"/>
          </w:r>
          <w:r>
            <w:rPr>
              <w:rFonts w:hint="eastAsia" w:ascii="宋体" w:hAnsi="宋体" w:cs="宋体"/>
              <w:b/>
              <w:bCs w:val="0"/>
              <w:color w:val="auto"/>
              <w:sz w:val="28"/>
              <w:szCs w:val="28"/>
              <w:highlight w:val="none"/>
            </w:rPr>
            <w:instrText xml:space="preserve"> HYPERLINK \l _Toc32545 </w:instrText>
          </w:r>
          <w:r>
            <w:rPr>
              <w:rFonts w:hint="eastAsia" w:ascii="宋体" w:hAnsi="宋体" w:cs="宋体"/>
              <w:b/>
              <w:bCs w:val="0"/>
              <w:color w:val="auto"/>
              <w:sz w:val="28"/>
              <w:szCs w:val="28"/>
              <w:highlight w:val="none"/>
            </w:rPr>
            <w:fldChar w:fldCharType="separate"/>
          </w:r>
          <w:r>
            <w:rPr>
              <w:rFonts w:hint="eastAsia" w:ascii="宋体" w:hAnsi="宋体" w:cs="宋体"/>
              <w:b/>
              <w:bCs w:val="0"/>
              <w:color w:val="auto"/>
              <w:sz w:val="28"/>
              <w:szCs w:val="28"/>
              <w:highlight w:val="none"/>
              <w:lang w:bidi="ar"/>
            </w:rPr>
            <w:t>第三章  评标办法</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_Toc32545 \h </w:instrText>
          </w:r>
          <w:r>
            <w:rPr>
              <w:b/>
              <w:bCs w:val="0"/>
              <w:color w:val="auto"/>
              <w:sz w:val="28"/>
              <w:szCs w:val="28"/>
              <w:highlight w:val="none"/>
            </w:rPr>
            <w:fldChar w:fldCharType="separate"/>
          </w:r>
          <w:r>
            <w:rPr>
              <w:b/>
              <w:bCs w:val="0"/>
              <w:color w:val="auto"/>
              <w:sz w:val="28"/>
              <w:szCs w:val="28"/>
              <w:highlight w:val="none"/>
            </w:rPr>
            <w:t>34</w:t>
          </w:r>
          <w:r>
            <w:rPr>
              <w:b/>
              <w:bCs w:val="0"/>
              <w:color w:val="auto"/>
              <w:sz w:val="28"/>
              <w:szCs w:val="28"/>
              <w:highlight w:val="none"/>
            </w:rPr>
            <w:fldChar w:fldCharType="end"/>
          </w:r>
          <w:r>
            <w:rPr>
              <w:rFonts w:hint="eastAsia" w:ascii="宋体" w:hAnsi="宋体" w:cs="宋体"/>
              <w:b/>
              <w:bCs w:val="0"/>
              <w:color w:val="auto"/>
              <w:sz w:val="28"/>
              <w:szCs w:val="28"/>
              <w:highlight w:val="none"/>
            </w:rPr>
            <w:fldChar w:fldCharType="end"/>
          </w:r>
        </w:p>
        <w:p w14:paraId="499B18A1">
          <w:pPr>
            <w:pStyle w:val="12"/>
            <w:tabs>
              <w:tab w:val="right" w:leader="dot" w:pos="8306"/>
            </w:tabs>
            <w:spacing w:line="360" w:lineRule="auto"/>
            <w:rPr>
              <w:b/>
              <w:bCs w:val="0"/>
              <w:color w:val="auto"/>
              <w:sz w:val="28"/>
              <w:szCs w:val="28"/>
              <w:highlight w:val="none"/>
            </w:rPr>
          </w:pPr>
          <w:r>
            <w:rPr>
              <w:rFonts w:hint="eastAsia" w:ascii="宋体" w:hAnsi="宋体" w:cs="宋体"/>
              <w:b/>
              <w:bCs w:val="0"/>
              <w:color w:val="auto"/>
              <w:sz w:val="28"/>
              <w:szCs w:val="28"/>
              <w:highlight w:val="none"/>
            </w:rPr>
            <w:fldChar w:fldCharType="begin"/>
          </w:r>
          <w:r>
            <w:rPr>
              <w:rFonts w:hint="eastAsia" w:ascii="宋体" w:hAnsi="宋体" w:cs="宋体"/>
              <w:b/>
              <w:bCs w:val="0"/>
              <w:color w:val="auto"/>
              <w:sz w:val="28"/>
              <w:szCs w:val="28"/>
              <w:highlight w:val="none"/>
            </w:rPr>
            <w:instrText xml:space="preserve"> HYPERLINK \l _Toc22756 </w:instrText>
          </w:r>
          <w:r>
            <w:rPr>
              <w:rFonts w:hint="eastAsia" w:ascii="宋体" w:hAnsi="宋体" w:cs="宋体"/>
              <w:b/>
              <w:bCs w:val="0"/>
              <w:color w:val="auto"/>
              <w:sz w:val="28"/>
              <w:szCs w:val="28"/>
              <w:highlight w:val="none"/>
            </w:rPr>
            <w:fldChar w:fldCharType="separate"/>
          </w:r>
          <w:r>
            <w:rPr>
              <w:rFonts w:hint="eastAsia" w:ascii="宋体" w:hAnsi="宋体" w:cs="宋体"/>
              <w:b/>
              <w:bCs w:val="0"/>
              <w:color w:val="auto"/>
              <w:sz w:val="28"/>
              <w:szCs w:val="28"/>
              <w:highlight w:val="none"/>
              <w:lang w:val="en-US" w:eastAsia="zh-CN" w:bidi="ar"/>
            </w:rPr>
            <w:t xml:space="preserve">第四章  </w:t>
          </w:r>
          <w:r>
            <w:rPr>
              <w:rFonts w:hint="eastAsia" w:ascii="宋体" w:hAnsi="宋体" w:cs="宋体"/>
              <w:b/>
              <w:bCs w:val="0"/>
              <w:color w:val="auto"/>
              <w:sz w:val="28"/>
              <w:szCs w:val="28"/>
              <w:highlight w:val="none"/>
              <w:lang w:bidi="ar"/>
            </w:rPr>
            <w:t>合同主要条款及格式</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_Toc22756 \h </w:instrText>
          </w:r>
          <w:r>
            <w:rPr>
              <w:b/>
              <w:bCs w:val="0"/>
              <w:color w:val="auto"/>
              <w:sz w:val="28"/>
              <w:szCs w:val="28"/>
              <w:highlight w:val="none"/>
            </w:rPr>
            <w:fldChar w:fldCharType="separate"/>
          </w:r>
          <w:r>
            <w:rPr>
              <w:b/>
              <w:bCs w:val="0"/>
              <w:color w:val="auto"/>
              <w:sz w:val="28"/>
              <w:szCs w:val="28"/>
              <w:highlight w:val="none"/>
            </w:rPr>
            <w:t>41</w:t>
          </w:r>
          <w:r>
            <w:rPr>
              <w:b/>
              <w:bCs w:val="0"/>
              <w:color w:val="auto"/>
              <w:sz w:val="28"/>
              <w:szCs w:val="28"/>
              <w:highlight w:val="none"/>
            </w:rPr>
            <w:fldChar w:fldCharType="end"/>
          </w:r>
          <w:r>
            <w:rPr>
              <w:rFonts w:hint="eastAsia" w:ascii="宋体" w:hAnsi="宋体" w:cs="宋体"/>
              <w:b/>
              <w:bCs w:val="0"/>
              <w:color w:val="auto"/>
              <w:sz w:val="28"/>
              <w:szCs w:val="28"/>
              <w:highlight w:val="none"/>
            </w:rPr>
            <w:fldChar w:fldCharType="end"/>
          </w:r>
        </w:p>
        <w:p w14:paraId="6EC403B4">
          <w:pPr>
            <w:pStyle w:val="12"/>
            <w:tabs>
              <w:tab w:val="right" w:leader="dot" w:pos="8306"/>
            </w:tabs>
            <w:spacing w:line="360" w:lineRule="auto"/>
            <w:rPr>
              <w:b/>
              <w:bCs w:val="0"/>
              <w:color w:val="auto"/>
              <w:sz w:val="28"/>
              <w:szCs w:val="28"/>
              <w:highlight w:val="none"/>
            </w:rPr>
          </w:pPr>
          <w:r>
            <w:rPr>
              <w:rFonts w:hint="eastAsia" w:ascii="宋体" w:hAnsi="宋体" w:cs="宋体"/>
              <w:b/>
              <w:bCs w:val="0"/>
              <w:color w:val="auto"/>
              <w:sz w:val="28"/>
              <w:szCs w:val="28"/>
              <w:highlight w:val="none"/>
            </w:rPr>
            <w:fldChar w:fldCharType="begin"/>
          </w:r>
          <w:r>
            <w:rPr>
              <w:rFonts w:hint="eastAsia" w:ascii="宋体" w:hAnsi="宋体" w:cs="宋体"/>
              <w:b/>
              <w:bCs w:val="0"/>
              <w:color w:val="auto"/>
              <w:sz w:val="28"/>
              <w:szCs w:val="28"/>
              <w:highlight w:val="none"/>
            </w:rPr>
            <w:instrText xml:space="preserve"> HYPERLINK \l _Toc1189 </w:instrText>
          </w:r>
          <w:r>
            <w:rPr>
              <w:rFonts w:hint="eastAsia" w:ascii="宋体" w:hAnsi="宋体" w:cs="宋体"/>
              <w:b/>
              <w:bCs w:val="0"/>
              <w:color w:val="auto"/>
              <w:sz w:val="28"/>
              <w:szCs w:val="28"/>
              <w:highlight w:val="none"/>
            </w:rPr>
            <w:fldChar w:fldCharType="separate"/>
          </w:r>
          <w:r>
            <w:rPr>
              <w:rFonts w:hint="eastAsia" w:ascii="宋体" w:hAnsi="宋体" w:cs="宋体"/>
              <w:b/>
              <w:bCs w:val="0"/>
              <w:color w:val="auto"/>
              <w:sz w:val="28"/>
              <w:szCs w:val="28"/>
              <w:highlight w:val="none"/>
              <w:lang w:val="en-US" w:eastAsia="zh-CN" w:bidi="ar"/>
            </w:rPr>
            <w:t xml:space="preserve">第五章  </w:t>
          </w:r>
          <w:r>
            <w:rPr>
              <w:rFonts w:hint="eastAsia" w:ascii="宋体" w:hAnsi="宋体" w:cs="宋体"/>
              <w:b/>
              <w:bCs w:val="0"/>
              <w:color w:val="auto"/>
              <w:sz w:val="28"/>
              <w:szCs w:val="28"/>
              <w:highlight w:val="none"/>
              <w:lang w:bidi="ar"/>
            </w:rPr>
            <w:t>采购清单及技术参数</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_Toc1189 \h </w:instrText>
          </w:r>
          <w:r>
            <w:rPr>
              <w:b/>
              <w:bCs w:val="0"/>
              <w:color w:val="auto"/>
              <w:sz w:val="28"/>
              <w:szCs w:val="28"/>
              <w:highlight w:val="none"/>
            </w:rPr>
            <w:fldChar w:fldCharType="separate"/>
          </w:r>
          <w:r>
            <w:rPr>
              <w:b/>
              <w:bCs w:val="0"/>
              <w:color w:val="auto"/>
              <w:sz w:val="28"/>
              <w:szCs w:val="28"/>
              <w:highlight w:val="none"/>
            </w:rPr>
            <w:t>44</w:t>
          </w:r>
          <w:r>
            <w:rPr>
              <w:b/>
              <w:bCs w:val="0"/>
              <w:color w:val="auto"/>
              <w:sz w:val="28"/>
              <w:szCs w:val="28"/>
              <w:highlight w:val="none"/>
            </w:rPr>
            <w:fldChar w:fldCharType="end"/>
          </w:r>
          <w:r>
            <w:rPr>
              <w:rFonts w:hint="eastAsia" w:ascii="宋体" w:hAnsi="宋体" w:cs="宋体"/>
              <w:b/>
              <w:bCs w:val="0"/>
              <w:color w:val="auto"/>
              <w:sz w:val="28"/>
              <w:szCs w:val="28"/>
              <w:highlight w:val="none"/>
            </w:rPr>
            <w:fldChar w:fldCharType="end"/>
          </w:r>
        </w:p>
        <w:p w14:paraId="772F7365">
          <w:pPr>
            <w:pStyle w:val="12"/>
            <w:tabs>
              <w:tab w:val="right" w:leader="dot" w:pos="8306"/>
            </w:tabs>
            <w:spacing w:line="360" w:lineRule="auto"/>
            <w:rPr>
              <w:color w:val="auto"/>
              <w:highlight w:val="none"/>
            </w:rPr>
          </w:pPr>
          <w:r>
            <w:rPr>
              <w:rFonts w:hint="eastAsia" w:ascii="宋体" w:hAnsi="宋体" w:cs="宋体"/>
              <w:b/>
              <w:bCs w:val="0"/>
              <w:color w:val="auto"/>
              <w:sz w:val="28"/>
              <w:szCs w:val="28"/>
              <w:highlight w:val="none"/>
            </w:rPr>
            <w:fldChar w:fldCharType="begin"/>
          </w:r>
          <w:r>
            <w:rPr>
              <w:rFonts w:hint="eastAsia" w:ascii="宋体" w:hAnsi="宋体" w:cs="宋体"/>
              <w:b/>
              <w:bCs w:val="0"/>
              <w:color w:val="auto"/>
              <w:sz w:val="28"/>
              <w:szCs w:val="28"/>
              <w:highlight w:val="none"/>
            </w:rPr>
            <w:instrText xml:space="preserve"> HYPERLINK \l _Toc29680 </w:instrText>
          </w:r>
          <w:r>
            <w:rPr>
              <w:rFonts w:hint="eastAsia" w:ascii="宋体" w:hAnsi="宋体" w:cs="宋体"/>
              <w:b/>
              <w:bCs w:val="0"/>
              <w:color w:val="auto"/>
              <w:sz w:val="28"/>
              <w:szCs w:val="28"/>
              <w:highlight w:val="none"/>
            </w:rPr>
            <w:fldChar w:fldCharType="separate"/>
          </w:r>
          <w:r>
            <w:rPr>
              <w:rFonts w:hint="eastAsia" w:ascii="宋体" w:hAnsi="宋体" w:cs="宋体"/>
              <w:b/>
              <w:bCs w:val="0"/>
              <w:color w:val="auto"/>
              <w:sz w:val="28"/>
              <w:szCs w:val="28"/>
              <w:highlight w:val="none"/>
              <w:lang w:bidi="ar"/>
            </w:rPr>
            <w:t>第六章  响应性文件格式</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_Toc29680 \h </w:instrText>
          </w:r>
          <w:r>
            <w:rPr>
              <w:b/>
              <w:bCs w:val="0"/>
              <w:color w:val="auto"/>
              <w:sz w:val="28"/>
              <w:szCs w:val="28"/>
              <w:highlight w:val="none"/>
            </w:rPr>
            <w:fldChar w:fldCharType="separate"/>
          </w:r>
          <w:r>
            <w:rPr>
              <w:b/>
              <w:bCs w:val="0"/>
              <w:color w:val="auto"/>
              <w:sz w:val="28"/>
              <w:szCs w:val="28"/>
              <w:highlight w:val="none"/>
            </w:rPr>
            <w:t>51</w:t>
          </w:r>
          <w:r>
            <w:rPr>
              <w:b/>
              <w:bCs w:val="0"/>
              <w:color w:val="auto"/>
              <w:sz w:val="28"/>
              <w:szCs w:val="28"/>
              <w:highlight w:val="none"/>
            </w:rPr>
            <w:fldChar w:fldCharType="end"/>
          </w:r>
          <w:r>
            <w:rPr>
              <w:rFonts w:hint="eastAsia" w:ascii="宋体" w:hAnsi="宋体" w:cs="宋体"/>
              <w:b/>
              <w:bCs w:val="0"/>
              <w:color w:val="auto"/>
              <w:sz w:val="28"/>
              <w:szCs w:val="28"/>
              <w:highlight w:val="none"/>
            </w:rPr>
            <w:fldChar w:fldCharType="end"/>
          </w:r>
        </w:p>
        <w:p w14:paraId="3E061559">
          <w:pPr>
            <w:spacing w:line="360" w:lineRule="auto"/>
            <w:ind w:firstLine="73"/>
            <w:jc w:val="center"/>
            <w:rPr>
              <w:rFonts w:hint="eastAsia" w:ascii="宋体" w:hAnsi="宋体" w:cs="宋体" w:eastAsiaTheme="minorEastAsia"/>
              <w:bCs/>
              <w:color w:val="auto"/>
              <w:kern w:val="2"/>
              <w:sz w:val="21"/>
              <w:szCs w:val="28"/>
              <w:highlight w:val="none"/>
              <w:lang w:val="en-US" w:eastAsia="zh-CN" w:bidi="ar-SA"/>
            </w:rPr>
          </w:pPr>
          <w:r>
            <w:rPr>
              <w:rFonts w:hint="eastAsia" w:ascii="宋体" w:hAnsi="宋体" w:cs="宋体"/>
              <w:bCs/>
              <w:color w:val="auto"/>
              <w:szCs w:val="28"/>
              <w:highlight w:val="none"/>
            </w:rPr>
            <w:fldChar w:fldCharType="end"/>
          </w:r>
        </w:p>
      </w:sdtContent>
    </w:sdt>
    <w:p w14:paraId="14D0ABF9">
      <w:pPr>
        <w:spacing w:line="360" w:lineRule="auto"/>
        <w:ind w:firstLine="73"/>
        <w:jc w:val="center"/>
        <w:rPr>
          <w:rFonts w:hint="eastAsia" w:ascii="宋体" w:hAnsi="宋体" w:cs="宋体" w:eastAsiaTheme="minorEastAsia"/>
          <w:bCs/>
          <w:color w:val="auto"/>
          <w:kern w:val="2"/>
          <w:sz w:val="21"/>
          <w:szCs w:val="28"/>
          <w:highlight w:val="none"/>
          <w:lang w:val="en-US" w:eastAsia="zh-CN" w:bidi="ar-SA"/>
        </w:rPr>
      </w:pPr>
    </w:p>
    <w:p w14:paraId="3D0E081E">
      <w:pPr>
        <w:rPr>
          <w:color w:val="auto"/>
          <w:highlight w:val="none"/>
        </w:rPr>
      </w:pPr>
    </w:p>
    <w:p w14:paraId="1EA7C488">
      <w:pPr>
        <w:pStyle w:val="13"/>
        <w:outlineLvl w:val="0"/>
        <w:rPr>
          <w:color w:val="auto"/>
          <w:highlight w:val="none"/>
        </w:rPr>
      </w:pPr>
      <w:bookmarkStart w:id="6" w:name="_Toc19698"/>
    </w:p>
    <w:p w14:paraId="4EC4EE60">
      <w:pPr>
        <w:tabs>
          <w:tab w:val="left" w:pos="5799"/>
        </w:tabs>
        <w:jc w:val="left"/>
        <w:rPr>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r>
        <w:rPr>
          <w:rFonts w:hint="eastAsia"/>
          <w:color w:val="auto"/>
          <w:highlight w:val="none"/>
        </w:rPr>
        <w:tab/>
      </w:r>
    </w:p>
    <w:p w14:paraId="5C102B58">
      <w:pPr>
        <w:spacing w:before="312" w:beforeLines="100" w:line="360" w:lineRule="auto"/>
        <w:jc w:val="center"/>
        <w:outlineLvl w:val="0"/>
        <w:rPr>
          <w:rFonts w:hint="eastAsia" w:ascii="宋体" w:hAnsi="宋体" w:cs="宋体"/>
          <w:b/>
          <w:bCs/>
          <w:color w:val="auto"/>
          <w:sz w:val="36"/>
          <w:szCs w:val="36"/>
          <w:highlight w:val="none"/>
          <w:lang w:bidi="ar"/>
        </w:rPr>
      </w:pPr>
      <w:bookmarkStart w:id="7" w:name="_Toc21808"/>
      <w:r>
        <w:rPr>
          <w:rFonts w:hint="eastAsia" w:ascii="宋体" w:hAnsi="宋体" w:cs="宋体"/>
          <w:b/>
          <w:bCs/>
          <w:color w:val="auto"/>
          <w:sz w:val="36"/>
          <w:szCs w:val="36"/>
          <w:highlight w:val="none"/>
          <w:lang w:bidi="ar"/>
        </w:rPr>
        <w:t xml:space="preserve">第一章  </w:t>
      </w:r>
      <w:bookmarkStart w:id="8" w:name="_Hlk136547488"/>
      <w:r>
        <w:rPr>
          <w:rFonts w:hint="eastAsia" w:ascii="宋体" w:hAnsi="宋体" w:cs="宋体"/>
          <w:b/>
          <w:bCs/>
          <w:color w:val="auto"/>
          <w:sz w:val="36"/>
          <w:szCs w:val="36"/>
          <w:highlight w:val="none"/>
          <w:lang w:bidi="ar"/>
        </w:rPr>
        <w:t>竞争性磋商公告</w:t>
      </w:r>
      <w:bookmarkEnd w:id="6"/>
      <w:bookmarkEnd w:id="7"/>
      <w:bookmarkEnd w:id="8"/>
    </w:p>
    <w:p w14:paraId="39564755">
      <w:pPr>
        <w:spacing w:line="360" w:lineRule="auto"/>
        <w:ind w:firstLine="566" w:firstLineChars="236"/>
        <w:rPr>
          <w:rFonts w:asciiTheme="minorEastAsia" w:hAnsiTheme="minorEastAsia" w:cstheme="minorEastAsia"/>
          <w:color w:val="auto"/>
          <w:sz w:val="24"/>
          <w:szCs w:val="24"/>
          <w:highlight w:val="none"/>
        </w:rPr>
      </w:pPr>
      <w:bookmarkStart w:id="9" w:name="_Toc22953455"/>
      <w:bookmarkStart w:id="10" w:name="_Toc15597"/>
      <w:bookmarkStart w:id="11" w:name="_Toc22568845"/>
      <w:bookmarkStart w:id="12" w:name="_Toc498982406"/>
      <w:bookmarkStart w:id="13" w:name="_Toc22804133"/>
      <w:bookmarkStart w:id="14" w:name="_Toc22570552"/>
      <w:bookmarkStart w:id="15" w:name="_Toc22724013"/>
      <w:r>
        <w:rPr>
          <w:rFonts w:hint="eastAsia" w:asciiTheme="minorEastAsia" w:hAnsiTheme="minorEastAsia" w:cstheme="minorEastAsia"/>
          <w:color w:val="auto"/>
          <w:sz w:val="24"/>
          <w:szCs w:val="24"/>
          <w:highlight w:val="none"/>
        </w:rPr>
        <w:t>项目概况</w:t>
      </w:r>
    </w:p>
    <w:p w14:paraId="628E604B">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渑池县林业局2025年森林防火物资采购项目</w:t>
      </w:r>
      <w:r>
        <w:rPr>
          <w:rFonts w:hint="eastAsia" w:asciiTheme="minorEastAsia" w:hAnsiTheme="minorEastAsia" w:cstheme="minorEastAsia"/>
          <w:color w:val="auto"/>
          <w:sz w:val="24"/>
          <w:szCs w:val="24"/>
          <w:highlight w:val="none"/>
        </w:rPr>
        <w:t>的潜在供应商应在三门峡市公共资源交易中心网上获取竞争性磋商文件，并于</w:t>
      </w:r>
      <w:r>
        <w:rPr>
          <w:rFonts w:hint="eastAsia" w:asciiTheme="minorEastAsia" w:hAnsiTheme="minorEastAsia" w:cstheme="minorEastAsia"/>
          <w:color w:val="auto"/>
          <w:sz w:val="24"/>
          <w:szCs w:val="24"/>
          <w:highlight w:val="none"/>
          <w:lang w:eastAsia="zh-CN"/>
        </w:rPr>
        <w:t>2026年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cstheme="minorEastAsia"/>
          <w:color w:val="auto"/>
          <w:sz w:val="24"/>
          <w:szCs w:val="24"/>
          <w:highlight w:val="none"/>
          <w:lang w:eastAsia="zh-CN"/>
        </w:rPr>
        <w:t>月</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cstheme="minorEastAsia"/>
          <w:color w:val="auto"/>
          <w:sz w:val="24"/>
          <w:szCs w:val="24"/>
          <w:highlight w:val="none"/>
          <w:lang w:eastAsia="zh-CN"/>
        </w:rPr>
        <w:t>日08时20分</w:t>
      </w:r>
      <w:r>
        <w:rPr>
          <w:rFonts w:hint="eastAsia" w:asciiTheme="minorEastAsia" w:hAnsiTheme="minorEastAsia" w:cstheme="minorEastAsia"/>
          <w:color w:val="auto"/>
          <w:sz w:val="24"/>
          <w:szCs w:val="24"/>
          <w:highlight w:val="none"/>
        </w:rPr>
        <w:t>（北京时间）前递交响应文件。</w:t>
      </w:r>
    </w:p>
    <w:p w14:paraId="2B17E59B">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一、项目基本情况 </w:t>
      </w:r>
    </w:p>
    <w:p w14:paraId="6687E285">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auto"/>
          <w:sz w:val="24"/>
          <w:szCs w:val="24"/>
          <w:highlight w:val="none"/>
          <w:lang w:eastAsia="zh-CN"/>
        </w:rPr>
        <w:t>渑池竞磋采购-2026-59、MCGZ[2026]093-ZC087</w:t>
      </w:r>
    </w:p>
    <w:p w14:paraId="10295A01">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渑池县林业局2025年森林防火物资采购项目</w:t>
      </w:r>
    </w:p>
    <w:p w14:paraId="632BCB99">
      <w:pPr>
        <w:spacing w:line="360" w:lineRule="auto"/>
        <w:ind w:firstLine="600" w:firstLineChars="25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3.采购方式：竞争性磋商</w:t>
      </w:r>
    </w:p>
    <w:p w14:paraId="35D497BD">
      <w:pPr>
        <w:spacing w:line="360" w:lineRule="auto"/>
        <w:ind w:firstLine="600" w:firstLineChars="25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eastAsia="zh-CN"/>
        </w:rPr>
        <w:t>468960.00</w:t>
      </w:r>
      <w:r>
        <w:rPr>
          <w:rFonts w:hint="eastAsia" w:asciiTheme="minorEastAsia" w:hAnsiTheme="minorEastAsia" w:cstheme="minorEastAsia"/>
          <w:color w:val="auto"/>
          <w:sz w:val="24"/>
          <w:szCs w:val="24"/>
          <w:highlight w:val="none"/>
        </w:rPr>
        <w:t>元</w:t>
      </w:r>
    </w:p>
    <w:p w14:paraId="4BB9AFA6">
      <w:pPr>
        <w:pStyle w:val="15"/>
        <w:spacing w:line="360" w:lineRule="auto"/>
        <w:ind w:firstLine="840" w:firstLineChars="35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eastAsia="zh-CN"/>
        </w:rPr>
        <w:t>468960.00</w:t>
      </w:r>
      <w:r>
        <w:rPr>
          <w:rFonts w:hint="eastAsia" w:asciiTheme="minorEastAsia" w:hAnsiTheme="minorEastAsia" w:cstheme="minorEastAsia"/>
          <w:color w:val="auto"/>
          <w:sz w:val="24"/>
          <w:szCs w:val="24"/>
          <w:highlight w:val="none"/>
        </w:rPr>
        <w:t>元</w:t>
      </w:r>
    </w:p>
    <w:tbl>
      <w:tblPr>
        <w:tblStyle w:val="17"/>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745"/>
        <w:gridCol w:w="2438"/>
        <w:gridCol w:w="1536"/>
        <w:gridCol w:w="1554"/>
      </w:tblGrid>
      <w:tr w14:paraId="6756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1DF44855">
            <w:pPr>
              <w:widowControl/>
              <w:spacing w:line="44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5" w:type="dxa"/>
            <w:vAlign w:val="center"/>
          </w:tcPr>
          <w:p w14:paraId="78F79FCE">
            <w:pPr>
              <w:widowControl/>
              <w:spacing w:line="44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38" w:type="dxa"/>
            <w:vAlign w:val="center"/>
          </w:tcPr>
          <w:p w14:paraId="68574E4D">
            <w:pPr>
              <w:widowControl/>
              <w:spacing w:line="44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6" w:type="dxa"/>
            <w:vAlign w:val="center"/>
          </w:tcPr>
          <w:p w14:paraId="7EF8AE63">
            <w:pPr>
              <w:widowControl/>
              <w:spacing w:line="44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w:t>
            </w:r>
          </w:p>
          <w:p w14:paraId="3097A70D">
            <w:pPr>
              <w:widowControl/>
              <w:spacing w:line="44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（元）</w:t>
            </w:r>
          </w:p>
        </w:tc>
        <w:tc>
          <w:tcPr>
            <w:tcW w:w="1554" w:type="dxa"/>
            <w:vAlign w:val="center"/>
          </w:tcPr>
          <w:p w14:paraId="4542E396">
            <w:pPr>
              <w:widowControl/>
              <w:spacing w:line="44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w:t>
            </w:r>
          </w:p>
          <w:p w14:paraId="4AD9663F">
            <w:pPr>
              <w:widowControl/>
              <w:spacing w:line="44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（元）</w:t>
            </w:r>
          </w:p>
        </w:tc>
      </w:tr>
      <w:tr w14:paraId="3E4A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73A1E1B0">
            <w:pPr>
              <w:widowControl/>
              <w:spacing w:line="44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5" w:type="dxa"/>
            <w:vAlign w:val="center"/>
          </w:tcPr>
          <w:p w14:paraId="327D1949">
            <w:pPr>
              <w:widowControl/>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MCGZ[2026]093-ZC087</w:t>
            </w:r>
          </w:p>
        </w:tc>
        <w:tc>
          <w:tcPr>
            <w:tcW w:w="2438" w:type="dxa"/>
            <w:vAlign w:val="center"/>
          </w:tcPr>
          <w:p w14:paraId="62194A18">
            <w:pPr>
              <w:widowControl/>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渑池县林业局2025年森林防火物资采购项目</w:t>
            </w:r>
          </w:p>
        </w:tc>
        <w:tc>
          <w:tcPr>
            <w:tcW w:w="1536" w:type="dxa"/>
            <w:vAlign w:val="center"/>
          </w:tcPr>
          <w:p w14:paraId="342A9B46">
            <w:pPr>
              <w:widowControl/>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468960.00</w:t>
            </w:r>
          </w:p>
        </w:tc>
        <w:tc>
          <w:tcPr>
            <w:tcW w:w="1554" w:type="dxa"/>
            <w:vAlign w:val="center"/>
          </w:tcPr>
          <w:p w14:paraId="5C46B878">
            <w:pPr>
              <w:widowControl/>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468960.00</w:t>
            </w:r>
          </w:p>
        </w:tc>
      </w:tr>
    </w:tbl>
    <w:p w14:paraId="11DB934E">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5.采购需求(包括目标、标准、数量、规格、服务要求、验收、标准等)：</w:t>
      </w:r>
    </w:p>
    <w:p w14:paraId="0D5EE0DE">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5.1采购范围：该项目本次采购物资包括风力灭火机、防火服、防火鞋、二号、三号工具、通讯设备等内容（详见第五章采购清单及技术参数）。</w:t>
      </w:r>
    </w:p>
    <w:p w14:paraId="1E05996A">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5.2预算金额：</w:t>
      </w:r>
      <w:r>
        <w:rPr>
          <w:rFonts w:hint="eastAsia" w:asciiTheme="minorEastAsia" w:hAnsiTheme="minorEastAsia" w:cstheme="minorEastAsia"/>
          <w:color w:val="auto"/>
          <w:sz w:val="24"/>
          <w:szCs w:val="24"/>
          <w:highlight w:val="none"/>
          <w:lang w:eastAsia="zh-CN"/>
        </w:rPr>
        <w:t>468960.00</w:t>
      </w:r>
      <w:r>
        <w:rPr>
          <w:rFonts w:hint="eastAsia" w:asciiTheme="minorEastAsia" w:hAnsiTheme="minorEastAsia" w:cstheme="minorEastAsia"/>
          <w:color w:val="auto"/>
          <w:sz w:val="24"/>
          <w:szCs w:val="24"/>
          <w:highlight w:val="none"/>
        </w:rPr>
        <w:t>元</w:t>
      </w:r>
    </w:p>
    <w:p w14:paraId="4841EBD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5.3资金来源：财政资金，已落实。</w:t>
      </w:r>
    </w:p>
    <w:p w14:paraId="4FA8B478">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5.4质量要求：符合国家及行业标准并满足采购人使用要求。</w:t>
      </w:r>
    </w:p>
    <w:p w14:paraId="214FF9FB">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5.5交货期：自合同签订之日起30日历天。</w:t>
      </w:r>
    </w:p>
    <w:p w14:paraId="240C52AE">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5.6交货地点：采购人指定地点</w:t>
      </w:r>
    </w:p>
    <w:p w14:paraId="12F7F0A1">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5.7质保期：一年。</w:t>
      </w:r>
    </w:p>
    <w:p w14:paraId="7E00DC52">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w:t>
      </w:r>
      <w:r>
        <w:rPr>
          <w:rFonts w:hint="eastAsia" w:ascii="宋体" w:hAnsi="宋体" w:cs="宋体"/>
          <w:color w:val="auto"/>
          <w:sz w:val="24"/>
          <w:highlight w:val="none"/>
        </w:rPr>
        <w:t>自合同签订之日起30日历天</w:t>
      </w:r>
      <w:r>
        <w:rPr>
          <w:rFonts w:hint="eastAsia" w:asciiTheme="minorEastAsia" w:hAnsiTheme="minorEastAsia" w:cstheme="minorEastAsia"/>
          <w:color w:val="auto"/>
          <w:sz w:val="24"/>
          <w:szCs w:val="24"/>
          <w:highlight w:val="none"/>
        </w:rPr>
        <w:t>。</w:t>
      </w:r>
    </w:p>
    <w:p w14:paraId="132CAB5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7ACE1AA1">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67FC01BB">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9.是否专门面向中小企业：否</w:t>
      </w:r>
    </w:p>
    <w:p w14:paraId="5CB4787B">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68E8F384">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28CE6BA6">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2.落实政府采购政策满足的资格要求：本项目非专门面向中小微企业采购项目，执行优先采购节能环保、环境标志性产品，执行中小企业（监狱企业、残疾人福利性企业）发展等政府采购政策。</w:t>
      </w:r>
    </w:p>
    <w:p w14:paraId="262871F3">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1F11C09A">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3.1供应商具有有效的营业执照；</w:t>
      </w:r>
    </w:p>
    <w:p w14:paraId="5808993C">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3.2提供供应商企业、法定代表人无行贿犯罪记录，在中国裁判文书网查询（提供网页查询截图）或供应商自行承诺；</w:t>
      </w:r>
    </w:p>
    <w:p w14:paraId="7AC05EAF">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3.3供应商需提供无商业贿赂及无不正当竞争行为的承诺书</w:t>
      </w:r>
      <w:r>
        <w:rPr>
          <w:rFonts w:hint="eastAsia" w:ascii="宋体" w:hAnsi="宋体" w:cs="宋体"/>
          <w:color w:val="auto"/>
          <w:sz w:val="24"/>
          <w:highlight w:val="none"/>
        </w:rPr>
        <w:t>（格式自拟）</w:t>
      </w:r>
      <w:r>
        <w:rPr>
          <w:rFonts w:hint="eastAsia" w:asciiTheme="minorEastAsia" w:hAnsiTheme="minorEastAsia" w:cstheme="minorEastAsia"/>
          <w:color w:val="auto"/>
          <w:sz w:val="24"/>
          <w:szCs w:val="24"/>
          <w:highlight w:val="none"/>
        </w:rPr>
        <w:t>；</w:t>
      </w:r>
    </w:p>
    <w:p w14:paraId="0625C446">
      <w:pPr>
        <w:spacing w:line="360" w:lineRule="auto"/>
        <w:ind w:firstLine="566" w:firstLineChars="236"/>
        <w:rPr>
          <w:rFonts w:asciiTheme="minorEastAsia" w:hAnsiTheme="minorEastAsia" w:cstheme="minorEastAsia"/>
          <w:color w:val="auto"/>
          <w:sz w:val="24"/>
          <w:szCs w:val="24"/>
          <w:highlight w:val="none"/>
        </w:rPr>
      </w:pPr>
      <w:r>
        <w:rPr>
          <w:rFonts w:hint="eastAsia" w:ascii="宋体" w:hAnsi="宋体" w:cs="宋体"/>
          <w:color w:val="auto"/>
          <w:sz w:val="24"/>
          <w:highlight w:val="none"/>
        </w:rPr>
        <w:t>3.4具有履行合同所必需的设备和专业技术能力（自行作出承诺，格式自拟）；</w:t>
      </w:r>
    </w:p>
    <w:p w14:paraId="13B469D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bookmarkStart w:id="16" w:name="_Hlk139301777"/>
      <w:r>
        <w:rPr>
          <w:rFonts w:hint="eastAsia" w:asciiTheme="minorEastAsia" w:hAnsiTheme="minorEastAsia" w:cstheme="minorEastAsia"/>
          <w:color w:val="auto"/>
          <w:sz w:val="24"/>
          <w:szCs w:val="24"/>
          <w:highlight w:val="none"/>
        </w:rPr>
        <w:t>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bookmarkEnd w:id="16"/>
    </w:p>
    <w:p w14:paraId="0195E8A4">
      <w:pPr>
        <w:widowControl/>
        <w:spacing w:line="500" w:lineRule="exact"/>
        <w:ind w:firstLine="480" w:firstLineChars="200"/>
        <w:rPr>
          <w:rFonts w:ascii="宋体" w:hAnsi="宋体" w:cs="宋体"/>
          <w:color w:val="auto"/>
          <w:sz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6</w:t>
      </w:r>
      <w:r>
        <w:rPr>
          <w:rFonts w:hint="eastAsia" w:ascii="宋体" w:hAnsi="宋体" w:cs="宋体"/>
          <w:color w:val="auto"/>
          <w:sz w:val="24"/>
          <w:szCs w:val="24"/>
          <w:highlight w:val="none"/>
        </w:rPr>
        <w:t>单位负责人为同一人或者存在直接控股、管理关系的不同投标人，不得参加同一合同项下的采购活动；（提供“国家企业信用信息公示系统”中查询打印的相关信息（查询信息需包含公司基本信息、股东信息及股权变更信息等相关信息，查询日期为本项目公告发布之后至开标截止时间止））</w:t>
      </w:r>
      <w:r>
        <w:rPr>
          <w:rFonts w:hint="eastAsia" w:ascii="宋体" w:hAnsi="宋体" w:cs="宋体"/>
          <w:color w:val="auto"/>
          <w:sz w:val="24"/>
          <w:highlight w:val="none"/>
        </w:rPr>
        <w:t>；</w:t>
      </w:r>
    </w:p>
    <w:p w14:paraId="21AB7196">
      <w:pPr>
        <w:widowControl/>
        <w:spacing w:line="500" w:lineRule="exact"/>
        <w:ind w:firstLine="480" w:firstLineChars="200"/>
        <w:outlineLvl w:val="2"/>
        <w:rPr>
          <w:rFonts w:ascii="宋体" w:hAnsi="宋体" w:cs="宋体"/>
          <w:color w:val="auto"/>
          <w:sz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7</w:t>
      </w:r>
      <w:r>
        <w:rPr>
          <w:rFonts w:hint="eastAsia" w:ascii="宋体" w:hAnsi="宋体" w:cs="宋体"/>
          <w:color w:val="auto"/>
          <w:sz w:val="24"/>
          <w:highlight w:val="none"/>
        </w:rPr>
        <w:t>本项目不接受联合体投标，</w:t>
      </w:r>
      <w:r>
        <w:rPr>
          <w:rFonts w:hint="eastAsia" w:asciiTheme="minorEastAsia" w:hAnsiTheme="minorEastAsia" w:cstheme="minorEastAsia"/>
          <w:color w:val="auto"/>
          <w:sz w:val="24"/>
          <w:szCs w:val="24"/>
          <w:highlight w:val="none"/>
        </w:rPr>
        <w:t>提供非联合体投标承诺，格式自拟</w:t>
      </w:r>
      <w:r>
        <w:rPr>
          <w:rFonts w:hint="eastAsia" w:ascii="宋体" w:hAnsi="宋体" w:cs="宋体"/>
          <w:color w:val="auto"/>
          <w:sz w:val="24"/>
          <w:highlight w:val="none"/>
        </w:rPr>
        <w:t>。</w:t>
      </w:r>
    </w:p>
    <w:p w14:paraId="56347B91">
      <w:pPr>
        <w:widowControl/>
        <w:spacing w:line="480" w:lineRule="exact"/>
        <w:ind w:firstLine="482" w:firstLineChars="200"/>
        <w:jc w:val="left"/>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注：本次磋商实行资格后审，资格评审以投标文件为准，其上传资料真实性由供应商自行承担，供应商请自行完善主体库信息。</w:t>
      </w:r>
    </w:p>
    <w:p w14:paraId="48501F54">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三、获取竞争性磋商文件</w:t>
      </w:r>
    </w:p>
    <w:p w14:paraId="77AAB68E">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宋体" w:hAnsi="宋体" w:eastAsia="宋体" w:cs="宋体"/>
          <w:color w:val="auto"/>
          <w:kern w:val="0"/>
          <w:sz w:val="24"/>
          <w:szCs w:val="24"/>
          <w:highlight w:val="none"/>
        </w:rPr>
        <w:t>2026年</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日至</w:t>
      </w:r>
      <w:r>
        <w:rPr>
          <w:rFonts w:hint="eastAsia" w:ascii="宋体" w:hAnsi="宋体" w:eastAsia="宋体" w:cs="宋体"/>
          <w:color w:val="auto"/>
          <w:kern w:val="0"/>
          <w:sz w:val="24"/>
          <w:szCs w:val="24"/>
          <w:highlight w:val="none"/>
          <w:lang w:eastAsia="zh-CN"/>
        </w:rPr>
        <w:t>2026年7月7日08时20分</w:t>
      </w:r>
      <w:r>
        <w:rPr>
          <w:rFonts w:hint="eastAsia" w:asciiTheme="minorEastAsia" w:hAnsiTheme="minorEastAsia" w:cstheme="minorEastAsia"/>
          <w:color w:val="auto"/>
          <w:sz w:val="24"/>
          <w:szCs w:val="24"/>
          <w:highlight w:val="none"/>
        </w:rPr>
        <w:t>（北京时间）</w:t>
      </w:r>
      <w:r>
        <w:rPr>
          <w:rFonts w:hint="eastAsia" w:ascii="宋体" w:hAnsi="宋体" w:cs="宋体"/>
          <w:color w:val="auto"/>
          <w:kern w:val="0"/>
          <w:sz w:val="24"/>
          <w:szCs w:val="24"/>
          <w:highlight w:val="none"/>
        </w:rPr>
        <w:t>。</w:t>
      </w:r>
    </w:p>
    <w:p w14:paraId="13547EA1">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7BC1BDF8">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本项目没有报名环节，投标人凭CA数字证书通过三门峡市公共资源交易中心网（网址：http://gzjy.smx.gov.cn），点击交易平台选择“市场主体登录”，在所参与项目右侧点击参与投标，即可直接下载本项目竞争性磋商文件。</w:t>
      </w:r>
    </w:p>
    <w:p w14:paraId="25DE88C9">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63D424B7">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3EB396F8">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四、投标截止时间(响应文件递交截止时间)及地点</w:t>
      </w:r>
    </w:p>
    <w:p w14:paraId="47C38DFA">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2026年7月7日08时20分</w:t>
      </w:r>
      <w:r>
        <w:rPr>
          <w:rFonts w:hint="eastAsia" w:asciiTheme="minorEastAsia" w:hAnsiTheme="minorEastAsia" w:cstheme="minorEastAsia"/>
          <w:color w:val="auto"/>
          <w:sz w:val="24"/>
          <w:szCs w:val="24"/>
          <w:highlight w:val="none"/>
        </w:rPr>
        <w:t>（北京时间）。</w:t>
      </w:r>
    </w:p>
    <w:p w14:paraId="05E84933">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0257018E">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五、开标时间及地点</w:t>
      </w:r>
    </w:p>
    <w:p w14:paraId="5DB3D662">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2026年7月7日08时20分</w:t>
      </w:r>
      <w:r>
        <w:rPr>
          <w:rFonts w:hint="eastAsia" w:asciiTheme="minorEastAsia" w:hAnsiTheme="minorEastAsia" w:cstheme="minorEastAsia"/>
          <w:color w:val="auto"/>
          <w:sz w:val="24"/>
          <w:szCs w:val="24"/>
          <w:highlight w:val="none"/>
        </w:rPr>
        <w:t>（北京时间）。</w:t>
      </w:r>
    </w:p>
    <w:p w14:paraId="69877ADB">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2.地点：渑池县公共资源交易中心六楼开标二室</w:t>
      </w:r>
    </w:p>
    <w:p w14:paraId="1EA89D6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1D5E532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w:t>
      </w:r>
      <w:r>
        <w:rPr>
          <w:rFonts w:hint="eastAsia" w:asciiTheme="minorEastAsia" w:hAnsiTheme="minorEastAsia" w:cstheme="minorEastAsia"/>
          <w:color w:val="auto"/>
          <w:sz w:val="24"/>
          <w:szCs w:val="24"/>
          <w:highlight w:val="none"/>
          <w:lang w:val="en-US" w:eastAsia="zh-CN"/>
        </w:rPr>
        <w:t>磋商</w:t>
      </w:r>
      <w:r>
        <w:rPr>
          <w:rFonts w:hint="eastAsia" w:asciiTheme="minorEastAsia" w:hAnsiTheme="minorEastAsia" w:cstheme="minorEastAsia"/>
          <w:color w:val="auto"/>
          <w:sz w:val="24"/>
          <w:szCs w:val="24"/>
          <w:highlight w:val="none"/>
        </w:rPr>
        <w:t>公告在《河南省政府采购网》、《三门峡市公共资源交易中心网》、《中国招标投标公共服务平台》上发布。公告期限为三个工作日。</w:t>
      </w:r>
    </w:p>
    <w:p w14:paraId="1BBAE276">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2CBFE5F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0833A3AA">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6DDE467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090C01A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资格评（预）审部分：资格评（预）以投标文件为准，其上传资料真实性由供应商自行承担。供应商请自行完善主体库信息。</w:t>
      </w:r>
    </w:p>
    <w:p w14:paraId="71C2B6DE">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5.评标打分部分：评标打分部分仍按照100分制原则进行，涉及到资格审查、企业业绩等计分部分时，以投标单位自行上传到投标文件中的相应内容为准。</w:t>
      </w:r>
    </w:p>
    <w:p w14:paraId="7BFBE04F">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6.在招标文件中要求供应商按照投标文件格式进行投标文件编制，在投标文件编制时，应明确将供应商企业基本情况、业绩情况编入投标文件，便于进行资格审查及评标打分。</w:t>
      </w:r>
    </w:p>
    <w:p w14:paraId="2D19CFF4">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14:paraId="593902C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 xml:space="preserve">监督机构：渑池县政府采购办公室 </w:t>
      </w:r>
    </w:p>
    <w:p w14:paraId="2AC97F0F">
      <w:pPr>
        <w:spacing w:line="360" w:lineRule="auto"/>
        <w:ind w:firstLine="722" w:firstLineChars="301"/>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联系电话：0398-4818677</w:t>
      </w:r>
    </w:p>
    <w:p w14:paraId="6683E4A5">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4634A9BA">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 采购人信息</w:t>
      </w:r>
    </w:p>
    <w:p w14:paraId="17A02853">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名称：</w:t>
      </w:r>
      <w:r>
        <w:rPr>
          <w:rFonts w:hint="eastAsia" w:asciiTheme="minorEastAsia" w:hAnsiTheme="minorEastAsia" w:cstheme="minorEastAsia"/>
          <w:color w:val="auto"/>
          <w:sz w:val="24"/>
          <w:szCs w:val="24"/>
          <w:highlight w:val="none"/>
        </w:rPr>
        <w:t>渑池县林业局</w:t>
      </w:r>
    </w:p>
    <w:p w14:paraId="5016FD99">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地址：</w:t>
      </w:r>
      <w:r>
        <w:rPr>
          <w:rFonts w:hint="eastAsia" w:asciiTheme="minorEastAsia" w:hAnsiTheme="minorEastAsia" w:cstheme="minorEastAsia"/>
          <w:color w:val="auto"/>
          <w:sz w:val="24"/>
          <w:szCs w:val="24"/>
          <w:highlight w:val="none"/>
        </w:rPr>
        <w:t>渑池县会盟路东段</w:t>
      </w:r>
    </w:p>
    <w:p w14:paraId="7B4BF140">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联系人：</w:t>
      </w:r>
      <w:r>
        <w:rPr>
          <w:rFonts w:hint="eastAsia" w:asciiTheme="minorEastAsia" w:hAnsiTheme="minorEastAsia" w:cstheme="minorEastAsia"/>
          <w:color w:val="auto"/>
          <w:sz w:val="24"/>
          <w:szCs w:val="24"/>
          <w:highlight w:val="none"/>
        </w:rPr>
        <w:t>王</w:t>
      </w:r>
      <w:r>
        <w:rPr>
          <w:rFonts w:hint="eastAsia" w:asciiTheme="minorEastAsia" w:hAnsiTheme="minorEastAsia" w:cstheme="minorEastAsia"/>
          <w:color w:val="auto"/>
          <w:sz w:val="24"/>
          <w:szCs w:val="24"/>
          <w:highlight w:val="none"/>
          <w:lang w:val="en-US" w:eastAsia="zh-CN"/>
        </w:rPr>
        <w:t>女士</w:t>
      </w:r>
    </w:p>
    <w:p w14:paraId="7F9C180D">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联系方式：</w:t>
      </w:r>
      <w:r>
        <w:rPr>
          <w:rFonts w:hint="eastAsia" w:asciiTheme="minorEastAsia" w:hAnsiTheme="minorEastAsia" w:cstheme="minorEastAsia"/>
          <w:color w:val="auto"/>
          <w:sz w:val="24"/>
          <w:szCs w:val="24"/>
          <w:highlight w:val="none"/>
        </w:rPr>
        <w:t>13</w:t>
      </w:r>
      <w:r>
        <w:rPr>
          <w:rFonts w:hint="eastAsia" w:asciiTheme="minorEastAsia" w:hAnsiTheme="minorEastAsia" w:cstheme="minorEastAsia"/>
          <w:color w:val="auto"/>
          <w:sz w:val="24"/>
          <w:szCs w:val="24"/>
          <w:highlight w:val="none"/>
          <w:lang w:val="en-US" w:eastAsia="zh-CN"/>
        </w:rPr>
        <w:t>525242999</w:t>
      </w:r>
    </w:p>
    <w:p w14:paraId="327DA208">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2.采购代理机构信息（如有）</w:t>
      </w:r>
    </w:p>
    <w:p w14:paraId="3B5EC141">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名称：河南德厚工程管理有限公司</w:t>
      </w:r>
    </w:p>
    <w:p w14:paraId="33E336F6">
      <w:pPr>
        <w:wordWrap w:val="0"/>
        <w:spacing w:line="360" w:lineRule="auto"/>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地址：</w:t>
      </w:r>
      <w:r>
        <w:rPr>
          <w:rFonts w:hint="eastAsia" w:ascii="宋体" w:hAnsi="宋体" w:cs="宋体"/>
          <w:color w:val="auto"/>
          <w:sz w:val="24"/>
          <w:highlight w:val="none"/>
        </w:rPr>
        <w:t>河南省三门峡市渑池县康宁家园</w:t>
      </w:r>
    </w:p>
    <w:p w14:paraId="31A8B820">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联系人：</w:t>
      </w:r>
      <w:r>
        <w:rPr>
          <w:rFonts w:hint="eastAsia" w:asciiTheme="minorEastAsia" w:hAnsiTheme="minorEastAsia" w:cstheme="minorEastAsia"/>
          <w:color w:val="auto"/>
          <w:sz w:val="24"/>
          <w:szCs w:val="24"/>
          <w:highlight w:val="none"/>
        </w:rPr>
        <w:t>张梦晓</w:t>
      </w:r>
    </w:p>
    <w:p w14:paraId="376B0C6C">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联系方式：</w:t>
      </w:r>
      <w:r>
        <w:rPr>
          <w:rFonts w:hint="eastAsia" w:ascii="宋体" w:hAnsi="宋体" w:cs="宋体"/>
          <w:color w:val="auto"/>
          <w:sz w:val="24"/>
          <w:highlight w:val="none"/>
        </w:rPr>
        <w:t>13639837665</w:t>
      </w:r>
    </w:p>
    <w:p w14:paraId="572CC56B">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3.项目联系方式</w:t>
      </w:r>
    </w:p>
    <w:p w14:paraId="60BF4A4F">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项目联系人：</w:t>
      </w:r>
      <w:r>
        <w:rPr>
          <w:rFonts w:hint="eastAsia" w:asciiTheme="minorEastAsia" w:hAnsiTheme="minorEastAsia" w:cstheme="minorEastAsia"/>
          <w:color w:val="auto"/>
          <w:sz w:val="24"/>
          <w:szCs w:val="24"/>
          <w:highlight w:val="none"/>
        </w:rPr>
        <w:t>张梦晓</w:t>
      </w:r>
    </w:p>
    <w:p w14:paraId="777AFB50">
      <w:pPr>
        <w:spacing w:line="360" w:lineRule="auto"/>
        <w:ind w:firstLine="484" w:firstLineChars="202"/>
        <w:rPr>
          <w:rFonts w:hint="eastAsia" w:ascii="宋体" w:hAnsi="宋体" w:cs="宋体"/>
          <w:color w:val="auto"/>
          <w:sz w:val="24"/>
          <w:highlight w:val="none"/>
        </w:rPr>
      </w:pPr>
      <w:r>
        <w:rPr>
          <w:rFonts w:hint="eastAsia" w:asciiTheme="minorEastAsia" w:hAnsiTheme="minorEastAsia" w:cstheme="minorEastAsia"/>
          <w:color w:val="auto"/>
          <w:sz w:val="24"/>
          <w:szCs w:val="24"/>
          <w:highlight w:val="none"/>
          <w:lang w:val="en-US" w:eastAsia="zh-CN"/>
        </w:rPr>
        <w:t>联系方式：</w:t>
      </w:r>
      <w:r>
        <w:rPr>
          <w:rFonts w:hint="eastAsia" w:ascii="宋体" w:hAnsi="宋体" w:cs="宋体"/>
          <w:color w:val="auto"/>
          <w:sz w:val="24"/>
          <w:highlight w:val="none"/>
        </w:rPr>
        <w:t>13639837665</w:t>
      </w:r>
    </w:p>
    <w:p w14:paraId="5E1F2BF9">
      <w:pPr>
        <w:widowControl/>
        <w:jc w:val="left"/>
        <w:rPr>
          <w:rFonts w:ascii="宋体" w:hAnsi="宋体" w:cs="宋体"/>
          <w:color w:val="auto"/>
          <w:sz w:val="24"/>
          <w:highlight w:val="none"/>
        </w:rPr>
      </w:pPr>
    </w:p>
    <w:p w14:paraId="27F0B712">
      <w:pPr>
        <w:rPr>
          <w:rFonts w:ascii="宋体" w:hAnsi="宋体"/>
          <w:b/>
          <w:bCs/>
          <w:color w:val="auto"/>
          <w:kern w:val="0"/>
          <w:sz w:val="32"/>
          <w:szCs w:val="32"/>
          <w:highlight w:val="none"/>
        </w:rPr>
      </w:pPr>
      <w:bookmarkStart w:id="17" w:name="_Toc18788"/>
      <w:bookmarkStart w:id="18" w:name="_Toc10227"/>
      <w:bookmarkStart w:id="19" w:name="_Toc43302780"/>
      <w:bookmarkStart w:id="20" w:name="_Toc32032"/>
      <w:r>
        <w:rPr>
          <w:rFonts w:hint="eastAsia" w:ascii="宋体" w:hAnsi="宋体"/>
          <w:b/>
          <w:bCs/>
          <w:color w:val="auto"/>
          <w:kern w:val="0"/>
          <w:sz w:val="32"/>
          <w:szCs w:val="32"/>
          <w:highlight w:val="none"/>
        </w:rPr>
        <w:br w:type="page"/>
      </w:r>
    </w:p>
    <w:p w14:paraId="05327BDB">
      <w:pPr>
        <w:spacing w:before="312" w:beforeLines="100" w:line="360" w:lineRule="auto"/>
        <w:jc w:val="center"/>
        <w:outlineLvl w:val="0"/>
        <w:rPr>
          <w:rFonts w:hint="eastAsia" w:ascii="宋体" w:hAnsi="宋体" w:cs="宋体"/>
          <w:b/>
          <w:bCs/>
          <w:color w:val="auto"/>
          <w:sz w:val="36"/>
          <w:szCs w:val="36"/>
          <w:highlight w:val="none"/>
          <w:lang w:bidi="ar"/>
        </w:rPr>
      </w:pPr>
      <w:bookmarkStart w:id="21" w:name="_Toc19657"/>
      <w:r>
        <w:rPr>
          <w:rFonts w:hint="eastAsia" w:ascii="宋体" w:hAnsi="宋体" w:cs="宋体"/>
          <w:b/>
          <w:bCs/>
          <w:color w:val="auto"/>
          <w:sz w:val="36"/>
          <w:szCs w:val="36"/>
          <w:highlight w:val="none"/>
          <w:lang w:bidi="ar"/>
        </w:rPr>
        <w:t>第二章</w:t>
      </w:r>
      <w:bookmarkEnd w:id="17"/>
      <w:r>
        <w:rPr>
          <w:rFonts w:hint="eastAsia" w:ascii="宋体" w:hAnsi="宋体" w:cs="宋体"/>
          <w:b/>
          <w:bCs/>
          <w:color w:val="auto"/>
          <w:sz w:val="36"/>
          <w:szCs w:val="36"/>
          <w:highlight w:val="none"/>
          <w:lang w:bidi="ar"/>
        </w:rPr>
        <w:t xml:space="preserve">  供应商须知</w:t>
      </w:r>
      <w:bookmarkEnd w:id="18"/>
      <w:bookmarkEnd w:id="19"/>
      <w:bookmarkEnd w:id="20"/>
      <w:bookmarkEnd w:id="21"/>
    </w:p>
    <w:p w14:paraId="68006B03">
      <w:pPr>
        <w:widowControl/>
        <w:jc w:val="center"/>
        <w:rPr>
          <w:color w:val="auto"/>
          <w:sz w:val="24"/>
          <w:highlight w:val="none"/>
        </w:rPr>
      </w:pPr>
      <w:bookmarkStart w:id="22" w:name="_Toc44996337"/>
      <w:bookmarkEnd w:id="22"/>
      <w:r>
        <w:rPr>
          <w:rFonts w:hint="eastAsia"/>
          <w:color w:val="auto"/>
          <w:sz w:val="24"/>
          <w:highlight w:val="none"/>
        </w:rPr>
        <w:t>供应商须知前附表</w:t>
      </w:r>
    </w:p>
    <w:tbl>
      <w:tblPr>
        <w:tblStyle w:val="17"/>
        <w:tblW w:w="9120" w:type="dxa"/>
        <w:jc w:val="center"/>
        <w:tblLayout w:type="fixed"/>
        <w:tblCellMar>
          <w:top w:w="0" w:type="dxa"/>
          <w:left w:w="108" w:type="dxa"/>
          <w:bottom w:w="0" w:type="dxa"/>
          <w:right w:w="108" w:type="dxa"/>
        </w:tblCellMar>
      </w:tblPr>
      <w:tblGrid>
        <w:gridCol w:w="694"/>
        <w:gridCol w:w="2073"/>
        <w:gridCol w:w="6353"/>
      </w:tblGrid>
      <w:tr w14:paraId="6913DFCF">
        <w:tblPrEx>
          <w:tblCellMar>
            <w:top w:w="0" w:type="dxa"/>
            <w:left w:w="108" w:type="dxa"/>
            <w:bottom w:w="0" w:type="dxa"/>
            <w:right w:w="108" w:type="dxa"/>
          </w:tblCellMar>
        </w:tblPrEx>
        <w:trPr>
          <w:trHeight w:val="411"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DDFA3ED">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3" w:type="dxa"/>
            <w:tcBorders>
              <w:top w:val="single" w:color="auto" w:sz="4" w:space="0"/>
              <w:left w:val="nil"/>
              <w:bottom w:val="single" w:color="auto" w:sz="4" w:space="0"/>
              <w:right w:val="single" w:color="auto" w:sz="4" w:space="0"/>
            </w:tcBorders>
            <w:vAlign w:val="center"/>
          </w:tcPr>
          <w:p w14:paraId="5C1EC0DA">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54F6A57A">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14:paraId="43EED072">
        <w:tblPrEx>
          <w:tblCellMar>
            <w:top w:w="0" w:type="dxa"/>
            <w:left w:w="108" w:type="dxa"/>
            <w:bottom w:w="0" w:type="dxa"/>
            <w:right w:w="108" w:type="dxa"/>
          </w:tblCellMar>
        </w:tblPrEx>
        <w:trPr>
          <w:trHeight w:val="1935"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2E48808">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3" w:type="dxa"/>
            <w:tcBorders>
              <w:top w:val="single" w:color="auto" w:sz="4" w:space="0"/>
              <w:left w:val="nil"/>
              <w:bottom w:val="single" w:color="auto" w:sz="4" w:space="0"/>
              <w:right w:val="single" w:color="auto" w:sz="4" w:space="0"/>
            </w:tcBorders>
            <w:vAlign w:val="center"/>
          </w:tcPr>
          <w:p w14:paraId="24C441C3">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6E3359DF">
            <w:pPr>
              <w:widowControl/>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采购人：渑池县林业局</w:t>
            </w:r>
          </w:p>
          <w:p w14:paraId="3C7BC0B8">
            <w:pPr>
              <w:widowControl/>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地址：渑池县会盟路东段</w:t>
            </w:r>
          </w:p>
          <w:p w14:paraId="40FD29D4">
            <w:pPr>
              <w:widowControl/>
              <w:spacing w:line="500" w:lineRule="exact"/>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王女士</w:t>
            </w:r>
          </w:p>
          <w:p w14:paraId="65165897">
            <w:pPr>
              <w:widowControl/>
              <w:spacing w:line="500" w:lineRule="exact"/>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lang w:eastAsia="zh-CN"/>
              </w:rPr>
              <w:t>13525242999</w:t>
            </w:r>
          </w:p>
        </w:tc>
      </w:tr>
      <w:tr w14:paraId="7169E5A1">
        <w:tblPrEx>
          <w:tblCellMar>
            <w:top w:w="0" w:type="dxa"/>
            <w:left w:w="108" w:type="dxa"/>
            <w:bottom w:w="0" w:type="dxa"/>
            <w:right w:w="108" w:type="dxa"/>
          </w:tblCellMar>
        </w:tblPrEx>
        <w:trPr>
          <w:trHeight w:val="1996"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5296D13">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3" w:type="dxa"/>
            <w:tcBorders>
              <w:top w:val="single" w:color="auto" w:sz="4" w:space="0"/>
              <w:left w:val="nil"/>
              <w:bottom w:val="single" w:color="auto" w:sz="4" w:space="0"/>
              <w:right w:val="single" w:color="auto" w:sz="4" w:space="0"/>
            </w:tcBorders>
            <w:vAlign w:val="center"/>
          </w:tcPr>
          <w:p w14:paraId="5AB46E9E">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7FB54551">
            <w:pPr>
              <w:widowControl/>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代理机构：河南德厚工程管理有限公司</w:t>
            </w:r>
          </w:p>
          <w:p w14:paraId="244F7D9C">
            <w:pPr>
              <w:widowControl/>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地址：河南省三门峡市渑池县康宁家园</w:t>
            </w:r>
          </w:p>
          <w:p w14:paraId="6D6EA808">
            <w:pPr>
              <w:widowControl/>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联系人：张梦晓</w:t>
            </w:r>
          </w:p>
          <w:p w14:paraId="6E9835A8">
            <w:pPr>
              <w:widowControl/>
              <w:spacing w:line="500" w:lineRule="exact"/>
              <w:rPr>
                <w:rFonts w:ascii="宋体" w:hAnsi="宋体" w:cs="宋体"/>
                <w:color w:val="auto"/>
                <w:sz w:val="24"/>
                <w:highlight w:val="none"/>
              </w:rPr>
            </w:pPr>
            <w:r>
              <w:rPr>
                <w:rFonts w:hint="eastAsia" w:ascii="宋体" w:hAnsi="宋体" w:cs="宋体"/>
                <w:color w:val="auto"/>
                <w:sz w:val="24"/>
                <w:szCs w:val="24"/>
                <w:highlight w:val="none"/>
              </w:rPr>
              <w:t>联系电话：13639837665</w:t>
            </w:r>
          </w:p>
        </w:tc>
      </w:tr>
      <w:tr w14:paraId="2013D243">
        <w:tblPrEx>
          <w:tblCellMar>
            <w:top w:w="0" w:type="dxa"/>
            <w:left w:w="108" w:type="dxa"/>
            <w:bottom w:w="0" w:type="dxa"/>
            <w:right w:w="108" w:type="dxa"/>
          </w:tblCellMar>
        </w:tblPrEx>
        <w:trPr>
          <w:trHeight w:val="52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E80A545">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3" w:type="dxa"/>
            <w:tcBorders>
              <w:top w:val="single" w:color="auto" w:sz="4" w:space="0"/>
              <w:left w:val="nil"/>
              <w:bottom w:val="single" w:color="auto" w:sz="4" w:space="0"/>
              <w:right w:val="single" w:color="auto" w:sz="4" w:space="0"/>
            </w:tcBorders>
            <w:vAlign w:val="center"/>
          </w:tcPr>
          <w:p w14:paraId="1AE24D50">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34D41419">
            <w:pPr>
              <w:widowControl/>
              <w:rPr>
                <w:rFonts w:hint="eastAsia" w:ascii="宋体" w:hAnsi="宋体" w:cs="Calibri" w:eastAsiaTheme="minorEastAsia"/>
                <w:color w:val="auto"/>
                <w:sz w:val="24"/>
                <w:highlight w:val="none"/>
                <w:lang w:eastAsia="zh-CN"/>
              </w:rPr>
            </w:pPr>
            <w:r>
              <w:rPr>
                <w:rFonts w:hint="eastAsia" w:ascii="宋体" w:hAnsi="宋体" w:cs="宋体"/>
                <w:color w:val="auto"/>
                <w:sz w:val="24"/>
                <w:highlight w:val="none"/>
                <w:lang w:eastAsia="zh-CN"/>
              </w:rPr>
              <w:t>渑池县林业局2025年森林防火物资采购项目</w:t>
            </w:r>
          </w:p>
        </w:tc>
      </w:tr>
      <w:tr w14:paraId="1B75FCB0">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858256E">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3" w:type="dxa"/>
            <w:tcBorders>
              <w:top w:val="single" w:color="auto" w:sz="4" w:space="0"/>
              <w:left w:val="nil"/>
              <w:bottom w:val="single" w:color="auto" w:sz="4" w:space="0"/>
              <w:right w:val="single" w:color="auto" w:sz="4" w:space="0"/>
            </w:tcBorders>
            <w:vAlign w:val="center"/>
          </w:tcPr>
          <w:p w14:paraId="48B711A1">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39FA2B09">
            <w:pPr>
              <w:widowControl/>
              <w:rPr>
                <w:rFonts w:ascii="宋体" w:hAnsi="宋体" w:cs="Calibri"/>
                <w:color w:val="auto"/>
                <w:kern w:val="0"/>
                <w:sz w:val="24"/>
                <w:highlight w:val="none"/>
              </w:rPr>
            </w:pPr>
            <w:r>
              <w:rPr>
                <w:rFonts w:hint="eastAsia" w:ascii="宋体" w:hAnsi="宋体" w:cs="Calibri"/>
                <w:color w:val="auto"/>
                <w:kern w:val="0"/>
                <w:sz w:val="24"/>
                <w:highlight w:val="none"/>
                <w:shd w:val="clear" w:color="auto" w:fill="FFFFFF"/>
              </w:rPr>
              <w:t>财政资金</w:t>
            </w:r>
            <w:r>
              <w:rPr>
                <w:rFonts w:hint="eastAsia" w:asciiTheme="minorEastAsia" w:hAnsiTheme="minorEastAsia" w:cstheme="minorEastAsia"/>
                <w:color w:val="auto"/>
                <w:sz w:val="24"/>
                <w:szCs w:val="24"/>
                <w:highlight w:val="none"/>
              </w:rPr>
              <w:t>，已落实</w:t>
            </w:r>
          </w:p>
        </w:tc>
      </w:tr>
      <w:tr w14:paraId="668CFAB0">
        <w:tblPrEx>
          <w:tblCellMar>
            <w:top w:w="0" w:type="dxa"/>
            <w:left w:w="108" w:type="dxa"/>
            <w:bottom w:w="0" w:type="dxa"/>
            <w:right w:w="108" w:type="dxa"/>
          </w:tblCellMar>
        </w:tblPrEx>
        <w:trPr>
          <w:trHeight w:val="555"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6DBCD91">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3" w:type="dxa"/>
            <w:tcBorders>
              <w:top w:val="single" w:color="auto" w:sz="4" w:space="0"/>
              <w:left w:val="nil"/>
              <w:bottom w:val="single" w:color="auto" w:sz="4" w:space="0"/>
              <w:right w:val="single" w:color="auto" w:sz="4" w:space="0"/>
            </w:tcBorders>
            <w:vAlign w:val="center"/>
          </w:tcPr>
          <w:p w14:paraId="19F99715">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3192DDAD">
            <w:pPr>
              <w:widowControl/>
              <w:rPr>
                <w:rFonts w:hint="eastAsia" w:ascii="宋体" w:hAnsi="宋体" w:cs="Calibri" w:eastAsiaTheme="minorEastAsia"/>
                <w:color w:val="auto"/>
                <w:sz w:val="24"/>
                <w:highlight w:val="none"/>
                <w:shd w:val="clear" w:color="auto" w:fill="FFFFFF"/>
                <w:lang w:eastAsia="zh-CN"/>
              </w:rPr>
            </w:pPr>
            <w:r>
              <w:rPr>
                <w:rFonts w:hint="eastAsia" w:asciiTheme="minorEastAsia" w:hAnsiTheme="minorEastAsia" w:cstheme="minorEastAsia"/>
                <w:color w:val="auto"/>
                <w:sz w:val="24"/>
                <w:szCs w:val="24"/>
                <w:highlight w:val="none"/>
                <w:lang w:eastAsia="zh-CN"/>
              </w:rPr>
              <w:t>渑池竞磋采购-2026-59、MCGZ[2026]093-ZC087</w:t>
            </w:r>
          </w:p>
        </w:tc>
      </w:tr>
      <w:tr w14:paraId="3D1D4FC1">
        <w:tblPrEx>
          <w:tblCellMar>
            <w:top w:w="0" w:type="dxa"/>
            <w:left w:w="108" w:type="dxa"/>
            <w:bottom w:w="0" w:type="dxa"/>
            <w:right w:w="108" w:type="dxa"/>
          </w:tblCellMar>
        </w:tblPrEx>
        <w:trPr>
          <w:trHeight w:val="62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9797AD6">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3" w:type="dxa"/>
            <w:tcBorders>
              <w:top w:val="single" w:color="auto" w:sz="4" w:space="0"/>
              <w:left w:val="nil"/>
              <w:bottom w:val="single" w:color="auto" w:sz="4" w:space="0"/>
              <w:right w:val="single" w:color="auto" w:sz="4" w:space="0"/>
            </w:tcBorders>
            <w:vAlign w:val="center"/>
          </w:tcPr>
          <w:p w14:paraId="73F28187">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588F9251">
            <w:pPr>
              <w:widowControl/>
              <w:rPr>
                <w:rFonts w:ascii="宋体" w:hAnsi="宋体" w:cs="Calibri"/>
                <w:color w:val="auto"/>
                <w:kern w:val="0"/>
                <w:sz w:val="24"/>
                <w:highlight w:val="none"/>
              </w:rPr>
            </w:pPr>
            <w:r>
              <w:rPr>
                <w:rFonts w:hint="eastAsia" w:ascii="宋体" w:hAnsi="宋体" w:cs="宋体"/>
                <w:color w:val="auto"/>
                <w:sz w:val="24"/>
                <w:highlight w:val="none"/>
              </w:rPr>
              <w:t>符合国家及行业标准并满足采购人使用要求</w:t>
            </w:r>
          </w:p>
        </w:tc>
      </w:tr>
      <w:tr w14:paraId="3D460AB5">
        <w:tblPrEx>
          <w:tblCellMar>
            <w:top w:w="0" w:type="dxa"/>
            <w:left w:w="108" w:type="dxa"/>
            <w:bottom w:w="0" w:type="dxa"/>
            <w:right w:w="108" w:type="dxa"/>
          </w:tblCellMar>
        </w:tblPrEx>
        <w:trPr>
          <w:trHeight w:val="62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42AFEF5">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3" w:type="dxa"/>
            <w:tcBorders>
              <w:top w:val="single" w:color="auto" w:sz="4" w:space="0"/>
              <w:left w:val="nil"/>
              <w:bottom w:val="single" w:color="auto" w:sz="4" w:space="0"/>
              <w:right w:val="single" w:color="auto" w:sz="4" w:space="0"/>
            </w:tcBorders>
            <w:vAlign w:val="center"/>
          </w:tcPr>
          <w:p w14:paraId="026AD63D">
            <w:pPr>
              <w:widowControl/>
              <w:jc w:val="center"/>
              <w:rPr>
                <w:rFonts w:ascii="宋体" w:hAnsi="宋体" w:cs="Calibri"/>
                <w:color w:val="auto"/>
                <w:kern w:val="0"/>
                <w:sz w:val="24"/>
                <w:highlight w:val="none"/>
              </w:rPr>
            </w:pPr>
            <w:r>
              <w:rPr>
                <w:rFonts w:hint="eastAsia" w:asciiTheme="minorEastAsia" w:hAnsiTheme="minorEastAsia" w:cstheme="minorEastAsia"/>
                <w:color w:val="auto"/>
                <w:sz w:val="24"/>
                <w:szCs w:val="24"/>
                <w:highlight w:val="none"/>
              </w:rPr>
              <w:t>交货地点</w:t>
            </w:r>
          </w:p>
        </w:tc>
        <w:tc>
          <w:tcPr>
            <w:tcW w:w="6353" w:type="dxa"/>
            <w:tcBorders>
              <w:top w:val="single" w:color="auto" w:sz="4" w:space="0"/>
              <w:left w:val="nil"/>
              <w:bottom w:val="single" w:color="auto" w:sz="4" w:space="0"/>
              <w:right w:val="single" w:color="auto" w:sz="4" w:space="0"/>
            </w:tcBorders>
            <w:vAlign w:val="center"/>
          </w:tcPr>
          <w:p w14:paraId="3576CAED">
            <w:pPr>
              <w:widowControl/>
              <w:rPr>
                <w:rFonts w:ascii="宋体" w:hAnsi="宋体" w:cs="Calibri"/>
                <w:color w:val="auto"/>
                <w:sz w:val="24"/>
                <w:highlight w:val="none"/>
              </w:rPr>
            </w:pPr>
            <w:r>
              <w:rPr>
                <w:rFonts w:hint="eastAsia" w:asciiTheme="minorEastAsia" w:hAnsiTheme="minorEastAsia" w:cstheme="minorEastAsia"/>
                <w:color w:val="auto"/>
                <w:sz w:val="24"/>
                <w:szCs w:val="24"/>
                <w:highlight w:val="none"/>
              </w:rPr>
              <w:t>采购人指定地点</w:t>
            </w:r>
          </w:p>
        </w:tc>
      </w:tr>
      <w:tr w14:paraId="4927AEAA">
        <w:tblPrEx>
          <w:tblCellMar>
            <w:top w:w="0" w:type="dxa"/>
            <w:left w:w="108" w:type="dxa"/>
            <w:bottom w:w="0" w:type="dxa"/>
            <w:right w:w="108" w:type="dxa"/>
          </w:tblCellMar>
        </w:tblPrEx>
        <w:trPr>
          <w:trHeight w:val="49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2A786710">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3" w:type="dxa"/>
            <w:tcBorders>
              <w:top w:val="single" w:color="auto" w:sz="4" w:space="0"/>
              <w:left w:val="nil"/>
              <w:bottom w:val="single" w:color="auto" w:sz="4" w:space="0"/>
              <w:right w:val="single" w:color="auto" w:sz="4" w:space="0"/>
            </w:tcBorders>
            <w:vAlign w:val="center"/>
          </w:tcPr>
          <w:p w14:paraId="195FC83E">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交货期</w:t>
            </w:r>
          </w:p>
        </w:tc>
        <w:tc>
          <w:tcPr>
            <w:tcW w:w="6353" w:type="dxa"/>
            <w:tcBorders>
              <w:top w:val="single" w:color="auto" w:sz="4" w:space="0"/>
              <w:left w:val="nil"/>
              <w:bottom w:val="single" w:color="auto" w:sz="4" w:space="0"/>
              <w:right w:val="single" w:color="auto" w:sz="4" w:space="0"/>
            </w:tcBorders>
            <w:vAlign w:val="center"/>
          </w:tcPr>
          <w:p w14:paraId="0C114D71">
            <w:pPr>
              <w:widowControl/>
              <w:rPr>
                <w:rFonts w:ascii="宋体" w:hAnsi="宋体" w:cs="Calibri"/>
                <w:color w:val="auto"/>
                <w:sz w:val="24"/>
                <w:highlight w:val="none"/>
              </w:rPr>
            </w:pPr>
            <w:r>
              <w:rPr>
                <w:rFonts w:hint="eastAsia" w:ascii="宋体" w:hAnsi="宋体" w:cs="宋体"/>
                <w:color w:val="auto"/>
                <w:sz w:val="24"/>
                <w:highlight w:val="none"/>
              </w:rPr>
              <w:t>自合同签订之日起30日历天</w:t>
            </w:r>
          </w:p>
        </w:tc>
      </w:tr>
      <w:tr w14:paraId="140D8C87">
        <w:tblPrEx>
          <w:tblCellMar>
            <w:top w:w="0" w:type="dxa"/>
            <w:left w:w="108" w:type="dxa"/>
            <w:bottom w:w="0" w:type="dxa"/>
            <w:right w:w="108" w:type="dxa"/>
          </w:tblCellMar>
        </w:tblPrEx>
        <w:trPr>
          <w:trHeight w:val="49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58AAE85">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9</w:t>
            </w:r>
          </w:p>
        </w:tc>
        <w:tc>
          <w:tcPr>
            <w:tcW w:w="2073" w:type="dxa"/>
            <w:tcBorders>
              <w:top w:val="single" w:color="auto" w:sz="4" w:space="0"/>
              <w:left w:val="nil"/>
              <w:bottom w:val="single" w:color="auto" w:sz="4" w:space="0"/>
              <w:right w:val="single" w:color="auto" w:sz="4" w:space="0"/>
            </w:tcBorders>
            <w:vAlign w:val="center"/>
          </w:tcPr>
          <w:p w14:paraId="2A16F728">
            <w:pPr>
              <w:widowControl/>
              <w:jc w:val="center"/>
              <w:rPr>
                <w:rFonts w:ascii="宋体" w:hAnsi="宋体" w:cs="Calibri"/>
                <w:color w:val="auto"/>
                <w:kern w:val="0"/>
                <w:sz w:val="24"/>
                <w:highlight w:val="none"/>
              </w:rPr>
            </w:pPr>
            <w:r>
              <w:rPr>
                <w:rFonts w:hint="eastAsia" w:asciiTheme="minorEastAsia" w:hAnsiTheme="minorEastAsia" w:cstheme="minorEastAsia"/>
                <w:color w:val="auto"/>
                <w:sz w:val="24"/>
                <w:szCs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29141C6A">
            <w:pPr>
              <w:widowControl/>
              <w:rPr>
                <w:rFonts w:ascii="宋体" w:hAnsi="宋体" w:cs="宋体"/>
                <w:color w:val="auto"/>
                <w:sz w:val="24"/>
                <w:highlight w:val="none"/>
              </w:rPr>
            </w:pPr>
            <w:r>
              <w:rPr>
                <w:rFonts w:hint="eastAsia" w:asciiTheme="minorEastAsia" w:hAnsiTheme="minorEastAsia" w:cstheme="minorEastAsia"/>
                <w:color w:val="auto"/>
                <w:sz w:val="24"/>
                <w:szCs w:val="24"/>
                <w:highlight w:val="none"/>
              </w:rPr>
              <w:t>一年</w:t>
            </w:r>
          </w:p>
        </w:tc>
      </w:tr>
      <w:tr w14:paraId="12870859">
        <w:tblPrEx>
          <w:tblCellMar>
            <w:top w:w="0" w:type="dxa"/>
            <w:left w:w="108" w:type="dxa"/>
            <w:bottom w:w="0" w:type="dxa"/>
            <w:right w:w="108" w:type="dxa"/>
          </w:tblCellMar>
        </w:tblPrEx>
        <w:trPr>
          <w:trHeight w:val="52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A0AC594">
            <w:pPr>
              <w:widowControl/>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3" w:type="dxa"/>
            <w:tcBorders>
              <w:top w:val="single" w:color="auto" w:sz="4" w:space="0"/>
              <w:left w:val="nil"/>
              <w:bottom w:val="single" w:color="auto" w:sz="4" w:space="0"/>
              <w:right w:val="single" w:color="auto" w:sz="4" w:space="0"/>
            </w:tcBorders>
            <w:vAlign w:val="center"/>
          </w:tcPr>
          <w:p w14:paraId="3D7385D6">
            <w:pPr>
              <w:widowControl/>
              <w:jc w:val="center"/>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0951B943">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0E31634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2.落实政府采购政策满足的资格要求：本项目非专门面向中小微企业采购项目，执行优先采购节能环保、环境标志性产品，执行中小企业（监狱企业、残疾人福利性企业）发展等政府采购政策。</w:t>
            </w:r>
          </w:p>
          <w:p w14:paraId="2E910327">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19127843">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3.1供应商具有有效的营业执照；</w:t>
            </w:r>
          </w:p>
          <w:p w14:paraId="18AC61E9">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3.2提供供应商企业、法定代表人无行贿犯罪记录，在中国裁判文书网查询（提供网页查询截图）或供应商自行承诺；</w:t>
            </w:r>
          </w:p>
          <w:p w14:paraId="598A5BB2">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3.3供应商需提供无商业贿赂及无不正当竞争行为的承诺书</w:t>
            </w:r>
            <w:r>
              <w:rPr>
                <w:rFonts w:hint="eastAsia" w:ascii="宋体" w:hAnsi="宋体" w:cs="宋体"/>
                <w:color w:val="auto"/>
                <w:sz w:val="24"/>
                <w:highlight w:val="none"/>
              </w:rPr>
              <w:t>（格式自拟）</w:t>
            </w:r>
            <w:r>
              <w:rPr>
                <w:rFonts w:hint="eastAsia" w:asciiTheme="minorEastAsia" w:hAnsiTheme="minorEastAsia" w:cstheme="minorEastAsia"/>
                <w:color w:val="auto"/>
                <w:sz w:val="24"/>
                <w:szCs w:val="24"/>
                <w:highlight w:val="none"/>
              </w:rPr>
              <w:t>；</w:t>
            </w:r>
          </w:p>
          <w:p w14:paraId="37CD132A">
            <w:pPr>
              <w:spacing w:line="360" w:lineRule="auto"/>
              <w:ind w:firstLine="566" w:firstLineChars="236"/>
              <w:rPr>
                <w:rFonts w:asciiTheme="minorEastAsia" w:hAnsiTheme="minorEastAsia" w:cstheme="minorEastAsia"/>
                <w:color w:val="auto"/>
                <w:sz w:val="24"/>
                <w:szCs w:val="24"/>
                <w:highlight w:val="none"/>
              </w:rPr>
            </w:pPr>
            <w:r>
              <w:rPr>
                <w:rFonts w:hint="eastAsia" w:ascii="宋体" w:hAnsi="宋体" w:cs="宋体"/>
                <w:color w:val="auto"/>
                <w:sz w:val="24"/>
                <w:highlight w:val="none"/>
              </w:rPr>
              <w:t>3.4具有履行合同所必需的设备和专业技术能力（自行作出承诺，格式自拟）；</w:t>
            </w:r>
          </w:p>
          <w:p w14:paraId="5ED4629A">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p w14:paraId="4BA6EEBB">
            <w:pPr>
              <w:widowControl/>
              <w:spacing w:line="500" w:lineRule="exact"/>
              <w:ind w:firstLine="480" w:firstLineChars="200"/>
              <w:rPr>
                <w:rFonts w:ascii="宋体" w:hAnsi="宋体" w:cs="宋体"/>
                <w:color w:val="auto"/>
                <w:sz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6</w:t>
            </w:r>
            <w:r>
              <w:rPr>
                <w:rFonts w:hint="eastAsia" w:ascii="宋体" w:hAnsi="宋体" w:cs="宋体"/>
                <w:color w:val="auto"/>
                <w:sz w:val="24"/>
                <w:szCs w:val="24"/>
                <w:highlight w:val="none"/>
              </w:rPr>
              <w:t>单位负责人为同一人或者存在直接控股、管理关系的不同投标人，不得参加同一合同项下的采购活动；（提供“国家企业信用信息公示系统”中查询打印的相关信息（查询信息需包含公司基本信息、股东信息及股权变更信息等相关信息，查询日期为本项目公告发布之后至开标截止时间止））</w:t>
            </w:r>
            <w:r>
              <w:rPr>
                <w:rFonts w:hint="eastAsia" w:ascii="宋体" w:hAnsi="宋体" w:cs="宋体"/>
                <w:color w:val="auto"/>
                <w:sz w:val="24"/>
                <w:highlight w:val="none"/>
              </w:rPr>
              <w:t>；</w:t>
            </w:r>
          </w:p>
          <w:p w14:paraId="69CF5A14">
            <w:pPr>
              <w:widowControl/>
              <w:spacing w:line="500" w:lineRule="exact"/>
              <w:ind w:firstLine="480" w:firstLineChars="200"/>
              <w:outlineLvl w:val="2"/>
              <w:rPr>
                <w:rFonts w:ascii="宋体" w:hAnsi="宋体" w:cs="宋体"/>
                <w:color w:val="auto"/>
                <w:sz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7</w:t>
            </w:r>
            <w:r>
              <w:rPr>
                <w:rFonts w:hint="eastAsia" w:ascii="宋体" w:hAnsi="宋体" w:cs="宋体"/>
                <w:color w:val="auto"/>
                <w:sz w:val="24"/>
                <w:highlight w:val="none"/>
              </w:rPr>
              <w:t>本项目不接受联合体投标，</w:t>
            </w:r>
            <w:r>
              <w:rPr>
                <w:rFonts w:hint="eastAsia" w:asciiTheme="minorEastAsia" w:hAnsiTheme="minorEastAsia" w:cstheme="minorEastAsia"/>
                <w:color w:val="auto"/>
                <w:sz w:val="24"/>
                <w:szCs w:val="24"/>
                <w:highlight w:val="none"/>
              </w:rPr>
              <w:t>提供非联合体投标承诺，格式自拟</w:t>
            </w:r>
            <w:r>
              <w:rPr>
                <w:rFonts w:hint="eastAsia" w:ascii="宋体" w:hAnsi="宋体" w:cs="宋体"/>
                <w:color w:val="auto"/>
                <w:sz w:val="24"/>
                <w:highlight w:val="none"/>
              </w:rPr>
              <w:t>。</w:t>
            </w:r>
          </w:p>
          <w:p w14:paraId="53D38BAC">
            <w:pPr>
              <w:widowControl/>
              <w:spacing w:line="480" w:lineRule="exact"/>
              <w:ind w:firstLine="482" w:firstLineChars="200"/>
              <w:jc w:val="left"/>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注：本次磋商实行资格后审，资格评审以投标文件为准，其上传资料真实性由供应商自行承担，供应商请自行完善主体库信息。</w:t>
            </w:r>
          </w:p>
        </w:tc>
      </w:tr>
      <w:tr w14:paraId="47F4BF9B">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3382D7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3" w:type="dxa"/>
            <w:tcBorders>
              <w:top w:val="single" w:color="auto" w:sz="4" w:space="0"/>
              <w:left w:val="nil"/>
              <w:bottom w:val="single" w:color="auto" w:sz="4" w:space="0"/>
              <w:right w:val="single" w:color="auto" w:sz="4" w:space="0"/>
            </w:tcBorders>
            <w:vAlign w:val="center"/>
          </w:tcPr>
          <w:p w14:paraId="162B7F20">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57EB3BC2">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14:paraId="4ED8ECB7">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5883640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12</w:t>
            </w:r>
          </w:p>
        </w:tc>
        <w:tc>
          <w:tcPr>
            <w:tcW w:w="2073" w:type="dxa"/>
            <w:tcBorders>
              <w:top w:val="single" w:color="auto" w:sz="4" w:space="0"/>
              <w:left w:val="nil"/>
              <w:bottom w:val="single" w:color="auto" w:sz="4" w:space="0"/>
              <w:right w:val="single" w:color="auto" w:sz="4" w:space="0"/>
            </w:tcBorders>
            <w:vAlign w:val="center"/>
          </w:tcPr>
          <w:p w14:paraId="0386D6DB">
            <w:pPr>
              <w:spacing w:line="360" w:lineRule="auto"/>
              <w:jc w:val="center"/>
              <w:rPr>
                <w:rFonts w:ascii="宋体" w:hAnsi="宋体" w:cs="Calibri"/>
                <w:color w:val="auto"/>
                <w:kern w:val="0"/>
                <w:sz w:val="24"/>
                <w:highlight w:val="none"/>
              </w:rPr>
            </w:pPr>
            <w:r>
              <w:rPr>
                <w:rFonts w:hint="eastAsia" w:ascii="宋体" w:hAnsi="宋体" w:cs="宋体"/>
                <w:color w:val="auto"/>
                <w:kern w:val="10"/>
                <w:sz w:val="24"/>
                <w:highlight w:val="none"/>
              </w:rPr>
              <w:t>是否接受联合体投标</w:t>
            </w:r>
          </w:p>
        </w:tc>
        <w:tc>
          <w:tcPr>
            <w:tcW w:w="6353" w:type="dxa"/>
            <w:tcBorders>
              <w:top w:val="single" w:color="auto" w:sz="4" w:space="0"/>
              <w:left w:val="nil"/>
              <w:bottom w:val="single" w:color="auto" w:sz="4" w:space="0"/>
              <w:right w:val="single" w:color="auto" w:sz="4" w:space="0"/>
            </w:tcBorders>
            <w:vAlign w:val="center"/>
          </w:tcPr>
          <w:p w14:paraId="7B5C731F">
            <w:pPr>
              <w:spacing w:line="360" w:lineRule="auto"/>
              <w:rPr>
                <w:rFonts w:ascii="宋体" w:hAnsi="宋体"/>
                <w:color w:val="auto"/>
                <w:sz w:val="24"/>
                <w:highlight w:val="none"/>
              </w:rPr>
            </w:pPr>
            <w:r>
              <w:rPr>
                <w:rFonts w:hint="eastAsia" w:ascii="宋体" w:hAnsi="宋体" w:cs="宋体"/>
                <w:color w:val="auto"/>
                <w:kern w:val="10"/>
                <w:sz w:val="24"/>
                <w:highlight w:val="none"/>
              </w:rPr>
              <w:t>不接受</w:t>
            </w:r>
          </w:p>
        </w:tc>
      </w:tr>
      <w:tr w14:paraId="70C000B4">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73CD334">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13</w:t>
            </w:r>
          </w:p>
        </w:tc>
        <w:tc>
          <w:tcPr>
            <w:tcW w:w="2073" w:type="dxa"/>
            <w:tcBorders>
              <w:top w:val="single" w:color="auto" w:sz="4" w:space="0"/>
              <w:left w:val="nil"/>
              <w:bottom w:val="single" w:color="auto" w:sz="4" w:space="0"/>
              <w:right w:val="single" w:color="auto" w:sz="4" w:space="0"/>
            </w:tcBorders>
            <w:vAlign w:val="center"/>
          </w:tcPr>
          <w:p w14:paraId="350EC93C">
            <w:pPr>
              <w:spacing w:line="360" w:lineRule="auto"/>
              <w:jc w:val="center"/>
              <w:rPr>
                <w:rFonts w:ascii="宋体" w:hAnsi="宋体" w:cs="Calibri"/>
                <w:color w:val="auto"/>
                <w:kern w:val="0"/>
                <w:sz w:val="24"/>
                <w:highlight w:val="none"/>
              </w:rPr>
            </w:pPr>
            <w:r>
              <w:rPr>
                <w:rFonts w:hint="eastAsia" w:ascii="宋体" w:hAnsi="宋体" w:cs="宋体"/>
                <w:color w:val="auto"/>
                <w:kern w:val="10"/>
                <w:sz w:val="24"/>
                <w:highlight w:val="none"/>
              </w:rPr>
              <w:t>投标预备会</w:t>
            </w:r>
          </w:p>
        </w:tc>
        <w:tc>
          <w:tcPr>
            <w:tcW w:w="6353" w:type="dxa"/>
            <w:tcBorders>
              <w:top w:val="single" w:color="auto" w:sz="4" w:space="0"/>
              <w:left w:val="nil"/>
              <w:bottom w:val="single" w:color="auto" w:sz="4" w:space="0"/>
              <w:right w:val="single" w:color="auto" w:sz="4" w:space="0"/>
            </w:tcBorders>
            <w:vAlign w:val="center"/>
          </w:tcPr>
          <w:p w14:paraId="427E90F7">
            <w:pPr>
              <w:spacing w:line="360" w:lineRule="auto"/>
              <w:rPr>
                <w:rFonts w:ascii="宋体" w:hAnsi="宋体"/>
                <w:color w:val="auto"/>
                <w:sz w:val="24"/>
                <w:highlight w:val="none"/>
              </w:rPr>
            </w:pPr>
            <w:r>
              <w:rPr>
                <w:rFonts w:hint="eastAsia" w:ascii="宋体" w:hAnsi="宋体" w:cs="宋体"/>
                <w:color w:val="auto"/>
                <w:kern w:val="10"/>
                <w:sz w:val="24"/>
                <w:highlight w:val="none"/>
              </w:rPr>
              <w:t>不召开</w:t>
            </w:r>
          </w:p>
        </w:tc>
      </w:tr>
      <w:tr w14:paraId="434F975A">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5BD2781">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14</w:t>
            </w:r>
          </w:p>
        </w:tc>
        <w:tc>
          <w:tcPr>
            <w:tcW w:w="2073" w:type="dxa"/>
            <w:tcBorders>
              <w:top w:val="single" w:color="auto" w:sz="4" w:space="0"/>
              <w:left w:val="nil"/>
              <w:bottom w:val="single" w:color="auto" w:sz="4" w:space="0"/>
              <w:right w:val="single" w:color="auto" w:sz="4" w:space="0"/>
            </w:tcBorders>
            <w:vAlign w:val="center"/>
          </w:tcPr>
          <w:p w14:paraId="66391994">
            <w:pPr>
              <w:spacing w:line="360" w:lineRule="auto"/>
              <w:jc w:val="center"/>
              <w:rPr>
                <w:rFonts w:ascii="宋体" w:hAnsi="宋体" w:cs="Calibri"/>
                <w:color w:val="auto"/>
                <w:kern w:val="0"/>
                <w:sz w:val="24"/>
                <w:highlight w:val="none"/>
              </w:rPr>
            </w:pPr>
            <w:r>
              <w:rPr>
                <w:rFonts w:hint="eastAsia" w:ascii="宋体" w:hAnsi="宋体" w:cs="宋体"/>
                <w:color w:val="auto"/>
                <w:kern w:val="10"/>
                <w:sz w:val="24"/>
                <w:highlight w:val="none"/>
              </w:rPr>
              <w:t>投标人提出问题的截止时间</w:t>
            </w:r>
          </w:p>
        </w:tc>
        <w:tc>
          <w:tcPr>
            <w:tcW w:w="6353" w:type="dxa"/>
            <w:tcBorders>
              <w:top w:val="single" w:color="auto" w:sz="4" w:space="0"/>
              <w:left w:val="nil"/>
              <w:bottom w:val="single" w:color="auto" w:sz="4" w:space="0"/>
              <w:right w:val="single" w:color="auto" w:sz="4" w:space="0"/>
            </w:tcBorders>
            <w:vAlign w:val="center"/>
          </w:tcPr>
          <w:p w14:paraId="10243F1C">
            <w:pPr>
              <w:spacing w:line="360" w:lineRule="auto"/>
              <w:rPr>
                <w:rFonts w:ascii="宋体" w:hAnsi="宋体"/>
                <w:color w:val="auto"/>
                <w:sz w:val="24"/>
                <w:highlight w:val="none"/>
              </w:rPr>
            </w:pPr>
            <w:r>
              <w:rPr>
                <w:rFonts w:hint="eastAsia" w:ascii="宋体" w:hAnsi="宋体" w:cs="宋体"/>
                <w:color w:val="auto"/>
                <w:kern w:val="10"/>
                <w:sz w:val="24"/>
                <w:highlight w:val="none"/>
              </w:rPr>
              <w:t>各投标人应将质疑问题以书面形式在投标截止5天前向采购代理机构提交</w:t>
            </w:r>
            <w:r>
              <w:rPr>
                <w:rFonts w:hint="eastAsia" w:ascii="宋体" w:hAnsi="宋体"/>
                <w:color w:val="auto"/>
                <w:kern w:val="0"/>
                <w:sz w:val="24"/>
                <w:highlight w:val="none"/>
              </w:rPr>
              <w:t>。采购人只对书面问题做出答复，并将答复内容以公告的形式发布</w:t>
            </w:r>
          </w:p>
        </w:tc>
      </w:tr>
      <w:tr w14:paraId="37074D47">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E9020F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15</w:t>
            </w:r>
          </w:p>
        </w:tc>
        <w:tc>
          <w:tcPr>
            <w:tcW w:w="2073" w:type="dxa"/>
            <w:tcBorders>
              <w:top w:val="single" w:color="auto" w:sz="4" w:space="0"/>
              <w:left w:val="nil"/>
              <w:bottom w:val="single" w:color="auto" w:sz="4" w:space="0"/>
              <w:right w:val="single" w:color="auto" w:sz="4" w:space="0"/>
            </w:tcBorders>
            <w:vAlign w:val="center"/>
          </w:tcPr>
          <w:p w14:paraId="37A93E36">
            <w:pPr>
              <w:spacing w:line="360" w:lineRule="auto"/>
              <w:jc w:val="center"/>
              <w:rPr>
                <w:rFonts w:ascii="宋体" w:hAnsi="宋体" w:cs="Calibri"/>
                <w:color w:val="auto"/>
                <w:kern w:val="0"/>
                <w:sz w:val="24"/>
                <w:highlight w:val="none"/>
              </w:rPr>
            </w:pPr>
            <w:r>
              <w:rPr>
                <w:rFonts w:hint="eastAsia" w:ascii="宋体" w:hAnsi="宋体" w:cs="宋体"/>
                <w:color w:val="auto"/>
                <w:kern w:val="10"/>
                <w:sz w:val="24"/>
                <w:highlight w:val="none"/>
              </w:rPr>
              <w:t>招标人书面澄清的时间</w:t>
            </w:r>
          </w:p>
        </w:tc>
        <w:tc>
          <w:tcPr>
            <w:tcW w:w="6353" w:type="dxa"/>
            <w:tcBorders>
              <w:top w:val="single" w:color="auto" w:sz="4" w:space="0"/>
              <w:left w:val="nil"/>
              <w:bottom w:val="single" w:color="auto" w:sz="4" w:space="0"/>
              <w:right w:val="single" w:color="auto" w:sz="4" w:space="0"/>
            </w:tcBorders>
            <w:vAlign w:val="center"/>
          </w:tcPr>
          <w:p w14:paraId="4F9326EA">
            <w:pPr>
              <w:spacing w:line="360" w:lineRule="auto"/>
              <w:rPr>
                <w:rFonts w:ascii="宋体" w:hAnsi="宋体"/>
                <w:color w:val="auto"/>
                <w:sz w:val="24"/>
                <w:highlight w:val="none"/>
              </w:rPr>
            </w:pPr>
            <w:r>
              <w:rPr>
                <w:rFonts w:hint="eastAsia" w:ascii="宋体" w:hAnsi="宋体" w:cs="宋体"/>
                <w:color w:val="auto"/>
                <w:kern w:val="10"/>
                <w:sz w:val="24"/>
                <w:highlight w:val="none"/>
              </w:rPr>
              <w:t>投标截止日5天前以书面形式（澄清文件）予以答复</w:t>
            </w:r>
          </w:p>
        </w:tc>
      </w:tr>
      <w:tr w14:paraId="0B214805">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3D446DD">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3" w:type="dxa"/>
            <w:tcBorders>
              <w:top w:val="single" w:color="auto" w:sz="4" w:space="0"/>
              <w:left w:val="nil"/>
              <w:bottom w:val="single" w:color="auto" w:sz="4" w:space="0"/>
              <w:right w:val="single" w:color="auto" w:sz="4" w:space="0"/>
            </w:tcBorders>
            <w:vAlign w:val="center"/>
          </w:tcPr>
          <w:p w14:paraId="3731A965">
            <w:pPr>
              <w:spacing w:line="360" w:lineRule="auto"/>
              <w:jc w:val="center"/>
              <w:rPr>
                <w:rFonts w:ascii="宋体" w:hAnsi="宋体" w:cs="Calibri"/>
                <w:color w:val="auto"/>
                <w:kern w:val="0"/>
                <w:sz w:val="24"/>
                <w:highlight w:val="none"/>
              </w:rPr>
            </w:pPr>
            <w:r>
              <w:rPr>
                <w:rFonts w:hint="eastAsia" w:ascii="宋体" w:hAnsi="宋体" w:cs="宋体"/>
                <w:color w:val="auto"/>
                <w:kern w:val="10"/>
                <w:sz w:val="24"/>
                <w:highlight w:val="none"/>
              </w:rPr>
              <w:t>分包</w:t>
            </w:r>
          </w:p>
        </w:tc>
        <w:tc>
          <w:tcPr>
            <w:tcW w:w="6353" w:type="dxa"/>
            <w:tcBorders>
              <w:top w:val="single" w:color="auto" w:sz="4" w:space="0"/>
              <w:left w:val="nil"/>
              <w:bottom w:val="single" w:color="auto" w:sz="4" w:space="0"/>
              <w:right w:val="single" w:color="auto" w:sz="4" w:space="0"/>
            </w:tcBorders>
            <w:vAlign w:val="center"/>
          </w:tcPr>
          <w:p w14:paraId="2A9C04F0">
            <w:pPr>
              <w:spacing w:line="360" w:lineRule="auto"/>
              <w:rPr>
                <w:rFonts w:ascii="宋体" w:hAnsi="宋体"/>
                <w:color w:val="auto"/>
                <w:sz w:val="24"/>
                <w:highlight w:val="none"/>
              </w:rPr>
            </w:pPr>
            <w:r>
              <w:rPr>
                <w:rFonts w:hint="eastAsia" w:ascii="宋体" w:hAnsi="宋体" w:cs="宋体"/>
                <w:color w:val="auto"/>
                <w:kern w:val="10"/>
                <w:sz w:val="24"/>
                <w:highlight w:val="none"/>
              </w:rPr>
              <w:t>不允许（转包、分包均不允许）</w:t>
            </w:r>
          </w:p>
        </w:tc>
      </w:tr>
      <w:tr w14:paraId="3F4A3163">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6589F1A">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17</w:t>
            </w:r>
          </w:p>
        </w:tc>
        <w:tc>
          <w:tcPr>
            <w:tcW w:w="2073" w:type="dxa"/>
            <w:tcBorders>
              <w:top w:val="single" w:color="auto" w:sz="4" w:space="0"/>
              <w:left w:val="nil"/>
              <w:bottom w:val="single" w:color="auto" w:sz="4" w:space="0"/>
              <w:right w:val="single" w:color="auto" w:sz="4" w:space="0"/>
            </w:tcBorders>
            <w:vAlign w:val="center"/>
          </w:tcPr>
          <w:p w14:paraId="37D30C58">
            <w:pPr>
              <w:spacing w:line="360" w:lineRule="auto"/>
              <w:jc w:val="center"/>
              <w:rPr>
                <w:rFonts w:ascii="宋体" w:hAnsi="宋体" w:cs="Calibri"/>
                <w:color w:val="auto"/>
                <w:kern w:val="0"/>
                <w:sz w:val="24"/>
                <w:highlight w:val="none"/>
              </w:rPr>
            </w:pPr>
            <w:r>
              <w:rPr>
                <w:rFonts w:hint="eastAsia" w:ascii="宋体" w:hAnsi="宋体" w:cs="宋体"/>
                <w:color w:val="auto"/>
                <w:kern w:val="10"/>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3DEE6332">
            <w:pPr>
              <w:spacing w:line="360" w:lineRule="auto"/>
              <w:rPr>
                <w:rFonts w:ascii="宋体" w:hAnsi="宋体"/>
                <w:color w:val="auto"/>
                <w:sz w:val="24"/>
                <w:highlight w:val="none"/>
              </w:rPr>
            </w:pPr>
            <w:r>
              <w:rPr>
                <w:rFonts w:hint="eastAsia" w:ascii="宋体" w:hAnsi="宋体" w:cs="宋体"/>
                <w:color w:val="auto"/>
                <w:kern w:val="10"/>
                <w:sz w:val="24"/>
                <w:highlight w:val="none"/>
              </w:rPr>
              <w:t>允许</w:t>
            </w:r>
            <w:r>
              <w:rPr>
                <w:rFonts w:hint="eastAsia" w:ascii="宋体" w:hAnsi="宋体" w:cs="Calibri"/>
                <w:color w:val="auto"/>
                <w:sz w:val="24"/>
                <w:highlight w:val="none"/>
              </w:rPr>
              <w:t>正偏离</w:t>
            </w:r>
          </w:p>
        </w:tc>
      </w:tr>
      <w:tr w14:paraId="3A9B5741">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48690D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18</w:t>
            </w:r>
          </w:p>
        </w:tc>
        <w:tc>
          <w:tcPr>
            <w:tcW w:w="2073" w:type="dxa"/>
            <w:tcBorders>
              <w:top w:val="single" w:color="auto" w:sz="4" w:space="0"/>
              <w:left w:val="nil"/>
              <w:bottom w:val="single" w:color="auto" w:sz="4" w:space="0"/>
              <w:right w:val="single" w:color="auto" w:sz="4" w:space="0"/>
            </w:tcBorders>
            <w:vAlign w:val="center"/>
          </w:tcPr>
          <w:p w14:paraId="0BD2BDC7">
            <w:pPr>
              <w:spacing w:line="360" w:lineRule="auto"/>
              <w:jc w:val="center"/>
              <w:rPr>
                <w:rFonts w:ascii="宋体" w:hAnsi="宋体" w:cs="Calibri"/>
                <w:color w:val="auto"/>
                <w:kern w:val="0"/>
                <w:sz w:val="24"/>
                <w:highlight w:val="none"/>
              </w:rPr>
            </w:pPr>
            <w:r>
              <w:rPr>
                <w:rFonts w:hint="eastAsia" w:ascii="宋体" w:hAnsi="宋体" w:cs="宋体"/>
                <w:color w:val="auto"/>
                <w:kern w:val="10"/>
                <w:sz w:val="24"/>
                <w:highlight w:val="none"/>
              </w:rPr>
              <w:t>构成竞争性磋商文件的其他材料</w:t>
            </w:r>
          </w:p>
        </w:tc>
        <w:tc>
          <w:tcPr>
            <w:tcW w:w="6353" w:type="dxa"/>
            <w:tcBorders>
              <w:top w:val="single" w:color="auto" w:sz="4" w:space="0"/>
              <w:left w:val="nil"/>
              <w:bottom w:val="single" w:color="auto" w:sz="4" w:space="0"/>
              <w:right w:val="single" w:color="auto" w:sz="4" w:space="0"/>
            </w:tcBorders>
            <w:vAlign w:val="center"/>
          </w:tcPr>
          <w:p w14:paraId="48ADD6EC">
            <w:pPr>
              <w:spacing w:line="360" w:lineRule="auto"/>
              <w:rPr>
                <w:rFonts w:ascii="宋体" w:hAnsi="宋体"/>
                <w:color w:val="auto"/>
                <w:sz w:val="24"/>
                <w:highlight w:val="none"/>
              </w:rPr>
            </w:pPr>
            <w:r>
              <w:rPr>
                <w:rFonts w:hint="eastAsia" w:ascii="宋体" w:hAnsi="宋体" w:cs="宋体"/>
                <w:color w:val="auto"/>
                <w:kern w:val="10"/>
                <w:sz w:val="24"/>
                <w:highlight w:val="none"/>
              </w:rPr>
              <w:t>采购人在招标期间发出的竞争性磋商文件修改、招标答疑纪要、澄清</w:t>
            </w:r>
          </w:p>
        </w:tc>
      </w:tr>
      <w:tr w14:paraId="31A9BDAE">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03A93E3">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3" w:type="dxa"/>
            <w:tcBorders>
              <w:top w:val="single" w:color="auto" w:sz="4" w:space="0"/>
              <w:left w:val="nil"/>
              <w:bottom w:val="single" w:color="auto" w:sz="4" w:space="0"/>
              <w:right w:val="single" w:color="auto" w:sz="4" w:space="0"/>
            </w:tcBorders>
            <w:vAlign w:val="center"/>
          </w:tcPr>
          <w:p w14:paraId="5AFACDAC">
            <w:pPr>
              <w:spacing w:line="360" w:lineRule="auto"/>
              <w:jc w:val="center"/>
              <w:rPr>
                <w:rFonts w:ascii="宋体" w:hAnsi="宋体" w:cs="Calibri"/>
                <w:color w:val="auto"/>
                <w:kern w:val="0"/>
                <w:sz w:val="24"/>
                <w:highlight w:val="none"/>
              </w:rPr>
            </w:pPr>
            <w:r>
              <w:rPr>
                <w:rFonts w:hint="eastAsia" w:ascii="宋体" w:hAnsi="宋体" w:cs="宋体"/>
                <w:color w:val="auto"/>
                <w:kern w:val="10"/>
                <w:sz w:val="24"/>
                <w:highlight w:val="none"/>
              </w:rPr>
              <w:t>投标人要求澄清磋商文件的截止时间</w:t>
            </w:r>
          </w:p>
        </w:tc>
        <w:tc>
          <w:tcPr>
            <w:tcW w:w="6353" w:type="dxa"/>
            <w:tcBorders>
              <w:top w:val="single" w:color="auto" w:sz="4" w:space="0"/>
              <w:left w:val="nil"/>
              <w:bottom w:val="single" w:color="auto" w:sz="4" w:space="0"/>
              <w:right w:val="single" w:color="auto" w:sz="4" w:space="0"/>
            </w:tcBorders>
            <w:vAlign w:val="center"/>
          </w:tcPr>
          <w:p w14:paraId="0BA3A5A3">
            <w:pPr>
              <w:spacing w:line="360" w:lineRule="auto"/>
              <w:rPr>
                <w:rFonts w:ascii="宋体" w:hAnsi="宋体"/>
                <w:color w:val="auto"/>
                <w:sz w:val="24"/>
                <w:highlight w:val="none"/>
              </w:rPr>
            </w:pPr>
            <w:r>
              <w:rPr>
                <w:rFonts w:hint="eastAsia" w:ascii="宋体" w:hAnsi="宋体" w:cs="宋体"/>
                <w:color w:val="auto"/>
                <w:kern w:val="10"/>
                <w:sz w:val="24"/>
                <w:highlight w:val="none"/>
              </w:rPr>
              <w:t>递交响应性文件截止之日5天前</w:t>
            </w:r>
          </w:p>
        </w:tc>
      </w:tr>
      <w:tr w14:paraId="777A6C60">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06CC81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3" w:type="dxa"/>
            <w:tcBorders>
              <w:top w:val="single" w:color="auto" w:sz="4" w:space="0"/>
              <w:left w:val="nil"/>
              <w:bottom w:val="single" w:color="auto" w:sz="4" w:space="0"/>
              <w:right w:val="single" w:color="auto" w:sz="4" w:space="0"/>
            </w:tcBorders>
            <w:vAlign w:val="center"/>
          </w:tcPr>
          <w:p w14:paraId="716AB8EF">
            <w:pPr>
              <w:spacing w:line="360" w:lineRule="auto"/>
              <w:jc w:val="center"/>
              <w:rPr>
                <w:rFonts w:ascii="宋体" w:hAnsi="宋体" w:cs="宋体"/>
                <w:color w:val="auto"/>
                <w:kern w:val="10"/>
                <w:sz w:val="24"/>
                <w:highlight w:val="none"/>
              </w:rPr>
            </w:pPr>
            <w:r>
              <w:rPr>
                <w:rFonts w:hint="eastAsia" w:ascii="宋体" w:hAnsi="宋体" w:cs="宋体"/>
                <w:color w:val="auto"/>
                <w:kern w:val="10"/>
                <w:sz w:val="24"/>
                <w:highlight w:val="none"/>
              </w:rPr>
              <w:t>投标人确认收到竞争性磋商文件澄清的时间</w:t>
            </w:r>
          </w:p>
        </w:tc>
        <w:tc>
          <w:tcPr>
            <w:tcW w:w="6353" w:type="dxa"/>
            <w:tcBorders>
              <w:top w:val="single" w:color="auto" w:sz="4" w:space="0"/>
              <w:left w:val="nil"/>
              <w:bottom w:val="single" w:color="auto" w:sz="4" w:space="0"/>
              <w:right w:val="single" w:color="auto" w:sz="4" w:space="0"/>
            </w:tcBorders>
            <w:vAlign w:val="center"/>
          </w:tcPr>
          <w:p w14:paraId="0134813D">
            <w:pPr>
              <w:spacing w:line="360" w:lineRule="auto"/>
              <w:rPr>
                <w:rFonts w:ascii="宋体" w:hAnsi="宋体" w:cs="宋体"/>
                <w:color w:val="auto"/>
                <w:kern w:val="10"/>
                <w:sz w:val="24"/>
                <w:highlight w:val="none"/>
              </w:rPr>
            </w:pPr>
            <w:r>
              <w:rPr>
                <w:rFonts w:hint="eastAsia" w:ascii="宋体" w:hAnsi="宋体"/>
                <w:color w:val="auto"/>
                <w:sz w:val="24"/>
                <w:highlight w:val="none"/>
              </w:rPr>
              <w:t>收到竞争性磋商文件澄清24小时内</w:t>
            </w:r>
          </w:p>
        </w:tc>
      </w:tr>
      <w:tr w14:paraId="208ABB6B">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CCBF1F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21</w:t>
            </w:r>
          </w:p>
        </w:tc>
        <w:tc>
          <w:tcPr>
            <w:tcW w:w="2073" w:type="dxa"/>
            <w:tcBorders>
              <w:top w:val="single" w:color="auto" w:sz="4" w:space="0"/>
              <w:left w:val="nil"/>
              <w:bottom w:val="single" w:color="auto" w:sz="4" w:space="0"/>
              <w:right w:val="single" w:color="auto" w:sz="4" w:space="0"/>
            </w:tcBorders>
            <w:vAlign w:val="center"/>
          </w:tcPr>
          <w:p w14:paraId="21C8E10C">
            <w:pPr>
              <w:spacing w:line="360" w:lineRule="auto"/>
              <w:jc w:val="center"/>
              <w:rPr>
                <w:rFonts w:ascii="宋体" w:hAnsi="宋体" w:cs="宋体"/>
                <w:color w:val="auto"/>
                <w:kern w:val="10"/>
                <w:sz w:val="24"/>
                <w:highlight w:val="none"/>
              </w:rPr>
            </w:pPr>
            <w:r>
              <w:rPr>
                <w:rFonts w:hint="eastAsia" w:ascii="宋体" w:hAnsi="宋体" w:cs="宋体"/>
                <w:color w:val="auto"/>
                <w:kern w:val="10"/>
                <w:sz w:val="24"/>
                <w:highlight w:val="none"/>
              </w:rPr>
              <w:t>投标人确认收到竞争性磋商文件修改的时间</w:t>
            </w:r>
          </w:p>
        </w:tc>
        <w:tc>
          <w:tcPr>
            <w:tcW w:w="6353" w:type="dxa"/>
            <w:tcBorders>
              <w:top w:val="single" w:color="auto" w:sz="4" w:space="0"/>
              <w:left w:val="nil"/>
              <w:bottom w:val="single" w:color="auto" w:sz="4" w:space="0"/>
              <w:right w:val="single" w:color="auto" w:sz="4" w:space="0"/>
            </w:tcBorders>
            <w:vAlign w:val="center"/>
          </w:tcPr>
          <w:p w14:paraId="0895AA1B">
            <w:pPr>
              <w:spacing w:line="360" w:lineRule="auto"/>
              <w:rPr>
                <w:rFonts w:ascii="宋体" w:hAnsi="宋体" w:cs="宋体"/>
                <w:color w:val="auto"/>
                <w:kern w:val="10"/>
                <w:sz w:val="24"/>
                <w:highlight w:val="none"/>
              </w:rPr>
            </w:pPr>
            <w:r>
              <w:rPr>
                <w:rFonts w:hint="eastAsia" w:ascii="宋体" w:hAnsi="宋体"/>
                <w:color w:val="auto"/>
                <w:sz w:val="24"/>
                <w:highlight w:val="none"/>
              </w:rPr>
              <w:t>收到竞争性磋商文件澄清24小时内</w:t>
            </w:r>
          </w:p>
        </w:tc>
      </w:tr>
      <w:tr w14:paraId="7E158243">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131C8BD3">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22</w:t>
            </w:r>
          </w:p>
        </w:tc>
        <w:tc>
          <w:tcPr>
            <w:tcW w:w="2073" w:type="dxa"/>
            <w:tcBorders>
              <w:top w:val="single" w:color="auto" w:sz="4" w:space="0"/>
              <w:left w:val="nil"/>
              <w:bottom w:val="single" w:color="auto" w:sz="4" w:space="0"/>
              <w:right w:val="single" w:color="auto" w:sz="4" w:space="0"/>
            </w:tcBorders>
            <w:vAlign w:val="center"/>
          </w:tcPr>
          <w:p w14:paraId="755516C6">
            <w:pPr>
              <w:spacing w:line="360" w:lineRule="auto"/>
              <w:jc w:val="center"/>
              <w:rPr>
                <w:rFonts w:ascii="宋体" w:hAnsi="宋体" w:cs="宋体"/>
                <w:color w:val="auto"/>
                <w:kern w:val="10"/>
                <w:sz w:val="24"/>
                <w:highlight w:val="none"/>
              </w:rPr>
            </w:pPr>
            <w:r>
              <w:rPr>
                <w:rFonts w:hint="eastAsia" w:ascii="宋体" w:hAnsi="宋体" w:cs="宋体"/>
                <w:color w:val="auto"/>
                <w:kern w:val="10"/>
                <w:sz w:val="24"/>
                <w:highlight w:val="none"/>
              </w:rPr>
              <w:t>构成投标文件的</w:t>
            </w:r>
          </w:p>
          <w:p w14:paraId="76647420">
            <w:pPr>
              <w:spacing w:line="360" w:lineRule="auto"/>
              <w:jc w:val="center"/>
              <w:rPr>
                <w:rFonts w:ascii="宋体" w:hAnsi="宋体" w:cs="宋体"/>
                <w:color w:val="auto"/>
                <w:kern w:val="10"/>
                <w:sz w:val="24"/>
                <w:highlight w:val="none"/>
              </w:rPr>
            </w:pPr>
            <w:r>
              <w:rPr>
                <w:rFonts w:hint="eastAsia" w:ascii="宋体" w:hAnsi="宋体" w:cs="宋体"/>
                <w:color w:val="auto"/>
                <w:kern w:val="10"/>
                <w:sz w:val="24"/>
                <w:highlight w:val="none"/>
              </w:rPr>
              <w:t>其他材料</w:t>
            </w:r>
          </w:p>
        </w:tc>
        <w:tc>
          <w:tcPr>
            <w:tcW w:w="6353" w:type="dxa"/>
            <w:tcBorders>
              <w:top w:val="single" w:color="auto" w:sz="4" w:space="0"/>
              <w:left w:val="nil"/>
              <w:bottom w:val="single" w:color="auto" w:sz="4" w:space="0"/>
              <w:right w:val="single" w:color="auto" w:sz="4" w:space="0"/>
            </w:tcBorders>
            <w:vAlign w:val="center"/>
          </w:tcPr>
          <w:p w14:paraId="46D21A9B">
            <w:pPr>
              <w:spacing w:line="360" w:lineRule="auto"/>
              <w:rPr>
                <w:rFonts w:ascii="宋体" w:hAnsi="宋体" w:cs="宋体"/>
                <w:color w:val="auto"/>
                <w:kern w:val="10"/>
                <w:sz w:val="24"/>
                <w:highlight w:val="none"/>
              </w:rPr>
            </w:pPr>
            <w:r>
              <w:rPr>
                <w:rFonts w:hint="eastAsia" w:ascii="宋体" w:hAnsi="宋体" w:cs="宋体"/>
                <w:color w:val="auto"/>
                <w:kern w:val="10"/>
                <w:sz w:val="24"/>
                <w:highlight w:val="none"/>
              </w:rPr>
              <w:t>按竞争性磋商文件的要求</w:t>
            </w:r>
          </w:p>
        </w:tc>
      </w:tr>
      <w:tr w14:paraId="62D841D2">
        <w:tblPrEx>
          <w:tblCellMar>
            <w:top w:w="0" w:type="dxa"/>
            <w:left w:w="108" w:type="dxa"/>
            <w:bottom w:w="0" w:type="dxa"/>
            <w:right w:w="108" w:type="dxa"/>
          </w:tblCellMar>
        </w:tblPrEx>
        <w:trPr>
          <w:trHeight w:val="5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F91C688">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23</w:t>
            </w:r>
          </w:p>
        </w:tc>
        <w:tc>
          <w:tcPr>
            <w:tcW w:w="2073" w:type="dxa"/>
            <w:tcBorders>
              <w:top w:val="single" w:color="auto" w:sz="4" w:space="0"/>
              <w:left w:val="nil"/>
              <w:bottom w:val="single" w:color="auto" w:sz="4" w:space="0"/>
              <w:right w:val="single" w:color="auto" w:sz="4" w:space="0"/>
            </w:tcBorders>
            <w:vAlign w:val="center"/>
          </w:tcPr>
          <w:p w14:paraId="3B350AAA">
            <w:pPr>
              <w:spacing w:line="360" w:lineRule="auto"/>
              <w:jc w:val="center"/>
              <w:rPr>
                <w:rFonts w:ascii="宋体" w:hAnsi="宋体" w:cs="宋体"/>
                <w:color w:val="auto"/>
                <w:kern w:val="10"/>
                <w:sz w:val="24"/>
                <w:highlight w:val="none"/>
              </w:rPr>
            </w:pPr>
            <w:r>
              <w:rPr>
                <w:rFonts w:hint="eastAsia" w:ascii="宋体" w:hAnsi="宋体" w:cs="宋体"/>
                <w:color w:val="auto"/>
                <w:kern w:val="10"/>
                <w:sz w:val="24"/>
                <w:highlight w:val="none"/>
              </w:rPr>
              <w:t>是否允许递交备选投标方案</w:t>
            </w:r>
          </w:p>
        </w:tc>
        <w:tc>
          <w:tcPr>
            <w:tcW w:w="6353" w:type="dxa"/>
            <w:tcBorders>
              <w:top w:val="single" w:color="auto" w:sz="4" w:space="0"/>
              <w:left w:val="nil"/>
              <w:bottom w:val="single" w:color="auto" w:sz="4" w:space="0"/>
              <w:right w:val="single" w:color="auto" w:sz="4" w:space="0"/>
            </w:tcBorders>
            <w:vAlign w:val="center"/>
          </w:tcPr>
          <w:p w14:paraId="05ABC200">
            <w:pPr>
              <w:spacing w:line="360" w:lineRule="auto"/>
              <w:rPr>
                <w:rFonts w:ascii="宋体" w:hAnsi="宋体" w:cs="宋体"/>
                <w:color w:val="auto"/>
                <w:kern w:val="10"/>
                <w:sz w:val="24"/>
                <w:highlight w:val="none"/>
              </w:rPr>
            </w:pPr>
            <w:r>
              <w:rPr>
                <w:rFonts w:hint="eastAsia" w:ascii="宋体" w:hAnsi="宋体" w:cs="宋体"/>
                <w:color w:val="auto"/>
                <w:kern w:val="10"/>
                <w:sz w:val="24"/>
                <w:highlight w:val="none"/>
              </w:rPr>
              <w:t>不允许</w:t>
            </w:r>
          </w:p>
        </w:tc>
      </w:tr>
      <w:tr w14:paraId="1663B86B">
        <w:tblPrEx>
          <w:tblCellMar>
            <w:top w:w="0" w:type="dxa"/>
            <w:left w:w="108" w:type="dxa"/>
            <w:bottom w:w="0" w:type="dxa"/>
            <w:right w:w="108" w:type="dxa"/>
          </w:tblCellMar>
        </w:tblPrEx>
        <w:trPr>
          <w:trHeight w:val="95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08227F8">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24</w:t>
            </w:r>
          </w:p>
        </w:tc>
        <w:tc>
          <w:tcPr>
            <w:tcW w:w="2073" w:type="dxa"/>
            <w:tcBorders>
              <w:top w:val="single" w:color="auto" w:sz="4" w:space="0"/>
              <w:left w:val="nil"/>
              <w:bottom w:val="single" w:color="auto" w:sz="4" w:space="0"/>
              <w:right w:val="single" w:color="auto" w:sz="4" w:space="0"/>
            </w:tcBorders>
            <w:vAlign w:val="center"/>
          </w:tcPr>
          <w:p w14:paraId="20E907C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7E9450D2">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2026年7月7日08时20分</w:t>
            </w:r>
            <w:r>
              <w:rPr>
                <w:rFonts w:hint="eastAsia" w:ascii="宋体" w:hAnsi="宋体" w:cs="Calibri"/>
                <w:b/>
                <w:bCs/>
                <w:color w:val="auto"/>
                <w:kern w:val="0"/>
                <w:sz w:val="24"/>
                <w:highlight w:val="none"/>
              </w:rPr>
              <w:t>（北京时间）</w:t>
            </w:r>
          </w:p>
          <w:p w14:paraId="691C8348">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rPr>
              <w:t>上传至三门峡市公共资源交易中心系统</w:t>
            </w:r>
          </w:p>
        </w:tc>
      </w:tr>
      <w:tr w14:paraId="73FA43FE">
        <w:tblPrEx>
          <w:tblCellMar>
            <w:top w:w="0" w:type="dxa"/>
            <w:left w:w="108" w:type="dxa"/>
            <w:bottom w:w="0" w:type="dxa"/>
            <w:right w:w="108" w:type="dxa"/>
          </w:tblCellMar>
        </w:tblPrEx>
        <w:trPr>
          <w:trHeight w:val="46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90558F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25</w:t>
            </w:r>
          </w:p>
        </w:tc>
        <w:tc>
          <w:tcPr>
            <w:tcW w:w="2073" w:type="dxa"/>
            <w:tcBorders>
              <w:top w:val="single" w:color="auto" w:sz="4" w:space="0"/>
              <w:left w:val="nil"/>
              <w:bottom w:val="single" w:color="auto" w:sz="4" w:space="0"/>
              <w:right w:val="single" w:color="auto" w:sz="4" w:space="0"/>
            </w:tcBorders>
            <w:vAlign w:val="center"/>
          </w:tcPr>
          <w:p w14:paraId="1EF75BC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6EEBDE84">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2026年7月7日08时20分</w:t>
            </w:r>
            <w:r>
              <w:rPr>
                <w:rFonts w:hint="eastAsia" w:ascii="宋体" w:hAnsi="宋体" w:cs="Calibri"/>
                <w:b/>
                <w:bCs/>
                <w:color w:val="auto"/>
                <w:kern w:val="0"/>
                <w:sz w:val="24"/>
                <w:highlight w:val="none"/>
              </w:rPr>
              <w:t>（北京时间）</w:t>
            </w:r>
          </w:p>
          <w:p w14:paraId="51099A69">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rPr>
              <w:t>渑池县公共资源交易中心六楼开标二室</w:t>
            </w:r>
          </w:p>
        </w:tc>
      </w:tr>
      <w:tr w14:paraId="1CA99900">
        <w:tblPrEx>
          <w:tblCellMar>
            <w:top w:w="0" w:type="dxa"/>
            <w:left w:w="108" w:type="dxa"/>
            <w:bottom w:w="0" w:type="dxa"/>
            <w:right w:w="108" w:type="dxa"/>
          </w:tblCellMar>
        </w:tblPrEx>
        <w:trPr>
          <w:trHeight w:val="51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0DB378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26</w:t>
            </w:r>
          </w:p>
        </w:tc>
        <w:tc>
          <w:tcPr>
            <w:tcW w:w="2073" w:type="dxa"/>
            <w:tcBorders>
              <w:top w:val="single" w:color="auto" w:sz="4" w:space="0"/>
              <w:left w:val="nil"/>
              <w:bottom w:val="single" w:color="auto" w:sz="4" w:space="0"/>
              <w:right w:val="single" w:color="auto" w:sz="4" w:space="0"/>
            </w:tcBorders>
            <w:vAlign w:val="center"/>
          </w:tcPr>
          <w:p w14:paraId="03F1A1DF">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7263D522">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lang w:eastAsia="zh-CN"/>
              </w:rPr>
              <w:t>468960.00</w:t>
            </w:r>
            <w:r>
              <w:rPr>
                <w:rFonts w:hint="eastAsia" w:ascii="宋体" w:hAnsi="宋体" w:cs="Calibri"/>
                <w:b/>
                <w:bCs/>
                <w:color w:val="auto"/>
                <w:sz w:val="24"/>
                <w:highlight w:val="none"/>
              </w:rPr>
              <w:t>元（大写：</w:t>
            </w:r>
            <w:r>
              <w:rPr>
                <w:rFonts w:hint="eastAsia" w:ascii="宋体" w:hAnsi="宋体" w:cs="Calibri"/>
                <w:b/>
                <w:bCs/>
                <w:color w:val="auto"/>
                <w:sz w:val="24"/>
                <w:highlight w:val="none"/>
                <w:lang w:val="en-US" w:eastAsia="zh-CN"/>
              </w:rPr>
              <w:t>肆拾陆万捌仟玖佰陆拾元整</w:t>
            </w:r>
            <w:r>
              <w:rPr>
                <w:rFonts w:hint="eastAsia" w:ascii="宋体" w:hAnsi="宋体" w:cs="Calibri"/>
                <w:b/>
                <w:bCs/>
                <w:color w:val="auto"/>
                <w:sz w:val="24"/>
                <w:highlight w:val="none"/>
              </w:rPr>
              <w:t>）</w:t>
            </w:r>
          </w:p>
          <w:p w14:paraId="258E6F6B">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14:paraId="269D73D4">
        <w:tblPrEx>
          <w:tblCellMar>
            <w:top w:w="0" w:type="dxa"/>
            <w:left w:w="108" w:type="dxa"/>
            <w:bottom w:w="0" w:type="dxa"/>
            <w:right w:w="108" w:type="dxa"/>
          </w:tblCellMar>
        </w:tblPrEx>
        <w:trPr>
          <w:trHeight w:val="51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1F74563">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27</w:t>
            </w:r>
          </w:p>
        </w:tc>
        <w:tc>
          <w:tcPr>
            <w:tcW w:w="2073" w:type="dxa"/>
            <w:tcBorders>
              <w:top w:val="single" w:color="auto" w:sz="4" w:space="0"/>
              <w:left w:val="nil"/>
              <w:bottom w:val="single" w:color="auto" w:sz="4" w:space="0"/>
              <w:right w:val="single" w:color="auto" w:sz="4" w:space="0"/>
            </w:tcBorders>
            <w:vAlign w:val="center"/>
          </w:tcPr>
          <w:p w14:paraId="0D906624">
            <w:pPr>
              <w:spacing w:line="360" w:lineRule="auto"/>
              <w:jc w:val="center"/>
              <w:rPr>
                <w:rFonts w:ascii="宋体" w:hAnsi="宋体" w:cs="Calibri"/>
                <w:color w:val="auto"/>
                <w:sz w:val="24"/>
                <w:highlight w:val="none"/>
              </w:rPr>
            </w:pPr>
            <w:r>
              <w:rPr>
                <w:rFonts w:hint="eastAsia" w:ascii="宋体" w:hAnsi="宋体" w:cs="宋体"/>
                <w:color w:val="auto"/>
                <w:kern w:val="10"/>
                <w:sz w:val="24"/>
                <w:highlight w:val="none"/>
              </w:rPr>
              <w:t>报价方式</w:t>
            </w:r>
          </w:p>
        </w:tc>
        <w:tc>
          <w:tcPr>
            <w:tcW w:w="6353" w:type="dxa"/>
            <w:tcBorders>
              <w:top w:val="single" w:color="auto" w:sz="4" w:space="0"/>
              <w:left w:val="nil"/>
              <w:bottom w:val="single" w:color="auto" w:sz="4" w:space="0"/>
              <w:right w:val="single" w:color="auto" w:sz="4" w:space="0"/>
            </w:tcBorders>
            <w:vAlign w:val="center"/>
          </w:tcPr>
          <w:p w14:paraId="594D5D6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1、本次磋商应以人民币报价。</w:t>
            </w:r>
          </w:p>
          <w:p w14:paraId="72EC2D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2、本次磋商中，磋商响应文件中的报价为第一次报价，</w:t>
            </w:r>
            <w:r>
              <w:rPr>
                <w:rFonts w:hint="eastAsia"/>
                <w:color w:val="auto"/>
                <w:sz w:val="24"/>
                <w:highlight w:val="none"/>
              </w:rPr>
              <w:t>不得高于项目预算金额且不公开；</w:t>
            </w:r>
          </w:p>
          <w:p w14:paraId="7BFBDAB5">
            <w:pPr>
              <w:spacing w:line="360" w:lineRule="auto"/>
              <w:rPr>
                <w:rFonts w:ascii="宋体" w:hAnsi="宋体" w:cs="Calibri"/>
                <w:b/>
                <w:bCs/>
                <w:color w:val="auto"/>
                <w:sz w:val="24"/>
                <w:highlight w:val="none"/>
              </w:rPr>
            </w:pPr>
            <w:r>
              <w:rPr>
                <w:rFonts w:hint="eastAsia" w:ascii="宋体" w:hAnsi="宋体" w:cs="宋体"/>
                <w:color w:val="auto"/>
                <w:kern w:val="0"/>
                <w:sz w:val="24"/>
                <w:highlight w:val="none"/>
              </w:rPr>
              <w:t>3、磋商投标人可以在磋商小组规定的时间内进行第二次报价，通过交易中心系统以电子形式递交，第二次报价为最终报价；成交价以最终报价为准。最终报价是投标人响应文件的有效组成部分。</w:t>
            </w:r>
          </w:p>
        </w:tc>
      </w:tr>
      <w:tr w14:paraId="0AD0FD74">
        <w:tblPrEx>
          <w:tblCellMar>
            <w:top w:w="0" w:type="dxa"/>
            <w:left w:w="108" w:type="dxa"/>
            <w:bottom w:w="0" w:type="dxa"/>
            <w:right w:w="108" w:type="dxa"/>
          </w:tblCellMar>
        </w:tblPrEx>
        <w:trPr>
          <w:trHeight w:val="202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F554C21">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29</w:t>
            </w:r>
          </w:p>
        </w:tc>
        <w:tc>
          <w:tcPr>
            <w:tcW w:w="2073" w:type="dxa"/>
            <w:tcBorders>
              <w:top w:val="single" w:color="auto" w:sz="4" w:space="0"/>
              <w:left w:val="nil"/>
              <w:bottom w:val="single" w:color="auto" w:sz="4" w:space="0"/>
              <w:right w:val="single" w:color="auto" w:sz="4" w:space="0"/>
            </w:tcBorders>
            <w:vAlign w:val="center"/>
          </w:tcPr>
          <w:p w14:paraId="1B14853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14:paraId="3E77F458">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42A4586E">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14:paraId="01DD8FA2">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其中招标人代表1人，经济、技术类专家2人；</w:t>
            </w:r>
          </w:p>
          <w:p w14:paraId="38949AA7">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评标专家确定方式：经济、技术专家开标前从相关专家库抽取终端随机抽取确定。</w:t>
            </w:r>
          </w:p>
        </w:tc>
      </w:tr>
      <w:tr w14:paraId="12D9C2EF">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D268BD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30</w:t>
            </w:r>
          </w:p>
        </w:tc>
        <w:tc>
          <w:tcPr>
            <w:tcW w:w="2073" w:type="dxa"/>
            <w:tcBorders>
              <w:top w:val="single" w:color="auto" w:sz="4" w:space="0"/>
              <w:left w:val="nil"/>
              <w:bottom w:val="single" w:color="auto" w:sz="4" w:space="0"/>
              <w:right w:val="single" w:color="auto" w:sz="4" w:space="0"/>
            </w:tcBorders>
            <w:vAlign w:val="center"/>
          </w:tcPr>
          <w:p w14:paraId="2698838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1E4D47F6">
            <w:pPr>
              <w:widowControl/>
              <w:spacing w:line="360" w:lineRule="auto"/>
              <w:jc w:val="left"/>
              <w:rPr>
                <w:rFonts w:hint="eastAsia" w:ascii="宋体" w:hAnsi="宋体" w:cs="Calibri" w:eastAsiaTheme="minorEastAsia"/>
                <w:color w:val="auto"/>
                <w:kern w:val="0"/>
                <w:sz w:val="24"/>
                <w:highlight w:val="none"/>
                <w:lang w:eastAsia="zh-CN"/>
              </w:rPr>
            </w:pPr>
            <w:r>
              <w:rPr>
                <w:rFonts w:hint="eastAsia" w:ascii="宋体" w:hAnsi="宋体" w:cs="Calibri"/>
                <w:color w:val="auto"/>
                <w:kern w:val="0"/>
                <w:sz w:val="24"/>
                <w:highlight w:val="none"/>
              </w:rPr>
              <w:t>是，推荐的中标候选人数：1-3</w:t>
            </w:r>
            <w:r>
              <w:rPr>
                <w:rFonts w:hint="eastAsia" w:ascii="宋体" w:hAnsi="宋体" w:cs="Calibri"/>
                <w:color w:val="auto"/>
                <w:kern w:val="0"/>
                <w:sz w:val="24"/>
                <w:highlight w:val="none"/>
                <w:lang w:val="en-US" w:eastAsia="zh-CN"/>
              </w:rPr>
              <w:t>名</w:t>
            </w:r>
          </w:p>
        </w:tc>
      </w:tr>
      <w:tr w14:paraId="0D8C65AC">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A02964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31</w:t>
            </w:r>
          </w:p>
        </w:tc>
        <w:tc>
          <w:tcPr>
            <w:tcW w:w="2073" w:type="dxa"/>
            <w:tcBorders>
              <w:top w:val="single" w:color="auto" w:sz="4" w:space="0"/>
              <w:left w:val="nil"/>
              <w:bottom w:val="single" w:color="auto" w:sz="4" w:space="0"/>
              <w:right w:val="single" w:color="auto" w:sz="4" w:space="0"/>
            </w:tcBorders>
            <w:vAlign w:val="center"/>
          </w:tcPr>
          <w:p w14:paraId="6366573D">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351435B1">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在《中国招标投标公共服务平台》、《河南省政府采购网》和《三门峡市公共资源交易中心网》三个网站同步中标结果公告。</w:t>
            </w:r>
          </w:p>
          <w:p w14:paraId="2F48831C">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招标人以书面形式向中标人发出中标通知书，同时向未中标企业以书面或电子形式告知未中标原因。</w:t>
            </w:r>
          </w:p>
        </w:tc>
      </w:tr>
      <w:tr w14:paraId="6E900DCE">
        <w:tblPrEx>
          <w:tblCellMar>
            <w:top w:w="0" w:type="dxa"/>
            <w:left w:w="108" w:type="dxa"/>
            <w:bottom w:w="0" w:type="dxa"/>
            <w:right w:w="108" w:type="dxa"/>
          </w:tblCellMar>
        </w:tblPrEx>
        <w:trPr>
          <w:trHeight w:val="51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81E7DE7">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32</w:t>
            </w:r>
          </w:p>
        </w:tc>
        <w:tc>
          <w:tcPr>
            <w:tcW w:w="2073" w:type="dxa"/>
            <w:tcBorders>
              <w:top w:val="single" w:color="auto" w:sz="4" w:space="0"/>
              <w:left w:val="nil"/>
              <w:bottom w:val="single" w:color="auto" w:sz="4" w:space="0"/>
              <w:right w:val="single" w:color="auto" w:sz="4" w:space="0"/>
            </w:tcBorders>
            <w:vAlign w:val="center"/>
          </w:tcPr>
          <w:p w14:paraId="37895145">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526F4181">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中标通知书发出后30日内</w:t>
            </w:r>
          </w:p>
        </w:tc>
      </w:tr>
      <w:tr w14:paraId="5F5ED040">
        <w:tblPrEx>
          <w:tblCellMar>
            <w:top w:w="0" w:type="dxa"/>
            <w:left w:w="108" w:type="dxa"/>
            <w:bottom w:w="0" w:type="dxa"/>
            <w:right w:w="108" w:type="dxa"/>
          </w:tblCellMar>
        </w:tblPrEx>
        <w:trPr>
          <w:trHeight w:val="51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3789ED87">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33</w:t>
            </w:r>
          </w:p>
        </w:tc>
        <w:tc>
          <w:tcPr>
            <w:tcW w:w="2073" w:type="dxa"/>
            <w:tcBorders>
              <w:top w:val="single" w:color="auto" w:sz="4" w:space="0"/>
              <w:left w:val="nil"/>
              <w:bottom w:val="single" w:color="auto" w:sz="4" w:space="0"/>
              <w:right w:val="single" w:color="auto" w:sz="4" w:space="0"/>
            </w:tcBorders>
            <w:vAlign w:val="center"/>
          </w:tcPr>
          <w:p w14:paraId="0B6F9387">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合同形式</w:t>
            </w:r>
          </w:p>
        </w:tc>
        <w:tc>
          <w:tcPr>
            <w:tcW w:w="6353" w:type="dxa"/>
            <w:tcBorders>
              <w:top w:val="single" w:color="auto" w:sz="4" w:space="0"/>
              <w:left w:val="nil"/>
              <w:bottom w:val="single" w:color="auto" w:sz="4" w:space="0"/>
              <w:right w:val="single" w:color="auto" w:sz="4" w:space="0"/>
            </w:tcBorders>
            <w:vAlign w:val="center"/>
          </w:tcPr>
          <w:p w14:paraId="50140A1B">
            <w:pPr>
              <w:widowControl/>
              <w:spacing w:line="360" w:lineRule="auto"/>
              <w:jc w:val="left"/>
              <w:rPr>
                <w:rFonts w:ascii="宋体" w:hAnsi="宋体" w:cs="Calibri"/>
                <w:color w:val="auto"/>
                <w:kern w:val="0"/>
                <w:sz w:val="24"/>
                <w:highlight w:val="none"/>
              </w:rPr>
            </w:pPr>
            <w:r>
              <w:rPr>
                <w:rFonts w:ascii="宋体" w:hAnsi="宋体" w:eastAsia="宋体" w:cs="宋体"/>
                <w:color w:val="auto"/>
                <w:sz w:val="24"/>
                <w:szCs w:val="24"/>
                <w:highlight w:val="none"/>
              </w:rPr>
              <w:t>固定总价合同</w:t>
            </w:r>
          </w:p>
        </w:tc>
      </w:tr>
      <w:tr w14:paraId="502611C6">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CAA15B9">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34</w:t>
            </w:r>
          </w:p>
        </w:tc>
        <w:tc>
          <w:tcPr>
            <w:tcW w:w="2073" w:type="dxa"/>
            <w:tcBorders>
              <w:top w:val="single" w:color="auto" w:sz="4" w:space="0"/>
              <w:left w:val="nil"/>
              <w:bottom w:val="single" w:color="auto" w:sz="4" w:space="0"/>
              <w:right w:val="single" w:color="auto" w:sz="4" w:space="0"/>
            </w:tcBorders>
            <w:vAlign w:val="center"/>
          </w:tcPr>
          <w:p w14:paraId="3B889120">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磋商有效期</w:t>
            </w:r>
          </w:p>
        </w:tc>
        <w:tc>
          <w:tcPr>
            <w:tcW w:w="6353" w:type="dxa"/>
            <w:tcBorders>
              <w:top w:val="single" w:color="auto" w:sz="4" w:space="0"/>
              <w:left w:val="nil"/>
              <w:bottom w:val="single" w:color="auto" w:sz="4" w:space="0"/>
              <w:right w:val="single" w:color="auto" w:sz="4" w:space="0"/>
            </w:tcBorders>
            <w:vAlign w:val="center"/>
          </w:tcPr>
          <w:p w14:paraId="017ACC00">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14:paraId="4B78A019">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BB932C7">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35</w:t>
            </w:r>
          </w:p>
        </w:tc>
        <w:tc>
          <w:tcPr>
            <w:tcW w:w="2073" w:type="dxa"/>
            <w:tcBorders>
              <w:top w:val="single" w:color="auto" w:sz="4" w:space="0"/>
              <w:left w:val="nil"/>
              <w:bottom w:val="single" w:color="auto" w:sz="4" w:space="0"/>
              <w:right w:val="single" w:color="auto" w:sz="4" w:space="0"/>
            </w:tcBorders>
            <w:vAlign w:val="center"/>
          </w:tcPr>
          <w:p w14:paraId="0ACB2AF5">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2D966F74">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14:paraId="5E899891">
        <w:tblPrEx>
          <w:tblCellMar>
            <w:top w:w="0" w:type="dxa"/>
            <w:left w:w="108" w:type="dxa"/>
            <w:bottom w:w="0" w:type="dxa"/>
            <w:right w:w="108" w:type="dxa"/>
          </w:tblCellMar>
        </w:tblPrEx>
        <w:trPr>
          <w:trHeight w:val="9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7633B11">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36</w:t>
            </w:r>
          </w:p>
        </w:tc>
        <w:tc>
          <w:tcPr>
            <w:tcW w:w="2073" w:type="dxa"/>
            <w:tcBorders>
              <w:top w:val="single" w:color="auto" w:sz="4" w:space="0"/>
              <w:left w:val="nil"/>
              <w:bottom w:val="single" w:color="auto" w:sz="4" w:space="0"/>
              <w:right w:val="single" w:color="auto" w:sz="4" w:space="0"/>
            </w:tcBorders>
            <w:vAlign w:val="center"/>
          </w:tcPr>
          <w:p w14:paraId="08D132B0">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4EC2FE96">
            <w:pPr>
              <w:spacing w:line="420" w:lineRule="exact"/>
              <w:rPr>
                <w:rFonts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1．本项目应以人民币报价，供应商应就该项目完整投标（报价、服务、税费、售后服务等综合费用），采购人不另外支付其他任何费用；</w:t>
            </w:r>
          </w:p>
          <w:p w14:paraId="2B61A0B4">
            <w:pPr>
              <w:spacing w:line="420" w:lineRule="exact"/>
              <w:rPr>
                <w:rFonts w:ascii="宋体" w:hAnsi="宋体" w:cs="Calibri"/>
                <w:color w:val="auto"/>
                <w:sz w:val="24"/>
                <w:highlight w:val="none"/>
              </w:rPr>
            </w:pPr>
            <w:r>
              <w:rPr>
                <w:rFonts w:hint="eastAsia" w:ascii="宋体" w:hAnsi="宋体" w:cs="Calibri"/>
                <w:color w:val="auto"/>
                <w:sz w:val="24"/>
                <w:highlight w:val="none"/>
              </w:rPr>
              <w:t>2.招标代理服务费</w:t>
            </w:r>
            <w:r>
              <w:rPr>
                <w:rFonts w:hint="eastAsia" w:ascii="宋体" w:hAnsi="宋体" w:cs="Calibri"/>
                <w:color w:val="auto"/>
                <w:sz w:val="24"/>
                <w:highlight w:val="none"/>
                <w:lang w:val="en-US" w:eastAsia="zh-CN"/>
              </w:rPr>
              <w:t>参照《河南省招标代理服务收费指导意见》（豫招协〔2023〕002号）规定的服务类收费标准计算，具体如下：成交金额100万元以下部分按1.7%费率计算。本项目代理服务费（以实际成交金额计算为准），由成交供应商在领取成交通知书时向代理机构支付</w:t>
            </w:r>
            <w:r>
              <w:rPr>
                <w:rFonts w:hint="eastAsia" w:ascii="宋体" w:hAnsi="宋体" w:cs="Calibri"/>
                <w:color w:val="auto"/>
                <w:sz w:val="24"/>
                <w:highlight w:val="none"/>
              </w:rPr>
              <w:t>。</w:t>
            </w:r>
          </w:p>
        </w:tc>
      </w:tr>
      <w:tr w14:paraId="2605FD56">
        <w:tblPrEx>
          <w:tblCellMar>
            <w:top w:w="0" w:type="dxa"/>
            <w:left w:w="108" w:type="dxa"/>
            <w:bottom w:w="0" w:type="dxa"/>
            <w:right w:w="108" w:type="dxa"/>
          </w:tblCellMar>
        </w:tblPrEx>
        <w:trPr>
          <w:trHeight w:val="44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7FAF5007">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37</w:t>
            </w:r>
          </w:p>
        </w:tc>
        <w:tc>
          <w:tcPr>
            <w:tcW w:w="2073" w:type="dxa"/>
            <w:tcBorders>
              <w:top w:val="single" w:color="auto" w:sz="4" w:space="0"/>
              <w:left w:val="nil"/>
              <w:bottom w:val="single" w:color="auto" w:sz="4" w:space="0"/>
              <w:right w:val="single" w:color="auto" w:sz="4" w:space="0"/>
            </w:tcBorders>
            <w:vAlign w:val="center"/>
          </w:tcPr>
          <w:p w14:paraId="7F588B22">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0D7EA07B">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14:paraId="1A653859">
        <w:tblPrEx>
          <w:tblCellMar>
            <w:top w:w="0" w:type="dxa"/>
            <w:left w:w="108" w:type="dxa"/>
            <w:bottom w:w="0" w:type="dxa"/>
            <w:right w:w="108" w:type="dxa"/>
          </w:tblCellMar>
        </w:tblPrEx>
        <w:trPr>
          <w:trHeight w:val="44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4EBBD854">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38</w:t>
            </w:r>
          </w:p>
        </w:tc>
        <w:tc>
          <w:tcPr>
            <w:tcW w:w="2073" w:type="dxa"/>
            <w:tcBorders>
              <w:top w:val="single" w:color="auto" w:sz="4" w:space="0"/>
              <w:left w:val="nil"/>
              <w:bottom w:val="single" w:color="auto" w:sz="4" w:space="0"/>
              <w:right w:val="single" w:color="auto" w:sz="4" w:space="0"/>
            </w:tcBorders>
            <w:vAlign w:val="center"/>
          </w:tcPr>
          <w:p w14:paraId="5C1C3EB4">
            <w:pPr>
              <w:spacing w:line="420" w:lineRule="exact"/>
              <w:jc w:val="center"/>
              <w:rPr>
                <w:rFonts w:ascii="宋体" w:hAnsi="宋体" w:cs="Calibri"/>
                <w:color w:val="auto"/>
                <w:sz w:val="24"/>
                <w:highlight w:val="none"/>
              </w:rPr>
            </w:pPr>
            <w:r>
              <w:rPr>
                <w:rFonts w:hint="eastAsia" w:ascii="宋体" w:hAnsi="宋体" w:cs="Calibri"/>
                <w:color w:val="auto"/>
                <w:sz w:val="24"/>
                <w:highlight w:val="none"/>
              </w:rPr>
              <w:t>所属行业</w:t>
            </w:r>
          </w:p>
        </w:tc>
        <w:tc>
          <w:tcPr>
            <w:tcW w:w="6353" w:type="dxa"/>
            <w:tcBorders>
              <w:top w:val="single" w:color="auto" w:sz="4" w:space="0"/>
              <w:left w:val="nil"/>
              <w:bottom w:val="single" w:color="auto" w:sz="4" w:space="0"/>
              <w:right w:val="single" w:color="auto" w:sz="4" w:space="0"/>
            </w:tcBorders>
            <w:vAlign w:val="center"/>
          </w:tcPr>
          <w:p w14:paraId="5CB104A0">
            <w:pPr>
              <w:spacing w:line="420" w:lineRule="exact"/>
              <w:jc w:val="center"/>
              <w:rPr>
                <w:rFonts w:ascii="宋体" w:hAnsi="宋体" w:cs="Calibri"/>
                <w:color w:val="auto"/>
                <w:sz w:val="24"/>
                <w:highlight w:val="none"/>
              </w:rPr>
            </w:pPr>
            <w:r>
              <w:rPr>
                <w:rFonts w:hint="eastAsia" w:ascii="宋体" w:hAnsi="宋体" w:cs="Calibri"/>
                <w:color w:val="auto"/>
                <w:sz w:val="24"/>
                <w:highlight w:val="none"/>
              </w:rPr>
              <w:t>工业</w:t>
            </w:r>
          </w:p>
        </w:tc>
      </w:tr>
      <w:tr w14:paraId="5246B819">
        <w:tblPrEx>
          <w:tblCellMar>
            <w:top w:w="0" w:type="dxa"/>
            <w:left w:w="108" w:type="dxa"/>
            <w:bottom w:w="0" w:type="dxa"/>
            <w:right w:w="108" w:type="dxa"/>
          </w:tblCellMar>
        </w:tblPrEx>
        <w:trPr>
          <w:trHeight w:val="44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0CE94C3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39</w:t>
            </w:r>
          </w:p>
        </w:tc>
        <w:tc>
          <w:tcPr>
            <w:tcW w:w="2073" w:type="dxa"/>
            <w:tcBorders>
              <w:top w:val="single" w:color="auto" w:sz="4" w:space="0"/>
              <w:left w:val="nil"/>
              <w:bottom w:val="single" w:color="auto" w:sz="4" w:space="0"/>
              <w:right w:val="single" w:color="auto" w:sz="4" w:space="0"/>
            </w:tcBorders>
            <w:vAlign w:val="center"/>
          </w:tcPr>
          <w:p w14:paraId="45BD6486">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相关政策法规</w:t>
            </w:r>
          </w:p>
        </w:tc>
        <w:tc>
          <w:tcPr>
            <w:tcW w:w="6353" w:type="dxa"/>
            <w:tcBorders>
              <w:top w:val="single" w:color="auto" w:sz="4" w:space="0"/>
              <w:left w:val="nil"/>
              <w:bottom w:val="single" w:color="auto" w:sz="4" w:space="0"/>
              <w:right w:val="single" w:color="auto" w:sz="4" w:space="0"/>
            </w:tcBorders>
            <w:vAlign w:val="center"/>
          </w:tcPr>
          <w:p w14:paraId="78B0A6E9">
            <w:pPr>
              <w:widowControl/>
              <w:spacing w:line="360" w:lineRule="auto"/>
              <w:ind w:firstLine="480" w:firstLineChars="200"/>
              <w:jc w:val="left"/>
              <w:rPr>
                <w:rFonts w:ascii="宋体" w:hAnsi="宋体" w:cs="Calibri"/>
                <w:color w:val="auto"/>
                <w:kern w:val="0"/>
                <w:sz w:val="24"/>
                <w:highlight w:val="none"/>
              </w:rPr>
            </w:pPr>
            <w:r>
              <w:rPr>
                <w:rFonts w:hint="eastAsia" w:ascii="宋体" w:hAnsi="宋体" w:cs="Calibri"/>
                <w:color w:val="auto"/>
                <w:kern w:val="0"/>
                <w:sz w:val="24"/>
                <w:highlight w:val="none"/>
              </w:rPr>
              <w:t>1.使用综合评分法的采购项目，提供相同品牌产品且通过资格审査、符合性审査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竞争性磋商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p w14:paraId="2055C3F1">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.根据《政府采购促进中小企业发展管理办法》（财库﹝2020﹞46 号）及《三门峡市财政局关于进一步优化提升政府采购营商环境有关事项通知》（三财购（2021）14 号）及《三门峡市财政局关于进一步加大政府采购支持中小企业发展有关事项的通知》（三财购（2022）9 号）的规定，对于非专门面向中小企业的项目</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对小型、微型企业的价格给予 10%～20%的扣除，本项目小型、微型企业按 20%扣除。对于中型企业的价格不予扣除。在货物采购项目中，供应商提供的货物既有中型企业制造，也有小微企业制造的，不享受20%的扣除。（注：小型、微型企业提供中型企业制造的货物的，视同为中型企业。）</w:t>
            </w:r>
          </w:p>
          <w:p w14:paraId="4A6BB00D">
            <w:pPr>
              <w:spacing w:line="460" w:lineRule="exact"/>
              <w:ind w:firstLine="240" w:firstLineChars="1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ascii="宋体" w:hAnsi="宋体" w:eastAsia="宋体" w:cs="宋体"/>
                <w:color w:val="auto"/>
                <w:sz w:val="24"/>
                <w:szCs w:val="24"/>
                <w:highlight w:val="none"/>
              </w:rPr>
              <w:t>根据财政部司法部《关于政府采购支持监狱企业发展有关问题的通知》（财库〔2014〕68 号）规定，对于监狱企业视同为小型、微型企业，价格给予 20%的扣除。</w:t>
            </w:r>
          </w:p>
          <w:p w14:paraId="6F402DF5">
            <w:pPr>
              <w:spacing w:line="460" w:lineRule="exact"/>
              <w:ind w:firstLine="240" w:firstLineChars="1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ascii="宋体" w:hAnsi="宋体" w:eastAsia="宋体" w:cs="宋体"/>
                <w:color w:val="auto"/>
                <w:sz w:val="24"/>
                <w:szCs w:val="24"/>
                <w:highlight w:val="none"/>
              </w:rPr>
              <w:t>根据财政部民政部中国残疾人联合会《关于促进残疾人就业政府采购政策的通知》（财库〔2017〕141 号）规定，对于残疾人福利性单位视同为小型、微型企业，价格给予 20%的扣除。</w:t>
            </w:r>
          </w:p>
          <w:p w14:paraId="68D62C87">
            <w:pPr>
              <w:spacing w:line="460" w:lineRule="exact"/>
              <w:ind w:firstLine="480" w:firstLineChars="200"/>
              <w:jc w:val="left"/>
              <w:outlineLvl w:val="2"/>
              <w:rPr>
                <w:rFonts w:ascii="宋体" w:hAnsi="宋体" w:eastAsia="宋体" w:cs="宋体"/>
                <w:color w:val="auto"/>
                <w:sz w:val="24"/>
                <w:szCs w:val="24"/>
                <w:highlight w:val="none"/>
              </w:rPr>
            </w:pPr>
            <w:r>
              <w:rPr>
                <w:rFonts w:ascii="宋体" w:hAnsi="宋体" w:eastAsia="宋体" w:cs="宋体"/>
                <w:color w:val="auto"/>
                <w:sz w:val="24"/>
                <w:szCs w:val="24"/>
                <w:highlight w:val="none"/>
              </w:rPr>
              <w:t>同一供应商，中小微企业、监狱企业、残疾人福利性单位的价格扣除优惠只享受一次，不得重复享受。</w:t>
            </w:r>
          </w:p>
          <w:p w14:paraId="47325A08">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 xml:space="preserve">对本国产品的支持政策 </w:t>
            </w:r>
          </w:p>
          <w:p w14:paraId="68C85F32">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ascii="宋体" w:hAnsi="宋体" w:eastAsia="宋体" w:cs="宋体"/>
                <w:color w:val="auto"/>
                <w:sz w:val="24"/>
                <w:szCs w:val="24"/>
                <w:highlight w:val="none"/>
              </w:rPr>
              <w:t>未明确允许进口产品参加响应的，拒绝进口产品参加。</w:t>
            </w:r>
          </w:p>
          <w:p w14:paraId="297C633B">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 xml:space="preserve">优先采购本国产品。采购进口产品应符合《中华人民共和国政府采购法》并依法办理论证、审批手续。 </w:t>
            </w:r>
          </w:p>
          <w:p w14:paraId="70304F84">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 xml:space="preserve">对本国产品的支持政策：根据《国务院办公厅关于在政府采购中实施本国产品标准及相关政策的通知》（国办发〔2025〕34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1D1F7C55">
            <w:pPr>
              <w:spacing w:line="460" w:lineRule="exact"/>
              <w:ind w:firstLine="480" w:firstLineChars="200"/>
              <w:jc w:val="left"/>
              <w:outlineLvl w:val="2"/>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政策执行要求：1.产品在中国境内生产的组件成本，按照《中国境内生产的组件成本核算基本规则》计算。2.供应商对其提供的产品出具《关于符合本国产品标准的声明函》或财政部会同有关部门规定的有关证明文件。未提供上述声明函的，评审时其投标报价不予扣除。 </w:t>
            </w:r>
          </w:p>
          <w:p w14:paraId="26E8CD38">
            <w:pPr>
              <w:numPr>
                <w:ilvl w:val="0"/>
                <w:numId w:val="1"/>
              </w:numPr>
              <w:spacing w:line="460" w:lineRule="exact"/>
              <w:ind w:firstLine="480" w:firstLineChars="200"/>
              <w:jc w:val="left"/>
              <w:outlineLvl w:val="2"/>
              <w:rPr>
                <w:rFonts w:ascii="宋体" w:hAnsi="宋体" w:eastAsia="宋体" w:cs="宋体"/>
                <w:color w:val="auto"/>
                <w:sz w:val="24"/>
                <w:szCs w:val="24"/>
                <w:highlight w:val="none"/>
              </w:rPr>
            </w:pPr>
            <w:r>
              <w:rPr>
                <w:rFonts w:ascii="宋体" w:hAnsi="宋体" w:eastAsia="宋体" w:cs="宋体"/>
                <w:color w:val="auto"/>
                <w:sz w:val="24"/>
                <w:szCs w:val="24"/>
                <w:highlight w:val="none"/>
              </w:rPr>
              <w:t>依据《国务院办公厅关于建立政府强制采购节能产品制度的通知》国办发〔2007〕51号、</w:t>
            </w:r>
            <w:r>
              <w:rPr>
                <w:rFonts w:hint="eastAsia" w:ascii="宋体" w:hAnsi="宋体" w:eastAsia="宋体" w:cs="宋体"/>
                <w:color w:val="auto"/>
                <w:sz w:val="24"/>
                <w:szCs w:val="24"/>
                <w:highlight w:val="none"/>
              </w:rPr>
              <w:t>《关于调整优化节能产品、环境标志产品政府采购执行机制的通知》（财库〔2019〕9号）、节能产品品目清单（财库〔2019〕19号）、环境标志产品品目清单（财库〔2019〕18号）</w:t>
            </w:r>
            <w:r>
              <w:rPr>
                <w:rFonts w:ascii="宋体" w:hAnsi="宋体" w:eastAsia="宋体" w:cs="宋体"/>
                <w:color w:val="auto"/>
                <w:sz w:val="24"/>
                <w:szCs w:val="24"/>
                <w:highlight w:val="none"/>
              </w:rPr>
              <w:t>要求，</w:t>
            </w:r>
            <w:r>
              <w:rPr>
                <w:rFonts w:hint="eastAsia" w:ascii="宋体" w:hAnsi="宋体" w:eastAsia="宋体" w:cs="宋体"/>
                <w:color w:val="auto"/>
                <w:sz w:val="24"/>
                <w:szCs w:val="24"/>
                <w:highlight w:val="none"/>
              </w:rPr>
              <w:t>其中台式计算机，便携式计算机，平板式微型计算机，激光打印机，针式打印机，</w:t>
            </w:r>
            <w:r>
              <w:rPr>
                <w:rFonts w:hint="eastAsia" w:ascii="宋体" w:hAnsi="宋体" w:eastAsia="宋体" w:cs="宋体"/>
                <w:color w:val="auto"/>
                <w:sz w:val="24"/>
                <w:szCs w:val="24"/>
                <w:highlight w:val="none"/>
                <w:lang w:val="en-US" w:eastAsia="zh-CN"/>
              </w:rPr>
              <w:t>液晶显示器</w:t>
            </w:r>
            <w:r>
              <w:rPr>
                <w:rFonts w:hint="eastAsia" w:ascii="宋体" w:hAnsi="宋体" w:eastAsia="宋体" w:cs="宋体"/>
                <w:color w:val="auto"/>
                <w:sz w:val="24"/>
                <w:szCs w:val="24"/>
                <w:highlight w:val="none"/>
              </w:rPr>
              <w:t>，制冷压缩机，空调机组，专用制冷、空调设备，镇流器，空调机，电热水器，普通照明用双端荧光灯，电视设备，视频设备，便器，水嘴等品目为政府强制采购的节能产品。</w:t>
            </w:r>
            <w:r>
              <w:rPr>
                <w:rFonts w:ascii="宋体" w:hAnsi="宋体" w:eastAsia="宋体" w:cs="宋体"/>
                <w:color w:val="auto"/>
                <w:sz w:val="24"/>
                <w:szCs w:val="24"/>
                <w:highlight w:val="none"/>
              </w:rPr>
              <w:t>各潜在供应商在本次磋商活动中，磋商货物中如有涉及到上述产品时，则所投涉及到上述货物的产品必须选择</w:t>
            </w:r>
            <w:r>
              <w:rPr>
                <w:rFonts w:hint="eastAsia" w:ascii="宋体" w:hAnsi="宋体" w:eastAsia="宋体" w:cs="宋体"/>
                <w:color w:val="auto"/>
                <w:sz w:val="24"/>
                <w:szCs w:val="24"/>
                <w:highlight w:val="none"/>
              </w:rPr>
              <w:t>节能产品品目清单</w:t>
            </w:r>
            <w:r>
              <w:rPr>
                <w:rFonts w:ascii="宋体" w:hAnsi="宋体" w:eastAsia="宋体" w:cs="宋体"/>
                <w:color w:val="auto"/>
                <w:sz w:val="24"/>
                <w:szCs w:val="24"/>
                <w:highlight w:val="none"/>
              </w:rPr>
              <w:t>的节能产品货物参与磋商，并提供节能产品</w:t>
            </w:r>
            <w:r>
              <w:rPr>
                <w:rFonts w:hint="eastAsia" w:ascii="宋体" w:hAnsi="宋体" w:eastAsia="宋体" w:cs="宋体"/>
                <w:color w:val="auto"/>
                <w:sz w:val="24"/>
                <w:szCs w:val="24"/>
                <w:highlight w:val="none"/>
              </w:rPr>
              <w:t>认证证书（</w:t>
            </w:r>
            <w:r>
              <w:rPr>
                <w:rFonts w:hint="eastAsia"/>
                <w:color w:val="auto"/>
                <w:sz w:val="24"/>
                <w:szCs w:val="24"/>
                <w:highlight w:val="none"/>
              </w:rPr>
              <w:t>证书应是由《市场监管总局关于发布参与实施政府采购节能产品、环境标志产品认证机构名录的公告》的认证机构出具的、处于有效期之内的）</w:t>
            </w:r>
            <w:r>
              <w:rPr>
                <w:rFonts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否则其投标将被否决。</w:t>
            </w:r>
          </w:p>
          <w:p w14:paraId="18DB8E34">
            <w:pPr>
              <w:numPr>
                <w:ilvl w:val="0"/>
                <w:numId w:val="0"/>
              </w:numPr>
              <w:spacing w:line="460" w:lineRule="exact"/>
              <w:ind w:firstLine="240" w:firstLineChars="1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对于列入《节能产品政府采购品目清单》的非强制采购产品，以及列入《环境标志产品政府采购品目清单》的产品，实行优先采购政策。</w:t>
            </w:r>
            <w:r>
              <w:rPr>
                <w:rFonts w:ascii="宋体" w:hAnsi="宋体" w:eastAsia="宋体" w:cs="宋体"/>
                <w:color w:val="auto"/>
                <w:sz w:val="24"/>
                <w:szCs w:val="24"/>
                <w:highlight w:val="none"/>
              </w:rPr>
              <w:t>本次采购的产品有涉及到节能产品及环境标志产品范围的，供应商优先提供"</w:t>
            </w:r>
            <w:r>
              <w:rPr>
                <w:rFonts w:hint="eastAsia" w:ascii="宋体" w:hAnsi="宋体" w:eastAsia="宋体" w:cs="宋体"/>
                <w:color w:val="auto"/>
                <w:sz w:val="24"/>
                <w:szCs w:val="24"/>
                <w:highlight w:val="none"/>
              </w:rPr>
              <w:t>节能产品品目清单</w:t>
            </w:r>
            <w:r>
              <w:rPr>
                <w:rFonts w:ascii="宋体" w:hAnsi="宋体" w:eastAsia="宋体" w:cs="宋体"/>
                <w:color w:val="auto"/>
                <w:sz w:val="24"/>
                <w:szCs w:val="24"/>
                <w:highlight w:val="none"/>
              </w:rPr>
              <w:t>" 和"</w:t>
            </w:r>
            <w:r>
              <w:rPr>
                <w:rFonts w:hint="eastAsia" w:ascii="宋体" w:hAnsi="宋体" w:eastAsia="宋体" w:cs="宋体"/>
                <w:color w:val="auto"/>
                <w:sz w:val="24"/>
                <w:szCs w:val="24"/>
                <w:highlight w:val="none"/>
              </w:rPr>
              <w:t>环境标志产品品目清单</w:t>
            </w:r>
            <w:r>
              <w:rPr>
                <w:rFonts w:ascii="宋体" w:hAnsi="宋体" w:eastAsia="宋体" w:cs="宋体"/>
                <w:color w:val="auto"/>
                <w:sz w:val="24"/>
                <w:szCs w:val="24"/>
                <w:highlight w:val="none"/>
              </w:rPr>
              <w:t>"中的产品参加磋商，并提供</w:t>
            </w:r>
            <w:r>
              <w:rPr>
                <w:rFonts w:hint="eastAsia" w:ascii="宋体" w:hAnsi="宋体" w:eastAsia="宋体" w:cs="宋体"/>
                <w:color w:val="auto"/>
                <w:sz w:val="24"/>
                <w:szCs w:val="24"/>
                <w:highlight w:val="none"/>
              </w:rPr>
              <w:t>认证证书</w:t>
            </w:r>
            <w:r>
              <w:rPr>
                <w:rFonts w:ascii="宋体" w:hAnsi="宋体" w:eastAsia="宋体" w:cs="宋体"/>
                <w:color w:val="auto"/>
                <w:sz w:val="24"/>
                <w:szCs w:val="24"/>
                <w:highlight w:val="none"/>
              </w:rPr>
              <w:t>；节能清单中无对应细化分类且节能清单中的产品确实无法满足工作需要的，允许在节能清单之外采购。</w:t>
            </w:r>
            <w:r>
              <w:rPr>
                <w:rFonts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节能产品品目清单</w:t>
            </w:r>
            <w:r>
              <w:rPr>
                <w:rFonts w:ascii="宋体" w:hAnsi="宋体" w:eastAsia="宋体" w:cs="宋体"/>
                <w:b/>
                <w:bCs/>
                <w:color w:val="auto"/>
                <w:sz w:val="24"/>
                <w:szCs w:val="24"/>
                <w:highlight w:val="none"/>
              </w:rPr>
              <w:t>" 和"</w:t>
            </w:r>
            <w:r>
              <w:rPr>
                <w:rFonts w:hint="eastAsia" w:ascii="宋体" w:hAnsi="宋体" w:eastAsia="宋体" w:cs="宋体"/>
                <w:b/>
                <w:bCs/>
                <w:color w:val="auto"/>
                <w:sz w:val="24"/>
                <w:szCs w:val="24"/>
                <w:highlight w:val="none"/>
              </w:rPr>
              <w:t>环境标志产品品目清单</w:t>
            </w:r>
            <w:r>
              <w:rPr>
                <w:rFonts w:ascii="宋体" w:hAnsi="宋体" w:eastAsia="宋体" w:cs="宋体"/>
                <w:b/>
                <w:bCs/>
                <w:color w:val="auto"/>
                <w:sz w:val="24"/>
                <w:szCs w:val="24"/>
                <w:highlight w:val="none"/>
              </w:rPr>
              <w:t>"均以最新规定为准。</w:t>
            </w:r>
          </w:p>
          <w:p w14:paraId="5FDCB4C2">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5、依据</w:t>
            </w:r>
            <w:r>
              <w:rPr>
                <w:rFonts w:ascii="宋体" w:hAnsi="宋体" w:eastAsia="宋体" w:cs="宋体"/>
                <w:color w:val="auto"/>
                <w:sz w:val="24"/>
                <w:szCs w:val="24"/>
                <w:highlight w:val="none"/>
              </w:rPr>
              <w:t>《关于推动解决政府采购异常低价问题的通知》财库〔</w:t>
            </w:r>
            <w:r>
              <w:rPr>
                <w:rFonts w:hint="eastAsia" w:ascii="宋体" w:hAnsi="宋体" w:eastAsia="宋体" w:cs="宋体"/>
                <w:color w:val="auto"/>
                <w:sz w:val="24"/>
                <w:szCs w:val="24"/>
                <w:highlight w:val="none"/>
              </w:rPr>
              <w:t>2026〕2号政府采购评审中出现下列情形之一的，评审委员会应当启动异常低价投标（响应）审查程序：</w:t>
            </w:r>
          </w:p>
          <w:p w14:paraId="4C686A48">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1.投标（响应）报价低于全部通过符合性审查供应商投标（响应）报价平均值50%的，即投标（响应）报价&lt;全部通过符合性审查供应商投标（响应）报价平均值×50%；</w:t>
            </w:r>
          </w:p>
          <w:p w14:paraId="26B95869">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2.投标（响应）报价低于通过符合性审查的次低报价供应商投标（响应）报价50%的，即投标（响应）报价&lt;通过符合性审查的次低报价供应商投标（响应）报价×50%；</w:t>
            </w:r>
          </w:p>
          <w:p w14:paraId="27FA7086">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3.投标（响应）报价低于采购项目最高限价45%的，即投标（响应）报价&lt;采购项目最高限价×45%；</w:t>
            </w:r>
          </w:p>
          <w:p w14:paraId="12D1C6A8">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4.评审委员会基于专业判断，认为供应商报价过低，有可能影响产品质量或者不能诚信履约的其他情形。</w:t>
            </w:r>
          </w:p>
          <w:p w14:paraId="376F5595">
            <w:pPr>
              <w:spacing w:line="460" w:lineRule="exact"/>
              <w:ind w:firstLine="480" w:firstLineChars="200"/>
              <w:jc w:val="left"/>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可以结合具体项目实际情况，提高上述第1项至第3项中启动异常低价投标（响应）审查的数值标准，但是最高不得超过65%。相关法律法规对供应商报价有规定的，从其规定。供应商不能提供书面说明、证明材料，或者提供的书面说明、证明材料不能证明其报价合理性的，评审委员会应当将其作为无效投标（响应）处理。</w:t>
            </w:r>
          </w:p>
        </w:tc>
      </w:tr>
      <w:tr w14:paraId="0B9B2BA5">
        <w:tblPrEx>
          <w:tblCellMar>
            <w:top w:w="0" w:type="dxa"/>
            <w:left w:w="108" w:type="dxa"/>
            <w:bottom w:w="0" w:type="dxa"/>
            <w:right w:w="108" w:type="dxa"/>
          </w:tblCellMar>
        </w:tblPrEx>
        <w:trPr>
          <w:trHeight w:val="683"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14:paraId="6294C49A">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40</w:t>
            </w:r>
          </w:p>
        </w:tc>
        <w:tc>
          <w:tcPr>
            <w:tcW w:w="2073" w:type="dxa"/>
            <w:tcBorders>
              <w:top w:val="single" w:color="auto" w:sz="4" w:space="0"/>
              <w:left w:val="nil"/>
              <w:bottom w:val="single" w:color="auto" w:sz="4" w:space="0"/>
              <w:right w:val="single" w:color="auto" w:sz="4" w:space="0"/>
            </w:tcBorders>
            <w:vAlign w:val="center"/>
          </w:tcPr>
          <w:p w14:paraId="69BD5B50">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798DF1F0">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136A1CC3">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14:paraId="793604EC">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14:paraId="5466CB7B">
            <w:pPr>
              <w:spacing w:line="400" w:lineRule="exact"/>
              <w:rPr>
                <w:rFonts w:ascii="宋体" w:hAnsi="宋体"/>
                <w:color w:val="auto"/>
                <w:sz w:val="24"/>
                <w:highlight w:val="none"/>
              </w:rPr>
            </w:pPr>
            <w:r>
              <w:rPr>
                <w:rFonts w:hint="eastAsia" w:ascii="宋体" w:hAnsi="宋体"/>
                <w:color w:val="auto"/>
                <w:sz w:val="24"/>
                <w:highlight w:val="none"/>
              </w:rPr>
              <w:t>一、电子化投标</w:t>
            </w:r>
          </w:p>
          <w:p w14:paraId="71E8AC0D">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14:paraId="7DC0D7F5">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14:paraId="248F40FF">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14:paraId="5AFE8D49">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14:paraId="78D2827D">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1FBC0B9C">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14:paraId="09E4AE95">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14:paraId="739FDF11">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15893AB9">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14:paraId="76690FFC">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14:paraId="775ED930">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14:paraId="17D03714">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14:paraId="66BECFC5">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14:paraId="2D6EAB0E">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14:paraId="39CCB83F">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320CB7CA">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14:paraId="1628D9DE">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14:paraId="7459F589">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14:paraId="550FA47A">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14:paraId="1E9E57EB">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1A4A605">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14:paraId="2C2971C5">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14:paraId="7E2BD8C0">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06DF5B79">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6E1D95AB">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14:paraId="22EF1136">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14:paraId="41946A67">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本项目实行资格后审，资格评审以投标文件为准，其上传资料真实性由供应商自行承担，同时，供应商要完善主体库。（注：评标过程中若主体库资料显示不全面，不得作为废标的依据）</w:t>
            </w:r>
          </w:p>
          <w:p w14:paraId="46F0D196">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14:paraId="63DE7904">
      <w:pPr>
        <w:pStyle w:val="14"/>
        <w:spacing w:line="460" w:lineRule="exact"/>
        <w:outlineLvl w:val="1"/>
        <w:rPr>
          <w:rFonts w:ascii="宋体" w:hAnsi="宋体" w:eastAsia="宋体" w:cs="宋体"/>
          <w:color w:val="auto"/>
          <w:highlight w:val="none"/>
        </w:rPr>
      </w:pPr>
      <w:r>
        <w:rPr>
          <w:rFonts w:hint="eastAsia" w:ascii="宋体" w:hAnsi="宋体"/>
          <w:b/>
          <w:bCs/>
          <w:color w:val="auto"/>
          <w:kern w:val="0"/>
          <w:highlight w:val="none"/>
        </w:rPr>
        <w:br w:type="page"/>
      </w:r>
      <w:bookmarkStart w:id="23" w:name="_Toc517178993"/>
      <w:bookmarkEnd w:id="23"/>
      <w:bookmarkStart w:id="24" w:name="_Toc16938519"/>
      <w:bookmarkEnd w:id="24"/>
      <w:bookmarkStart w:id="25" w:name="_Toc20823275"/>
      <w:bookmarkEnd w:id="25"/>
      <w:bookmarkStart w:id="26" w:name="_Toc16770549"/>
      <w:bookmarkEnd w:id="26"/>
      <w:bookmarkStart w:id="27" w:name="_Toc513029203"/>
      <w:bookmarkEnd w:id="27"/>
      <w:bookmarkStart w:id="28" w:name="_Toc120614214"/>
      <w:bookmarkEnd w:id="28"/>
      <w:bookmarkStart w:id="29" w:name="_Toc32643"/>
      <w:bookmarkStart w:id="30" w:name="_Toc2341_WPSOffice_Level1"/>
      <w:bookmarkStart w:id="31" w:name="_Toc27375_WPSOffice_Level1"/>
      <w:bookmarkStart w:id="32" w:name="_Toc3111_WPSOffice_Level1"/>
      <w:bookmarkStart w:id="33" w:name="_Toc4714_WPSOffice_Level1"/>
      <w:r>
        <w:rPr>
          <w:rFonts w:hint="eastAsia" w:ascii="宋体" w:hAnsi="宋体"/>
          <w:b/>
          <w:bCs/>
          <w:color w:val="auto"/>
          <w:kern w:val="0"/>
          <w:highlight w:val="none"/>
        </w:rPr>
        <w:t xml:space="preserve">    </w:t>
      </w:r>
      <w:r>
        <w:rPr>
          <w:rFonts w:hint="eastAsia" w:ascii="宋体" w:hAnsi="宋体" w:eastAsia="宋体" w:cs="宋体"/>
          <w:color w:val="auto"/>
          <w:highlight w:val="none"/>
        </w:rPr>
        <w:t>1.总则</w:t>
      </w:r>
    </w:p>
    <w:p w14:paraId="7D68B784">
      <w:pPr>
        <w:wordWrap w:val="0"/>
        <w:spacing w:line="460" w:lineRule="exact"/>
        <w:ind w:firstLine="480" w:firstLineChars="200"/>
        <w:jc w:val="left"/>
        <w:outlineLvl w:val="2"/>
        <w:rPr>
          <w:rFonts w:ascii="宋体" w:hAnsi="宋体" w:eastAsia="宋体" w:cs="宋体"/>
          <w:color w:val="auto"/>
          <w:sz w:val="24"/>
          <w:szCs w:val="24"/>
          <w:highlight w:val="none"/>
        </w:rPr>
      </w:pPr>
      <w:bookmarkStart w:id="34" w:name="_Toc20823276"/>
      <w:bookmarkEnd w:id="34"/>
      <w:bookmarkStart w:id="35" w:name="_Toc513029204"/>
      <w:bookmarkEnd w:id="35"/>
      <w:bookmarkStart w:id="36" w:name="_Toc16938520"/>
      <w:bookmarkEnd w:id="36"/>
      <w:bookmarkStart w:id="37" w:name="_Toc528078009"/>
      <w:r>
        <w:rPr>
          <w:rFonts w:hint="eastAsia" w:ascii="宋体" w:hAnsi="宋体" w:eastAsia="宋体" w:cs="宋体"/>
          <w:color w:val="auto"/>
          <w:sz w:val="24"/>
          <w:szCs w:val="24"/>
          <w:highlight w:val="none"/>
        </w:rPr>
        <w:t>1.1.1</w:t>
      </w:r>
      <w:bookmarkEnd w:id="37"/>
      <w:r>
        <w:rPr>
          <w:rFonts w:hint="eastAsia" w:ascii="宋体" w:hAnsi="宋体" w:eastAsia="宋体" w:cs="宋体"/>
          <w:color w:val="auto"/>
          <w:sz w:val="24"/>
          <w:szCs w:val="24"/>
          <w:highlight w:val="none"/>
        </w:rPr>
        <w:t>采购方式及</w:t>
      </w:r>
      <w:r>
        <w:rPr>
          <w:rFonts w:hint="eastAsia" w:ascii="宋体" w:hAnsi="宋体"/>
          <w:color w:val="auto"/>
          <w:sz w:val="24"/>
          <w:highlight w:val="none"/>
        </w:rPr>
        <w:t>项目概况</w:t>
      </w:r>
    </w:p>
    <w:p w14:paraId="68EDAA3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ascii="宋体" w:hAnsi="宋体"/>
          <w:color w:val="auto"/>
          <w:sz w:val="24"/>
          <w:highlight w:val="none"/>
        </w:rPr>
        <w:t>《中华人民共和国政府采购法》等有关法律、法规和规章的规定，本招标项目已具备</w:t>
      </w:r>
      <w:r>
        <w:rPr>
          <w:rFonts w:hint="eastAsia" w:ascii="宋体" w:hAnsi="宋体"/>
          <w:color w:val="auto"/>
          <w:sz w:val="24"/>
          <w:highlight w:val="none"/>
        </w:rPr>
        <w:t>磋商</w:t>
      </w:r>
      <w:r>
        <w:rPr>
          <w:rFonts w:ascii="宋体" w:hAnsi="宋体"/>
          <w:color w:val="auto"/>
          <w:sz w:val="24"/>
          <w:highlight w:val="none"/>
        </w:rPr>
        <w:t>条件，现对本项目进行</w:t>
      </w:r>
      <w:r>
        <w:rPr>
          <w:rFonts w:hint="eastAsia" w:ascii="宋体" w:hAnsi="宋体"/>
          <w:color w:val="auto"/>
          <w:sz w:val="24"/>
          <w:highlight w:val="none"/>
        </w:rPr>
        <w:t>磋商。</w:t>
      </w:r>
    </w:p>
    <w:p w14:paraId="0A1B816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本项目采购人：见供应商须知前附表。</w:t>
      </w:r>
    </w:p>
    <w:p w14:paraId="41D6E2E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本项目招标代理机构：见供应商须知前附表。</w:t>
      </w:r>
    </w:p>
    <w:p w14:paraId="1D371339">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本项目名称：见供应商须知前附表。</w:t>
      </w:r>
    </w:p>
    <w:p w14:paraId="765F4E0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本项目的资金来源：见供应商须知前附表。</w:t>
      </w:r>
    </w:p>
    <w:p w14:paraId="683EE13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本项目的出资比例：见供应商须知前附表。</w:t>
      </w:r>
    </w:p>
    <w:p w14:paraId="2D972CE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本项目的资金落实情况：见供应商须知前附表。。</w:t>
      </w:r>
    </w:p>
    <w:p w14:paraId="7AEF0830">
      <w:pPr>
        <w:spacing w:line="360" w:lineRule="auto"/>
        <w:ind w:firstLine="480" w:firstLineChars="200"/>
        <w:jc w:val="left"/>
        <w:rPr>
          <w:rFonts w:ascii="宋体" w:hAnsi="宋体"/>
          <w:color w:val="auto"/>
          <w:sz w:val="24"/>
          <w:highlight w:val="none"/>
        </w:rPr>
      </w:pPr>
      <w:bookmarkStart w:id="38" w:name="_Toc152042308"/>
      <w:bookmarkStart w:id="39" w:name="_Toc152045532"/>
      <w:bookmarkStart w:id="40" w:name="_Toc179632549"/>
      <w:bookmarkStart w:id="41" w:name="_Toc144974500"/>
      <w:r>
        <w:rPr>
          <w:rFonts w:hint="eastAsia" w:ascii="宋体" w:hAnsi="宋体"/>
          <w:color w:val="auto"/>
          <w:sz w:val="24"/>
          <w:highlight w:val="none"/>
        </w:rPr>
        <w:t>本项目采购范围：见供应商须知前附表。</w:t>
      </w:r>
    </w:p>
    <w:p w14:paraId="0E79AC4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本项目的质量标准：见供应商须知前附表。</w:t>
      </w:r>
    </w:p>
    <w:p w14:paraId="3A3DA2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本项目的交货期：见供应商须知前附表。</w:t>
      </w:r>
    </w:p>
    <w:p w14:paraId="1D46922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本项目交货地点：见供应商须知前附表。</w:t>
      </w:r>
    </w:p>
    <w:bookmarkEnd w:id="38"/>
    <w:bookmarkEnd w:id="39"/>
    <w:bookmarkEnd w:id="40"/>
    <w:bookmarkEnd w:id="41"/>
    <w:p w14:paraId="1368A58D">
      <w:pPr>
        <w:spacing w:line="360" w:lineRule="auto"/>
        <w:ind w:firstLine="480" w:firstLineChars="200"/>
        <w:jc w:val="left"/>
        <w:rPr>
          <w:rFonts w:ascii="宋体" w:hAnsi="宋体"/>
          <w:color w:val="auto"/>
          <w:sz w:val="24"/>
          <w:highlight w:val="none"/>
        </w:rPr>
      </w:pPr>
      <w:bookmarkStart w:id="42" w:name="_Toc152045533"/>
      <w:bookmarkStart w:id="43" w:name="_Toc144974501"/>
      <w:bookmarkStart w:id="44" w:name="_Toc152042309"/>
      <w:bookmarkStart w:id="45" w:name="_Toc179632550"/>
      <w:r>
        <w:rPr>
          <w:rFonts w:hint="eastAsia" w:ascii="宋体" w:hAnsi="宋体"/>
          <w:color w:val="auto"/>
          <w:sz w:val="24"/>
          <w:highlight w:val="none"/>
        </w:rPr>
        <w:t>投标人资格要求</w:t>
      </w:r>
      <w:bookmarkEnd w:id="42"/>
      <w:bookmarkEnd w:id="43"/>
      <w:bookmarkEnd w:id="44"/>
      <w:bookmarkEnd w:id="45"/>
      <w:r>
        <w:rPr>
          <w:rFonts w:hint="eastAsia" w:ascii="宋体" w:hAnsi="宋体"/>
          <w:color w:val="auto"/>
          <w:sz w:val="24"/>
          <w:highlight w:val="none"/>
        </w:rPr>
        <w:t>：见供应商须知前附表。</w:t>
      </w:r>
    </w:p>
    <w:p w14:paraId="12E8E6D8">
      <w:pPr>
        <w:wordWrap w:val="0"/>
        <w:spacing w:line="460" w:lineRule="exact"/>
        <w:ind w:firstLine="480" w:firstLineChars="200"/>
        <w:jc w:val="left"/>
        <w:outlineLvl w:val="2"/>
        <w:rPr>
          <w:rFonts w:ascii="宋体" w:hAnsi="宋体" w:eastAsia="宋体" w:cs="宋体"/>
          <w:color w:val="auto"/>
          <w:sz w:val="24"/>
          <w:szCs w:val="24"/>
          <w:highlight w:val="none"/>
        </w:rPr>
      </w:pPr>
      <w:bookmarkStart w:id="46" w:name="_Toc20823278"/>
      <w:bookmarkEnd w:id="46"/>
      <w:bookmarkStart w:id="47" w:name="_Toc16938522"/>
      <w:bookmarkEnd w:id="47"/>
      <w:bookmarkStart w:id="48" w:name="_Toc513029206"/>
      <w:bookmarkEnd w:id="48"/>
      <w:bookmarkStart w:id="49" w:name="_Toc528078010"/>
      <w:r>
        <w:rPr>
          <w:rFonts w:hint="eastAsia" w:ascii="宋体" w:hAnsi="宋体" w:eastAsia="宋体" w:cs="宋体"/>
          <w:color w:val="auto"/>
          <w:sz w:val="24"/>
          <w:szCs w:val="24"/>
          <w:highlight w:val="none"/>
        </w:rPr>
        <w:t>1.1.2</w:t>
      </w:r>
      <w:bookmarkEnd w:id="49"/>
      <w:r>
        <w:rPr>
          <w:rFonts w:hint="eastAsia" w:ascii="宋体" w:hAnsi="宋体" w:eastAsia="宋体" w:cs="宋体"/>
          <w:color w:val="auto"/>
          <w:sz w:val="24"/>
          <w:szCs w:val="24"/>
          <w:highlight w:val="none"/>
        </w:rPr>
        <w:t>适用法律</w:t>
      </w:r>
    </w:p>
    <w:p w14:paraId="489F435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7A684F51">
      <w:pPr>
        <w:wordWrap w:val="0"/>
        <w:spacing w:line="460" w:lineRule="exact"/>
        <w:ind w:firstLine="480" w:firstLineChars="200"/>
        <w:jc w:val="left"/>
        <w:outlineLvl w:val="2"/>
        <w:rPr>
          <w:rFonts w:ascii="宋体" w:hAnsi="宋体" w:eastAsia="宋体" w:cs="宋体"/>
          <w:color w:val="auto"/>
          <w:sz w:val="24"/>
          <w:szCs w:val="24"/>
          <w:highlight w:val="none"/>
        </w:rPr>
      </w:pPr>
      <w:bookmarkStart w:id="50" w:name="_Toc462564067"/>
      <w:bookmarkEnd w:id="50"/>
      <w:bookmarkStart w:id="51" w:name="_Toc20823279"/>
      <w:bookmarkEnd w:id="51"/>
      <w:bookmarkStart w:id="52" w:name="_Toc16938523"/>
      <w:bookmarkEnd w:id="52"/>
      <w:bookmarkStart w:id="53" w:name="_Toc513029207"/>
      <w:bookmarkEnd w:id="53"/>
      <w:bookmarkStart w:id="54" w:name="_Toc528078011"/>
      <w:r>
        <w:rPr>
          <w:rFonts w:hint="eastAsia" w:ascii="宋体" w:hAnsi="宋体" w:eastAsia="宋体" w:cs="宋体"/>
          <w:color w:val="auto"/>
          <w:sz w:val="24"/>
          <w:szCs w:val="24"/>
          <w:highlight w:val="none"/>
        </w:rPr>
        <w:t>1.1.3</w:t>
      </w:r>
      <w:bookmarkEnd w:id="54"/>
      <w:r>
        <w:rPr>
          <w:rFonts w:hint="eastAsia" w:ascii="宋体" w:hAnsi="宋体" w:eastAsia="宋体" w:cs="宋体"/>
          <w:color w:val="auto"/>
          <w:sz w:val="24"/>
          <w:szCs w:val="24"/>
          <w:highlight w:val="none"/>
        </w:rPr>
        <w:t>磋商费用</w:t>
      </w:r>
    </w:p>
    <w:p w14:paraId="60074FB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w:t>
      </w:r>
      <w:r>
        <w:rPr>
          <w:rFonts w:hint="eastAsia" w:ascii="宋体" w:hAnsi="宋体" w:cs="Calibri"/>
          <w:color w:val="auto"/>
          <w:sz w:val="24"/>
          <w:highlight w:val="none"/>
        </w:rPr>
        <w:t>招标代理服务费</w:t>
      </w:r>
      <w:r>
        <w:rPr>
          <w:rFonts w:hint="eastAsia" w:ascii="宋体" w:hAnsi="宋体" w:cs="Calibri"/>
          <w:color w:val="auto"/>
          <w:sz w:val="24"/>
          <w:highlight w:val="none"/>
          <w:lang w:val="en-US" w:eastAsia="zh-CN"/>
        </w:rPr>
        <w:t>参照《河南省招标代理服务收费指导意见》（豫招协〔2023〕002号）规定的服务类收费标准计算，具体如下：成交金额100万元以下部分按1.7%费率计算。本项目代理服务费（以实际成交金额计算为准），由成交供应商在领取成交通知书时向代理机构支付</w:t>
      </w:r>
      <w:r>
        <w:rPr>
          <w:rFonts w:hint="eastAsia" w:ascii="宋体" w:hAnsi="宋体" w:cs="Calibri"/>
          <w:color w:val="auto"/>
          <w:sz w:val="24"/>
          <w:highlight w:val="none"/>
        </w:rPr>
        <w:t>。</w:t>
      </w:r>
    </w:p>
    <w:p w14:paraId="246F119D">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55" w:name="_Toc513029209"/>
      <w:bookmarkEnd w:id="55"/>
      <w:bookmarkStart w:id="56" w:name="_Toc517178994"/>
      <w:bookmarkEnd w:id="56"/>
      <w:bookmarkStart w:id="57" w:name="_Toc403987206"/>
      <w:bookmarkEnd w:id="57"/>
      <w:bookmarkStart w:id="58" w:name="_Toc505350554"/>
      <w:bookmarkEnd w:id="58"/>
      <w:bookmarkStart w:id="59" w:name="_Toc504491968"/>
      <w:bookmarkEnd w:id="59"/>
      <w:bookmarkStart w:id="60" w:name="_Toc20823281"/>
      <w:bookmarkEnd w:id="60"/>
      <w:bookmarkStart w:id="61" w:name="_Toc16938525"/>
      <w:bookmarkEnd w:id="61"/>
      <w:bookmarkStart w:id="62" w:name="_Toc120614215"/>
      <w:bookmarkEnd w:id="62"/>
      <w:bookmarkStart w:id="63" w:name="_Toc528078012"/>
      <w:r>
        <w:rPr>
          <w:rFonts w:hint="eastAsia" w:ascii="宋体" w:hAnsi="宋体" w:eastAsia="宋体" w:cs="宋体"/>
          <w:color w:val="auto"/>
          <w:sz w:val="24"/>
          <w:szCs w:val="24"/>
          <w:highlight w:val="none"/>
        </w:rPr>
        <w:t>2.</w:t>
      </w:r>
      <w:bookmarkEnd w:id="63"/>
      <w:r>
        <w:rPr>
          <w:rFonts w:hint="eastAsia" w:ascii="宋体" w:hAnsi="宋体" w:eastAsia="宋体" w:cs="宋体"/>
          <w:color w:val="auto"/>
          <w:sz w:val="24"/>
          <w:szCs w:val="24"/>
          <w:highlight w:val="none"/>
        </w:rPr>
        <w:t>竞争性磋商文件</w:t>
      </w:r>
    </w:p>
    <w:p w14:paraId="014B2162">
      <w:pPr>
        <w:wordWrap w:val="0"/>
        <w:spacing w:line="460" w:lineRule="exact"/>
        <w:ind w:firstLine="480" w:firstLineChars="200"/>
        <w:jc w:val="left"/>
        <w:outlineLvl w:val="2"/>
        <w:rPr>
          <w:rFonts w:ascii="宋体" w:hAnsi="宋体" w:eastAsia="宋体" w:cs="宋体"/>
          <w:color w:val="auto"/>
          <w:sz w:val="24"/>
          <w:szCs w:val="24"/>
          <w:highlight w:val="none"/>
        </w:rPr>
      </w:pPr>
      <w:bookmarkStart w:id="64" w:name="_Toc20823282"/>
      <w:bookmarkEnd w:id="64"/>
      <w:bookmarkStart w:id="65" w:name="_Toc513029210"/>
      <w:bookmarkEnd w:id="65"/>
      <w:bookmarkStart w:id="66" w:name="_Toc16938526"/>
      <w:bookmarkEnd w:id="66"/>
      <w:bookmarkStart w:id="67" w:name="_Toc528078013"/>
      <w:r>
        <w:rPr>
          <w:rFonts w:hint="eastAsia" w:ascii="宋体" w:hAnsi="宋体" w:eastAsia="宋体" w:cs="宋体"/>
          <w:color w:val="auto"/>
          <w:sz w:val="24"/>
          <w:szCs w:val="24"/>
          <w:highlight w:val="none"/>
        </w:rPr>
        <w:t>2.1</w:t>
      </w:r>
      <w:bookmarkEnd w:id="67"/>
      <w:r>
        <w:rPr>
          <w:rFonts w:hint="eastAsia" w:ascii="宋体" w:hAnsi="宋体" w:eastAsia="宋体" w:cs="宋体"/>
          <w:color w:val="auto"/>
          <w:sz w:val="24"/>
          <w:szCs w:val="24"/>
          <w:highlight w:val="none"/>
        </w:rPr>
        <w:t>竞争性磋商文件构成</w:t>
      </w:r>
    </w:p>
    <w:p w14:paraId="3BED17B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3A77074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3B61E0BA">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2.1.3评标办法（综合评分法）</w:t>
      </w:r>
    </w:p>
    <w:p w14:paraId="5F5FD653">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5C90A99F">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65F20A23">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14:paraId="3DD13C92">
      <w:pPr>
        <w:wordWrap w:val="0"/>
        <w:spacing w:line="460" w:lineRule="exact"/>
        <w:ind w:firstLine="480" w:firstLineChars="200"/>
        <w:jc w:val="left"/>
        <w:outlineLvl w:val="2"/>
        <w:rPr>
          <w:rFonts w:ascii="宋体" w:hAnsi="宋体" w:eastAsia="宋体" w:cs="宋体"/>
          <w:color w:val="auto"/>
          <w:sz w:val="24"/>
          <w:szCs w:val="24"/>
          <w:highlight w:val="none"/>
        </w:rPr>
      </w:pPr>
      <w:bookmarkStart w:id="68" w:name="_Toc462564070"/>
      <w:bookmarkEnd w:id="68"/>
      <w:bookmarkStart w:id="69" w:name="_Toc16938527"/>
      <w:bookmarkEnd w:id="69"/>
      <w:bookmarkStart w:id="70" w:name="_Toc513029211"/>
      <w:bookmarkEnd w:id="70"/>
      <w:bookmarkStart w:id="71" w:name="_Toc20823283"/>
      <w:bookmarkEnd w:id="71"/>
      <w:bookmarkStart w:id="72" w:name="_Toc528078014"/>
      <w:r>
        <w:rPr>
          <w:rFonts w:hint="eastAsia" w:ascii="宋体" w:hAnsi="宋体" w:eastAsia="宋体" w:cs="宋体"/>
          <w:color w:val="auto"/>
          <w:sz w:val="24"/>
          <w:szCs w:val="24"/>
          <w:highlight w:val="none"/>
        </w:rPr>
        <w:t>2.2</w:t>
      </w:r>
      <w:bookmarkEnd w:id="72"/>
      <w:r>
        <w:rPr>
          <w:rFonts w:hint="eastAsia" w:ascii="宋体" w:hAnsi="宋体" w:eastAsia="宋体" w:cs="宋体"/>
          <w:color w:val="auto"/>
          <w:sz w:val="24"/>
          <w:szCs w:val="24"/>
          <w:highlight w:val="none"/>
        </w:rPr>
        <w:t>竞争性磋商文件的澄清及修改</w:t>
      </w:r>
    </w:p>
    <w:p w14:paraId="55A1921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2AEFE10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p>
    <w:p w14:paraId="7A52EEB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65F2D218">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2CB340FB">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73" w:name="_Toc528078015"/>
      <w:bookmarkEnd w:id="73"/>
      <w:bookmarkStart w:id="74" w:name="_Toc462564072"/>
      <w:bookmarkEnd w:id="74"/>
      <w:bookmarkStart w:id="75" w:name="_Toc504491969"/>
      <w:bookmarkEnd w:id="75"/>
      <w:bookmarkStart w:id="76" w:name="_Toc16938529"/>
      <w:bookmarkEnd w:id="76"/>
      <w:bookmarkStart w:id="77" w:name="_Toc403987207"/>
      <w:bookmarkEnd w:id="77"/>
      <w:bookmarkStart w:id="78" w:name="_Toc517178995"/>
      <w:bookmarkEnd w:id="78"/>
      <w:bookmarkStart w:id="79" w:name="_Toc120614216"/>
      <w:bookmarkEnd w:id="79"/>
      <w:bookmarkStart w:id="80" w:name="_Toc505350555"/>
      <w:bookmarkEnd w:id="80"/>
      <w:bookmarkStart w:id="81" w:name="_Toc20823285"/>
      <w:bookmarkEnd w:id="81"/>
      <w:r>
        <w:rPr>
          <w:rFonts w:hint="eastAsia" w:ascii="宋体" w:hAnsi="宋体" w:eastAsia="宋体" w:cs="宋体"/>
          <w:color w:val="auto"/>
          <w:sz w:val="24"/>
          <w:szCs w:val="24"/>
          <w:highlight w:val="none"/>
        </w:rPr>
        <w:t>3.磋商响应文件的编制及递交</w:t>
      </w:r>
    </w:p>
    <w:p w14:paraId="607EE45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66BA94F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78BA76C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6EEECFA0">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5AEA8DA3">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37A664C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393BAAF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6A2AD32F">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69F4F94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662EFA7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3807C54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0CF60FD2">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115C67D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0100D4E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23673C95">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3B2FB11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2EB6879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6FEBC06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118D52F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199D5CB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057E2E7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5F430FF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28D952FB">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1E79E1B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1.本项目实行资格后审，竞争性磋商文件中要求供应商提交营业执照、业绩、证书等相关资料</w:t>
      </w:r>
    </w:p>
    <w:p w14:paraId="7D1C107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2.供应商需应仔细阅读操作手册，保证上传内容齐全，真实有效，原件扫描件清晰可辨。因供应商上传原因导致应得分项而未得分或资格审查不合格等情况的，由供应商自行承担责任。</w:t>
      </w:r>
    </w:p>
    <w:p w14:paraId="312E372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48C97137">
      <w:pPr>
        <w:wordWrap w:val="0"/>
        <w:spacing w:line="460" w:lineRule="exact"/>
        <w:ind w:firstLine="480" w:firstLineChars="200"/>
        <w:jc w:val="left"/>
        <w:outlineLvl w:val="1"/>
        <w:rPr>
          <w:rFonts w:ascii="宋体" w:hAnsi="宋体" w:eastAsia="宋体" w:cs="宋体"/>
          <w:color w:val="auto"/>
          <w:sz w:val="24"/>
          <w:szCs w:val="24"/>
          <w:highlight w:val="none"/>
        </w:rPr>
      </w:pPr>
      <w:bookmarkStart w:id="82" w:name="_Toc528078016"/>
      <w:bookmarkEnd w:id="82"/>
      <w:r>
        <w:rPr>
          <w:rFonts w:hint="eastAsia" w:ascii="宋体" w:hAnsi="宋体" w:eastAsia="宋体" w:cs="宋体"/>
          <w:color w:val="auto"/>
          <w:sz w:val="24"/>
          <w:szCs w:val="24"/>
          <w:highlight w:val="none"/>
        </w:rPr>
        <w:t>3.初次报价表</w:t>
      </w:r>
    </w:p>
    <w:p w14:paraId="615D908B">
      <w:pPr>
        <w:wordWrap w:val="0"/>
        <w:spacing w:line="460" w:lineRule="exact"/>
        <w:ind w:firstLine="480" w:firstLineChars="200"/>
        <w:jc w:val="left"/>
        <w:outlineLvl w:val="2"/>
        <w:rPr>
          <w:rFonts w:ascii="宋体" w:hAnsi="宋体" w:eastAsia="宋体" w:cs="宋体"/>
          <w:color w:val="auto"/>
          <w:sz w:val="24"/>
          <w:szCs w:val="24"/>
          <w:highlight w:val="none"/>
        </w:rPr>
      </w:pPr>
      <w:bookmarkStart w:id="83" w:name="_Toc528078017"/>
      <w:bookmarkEnd w:id="83"/>
      <w:r>
        <w:rPr>
          <w:rFonts w:hint="eastAsia" w:ascii="宋体" w:hAnsi="宋体" w:eastAsia="宋体" w:cs="宋体"/>
          <w:color w:val="auto"/>
          <w:sz w:val="24"/>
          <w:szCs w:val="24"/>
          <w:highlight w:val="none"/>
        </w:rPr>
        <w:t>3.1供应商应按照竞争性磋商文件规定格式填报</w:t>
      </w:r>
      <w:bookmarkStart w:id="84" w:name="_Hlt26670399"/>
      <w:bookmarkEnd w:id="84"/>
      <w:r>
        <w:rPr>
          <w:rFonts w:hint="eastAsia" w:ascii="宋体" w:hAnsi="宋体" w:eastAsia="宋体" w:cs="宋体"/>
          <w:color w:val="auto"/>
          <w:sz w:val="24"/>
          <w:szCs w:val="24"/>
          <w:highlight w:val="none"/>
        </w:rPr>
        <w:t>初次报价表。每项费用允许有一个报价，任何有选择的报价将不予接受。</w:t>
      </w:r>
    </w:p>
    <w:p w14:paraId="66E9309B">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69E5095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67C68FAE">
      <w:pPr>
        <w:wordWrap w:val="0"/>
        <w:spacing w:line="460" w:lineRule="exact"/>
        <w:ind w:firstLine="480" w:firstLineChars="200"/>
        <w:jc w:val="left"/>
        <w:outlineLvl w:val="2"/>
        <w:rPr>
          <w:rFonts w:ascii="宋体" w:hAnsi="宋体" w:eastAsia="宋体" w:cs="宋体"/>
          <w:color w:val="auto"/>
          <w:sz w:val="24"/>
          <w:szCs w:val="24"/>
          <w:highlight w:val="none"/>
        </w:rPr>
      </w:pPr>
      <w:bookmarkStart w:id="85" w:name="_Toc528078018"/>
      <w:bookmarkEnd w:id="85"/>
      <w:r>
        <w:rPr>
          <w:rFonts w:hint="eastAsia" w:ascii="宋体" w:hAnsi="宋体" w:eastAsia="宋体" w:cs="宋体"/>
          <w:color w:val="auto"/>
          <w:sz w:val="24"/>
          <w:szCs w:val="24"/>
          <w:highlight w:val="none"/>
        </w:rPr>
        <w:t>3.3其它费用处理</w:t>
      </w:r>
    </w:p>
    <w:p w14:paraId="7B7EE26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2EF43B37">
      <w:pPr>
        <w:wordWrap w:val="0"/>
        <w:spacing w:line="460" w:lineRule="exact"/>
        <w:ind w:firstLine="480" w:firstLineChars="200"/>
        <w:jc w:val="left"/>
        <w:outlineLvl w:val="2"/>
        <w:rPr>
          <w:rFonts w:ascii="宋体" w:hAnsi="宋体" w:eastAsia="宋体" w:cs="宋体"/>
          <w:color w:val="auto"/>
          <w:sz w:val="24"/>
          <w:szCs w:val="24"/>
          <w:highlight w:val="none"/>
        </w:rPr>
      </w:pPr>
      <w:bookmarkStart w:id="86" w:name="_Toc528078019"/>
      <w:bookmarkEnd w:id="86"/>
      <w:r>
        <w:rPr>
          <w:rFonts w:hint="eastAsia" w:ascii="宋体" w:hAnsi="宋体" w:eastAsia="宋体" w:cs="宋体"/>
          <w:color w:val="auto"/>
          <w:sz w:val="24"/>
          <w:szCs w:val="24"/>
          <w:highlight w:val="none"/>
        </w:rPr>
        <w:t>3.4响应文件货币</w:t>
      </w:r>
    </w:p>
    <w:p w14:paraId="7BD618F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024BB8EB">
      <w:pPr>
        <w:wordWrap w:val="0"/>
        <w:spacing w:line="460" w:lineRule="exact"/>
        <w:ind w:firstLine="480" w:firstLineChars="200"/>
        <w:jc w:val="left"/>
        <w:outlineLvl w:val="2"/>
        <w:rPr>
          <w:rFonts w:ascii="宋体" w:hAnsi="宋体" w:eastAsia="宋体" w:cs="宋体"/>
          <w:color w:val="auto"/>
          <w:sz w:val="24"/>
          <w:szCs w:val="24"/>
          <w:highlight w:val="none"/>
        </w:rPr>
      </w:pPr>
      <w:bookmarkStart w:id="87" w:name="_Toc528078020"/>
      <w:bookmarkEnd w:id="87"/>
      <w:r>
        <w:rPr>
          <w:rFonts w:hint="eastAsia" w:ascii="宋体" w:hAnsi="宋体" w:eastAsia="宋体" w:cs="宋体"/>
          <w:color w:val="auto"/>
          <w:sz w:val="24"/>
          <w:szCs w:val="24"/>
          <w:highlight w:val="none"/>
        </w:rPr>
        <w:t>3.5初次报价表上的价格应按下列方式填写：</w:t>
      </w:r>
    </w:p>
    <w:p w14:paraId="5F623575">
      <w:pPr>
        <w:wordWrap w:val="0"/>
        <w:spacing w:line="460" w:lineRule="exact"/>
        <w:ind w:firstLine="480" w:firstLineChars="200"/>
        <w:jc w:val="left"/>
        <w:rPr>
          <w:rFonts w:ascii="宋体" w:hAnsi="宋体" w:eastAsia="宋体" w:cs="宋体"/>
          <w:color w:val="auto"/>
          <w:sz w:val="24"/>
          <w:szCs w:val="24"/>
          <w:highlight w:val="none"/>
        </w:rPr>
      </w:pPr>
      <w:bookmarkStart w:id="88" w:name="_Hlt26668983"/>
      <w:bookmarkEnd w:id="88"/>
      <w:bookmarkStart w:id="89" w:name="_Hlt26954844"/>
      <w:bookmarkEnd w:id="89"/>
      <w:bookmarkStart w:id="90" w:name="_Hlt26670425"/>
      <w:bookmarkEnd w:id="90"/>
      <w:bookmarkStart w:id="91" w:name="_Hlt26670403"/>
      <w:bookmarkEnd w:id="91"/>
      <w:bookmarkStart w:id="92" w:name="_Hlt26954842"/>
      <w:bookmarkEnd w:id="92"/>
      <w:r>
        <w:rPr>
          <w:rFonts w:hint="eastAsia" w:ascii="宋体" w:hAnsi="宋体" w:eastAsia="宋体" w:cs="宋体"/>
          <w:color w:val="auto"/>
          <w:sz w:val="24"/>
          <w:szCs w:val="24"/>
          <w:highlight w:val="none"/>
        </w:rPr>
        <w:t>3.5.1项目总价：包括买方采购需求所涉及的所有费用。</w:t>
      </w:r>
    </w:p>
    <w:p w14:paraId="2F5EFE5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3A91F99D">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93" w:name="_Hlt26954731"/>
      <w:bookmarkEnd w:id="93"/>
      <w:bookmarkStart w:id="94" w:name="_Toc517178996"/>
      <w:bookmarkEnd w:id="94"/>
      <w:bookmarkStart w:id="95" w:name="_Hlt26954848"/>
      <w:bookmarkEnd w:id="95"/>
      <w:bookmarkStart w:id="96" w:name="_Hlt26670482"/>
      <w:bookmarkEnd w:id="96"/>
      <w:bookmarkStart w:id="97" w:name="_Hlt26954846"/>
      <w:bookmarkEnd w:id="97"/>
      <w:bookmarkStart w:id="98" w:name="_Hlt26670486"/>
      <w:bookmarkEnd w:id="98"/>
      <w:bookmarkStart w:id="99" w:name="_Toc505350556"/>
      <w:bookmarkEnd w:id="99"/>
      <w:bookmarkStart w:id="100" w:name="_Toc528078025"/>
      <w:r>
        <w:rPr>
          <w:rFonts w:hint="eastAsia" w:ascii="宋体" w:hAnsi="宋体" w:eastAsia="宋体" w:cs="宋体"/>
          <w:color w:val="auto"/>
          <w:sz w:val="24"/>
          <w:szCs w:val="24"/>
          <w:highlight w:val="none"/>
        </w:rPr>
        <w:t>4.磋商与评审</w:t>
      </w:r>
      <w:bookmarkEnd w:id="100"/>
      <w:bookmarkStart w:id="101" w:name="_Toc528078026"/>
      <w:bookmarkEnd w:id="101"/>
    </w:p>
    <w:p w14:paraId="3C37958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w:t>
      </w:r>
      <w:r>
        <w:rPr>
          <w:rFonts w:ascii="宋体" w:hAnsi="宋体" w:cs="宋体"/>
          <w:color w:val="auto"/>
          <w:sz w:val="24"/>
          <w:highlight w:val="none"/>
        </w:rPr>
        <w:t>负责磋商</w:t>
      </w:r>
      <w:r>
        <w:rPr>
          <w:rFonts w:hint="eastAsia" w:ascii="宋体" w:hAnsi="宋体" w:eastAsia="宋体" w:cs="宋体"/>
          <w:color w:val="auto"/>
          <w:sz w:val="24"/>
          <w:szCs w:val="24"/>
          <w:highlight w:val="none"/>
        </w:rPr>
        <w:t>。磋商小组由采购人代表和有关技术、经济等方面的专家组成，成员为3人。其中：技术、经济等方面的专家不能少于磋商小组成员的2/3。采购人代表不得担任磋商小组组长。2名磋商小组成员确定方式：从相关专家库中随机抽取。</w:t>
      </w:r>
      <w:bookmarkStart w:id="102" w:name="_Toc528078027"/>
      <w:bookmarkEnd w:id="102"/>
    </w:p>
    <w:p w14:paraId="464A3E4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根据《政府采购竞争性磋商采购方式管理办法》的规定，磋商小组应当履行以下义务：</w:t>
      </w:r>
    </w:p>
    <w:p w14:paraId="4CD3C0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w:t>
      </w:r>
      <w:r>
        <w:rPr>
          <w:rFonts w:ascii="宋体" w:hAnsi="宋体" w:cs="宋体"/>
          <w:color w:val="auto"/>
          <w:sz w:val="24"/>
          <w:highlight w:val="none"/>
        </w:rPr>
        <w:t>遵纪守法，客观、公正、</w:t>
      </w:r>
      <w:r>
        <w:rPr>
          <w:rFonts w:hint="eastAsia" w:ascii="宋体" w:hAnsi="宋体" w:cs="宋体"/>
          <w:color w:val="auto"/>
          <w:sz w:val="24"/>
          <w:highlight w:val="none"/>
        </w:rPr>
        <w:t>廉洁</w:t>
      </w:r>
      <w:r>
        <w:rPr>
          <w:rFonts w:ascii="宋体" w:hAnsi="宋体" w:cs="宋体"/>
          <w:color w:val="auto"/>
          <w:sz w:val="24"/>
          <w:highlight w:val="none"/>
        </w:rPr>
        <w:t xml:space="preserve">地履行职责； </w:t>
      </w:r>
    </w:p>
    <w:p w14:paraId="48C4AD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w:t>
      </w:r>
      <w:r>
        <w:rPr>
          <w:rFonts w:ascii="宋体" w:hAnsi="宋体" w:cs="宋体"/>
          <w:color w:val="auto"/>
          <w:sz w:val="24"/>
          <w:highlight w:val="none"/>
        </w:rPr>
        <w:t>根据竞争性磋商文件的规定独立进行评审，对个人的评审意见承担法律责任；磋商小组将综合分析、评审投标人的各项指标，而不以单项指标的优劣评定出成交候选</w:t>
      </w:r>
      <w:r>
        <w:rPr>
          <w:rFonts w:hint="eastAsia" w:ascii="宋体" w:hAnsi="宋体" w:cs="宋体"/>
          <w:color w:val="auto"/>
          <w:sz w:val="24"/>
          <w:highlight w:val="none"/>
        </w:rPr>
        <w:t>人</w:t>
      </w:r>
      <w:r>
        <w:rPr>
          <w:rFonts w:ascii="宋体" w:hAnsi="宋体" w:cs="宋体"/>
          <w:color w:val="auto"/>
          <w:sz w:val="24"/>
          <w:highlight w:val="none"/>
        </w:rPr>
        <w:t>或成交</w:t>
      </w:r>
      <w:r>
        <w:rPr>
          <w:rFonts w:hint="eastAsia" w:ascii="宋体" w:hAnsi="宋体" w:cs="宋体"/>
          <w:color w:val="auto"/>
          <w:sz w:val="24"/>
          <w:highlight w:val="none"/>
        </w:rPr>
        <w:t>人</w:t>
      </w:r>
      <w:r>
        <w:rPr>
          <w:rFonts w:ascii="宋体" w:hAnsi="宋体" w:cs="宋体"/>
          <w:color w:val="auto"/>
          <w:sz w:val="24"/>
          <w:highlight w:val="none"/>
        </w:rPr>
        <w:t>。</w:t>
      </w:r>
    </w:p>
    <w:p w14:paraId="0C04E5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w:t>
      </w:r>
      <w:r>
        <w:rPr>
          <w:rFonts w:ascii="宋体" w:hAnsi="宋体" w:cs="宋体"/>
          <w:color w:val="auto"/>
          <w:sz w:val="24"/>
          <w:highlight w:val="none"/>
        </w:rPr>
        <w:t>参与磋商报告的起草；</w:t>
      </w:r>
    </w:p>
    <w:p w14:paraId="3DB8C2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w:t>
      </w:r>
      <w:r>
        <w:rPr>
          <w:rFonts w:ascii="宋体" w:hAnsi="宋体" w:cs="宋体"/>
          <w:color w:val="auto"/>
          <w:sz w:val="24"/>
          <w:highlight w:val="none"/>
        </w:rPr>
        <w:t>配合采购人、代理机构答复投标人提出的质疑；</w:t>
      </w:r>
    </w:p>
    <w:p w14:paraId="571C32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w:t>
      </w:r>
      <w:r>
        <w:rPr>
          <w:rFonts w:ascii="宋体" w:hAnsi="宋体" w:cs="宋体"/>
          <w:color w:val="auto"/>
          <w:sz w:val="24"/>
          <w:highlight w:val="none"/>
        </w:rPr>
        <w:t>配合财政部门的投诉处理和监督检查工作。</w:t>
      </w:r>
    </w:p>
    <w:p w14:paraId="05C60B30">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szCs w:val="24"/>
          <w:highlight w:val="none"/>
        </w:rPr>
        <w:t>4.6</w:t>
      </w:r>
      <w:r>
        <w:rPr>
          <w:rFonts w:ascii="宋体" w:hAnsi="宋体" w:eastAsia="宋体" w:cs="宋体"/>
          <w:color w:val="auto"/>
          <w:sz w:val="24"/>
          <w:szCs w:val="24"/>
          <w:highlight w:val="none"/>
        </w:rPr>
        <w:t>磋商过程中，磋商小组成员有回避事由、擅离职守或者因健康等原因不能继续评审的，采购人有权更换。被更换的磋商小组成员作出的评审结论无效，由更换后的磋商小组成员重新进行评审。</w:t>
      </w:r>
    </w:p>
    <w:p w14:paraId="33EB163A">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14155294">
      <w:pPr>
        <w:wordWrap w:val="0"/>
        <w:spacing w:line="460" w:lineRule="exact"/>
        <w:ind w:firstLine="480" w:firstLineChars="200"/>
        <w:jc w:val="left"/>
        <w:outlineLvl w:val="2"/>
        <w:rPr>
          <w:rFonts w:ascii="宋体" w:hAnsi="宋体" w:eastAsia="宋体" w:cs="宋体"/>
          <w:color w:val="auto"/>
          <w:sz w:val="24"/>
          <w:szCs w:val="24"/>
          <w:highlight w:val="none"/>
        </w:rPr>
      </w:pPr>
      <w:bookmarkStart w:id="103" w:name="_Toc528078029"/>
      <w:bookmarkEnd w:id="103"/>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04BF5EB6">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评标委员会成员应当在评审报告上签字，对自己的评审意见承担法律责任。对评审报告有异议的，应当在评审报告上签署不同意见，并说明理由，否则视为同意评审报告。</w:t>
      </w:r>
    </w:p>
    <w:p w14:paraId="4E40FCD3">
      <w:pPr>
        <w:wordWrap w:val="0"/>
        <w:spacing w:line="460" w:lineRule="exact"/>
        <w:ind w:firstLine="480" w:firstLineChars="200"/>
        <w:jc w:val="left"/>
        <w:outlineLvl w:val="1"/>
        <w:rPr>
          <w:rFonts w:ascii="宋体" w:hAnsi="宋体" w:eastAsia="宋体" w:cs="宋体"/>
          <w:color w:val="auto"/>
          <w:sz w:val="24"/>
          <w:szCs w:val="24"/>
          <w:highlight w:val="none"/>
        </w:rPr>
      </w:pPr>
      <w:bookmarkStart w:id="104" w:name="_Toc528078030"/>
      <w:bookmarkEnd w:id="104"/>
      <w:r>
        <w:rPr>
          <w:rFonts w:hint="eastAsia" w:ascii="宋体" w:hAnsi="宋体" w:eastAsia="宋体" w:cs="宋体"/>
          <w:color w:val="auto"/>
          <w:sz w:val="24"/>
          <w:szCs w:val="24"/>
          <w:highlight w:val="none"/>
        </w:rPr>
        <w:t>6、响应文件审查</w:t>
      </w:r>
    </w:p>
    <w:p w14:paraId="70AF5F08">
      <w:pPr>
        <w:wordWrap w:val="0"/>
        <w:spacing w:line="460" w:lineRule="exact"/>
        <w:ind w:firstLine="480" w:firstLineChars="200"/>
        <w:jc w:val="left"/>
        <w:outlineLvl w:val="2"/>
        <w:rPr>
          <w:rFonts w:ascii="宋体" w:hAnsi="宋体" w:eastAsia="宋体" w:cs="宋体"/>
          <w:color w:val="auto"/>
          <w:sz w:val="24"/>
          <w:szCs w:val="24"/>
          <w:highlight w:val="none"/>
        </w:rPr>
      </w:pPr>
      <w:bookmarkStart w:id="105" w:name="_Toc528078031"/>
      <w:bookmarkEnd w:id="105"/>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60A6CCC">
      <w:pPr>
        <w:wordWrap w:val="0"/>
        <w:spacing w:line="460" w:lineRule="exact"/>
        <w:ind w:firstLine="480" w:firstLineChars="200"/>
        <w:jc w:val="left"/>
        <w:outlineLvl w:val="1"/>
        <w:rPr>
          <w:rFonts w:ascii="宋体" w:hAnsi="宋体" w:eastAsia="宋体" w:cs="宋体"/>
          <w:color w:val="auto"/>
          <w:sz w:val="24"/>
          <w:szCs w:val="24"/>
          <w:highlight w:val="none"/>
        </w:rPr>
      </w:pPr>
      <w:bookmarkStart w:id="106" w:name="_Toc16938548"/>
      <w:bookmarkEnd w:id="106"/>
      <w:bookmarkStart w:id="107" w:name="_Toc20823304"/>
      <w:bookmarkEnd w:id="107"/>
      <w:bookmarkStart w:id="108" w:name="_Toc513029232"/>
      <w:bookmarkEnd w:id="108"/>
      <w:r>
        <w:rPr>
          <w:rFonts w:hint="eastAsia" w:ascii="宋体" w:hAnsi="宋体" w:eastAsia="宋体" w:cs="宋体"/>
          <w:color w:val="auto"/>
          <w:sz w:val="24"/>
          <w:szCs w:val="24"/>
          <w:highlight w:val="none"/>
        </w:rPr>
        <w:t>7、磋商程序、最后报价、综合评分</w:t>
      </w:r>
    </w:p>
    <w:p w14:paraId="3034FB54">
      <w:pPr>
        <w:wordWrap w:val="0"/>
        <w:spacing w:line="460" w:lineRule="exact"/>
        <w:ind w:firstLine="480" w:firstLineChars="200"/>
        <w:jc w:val="left"/>
        <w:outlineLvl w:val="2"/>
        <w:rPr>
          <w:rFonts w:ascii="宋体" w:hAnsi="宋体" w:eastAsia="宋体" w:cs="宋体"/>
          <w:color w:val="auto"/>
          <w:sz w:val="24"/>
          <w:szCs w:val="24"/>
          <w:highlight w:val="none"/>
        </w:rPr>
      </w:pPr>
      <w:bookmarkStart w:id="109" w:name="_Toc528078034"/>
      <w:bookmarkEnd w:id="109"/>
      <w:r>
        <w:rPr>
          <w:rFonts w:hint="eastAsia" w:ascii="宋体" w:hAnsi="宋体" w:eastAsia="宋体" w:cs="宋体"/>
          <w:color w:val="auto"/>
          <w:sz w:val="24"/>
          <w:szCs w:val="24"/>
          <w:highlight w:val="none"/>
        </w:rPr>
        <w:t>7.1</w:t>
      </w:r>
      <w:r>
        <w:rPr>
          <w:rFonts w:ascii="宋体" w:hAnsi="宋体" w:eastAsia="宋体" w:cs="宋体"/>
          <w:color w:val="auto"/>
          <w:sz w:val="24"/>
          <w:szCs w:val="24"/>
          <w:highlight w:val="none"/>
        </w:rPr>
        <w:t>磋商小组按照“第</w:t>
      </w:r>
      <w:r>
        <w:rPr>
          <w:rFonts w:hint="eastAsia" w:ascii="宋体" w:hAnsi="宋体" w:eastAsia="宋体" w:cs="宋体"/>
          <w:color w:val="auto"/>
          <w:sz w:val="24"/>
          <w:szCs w:val="24"/>
          <w:highlight w:val="none"/>
        </w:rPr>
        <w:t>三</w:t>
      </w:r>
      <w:r>
        <w:rPr>
          <w:rFonts w:ascii="宋体" w:hAnsi="宋体" w:eastAsia="宋体" w:cs="宋体"/>
          <w:color w:val="auto"/>
          <w:sz w:val="24"/>
          <w:szCs w:val="24"/>
          <w:highlight w:val="none"/>
        </w:rPr>
        <w:t>章 评审办法”规定的方法、评审因素、标准和程序对响应文件进行评审。综合评分法，是指响应文件满足磋商文件全部实质性要求且按评审因素的量化指标评审得分最高的供应商为成交候选供应商的评审方法</w:t>
      </w:r>
      <w:bookmarkStart w:id="110" w:name="_Toc528078035"/>
      <w:bookmarkEnd w:id="110"/>
      <w:r>
        <w:rPr>
          <w:rFonts w:ascii="宋体" w:hAnsi="宋体" w:eastAsia="宋体" w:cs="宋体"/>
          <w:color w:val="auto"/>
          <w:sz w:val="24"/>
          <w:szCs w:val="24"/>
          <w:highlight w:val="none"/>
        </w:rPr>
        <w:t>。</w:t>
      </w:r>
    </w:p>
    <w:p w14:paraId="6629A5BC">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r>
        <w:rPr>
          <w:rFonts w:ascii="宋体" w:hAnsi="宋体" w:eastAsia="宋体" w:cs="宋体"/>
          <w:color w:val="auto"/>
          <w:sz w:val="24"/>
          <w:szCs w:val="24"/>
          <w:highlight w:val="none"/>
        </w:rPr>
        <w:t>磋商小组负责审查电子响应文件是否符合磋商文件的要求，并进行审查、磋商、评估和比较。磋商小组认为必要时，可向供应商进行磋商。</w:t>
      </w:r>
    </w:p>
    <w:p w14:paraId="63172A55">
      <w:pPr>
        <w:wordWrap w:val="0"/>
        <w:spacing w:line="460" w:lineRule="exact"/>
        <w:ind w:firstLine="480" w:firstLineChars="200"/>
        <w:jc w:val="left"/>
        <w:outlineLvl w:val="2"/>
        <w:rPr>
          <w:rFonts w:ascii="宋体" w:hAnsi="宋体" w:eastAsia="宋体" w:cs="宋体"/>
          <w:color w:val="auto"/>
          <w:sz w:val="24"/>
          <w:szCs w:val="24"/>
          <w:highlight w:val="none"/>
        </w:rPr>
      </w:pPr>
      <w:bookmarkStart w:id="111" w:name="_Toc528078036"/>
      <w:bookmarkEnd w:id="111"/>
      <w:r>
        <w:rPr>
          <w:rFonts w:hint="eastAsia" w:ascii="宋体" w:hAnsi="宋体" w:eastAsia="宋体" w:cs="宋体"/>
          <w:color w:val="auto"/>
          <w:sz w:val="24"/>
          <w:szCs w:val="24"/>
          <w:highlight w:val="none"/>
        </w:rPr>
        <w:t>7.3</w:t>
      </w:r>
      <w:r>
        <w:rPr>
          <w:rFonts w:ascii="宋体" w:hAnsi="宋体" w:eastAsia="宋体" w:cs="宋体"/>
          <w:color w:val="auto"/>
          <w:sz w:val="24"/>
          <w:szCs w:val="24"/>
          <w:highlight w:val="none"/>
        </w:rPr>
        <w:t>本次磋商为分为初次报价、最终报价。</w:t>
      </w:r>
      <w:r>
        <w:rPr>
          <w:rFonts w:hint="eastAsia" w:ascii="宋体" w:hAnsi="宋体" w:eastAsia="宋体" w:cs="宋体"/>
          <w:color w:val="auto"/>
          <w:sz w:val="24"/>
          <w:szCs w:val="24"/>
          <w:highlight w:val="none"/>
        </w:rPr>
        <w:t>磋商文件能够详细列明采购标的的技术、服务要求的，磋商结束后，磋商小组将要求所有实质性响应的供应商在规定时间内提交最后报价。最后报价是供应商响应文件的有效组成部分。</w:t>
      </w:r>
    </w:p>
    <w:p w14:paraId="6A5A0183">
      <w:pPr>
        <w:wordWrap w:val="0"/>
        <w:spacing w:line="460" w:lineRule="exact"/>
        <w:ind w:firstLine="480" w:firstLineChars="200"/>
        <w:jc w:val="left"/>
        <w:outlineLvl w:val="2"/>
        <w:rPr>
          <w:rFonts w:ascii="宋体" w:hAnsi="宋体" w:eastAsia="宋体" w:cs="宋体"/>
          <w:color w:val="auto"/>
          <w:sz w:val="24"/>
          <w:szCs w:val="24"/>
          <w:highlight w:val="none"/>
        </w:rPr>
      </w:pPr>
      <w:bookmarkStart w:id="112" w:name="_Toc528078037"/>
      <w:bookmarkEnd w:id="112"/>
      <w:r>
        <w:rPr>
          <w:rFonts w:hint="eastAsia" w:ascii="宋体" w:hAnsi="宋体" w:eastAsia="宋体" w:cs="宋体"/>
          <w:color w:val="auto"/>
          <w:sz w:val="24"/>
          <w:szCs w:val="24"/>
          <w:highlight w:val="none"/>
        </w:rPr>
        <w:t>7.4已提交响应文件的供应商，在提交最后报价之前，可以根据磋商情况退出磋商。</w:t>
      </w:r>
    </w:p>
    <w:p w14:paraId="3D024CEB">
      <w:pPr>
        <w:wordWrap w:val="0"/>
        <w:spacing w:line="460" w:lineRule="exact"/>
        <w:ind w:firstLine="480" w:firstLineChars="200"/>
        <w:jc w:val="left"/>
        <w:outlineLvl w:val="2"/>
        <w:rPr>
          <w:rFonts w:ascii="宋体" w:hAnsi="宋体" w:eastAsia="宋体" w:cs="宋体"/>
          <w:color w:val="auto"/>
          <w:sz w:val="24"/>
          <w:szCs w:val="24"/>
          <w:highlight w:val="none"/>
        </w:rPr>
      </w:pPr>
      <w:bookmarkStart w:id="113" w:name="_Toc528078038"/>
      <w:bookmarkEnd w:id="113"/>
      <w:r>
        <w:rPr>
          <w:rFonts w:hint="eastAsia" w:ascii="宋体" w:hAnsi="宋体" w:eastAsia="宋体" w:cs="宋体"/>
          <w:color w:val="auto"/>
          <w:sz w:val="24"/>
          <w:szCs w:val="24"/>
          <w:highlight w:val="none"/>
        </w:rPr>
        <w:t>7.5评审时，磋商小组各成员独立对每个有效响应的文件进行评价、打分，然后汇总每个供应商每项评分因素的得分。</w:t>
      </w:r>
    </w:p>
    <w:p w14:paraId="527A544A">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7.6经磋商确定最终采购需求和提交最后报价的供应商后，由磋商小组采用综合评分法对提交最后报价的供应商的响应文件和最后报价进行综合评分。</w:t>
      </w:r>
      <w:bookmarkStart w:id="114" w:name="_Toc528078040"/>
      <w:bookmarkEnd w:id="114"/>
      <w:bookmarkStart w:id="115" w:name="_Toc528078039"/>
      <w:bookmarkEnd w:id="115"/>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3D9F7352">
      <w:pPr>
        <w:wordWrap w:val="0"/>
        <w:spacing w:line="460" w:lineRule="exact"/>
        <w:ind w:firstLine="480" w:firstLineChars="200"/>
        <w:jc w:val="left"/>
        <w:outlineLvl w:val="2"/>
        <w:rPr>
          <w:rFonts w:ascii="宋体" w:hAnsi="宋体" w:eastAsia="宋体" w:cs="宋体"/>
          <w:color w:val="auto"/>
          <w:sz w:val="24"/>
          <w:szCs w:val="24"/>
          <w:highlight w:val="none"/>
        </w:rPr>
      </w:pPr>
      <w:bookmarkStart w:id="116" w:name="_Toc528078041"/>
      <w:bookmarkEnd w:id="116"/>
      <w:r>
        <w:rPr>
          <w:rFonts w:hint="eastAsia" w:ascii="宋体" w:hAnsi="宋体" w:eastAsia="宋体" w:cs="宋体"/>
          <w:color w:val="auto"/>
          <w:sz w:val="24"/>
          <w:szCs w:val="24"/>
          <w:highlight w:val="none"/>
        </w:rPr>
        <w:t>7.7响应无效和终止磋商活动条款</w:t>
      </w:r>
    </w:p>
    <w:p w14:paraId="33ED0AB4">
      <w:pPr>
        <w:wordWrap w:val="0"/>
        <w:spacing w:line="460" w:lineRule="exact"/>
        <w:ind w:firstLine="480" w:firstLineChars="200"/>
        <w:jc w:val="left"/>
        <w:rPr>
          <w:rFonts w:ascii="宋体" w:hAnsi="宋体" w:eastAsia="宋体" w:cs="宋体"/>
          <w:color w:val="auto"/>
          <w:sz w:val="24"/>
          <w:szCs w:val="24"/>
          <w:highlight w:val="none"/>
        </w:rPr>
      </w:pPr>
      <w:bookmarkStart w:id="117" w:name="_Toc513029235"/>
      <w:bookmarkEnd w:id="117"/>
      <w:bookmarkStart w:id="118" w:name="_Toc16938551"/>
      <w:bookmarkEnd w:id="118"/>
      <w:r>
        <w:rPr>
          <w:rFonts w:hint="eastAsia" w:ascii="宋体" w:hAnsi="宋体" w:eastAsia="宋体" w:cs="宋体"/>
          <w:color w:val="auto"/>
          <w:sz w:val="24"/>
          <w:szCs w:val="24"/>
          <w:highlight w:val="none"/>
        </w:rPr>
        <w:t>1）未按照竞争性磋商文件规定要求签署、盖章的；</w:t>
      </w:r>
    </w:p>
    <w:p w14:paraId="57F7F75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201EBD1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3）投标文件含有采购人不能接受的附加条件的；</w:t>
      </w:r>
    </w:p>
    <w:p w14:paraId="1E42517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4）报价超过竞争性磋商文件中规定的预算金额或者最高限价的；</w:t>
      </w:r>
    </w:p>
    <w:p w14:paraId="3D9CACF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5）其他法律、法规及本竞争性磋商文件规定的属响应无效的情形。</w:t>
      </w:r>
    </w:p>
    <w:p w14:paraId="30698CC2">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621FDAE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3EF3B9B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262906A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3C71FB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highlight w:val="none"/>
        </w:rPr>
        <w:t>除《政府采购竞争性磋商采购方式管理暂行办法》第二十一条第三款规定的情形外，在采购过程中符合要求的投标人或者报价未超过采购预算的投标人不足</w:t>
      </w:r>
      <w:r>
        <w:rPr>
          <w:rFonts w:ascii="宋体" w:hAnsi="宋体" w:cs="宋体"/>
          <w:color w:val="auto"/>
          <w:sz w:val="24"/>
          <w:highlight w:val="none"/>
        </w:rPr>
        <w:t>3家的</w:t>
      </w:r>
      <w:r>
        <w:rPr>
          <w:rFonts w:hint="eastAsia" w:ascii="宋体" w:hAnsi="宋体" w:eastAsia="宋体" w:cs="宋体"/>
          <w:color w:val="auto"/>
          <w:sz w:val="24"/>
          <w:szCs w:val="24"/>
          <w:highlight w:val="none"/>
        </w:rPr>
        <w:t>。</w:t>
      </w:r>
    </w:p>
    <w:p w14:paraId="074272C0">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19" w:name="_Toc504491971"/>
      <w:bookmarkEnd w:id="119"/>
      <w:bookmarkStart w:id="120" w:name="_Toc505350557"/>
      <w:bookmarkEnd w:id="120"/>
      <w:bookmarkStart w:id="121" w:name="_Toc517178997"/>
      <w:bookmarkEnd w:id="121"/>
      <w:bookmarkStart w:id="122" w:name="_Toc528078042"/>
      <w:r>
        <w:rPr>
          <w:rFonts w:hint="eastAsia" w:ascii="宋体" w:hAnsi="宋体" w:eastAsia="宋体" w:cs="宋体"/>
          <w:color w:val="auto"/>
          <w:sz w:val="24"/>
          <w:szCs w:val="24"/>
          <w:highlight w:val="none"/>
        </w:rPr>
        <w:t>8.确定成交、询问及质疑</w:t>
      </w:r>
      <w:bookmarkEnd w:id="122"/>
    </w:p>
    <w:p w14:paraId="3957EC1B">
      <w:pPr>
        <w:wordWrap w:val="0"/>
        <w:spacing w:line="460" w:lineRule="exact"/>
        <w:ind w:firstLine="480" w:firstLineChars="200"/>
        <w:jc w:val="left"/>
        <w:outlineLvl w:val="2"/>
        <w:rPr>
          <w:rFonts w:ascii="宋体" w:hAnsi="宋体" w:eastAsia="宋体" w:cs="宋体"/>
          <w:color w:val="auto"/>
          <w:sz w:val="24"/>
          <w:szCs w:val="24"/>
          <w:highlight w:val="none"/>
        </w:rPr>
      </w:pPr>
      <w:bookmarkStart w:id="123" w:name="_Toc20823310"/>
      <w:bookmarkEnd w:id="123"/>
      <w:bookmarkStart w:id="124" w:name="_Toc16938554"/>
      <w:bookmarkEnd w:id="124"/>
      <w:bookmarkStart w:id="125" w:name="_Toc528078043"/>
      <w:r>
        <w:rPr>
          <w:rFonts w:hint="eastAsia" w:ascii="宋体" w:hAnsi="宋体" w:eastAsia="宋体" w:cs="宋体"/>
          <w:color w:val="auto"/>
          <w:sz w:val="24"/>
          <w:szCs w:val="24"/>
          <w:highlight w:val="none"/>
        </w:rPr>
        <w:t>8.1</w:t>
      </w:r>
      <w:bookmarkEnd w:id="125"/>
      <w:r>
        <w:rPr>
          <w:rFonts w:hint="eastAsia" w:ascii="宋体" w:hAnsi="宋体" w:eastAsia="宋体" w:cs="宋体"/>
          <w:color w:val="auto"/>
          <w:sz w:val="24"/>
          <w:szCs w:val="24"/>
          <w:highlight w:val="none"/>
        </w:rPr>
        <w:t>确定成交供应商</w:t>
      </w:r>
    </w:p>
    <w:p w14:paraId="561B831E">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0801BF0E">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47165C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8.1.2成交供应商确定后2个工作日内在“《中国招标投标公共服务平台》、《河南省政府采购网》和《三门峡市公共资源交易中心网》”公告成交结果。</w:t>
      </w:r>
    </w:p>
    <w:p w14:paraId="01685394">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26" w:name="_Toc517178998"/>
      <w:bookmarkEnd w:id="126"/>
      <w:bookmarkStart w:id="127" w:name="_Toc504491972"/>
      <w:bookmarkEnd w:id="127"/>
      <w:bookmarkStart w:id="128" w:name="_Toc403987211"/>
      <w:bookmarkEnd w:id="128"/>
      <w:bookmarkStart w:id="129" w:name="_Toc20823308"/>
      <w:bookmarkEnd w:id="129"/>
      <w:bookmarkStart w:id="130" w:name="_Toc513029236"/>
      <w:bookmarkEnd w:id="130"/>
      <w:bookmarkStart w:id="131" w:name="_Toc16938552"/>
      <w:bookmarkEnd w:id="131"/>
      <w:bookmarkStart w:id="132" w:name="_Toc505350558"/>
      <w:bookmarkEnd w:id="132"/>
      <w:bookmarkStart w:id="133" w:name="_Toc120614220"/>
      <w:bookmarkEnd w:id="133"/>
      <w:bookmarkStart w:id="134" w:name="_Toc200451960"/>
      <w:bookmarkEnd w:id="134"/>
      <w:bookmarkStart w:id="135" w:name="_Toc528078045"/>
      <w:r>
        <w:rPr>
          <w:rFonts w:hint="eastAsia" w:ascii="宋体" w:hAnsi="宋体" w:eastAsia="宋体" w:cs="宋体"/>
          <w:color w:val="auto"/>
          <w:sz w:val="24"/>
          <w:szCs w:val="24"/>
          <w:highlight w:val="none"/>
        </w:rPr>
        <w:t>9.</w:t>
      </w:r>
      <w:bookmarkEnd w:id="135"/>
      <w:r>
        <w:rPr>
          <w:rFonts w:hint="eastAsia" w:ascii="宋体" w:hAnsi="宋体" w:eastAsia="宋体" w:cs="宋体"/>
          <w:color w:val="auto"/>
          <w:sz w:val="24"/>
          <w:szCs w:val="24"/>
          <w:highlight w:val="none"/>
        </w:rPr>
        <w:t>授予合同</w:t>
      </w:r>
    </w:p>
    <w:p w14:paraId="6C460B89">
      <w:pPr>
        <w:wordWrap w:val="0"/>
        <w:spacing w:line="460" w:lineRule="exact"/>
        <w:ind w:firstLine="480" w:firstLineChars="200"/>
        <w:jc w:val="left"/>
        <w:outlineLvl w:val="2"/>
        <w:rPr>
          <w:rFonts w:ascii="宋体" w:hAnsi="宋体" w:eastAsia="宋体" w:cs="宋体"/>
          <w:color w:val="auto"/>
          <w:sz w:val="24"/>
          <w:szCs w:val="24"/>
          <w:highlight w:val="none"/>
        </w:rPr>
      </w:pPr>
      <w:bookmarkStart w:id="136" w:name="_Toc16938553"/>
      <w:bookmarkEnd w:id="136"/>
      <w:bookmarkStart w:id="137" w:name="_Toc20823309"/>
      <w:bookmarkEnd w:id="137"/>
      <w:bookmarkStart w:id="138" w:name="_Toc513029237"/>
      <w:bookmarkEnd w:id="138"/>
      <w:bookmarkStart w:id="139" w:name="_Toc528078046"/>
      <w:r>
        <w:rPr>
          <w:rFonts w:hint="eastAsia" w:ascii="宋体" w:hAnsi="宋体" w:eastAsia="宋体" w:cs="宋体"/>
          <w:color w:val="auto"/>
          <w:sz w:val="24"/>
          <w:szCs w:val="24"/>
          <w:highlight w:val="none"/>
        </w:rPr>
        <w:t>9.1签订合同</w:t>
      </w:r>
      <w:bookmarkEnd w:id="139"/>
    </w:p>
    <w:p w14:paraId="5796AF7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62014A2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0F0D08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40" w:name="_Toc20823314"/>
      <w:bookmarkEnd w:id="140"/>
      <w:bookmarkStart w:id="141" w:name="_Toc517178999"/>
      <w:bookmarkEnd w:id="141"/>
      <w:bookmarkStart w:id="142" w:name="_Toc513029242"/>
      <w:bookmarkEnd w:id="142"/>
      <w:bookmarkStart w:id="143" w:name="_Toc528078047"/>
      <w:bookmarkEnd w:id="143"/>
      <w:bookmarkStart w:id="144" w:name="_Toc479757207"/>
      <w:bookmarkEnd w:id="144"/>
      <w:bookmarkStart w:id="145" w:name="_Toc479757211"/>
      <w:bookmarkEnd w:id="145"/>
      <w:bookmarkStart w:id="146" w:name="_Toc120614221"/>
      <w:bookmarkEnd w:id="146"/>
      <w:bookmarkStart w:id="147" w:name="_Toc16938558"/>
      <w:bookmarkEnd w:id="147"/>
      <w:bookmarkStart w:id="148" w:name="_Hlt16619475"/>
      <w:bookmarkEnd w:id="148"/>
      <w:bookmarkStart w:id="149" w:name="_Toc528078062"/>
      <w:r>
        <w:rPr>
          <w:rFonts w:hint="eastAsia" w:ascii="宋体" w:hAnsi="宋体" w:eastAsia="宋体" w:cs="宋体"/>
          <w:color w:val="auto"/>
          <w:sz w:val="24"/>
          <w:szCs w:val="24"/>
          <w:highlight w:val="none"/>
        </w:rPr>
        <w:t>。</w:t>
      </w:r>
      <w:bookmarkEnd w:id="149"/>
    </w:p>
    <w:p w14:paraId="72167221">
      <w:pPr>
        <w:wordWrap w:val="0"/>
        <w:spacing w:line="460" w:lineRule="exact"/>
        <w:ind w:firstLine="480" w:firstLineChars="200"/>
        <w:jc w:val="left"/>
        <w:outlineLvl w:val="2"/>
        <w:rPr>
          <w:rFonts w:ascii="宋体" w:hAnsi="宋体" w:eastAsia="宋体" w:cs="宋体"/>
          <w:color w:val="auto"/>
          <w:sz w:val="24"/>
          <w:szCs w:val="24"/>
          <w:highlight w:val="none"/>
        </w:rPr>
      </w:pPr>
      <w:bookmarkStart w:id="150" w:name="_Toc528078044"/>
      <w:r>
        <w:rPr>
          <w:rFonts w:hint="eastAsia" w:ascii="宋体" w:hAnsi="宋体" w:eastAsia="宋体" w:cs="宋体"/>
          <w:color w:val="auto"/>
          <w:sz w:val="24"/>
          <w:szCs w:val="24"/>
          <w:highlight w:val="none"/>
        </w:rPr>
        <w:t>10.询问及质疑</w:t>
      </w:r>
      <w:bookmarkEnd w:id="150"/>
    </w:p>
    <w:p w14:paraId="33109C0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10.1询问及质疑依据《中华人民共和国政府采购法》、《中华人民共和国政府采购法实施条例》及相关法律法规处理。</w:t>
      </w:r>
    </w:p>
    <w:p w14:paraId="357B1382">
      <w:pPr>
        <w:widowControl/>
        <w:spacing w:line="480" w:lineRule="exact"/>
        <w:ind w:firstLine="480" w:firstLineChars="200"/>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质疑</w:t>
      </w:r>
    </w:p>
    <w:p w14:paraId="48917891">
      <w:pPr>
        <w:spacing w:line="500" w:lineRule="exact"/>
        <w:ind w:firstLine="480" w:firstLineChars="200"/>
        <w:rPr>
          <w:rFonts w:ascii="宋体" w:hAnsi="宋体" w:eastAsia="宋体" w:cs="Times New Roman"/>
          <w:color w:val="auto"/>
          <w:sz w:val="24"/>
          <w:szCs w:val="24"/>
          <w:highlight w:val="none"/>
        </w:rPr>
      </w:pPr>
      <w:bookmarkStart w:id="151" w:name="_Toc466566702"/>
      <w:r>
        <w:rPr>
          <w:rFonts w:hint="eastAsia" w:ascii="宋体" w:hAnsi="宋体" w:eastAsia="宋体" w:cs="Times New Roman"/>
          <w:color w:val="auto"/>
          <w:sz w:val="24"/>
          <w:szCs w:val="24"/>
          <w:highlight w:val="none"/>
        </w:rPr>
        <w:t>10.</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7184DF7E">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40572377">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27450AB9">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2F0B270B">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17BA04B2">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48F4E06D">
      <w:pPr>
        <w:spacing w:line="500" w:lineRule="exact"/>
        <w:ind w:firstLine="480" w:firstLineChars="200"/>
        <w:rPr>
          <w:rFonts w:ascii="Calibri" w:hAnsi="Calibri" w:eastAsia="宋体" w:cs="Times New Roman"/>
          <w:color w:val="auto"/>
          <w:kern w:val="0"/>
          <w:sz w:val="24"/>
          <w:szCs w:val="24"/>
          <w:highlight w:val="none"/>
        </w:rPr>
      </w:pPr>
      <w:r>
        <w:rPr>
          <w:rFonts w:hint="eastAsia" w:ascii="宋体" w:hAnsi="宋体" w:eastAsia="宋体" w:cs="Times New Roman"/>
          <w:color w:val="auto"/>
          <w:sz w:val="24"/>
          <w:szCs w:val="24"/>
          <w:highlight w:val="none"/>
        </w:rPr>
        <w:t>10.</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724BA1FC">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6E682CBB">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68B3C6B6">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45B63B9B">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63A49EE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28762AD7">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10.2.8提出质疑的日期。</w:t>
      </w:r>
    </w:p>
    <w:p w14:paraId="198EB3D1">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5A5B5358">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129A8D48">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77DEC49A">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71F2F2D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52" w:name="第四部分_合同条款"/>
      <w:bookmarkEnd w:id="152"/>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69C421B4">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3B65CA08">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6E3A5EF4">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4D3BDF57">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0E33C4F4">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质疑函格式详见附件3</w:t>
      </w:r>
    </w:p>
    <w:p w14:paraId="7C84E8A6">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10.2.9供应商和其他利害关系人认为本次竞争性磋商违反法律、法规和规章规定的，有权向有关行政监督部门投诉。</w:t>
      </w:r>
    </w:p>
    <w:p w14:paraId="641517B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79E70927">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6414E054">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598085B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p w14:paraId="488F5342">
      <w:pPr>
        <w:spacing w:line="48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11.需要补充的其他内容</w:t>
      </w:r>
    </w:p>
    <w:p w14:paraId="62A619E3">
      <w:pPr>
        <w:spacing w:before="181" w:line="220" w:lineRule="auto"/>
        <w:ind w:firstLine="234" w:firstLineChars="100"/>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11.1</w:t>
      </w:r>
      <w:r>
        <w:rPr>
          <w:rFonts w:ascii="宋体" w:hAnsi="宋体" w:eastAsia="宋体" w:cs="宋体"/>
          <w:color w:val="auto"/>
          <w:spacing w:val="-36"/>
          <w:sz w:val="24"/>
          <w:szCs w:val="24"/>
          <w:highlight w:val="none"/>
        </w:rPr>
        <w:t xml:space="preserve"> </w:t>
      </w:r>
      <w:r>
        <w:rPr>
          <w:rFonts w:ascii="宋体" w:hAnsi="宋体" w:eastAsia="宋体" w:cs="宋体"/>
          <w:color w:val="auto"/>
          <w:spacing w:val="-3"/>
          <w:sz w:val="24"/>
          <w:szCs w:val="24"/>
          <w:highlight w:val="none"/>
        </w:rPr>
        <w:t>其它未尽事宜，按国家有关法律、法规执行。</w:t>
      </w:r>
    </w:p>
    <w:p w14:paraId="41497102">
      <w:pPr>
        <w:spacing w:before="178" w:line="219" w:lineRule="auto"/>
        <w:ind w:firstLine="232" w:firstLineChars="100"/>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11.2</w:t>
      </w:r>
      <w:r>
        <w:rPr>
          <w:rFonts w:ascii="宋体" w:hAnsi="宋体" w:eastAsia="宋体" w:cs="宋体"/>
          <w:color w:val="auto"/>
          <w:spacing w:val="-39"/>
          <w:sz w:val="24"/>
          <w:szCs w:val="24"/>
          <w:highlight w:val="none"/>
        </w:rPr>
        <w:t xml:space="preserve"> </w:t>
      </w:r>
      <w:r>
        <w:rPr>
          <w:rFonts w:ascii="宋体" w:hAnsi="宋体" w:eastAsia="宋体" w:cs="宋体"/>
          <w:color w:val="auto"/>
          <w:spacing w:val="-4"/>
          <w:sz w:val="24"/>
          <w:szCs w:val="24"/>
          <w:highlight w:val="none"/>
        </w:rPr>
        <w:t>本招标文件解释权归采购人。</w:t>
      </w:r>
    </w:p>
    <w:p w14:paraId="57209851">
      <w:pPr>
        <w:widowControl/>
        <w:jc w:val="left"/>
        <w:rPr>
          <w:rFonts w:ascii="黑体" w:hAnsi="黑体" w:eastAsia="黑体" w:cs="黑体"/>
          <w:color w:val="auto"/>
          <w:spacing w:val="-9"/>
          <w:sz w:val="28"/>
          <w:szCs w:val="28"/>
          <w:highlight w:val="none"/>
        </w:rPr>
      </w:pPr>
      <w:r>
        <w:rPr>
          <w:rFonts w:ascii="黑体" w:hAnsi="黑体" w:eastAsia="黑体" w:cs="黑体"/>
          <w:color w:val="auto"/>
          <w:spacing w:val="-9"/>
          <w:sz w:val="28"/>
          <w:szCs w:val="28"/>
          <w:highlight w:val="none"/>
        </w:rPr>
        <w:br w:type="page"/>
      </w:r>
    </w:p>
    <w:p w14:paraId="5723F79C">
      <w:pPr>
        <w:spacing w:before="178" w:line="219" w:lineRule="auto"/>
        <w:ind w:firstLine="262" w:firstLineChars="100"/>
        <w:rPr>
          <w:rFonts w:ascii="黑体" w:hAnsi="黑体" w:eastAsia="黑体" w:cs="黑体"/>
          <w:color w:val="auto"/>
          <w:sz w:val="28"/>
          <w:szCs w:val="28"/>
          <w:highlight w:val="none"/>
        </w:rPr>
      </w:pPr>
      <w:r>
        <w:rPr>
          <w:rFonts w:ascii="黑体" w:hAnsi="黑体" w:eastAsia="黑体" w:cs="黑体"/>
          <w:color w:val="auto"/>
          <w:spacing w:val="-9"/>
          <w:sz w:val="28"/>
          <w:szCs w:val="28"/>
          <w:highlight w:val="none"/>
        </w:rPr>
        <w:t>附件</w:t>
      </w:r>
      <w:r>
        <w:rPr>
          <w:rFonts w:ascii="黑体" w:hAnsi="黑体" w:eastAsia="黑体" w:cs="黑体"/>
          <w:color w:val="auto"/>
          <w:spacing w:val="-45"/>
          <w:sz w:val="28"/>
          <w:szCs w:val="28"/>
          <w:highlight w:val="none"/>
        </w:rPr>
        <w:t xml:space="preserve"> </w:t>
      </w:r>
      <w:r>
        <w:rPr>
          <w:rFonts w:ascii="黑体" w:hAnsi="黑体" w:eastAsia="黑体" w:cs="黑体"/>
          <w:color w:val="auto"/>
          <w:spacing w:val="-9"/>
          <w:sz w:val="28"/>
          <w:szCs w:val="28"/>
          <w:highlight w:val="none"/>
        </w:rPr>
        <w:t>1</w:t>
      </w:r>
      <w:r>
        <w:rPr>
          <w:rFonts w:hint="eastAsia" w:ascii="黑体" w:hAnsi="黑体" w:eastAsia="黑体" w:cs="黑体"/>
          <w:color w:val="auto"/>
          <w:sz w:val="28"/>
          <w:szCs w:val="28"/>
          <w:highlight w:val="none"/>
        </w:rPr>
        <w:t xml:space="preserve">                </w:t>
      </w:r>
    </w:p>
    <w:p w14:paraId="05BA8BED">
      <w:pPr>
        <w:spacing w:before="178" w:line="219" w:lineRule="auto"/>
        <w:jc w:val="center"/>
        <w:rPr>
          <w:rFonts w:ascii="宋体" w:hAnsi="宋体" w:eastAsia="宋体" w:cs="宋体"/>
          <w:color w:val="auto"/>
          <w:sz w:val="24"/>
          <w:szCs w:val="24"/>
          <w:highlight w:val="none"/>
        </w:rPr>
      </w:pPr>
      <w:r>
        <w:rPr>
          <w:rFonts w:ascii="宋体" w:hAnsi="宋体" w:eastAsia="宋体" w:cs="宋体"/>
          <w:b/>
          <w:bCs/>
          <w:color w:val="auto"/>
          <w:spacing w:val="-5"/>
          <w:sz w:val="28"/>
          <w:szCs w:val="28"/>
          <w:highlight w:val="none"/>
        </w:rPr>
        <w:t>中小企业划型标准规定</w:t>
      </w:r>
    </w:p>
    <w:p w14:paraId="2E5AFA19">
      <w:pPr>
        <w:spacing w:line="117" w:lineRule="exact"/>
        <w:rPr>
          <w:color w:val="auto"/>
          <w:highlight w:val="none"/>
        </w:rPr>
      </w:pPr>
    </w:p>
    <w:tbl>
      <w:tblPr>
        <w:tblStyle w:val="37"/>
        <w:tblW w:w="9358" w:type="dxa"/>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0" w:type="dxa"/>
          <w:bottom w:w="0" w:type="dxa"/>
          <w:right w:w="0" w:type="dxa"/>
        </w:tblCellMar>
      </w:tblPr>
      <w:tblGrid>
        <w:gridCol w:w="1151"/>
        <w:gridCol w:w="1492"/>
        <w:gridCol w:w="726"/>
        <w:gridCol w:w="1244"/>
        <w:gridCol w:w="1961"/>
        <w:gridCol w:w="1756"/>
        <w:gridCol w:w="1028"/>
      </w:tblGrid>
      <w:tr w14:paraId="418E53C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54" w:hRule="atLeast"/>
          <w:jc w:val="center"/>
        </w:trPr>
        <w:tc>
          <w:tcPr>
            <w:tcW w:w="1151" w:type="dxa"/>
            <w:tcBorders>
              <w:bottom w:val="single" w:color="FFFFFF" w:sz="2" w:space="0"/>
              <w:right w:val="single" w:color="4F81BD" w:sz="2" w:space="0"/>
            </w:tcBorders>
            <w:shd w:val="clear" w:color="auto" w:fill="4F81BD"/>
          </w:tcPr>
          <w:p w14:paraId="47E270B8">
            <w:pPr>
              <w:pStyle w:val="36"/>
              <w:spacing w:before="226" w:line="221" w:lineRule="auto"/>
              <w:ind w:left="126"/>
              <w:rPr>
                <w:color w:val="auto"/>
                <w:sz w:val="21"/>
                <w:szCs w:val="21"/>
                <w:highlight w:val="none"/>
              </w:rPr>
            </w:pPr>
            <w:r>
              <w:rPr>
                <w:b/>
                <w:bCs/>
                <w:color w:val="auto"/>
                <w:spacing w:val="7"/>
                <w:sz w:val="21"/>
                <w:szCs w:val="21"/>
                <w:highlight w:val="none"/>
              </w:rPr>
              <w:t>行业名称</w:t>
            </w:r>
          </w:p>
        </w:tc>
        <w:tc>
          <w:tcPr>
            <w:tcW w:w="1492" w:type="dxa"/>
            <w:tcBorders>
              <w:left w:val="single" w:color="4F81BD" w:sz="2" w:space="0"/>
              <w:bottom w:val="single" w:color="FFFFFF" w:sz="2" w:space="0"/>
              <w:right w:val="single" w:color="4F81BD" w:sz="2" w:space="0"/>
            </w:tcBorders>
            <w:shd w:val="clear" w:color="auto" w:fill="4F81BD"/>
          </w:tcPr>
          <w:p w14:paraId="1B229A60">
            <w:pPr>
              <w:pStyle w:val="36"/>
              <w:spacing w:before="226" w:line="221" w:lineRule="auto"/>
              <w:ind w:left="296"/>
              <w:rPr>
                <w:color w:val="auto"/>
                <w:sz w:val="21"/>
                <w:szCs w:val="21"/>
                <w:highlight w:val="none"/>
              </w:rPr>
            </w:pPr>
            <w:r>
              <w:rPr>
                <w:b/>
                <w:bCs/>
                <w:color w:val="auto"/>
                <w:spacing w:val="8"/>
                <w:sz w:val="21"/>
                <w:szCs w:val="21"/>
                <w:highlight w:val="none"/>
              </w:rPr>
              <w:t>指标名称</w:t>
            </w:r>
          </w:p>
        </w:tc>
        <w:tc>
          <w:tcPr>
            <w:tcW w:w="726" w:type="dxa"/>
            <w:tcBorders>
              <w:left w:val="single" w:color="4F81BD" w:sz="2" w:space="0"/>
              <w:bottom w:val="single" w:color="FFFFFF" w:sz="2" w:space="0"/>
              <w:right w:val="single" w:color="4F81BD" w:sz="2" w:space="0"/>
            </w:tcBorders>
            <w:shd w:val="clear" w:color="auto" w:fill="4F81BD"/>
          </w:tcPr>
          <w:p w14:paraId="499B6D13">
            <w:pPr>
              <w:pStyle w:val="36"/>
              <w:spacing w:before="70" w:line="222" w:lineRule="auto"/>
              <w:ind w:left="137"/>
              <w:rPr>
                <w:color w:val="auto"/>
                <w:sz w:val="21"/>
                <w:szCs w:val="21"/>
                <w:highlight w:val="none"/>
              </w:rPr>
            </w:pPr>
            <w:r>
              <w:rPr>
                <w:b/>
                <w:bCs/>
                <w:color w:val="auto"/>
                <w:spacing w:val="3"/>
                <w:sz w:val="21"/>
                <w:szCs w:val="21"/>
                <w:highlight w:val="none"/>
              </w:rPr>
              <w:t>计量</w:t>
            </w:r>
          </w:p>
          <w:p w14:paraId="666F2D16">
            <w:pPr>
              <w:pStyle w:val="36"/>
              <w:spacing w:before="59" w:line="221" w:lineRule="auto"/>
              <w:ind w:left="139"/>
              <w:rPr>
                <w:color w:val="auto"/>
                <w:sz w:val="21"/>
                <w:szCs w:val="21"/>
                <w:highlight w:val="none"/>
              </w:rPr>
            </w:pPr>
            <w:r>
              <w:rPr>
                <w:b/>
                <w:bCs/>
                <w:color w:val="auto"/>
                <w:spacing w:val="2"/>
                <w:sz w:val="21"/>
                <w:szCs w:val="21"/>
                <w:highlight w:val="none"/>
              </w:rPr>
              <w:t>单位</w:t>
            </w:r>
          </w:p>
        </w:tc>
        <w:tc>
          <w:tcPr>
            <w:tcW w:w="1244" w:type="dxa"/>
            <w:tcBorders>
              <w:left w:val="single" w:color="4F81BD" w:sz="2" w:space="0"/>
              <w:bottom w:val="single" w:color="FFFFFF" w:sz="2" w:space="0"/>
              <w:right w:val="single" w:color="4F81BD" w:sz="2" w:space="0"/>
            </w:tcBorders>
            <w:shd w:val="clear" w:color="auto" w:fill="4F81BD"/>
          </w:tcPr>
          <w:p w14:paraId="23EA0F75">
            <w:pPr>
              <w:pStyle w:val="36"/>
              <w:spacing w:before="226" w:line="221" w:lineRule="auto"/>
              <w:ind w:left="402"/>
              <w:rPr>
                <w:color w:val="auto"/>
                <w:sz w:val="21"/>
                <w:szCs w:val="21"/>
                <w:highlight w:val="none"/>
              </w:rPr>
            </w:pPr>
            <w:r>
              <w:rPr>
                <w:b/>
                <w:bCs/>
                <w:color w:val="auto"/>
                <w:spacing w:val="2"/>
                <w:sz w:val="21"/>
                <w:szCs w:val="21"/>
                <w:highlight w:val="none"/>
              </w:rPr>
              <w:t>大型</w:t>
            </w:r>
          </w:p>
        </w:tc>
        <w:tc>
          <w:tcPr>
            <w:tcW w:w="1961" w:type="dxa"/>
            <w:tcBorders>
              <w:left w:val="single" w:color="4F81BD" w:sz="2" w:space="0"/>
              <w:bottom w:val="single" w:color="FFFFFF" w:sz="2" w:space="0"/>
              <w:right w:val="single" w:color="4F81BD" w:sz="2" w:space="0"/>
            </w:tcBorders>
            <w:shd w:val="clear" w:color="auto" w:fill="4F81BD"/>
          </w:tcPr>
          <w:p w14:paraId="12CFE3B9">
            <w:pPr>
              <w:pStyle w:val="36"/>
              <w:spacing w:before="226" w:line="221" w:lineRule="auto"/>
              <w:ind w:left="779"/>
              <w:rPr>
                <w:color w:val="auto"/>
                <w:sz w:val="21"/>
                <w:szCs w:val="21"/>
                <w:highlight w:val="none"/>
              </w:rPr>
            </w:pPr>
            <w:r>
              <w:rPr>
                <w:b/>
                <w:bCs/>
                <w:color w:val="auto"/>
                <w:spacing w:val="-5"/>
                <w:sz w:val="21"/>
                <w:szCs w:val="21"/>
                <w:highlight w:val="none"/>
              </w:rPr>
              <w:t>中型</w:t>
            </w:r>
          </w:p>
        </w:tc>
        <w:tc>
          <w:tcPr>
            <w:tcW w:w="1756" w:type="dxa"/>
            <w:tcBorders>
              <w:left w:val="single" w:color="4F81BD" w:sz="2" w:space="0"/>
              <w:bottom w:val="single" w:color="FFFFFF" w:sz="2" w:space="0"/>
              <w:right w:val="single" w:color="4F81BD" w:sz="2" w:space="0"/>
            </w:tcBorders>
            <w:shd w:val="clear" w:color="auto" w:fill="4F81BD"/>
          </w:tcPr>
          <w:p w14:paraId="462CEB6F">
            <w:pPr>
              <w:pStyle w:val="36"/>
              <w:spacing w:before="225" w:line="223" w:lineRule="auto"/>
              <w:ind w:left="664"/>
              <w:rPr>
                <w:color w:val="auto"/>
                <w:sz w:val="21"/>
                <w:szCs w:val="21"/>
                <w:highlight w:val="none"/>
              </w:rPr>
            </w:pPr>
            <w:r>
              <w:rPr>
                <w:b/>
                <w:bCs/>
                <w:color w:val="auto"/>
                <w:sz w:val="21"/>
                <w:szCs w:val="21"/>
                <w:highlight w:val="none"/>
              </w:rPr>
              <w:t>小型</w:t>
            </w:r>
          </w:p>
        </w:tc>
        <w:tc>
          <w:tcPr>
            <w:tcW w:w="1028" w:type="dxa"/>
            <w:tcBorders>
              <w:left w:val="single" w:color="4F81BD" w:sz="2" w:space="0"/>
              <w:bottom w:val="single" w:color="FFFFFF" w:sz="2" w:space="0"/>
              <w:right w:val="single" w:color="4F81BD" w:sz="2" w:space="0"/>
            </w:tcBorders>
            <w:shd w:val="clear" w:color="auto" w:fill="4F81BD"/>
          </w:tcPr>
          <w:p w14:paraId="65AC248A">
            <w:pPr>
              <w:pStyle w:val="36"/>
              <w:spacing w:before="225" w:line="221" w:lineRule="auto"/>
              <w:ind w:left="295"/>
              <w:rPr>
                <w:color w:val="auto"/>
                <w:sz w:val="21"/>
                <w:szCs w:val="21"/>
                <w:highlight w:val="none"/>
              </w:rPr>
            </w:pPr>
            <w:r>
              <w:rPr>
                <w:b/>
                <w:bCs/>
                <w:color w:val="auto"/>
                <w:spacing w:val="3"/>
                <w:sz w:val="21"/>
                <w:szCs w:val="21"/>
                <w:highlight w:val="none"/>
              </w:rPr>
              <w:t>微型</w:t>
            </w:r>
          </w:p>
        </w:tc>
      </w:tr>
      <w:tr w14:paraId="50CBAE0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727" w:hRule="atLeast"/>
          <w:jc w:val="center"/>
        </w:trPr>
        <w:tc>
          <w:tcPr>
            <w:tcW w:w="1151" w:type="dxa"/>
            <w:tcBorders>
              <w:top w:val="single" w:color="FFFFFF" w:sz="2" w:space="0"/>
              <w:bottom w:val="single" w:color="000000" w:sz="2" w:space="0"/>
            </w:tcBorders>
            <w:shd w:val="clear" w:color="auto" w:fill="B8CCE4"/>
          </w:tcPr>
          <w:p w14:paraId="044F97B6">
            <w:pPr>
              <w:spacing w:line="41" w:lineRule="exact"/>
              <w:ind w:firstLine="4"/>
              <w:rPr>
                <w:color w:val="auto"/>
                <w:highlight w:val="none"/>
              </w:rPr>
            </w:pPr>
            <w:r>
              <w:rPr>
                <w:color w:val="auto"/>
                <w:highlight w:val="none"/>
              </w:rPr>
              <mc:AlternateContent>
                <mc:Choice Requires="wps">
                  <w:drawing>
                    <wp:inline distT="0" distB="0" distL="114300" distR="114300">
                      <wp:extent cx="718185" cy="27940"/>
                      <wp:effectExtent l="0" t="0" r="13335" b="2540"/>
                      <wp:docPr id="5" name="任意多边形 5"/>
                      <wp:cNvGraphicFramePr/>
                      <a:graphic xmlns:a="http://schemas.openxmlformats.org/drawingml/2006/main">
                        <a:graphicData uri="http://schemas.microsoft.com/office/word/2010/wordprocessingShape">
                          <wps:wsp>
                            <wps:cNvSpPr/>
                            <wps:spPr>
                              <a:xfrm>
                                <a:off x="0" y="0"/>
                                <a:ext cx="718185" cy="27940"/>
                              </a:xfrm>
                              <a:custGeom>
                                <a:avLst/>
                                <a:gdLst/>
                                <a:ahLst/>
                                <a:cxnLst/>
                                <a:rect l="0" t="0" r="0" b="0"/>
                                <a:pathLst>
                                  <a:path w="1130" h="44">
                                    <a:moveTo>
                                      <a:pt x="0" y="43"/>
                                    </a:moveTo>
                                    <a:lnTo>
                                      <a:pt x="1130" y="43"/>
                                    </a:lnTo>
                                    <a:lnTo>
                                      <a:pt x="113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56.55pt;" fillcolor="#FFFFFF" filled="t" stroked="f" coordsize="1130,44" o:gfxdata="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Z93bnRAAAAAwEAAA8A&#10;AAAAAAAAAQAgAAAAIgAAAGRycy9kb3ducmV2LnhtbFBLAQIUABQAAAAIAIdO4kDJTVFkHgIAAJ0E&#10;AAAOAAAAAAAAAAEAIAAAACABAABkcnMvZTJvRG9jLnhtbFBLBQYAAAAABgAGAFkBAACwBQAAAAA=&#10;" path="m0,43l1130,43,1130,0,0,0,0,43xe">
                      <v:fill on="t" focussize="0,0"/>
                      <v:stroke on="f"/>
                      <v:imagedata o:title=""/>
                      <o:lock v:ext="edit" aspectratio="f"/>
                      <w10:wrap type="none"/>
                      <w10:anchorlock/>
                    </v:shape>
                  </w:pict>
                </mc:Fallback>
              </mc:AlternateContent>
            </w:r>
          </w:p>
          <w:p w14:paraId="6BF1EB1D">
            <w:pPr>
              <w:pStyle w:val="36"/>
              <w:spacing w:before="82" w:line="221" w:lineRule="auto"/>
              <w:ind w:left="125"/>
              <w:rPr>
                <w:color w:val="auto"/>
                <w:sz w:val="21"/>
                <w:szCs w:val="21"/>
                <w:highlight w:val="none"/>
              </w:rPr>
            </w:pPr>
            <w:r>
              <w:rPr>
                <w:color w:val="auto"/>
                <w:spacing w:val="2"/>
                <w:sz w:val="21"/>
                <w:szCs w:val="21"/>
                <w:highlight w:val="none"/>
              </w:rPr>
              <w:t>农、林、</w:t>
            </w:r>
          </w:p>
          <w:p w14:paraId="24FCDA82">
            <w:pPr>
              <w:pStyle w:val="36"/>
              <w:spacing w:before="60" w:line="221" w:lineRule="auto"/>
              <w:ind w:left="126"/>
              <w:rPr>
                <w:color w:val="auto"/>
                <w:sz w:val="21"/>
                <w:szCs w:val="21"/>
                <w:highlight w:val="none"/>
              </w:rPr>
            </w:pPr>
            <w:r>
              <w:rPr>
                <w:color w:val="auto"/>
                <w:spacing w:val="9"/>
                <w:sz w:val="21"/>
                <w:szCs w:val="21"/>
                <w:highlight w:val="none"/>
              </w:rPr>
              <w:t>牧、渔业</w:t>
            </w:r>
          </w:p>
        </w:tc>
        <w:tc>
          <w:tcPr>
            <w:tcW w:w="1492" w:type="dxa"/>
            <w:tcBorders>
              <w:top w:val="single" w:color="FFFFFF" w:sz="2" w:space="0"/>
              <w:bottom w:val="single" w:color="000000" w:sz="2" w:space="0"/>
            </w:tcBorders>
            <w:shd w:val="clear" w:color="auto" w:fill="B8CCE4"/>
          </w:tcPr>
          <w:p w14:paraId="7A1505E2">
            <w:pPr>
              <w:spacing w:line="41" w:lineRule="exact"/>
              <w:ind w:firstLine="26"/>
              <w:rPr>
                <w:color w:val="auto"/>
                <w:highlight w:val="none"/>
              </w:rPr>
            </w:pPr>
            <w:r>
              <w:rPr>
                <w:color w:val="auto"/>
                <w:highlight w:val="none"/>
              </w:rPr>
              <mc:AlternateContent>
                <mc:Choice Requires="wps">
                  <w:drawing>
                    <wp:inline distT="0" distB="0" distL="114300" distR="114300">
                      <wp:extent cx="921385" cy="27940"/>
                      <wp:effectExtent l="0" t="0" r="8255" b="2540"/>
                      <wp:docPr id="1" name="任意多边形 1"/>
                      <wp:cNvGraphicFramePr/>
                      <a:graphic xmlns:a="http://schemas.openxmlformats.org/drawingml/2006/main">
                        <a:graphicData uri="http://schemas.microsoft.com/office/word/2010/wordprocessingShape">
                          <wps:wsp>
                            <wps:cNvSpPr/>
                            <wps:spPr>
                              <a:xfrm>
                                <a:off x="0" y="0"/>
                                <a:ext cx="921385" cy="27940"/>
                              </a:xfrm>
                              <a:custGeom>
                                <a:avLst/>
                                <a:gdLst/>
                                <a:ahLst/>
                                <a:cxnLst/>
                                <a:rect l="0" t="0" r="0" b="0"/>
                                <a:pathLst>
                                  <a:path w="1451" h="44">
                                    <a:moveTo>
                                      <a:pt x="0" y="43"/>
                                    </a:moveTo>
                                    <a:lnTo>
                                      <a:pt x="1450" y="43"/>
                                    </a:lnTo>
                                    <a:lnTo>
                                      <a:pt x="145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72.55pt;" fillcolor="#FFFFFF" filled="t" stroked="f" coordsize="1451,44" o:gfxdata="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DPDnvTAAAAAwEAAA8AAAAA&#10;AAAAAQAgAAAAIgAAAGRycy9kb3ducmV2LnhtbFBLAQIUABQAAAAIAIdO4kDR901VGQIAAJ0EAAAO&#10;AAAAAAAAAAEAIAAAACIBAABkcnMvZTJvRG9jLnhtbFBLBQYAAAAABgAGAFkBAACtBQAAAAA=&#10;" path="m0,43l1450,43,1450,0,0,0,0,43xe">
                      <v:fill on="t" focussize="0,0"/>
                      <v:stroke on="f"/>
                      <v:imagedata o:title=""/>
                      <o:lock v:ext="edit" aspectratio="f"/>
                      <w10:wrap type="none"/>
                      <w10:anchorlock/>
                    </v:shape>
                  </w:pict>
                </mc:Fallback>
              </mc:AlternateContent>
            </w:r>
          </w:p>
          <w:p w14:paraId="076A4079">
            <w:pPr>
              <w:pStyle w:val="36"/>
              <w:spacing w:before="238" w:line="221" w:lineRule="auto"/>
              <w:ind w:left="130"/>
              <w:rPr>
                <w:color w:val="auto"/>
                <w:sz w:val="21"/>
                <w:szCs w:val="21"/>
                <w:highlight w:val="none"/>
              </w:rPr>
            </w:pPr>
            <w:r>
              <w:rPr>
                <w:color w:val="auto"/>
                <w:spacing w:val="9"/>
                <w:sz w:val="21"/>
                <w:szCs w:val="21"/>
                <w:highlight w:val="none"/>
              </w:rPr>
              <w:t>营业收入(Y)</w:t>
            </w:r>
          </w:p>
        </w:tc>
        <w:tc>
          <w:tcPr>
            <w:tcW w:w="726" w:type="dxa"/>
            <w:tcBorders>
              <w:top w:val="single" w:color="FFFFFF" w:sz="2" w:space="0"/>
              <w:bottom w:val="single" w:color="000000" w:sz="2" w:space="0"/>
            </w:tcBorders>
            <w:shd w:val="clear" w:color="auto" w:fill="B8CCE4"/>
          </w:tcPr>
          <w:p w14:paraId="3FE65660">
            <w:pPr>
              <w:spacing w:line="41" w:lineRule="exact"/>
              <w:ind w:firstLine="28"/>
              <w:rPr>
                <w:color w:val="auto"/>
                <w:highlight w:val="none"/>
              </w:rPr>
            </w:pPr>
            <w:r>
              <w:rPr>
                <w:color w:val="auto"/>
                <w:highlight w:val="none"/>
              </w:rPr>
              <mc:AlternateContent>
                <mc:Choice Requires="wps">
                  <w:drawing>
                    <wp:inline distT="0" distB="0" distL="114300" distR="114300">
                      <wp:extent cx="434340" cy="27940"/>
                      <wp:effectExtent l="0" t="0" r="7620" b="2540"/>
                      <wp:docPr id="2" name="任意多边形 2"/>
                      <wp:cNvGraphicFramePr/>
                      <a:graphic xmlns:a="http://schemas.openxmlformats.org/drawingml/2006/main">
                        <a:graphicData uri="http://schemas.microsoft.com/office/word/2010/wordprocessingShape">
                          <wps:wsp>
                            <wps:cNvSpPr/>
                            <wps:spPr>
                              <a:xfrm>
                                <a:off x="0" y="0"/>
                                <a:ext cx="434340" cy="27940"/>
                              </a:xfrm>
                              <a:custGeom>
                                <a:avLst/>
                                <a:gdLst/>
                                <a:ahLst/>
                                <a:cxnLst/>
                                <a:rect l="0" t="0" r="0" b="0"/>
                                <a:pathLst>
                                  <a:path w="684" h="44">
                                    <a:moveTo>
                                      <a:pt x="0" y="43"/>
                                    </a:moveTo>
                                    <a:lnTo>
                                      <a:pt x="683" y="43"/>
                                    </a:lnTo>
                                    <a:lnTo>
                                      <a:pt x="683"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34.2pt;" fillcolor="#FFFFFF" filled="t" stroked="f" coordsize="684,44" o:gfxdata="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dcf77UAAAAAgEAAA8A&#10;AAAAAAAAAQAgAAAAIgAAAGRycy9kb3ducmV2LnhtbFBLAQIUABQAAAAIAIdO4kCPVWyeGwIAAJoE&#10;AAAOAAAAAAAAAAEAIAAAACMBAABkcnMvZTJvRG9jLnhtbFBLBQYAAAAABgAGAFkBAACwBQAAAAA=&#10;" path="m0,43l683,43,683,0,0,0,0,43xe">
                      <v:fill on="t" focussize="0,0"/>
                      <v:stroke on="f"/>
                      <v:imagedata o:title=""/>
                      <o:lock v:ext="edit" aspectratio="f"/>
                      <w10:wrap type="none"/>
                      <w10:anchorlock/>
                    </v:shape>
                  </w:pict>
                </mc:Fallback>
              </mc:AlternateContent>
            </w:r>
          </w:p>
          <w:p w14:paraId="638D84FA">
            <w:pPr>
              <w:pStyle w:val="36"/>
              <w:spacing w:before="238" w:line="221" w:lineRule="auto"/>
              <w:ind w:left="142"/>
              <w:rPr>
                <w:color w:val="auto"/>
                <w:sz w:val="21"/>
                <w:szCs w:val="21"/>
                <w:highlight w:val="none"/>
              </w:rPr>
            </w:pPr>
            <w:r>
              <w:rPr>
                <w:color w:val="auto"/>
                <w:spacing w:val="1"/>
                <w:sz w:val="21"/>
                <w:szCs w:val="21"/>
                <w:highlight w:val="none"/>
              </w:rPr>
              <w:t>万元</w:t>
            </w:r>
          </w:p>
        </w:tc>
        <w:tc>
          <w:tcPr>
            <w:tcW w:w="1244" w:type="dxa"/>
            <w:tcBorders>
              <w:top w:val="single" w:color="FFFFFF" w:sz="2" w:space="0"/>
              <w:bottom w:val="single" w:color="000000" w:sz="2" w:space="0"/>
            </w:tcBorders>
            <w:shd w:val="clear" w:color="auto" w:fill="B8CCE4"/>
          </w:tcPr>
          <w:p w14:paraId="6B37C719">
            <w:pPr>
              <w:spacing w:line="41" w:lineRule="exact"/>
              <w:ind w:firstLine="29"/>
              <w:rPr>
                <w:color w:val="auto"/>
                <w:highlight w:val="none"/>
              </w:rPr>
            </w:pPr>
            <w:r>
              <w:rPr>
                <w:color w:val="auto"/>
                <w:highlight w:val="none"/>
              </w:rPr>
              <mc:AlternateContent>
                <mc:Choice Requires="wps">
                  <w:drawing>
                    <wp:inline distT="0" distB="0" distL="114300" distR="114300">
                      <wp:extent cx="763905" cy="27940"/>
                      <wp:effectExtent l="0" t="0" r="13335" b="2540"/>
                      <wp:docPr id="8" name="任意多边形 8"/>
                      <wp:cNvGraphicFramePr/>
                      <a:graphic xmlns:a="http://schemas.openxmlformats.org/drawingml/2006/main">
                        <a:graphicData uri="http://schemas.microsoft.com/office/word/2010/wordprocessingShape">
                          <wps:wsp>
                            <wps:cNvSpPr/>
                            <wps:spPr>
                              <a:xfrm>
                                <a:off x="0" y="0"/>
                                <a:ext cx="763905" cy="27940"/>
                              </a:xfrm>
                              <a:custGeom>
                                <a:avLst/>
                                <a:gdLst/>
                                <a:ahLst/>
                                <a:cxnLst/>
                                <a:rect l="0" t="0" r="0" b="0"/>
                                <a:pathLst>
                                  <a:path w="1203" h="44">
                                    <a:moveTo>
                                      <a:pt x="0" y="43"/>
                                    </a:moveTo>
                                    <a:lnTo>
                                      <a:pt x="1202" y="43"/>
                                    </a:lnTo>
                                    <a:lnTo>
                                      <a:pt x="1202"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60.15pt;" fillcolor="#FFFFFF" filled="t" stroked="f" coordsize="1203,44" o:gfxdata="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o+ij30wAAAAMB&#10;AAAPAAAAAAAAAAEAIAAAACIAAABkcnMvZG93bnJldi54bWxQSwECFAAUAAAACACHTuJAAtgYnSAC&#10;AACdBAAADgAAAAAAAAABACAAAAAiAQAAZHJzL2Uyb0RvYy54bWxQSwUGAAAAAAYABgBZAQAAtAUA&#10;AAAA&#10;" path="m0,43l1202,43,1202,0,0,0,0,43xe">
                      <v:fill on="t" focussize="0,0"/>
                      <v:stroke on="f"/>
                      <v:imagedata o:title=""/>
                      <o:lock v:ext="edit" aspectratio="f"/>
                      <w10:wrap type="none"/>
                      <w10:anchorlock/>
                    </v:shape>
                  </w:pict>
                </mc:Fallback>
              </mc:AlternateContent>
            </w:r>
          </w:p>
          <w:p w14:paraId="0245C35E">
            <w:pPr>
              <w:pStyle w:val="36"/>
              <w:spacing w:before="238" w:line="239" w:lineRule="auto"/>
              <w:ind w:left="168"/>
              <w:rPr>
                <w:color w:val="auto"/>
                <w:sz w:val="21"/>
                <w:szCs w:val="21"/>
                <w:highlight w:val="none"/>
              </w:rPr>
            </w:pPr>
            <w:r>
              <w:rPr>
                <w:color w:val="auto"/>
                <w:spacing w:val="7"/>
                <w:sz w:val="21"/>
                <w:szCs w:val="21"/>
                <w:highlight w:val="none"/>
              </w:rPr>
              <w:t>Y≥20000</w:t>
            </w:r>
          </w:p>
        </w:tc>
        <w:tc>
          <w:tcPr>
            <w:tcW w:w="1961" w:type="dxa"/>
            <w:tcBorders>
              <w:top w:val="single" w:color="FFFFFF" w:sz="2" w:space="0"/>
              <w:bottom w:val="single" w:color="000000" w:sz="2" w:space="0"/>
            </w:tcBorders>
            <w:shd w:val="clear" w:color="auto" w:fill="B8CCE4"/>
          </w:tcPr>
          <w:p w14:paraId="37FB63F5">
            <w:pPr>
              <w:spacing w:line="41" w:lineRule="exact"/>
              <w:ind w:firstLine="31"/>
              <w:rPr>
                <w:color w:val="auto"/>
                <w:highlight w:val="none"/>
              </w:rPr>
            </w:pPr>
            <w:r>
              <w:rPr>
                <w:color w:val="auto"/>
                <w:highlight w:val="none"/>
              </w:rPr>
              <mc:AlternateContent>
                <mc:Choice Requires="wps">
                  <w:drawing>
                    <wp:inline distT="0" distB="0" distL="114300" distR="114300">
                      <wp:extent cx="1219835" cy="27940"/>
                      <wp:effectExtent l="0" t="0" r="0" b="2540"/>
                      <wp:docPr id="7" name="任意多边形 7"/>
                      <wp:cNvGraphicFramePr/>
                      <a:graphic xmlns:a="http://schemas.openxmlformats.org/drawingml/2006/main">
                        <a:graphicData uri="http://schemas.microsoft.com/office/word/2010/wordprocessingShape">
                          <wps:wsp>
                            <wps:cNvSpPr/>
                            <wps:spPr>
                              <a:xfrm>
                                <a:off x="0" y="0"/>
                                <a:ext cx="1219835" cy="27940"/>
                              </a:xfrm>
                              <a:custGeom>
                                <a:avLst/>
                                <a:gdLst/>
                                <a:ahLst/>
                                <a:cxnLst/>
                                <a:rect l="0" t="0" r="0" b="0"/>
                                <a:pathLst>
                                  <a:path w="1921" h="44">
                                    <a:moveTo>
                                      <a:pt x="0" y="43"/>
                                    </a:moveTo>
                                    <a:lnTo>
                                      <a:pt x="1920" y="43"/>
                                    </a:lnTo>
                                    <a:lnTo>
                                      <a:pt x="1920"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96.05pt;" fillcolor="#FFFFFF" filled="t" stroked="f" coordsize="1921,44" o:gfxdata="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j/XcU1gAAAAMBAAAP&#10;AAAAAAAAAAEAIAAAACIAAABkcnMvZG93bnJldi54bWxQSwECFAAUAAAACACHTuJAxO4MUxoCAACe&#10;BAAADgAAAAAAAAABACAAAAAlAQAAZHJzL2Uyb0RvYy54bWxQSwUGAAAAAAYABgBZAQAAsQUAAAAA&#10;" path="m0,43l1920,43,1920,0,0,0,0,43xe">
                      <v:fill on="t" focussize="0,0"/>
                      <v:stroke on="f"/>
                      <v:imagedata o:title=""/>
                      <o:lock v:ext="edit" aspectratio="f"/>
                      <w10:wrap type="none"/>
                      <w10:anchorlock/>
                    </v:shape>
                  </w:pict>
                </mc:Fallback>
              </mc:AlternateContent>
            </w:r>
          </w:p>
          <w:p w14:paraId="4CF0F458">
            <w:pPr>
              <w:pStyle w:val="36"/>
              <w:spacing w:before="238" w:line="237" w:lineRule="auto"/>
              <w:ind w:left="252"/>
              <w:rPr>
                <w:color w:val="auto"/>
                <w:sz w:val="21"/>
                <w:szCs w:val="21"/>
                <w:highlight w:val="none"/>
              </w:rPr>
            </w:pPr>
            <w:r>
              <w:rPr>
                <w:color w:val="auto"/>
                <w:spacing w:val="7"/>
                <w:sz w:val="21"/>
                <w:szCs w:val="21"/>
                <w:highlight w:val="none"/>
              </w:rPr>
              <w:t>500≤Y＜20000</w:t>
            </w:r>
          </w:p>
        </w:tc>
        <w:tc>
          <w:tcPr>
            <w:tcW w:w="1756" w:type="dxa"/>
            <w:tcBorders>
              <w:top w:val="single" w:color="FFFFFF" w:sz="2" w:space="0"/>
              <w:bottom w:val="single" w:color="000000" w:sz="2" w:space="0"/>
            </w:tcBorders>
            <w:shd w:val="clear" w:color="auto" w:fill="B8CCE4"/>
          </w:tcPr>
          <w:p w14:paraId="1EF49CF1">
            <w:pPr>
              <w:spacing w:line="41" w:lineRule="exact"/>
              <w:ind w:firstLine="33"/>
              <w:rPr>
                <w:color w:val="auto"/>
                <w:highlight w:val="none"/>
              </w:rPr>
            </w:pPr>
            <w:r>
              <w:rPr>
                <w:color w:val="auto"/>
                <w:highlight w:val="none"/>
              </w:rPr>
              <mc:AlternateContent>
                <mc:Choice Requires="wps">
                  <w:drawing>
                    <wp:inline distT="0" distB="0" distL="114300" distR="114300">
                      <wp:extent cx="1089025" cy="27940"/>
                      <wp:effectExtent l="0" t="0" r="8255" b="2540"/>
                      <wp:docPr id="3" name="任意多边形 3"/>
                      <wp:cNvGraphicFramePr/>
                      <a:graphic xmlns:a="http://schemas.openxmlformats.org/drawingml/2006/main">
                        <a:graphicData uri="http://schemas.microsoft.com/office/word/2010/wordprocessingShape">
                          <wps:wsp>
                            <wps:cNvSpPr/>
                            <wps:spPr>
                              <a:xfrm>
                                <a:off x="0" y="0"/>
                                <a:ext cx="1089025" cy="27940"/>
                              </a:xfrm>
                              <a:custGeom>
                                <a:avLst/>
                                <a:gdLst/>
                                <a:ahLst/>
                                <a:cxnLst/>
                                <a:rect l="0" t="0" r="0" b="0"/>
                                <a:pathLst>
                                  <a:path w="1715" h="44">
                                    <a:moveTo>
                                      <a:pt x="0" y="43"/>
                                    </a:moveTo>
                                    <a:lnTo>
                                      <a:pt x="1714" y="43"/>
                                    </a:lnTo>
                                    <a:lnTo>
                                      <a:pt x="1714"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85.75pt;" fillcolor="#FFFFFF" filled="t" stroked="f" coordsize="1715,44" o:gfxdata="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UDYebTAAAA&#10;AwEAAA8AAAAAAAAAAQAgAAAAIgAAAGRycy9kb3ducmV2LnhtbFBLAQIUABQAAAAIAIdO4kCgFSS3&#10;IgIAAJ4EAAAOAAAAAAAAAAEAIAAAACIBAABkcnMvZTJvRG9jLnhtbFBLBQYAAAAABgAGAFkBAAC2&#10;BQAAAAA=&#10;" path="m0,43l1714,43,1714,0,0,0,0,43xe">
                      <v:fill on="t" focussize="0,0"/>
                      <v:stroke on="f"/>
                      <v:imagedata o:title=""/>
                      <o:lock v:ext="edit" aspectratio="f"/>
                      <w10:wrap type="none"/>
                      <w10:anchorlock/>
                    </v:shape>
                  </w:pict>
                </mc:Fallback>
              </mc:AlternateContent>
            </w:r>
          </w:p>
          <w:p w14:paraId="27A94778">
            <w:pPr>
              <w:pStyle w:val="36"/>
              <w:spacing w:before="238" w:line="237" w:lineRule="auto"/>
              <w:ind w:left="322"/>
              <w:rPr>
                <w:color w:val="auto"/>
                <w:sz w:val="21"/>
                <w:szCs w:val="21"/>
                <w:highlight w:val="none"/>
              </w:rPr>
            </w:pPr>
            <w:r>
              <w:rPr>
                <w:color w:val="auto"/>
                <w:spacing w:val="7"/>
                <w:sz w:val="21"/>
                <w:szCs w:val="21"/>
                <w:highlight w:val="none"/>
              </w:rPr>
              <w:t>50≤Y＜500</w:t>
            </w:r>
          </w:p>
        </w:tc>
        <w:tc>
          <w:tcPr>
            <w:tcW w:w="1028" w:type="dxa"/>
            <w:tcBorders>
              <w:top w:val="single" w:color="FFFFFF" w:sz="2" w:space="0"/>
              <w:bottom w:val="single" w:color="000000" w:sz="2" w:space="0"/>
            </w:tcBorders>
            <w:shd w:val="clear" w:color="auto" w:fill="B8CCE4"/>
          </w:tcPr>
          <w:p w14:paraId="415EB8B2">
            <w:pPr>
              <w:spacing w:line="41" w:lineRule="exact"/>
              <w:ind w:firstLine="35"/>
              <w:rPr>
                <w:color w:val="auto"/>
                <w:highlight w:val="none"/>
              </w:rPr>
            </w:pPr>
            <w:r>
              <w:rPr>
                <w:color w:val="auto"/>
                <w:highlight w:val="none"/>
              </w:rPr>
              <mc:AlternateContent>
                <mc:Choice Requires="wps">
                  <w:drawing>
                    <wp:inline distT="0" distB="0" distL="114300" distR="114300">
                      <wp:extent cx="622300" cy="27940"/>
                      <wp:effectExtent l="0" t="0" r="2540" b="2540"/>
                      <wp:docPr id="4" name="任意多边形 4"/>
                      <wp:cNvGraphicFramePr/>
                      <a:graphic xmlns:a="http://schemas.openxmlformats.org/drawingml/2006/main">
                        <a:graphicData uri="http://schemas.microsoft.com/office/word/2010/wordprocessingShape">
                          <wps:wsp>
                            <wps:cNvSpPr/>
                            <wps:spPr>
                              <a:xfrm>
                                <a:off x="0" y="0"/>
                                <a:ext cx="622300" cy="27940"/>
                              </a:xfrm>
                              <a:custGeom>
                                <a:avLst/>
                                <a:gdLst/>
                                <a:ahLst/>
                                <a:cxnLst/>
                                <a:rect l="0" t="0" r="0" b="0"/>
                                <a:pathLst>
                                  <a:path w="980" h="44">
                                    <a:moveTo>
                                      <a:pt x="0" y="43"/>
                                    </a:moveTo>
                                    <a:lnTo>
                                      <a:pt x="979" y="43"/>
                                    </a:lnTo>
                                    <a:lnTo>
                                      <a:pt x="979" y="0"/>
                                    </a:lnTo>
                                    <a:lnTo>
                                      <a:pt x="0" y="0"/>
                                    </a:lnTo>
                                    <a:lnTo>
                                      <a:pt x="0" y="43"/>
                                    </a:lnTo>
                                    <a:close/>
                                  </a:path>
                                </a:pathLst>
                              </a:custGeom>
                              <a:solidFill>
                                <a:srgbClr val="FFFFFF"/>
                              </a:solidFill>
                              <a:ln>
                                <a:noFill/>
                              </a:ln>
                            </wps:spPr>
                            <wps:bodyPr upright="1"/>
                          </wps:wsp>
                        </a:graphicData>
                      </a:graphic>
                    </wp:inline>
                  </w:drawing>
                </mc:Choice>
                <mc:Fallback>
                  <w:pict>
                    <v:shape id="_x0000_s1026" o:spid="_x0000_s1026" o:spt="100" style="height:2.2pt;width:49pt;" fillcolor="#FFFFFF" filled="t" stroked="f" coordsize="980,44" o:gfxdata="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Iy8NLRAAAAAgEAAA8A&#10;AAAAAAAAAQAgAAAAIgAAAGRycy9kb3ducmV2LnhtbFBLAQIUABQAAAAIAIdO4kCxSkiHHgIAAJoE&#10;AAAOAAAAAAAAAAEAIAAAACABAABkcnMvZTJvRG9jLnhtbFBLBQYAAAAABgAGAFkBAACwBQAAAAA=&#10;" path="m0,43l979,43,979,0,0,0,0,43xe">
                      <v:fill on="t" focussize="0,0"/>
                      <v:stroke on="f"/>
                      <v:imagedata o:title=""/>
                      <o:lock v:ext="edit" aspectratio="f"/>
                      <w10:wrap type="none"/>
                      <w10:anchorlock/>
                    </v:shape>
                  </w:pict>
                </mc:Fallback>
              </mc:AlternateContent>
            </w:r>
          </w:p>
          <w:p w14:paraId="3840BC99">
            <w:pPr>
              <w:pStyle w:val="36"/>
              <w:spacing w:before="238" w:line="241" w:lineRule="auto"/>
              <w:ind w:left="234"/>
              <w:rPr>
                <w:color w:val="auto"/>
                <w:sz w:val="21"/>
                <w:szCs w:val="21"/>
                <w:highlight w:val="none"/>
              </w:rPr>
            </w:pPr>
            <w:r>
              <w:rPr>
                <w:color w:val="auto"/>
                <w:spacing w:val="6"/>
                <w:sz w:val="21"/>
                <w:szCs w:val="21"/>
                <w:highlight w:val="none"/>
              </w:rPr>
              <w:t>Y＜50</w:t>
            </w:r>
          </w:p>
        </w:tc>
      </w:tr>
      <w:tr w14:paraId="4BB8529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2EEF6163">
            <w:pPr>
              <w:spacing w:line="424" w:lineRule="auto"/>
              <w:rPr>
                <w:color w:val="auto"/>
                <w:highlight w:val="none"/>
              </w:rPr>
            </w:pPr>
          </w:p>
          <w:p w14:paraId="54EBECCE">
            <w:pPr>
              <w:pStyle w:val="36"/>
              <w:spacing w:before="68" w:line="233" w:lineRule="auto"/>
              <w:ind w:left="235"/>
              <w:rPr>
                <w:color w:val="auto"/>
                <w:sz w:val="21"/>
                <w:szCs w:val="21"/>
                <w:highlight w:val="none"/>
              </w:rPr>
            </w:pPr>
            <w:r>
              <w:rPr>
                <w:color w:val="auto"/>
                <w:spacing w:val="2"/>
                <w:sz w:val="21"/>
                <w:szCs w:val="21"/>
                <w:highlight w:val="none"/>
              </w:rPr>
              <w:t>工业</w:t>
            </w:r>
            <w:r>
              <w:rPr>
                <w:color w:val="auto"/>
                <w:spacing w:val="36"/>
                <w:sz w:val="21"/>
                <w:szCs w:val="21"/>
                <w:highlight w:val="none"/>
              </w:rPr>
              <w:t xml:space="preserve"> </w:t>
            </w:r>
            <w:r>
              <w:rPr>
                <w:color w:val="auto"/>
                <w:spacing w:val="2"/>
                <w:sz w:val="21"/>
                <w:szCs w:val="21"/>
                <w:highlight w:val="none"/>
              </w:rPr>
              <w:t>*</w:t>
            </w:r>
          </w:p>
        </w:tc>
        <w:tc>
          <w:tcPr>
            <w:tcW w:w="1492" w:type="dxa"/>
            <w:tcBorders>
              <w:left w:val="single" w:color="4F81BD" w:sz="2" w:space="0"/>
              <w:right w:val="single" w:color="4F81BD" w:sz="2" w:space="0"/>
            </w:tcBorders>
          </w:tcPr>
          <w:p w14:paraId="629AE3DD">
            <w:pPr>
              <w:pStyle w:val="36"/>
              <w:spacing w:before="193" w:line="221" w:lineRule="auto"/>
              <w:ind w:left="128"/>
              <w:rPr>
                <w:color w:val="auto"/>
                <w:sz w:val="21"/>
                <w:szCs w:val="21"/>
                <w:highlight w:val="none"/>
              </w:rPr>
            </w:pPr>
            <w:r>
              <w:rPr>
                <w:color w:val="auto"/>
                <w:spacing w:val="2"/>
                <w:sz w:val="21"/>
                <w:szCs w:val="21"/>
                <w:highlight w:val="none"/>
              </w:rPr>
              <w:t>从业人员</w:t>
            </w:r>
            <w:r>
              <w:rPr>
                <w:color w:val="auto"/>
                <w:spacing w:val="-43"/>
                <w:sz w:val="21"/>
                <w:szCs w:val="21"/>
                <w:highlight w:val="none"/>
              </w:rPr>
              <w:t xml:space="preserve"> </w:t>
            </w:r>
            <w:r>
              <w:rPr>
                <w:color w:val="auto"/>
                <w:spacing w:val="2"/>
                <w:sz w:val="21"/>
                <w:szCs w:val="21"/>
                <w:highlight w:val="none"/>
              </w:rPr>
              <w:t>(X)</w:t>
            </w:r>
          </w:p>
        </w:tc>
        <w:tc>
          <w:tcPr>
            <w:tcW w:w="726" w:type="dxa"/>
            <w:tcBorders>
              <w:left w:val="single" w:color="4F81BD" w:sz="2" w:space="0"/>
              <w:right w:val="single" w:color="4F81BD" w:sz="2" w:space="0"/>
            </w:tcBorders>
          </w:tcPr>
          <w:p w14:paraId="27526F2E">
            <w:pPr>
              <w:pStyle w:val="36"/>
              <w:spacing w:before="193" w:line="223" w:lineRule="auto"/>
              <w:ind w:left="254"/>
              <w:rPr>
                <w:color w:val="auto"/>
                <w:sz w:val="21"/>
                <w:szCs w:val="21"/>
                <w:highlight w:val="none"/>
              </w:rPr>
            </w:pPr>
            <w:r>
              <w:rPr>
                <w:color w:val="auto"/>
                <w:sz w:val="21"/>
                <w:szCs w:val="21"/>
                <w:highlight w:val="none"/>
              </w:rPr>
              <w:t>人</w:t>
            </w:r>
          </w:p>
        </w:tc>
        <w:tc>
          <w:tcPr>
            <w:tcW w:w="1244" w:type="dxa"/>
            <w:tcBorders>
              <w:left w:val="single" w:color="4F81BD" w:sz="2" w:space="0"/>
              <w:right w:val="single" w:color="4F81BD" w:sz="2" w:space="0"/>
            </w:tcBorders>
          </w:tcPr>
          <w:p w14:paraId="1485171A">
            <w:pPr>
              <w:pStyle w:val="36"/>
              <w:spacing w:before="192" w:line="239" w:lineRule="auto"/>
              <w:ind w:left="227"/>
              <w:rPr>
                <w:color w:val="auto"/>
                <w:sz w:val="21"/>
                <w:szCs w:val="21"/>
                <w:highlight w:val="none"/>
              </w:rPr>
            </w:pPr>
            <w:r>
              <w:rPr>
                <w:color w:val="auto"/>
                <w:spacing w:val="6"/>
                <w:sz w:val="21"/>
                <w:szCs w:val="21"/>
                <w:highlight w:val="none"/>
              </w:rPr>
              <w:t>X≥1000</w:t>
            </w:r>
          </w:p>
        </w:tc>
        <w:tc>
          <w:tcPr>
            <w:tcW w:w="1961" w:type="dxa"/>
            <w:tcBorders>
              <w:left w:val="single" w:color="4F81BD" w:sz="2" w:space="0"/>
              <w:right w:val="single" w:color="4F81BD" w:sz="2" w:space="0"/>
            </w:tcBorders>
          </w:tcPr>
          <w:p w14:paraId="38B6E71E">
            <w:pPr>
              <w:pStyle w:val="36"/>
              <w:spacing w:before="193" w:line="237" w:lineRule="auto"/>
              <w:ind w:left="312"/>
              <w:rPr>
                <w:color w:val="auto"/>
                <w:sz w:val="21"/>
                <w:szCs w:val="21"/>
                <w:highlight w:val="none"/>
              </w:rPr>
            </w:pPr>
            <w:r>
              <w:rPr>
                <w:color w:val="auto"/>
                <w:spacing w:val="1"/>
                <w:sz w:val="21"/>
                <w:szCs w:val="21"/>
                <w:highlight w:val="none"/>
              </w:rPr>
              <w:t>300≤X＜</w:t>
            </w:r>
            <w:r>
              <w:rPr>
                <w:color w:val="auto"/>
                <w:spacing w:val="-42"/>
                <w:sz w:val="21"/>
                <w:szCs w:val="21"/>
                <w:highlight w:val="none"/>
              </w:rPr>
              <w:t xml:space="preserve"> </w:t>
            </w:r>
            <w:r>
              <w:rPr>
                <w:color w:val="auto"/>
                <w:spacing w:val="1"/>
                <w:sz w:val="21"/>
                <w:szCs w:val="21"/>
                <w:highlight w:val="none"/>
              </w:rPr>
              <w:t>1000</w:t>
            </w:r>
          </w:p>
        </w:tc>
        <w:tc>
          <w:tcPr>
            <w:tcW w:w="1756" w:type="dxa"/>
            <w:tcBorders>
              <w:left w:val="single" w:color="4F81BD" w:sz="2" w:space="0"/>
              <w:right w:val="single" w:color="4F81BD" w:sz="2" w:space="0"/>
            </w:tcBorders>
          </w:tcPr>
          <w:p w14:paraId="50811477">
            <w:pPr>
              <w:pStyle w:val="36"/>
              <w:spacing w:before="193" w:line="237" w:lineRule="auto"/>
              <w:ind w:left="322"/>
              <w:rPr>
                <w:color w:val="auto"/>
                <w:sz w:val="21"/>
                <w:szCs w:val="21"/>
                <w:highlight w:val="none"/>
              </w:rPr>
            </w:pPr>
            <w:r>
              <w:rPr>
                <w:color w:val="auto"/>
                <w:spacing w:val="7"/>
                <w:sz w:val="21"/>
                <w:szCs w:val="21"/>
                <w:highlight w:val="none"/>
              </w:rPr>
              <w:t>20≤X＜300</w:t>
            </w:r>
          </w:p>
        </w:tc>
        <w:tc>
          <w:tcPr>
            <w:tcW w:w="1028" w:type="dxa"/>
            <w:tcBorders>
              <w:left w:val="single" w:color="4F81BD" w:sz="2" w:space="0"/>
              <w:right w:val="single" w:color="4F81BD" w:sz="2" w:space="0"/>
            </w:tcBorders>
          </w:tcPr>
          <w:p w14:paraId="4FF7749F">
            <w:pPr>
              <w:pStyle w:val="36"/>
              <w:spacing w:before="193" w:line="241" w:lineRule="auto"/>
              <w:ind w:left="237"/>
              <w:rPr>
                <w:color w:val="auto"/>
                <w:sz w:val="21"/>
                <w:szCs w:val="21"/>
                <w:highlight w:val="none"/>
              </w:rPr>
            </w:pPr>
            <w:r>
              <w:rPr>
                <w:color w:val="auto"/>
                <w:spacing w:val="6"/>
                <w:sz w:val="21"/>
                <w:szCs w:val="21"/>
                <w:highlight w:val="none"/>
              </w:rPr>
              <w:t>X＜20</w:t>
            </w:r>
          </w:p>
        </w:tc>
      </w:tr>
      <w:tr w14:paraId="5D94996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292A7D5E">
            <w:pPr>
              <w:rPr>
                <w:color w:val="auto"/>
                <w:highlight w:val="none"/>
              </w:rPr>
            </w:pPr>
          </w:p>
        </w:tc>
        <w:tc>
          <w:tcPr>
            <w:tcW w:w="1492" w:type="dxa"/>
            <w:tcBorders>
              <w:left w:val="single" w:color="000000" w:sz="2" w:space="0"/>
            </w:tcBorders>
            <w:shd w:val="clear" w:color="auto" w:fill="B8CCE4"/>
          </w:tcPr>
          <w:p w14:paraId="572E1DF3">
            <w:pPr>
              <w:pStyle w:val="36"/>
              <w:spacing w:before="192" w:line="221" w:lineRule="auto"/>
              <w:ind w:left="133"/>
              <w:rPr>
                <w:color w:val="auto"/>
                <w:sz w:val="21"/>
                <w:szCs w:val="21"/>
                <w:highlight w:val="none"/>
              </w:rPr>
            </w:pPr>
            <w:r>
              <w:rPr>
                <w:color w:val="auto"/>
                <w:spacing w:val="9"/>
                <w:sz w:val="21"/>
                <w:szCs w:val="21"/>
                <w:highlight w:val="none"/>
              </w:rPr>
              <w:t>营业收入(Y)</w:t>
            </w:r>
          </w:p>
        </w:tc>
        <w:tc>
          <w:tcPr>
            <w:tcW w:w="726" w:type="dxa"/>
            <w:shd w:val="clear" w:color="auto" w:fill="B8CCE4"/>
          </w:tcPr>
          <w:p w14:paraId="0AACEF65">
            <w:pPr>
              <w:pStyle w:val="36"/>
              <w:spacing w:before="193" w:line="221" w:lineRule="auto"/>
              <w:ind w:left="142"/>
              <w:rPr>
                <w:color w:val="auto"/>
                <w:sz w:val="21"/>
                <w:szCs w:val="21"/>
                <w:highlight w:val="none"/>
              </w:rPr>
            </w:pPr>
            <w:r>
              <w:rPr>
                <w:color w:val="auto"/>
                <w:spacing w:val="1"/>
                <w:sz w:val="21"/>
                <w:szCs w:val="21"/>
                <w:highlight w:val="none"/>
              </w:rPr>
              <w:t>万元</w:t>
            </w:r>
          </w:p>
        </w:tc>
        <w:tc>
          <w:tcPr>
            <w:tcW w:w="1244" w:type="dxa"/>
            <w:shd w:val="clear" w:color="auto" w:fill="B8CCE4"/>
          </w:tcPr>
          <w:p w14:paraId="5DFA6357">
            <w:pPr>
              <w:pStyle w:val="36"/>
              <w:spacing w:before="192" w:line="239" w:lineRule="auto"/>
              <w:ind w:left="168"/>
              <w:rPr>
                <w:color w:val="auto"/>
                <w:sz w:val="21"/>
                <w:szCs w:val="21"/>
                <w:highlight w:val="none"/>
              </w:rPr>
            </w:pPr>
            <w:r>
              <w:rPr>
                <w:color w:val="auto"/>
                <w:spacing w:val="7"/>
                <w:sz w:val="21"/>
                <w:szCs w:val="21"/>
                <w:highlight w:val="none"/>
              </w:rPr>
              <w:t>Y≥40000</w:t>
            </w:r>
          </w:p>
        </w:tc>
        <w:tc>
          <w:tcPr>
            <w:tcW w:w="1961" w:type="dxa"/>
            <w:shd w:val="clear" w:color="auto" w:fill="B8CCE4"/>
          </w:tcPr>
          <w:p w14:paraId="604B9AA3">
            <w:pPr>
              <w:pStyle w:val="36"/>
              <w:spacing w:before="193" w:line="237" w:lineRule="auto"/>
              <w:ind w:left="195"/>
              <w:rPr>
                <w:color w:val="auto"/>
                <w:sz w:val="21"/>
                <w:szCs w:val="21"/>
                <w:highlight w:val="none"/>
              </w:rPr>
            </w:pPr>
            <w:r>
              <w:rPr>
                <w:color w:val="auto"/>
                <w:spacing w:val="7"/>
                <w:sz w:val="21"/>
                <w:szCs w:val="21"/>
                <w:highlight w:val="none"/>
              </w:rPr>
              <w:t>2000≤Y＜40000</w:t>
            </w:r>
          </w:p>
        </w:tc>
        <w:tc>
          <w:tcPr>
            <w:tcW w:w="1756" w:type="dxa"/>
            <w:shd w:val="clear" w:color="auto" w:fill="B8CCE4"/>
          </w:tcPr>
          <w:p w14:paraId="5B404EF2">
            <w:pPr>
              <w:pStyle w:val="36"/>
              <w:spacing w:before="193" w:line="237" w:lineRule="auto"/>
              <w:ind w:left="209"/>
              <w:rPr>
                <w:color w:val="auto"/>
                <w:sz w:val="21"/>
                <w:szCs w:val="21"/>
                <w:highlight w:val="none"/>
              </w:rPr>
            </w:pPr>
            <w:r>
              <w:rPr>
                <w:color w:val="auto"/>
                <w:spacing w:val="7"/>
                <w:sz w:val="21"/>
                <w:szCs w:val="21"/>
                <w:highlight w:val="none"/>
              </w:rPr>
              <w:t>300≤Y＜2000</w:t>
            </w:r>
          </w:p>
        </w:tc>
        <w:tc>
          <w:tcPr>
            <w:tcW w:w="1028" w:type="dxa"/>
            <w:shd w:val="clear" w:color="auto" w:fill="B8CCE4"/>
          </w:tcPr>
          <w:p w14:paraId="34183A2A">
            <w:pPr>
              <w:pStyle w:val="36"/>
              <w:spacing w:before="192" w:line="241" w:lineRule="auto"/>
              <w:ind w:left="176"/>
              <w:rPr>
                <w:color w:val="auto"/>
                <w:sz w:val="21"/>
                <w:szCs w:val="21"/>
                <w:highlight w:val="none"/>
              </w:rPr>
            </w:pPr>
            <w:r>
              <w:rPr>
                <w:color w:val="auto"/>
                <w:spacing w:val="6"/>
                <w:sz w:val="21"/>
                <w:szCs w:val="21"/>
                <w:highlight w:val="none"/>
              </w:rPr>
              <w:t>Y＜300</w:t>
            </w:r>
          </w:p>
        </w:tc>
      </w:tr>
      <w:tr w14:paraId="300F59F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3" w:hRule="atLeast"/>
          <w:jc w:val="center"/>
        </w:trPr>
        <w:tc>
          <w:tcPr>
            <w:tcW w:w="1151" w:type="dxa"/>
            <w:vMerge w:val="restart"/>
            <w:tcBorders>
              <w:bottom w:val="nil"/>
              <w:right w:val="single" w:color="4F81BD" w:sz="2" w:space="0"/>
            </w:tcBorders>
          </w:tcPr>
          <w:p w14:paraId="181114A6">
            <w:pPr>
              <w:spacing w:line="423" w:lineRule="auto"/>
              <w:rPr>
                <w:color w:val="auto"/>
                <w:highlight w:val="none"/>
              </w:rPr>
            </w:pPr>
          </w:p>
          <w:p w14:paraId="1888F345">
            <w:pPr>
              <w:pStyle w:val="36"/>
              <w:spacing w:before="68" w:line="221" w:lineRule="auto"/>
              <w:ind w:left="240"/>
              <w:rPr>
                <w:color w:val="auto"/>
                <w:sz w:val="21"/>
                <w:szCs w:val="21"/>
                <w:highlight w:val="none"/>
              </w:rPr>
            </w:pPr>
            <w:r>
              <w:rPr>
                <w:color w:val="auto"/>
                <w:spacing w:val="7"/>
                <w:sz w:val="21"/>
                <w:szCs w:val="21"/>
                <w:highlight w:val="none"/>
              </w:rPr>
              <w:t>建筑业</w:t>
            </w:r>
          </w:p>
        </w:tc>
        <w:tc>
          <w:tcPr>
            <w:tcW w:w="1492" w:type="dxa"/>
            <w:tcBorders>
              <w:left w:val="single" w:color="4F81BD" w:sz="2" w:space="0"/>
              <w:right w:val="single" w:color="4F81BD" w:sz="2" w:space="0"/>
            </w:tcBorders>
          </w:tcPr>
          <w:p w14:paraId="642A9183">
            <w:pPr>
              <w:pStyle w:val="36"/>
              <w:spacing w:before="193" w:line="221" w:lineRule="auto"/>
              <w:ind w:left="133"/>
              <w:rPr>
                <w:color w:val="auto"/>
                <w:sz w:val="21"/>
                <w:szCs w:val="21"/>
                <w:highlight w:val="none"/>
              </w:rPr>
            </w:pPr>
            <w:r>
              <w:rPr>
                <w:color w:val="auto"/>
                <w:spacing w:val="9"/>
                <w:sz w:val="21"/>
                <w:szCs w:val="21"/>
                <w:highlight w:val="none"/>
              </w:rPr>
              <w:t>营业收入(Y)</w:t>
            </w:r>
          </w:p>
        </w:tc>
        <w:tc>
          <w:tcPr>
            <w:tcW w:w="726" w:type="dxa"/>
            <w:tcBorders>
              <w:left w:val="single" w:color="4F81BD" w:sz="2" w:space="0"/>
              <w:right w:val="single" w:color="4F81BD" w:sz="2" w:space="0"/>
            </w:tcBorders>
          </w:tcPr>
          <w:p w14:paraId="5DE75CE2">
            <w:pPr>
              <w:pStyle w:val="36"/>
              <w:spacing w:before="193" w:line="221" w:lineRule="auto"/>
              <w:ind w:left="144"/>
              <w:rPr>
                <w:color w:val="auto"/>
                <w:sz w:val="21"/>
                <w:szCs w:val="21"/>
                <w:highlight w:val="none"/>
              </w:rPr>
            </w:pPr>
            <w:r>
              <w:rPr>
                <w:color w:val="auto"/>
                <w:spacing w:val="1"/>
                <w:sz w:val="21"/>
                <w:szCs w:val="21"/>
                <w:highlight w:val="none"/>
              </w:rPr>
              <w:t>万元</w:t>
            </w:r>
          </w:p>
        </w:tc>
        <w:tc>
          <w:tcPr>
            <w:tcW w:w="1244" w:type="dxa"/>
            <w:tcBorders>
              <w:left w:val="single" w:color="4F81BD" w:sz="2" w:space="0"/>
              <w:right w:val="single" w:color="4F81BD" w:sz="2" w:space="0"/>
            </w:tcBorders>
          </w:tcPr>
          <w:p w14:paraId="51E56E19">
            <w:pPr>
              <w:pStyle w:val="36"/>
              <w:spacing w:before="193" w:line="239" w:lineRule="auto"/>
              <w:ind w:left="171"/>
              <w:rPr>
                <w:color w:val="auto"/>
                <w:sz w:val="21"/>
                <w:szCs w:val="21"/>
                <w:highlight w:val="none"/>
              </w:rPr>
            </w:pPr>
            <w:r>
              <w:rPr>
                <w:color w:val="auto"/>
                <w:spacing w:val="7"/>
                <w:sz w:val="21"/>
                <w:szCs w:val="21"/>
                <w:highlight w:val="none"/>
              </w:rPr>
              <w:t>Y≥80000</w:t>
            </w:r>
          </w:p>
        </w:tc>
        <w:tc>
          <w:tcPr>
            <w:tcW w:w="1961" w:type="dxa"/>
            <w:tcBorders>
              <w:left w:val="single" w:color="4F81BD" w:sz="2" w:space="0"/>
              <w:right w:val="single" w:color="4F81BD" w:sz="2" w:space="0"/>
            </w:tcBorders>
          </w:tcPr>
          <w:p w14:paraId="6BB138ED">
            <w:pPr>
              <w:pStyle w:val="36"/>
              <w:spacing w:before="193" w:line="237" w:lineRule="auto"/>
              <w:ind w:left="197"/>
              <w:rPr>
                <w:color w:val="auto"/>
                <w:sz w:val="21"/>
                <w:szCs w:val="21"/>
                <w:highlight w:val="none"/>
              </w:rPr>
            </w:pPr>
            <w:r>
              <w:rPr>
                <w:color w:val="auto"/>
                <w:spacing w:val="7"/>
                <w:sz w:val="21"/>
                <w:szCs w:val="21"/>
                <w:highlight w:val="none"/>
              </w:rPr>
              <w:t>6000≤Y＜80000</w:t>
            </w:r>
          </w:p>
        </w:tc>
        <w:tc>
          <w:tcPr>
            <w:tcW w:w="1756" w:type="dxa"/>
            <w:tcBorders>
              <w:left w:val="single" w:color="4F81BD" w:sz="2" w:space="0"/>
              <w:right w:val="single" w:color="4F81BD" w:sz="2" w:space="0"/>
            </w:tcBorders>
          </w:tcPr>
          <w:p w14:paraId="1F2A2E4F">
            <w:pPr>
              <w:pStyle w:val="36"/>
              <w:spacing w:before="193" w:line="237" w:lineRule="auto"/>
              <w:ind w:left="211"/>
              <w:rPr>
                <w:color w:val="auto"/>
                <w:sz w:val="21"/>
                <w:szCs w:val="21"/>
                <w:highlight w:val="none"/>
              </w:rPr>
            </w:pPr>
            <w:r>
              <w:rPr>
                <w:color w:val="auto"/>
                <w:spacing w:val="7"/>
                <w:sz w:val="21"/>
                <w:szCs w:val="21"/>
                <w:highlight w:val="none"/>
              </w:rPr>
              <w:t>300≤Y＜6000</w:t>
            </w:r>
          </w:p>
        </w:tc>
        <w:tc>
          <w:tcPr>
            <w:tcW w:w="1028" w:type="dxa"/>
            <w:tcBorders>
              <w:left w:val="single" w:color="4F81BD" w:sz="2" w:space="0"/>
              <w:right w:val="single" w:color="4F81BD" w:sz="2" w:space="0"/>
            </w:tcBorders>
          </w:tcPr>
          <w:p w14:paraId="7355E4AC">
            <w:pPr>
              <w:pStyle w:val="36"/>
              <w:spacing w:before="193" w:line="241" w:lineRule="auto"/>
              <w:ind w:left="179"/>
              <w:rPr>
                <w:color w:val="auto"/>
                <w:sz w:val="21"/>
                <w:szCs w:val="21"/>
                <w:highlight w:val="none"/>
              </w:rPr>
            </w:pPr>
            <w:r>
              <w:rPr>
                <w:color w:val="auto"/>
                <w:spacing w:val="6"/>
                <w:sz w:val="21"/>
                <w:szCs w:val="21"/>
                <w:highlight w:val="none"/>
              </w:rPr>
              <w:t>Y＜300</w:t>
            </w:r>
          </w:p>
        </w:tc>
      </w:tr>
      <w:tr w14:paraId="22A856F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42398DDC">
            <w:pPr>
              <w:rPr>
                <w:color w:val="auto"/>
                <w:highlight w:val="none"/>
              </w:rPr>
            </w:pPr>
          </w:p>
        </w:tc>
        <w:tc>
          <w:tcPr>
            <w:tcW w:w="1492" w:type="dxa"/>
            <w:tcBorders>
              <w:left w:val="single" w:color="000000" w:sz="2" w:space="0"/>
            </w:tcBorders>
            <w:shd w:val="clear" w:color="auto" w:fill="B8CCE4"/>
          </w:tcPr>
          <w:p w14:paraId="0D85091A">
            <w:pPr>
              <w:pStyle w:val="36"/>
              <w:spacing w:before="192" w:line="221" w:lineRule="auto"/>
              <w:ind w:left="135"/>
              <w:rPr>
                <w:color w:val="auto"/>
                <w:sz w:val="21"/>
                <w:szCs w:val="21"/>
                <w:highlight w:val="none"/>
              </w:rPr>
            </w:pPr>
            <w:r>
              <w:rPr>
                <w:color w:val="auto"/>
                <w:spacing w:val="8"/>
                <w:sz w:val="21"/>
                <w:szCs w:val="21"/>
                <w:highlight w:val="none"/>
              </w:rPr>
              <w:t>资产总额(Z)</w:t>
            </w:r>
          </w:p>
        </w:tc>
        <w:tc>
          <w:tcPr>
            <w:tcW w:w="726" w:type="dxa"/>
            <w:shd w:val="clear" w:color="auto" w:fill="B8CCE4"/>
          </w:tcPr>
          <w:p w14:paraId="56A40F77">
            <w:pPr>
              <w:pStyle w:val="36"/>
              <w:spacing w:before="193" w:line="221" w:lineRule="auto"/>
              <w:ind w:left="142"/>
              <w:rPr>
                <w:color w:val="auto"/>
                <w:sz w:val="21"/>
                <w:szCs w:val="21"/>
                <w:highlight w:val="none"/>
              </w:rPr>
            </w:pPr>
            <w:r>
              <w:rPr>
                <w:color w:val="auto"/>
                <w:spacing w:val="1"/>
                <w:sz w:val="21"/>
                <w:szCs w:val="21"/>
                <w:highlight w:val="none"/>
              </w:rPr>
              <w:t>万元</w:t>
            </w:r>
          </w:p>
        </w:tc>
        <w:tc>
          <w:tcPr>
            <w:tcW w:w="1244" w:type="dxa"/>
            <w:shd w:val="clear" w:color="auto" w:fill="B8CCE4"/>
          </w:tcPr>
          <w:p w14:paraId="45EFB7D2">
            <w:pPr>
              <w:pStyle w:val="36"/>
              <w:spacing w:before="192" w:line="239" w:lineRule="auto"/>
              <w:ind w:left="171"/>
              <w:rPr>
                <w:color w:val="auto"/>
                <w:sz w:val="21"/>
                <w:szCs w:val="21"/>
                <w:highlight w:val="none"/>
              </w:rPr>
            </w:pPr>
            <w:r>
              <w:rPr>
                <w:color w:val="auto"/>
                <w:spacing w:val="6"/>
                <w:sz w:val="21"/>
                <w:szCs w:val="21"/>
                <w:highlight w:val="none"/>
              </w:rPr>
              <w:t>Z≥80000</w:t>
            </w:r>
          </w:p>
        </w:tc>
        <w:tc>
          <w:tcPr>
            <w:tcW w:w="1961" w:type="dxa"/>
            <w:shd w:val="clear" w:color="auto" w:fill="B8CCE4"/>
          </w:tcPr>
          <w:p w14:paraId="5D71F8F7">
            <w:pPr>
              <w:pStyle w:val="36"/>
              <w:spacing w:before="193" w:line="237" w:lineRule="auto"/>
              <w:ind w:left="197"/>
              <w:rPr>
                <w:color w:val="auto"/>
                <w:sz w:val="21"/>
                <w:szCs w:val="21"/>
                <w:highlight w:val="none"/>
              </w:rPr>
            </w:pPr>
            <w:r>
              <w:rPr>
                <w:color w:val="auto"/>
                <w:spacing w:val="7"/>
                <w:sz w:val="21"/>
                <w:szCs w:val="21"/>
                <w:highlight w:val="none"/>
              </w:rPr>
              <w:t>5000≤Z＜80000</w:t>
            </w:r>
          </w:p>
        </w:tc>
        <w:tc>
          <w:tcPr>
            <w:tcW w:w="1756" w:type="dxa"/>
            <w:shd w:val="clear" w:color="auto" w:fill="B8CCE4"/>
          </w:tcPr>
          <w:p w14:paraId="5FEE14F1">
            <w:pPr>
              <w:pStyle w:val="36"/>
              <w:spacing w:before="193" w:line="237" w:lineRule="auto"/>
              <w:ind w:left="209"/>
              <w:rPr>
                <w:color w:val="auto"/>
                <w:sz w:val="21"/>
                <w:szCs w:val="21"/>
                <w:highlight w:val="none"/>
              </w:rPr>
            </w:pPr>
            <w:r>
              <w:rPr>
                <w:color w:val="auto"/>
                <w:spacing w:val="7"/>
                <w:sz w:val="21"/>
                <w:szCs w:val="21"/>
                <w:highlight w:val="none"/>
              </w:rPr>
              <w:t>300≤Z＜5000</w:t>
            </w:r>
          </w:p>
        </w:tc>
        <w:tc>
          <w:tcPr>
            <w:tcW w:w="1028" w:type="dxa"/>
            <w:shd w:val="clear" w:color="auto" w:fill="B8CCE4"/>
          </w:tcPr>
          <w:p w14:paraId="795C744A">
            <w:pPr>
              <w:pStyle w:val="36"/>
              <w:spacing w:before="192" w:line="241" w:lineRule="auto"/>
              <w:ind w:left="179"/>
              <w:rPr>
                <w:color w:val="auto"/>
                <w:sz w:val="21"/>
                <w:szCs w:val="21"/>
                <w:highlight w:val="none"/>
              </w:rPr>
            </w:pPr>
            <w:r>
              <w:rPr>
                <w:color w:val="auto"/>
                <w:spacing w:val="6"/>
                <w:sz w:val="21"/>
                <w:szCs w:val="21"/>
                <w:highlight w:val="none"/>
              </w:rPr>
              <w:t>Z＜300</w:t>
            </w:r>
          </w:p>
        </w:tc>
      </w:tr>
      <w:tr w14:paraId="1805B5E4">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396E4538">
            <w:pPr>
              <w:spacing w:line="424" w:lineRule="auto"/>
              <w:rPr>
                <w:color w:val="auto"/>
                <w:highlight w:val="none"/>
              </w:rPr>
            </w:pPr>
          </w:p>
          <w:p w14:paraId="08CE30F8">
            <w:pPr>
              <w:pStyle w:val="36"/>
              <w:spacing w:before="68" w:line="221" w:lineRule="auto"/>
              <w:ind w:left="237"/>
              <w:rPr>
                <w:color w:val="auto"/>
                <w:sz w:val="21"/>
                <w:szCs w:val="21"/>
                <w:highlight w:val="none"/>
              </w:rPr>
            </w:pPr>
            <w:r>
              <w:rPr>
                <w:color w:val="auto"/>
                <w:spacing w:val="8"/>
                <w:sz w:val="21"/>
                <w:szCs w:val="21"/>
                <w:highlight w:val="none"/>
              </w:rPr>
              <w:t>批发业</w:t>
            </w:r>
          </w:p>
        </w:tc>
        <w:tc>
          <w:tcPr>
            <w:tcW w:w="1492" w:type="dxa"/>
            <w:tcBorders>
              <w:left w:val="single" w:color="4F81BD" w:sz="2" w:space="0"/>
              <w:right w:val="single" w:color="4F81BD" w:sz="2" w:space="0"/>
            </w:tcBorders>
          </w:tcPr>
          <w:p w14:paraId="561FCEC8">
            <w:pPr>
              <w:pStyle w:val="36"/>
              <w:spacing w:before="193" w:line="221" w:lineRule="auto"/>
              <w:ind w:left="128"/>
              <w:rPr>
                <w:color w:val="auto"/>
                <w:sz w:val="21"/>
                <w:szCs w:val="21"/>
                <w:highlight w:val="none"/>
              </w:rPr>
            </w:pPr>
            <w:r>
              <w:rPr>
                <w:color w:val="auto"/>
                <w:spacing w:val="2"/>
                <w:sz w:val="21"/>
                <w:szCs w:val="21"/>
                <w:highlight w:val="none"/>
              </w:rPr>
              <w:t>从业人员</w:t>
            </w:r>
            <w:r>
              <w:rPr>
                <w:color w:val="auto"/>
                <w:spacing w:val="-43"/>
                <w:sz w:val="21"/>
                <w:szCs w:val="21"/>
                <w:highlight w:val="none"/>
              </w:rPr>
              <w:t xml:space="preserve"> </w:t>
            </w:r>
            <w:r>
              <w:rPr>
                <w:color w:val="auto"/>
                <w:spacing w:val="2"/>
                <w:sz w:val="21"/>
                <w:szCs w:val="21"/>
                <w:highlight w:val="none"/>
              </w:rPr>
              <w:t>(X)</w:t>
            </w:r>
          </w:p>
        </w:tc>
        <w:tc>
          <w:tcPr>
            <w:tcW w:w="726" w:type="dxa"/>
            <w:tcBorders>
              <w:left w:val="single" w:color="4F81BD" w:sz="2" w:space="0"/>
              <w:right w:val="single" w:color="4F81BD" w:sz="2" w:space="0"/>
            </w:tcBorders>
          </w:tcPr>
          <w:p w14:paraId="46A0AA02">
            <w:pPr>
              <w:pStyle w:val="36"/>
              <w:spacing w:before="193" w:line="223" w:lineRule="auto"/>
              <w:ind w:left="254"/>
              <w:rPr>
                <w:color w:val="auto"/>
                <w:sz w:val="21"/>
                <w:szCs w:val="21"/>
                <w:highlight w:val="none"/>
              </w:rPr>
            </w:pPr>
            <w:r>
              <w:rPr>
                <w:color w:val="auto"/>
                <w:sz w:val="21"/>
                <w:szCs w:val="21"/>
                <w:highlight w:val="none"/>
              </w:rPr>
              <w:t>人</w:t>
            </w:r>
          </w:p>
        </w:tc>
        <w:tc>
          <w:tcPr>
            <w:tcW w:w="1244" w:type="dxa"/>
            <w:tcBorders>
              <w:left w:val="single" w:color="4F81BD" w:sz="2" w:space="0"/>
              <w:right w:val="single" w:color="4F81BD" w:sz="2" w:space="0"/>
            </w:tcBorders>
          </w:tcPr>
          <w:p w14:paraId="05D67702">
            <w:pPr>
              <w:pStyle w:val="36"/>
              <w:spacing w:before="192" w:line="239" w:lineRule="auto"/>
              <w:ind w:left="284"/>
              <w:rPr>
                <w:color w:val="auto"/>
                <w:sz w:val="21"/>
                <w:szCs w:val="21"/>
                <w:highlight w:val="none"/>
              </w:rPr>
            </w:pPr>
            <w:r>
              <w:rPr>
                <w:color w:val="auto"/>
                <w:spacing w:val="6"/>
                <w:sz w:val="21"/>
                <w:szCs w:val="21"/>
                <w:highlight w:val="none"/>
              </w:rPr>
              <w:t>X≥200</w:t>
            </w:r>
          </w:p>
        </w:tc>
        <w:tc>
          <w:tcPr>
            <w:tcW w:w="1961" w:type="dxa"/>
            <w:tcBorders>
              <w:left w:val="single" w:color="4F81BD" w:sz="2" w:space="0"/>
              <w:right w:val="single" w:color="4F81BD" w:sz="2" w:space="0"/>
            </w:tcBorders>
          </w:tcPr>
          <w:p w14:paraId="36BA9358">
            <w:pPr>
              <w:pStyle w:val="36"/>
              <w:spacing w:before="192" w:line="237" w:lineRule="auto"/>
              <w:ind w:left="423"/>
              <w:rPr>
                <w:color w:val="auto"/>
                <w:sz w:val="21"/>
                <w:szCs w:val="21"/>
                <w:highlight w:val="none"/>
              </w:rPr>
            </w:pPr>
            <w:r>
              <w:rPr>
                <w:color w:val="auto"/>
                <w:spacing w:val="7"/>
                <w:sz w:val="21"/>
                <w:szCs w:val="21"/>
                <w:highlight w:val="none"/>
              </w:rPr>
              <w:t>20≤X＜200</w:t>
            </w:r>
          </w:p>
        </w:tc>
        <w:tc>
          <w:tcPr>
            <w:tcW w:w="1756" w:type="dxa"/>
            <w:tcBorders>
              <w:left w:val="single" w:color="4F81BD" w:sz="2" w:space="0"/>
              <w:right w:val="single" w:color="4F81BD" w:sz="2" w:space="0"/>
            </w:tcBorders>
          </w:tcPr>
          <w:p w14:paraId="132D9AB9">
            <w:pPr>
              <w:pStyle w:val="36"/>
              <w:spacing w:before="192" w:line="237" w:lineRule="auto"/>
              <w:ind w:left="437"/>
              <w:rPr>
                <w:color w:val="auto"/>
                <w:sz w:val="21"/>
                <w:szCs w:val="21"/>
                <w:highlight w:val="none"/>
              </w:rPr>
            </w:pPr>
            <w:r>
              <w:rPr>
                <w:color w:val="auto"/>
                <w:spacing w:val="7"/>
                <w:sz w:val="21"/>
                <w:szCs w:val="21"/>
                <w:highlight w:val="none"/>
              </w:rPr>
              <w:t>5≤X＜20</w:t>
            </w:r>
          </w:p>
        </w:tc>
        <w:tc>
          <w:tcPr>
            <w:tcW w:w="1028" w:type="dxa"/>
            <w:tcBorders>
              <w:left w:val="single" w:color="4F81BD" w:sz="2" w:space="0"/>
              <w:right w:val="single" w:color="4F81BD" w:sz="2" w:space="0"/>
            </w:tcBorders>
          </w:tcPr>
          <w:p w14:paraId="58DF27BA">
            <w:pPr>
              <w:pStyle w:val="36"/>
              <w:spacing w:before="192" w:line="241" w:lineRule="auto"/>
              <w:ind w:left="292"/>
              <w:rPr>
                <w:color w:val="auto"/>
                <w:sz w:val="21"/>
                <w:szCs w:val="21"/>
                <w:highlight w:val="none"/>
              </w:rPr>
            </w:pPr>
            <w:r>
              <w:rPr>
                <w:color w:val="auto"/>
                <w:spacing w:val="6"/>
                <w:sz w:val="21"/>
                <w:szCs w:val="21"/>
                <w:highlight w:val="none"/>
              </w:rPr>
              <w:t>X＜5</w:t>
            </w:r>
          </w:p>
        </w:tc>
      </w:tr>
      <w:tr w14:paraId="1E7198F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51" w:type="dxa"/>
            <w:vMerge w:val="continue"/>
            <w:tcBorders>
              <w:top w:val="nil"/>
              <w:right w:val="single" w:color="4F81BD" w:sz="2" w:space="0"/>
            </w:tcBorders>
          </w:tcPr>
          <w:p w14:paraId="01E3C86C">
            <w:pPr>
              <w:rPr>
                <w:color w:val="auto"/>
                <w:highlight w:val="none"/>
              </w:rPr>
            </w:pPr>
          </w:p>
        </w:tc>
        <w:tc>
          <w:tcPr>
            <w:tcW w:w="1492" w:type="dxa"/>
            <w:tcBorders>
              <w:left w:val="single" w:color="000000" w:sz="2" w:space="0"/>
            </w:tcBorders>
            <w:shd w:val="clear" w:color="auto" w:fill="B8CCE4"/>
          </w:tcPr>
          <w:p w14:paraId="1A45D669">
            <w:pPr>
              <w:pStyle w:val="36"/>
              <w:spacing w:before="192" w:line="221" w:lineRule="auto"/>
              <w:ind w:left="133"/>
              <w:rPr>
                <w:color w:val="auto"/>
                <w:sz w:val="21"/>
                <w:szCs w:val="21"/>
                <w:highlight w:val="none"/>
              </w:rPr>
            </w:pPr>
            <w:r>
              <w:rPr>
                <w:color w:val="auto"/>
                <w:spacing w:val="9"/>
                <w:sz w:val="21"/>
                <w:szCs w:val="21"/>
                <w:highlight w:val="none"/>
              </w:rPr>
              <w:t>营业收入(Y)</w:t>
            </w:r>
          </w:p>
        </w:tc>
        <w:tc>
          <w:tcPr>
            <w:tcW w:w="726" w:type="dxa"/>
            <w:shd w:val="clear" w:color="auto" w:fill="B8CCE4"/>
          </w:tcPr>
          <w:p w14:paraId="626D2C0B">
            <w:pPr>
              <w:pStyle w:val="36"/>
              <w:spacing w:before="192" w:line="221" w:lineRule="auto"/>
              <w:ind w:left="142"/>
              <w:rPr>
                <w:color w:val="auto"/>
                <w:sz w:val="21"/>
                <w:szCs w:val="21"/>
                <w:highlight w:val="none"/>
              </w:rPr>
            </w:pPr>
            <w:r>
              <w:rPr>
                <w:color w:val="auto"/>
                <w:spacing w:val="1"/>
                <w:sz w:val="21"/>
                <w:szCs w:val="21"/>
                <w:highlight w:val="none"/>
              </w:rPr>
              <w:t>万元</w:t>
            </w:r>
          </w:p>
        </w:tc>
        <w:tc>
          <w:tcPr>
            <w:tcW w:w="1244" w:type="dxa"/>
            <w:shd w:val="clear" w:color="auto" w:fill="B8CCE4"/>
          </w:tcPr>
          <w:p w14:paraId="275F89BF">
            <w:pPr>
              <w:pStyle w:val="36"/>
              <w:spacing w:before="192" w:line="239" w:lineRule="auto"/>
              <w:ind w:left="168"/>
              <w:rPr>
                <w:color w:val="auto"/>
                <w:sz w:val="21"/>
                <w:szCs w:val="21"/>
                <w:highlight w:val="none"/>
              </w:rPr>
            </w:pPr>
            <w:r>
              <w:rPr>
                <w:color w:val="auto"/>
                <w:spacing w:val="7"/>
                <w:sz w:val="21"/>
                <w:szCs w:val="21"/>
                <w:highlight w:val="none"/>
              </w:rPr>
              <w:t>Y≥40000</w:t>
            </w:r>
          </w:p>
        </w:tc>
        <w:tc>
          <w:tcPr>
            <w:tcW w:w="1961" w:type="dxa"/>
            <w:shd w:val="clear" w:color="auto" w:fill="B8CCE4"/>
          </w:tcPr>
          <w:p w14:paraId="695EBC1E">
            <w:pPr>
              <w:pStyle w:val="36"/>
              <w:spacing w:before="192" w:line="237" w:lineRule="auto"/>
              <w:ind w:left="197"/>
              <w:rPr>
                <w:color w:val="auto"/>
                <w:sz w:val="21"/>
                <w:szCs w:val="21"/>
                <w:highlight w:val="none"/>
              </w:rPr>
            </w:pPr>
            <w:r>
              <w:rPr>
                <w:color w:val="auto"/>
                <w:spacing w:val="7"/>
                <w:sz w:val="21"/>
                <w:szCs w:val="21"/>
                <w:highlight w:val="none"/>
              </w:rPr>
              <w:t>5000≤Y＜40000</w:t>
            </w:r>
          </w:p>
        </w:tc>
        <w:tc>
          <w:tcPr>
            <w:tcW w:w="1756" w:type="dxa"/>
            <w:shd w:val="clear" w:color="auto" w:fill="B8CCE4"/>
          </w:tcPr>
          <w:p w14:paraId="040EC99E">
            <w:pPr>
              <w:pStyle w:val="36"/>
              <w:spacing w:before="192" w:line="237" w:lineRule="auto"/>
              <w:ind w:left="165"/>
              <w:rPr>
                <w:color w:val="auto"/>
                <w:sz w:val="21"/>
                <w:szCs w:val="21"/>
                <w:highlight w:val="none"/>
              </w:rPr>
            </w:pPr>
            <w:r>
              <w:rPr>
                <w:color w:val="auto"/>
                <w:spacing w:val="6"/>
                <w:sz w:val="21"/>
                <w:szCs w:val="21"/>
                <w:highlight w:val="none"/>
              </w:rPr>
              <w:t>1000≤Y＜5000</w:t>
            </w:r>
          </w:p>
        </w:tc>
        <w:tc>
          <w:tcPr>
            <w:tcW w:w="1028" w:type="dxa"/>
            <w:shd w:val="clear" w:color="auto" w:fill="B8CCE4"/>
          </w:tcPr>
          <w:p w14:paraId="2FC2CFFF">
            <w:pPr>
              <w:pStyle w:val="36"/>
              <w:spacing w:before="192" w:line="241" w:lineRule="auto"/>
              <w:ind w:left="119"/>
              <w:rPr>
                <w:color w:val="auto"/>
                <w:sz w:val="21"/>
                <w:szCs w:val="21"/>
                <w:highlight w:val="none"/>
              </w:rPr>
            </w:pPr>
            <w:r>
              <w:rPr>
                <w:color w:val="auto"/>
                <w:spacing w:val="-4"/>
                <w:sz w:val="21"/>
                <w:szCs w:val="21"/>
                <w:highlight w:val="none"/>
              </w:rPr>
              <w:t>Y＜</w:t>
            </w:r>
            <w:r>
              <w:rPr>
                <w:color w:val="auto"/>
                <w:spacing w:val="-40"/>
                <w:sz w:val="21"/>
                <w:szCs w:val="21"/>
                <w:highlight w:val="none"/>
              </w:rPr>
              <w:t xml:space="preserve"> </w:t>
            </w:r>
            <w:r>
              <w:rPr>
                <w:color w:val="auto"/>
                <w:spacing w:val="-4"/>
                <w:sz w:val="21"/>
                <w:szCs w:val="21"/>
                <w:highlight w:val="none"/>
              </w:rPr>
              <w:t>1000</w:t>
            </w:r>
          </w:p>
        </w:tc>
      </w:tr>
      <w:tr w14:paraId="178E679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05731A22">
            <w:pPr>
              <w:spacing w:line="424" w:lineRule="auto"/>
              <w:rPr>
                <w:color w:val="auto"/>
                <w:highlight w:val="none"/>
              </w:rPr>
            </w:pPr>
          </w:p>
          <w:p w14:paraId="75EBB9CB">
            <w:pPr>
              <w:pStyle w:val="36"/>
              <w:spacing w:before="68" w:line="221" w:lineRule="auto"/>
              <w:ind w:left="239"/>
              <w:rPr>
                <w:color w:val="auto"/>
                <w:sz w:val="21"/>
                <w:szCs w:val="21"/>
                <w:highlight w:val="none"/>
              </w:rPr>
            </w:pPr>
            <w:r>
              <w:rPr>
                <w:color w:val="auto"/>
                <w:spacing w:val="7"/>
                <w:sz w:val="21"/>
                <w:szCs w:val="21"/>
                <w:highlight w:val="none"/>
              </w:rPr>
              <w:t>零售业</w:t>
            </w:r>
          </w:p>
        </w:tc>
        <w:tc>
          <w:tcPr>
            <w:tcW w:w="1492" w:type="dxa"/>
            <w:tcBorders>
              <w:left w:val="single" w:color="4F81BD" w:sz="2" w:space="0"/>
              <w:right w:val="single" w:color="4F81BD" w:sz="2" w:space="0"/>
            </w:tcBorders>
          </w:tcPr>
          <w:p w14:paraId="4EAEF53D">
            <w:pPr>
              <w:pStyle w:val="36"/>
              <w:spacing w:before="193" w:line="221" w:lineRule="auto"/>
              <w:ind w:left="128"/>
              <w:rPr>
                <w:color w:val="auto"/>
                <w:sz w:val="21"/>
                <w:szCs w:val="21"/>
                <w:highlight w:val="none"/>
              </w:rPr>
            </w:pPr>
            <w:r>
              <w:rPr>
                <w:color w:val="auto"/>
                <w:spacing w:val="2"/>
                <w:sz w:val="21"/>
                <w:szCs w:val="21"/>
                <w:highlight w:val="none"/>
              </w:rPr>
              <w:t>从业人员</w:t>
            </w:r>
            <w:r>
              <w:rPr>
                <w:color w:val="auto"/>
                <w:spacing w:val="-43"/>
                <w:sz w:val="21"/>
                <w:szCs w:val="21"/>
                <w:highlight w:val="none"/>
              </w:rPr>
              <w:t xml:space="preserve"> </w:t>
            </w:r>
            <w:r>
              <w:rPr>
                <w:color w:val="auto"/>
                <w:spacing w:val="2"/>
                <w:sz w:val="21"/>
                <w:szCs w:val="21"/>
                <w:highlight w:val="none"/>
              </w:rPr>
              <w:t>(X)</w:t>
            </w:r>
          </w:p>
        </w:tc>
        <w:tc>
          <w:tcPr>
            <w:tcW w:w="726" w:type="dxa"/>
            <w:tcBorders>
              <w:left w:val="single" w:color="4F81BD" w:sz="2" w:space="0"/>
              <w:right w:val="single" w:color="4F81BD" w:sz="2" w:space="0"/>
            </w:tcBorders>
          </w:tcPr>
          <w:p w14:paraId="63EE564A">
            <w:pPr>
              <w:pStyle w:val="36"/>
              <w:spacing w:before="193" w:line="223" w:lineRule="auto"/>
              <w:ind w:left="254"/>
              <w:rPr>
                <w:color w:val="auto"/>
                <w:sz w:val="21"/>
                <w:szCs w:val="21"/>
                <w:highlight w:val="none"/>
              </w:rPr>
            </w:pPr>
            <w:r>
              <w:rPr>
                <w:color w:val="auto"/>
                <w:sz w:val="21"/>
                <w:szCs w:val="21"/>
                <w:highlight w:val="none"/>
              </w:rPr>
              <w:t>人</w:t>
            </w:r>
          </w:p>
        </w:tc>
        <w:tc>
          <w:tcPr>
            <w:tcW w:w="1244" w:type="dxa"/>
            <w:tcBorders>
              <w:left w:val="single" w:color="4F81BD" w:sz="2" w:space="0"/>
              <w:right w:val="single" w:color="4F81BD" w:sz="2" w:space="0"/>
            </w:tcBorders>
          </w:tcPr>
          <w:p w14:paraId="2CB863A5">
            <w:pPr>
              <w:pStyle w:val="36"/>
              <w:spacing w:before="192" w:line="239" w:lineRule="auto"/>
              <w:ind w:left="284"/>
              <w:rPr>
                <w:color w:val="auto"/>
                <w:sz w:val="21"/>
                <w:szCs w:val="21"/>
                <w:highlight w:val="none"/>
              </w:rPr>
            </w:pPr>
            <w:r>
              <w:rPr>
                <w:color w:val="auto"/>
                <w:spacing w:val="6"/>
                <w:sz w:val="21"/>
                <w:szCs w:val="21"/>
                <w:highlight w:val="none"/>
              </w:rPr>
              <w:t>X≥300</w:t>
            </w:r>
          </w:p>
        </w:tc>
        <w:tc>
          <w:tcPr>
            <w:tcW w:w="1961" w:type="dxa"/>
            <w:tcBorders>
              <w:left w:val="single" w:color="4F81BD" w:sz="2" w:space="0"/>
              <w:right w:val="single" w:color="4F81BD" w:sz="2" w:space="0"/>
            </w:tcBorders>
          </w:tcPr>
          <w:p w14:paraId="03A6E26E">
            <w:pPr>
              <w:pStyle w:val="36"/>
              <w:spacing w:before="193" w:line="237" w:lineRule="auto"/>
              <w:ind w:left="425"/>
              <w:rPr>
                <w:color w:val="auto"/>
                <w:sz w:val="21"/>
                <w:szCs w:val="21"/>
                <w:highlight w:val="none"/>
              </w:rPr>
            </w:pPr>
            <w:r>
              <w:rPr>
                <w:color w:val="auto"/>
                <w:spacing w:val="7"/>
                <w:sz w:val="21"/>
                <w:szCs w:val="21"/>
                <w:highlight w:val="none"/>
              </w:rPr>
              <w:t>50≤X＜300</w:t>
            </w:r>
          </w:p>
        </w:tc>
        <w:tc>
          <w:tcPr>
            <w:tcW w:w="1756" w:type="dxa"/>
            <w:tcBorders>
              <w:left w:val="single" w:color="4F81BD" w:sz="2" w:space="0"/>
              <w:right w:val="single" w:color="4F81BD" w:sz="2" w:space="0"/>
            </w:tcBorders>
          </w:tcPr>
          <w:p w14:paraId="4564A6CF">
            <w:pPr>
              <w:pStyle w:val="36"/>
              <w:spacing w:before="193" w:line="237" w:lineRule="auto"/>
              <w:ind w:left="393"/>
              <w:rPr>
                <w:color w:val="auto"/>
                <w:sz w:val="21"/>
                <w:szCs w:val="21"/>
                <w:highlight w:val="none"/>
              </w:rPr>
            </w:pPr>
            <w:r>
              <w:rPr>
                <w:color w:val="auto"/>
                <w:spacing w:val="5"/>
                <w:sz w:val="21"/>
                <w:szCs w:val="21"/>
                <w:highlight w:val="none"/>
              </w:rPr>
              <w:t>10≤X＜50</w:t>
            </w:r>
          </w:p>
        </w:tc>
        <w:tc>
          <w:tcPr>
            <w:tcW w:w="1028" w:type="dxa"/>
            <w:tcBorders>
              <w:left w:val="single" w:color="4F81BD" w:sz="2" w:space="0"/>
              <w:right w:val="single" w:color="4F81BD" w:sz="2" w:space="0"/>
            </w:tcBorders>
          </w:tcPr>
          <w:p w14:paraId="33C7FECB">
            <w:pPr>
              <w:pStyle w:val="36"/>
              <w:spacing w:before="192" w:line="241" w:lineRule="auto"/>
              <w:ind w:left="237"/>
              <w:rPr>
                <w:color w:val="auto"/>
                <w:sz w:val="21"/>
                <w:szCs w:val="21"/>
                <w:highlight w:val="none"/>
              </w:rPr>
            </w:pPr>
            <w:r>
              <w:rPr>
                <w:color w:val="auto"/>
                <w:spacing w:val="-8"/>
                <w:sz w:val="21"/>
                <w:szCs w:val="21"/>
                <w:highlight w:val="none"/>
              </w:rPr>
              <w:t>X＜</w:t>
            </w:r>
            <w:r>
              <w:rPr>
                <w:color w:val="auto"/>
                <w:spacing w:val="-41"/>
                <w:sz w:val="21"/>
                <w:szCs w:val="21"/>
                <w:highlight w:val="none"/>
              </w:rPr>
              <w:t xml:space="preserve"> </w:t>
            </w:r>
            <w:r>
              <w:rPr>
                <w:color w:val="auto"/>
                <w:spacing w:val="-8"/>
                <w:sz w:val="21"/>
                <w:szCs w:val="21"/>
                <w:highlight w:val="none"/>
              </w:rPr>
              <w:t>10</w:t>
            </w:r>
          </w:p>
        </w:tc>
      </w:tr>
      <w:tr w14:paraId="0B3CD7D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1431A9BD">
            <w:pPr>
              <w:rPr>
                <w:color w:val="auto"/>
                <w:highlight w:val="none"/>
              </w:rPr>
            </w:pPr>
          </w:p>
        </w:tc>
        <w:tc>
          <w:tcPr>
            <w:tcW w:w="1492" w:type="dxa"/>
            <w:tcBorders>
              <w:left w:val="single" w:color="000000" w:sz="2" w:space="0"/>
            </w:tcBorders>
            <w:shd w:val="clear" w:color="auto" w:fill="B8CCE4"/>
          </w:tcPr>
          <w:p w14:paraId="50C4FC61">
            <w:pPr>
              <w:pStyle w:val="36"/>
              <w:spacing w:before="192" w:line="221" w:lineRule="auto"/>
              <w:ind w:left="133"/>
              <w:rPr>
                <w:color w:val="auto"/>
                <w:sz w:val="21"/>
                <w:szCs w:val="21"/>
                <w:highlight w:val="none"/>
              </w:rPr>
            </w:pPr>
            <w:r>
              <w:rPr>
                <w:color w:val="auto"/>
                <w:spacing w:val="9"/>
                <w:sz w:val="21"/>
                <w:szCs w:val="21"/>
                <w:highlight w:val="none"/>
              </w:rPr>
              <w:t>营业收入(Y)</w:t>
            </w:r>
          </w:p>
        </w:tc>
        <w:tc>
          <w:tcPr>
            <w:tcW w:w="726" w:type="dxa"/>
            <w:shd w:val="clear" w:color="auto" w:fill="B8CCE4"/>
          </w:tcPr>
          <w:p w14:paraId="0C0E1BA8">
            <w:pPr>
              <w:pStyle w:val="36"/>
              <w:spacing w:before="193" w:line="221" w:lineRule="auto"/>
              <w:ind w:left="142"/>
              <w:rPr>
                <w:color w:val="auto"/>
                <w:sz w:val="21"/>
                <w:szCs w:val="21"/>
                <w:highlight w:val="none"/>
              </w:rPr>
            </w:pPr>
            <w:r>
              <w:rPr>
                <w:color w:val="auto"/>
                <w:spacing w:val="1"/>
                <w:sz w:val="21"/>
                <w:szCs w:val="21"/>
                <w:highlight w:val="none"/>
              </w:rPr>
              <w:t>万元</w:t>
            </w:r>
          </w:p>
        </w:tc>
        <w:tc>
          <w:tcPr>
            <w:tcW w:w="1244" w:type="dxa"/>
            <w:shd w:val="clear" w:color="auto" w:fill="B8CCE4"/>
          </w:tcPr>
          <w:p w14:paraId="0920077A">
            <w:pPr>
              <w:pStyle w:val="36"/>
              <w:spacing w:before="192" w:line="239" w:lineRule="auto"/>
              <w:ind w:left="168"/>
              <w:rPr>
                <w:color w:val="auto"/>
                <w:sz w:val="21"/>
                <w:szCs w:val="21"/>
                <w:highlight w:val="none"/>
              </w:rPr>
            </w:pPr>
            <w:r>
              <w:rPr>
                <w:color w:val="auto"/>
                <w:spacing w:val="7"/>
                <w:sz w:val="21"/>
                <w:szCs w:val="21"/>
                <w:highlight w:val="none"/>
              </w:rPr>
              <w:t>Y≥20000</w:t>
            </w:r>
          </w:p>
        </w:tc>
        <w:tc>
          <w:tcPr>
            <w:tcW w:w="1961" w:type="dxa"/>
            <w:shd w:val="clear" w:color="auto" w:fill="B8CCE4"/>
          </w:tcPr>
          <w:p w14:paraId="47379A36">
            <w:pPr>
              <w:pStyle w:val="36"/>
              <w:spacing w:before="192" w:line="237" w:lineRule="auto"/>
              <w:ind w:left="252"/>
              <w:rPr>
                <w:color w:val="auto"/>
                <w:sz w:val="21"/>
                <w:szCs w:val="21"/>
                <w:highlight w:val="none"/>
              </w:rPr>
            </w:pPr>
            <w:r>
              <w:rPr>
                <w:color w:val="auto"/>
                <w:spacing w:val="7"/>
                <w:sz w:val="21"/>
                <w:szCs w:val="21"/>
                <w:highlight w:val="none"/>
              </w:rPr>
              <w:t>500≤Y＜20000</w:t>
            </w:r>
          </w:p>
        </w:tc>
        <w:tc>
          <w:tcPr>
            <w:tcW w:w="1756" w:type="dxa"/>
            <w:shd w:val="clear" w:color="auto" w:fill="B8CCE4"/>
          </w:tcPr>
          <w:p w14:paraId="3E354407">
            <w:pPr>
              <w:pStyle w:val="36"/>
              <w:spacing w:before="192" w:line="237" w:lineRule="auto"/>
              <w:ind w:left="278"/>
              <w:rPr>
                <w:color w:val="auto"/>
                <w:sz w:val="21"/>
                <w:szCs w:val="21"/>
                <w:highlight w:val="none"/>
              </w:rPr>
            </w:pPr>
            <w:r>
              <w:rPr>
                <w:color w:val="auto"/>
                <w:spacing w:val="6"/>
                <w:sz w:val="21"/>
                <w:szCs w:val="21"/>
                <w:highlight w:val="none"/>
              </w:rPr>
              <w:t>100≤Y＜500</w:t>
            </w:r>
          </w:p>
        </w:tc>
        <w:tc>
          <w:tcPr>
            <w:tcW w:w="1028" w:type="dxa"/>
            <w:shd w:val="clear" w:color="auto" w:fill="B8CCE4"/>
          </w:tcPr>
          <w:p w14:paraId="11A49A1C">
            <w:pPr>
              <w:pStyle w:val="36"/>
              <w:spacing w:before="192" w:line="241" w:lineRule="auto"/>
              <w:ind w:left="176"/>
              <w:rPr>
                <w:color w:val="auto"/>
                <w:sz w:val="21"/>
                <w:szCs w:val="21"/>
                <w:highlight w:val="none"/>
              </w:rPr>
            </w:pPr>
            <w:r>
              <w:rPr>
                <w:color w:val="auto"/>
                <w:spacing w:val="-6"/>
                <w:sz w:val="21"/>
                <w:szCs w:val="21"/>
                <w:highlight w:val="none"/>
              </w:rPr>
              <w:t>Y＜</w:t>
            </w:r>
            <w:r>
              <w:rPr>
                <w:color w:val="auto"/>
                <w:spacing w:val="-39"/>
                <w:sz w:val="21"/>
                <w:szCs w:val="21"/>
                <w:highlight w:val="none"/>
              </w:rPr>
              <w:t xml:space="preserve"> </w:t>
            </w:r>
            <w:r>
              <w:rPr>
                <w:color w:val="auto"/>
                <w:spacing w:val="-6"/>
                <w:sz w:val="21"/>
                <w:szCs w:val="21"/>
                <w:highlight w:val="none"/>
              </w:rPr>
              <w:t>100</w:t>
            </w:r>
          </w:p>
        </w:tc>
      </w:tr>
      <w:tr w14:paraId="54434CE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51" w:type="dxa"/>
            <w:vMerge w:val="restart"/>
            <w:tcBorders>
              <w:bottom w:val="nil"/>
              <w:right w:val="single" w:color="4F81BD" w:sz="2" w:space="0"/>
            </w:tcBorders>
          </w:tcPr>
          <w:p w14:paraId="5C0192A6">
            <w:pPr>
              <w:spacing w:line="267" w:lineRule="auto"/>
              <w:rPr>
                <w:color w:val="auto"/>
                <w:highlight w:val="none"/>
              </w:rPr>
            </w:pPr>
          </w:p>
          <w:p w14:paraId="0A58FFA1">
            <w:pPr>
              <w:pStyle w:val="36"/>
              <w:spacing w:before="69" w:line="282" w:lineRule="auto"/>
              <w:ind w:left="344" w:right="138" w:hanging="215"/>
              <w:rPr>
                <w:color w:val="auto"/>
                <w:sz w:val="21"/>
                <w:szCs w:val="21"/>
                <w:highlight w:val="none"/>
              </w:rPr>
            </w:pPr>
            <w:r>
              <w:rPr>
                <w:color w:val="auto"/>
                <w:spacing w:val="8"/>
                <w:sz w:val="21"/>
                <w:szCs w:val="21"/>
                <w:highlight w:val="none"/>
              </w:rPr>
              <w:t>交通运输</w:t>
            </w:r>
            <w:r>
              <w:rPr>
                <w:color w:val="auto"/>
                <w:spacing w:val="-4"/>
                <w:sz w:val="21"/>
                <w:szCs w:val="21"/>
                <w:highlight w:val="none"/>
              </w:rPr>
              <w:t>业</w:t>
            </w:r>
            <w:r>
              <w:rPr>
                <w:color w:val="auto"/>
                <w:spacing w:val="37"/>
                <w:sz w:val="21"/>
                <w:szCs w:val="21"/>
                <w:highlight w:val="none"/>
              </w:rPr>
              <w:t xml:space="preserve"> </w:t>
            </w:r>
            <w:r>
              <w:rPr>
                <w:color w:val="auto"/>
                <w:spacing w:val="-4"/>
                <w:sz w:val="21"/>
                <w:szCs w:val="21"/>
                <w:highlight w:val="none"/>
              </w:rPr>
              <w:t>*</w:t>
            </w:r>
          </w:p>
        </w:tc>
        <w:tc>
          <w:tcPr>
            <w:tcW w:w="1492" w:type="dxa"/>
            <w:tcBorders>
              <w:left w:val="single" w:color="4F81BD" w:sz="2" w:space="0"/>
              <w:right w:val="single" w:color="4F81BD" w:sz="2" w:space="0"/>
            </w:tcBorders>
          </w:tcPr>
          <w:p w14:paraId="7F512F3B">
            <w:pPr>
              <w:pStyle w:val="36"/>
              <w:spacing w:before="193" w:line="221" w:lineRule="auto"/>
              <w:ind w:left="128"/>
              <w:rPr>
                <w:color w:val="auto"/>
                <w:sz w:val="21"/>
                <w:szCs w:val="21"/>
                <w:highlight w:val="none"/>
              </w:rPr>
            </w:pPr>
            <w:r>
              <w:rPr>
                <w:color w:val="auto"/>
                <w:spacing w:val="2"/>
                <w:sz w:val="21"/>
                <w:szCs w:val="21"/>
                <w:highlight w:val="none"/>
              </w:rPr>
              <w:t>从业人员</w:t>
            </w:r>
            <w:r>
              <w:rPr>
                <w:color w:val="auto"/>
                <w:spacing w:val="-43"/>
                <w:sz w:val="21"/>
                <w:szCs w:val="21"/>
                <w:highlight w:val="none"/>
              </w:rPr>
              <w:t xml:space="preserve"> </w:t>
            </w:r>
            <w:r>
              <w:rPr>
                <w:color w:val="auto"/>
                <w:spacing w:val="2"/>
                <w:sz w:val="21"/>
                <w:szCs w:val="21"/>
                <w:highlight w:val="none"/>
              </w:rPr>
              <w:t>(X)</w:t>
            </w:r>
          </w:p>
        </w:tc>
        <w:tc>
          <w:tcPr>
            <w:tcW w:w="726" w:type="dxa"/>
            <w:tcBorders>
              <w:left w:val="single" w:color="4F81BD" w:sz="2" w:space="0"/>
              <w:right w:val="single" w:color="4F81BD" w:sz="2" w:space="0"/>
            </w:tcBorders>
          </w:tcPr>
          <w:p w14:paraId="173F6452">
            <w:pPr>
              <w:pStyle w:val="36"/>
              <w:spacing w:before="193" w:line="223" w:lineRule="auto"/>
              <w:ind w:left="254"/>
              <w:rPr>
                <w:color w:val="auto"/>
                <w:sz w:val="21"/>
                <w:szCs w:val="21"/>
                <w:highlight w:val="none"/>
              </w:rPr>
            </w:pPr>
            <w:r>
              <w:rPr>
                <w:color w:val="auto"/>
                <w:sz w:val="21"/>
                <w:szCs w:val="21"/>
                <w:highlight w:val="none"/>
              </w:rPr>
              <w:t>人</w:t>
            </w:r>
          </w:p>
        </w:tc>
        <w:tc>
          <w:tcPr>
            <w:tcW w:w="1244" w:type="dxa"/>
            <w:tcBorders>
              <w:left w:val="single" w:color="4F81BD" w:sz="2" w:space="0"/>
              <w:right w:val="single" w:color="4F81BD" w:sz="2" w:space="0"/>
            </w:tcBorders>
          </w:tcPr>
          <w:p w14:paraId="09D19748">
            <w:pPr>
              <w:pStyle w:val="36"/>
              <w:spacing w:before="192" w:line="239" w:lineRule="auto"/>
              <w:ind w:left="227"/>
              <w:rPr>
                <w:color w:val="auto"/>
                <w:sz w:val="21"/>
                <w:szCs w:val="21"/>
                <w:highlight w:val="none"/>
              </w:rPr>
            </w:pPr>
            <w:r>
              <w:rPr>
                <w:color w:val="auto"/>
                <w:spacing w:val="6"/>
                <w:sz w:val="21"/>
                <w:szCs w:val="21"/>
                <w:highlight w:val="none"/>
              </w:rPr>
              <w:t>X≥1000</w:t>
            </w:r>
          </w:p>
        </w:tc>
        <w:tc>
          <w:tcPr>
            <w:tcW w:w="1961" w:type="dxa"/>
            <w:tcBorders>
              <w:left w:val="single" w:color="4F81BD" w:sz="2" w:space="0"/>
              <w:right w:val="single" w:color="4F81BD" w:sz="2" w:space="0"/>
            </w:tcBorders>
          </w:tcPr>
          <w:p w14:paraId="736F95D6">
            <w:pPr>
              <w:pStyle w:val="36"/>
              <w:spacing w:before="193" w:line="237" w:lineRule="auto"/>
              <w:ind w:left="312"/>
              <w:rPr>
                <w:color w:val="auto"/>
                <w:sz w:val="21"/>
                <w:szCs w:val="21"/>
                <w:highlight w:val="none"/>
              </w:rPr>
            </w:pPr>
            <w:r>
              <w:rPr>
                <w:color w:val="auto"/>
                <w:spacing w:val="1"/>
                <w:sz w:val="21"/>
                <w:szCs w:val="21"/>
                <w:highlight w:val="none"/>
              </w:rPr>
              <w:t>300≤X＜</w:t>
            </w:r>
            <w:r>
              <w:rPr>
                <w:color w:val="auto"/>
                <w:spacing w:val="-42"/>
                <w:sz w:val="21"/>
                <w:szCs w:val="21"/>
                <w:highlight w:val="none"/>
              </w:rPr>
              <w:t xml:space="preserve"> </w:t>
            </w:r>
            <w:r>
              <w:rPr>
                <w:color w:val="auto"/>
                <w:spacing w:val="1"/>
                <w:sz w:val="21"/>
                <w:szCs w:val="21"/>
                <w:highlight w:val="none"/>
              </w:rPr>
              <w:t>1000</w:t>
            </w:r>
          </w:p>
        </w:tc>
        <w:tc>
          <w:tcPr>
            <w:tcW w:w="1756" w:type="dxa"/>
            <w:tcBorders>
              <w:left w:val="single" w:color="4F81BD" w:sz="2" w:space="0"/>
              <w:right w:val="single" w:color="4F81BD" w:sz="2" w:space="0"/>
            </w:tcBorders>
          </w:tcPr>
          <w:p w14:paraId="1585092C">
            <w:pPr>
              <w:pStyle w:val="36"/>
              <w:spacing w:before="193" w:line="237" w:lineRule="auto"/>
              <w:ind w:left="322"/>
              <w:rPr>
                <w:color w:val="auto"/>
                <w:sz w:val="21"/>
                <w:szCs w:val="21"/>
                <w:highlight w:val="none"/>
              </w:rPr>
            </w:pPr>
            <w:r>
              <w:rPr>
                <w:color w:val="auto"/>
                <w:spacing w:val="7"/>
                <w:sz w:val="21"/>
                <w:szCs w:val="21"/>
                <w:highlight w:val="none"/>
              </w:rPr>
              <w:t>20≤X＜300</w:t>
            </w:r>
          </w:p>
        </w:tc>
        <w:tc>
          <w:tcPr>
            <w:tcW w:w="1028" w:type="dxa"/>
            <w:tcBorders>
              <w:left w:val="single" w:color="4F81BD" w:sz="2" w:space="0"/>
              <w:right w:val="single" w:color="4F81BD" w:sz="2" w:space="0"/>
            </w:tcBorders>
          </w:tcPr>
          <w:p w14:paraId="09B18248">
            <w:pPr>
              <w:pStyle w:val="36"/>
              <w:spacing w:before="192" w:line="241" w:lineRule="auto"/>
              <w:ind w:left="237"/>
              <w:rPr>
                <w:color w:val="auto"/>
                <w:sz w:val="21"/>
                <w:szCs w:val="21"/>
                <w:highlight w:val="none"/>
              </w:rPr>
            </w:pPr>
            <w:r>
              <w:rPr>
                <w:color w:val="auto"/>
                <w:spacing w:val="6"/>
                <w:sz w:val="21"/>
                <w:szCs w:val="21"/>
                <w:highlight w:val="none"/>
              </w:rPr>
              <w:t>X＜20</w:t>
            </w:r>
          </w:p>
        </w:tc>
      </w:tr>
      <w:tr w14:paraId="5B6C4B1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54CD2C04">
            <w:pPr>
              <w:rPr>
                <w:color w:val="auto"/>
                <w:highlight w:val="none"/>
              </w:rPr>
            </w:pPr>
          </w:p>
        </w:tc>
        <w:tc>
          <w:tcPr>
            <w:tcW w:w="1492" w:type="dxa"/>
            <w:tcBorders>
              <w:left w:val="single" w:color="000000" w:sz="2" w:space="0"/>
            </w:tcBorders>
            <w:shd w:val="clear" w:color="auto" w:fill="B8CCE4"/>
          </w:tcPr>
          <w:p w14:paraId="2F5970A9">
            <w:pPr>
              <w:pStyle w:val="36"/>
              <w:spacing w:before="192" w:line="221" w:lineRule="auto"/>
              <w:ind w:left="133"/>
              <w:rPr>
                <w:color w:val="auto"/>
                <w:sz w:val="21"/>
                <w:szCs w:val="21"/>
                <w:highlight w:val="none"/>
              </w:rPr>
            </w:pPr>
            <w:r>
              <w:rPr>
                <w:color w:val="auto"/>
                <w:spacing w:val="9"/>
                <w:sz w:val="21"/>
                <w:szCs w:val="21"/>
                <w:highlight w:val="none"/>
              </w:rPr>
              <w:t>营业收入(Y)</w:t>
            </w:r>
          </w:p>
        </w:tc>
        <w:tc>
          <w:tcPr>
            <w:tcW w:w="726" w:type="dxa"/>
            <w:shd w:val="clear" w:color="auto" w:fill="B8CCE4"/>
          </w:tcPr>
          <w:p w14:paraId="09CA61A4">
            <w:pPr>
              <w:pStyle w:val="36"/>
              <w:spacing w:before="193" w:line="221" w:lineRule="auto"/>
              <w:ind w:left="142"/>
              <w:rPr>
                <w:color w:val="auto"/>
                <w:sz w:val="21"/>
                <w:szCs w:val="21"/>
                <w:highlight w:val="none"/>
              </w:rPr>
            </w:pPr>
            <w:r>
              <w:rPr>
                <w:color w:val="auto"/>
                <w:spacing w:val="1"/>
                <w:sz w:val="21"/>
                <w:szCs w:val="21"/>
                <w:highlight w:val="none"/>
              </w:rPr>
              <w:t>万元</w:t>
            </w:r>
          </w:p>
        </w:tc>
        <w:tc>
          <w:tcPr>
            <w:tcW w:w="1244" w:type="dxa"/>
            <w:shd w:val="clear" w:color="auto" w:fill="B8CCE4"/>
          </w:tcPr>
          <w:p w14:paraId="72E9089A">
            <w:pPr>
              <w:pStyle w:val="36"/>
              <w:spacing w:before="192" w:line="239" w:lineRule="auto"/>
              <w:ind w:left="168"/>
              <w:rPr>
                <w:color w:val="auto"/>
                <w:sz w:val="21"/>
                <w:szCs w:val="21"/>
                <w:highlight w:val="none"/>
              </w:rPr>
            </w:pPr>
            <w:r>
              <w:rPr>
                <w:color w:val="auto"/>
                <w:spacing w:val="7"/>
                <w:sz w:val="21"/>
                <w:szCs w:val="21"/>
                <w:highlight w:val="none"/>
              </w:rPr>
              <w:t>Y≥30000</w:t>
            </w:r>
          </w:p>
        </w:tc>
        <w:tc>
          <w:tcPr>
            <w:tcW w:w="1961" w:type="dxa"/>
            <w:shd w:val="clear" w:color="auto" w:fill="B8CCE4"/>
          </w:tcPr>
          <w:p w14:paraId="52D9B63A">
            <w:pPr>
              <w:pStyle w:val="36"/>
              <w:spacing w:before="193" w:line="237" w:lineRule="auto"/>
              <w:ind w:left="197"/>
              <w:rPr>
                <w:color w:val="auto"/>
                <w:sz w:val="21"/>
                <w:szCs w:val="21"/>
                <w:highlight w:val="none"/>
              </w:rPr>
            </w:pPr>
            <w:r>
              <w:rPr>
                <w:color w:val="auto"/>
                <w:spacing w:val="7"/>
                <w:sz w:val="21"/>
                <w:szCs w:val="21"/>
                <w:highlight w:val="none"/>
              </w:rPr>
              <w:t>3000≤Y＜30000</w:t>
            </w:r>
          </w:p>
        </w:tc>
        <w:tc>
          <w:tcPr>
            <w:tcW w:w="1756" w:type="dxa"/>
            <w:shd w:val="clear" w:color="auto" w:fill="B8CCE4"/>
          </w:tcPr>
          <w:p w14:paraId="1B87462A">
            <w:pPr>
              <w:pStyle w:val="36"/>
              <w:spacing w:before="193" w:line="237" w:lineRule="auto"/>
              <w:ind w:left="207"/>
              <w:rPr>
                <w:color w:val="auto"/>
                <w:sz w:val="21"/>
                <w:szCs w:val="21"/>
                <w:highlight w:val="none"/>
              </w:rPr>
            </w:pPr>
            <w:r>
              <w:rPr>
                <w:color w:val="auto"/>
                <w:spacing w:val="7"/>
                <w:sz w:val="21"/>
                <w:szCs w:val="21"/>
                <w:highlight w:val="none"/>
              </w:rPr>
              <w:t>200≤Y＜3000</w:t>
            </w:r>
          </w:p>
        </w:tc>
        <w:tc>
          <w:tcPr>
            <w:tcW w:w="1028" w:type="dxa"/>
            <w:shd w:val="clear" w:color="auto" w:fill="B8CCE4"/>
          </w:tcPr>
          <w:p w14:paraId="6A430D79">
            <w:pPr>
              <w:pStyle w:val="36"/>
              <w:spacing w:before="193" w:line="241" w:lineRule="auto"/>
              <w:ind w:left="176"/>
              <w:rPr>
                <w:color w:val="auto"/>
                <w:sz w:val="21"/>
                <w:szCs w:val="21"/>
                <w:highlight w:val="none"/>
              </w:rPr>
            </w:pPr>
            <w:r>
              <w:rPr>
                <w:color w:val="auto"/>
                <w:spacing w:val="6"/>
                <w:sz w:val="21"/>
                <w:szCs w:val="21"/>
                <w:highlight w:val="none"/>
              </w:rPr>
              <w:t>Y＜200</w:t>
            </w:r>
          </w:p>
        </w:tc>
      </w:tr>
      <w:tr w14:paraId="393D9E6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16F12BA0">
            <w:pPr>
              <w:spacing w:line="425" w:lineRule="auto"/>
              <w:rPr>
                <w:color w:val="auto"/>
                <w:highlight w:val="none"/>
              </w:rPr>
            </w:pPr>
          </w:p>
          <w:p w14:paraId="2378405C">
            <w:pPr>
              <w:pStyle w:val="36"/>
              <w:spacing w:before="68" w:line="221" w:lineRule="auto"/>
              <w:ind w:left="179"/>
              <w:rPr>
                <w:color w:val="auto"/>
                <w:sz w:val="21"/>
                <w:szCs w:val="21"/>
                <w:highlight w:val="none"/>
              </w:rPr>
            </w:pPr>
            <w:r>
              <w:rPr>
                <w:color w:val="auto"/>
                <w:spacing w:val="9"/>
                <w:sz w:val="21"/>
                <w:szCs w:val="21"/>
                <w:highlight w:val="none"/>
              </w:rPr>
              <w:t>仓储业*</w:t>
            </w:r>
          </w:p>
        </w:tc>
        <w:tc>
          <w:tcPr>
            <w:tcW w:w="1492" w:type="dxa"/>
            <w:tcBorders>
              <w:left w:val="single" w:color="4F81BD" w:sz="2" w:space="0"/>
              <w:right w:val="single" w:color="4F81BD" w:sz="2" w:space="0"/>
            </w:tcBorders>
          </w:tcPr>
          <w:p w14:paraId="023496DF">
            <w:pPr>
              <w:pStyle w:val="36"/>
              <w:spacing w:before="193" w:line="221" w:lineRule="auto"/>
              <w:ind w:left="128"/>
              <w:rPr>
                <w:color w:val="auto"/>
                <w:sz w:val="21"/>
                <w:szCs w:val="21"/>
                <w:highlight w:val="none"/>
              </w:rPr>
            </w:pPr>
            <w:r>
              <w:rPr>
                <w:color w:val="auto"/>
                <w:spacing w:val="2"/>
                <w:sz w:val="21"/>
                <w:szCs w:val="21"/>
                <w:highlight w:val="none"/>
              </w:rPr>
              <w:t>从业人员</w:t>
            </w:r>
            <w:r>
              <w:rPr>
                <w:color w:val="auto"/>
                <w:spacing w:val="-43"/>
                <w:sz w:val="21"/>
                <w:szCs w:val="21"/>
                <w:highlight w:val="none"/>
              </w:rPr>
              <w:t xml:space="preserve"> </w:t>
            </w:r>
            <w:r>
              <w:rPr>
                <w:color w:val="auto"/>
                <w:spacing w:val="2"/>
                <w:sz w:val="21"/>
                <w:szCs w:val="21"/>
                <w:highlight w:val="none"/>
              </w:rPr>
              <w:t>(X)</w:t>
            </w:r>
          </w:p>
        </w:tc>
        <w:tc>
          <w:tcPr>
            <w:tcW w:w="726" w:type="dxa"/>
            <w:tcBorders>
              <w:left w:val="single" w:color="4F81BD" w:sz="2" w:space="0"/>
              <w:right w:val="single" w:color="4F81BD" w:sz="2" w:space="0"/>
            </w:tcBorders>
          </w:tcPr>
          <w:p w14:paraId="1AEB1724">
            <w:pPr>
              <w:pStyle w:val="36"/>
              <w:spacing w:before="193" w:line="223" w:lineRule="auto"/>
              <w:ind w:left="254"/>
              <w:rPr>
                <w:color w:val="auto"/>
                <w:sz w:val="21"/>
                <w:szCs w:val="21"/>
                <w:highlight w:val="none"/>
              </w:rPr>
            </w:pPr>
            <w:r>
              <w:rPr>
                <w:color w:val="auto"/>
                <w:sz w:val="21"/>
                <w:szCs w:val="21"/>
                <w:highlight w:val="none"/>
              </w:rPr>
              <w:t>人</w:t>
            </w:r>
          </w:p>
        </w:tc>
        <w:tc>
          <w:tcPr>
            <w:tcW w:w="1244" w:type="dxa"/>
            <w:tcBorders>
              <w:left w:val="single" w:color="4F81BD" w:sz="2" w:space="0"/>
              <w:right w:val="single" w:color="4F81BD" w:sz="2" w:space="0"/>
            </w:tcBorders>
          </w:tcPr>
          <w:p w14:paraId="6265B825">
            <w:pPr>
              <w:pStyle w:val="36"/>
              <w:spacing w:before="192" w:line="239" w:lineRule="auto"/>
              <w:ind w:left="284"/>
              <w:rPr>
                <w:color w:val="auto"/>
                <w:sz w:val="21"/>
                <w:szCs w:val="21"/>
                <w:highlight w:val="none"/>
              </w:rPr>
            </w:pPr>
            <w:r>
              <w:rPr>
                <w:color w:val="auto"/>
                <w:spacing w:val="6"/>
                <w:sz w:val="21"/>
                <w:szCs w:val="21"/>
                <w:highlight w:val="none"/>
              </w:rPr>
              <w:t>X≥200</w:t>
            </w:r>
          </w:p>
        </w:tc>
        <w:tc>
          <w:tcPr>
            <w:tcW w:w="1961" w:type="dxa"/>
            <w:tcBorders>
              <w:left w:val="single" w:color="4F81BD" w:sz="2" w:space="0"/>
              <w:right w:val="single" w:color="4F81BD" w:sz="2" w:space="0"/>
            </w:tcBorders>
          </w:tcPr>
          <w:p w14:paraId="52546B52">
            <w:pPr>
              <w:pStyle w:val="36"/>
              <w:spacing w:before="193" w:line="237" w:lineRule="auto"/>
              <w:ind w:left="379"/>
              <w:rPr>
                <w:color w:val="auto"/>
                <w:sz w:val="21"/>
                <w:szCs w:val="21"/>
                <w:highlight w:val="none"/>
              </w:rPr>
            </w:pPr>
            <w:r>
              <w:rPr>
                <w:color w:val="auto"/>
                <w:spacing w:val="6"/>
                <w:sz w:val="21"/>
                <w:szCs w:val="21"/>
                <w:highlight w:val="none"/>
              </w:rPr>
              <w:t>100≤X＜200</w:t>
            </w:r>
          </w:p>
        </w:tc>
        <w:tc>
          <w:tcPr>
            <w:tcW w:w="1756" w:type="dxa"/>
            <w:tcBorders>
              <w:left w:val="single" w:color="4F81BD" w:sz="2" w:space="0"/>
              <w:right w:val="single" w:color="4F81BD" w:sz="2" w:space="0"/>
            </w:tcBorders>
          </w:tcPr>
          <w:p w14:paraId="05A28D10">
            <w:pPr>
              <w:pStyle w:val="36"/>
              <w:spacing w:before="193" w:line="237" w:lineRule="auto"/>
              <w:ind w:left="322"/>
              <w:rPr>
                <w:color w:val="auto"/>
                <w:sz w:val="21"/>
                <w:szCs w:val="21"/>
                <w:highlight w:val="none"/>
              </w:rPr>
            </w:pPr>
            <w:r>
              <w:rPr>
                <w:color w:val="auto"/>
                <w:spacing w:val="-1"/>
                <w:sz w:val="21"/>
                <w:szCs w:val="21"/>
                <w:highlight w:val="none"/>
              </w:rPr>
              <w:t>20≤X＜</w:t>
            </w:r>
            <w:r>
              <w:rPr>
                <w:color w:val="auto"/>
                <w:spacing w:val="-35"/>
                <w:sz w:val="21"/>
                <w:szCs w:val="21"/>
                <w:highlight w:val="none"/>
              </w:rPr>
              <w:t xml:space="preserve"> </w:t>
            </w:r>
            <w:r>
              <w:rPr>
                <w:color w:val="auto"/>
                <w:spacing w:val="-1"/>
                <w:sz w:val="21"/>
                <w:szCs w:val="21"/>
                <w:highlight w:val="none"/>
              </w:rPr>
              <w:t>100</w:t>
            </w:r>
          </w:p>
        </w:tc>
        <w:tc>
          <w:tcPr>
            <w:tcW w:w="1028" w:type="dxa"/>
            <w:tcBorders>
              <w:left w:val="single" w:color="4F81BD" w:sz="2" w:space="0"/>
              <w:right w:val="single" w:color="4F81BD" w:sz="2" w:space="0"/>
            </w:tcBorders>
          </w:tcPr>
          <w:p w14:paraId="248868BE">
            <w:pPr>
              <w:pStyle w:val="36"/>
              <w:spacing w:before="192" w:line="241" w:lineRule="auto"/>
              <w:ind w:left="237"/>
              <w:rPr>
                <w:color w:val="auto"/>
                <w:sz w:val="21"/>
                <w:szCs w:val="21"/>
                <w:highlight w:val="none"/>
              </w:rPr>
            </w:pPr>
            <w:r>
              <w:rPr>
                <w:color w:val="auto"/>
                <w:spacing w:val="6"/>
                <w:sz w:val="21"/>
                <w:szCs w:val="21"/>
                <w:highlight w:val="none"/>
              </w:rPr>
              <w:t>X＜20</w:t>
            </w:r>
          </w:p>
        </w:tc>
      </w:tr>
      <w:tr w14:paraId="66B4805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51" w:type="dxa"/>
            <w:vMerge w:val="continue"/>
            <w:tcBorders>
              <w:top w:val="nil"/>
              <w:right w:val="single" w:color="4F81BD" w:sz="2" w:space="0"/>
            </w:tcBorders>
          </w:tcPr>
          <w:p w14:paraId="05FEFD03">
            <w:pPr>
              <w:rPr>
                <w:color w:val="auto"/>
                <w:highlight w:val="none"/>
              </w:rPr>
            </w:pPr>
          </w:p>
        </w:tc>
        <w:tc>
          <w:tcPr>
            <w:tcW w:w="1492" w:type="dxa"/>
            <w:tcBorders>
              <w:left w:val="single" w:color="000000" w:sz="2" w:space="0"/>
            </w:tcBorders>
            <w:shd w:val="clear" w:color="auto" w:fill="B8CCE4"/>
          </w:tcPr>
          <w:p w14:paraId="43940656">
            <w:pPr>
              <w:pStyle w:val="36"/>
              <w:spacing w:before="192" w:line="221" w:lineRule="auto"/>
              <w:ind w:left="133"/>
              <w:rPr>
                <w:color w:val="auto"/>
                <w:sz w:val="21"/>
                <w:szCs w:val="21"/>
                <w:highlight w:val="none"/>
              </w:rPr>
            </w:pPr>
            <w:r>
              <w:rPr>
                <w:color w:val="auto"/>
                <w:spacing w:val="9"/>
                <w:sz w:val="21"/>
                <w:szCs w:val="21"/>
                <w:highlight w:val="none"/>
              </w:rPr>
              <w:t>营业收入(Y)</w:t>
            </w:r>
          </w:p>
        </w:tc>
        <w:tc>
          <w:tcPr>
            <w:tcW w:w="726" w:type="dxa"/>
            <w:shd w:val="clear" w:color="auto" w:fill="B8CCE4"/>
          </w:tcPr>
          <w:p w14:paraId="1233979F">
            <w:pPr>
              <w:pStyle w:val="36"/>
              <w:spacing w:before="193" w:line="221" w:lineRule="auto"/>
              <w:ind w:left="142"/>
              <w:rPr>
                <w:color w:val="auto"/>
                <w:sz w:val="21"/>
                <w:szCs w:val="21"/>
                <w:highlight w:val="none"/>
              </w:rPr>
            </w:pPr>
            <w:r>
              <w:rPr>
                <w:color w:val="auto"/>
                <w:spacing w:val="1"/>
                <w:sz w:val="21"/>
                <w:szCs w:val="21"/>
                <w:highlight w:val="none"/>
              </w:rPr>
              <w:t>万元</w:t>
            </w:r>
          </w:p>
        </w:tc>
        <w:tc>
          <w:tcPr>
            <w:tcW w:w="1244" w:type="dxa"/>
            <w:shd w:val="clear" w:color="auto" w:fill="B8CCE4"/>
          </w:tcPr>
          <w:p w14:paraId="162491AB">
            <w:pPr>
              <w:pStyle w:val="36"/>
              <w:spacing w:before="192" w:line="239" w:lineRule="auto"/>
              <w:ind w:left="168"/>
              <w:rPr>
                <w:color w:val="auto"/>
                <w:sz w:val="21"/>
                <w:szCs w:val="21"/>
                <w:highlight w:val="none"/>
              </w:rPr>
            </w:pPr>
            <w:r>
              <w:rPr>
                <w:color w:val="auto"/>
                <w:spacing w:val="7"/>
                <w:sz w:val="21"/>
                <w:szCs w:val="21"/>
                <w:highlight w:val="none"/>
              </w:rPr>
              <w:t>Y≥30000</w:t>
            </w:r>
          </w:p>
        </w:tc>
        <w:tc>
          <w:tcPr>
            <w:tcW w:w="1961" w:type="dxa"/>
            <w:shd w:val="clear" w:color="auto" w:fill="B8CCE4"/>
          </w:tcPr>
          <w:p w14:paraId="0C1217C8">
            <w:pPr>
              <w:pStyle w:val="36"/>
              <w:spacing w:before="193" w:line="237" w:lineRule="auto"/>
              <w:ind w:left="208"/>
              <w:rPr>
                <w:color w:val="auto"/>
                <w:sz w:val="21"/>
                <w:szCs w:val="21"/>
                <w:highlight w:val="none"/>
              </w:rPr>
            </w:pPr>
            <w:r>
              <w:rPr>
                <w:color w:val="auto"/>
                <w:spacing w:val="6"/>
                <w:sz w:val="21"/>
                <w:szCs w:val="21"/>
                <w:highlight w:val="none"/>
              </w:rPr>
              <w:t>1000≤Y＜30000</w:t>
            </w:r>
          </w:p>
        </w:tc>
        <w:tc>
          <w:tcPr>
            <w:tcW w:w="1756" w:type="dxa"/>
            <w:shd w:val="clear" w:color="auto" w:fill="B8CCE4"/>
          </w:tcPr>
          <w:p w14:paraId="721F0E0C">
            <w:pPr>
              <w:pStyle w:val="36"/>
              <w:spacing w:before="193" w:line="237" w:lineRule="auto"/>
              <w:ind w:left="220"/>
              <w:rPr>
                <w:color w:val="auto"/>
                <w:sz w:val="21"/>
                <w:szCs w:val="21"/>
                <w:highlight w:val="none"/>
              </w:rPr>
            </w:pPr>
            <w:r>
              <w:rPr>
                <w:color w:val="auto"/>
                <w:spacing w:val="-1"/>
                <w:sz w:val="21"/>
                <w:szCs w:val="21"/>
                <w:highlight w:val="none"/>
              </w:rPr>
              <w:t>100≤Y＜</w:t>
            </w:r>
            <w:r>
              <w:rPr>
                <w:color w:val="auto"/>
                <w:spacing w:val="-33"/>
                <w:sz w:val="21"/>
                <w:szCs w:val="21"/>
                <w:highlight w:val="none"/>
              </w:rPr>
              <w:t xml:space="preserve"> </w:t>
            </w:r>
            <w:r>
              <w:rPr>
                <w:color w:val="auto"/>
                <w:spacing w:val="-1"/>
                <w:sz w:val="21"/>
                <w:szCs w:val="21"/>
                <w:highlight w:val="none"/>
              </w:rPr>
              <w:t>1000</w:t>
            </w:r>
          </w:p>
        </w:tc>
        <w:tc>
          <w:tcPr>
            <w:tcW w:w="1028" w:type="dxa"/>
            <w:shd w:val="clear" w:color="auto" w:fill="B8CCE4"/>
          </w:tcPr>
          <w:p w14:paraId="3A6421FD">
            <w:pPr>
              <w:pStyle w:val="36"/>
              <w:spacing w:before="192" w:line="241" w:lineRule="auto"/>
              <w:ind w:left="176"/>
              <w:rPr>
                <w:color w:val="auto"/>
                <w:sz w:val="21"/>
                <w:szCs w:val="21"/>
                <w:highlight w:val="none"/>
              </w:rPr>
            </w:pPr>
            <w:r>
              <w:rPr>
                <w:color w:val="auto"/>
                <w:spacing w:val="-6"/>
                <w:sz w:val="21"/>
                <w:szCs w:val="21"/>
                <w:highlight w:val="none"/>
              </w:rPr>
              <w:t>Y＜</w:t>
            </w:r>
            <w:r>
              <w:rPr>
                <w:color w:val="auto"/>
                <w:spacing w:val="-39"/>
                <w:sz w:val="21"/>
                <w:szCs w:val="21"/>
                <w:highlight w:val="none"/>
              </w:rPr>
              <w:t xml:space="preserve"> </w:t>
            </w:r>
            <w:r>
              <w:rPr>
                <w:color w:val="auto"/>
                <w:spacing w:val="-6"/>
                <w:sz w:val="21"/>
                <w:szCs w:val="21"/>
                <w:highlight w:val="none"/>
              </w:rPr>
              <w:t>100</w:t>
            </w:r>
          </w:p>
        </w:tc>
      </w:tr>
      <w:tr w14:paraId="6B01416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604E732B">
            <w:pPr>
              <w:spacing w:line="424" w:lineRule="auto"/>
              <w:rPr>
                <w:color w:val="auto"/>
                <w:highlight w:val="none"/>
              </w:rPr>
            </w:pPr>
          </w:p>
          <w:p w14:paraId="77288156">
            <w:pPr>
              <w:pStyle w:val="36"/>
              <w:spacing w:before="69" w:line="222" w:lineRule="auto"/>
              <w:ind w:left="253"/>
              <w:rPr>
                <w:color w:val="auto"/>
                <w:sz w:val="21"/>
                <w:szCs w:val="21"/>
                <w:highlight w:val="none"/>
              </w:rPr>
            </w:pPr>
            <w:r>
              <w:rPr>
                <w:color w:val="auto"/>
                <w:spacing w:val="2"/>
                <w:sz w:val="21"/>
                <w:szCs w:val="21"/>
                <w:highlight w:val="none"/>
              </w:rPr>
              <w:t>邮政业</w:t>
            </w:r>
          </w:p>
        </w:tc>
        <w:tc>
          <w:tcPr>
            <w:tcW w:w="1492" w:type="dxa"/>
            <w:tcBorders>
              <w:left w:val="single" w:color="4F81BD" w:sz="2" w:space="0"/>
              <w:right w:val="single" w:color="4F81BD" w:sz="2" w:space="0"/>
            </w:tcBorders>
          </w:tcPr>
          <w:p w14:paraId="59ADE9ED">
            <w:pPr>
              <w:pStyle w:val="36"/>
              <w:spacing w:before="193" w:line="221" w:lineRule="auto"/>
              <w:ind w:left="128"/>
              <w:rPr>
                <w:color w:val="auto"/>
                <w:sz w:val="21"/>
                <w:szCs w:val="21"/>
                <w:highlight w:val="none"/>
              </w:rPr>
            </w:pPr>
            <w:r>
              <w:rPr>
                <w:color w:val="auto"/>
                <w:spacing w:val="2"/>
                <w:sz w:val="21"/>
                <w:szCs w:val="21"/>
                <w:highlight w:val="none"/>
              </w:rPr>
              <w:t>从业人员</w:t>
            </w:r>
            <w:r>
              <w:rPr>
                <w:color w:val="auto"/>
                <w:spacing w:val="-43"/>
                <w:sz w:val="21"/>
                <w:szCs w:val="21"/>
                <w:highlight w:val="none"/>
              </w:rPr>
              <w:t xml:space="preserve"> </w:t>
            </w:r>
            <w:r>
              <w:rPr>
                <w:color w:val="auto"/>
                <w:spacing w:val="2"/>
                <w:sz w:val="21"/>
                <w:szCs w:val="21"/>
                <w:highlight w:val="none"/>
              </w:rPr>
              <w:t>(X)</w:t>
            </w:r>
          </w:p>
        </w:tc>
        <w:tc>
          <w:tcPr>
            <w:tcW w:w="726" w:type="dxa"/>
            <w:tcBorders>
              <w:left w:val="single" w:color="4F81BD" w:sz="2" w:space="0"/>
              <w:right w:val="single" w:color="4F81BD" w:sz="2" w:space="0"/>
            </w:tcBorders>
          </w:tcPr>
          <w:p w14:paraId="2574E858">
            <w:pPr>
              <w:pStyle w:val="36"/>
              <w:spacing w:before="193" w:line="223" w:lineRule="auto"/>
              <w:ind w:left="254"/>
              <w:rPr>
                <w:color w:val="auto"/>
                <w:sz w:val="21"/>
                <w:szCs w:val="21"/>
                <w:highlight w:val="none"/>
              </w:rPr>
            </w:pPr>
            <w:r>
              <w:rPr>
                <w:color w:val="auto"/>
                <w:sz w:val="21"/>
                <w:szCs w:val="21"/>
                <w:highlight w:val="none"/>
              </w:rPr>
              <w:t>人</w:t>
            </w:r>
          </w:p>
        </w:tc>
        <w:tc>
          <w:tcPr>
            <w:tcW w:w="1244" w:type="dxa"/>
            <w:tcBorders>
              <w:left w:val="single" w:color="4F81BD" w:sz="2" w:space="0"/>
              <w:right w:val="single" w:color="4F81BD" w:sz="2" w:space="0"/>
            </w:tcBorders>
          </w:tcPr>
          <w:p w14:paraId="1F0E0914">
            <w:pPr>
              <w:pStyle w:val="36"/>
              <w:spacing w:before="192" w:line="239" w:lineRule="auto"/>
              <w:ind w:left="227"/>
              <w:rPr>
                <w:color w:val="auto"/>
                <w:sz w:val="21"/>
                <w:szCs w:val="21"/>
                <w:highlight w:val="none"/>
              </w:rPr>
            </w:pPr>
            <w:r>
              <w:rPr>
                <w:color w:val="auto"/>
                <w:spacing w:val="6"/>
                <w:sz w:val="21"/>
                <w:szCs w:val="21"/>
                <w:highlight w:val="none"/>
              </w:rPr>
              <w:t>X≥1000</w:t>
            </w:r>
          </w:p>
        </w:tc>
        <w:tc>
          <w:tcPr>
            <w:tcW w:w="1961" w:type="dxa"/>
            <w:tcBorders>
              <w:left w:val="single" w:color="4F81BD" w:sz="2" w:space="0"/>
              <w:right w:val="single" w:color="4F81BD" w:sz="2" w:space="0"/>
            </w:tcBorders>
          </w:tcPr>
          <w:p w14:paraId="25EB9AF1">
            <w:pPr>
              <w:pStyle w:val="36"/>
              <w:spacing w:before="193" w:line="237" w:lineRule="auto"/>
              <w:ind w:left="312"/>
              <w:rPr>
                <w:color w:val="auto"/>
                <w:sz w:val="21"/>
                <w:szCs w:val="21"/>
                <w:highlight w:val="none"/>
              </w:rPr>
            </w:pPr>
            <w:r>
              <w:rPr>
                <w:color w:val="auto"/>
                <w:spacing w:val="1"/>
                <w:sz w:val="21"/>
                <w:szCs w:val="21"/>
                <w:highlight w:val="none"/>
              </w:rPr>
              <w:t>300≤X＜</w:t>
            </w:r>
            <w:r>
              <w:rPr>
                <w:color w:val="auto"/>
                <w:spacing w:val="-42"/>
                <w:sz w:val="21"/>
                <w:szCs w:val="21"/>
                <w:highlight w:val="none"/>
              </w:rPr>
              <w:t xml:space="preserve"> </w:t>
            </w:r>
            <w:r>
              <w:rPr>
                <w:color w:val="auto"/>
                <w:spacing w:val="1"/>
                <w:sz w:val="21"/>
                <w:szCs w:val="21"/>
                <w:highlight w:val="none"/>
              </w:rPr>
              <w:t>1000</w:t>
            </w:r>
          </w:p>
        </w:tc>
        <w:tc>
          <w:tcPr>
            <w:tcW w:w="1756" w:type="dxa"/>
            <w:tcBorders>
              <w:left w:val="single" w:color="4F81BD" w:sz="2" w:space="0"/>
              <w:right w:val="single" w:color="4F81BD" w:sz="2" w:space="0"/>
            </w:tcBorders>
          </w:tcPr>
          <w:p w14:paraId="0E23831D">
            <w:pPr>
              <w:pStyle w:val="36"/>
              <w:spacing w:before="193" w:line="237" w:lineRule="auto"/>
              <w:ind w:left="322"/>
              <w:rPr>
                <w:color w:val="auto"/>
                <w:sz w:val="21"/>
                <w:szCs w:val="21"/>
                <w:highlight w:val="none"/>
              </w:rPr>
            </w:pPr>
            <w:r>
              <w:rPr>
                <w:color w:val="auto"/>
                <w:spacing w:val="7"/>
                <w:sz w:val="21"/>
                <w:szCs w:val="21"/>
                <w:highlight w:val="none"/>
              </w:rPr>
              <w:t>20≤X＜300</w:t>
            </w:r>
          </w:p>
        </w:tc>
        <w:tc>
          <w:tcPr>
            <w:tcW w:w="1028" w:type="dxa"/>
            <w:tcBorders>
              <w:left w:val="single" w:color="4F81BD" w:sz="2" w:space="0"/>
              <w:right w:val="single" w:color="4F81BD" w:sz="2" w:space="0"/>
            </w:tcBorders>
          </w:tcPr>
          <w:p w14:paraId="7EB07790">
            <w:pPr>
              <w:pStyle w:val="36"/>
              <w:spacing w:before="193" w:line="241" w:lineRule="auto"/>
              <w:ind w:left="237"/>
              <w:rPr>
                <w:color w:val="auto"/>
                <w:sz w:val="21"/>
                <w:szCs w:val="21"/>
                <w:highlight w:val="none"/>
              </w:rPr>
            </w:pPr>
            <w:r>
              <w:rPr>
                <w:color w:val="auto"/>
                <w:spacing w:val="6"/>
                <w:sz w:val="21"/>
                <w:szCs w:val="21"/>
                <w:highlight w:val="none"/>
              </w:rPr>
              <w:t>X＜20</w:t>
            </w:r>
          </w:p>
        </w:tc>
      </w:tr>
      <w:tr w14:paraId="1E5349F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46609310">
            <w:pPr>
              <w:rPr>
                <w:color w:val="auto"/>
                <w:highlight w:val="none"/>
              </w:rPr>
            </w:pPr>
          </w:p>
        </w:tc>
        <w:tc>
          <w:tcPr>
            <w:tcW w:w="1492" w:type="dxa"/>
            <w:tcBorders>
              <w:left w:val="single" w:color="000000" w:sz="2" w:space="0"/>
            </w:tcBorders>
            <w:shd w:val="clear" w:color="auto" w:fill="B8CCE4"/>
          </w:tcPr>
          <w:p w14:paraId="1C6FCEF3">
            <w:pPr>
              <w:pStyle w:val="36"/>
              <w:spacing w:before="192" w:line="221" w:lineRule="auto"/>
              <w:ind w:left="133"/>
              <w:rPr>
                <w:color w:val="auto"/>
                <w:sz w:val="21"/>
                <w:szCs w:val="21"/>
                <w:highlight w:val="none"/>
              </w:rPr>
            </w:pPr>
            <w:r>
              <w:rPr>
                <w:color w:val="auto"/>
                <w:spacing w:val="9"/>
                <w:sz w:val="21"/>
                <w:szCs w:val="21"/>
                <w:highlight w:val="none"/>
              </w:rPr>
              <w:t>营业收入(Y)</w:t>
            </w:r>
          </w:p>
        </w:tc>
        <w:tc>
          <w:tcPr>
            <w:tcW w:w="726" w:type="dxa"/>
            <w:shd w:val="clear" w:color="auto" w:fill="B8CCE4"/>
          </w:tcPr>
          <w:p w14:paraId="08C2C32B">
            <w:pPr>
              <w:pStyle w:val="36"/>
              <w:spacing w:before="193" w:line="221" w:lineRule="auto"/>
              <w:ind w:left="142"/>
              <w:rPr>
                <w:color w:val="auto"/>
                <w:sz w:val="21"/>
                <w:szCs w:val="21"/>
                <w:highlight w:val="none"/>
              </w:rPr>
            </w:pPr>
            <w:r>
              <w:rPr>
                <w:color w:val="auto"/>
                <w:spacing w:val="1"/>
                <w:sz w:val="21"/>
                <w:szCs w:val="21"/>
                <w:highlight w:val="none"/>
              </w:rPr>
              <w:t>万元</w:t>
            </w:r>
          </w:p>
        </w:tc>
        <w:tc>
          <w:tcPr>
            <w:tcW w:w="1244" w:type="dxa"/>
            <w:shd w:val="clear" w:color="auto" w:fill="B8CCE4"/>
          </w:tcPr>
          <w:p w14:paraId="54B3DCFD">
            <w:pPr>
              <w:pStyle w:val="36"/>
              <w:spacing w:before="192" w:line="239" w:lineRule="auto"/>
              <w:ind w:left="168"/>
              <w:rPr>
                <w:color w:val="auto"/>
                <w:sz w:val="21"/>
                <w:szCs w:val="21"/>
                <w:highlight w:val="none"/>
              </w:rPr>
            </w:pPr>
            <w:r>
              <w:rPr>
                <w:color w:val="auto"/>
                <w:spacing w:val="7"/>
                <w:sz w:val="21"/>
                <w:szCs w:val="21"/>
                <w:highlight w:val="none"/>
              </w:rPr>
              <w:t>Y≥30000</w:t>
            </w:r>
          </w:p>
        </w:tc>
        <w:tc>
          <w:tcPr>
            <w:tcW w:w="1961" w:type="dxa"/>
            <w:shd w:val="clear" w:color="auto" w:fill="B8CCE4"/>
          </w:tcPr>
          <w:p w14:paraId="02640B38">
            <w:pPr>
              <w:pStyle w:val="36"/>
              <w:spacing w:before="193" w:line="237" w:lineRule="auto"/>
              <w:ind w:left="195"/>
              <w:rPr>
                <w:color w:val="auto"/>
                <w:sz w:val="21"/>
                <w:szCs w:val="21"/>
                <w:highlight w:val="none"/>
              </w:rPr>
            </w:pPr>
            <w:r>
              <w:rPr>
                <w:color w:val="auto"/>
                <w:spacing w:val="7"/>
                <w:sz w:val="21"/>
                <w:szCs w:val="21"/>
                <w:highlight w:val="none"/>
              </w:rPr>
              <w:t>2000≤Y＜30000</w:t>
            </w:r>
          </w:p>
        </w:tc>
        <w:tc>
          <w:tcPr>
            <w:tcW w:w="1756" w:type="dxa"/>
            <w:shd w:val="clear" w:color="auto" w:fill="B8CCE4"/>
          </w:tcPr>
          <w:p w14:paraId="5D1ED9DC">
            <w:pPr>
              <w:pStyle w:val="36"/>
              <w:spacing w:before="193" w:line="237" w:lineRule="auto"/>
              <w:ind w:left="220"/>
              <w:rPr>
                <w:color w:val="auto"/>
                <w:sz w:val="21"/>
                <w:szCs w:val="21"/>
                <w:highlight w:val="none"/>
              </w:rPr>
            </w:pPr>
            <w:r>
              <w:rPr>
                <w:color w:val="auto"/>
                <w:spacing w:val="6"/>
                <w:sz w:val="21"/>
                <w:szCs w:val="21"/>
                <w:highlight w:val="none"/>
              </w:rPr>
              <w:t>100≤Y＜2000</w:t>
            </w:r>
          </w:p>
        </w:tc>
        <w:tc>
          <w:tcPr>
            <w:tcW w:w="1028" w:type="dxa"/>
            <w:shd w:val="clear" w:color="auto" w:fill="B8CCE4"/>
          </w:tcPr>
          <w:p w14:paraId="4A1DF26D">
            <w:pPr>
              <w:pStyle w:val="36"/>
              <w:spacing w:before="192" w:line="241" w:lineRule="auto"/>
              <w:ind w:left="176"/>
              <w:rPr>
                <w:color w:val="auto"/>
                <w:sz w:val="21"/>
                <w:szCs w:val="21"/>
                <w:highlight w:val="none"/>
              </w:rPr>
            </w:pPr>
            <w:r>
              <w:rPr>
                <w:color w:val="auto"/>
                <w:spacing w:val="-6"/>
                <w:sz w:val="21"/>
                <w:szCs w:val="21"/>
                <w:highlight w:val="none"/>
              </w:rPr>
              <w:t>Y＜</w:t>
            </w:r>
            <w:r>
              <w:rPr>
                <w:color w:val="auto"/>
                <w:spacing w:val="-39"/>
                <w:sz w:val="21"/>
                <w:szCs w:val="21"/>
                <w:highlight w:val="none"/>
              </w:rPr>
              <w:t xml:space="preserve"> </w:t>
            </w:r>
            <w:r>
              <w:rPr>
                <w:color w:val="auto"/>
                <w:spacing w:val="-6"/>
                <w:sz w:val="21"/>
                <w:szCs w:val="21"/>
                <w:highlight w:val="none"/>
              </w:rPr>
              <w:t>100</w:t>
            </w:r>
          </w:p>
        </w:tc>
      </w:tr>
      <w:tr w14:paraId="785A19E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51" w:type="dxa"/>
            <w:vMerge w:val="restart"/>
            <w:tcBorders>
              <w:bottom w:val="nil"/>
              <w:right w:val="single" w:color="4F81BD" w:sz="2" w:space="0"/>
            </w:tcBorders>
          </w:tcPr>
          <w:p w14:paraId="025139C2">
            <w:pPr>
              <w:spacing w:line="422" w:lineRule="auto"/>
              <w:rPr>
                <w:color w:val="auto"/>
                <w:highlight w:val="none"/>
              </w:rPr>
            </w:pPr>
          </w:p>
          <w:p w14:paraId="4C44FF43">
            <w:pPr>
              <w:pStyle w:val="36"/>
              <w:spacing w:before="68" w:line="221" w:lineRule="auto"/>
              <w:ind w:left="237"/>
              <w:rPr>
                <w:color w:val="auto"/>
                <w:sz w:val="21"/>
                <w:szCs w:val="21"/>
                <w:highlight w:val="none"/>
              </w:rPr>
            </w:pPr>
            <w:r>
              <w:rPr>
                <w:color w:val="auto"/>
                <w:spacing w:val="8"/>
                <w:sz w:val="21"/>
                <w:szCs w:val="21"/>
                <w:highlight w:val="none"/>
              </w:rPr>
              <w:t>住宿业</w:t>
            </w:r>
          </w:p>
        </w:tc>
        <w:tc>
          <w:tcPr>
            <w:tcW w:w="1492" w:type="dxa"/>
            <w:tcBorders>
              <w:left w:val="single" w:color="4F81BD" w:sz="2" w:space="0"/>
              <w:right w:val="single" w:color="4F81BD" w:sz="2" w:space="0"/>
            </w:tcBorders>
          </w:tcPr>
          <w:p w14:paraId="29A511A1">
            <w:pPr>
              <w:pStyle w:val="36"/>
              <w:spacing w:before="193" w:line="221" w:lineRule="auto"/>
              <w:ind w:left="128"/>
              <w:rPr>
                <w:color w:val="auto"/>
                <w:sz w:val="21"/>
                <w:szCs w:val="21"/>
                <w:highlight w:val="none"/>
              </w:rPr>
            </w:pPr>
            <w:r>
              <w:rPr>
                <w:color w:val="auto"/>
                <w:spacing w:val="2"/>
                <w:sz w:val="21"/>
                <w:szCs w:val="21"/>
                <w:highlight w:val="none"/>
              </w:rPr>
              <w:t>从业人员</w:t>
            </w:r>
            <w:r>
              <w:rPr>
                <w:color w:val="auto"/>
                <w:spacing w:val="-43"/>
                <w:sz w:val="21"/>
                <w:szCs w:val="21"/>
                <w:highlight w:val="none"/>
              </w:rPr>
              <w:t xml:space="preserve"> </w:t>
            </w:r>
            <w:r>
              <w:rPr>
                <w:color w:val="auto"/>
                <w:spacing w:val="2"/>
                <w:sz w:val="21"/>
                <w:szCs w:val="21"/>
                <w:highlight w:val="none"/>
              </w:rPr>
              <w:t>(X)</w:t>
            </w:r>
          </w:p>
        </w:tc>
        <w:tc>
          <w:tcPr>
            <w:tcW w:w="726" w:type="dxa"/>
            <w:tcBorders>
              <w:left w:val="single" w:color="4F81BD" w:sz="2" w:space="0"/>
              <w:right w:val="single" w:color="4F81BD" w:sz="2" w:space="0"/>
            </w:tcBorders>
          </w:tcPr>
          <w:p w14:paraId="4F215494">
            <w:pPr>
              <w:pStyle w:val="36"/>
              <w:spacing w:before="194" w:line="223" w:lineRule="auto"/>
              <w:ind w:left="254"/>
              <w:rPr>
                <w:color w:val="auto"/>
                <w:sz w:val="21"/>
                <w:szCs w:val="21"/>
                <w:highlight w:val="none"/>
              </w:rPr>
            </w:pPr>
            <w:r>
              <w:rPr>
                <w:color w:val="auto"/>
                <w:sz w:val="21"/>
                <w:szCs w:val="21"/>
                <w:highlight w:val="none"/>
              </w:rPr>
              <w:t>人</w:t>
            </w:r>
          </w:p>
        </w:tc>
        <w:tc>
          <w:tcPr>
            <w:tcW w:w="1244" w:type="dxa"/>
            <w:tcBorders>
              <w:left w:val="single" w:color="4F81BD" w:sz="2" w:space="0"/>
              <w:right w:val="single" w:color="4F81BD" w:sz="2" w:space="0"/>
            </w:tcBorders>
          </w:tcPr>
          <w:p w14:paraId="6AFBDF48">
            <w:pPr>
              <w:pStyle w:val="36"/>
              <w:spacing w:before="193" w:line="239" w:lineRule="auto"/>
              <w:ind w:left="284"/>
              <w:rPr>
                <w:color w:val="auto"/>
                <w:sz w:val="21"/>
                <w:szCs w:val="21"/>
                <w:highlight w:val="none"/>
              </w:rPr>
            </w:pPr>
            <w:r>
              <w:rPr>
                <w:color w:val="auto"/>
                <w:spacing w:val="6"/>
                <w:sz w:val="21"/>
                <w:szCs w:val="21"/>
                <w:highlight w:val="none"/>
              </w:rPr>
              <w:t>X≥300</w:t>
            </w:r>
          </w:p>
        </w:tc>
        <w:tc>
          <w:tcPr>
            <w:tcW w:w="1961" w:type="dxa"/>
            <w:tcBorders>
              <w:left w:val="single" w:color="4F81BD" w:sz="2" w:space="0"/>
              <w:right w:val="single" w:color="4F81BD" w:sz="2" w:space="0"/>
            </w:tcBorders>
          </w:tcPr>
          <w:p w14:paraId="5E2B40FF">
            <w:pPr>
              <w:pStyle w:val="36"/>
              <w:spacing w:before="193" w:line="237" w:lineRule="auto"/>
              <w:ind w:left="379"/>
              <w:rPr>
                <w:color w:val="auto"/>
                <w:sz w:val="21"/>
                <w:szCs w:val="21"/>
                <w:highlight w:val="none"/>
              </w:rPr>
            </w:pPr>
            <w:r>
              <w:rPr>
                <w:color w:val="auto"/>
                <w:spacing w:val="6"/>
                <w:sz w:val="21"/>
                <w:szCs w:val="21"/>
                <w:highlight w:val="none"/>
              </w:rPr>
              <w:t>100≤X＜300</w:t>
            </w:r>
          </w:p>
        </w:tc>
        <w:tc>
          <w:tcPr>
            <w:tcW w:w="1756" w:type="dxa"/>
            <w:tcBorders>
              <w:left w:val="single" w:color="4F81BD" w:sz="2" w:space="0"/>
              <w:right w:val="single" w:color="4F81BD" w:sz="2" w:space="0"/>
            </w:tcBorders>
          </w:tcPr>
          <w:p w14:paraId="581803A1">
            <w:pPr>
              <w:pStyle w:val="36"/>
              <w:spacing w:before="193" w:line="237" w:lineRule="auto"/>
              <w:ind w:left="336"/>
              <w:rPr>
                <w:color w:val="auto"/>
                <w:sz w:val="21"/>
                <w:szCs w:val="21"/>
                <w:highlight w:val="none"/>
              </w:rPr>
            </w:pPr>
            <w:r>
              <w:rPr>
                <w:color w:val="auto"/>
                <w:spacing w:val="-2"/>
                <w:sz w:val="21"/>
                <w:szCs w:val="21"/>
                <w:highlight w:val="none"/>
              </w:rPr>
              <w:t>10≤X＜</w:t>
            </w:r>
            <w:r>
              <w:rPr>
                <w:color w:val="auto"/>
                <w:spacing w:val="-40"/>
                <w:sz w:val="21"/>
                <w:szCs w:val="21"/>
                <w:highlight w:val="none"/>
              </w:rPr>
              <w:t xml:space="preserve"> </w:t>
            </w:r>
            <w:r>
              <w:rPr>
                <w:color w:val="auto"/>
                <w:spacing w:val="-2"/>
                <w:sz w:val="21"/>
                <w:szCs w:val="21"/>
                <w:highlight w:val="none"/>
              </w:rPr>
              <w:t>100</w:t>
            </w:r>
          </w:p>
        </w:tc>
        <w:tc>
          <w:tcPr>
            <w:tcW w:w="1028" w:type="dxa"/>
            <w:tcBorders>
              <w:left w:val="single" w:color="4F81BD" w:sz="2" w:space="0"/>
              <w:right w:val="single" w:color="4F81BD" w:sz="2" w:space="0"/>
            </w:tcBorders>
          </w:tcPr>
          <w:p w14:paraId="443DE25F">
            <w:pPr>
              <w:pStyle w:val="36"/>
              <w:spacing w:before="193" w:line="241" w:lineRule="auto"/>
              <w:ind w:left="237"/>
              <w:rPr>
                <w:color w:val="auto"/>
                <w:sz w:val="21"/>
                <w:szCs w:val="21"/>
                <w:highlight w:val="none"/>
              </w:rPr>
            </w:pPr>
            <w:r>
              <w:rPr>
                <w:color w:val="auto"/>
                <w:spacing w:val="-8"/>
                <w:sz w:val="21"/>
                <w:szCs w:val="21"/>
                <w:highlight w:val="none"/>
              </w:rPr>
              <w:t>X＜</w:t>
            </w:r>
            <w:r>
              <w:rPr>
                <w:color w:val="auto"/>
                <w:spacing w:val="-41"/>
                <w:sz w:val="21"/>
                <w:szCs w:val="21"/>
                <w:highlight w:val="none"/>
              </w:rPr>
              <w:t xml:space="preserve"> </w:t>
            </w:r>
            <w:r>
              <w:rPr>
                <w:color w:val="auto"/>
                <w:spacing w:val="-8"/>
                <w:sz w:val="21"/>
                <w:szCs w:val="21"/>
                <w:highlight w:val="none"/>
              </w:rPr>
              <w:t>10</w:t>
            </w:r>
          </w:p>
        </w:tc>
      </w:tr>
      <w:tr w14:paraId="7B5F80C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6D907569">
            <w:pPr>
              <w:rPr>
                <w:color w:val="auto"/>
                <w:highlight w:val="none"/>
              </w:rPr>
            </w:pPr>
          </w:p>
        </w:tc>
        <w:tc>
          <w:tcPr>
            <w:tcW w:w="1492" w:type="dxa"/>
            <w:tcBorders>
              <w:left w:val="single" w:color="000000" w:sz="2" w:space="0"/>
            </w:tcBorders>
            <w:shd w:val="clear" w:color="auto" w:fill="B8CCE4"/>
          </w:tcPr>
          <w:p w14:paraId="5A4F6579">
            <w:pPr>
              <w:pStyle w:val="36"/>
              <w:spacing w:before="193" w:line="221" w:lineRule="auto"/>
              <w:ind w:left="133"/>
              <w:rPr>
                <w:color w:val="auto"/>
                <w:sz w:val="21"/>
                <w:szCs w:val="21"/>
                <w:highlight w:val="none"/>
              </w:rPr>
            </w:pPr>
            <w:r>
              <w:rPr>
                <w:color w:val="auto"/>
                <w:spacing w:val="9"/>
                <w:sz w:val="21"/>
                <w:szCs w:val="21"/>
                <w:highlight w:val="none"/>
              </w:rPr>
              <w:t>营业收入(Y)</w:t>
            </w:r>
          </w:p>
        </w:tc>
        <w:tc>
          <w:tcPr>
            <w:tcW w:w="726" w:type="dxa"/>
            <w:shd w:val="clear" w:color="auto" w:fill="B8CCE4"/>
          </w:tcPr>
          <w:p w14:paraId="74DA56B1">
            <w:pPr>
              <w:pStyle w:val="36"/>
              <w:spacing w:before="194" w:line="221" w:lineRule="auto"/>
              <w:ind w:left="142"/>
              <w:rPr>
                <w:color w:val="auto"/>
                <w:sz w:val="21"/>
                <w:szCs w:val="21"/>
                <w:highlight w:val="none"/>
              </w:rPr>
            </w:pPr>
            <w:r>
              <w:rPr>
                <w:color w:val="auto"/>
                <w:spacing w:val="1"/>
                <w:sz w:val="21"/>
                <w:szCs w:val="21"/>
                <w:highlight w:val="none"/>
              </w:rPr>
              <w:t>万元</w:t>
            </w:r>
          </w:p>
        </w:tc>
        <w:tc>
          <w:tcPr>
            <w:tcW w:w="1244" w:type="dxa"/>
            <w:shd w:val="clear" w:color="auto" w:fill="B8CCE4"/>
          </w:tcPr>
          <w:p w14:paraId="54E4BDAE">
            <w:pPr>
              <w:pStyle w:val="36"/>
              <w:spacing w:before="193" w:line="239" w:lineRule="auto"/>
              <w:ind w:left="168"/>
              <w:rPr>
                <w:color w:val="auto"/>
                <w:sz w:val="21"/>
                <w:szCs w:val="21"/>
                <w:highlight w:val="none"/>
              </w:rPr>
            </w:pPr>
            <w:r>
              <w:rPr>
                <w:color w:val="auto"/>
                <w:spacing w:val="7"/>
                <w:sz w:val="21"/>
                <w:szCs w:val="21"/>
                <w:highlight w:val="none"/>
              </w:rPr>
              <w:t>Y≥10000</w:t>
            </w:r>
          </w:p>
        </w:tc>
        <w:tc>
          <w:tcPr>
            <w:tcW w:w="1961" w:type="dxa"/>
            <w:shd w:val="clear" w:color="auto" w:fill="B8CCE4"/>
          </w:tcPr>
          <w:p w14:paraId="3D7EB6C2">
            <w:pPr>
              <w:pStyle w:val="36"/>
              <w:spacing w:before="194" w:line="237" w:lineRule="auto"/>
              <w:ind w:left="195"/>
              <w:rPr>
                <w:color w:val="auto"/>
                <w:sz w:val="21"/>
                <w:szCs w:val="21"/>
                <w:highlight w:val="none"/>
              </w:rPr>
            </w:pPr>
            <w:r>
              <w:rPr>
                <w:color w:val="auto"/>
                <w:spacing w:val="2"/>
                <w:sz w:val="21"/>
                <w:szCs w:val="21"/>
                <w:highlight w:val="none"/>
              </w:rPr>
              <w:t>2000≤Y＜</w:t>
            </w:r>
            <w:r>
              <w:rPr>
                <w:color w:val="auto"/>
                <w:spacing w:val="-39"/>
                <w:sz w:val="21"/>
                <w:szCs w:val="21"/>
                <w:highlight w:val="none"/>
              </w:rPr>
              <w:t xml:space="preserve"> </w:t>
            </w:r>
            <w:r>
              <w:rPr>
                <w:color w:val="auto"/>
                <w:spacing w:val="2"/>
                <w:sz w:val="21"/>
                <w:szCs w:val="21"/>
                <w:highlight w:val="none"/>
              </w:rPr>
              <w:t>10000</w:t>
            </w:r>
          </w:p>
        </w:tc>
        <w:tc>
          <w:tcPr>
            <w:tcW w:w="1756" w:type="dxa"/>
            <w:shd w:val="clear" w:color="auto" w:fill="B8CCE4"/>
          </w:tcPr>
          <w:p w14:paraId="357F24E2">
            <w:pPr>
              <w:pStyle w:val="36"/>
              <w:spacing w:before="194" w:line="237" w:lineRule="auto"/>
              <w:ind w:left="220"/>
              <w:rPr>
                <w:color w:val="auto"/>
                <w:sz w:val="21"/>
                <w:szCs w:val="21"/>
                <w:highlight w:val="none"/>
              </w:rPr>
            </w:pPr>
            <w:r>
              <w:rPr>
                <w:color w:val="auto"/>
                <w:spacing w:val="6"/>
                <w:sz w:val="21"/>
                <w:szCs w:val="21"/>
                <w:highlight w:val="none"/>
              </w:rPr>
              <w:t>100≤Y＜2000</w:t>
            </w:r>
          </w:p>
        </w:tc>
        <w:tc>
          <w:tcPr>
            <w:tcW w:w="1028" w:type="dxa"/>
            <w:shd w:val="clear" w:color="auto" w:fill="B8CCE4"/>
          </w:tcPr>
          <w:p w14:paraId="3DD47AD2">
            <w:pPr>
              <w:pStyle w:val="36"/>
              <w:spacing w:before="193" w:line="241" w:lineRule="auto"/>
              <w:ind w:left="176"/>
              <w:rPr>
                <w:color w:val="auto"/>
                <w:sz w:val="21"/>
                <w:szCs w:val="21"/>
                <w:highlight w:val="none"/>
              </w:rPr>
            </w:pPr>
            <w:r>
              <w:rPr>
                <w:color w:val="auto"/>
                <w:spacing w:val="-6"/>
                <w:sz w:val="21"/>
                <w:szCs w:val="21"/>
                <w:highlight w:val="none"/>
              </w:rPr>
              <w:t>Y＜</w:t>
            </w:r>
            <w:r>
              <w:rPr>
                <w:color w:val="auto"/>
                <w:spacing w:val="-39"/>
                <w:sz w:val="21"/>
                <w:szCs w:val="21"/>
                <w:highlight w:val="none"/>
              </w:rPr>
              <w:t xml:space="preserve"> </w:t>
            </w:r>
            <w:r>
              <w:rPr>
                <w:color w:val="auto"/>
                <w:spacing w:val="-6"/>
                <w:sz w:val="21"/>
                <w:szCs w:val="21"/>
                <w:highlight w:val="none"/>
              </w:rPr>
              <w:t>100</w:t>
            </w:r>
          </w:p>
        </w:tc>
      </w:tr>
      <w:tr w14:paraId="5814BB9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04B51DA9">
            <w:pPr>
              <w:spacing w:line="424" w:lineRule="auto"/>
              <w:rPr>
                <w:color w:val="auto"/>
                <w:highlight w:val="none"/>
              </w:rPr>
            </w:pPr>
          </w:p>
          <w:p w14:paraId="6A9B4F18">
            <w:pPr>
              <w:pStyle w:val="36"/>
              <w:spacing w:before="69" w:line="221" w:lineRule="auto"/>
              <w:ind w:left="239"/>
              <w:rPr>
                <w:color w:val="auto"/>
                <w:sz w:val="21"/>
                <w:szCs w:val="21"/>
                <w:highlight w:val="none"/>
              </w:rPr>
            </w:pPr>
            <w:r>
              <w:rPr>
                <w:color w:val="auto"/>
                <w:spacing w:val="7"/>
                <w:sz w:val="21"/>
                <w:szCs w:val="21"/>
                <w:highlight w:val="none"/>
              </w:rPr>
              <w:t>餐饮业</w:t>
            </w:r>
          </w:p>
        </w:tc>
        <w:tc>
          <w:tcPr>
            <w:tcW w:w="1492" w:type="dxa"/>
            <w:tcBorders>
              <w:left w:val="single" w:color="4F81BD" w:sz="2" w:space="0"/>
              <w:right w:val="single" w:color="4F81BD" w:sz="2" w:space="0"/>
            </w:tcBorders>
          </w:tcPr>
          <w:p w14:paraId="028A8052">
            <w:pPr>
              <w:pStyle w:val="36"/>
              <w:spacing w:before="194" w:line="221" w:lineRule="auto"/>
              <w:ind w:left="128"/>
              <w:rPr>
                <w:color w:val="auto"/>
                <w:sz w:val="21"/>
                <w:szCs w:val="21"/>
                <w:highlight w:val="none"/>
              </w:rPr>
            </w:pPr>
            <w:r>
              <w:rPr>
                <w:color w:val="auto"/>
                <w:spacing w:val="2"/>
                <w:sz w:val="21"/>
                <w:szCs w:val="21"/>
                <w:highlight w:val="none"/>
              </w:rPr>
              <w:t>从业人员</w:t>
            </w:r>
            <w:r>
              <w:rPr>
                <w:color w:val="auto"/>
                <w:spacing w:val="-43"/>
                <w:sz w:val="21"/>
                <w:szCs w:val="21"/>
                <w:highlight w:val="none"/>
              </w:rPr>
              <w:t xml:space="preserve"> </w:t>
            </w:r>
            <w:r>
              <w:rPr>
                <w:color w:val="auto"/>
                <w:spacing w:val="2"/>
                <w:sz w:val="21"/>
                <w:szCs w:val="21"/>
                <w:highlight w:val="none"/>
              </w:rPr>
              <w:t>(X)</w:t>
            </w:r>
          </w:p>
        </w:tc>
        <w:tc>
          <w:tcPr>
            <w:tcW w:w="726" w:type="dxa"/>
            <w:tcBorders>
              <w:left w:val="single" w:color="4F81BD" w:sz="2" w:space="0"/>
              <w:right w:val="single" w:color="4F81BD" w:sz="2" w:space="0"/>
            </w:tcBorders>
          </w:tcPr>
          <w:p w14:paraId="0AE6C1EE">
            <w:pPr>
              <w:pStyle w:val="36"/>
              <w:spacing w:before="194" w:line="223" w:lineRule="auto"/>
              <w:ind w:left="254"/>
              <w:rPr>
                <w:color w:val="auto"/>
                <w:sz w:val="21"/>
                <w:szCs w:val="21"/>
                <w:highlight w:val="none"/>
              </w:rPr>
            </w:pPr>
            <w:r>
              <w:rPr>
                <w:color w:val="auto"/>
                <w:sz w:val="21"/>
                <w:szCs w:val="21"/>
                <w:highlight w:val="none"/>
              </w:rPr>
              <w:t>人</w:t>
            </w:r>
          </w:p>
        </w:tc>
        <w:tc>
          <w:tcPr>
            <w:tcW w:w="1244" w:type="dxa"/>
            <w:tcBorders>
              <w:left w:val="single" w:color="4F81BD" w:sz="2" w:space="0"/>
              <w:right w:val="single" w:color="4F81BD" w:sz="2" w:space="0"/>
            </w:tcBorders>
          </w:tcPr>
          <w:p w14:paraId="59814490">
            <w:pPr>
              <w:pStyle w:val="36"/>
              <w:spacing w:before="193" w:line="239" w:lineRule="auto"/>
              <w:ind w:left="284"/>
              <w:rPr>
                <w:color w:val="auto"/>
                <w:sz w:val="21"/>
                <w:szCs w:val="21"/>
                <w:highlight w:val="none"/>
              </w:rPr>
            </w:pPr>
            <w:r>
              <w:rPr>
                <w:color w:val="auto"/>
                <w:spacing w:val="6"/>
                <w:sz w:val="21"/>
                <w:szCs w:val="21"/>
                <w:highlight w:val="none"/>
              </w:rPr>
              <w:t>X≥300</w:t>
            </w:r>
          </w:p>
        </w:tc>
        <w:tc>
          <w:tcPr>
            <w:tcW w:w="1961" w:type="dxa"/>
            <w:tcBorders>
              <w:left w:val="single" w:color="4F81BD" w:sz="2" w:space="0"/>
              <w:right w:val="single" w:color="4F81BD" w:sz="2" w:space="0"/>
            </w:tcBorders>
          </w:tcPr>
          <w:p w14:paraId="448F0182">
            <w:pPr>
              <w:pStyle w:val="36"/>
              <w:spacing w:before="193" w:line="237" w:lineRule="auto"/>
              <w:ind w:left="379"/>
              <w:rPr>
                <w:color w:val="auto"/>
                <w:sz w:val="21"/>
                <w:szCs w:val="21"/>
                <w:highlight w:val="none"/>
              </w:rPr>
            </w:pPr>
            <w:r>
              <w:rPr>
                <w:color w:val="auto"/>
                <w:spacing w:val="6"/>
                <w:sz w:val="21"/>
                <w:szCs w:val="21"/>
                <w:highlight w:val="none"/>
              </w:rPr>
              <w:t>100≤X＜300</w:t>
            </w:r>
          </w:p>
        </w:tc>
        <w:tc>
          <w:tcPr>
            <w:tcW w:w="1756" w:type="dxa"/>
            <w:tcBorders>
              <w:left w:val="single" w:color="4F81BD" w:sz="2" w:space="0"/>
              <w:right w:val="single" w:color="4F81BD" w:sz="2" w:space="0"/>
            </w:tcBorders>
          </w:tcPr>
          <w:p w14:paraId="2E23DD66">
            <w:pPr>
              <w:pStyle w:val="36"/>
              <w:spacing w:before="193" w:line="237" w:lineRule="auto"/>
              <w:ind w:left="336"/>
              <w:rPr>
                <w:color w:val="auto"/>
                <w:sz w:val="21"/>
                <w:szCs w:val="21"/>
                <w:highlight w:val="none"/>
              </w:rPr>
            </w:pPr>
            <w:r>
              <w:rPr>
                <w:color w:val="auto"/>
                <w:spacing w:val="-2"/>
                <w:sz w:val="21"/>
                <w:szCs w:val="21"/>
                <w:highlight w:val="none"/>
              </w:rPr>
              <w:t>10≤X＜</w:t>
            </w:r>
            <w:r>
              <w:rPr>
                <w:color w:val="auto"/>
                <w:spacing w:val="-40"/>
                <w:sz w:val="21"/>
                <w:szCs w:val="21"/>
                <w:highlight w:val="none"/>
              </w:rPr>
              <w:t xml:space="preserve"> </w:t>
            </w:r>
            <w:r>
              <w:rPr>
                <w:color w:val="auto"/>
                <w:spacing w:val="-2"/>
                <w:sz w:val="21"/>
                <w:szCs w:val="21"/>
                <w:highlight w:val="none"/>
              </w:rPr>
              <w:t>100</w:t>
            </w:r>
          </w:p>
        </w:tc>
        <w:tc>
          <w:tcPr>
            <w:tcW w:w="1028" w:type="dxa"/>
            <w:tcBorders>
              <w:left w:val="single" w:color="4F81BD" w:sz="2" w:space="0"/>
              <w:right w:val="single" w:color="4F81BD" w:sz="2" w:space="0"/>
            </w:tcBorders>
          </w:tcPr>
          <w:p w14:paraId="4533FC6F">
            <w:pPr>
              <w:pStyle w:val="36"/>
              <w:spacing w:before="193" w:line="241" w:lineRule="auto"/>
              <w:ind w:left="237"/>
              <w:rPr>
                <w:color w:val="auto"/>
                <w:sz w:val="21"/>
                <w:szCs w:val="21"/>
                <w:highlight w:val="none"/>
              </w:rPr>
            </w:pPr>
            <w:r>
              <w:rPr>
                <w:color w:val="auto"/>
                <w:spacing w:val="-8"/>
                <w:sz w:val="21"/>
                <w:szCs w:val="21"/>
                <w:highlight w:val="none"/>
              </w:rPr>
              <w:t>X＜</w:t>
            </w:r>
            <w:r>
              <w:rPr>
                <w:color w:val="auto"/>
                <w:spacing w:val="-41"/>
                <w:sz w:val="21"/>
                <w:szCs w:val="21"/>
                <w:highlight w:val="none"/>
              </w:rPr>
              <w:t xml:space="preserve"> </w:t>
            </w:r>
            <w:r>
              <w:rPr>
                <w:color w:val="auto"/>
                <w:spacing w:val="-8"/>
                <w:sz w:val="21"/>
                <w:szCs w:val="21"/>
                <w:highlight w:val="none"/>
              </w:rPr>
              <w:t>10</w:t>
            </w:r>
          </w:p>
        </w:tc>
      </w:tr>
      <w:tr w14:paraId="6C5E0CF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bottom w:val="single" w:color="000000" w:sz="2" w:space="0"/>
              <w:right w:val="single" w:color="4F81BD" w:sz="2" w:space="0"/>
            </w:tcBorders>
          </w:tcPr>
          <w:p w14:paraId="27FF355A">
            <w:pPr>
              <w:rPr>
                <w:color w:val="auto"/>
                <w:highlight w:val="none"/>
              </w:rPr>
            </w:pPr>
          </w:p>
        </w:tc>
        <w:tc>
          <w:tcPr>
            <w:tcW w:w="1492" w:type="dxa"/>
            <w:tcBorders>
              <w:left w:val="single" w:color="000000" w:sz="2" w:space="0"/>
              <w:bottom w:val="single" w:color="000000" w:sz="2" w:space="0"/>
            </w:tcBorders>
            <w:shd w:val="clear" w:color="auto" w:fill="B8CCE4"/>
          </w:tcPr>
          <w:p w14:paraId="45438A6D">
            <w:pPr>
              <w:pStyle w:val="36"/>
              <w:spacing w:before="193" w:line="221" w:lineRule="auto"/>
              <w:ind w:left="133"/>
              <w:rPr>
                <w:color w:val="auto"/>
                <w:sz w:val="21"/>
                <w:szCs w:val="21"/>
                <w:highlight w:val="none"/>
              </w:rPr>
            </w:pPr>
            <w:r>
              <w:rPr>
                <w:color w:val="auto"/>
                <w:spacing w:val="9"/>
                <w:sz w:val="21"/>
                <w:szCs w:val="21"/>
                <w:highlight w:val="none"/>
              </w:rPr>
              <w:t>营业收入(Y)</w:t>
            </w:r>
          </w:p>
        </w:tc>
        <w:tc>
          <w:tcPr>
            <w:tcW w:w="726" w:type="dxa"/>
            <w:tcBorders>
              <w:bottom w:val="single" w:color="000000" w:sz="2" w:space="0"/>
            </w:tcBorders>
            <w:shd w:val="clear" w:color="auto" w:fill="B8CCE4"/>
          </w:tcPr>
          <w:p w14:paraId="688AF620">
            <w:pPr>
              <w:pStyle w:val="36"/>
              <w:spacing w:before="193" w:line="221" w:lineRule="auto"/>
              <w:ind w:left="142"/>
              <w:rPr>
                <w:color w:val="auto"/>
                <w:sz w:val="21"/>
                <w:szCs w:val="21"/>
                <w:highlight w:val="none"/>
              </w:rPr>
            </w:pPr>
            <w:r>
              <w:rPr>
                <w:color w:val="auto"/>
                <w:spacing w:val="1"/>
                <w:sz w:val="21"/>
                <w:szCs w:val="21"/>
                <w:highlight w:val="none"/>
              </w:rPr>
              <w:t>万元</w:t>
            </w:r>
          </w:p>
        </w:tc>
        <w:tc>
          <w:tcPr>
            <w:tcW w:w="1244" w:type="dxa"/>
            <w:tcBorders>
              <w:bottom w:val="single" w:color="000000" w:sz="2" w:space="0"/>
            </w:tcBorders>
            <w:shd w:val="clear" w:color="auto" w:fill="B8CCE4"/>
          </w:tcPr>
          <w:p w14:paraId="144F2BC6">
            <w:pPr>
              <w:pStyle w:val="36"/>
              <w:spacing w:before="193" w:line="239" w:lineRule="auto"/>
              <w:ind w:left="168"/>
              <w:rPr>
                <w:color w:val="auto"/>
                <w:sz w:val="21"/>
                <w:szCs w:val="21"/>
                <w:highlight w:val="none"/>
              </w:rPr>
            </w:pPr>
            <w:r>
              <w:rPr>
                <w:color w:val="auto"/>
                <w:spacing w:val="7"/>
                <w:sz w:val="21"/>
                <w:szCs w:val="21"/>
                <w:highlight w:val="none"/>
              </w:rPr>
              <w:t>Y≥10000</w:t>
            </w:r>
          </w:p>
        </w:tc>
        <w:tc>
          <w:tcPr>
            <w:tcW w:w="1961" w:type="dxa"/>
            <w:tcBorders>
              <w:bottom w:val="single" w:color="000000" w:sz="2" w:space="0"/>
            </w:tcBorders>
            <w:shd w:val="clear" w:color="auto" w:fill="B8CCE4"/>
          </w:tcPr>
          <w:p w14:paraId="32D09DA8">
            <w:pPr>
              <w:pStyle w:val="36"/>
              <w:spacing w:before="193" w:line="237" w:lineRule="auto"/>
              <w:ind w:left="195"/>
              <w:rPr>
                <w:color w:val="auto"/>
                <w:sz w:val="21"/>
                <w:szCs w:val="21"/>
                <w:highlight w:val="none"/>
              </w:rPr>
            </w:pPr>
            <w:r>
              <w:rPr>
                <w:color w:val="auto"/>
                <w:spacing w:val="2"/>
                <w:sz w:val="21"/>
                <w:szCs w:val="21"/>
                <w:highlight w:val="none"/>
              </w:rPr>
              <w:t>2000≤Y＜</w:t>
            </w:r>
            <w:r>
              <w:rPr>
                <w:color w:val="auto"/>
                <w:spacing w:val="-39"/>
                <w:sz w:val="21"/>
                <w:szCs w:val="21"/>
                <w:highlight w:val="none"/>
              </w:rPr>
              <w:t xml:space="preserve"> </w:t>
            </w:r>
            <w:r>
              <w:rPr>
                <w:color w:val="auto"/>
                <w:spacing w:val="2"/>
                <w:sz w:val="21"/>
                <w:szCs w:val="21"/>
                <w:highlight w:val="none"/>
              </w:rPr>
              <w:t>10000</w:t>
            </w:r>
          </w:p>
        </w:tc>
        <w:tc>
          <w:tcPr>
            <w:tcW w:w="1756" w:type="dxa"/>
            <w:tcBorders>
              <w:bottom w:val="single" w:color="000000" w:sz="2" w:space="0"/>
            </w:tcBorders>
            <w:shd w:val="clear" w:color="auto" w:fill="B8CCE4"/>
          </w:tcPr>
          <w:p w14:paraId="3C9CCFEC">
            <w:pPr>
              <w:pStyle w:val="36"/>
              <w:spacing w:before="193" w:line="237" w:lineRule="auto"/>
              <w:ind w:left="220"/>
              <w:rPr>
                <w:color w:val="auto"/>
                <w:sz w:val="21"/>
                <w:szCs w:val="21"/>
                <w:highlight w:val="none"/>
              </w:rPr>
            </w:pPr>
            <w:r>
              <w:rPr>
                <w:color w:val="auto"/>
                <w:spacing w:val="6"/>
                <w:sz w:val="21"/>
                <w:szCs w:val="21"/>
                <w:highlight w:val="none"/>
              </w:rPr>
              <w:t>100≤Y＜2000</w:t>
            </w:r>
          </w:p>
        </w:tc>
        <w:tc>
          <w:tcPr>
            <w:tcW w:w="1028" w:type="dxa"/>
            <w:tcBorders>
              <w:bottom w:val="single" w:color="000000" w:sz="2" w:space="0"/>
            </w:tcBorders>
            <w:shd w:val="clear" w:color="auto" w:fill="B8CCE4"/>
          </w:tcPr>
          <w:p w14:paraId="0FC5D7B7">
            <w:pPr>
              <w:pStyle w:val="36"/>
              <w:spacing w:before="193" w:line="241" w:lineRule="auto"/>
              <w:ind w:left="176"/>
              <w:rPr>
                <w:color w:val="auto"/>
                <w:sz w:val="21"/>
                <w:szCs w:val="21"/>
                <w:highlight w:val="none"/>
              </w:rPr>
            </w:pPr>
            <w:r>
              <w:rPr>
                <w:color w:val="auto"/>
                <w:spacing w:val="-6"/>
                <w:sz w:val="21"/>
                <w:szCs w:val="21"/>
                <w:highlight w:val="none"/>
              </w:rPr>
              <w:t>Y＜</w:t>
            </w:r>
            <w:r>
              <w:rPr>
                <w:color w:val="auto"/>
                <w:spacing w:val="-39"/>
                <w:sz w:val="21"/>
                <w:szCs w:val="21"/>
                <w:highlight w:val="none"/>
              </w:rPr>
              <w:t xml:space="preserve"> </w:t>
            </w:r>
            <w:r>
              <w:rPr>
                <w:color w:val="auto"/>
                <w:spacing w:val="-6"/>
                <w:sz w:val="21"/>
                <w:szCs w:val="21"/>
                <w:highlight w:val="none"/>
              </w:rPr>
              <w:t>100</w:t>
            </w:r>
          </w:p>
        </w:tc>
      </w:tr>
    </w:tbl>
    <w:p w14:paraId="5BC35D13">
      <w:pPr>
        <w:spacing w:before="92"/>
        <w:rPr>
          <w:color w:val="auto"/>
          <w:highlight w:val="none"/>
        </w:rPr>
      </w:pPr>
    </w:p>
    <w:tbl>
      <w:tblPr>
        <w:tblStyle w:val="37"/>
        <w:tblW w:w="9358" w:type="dxa"/>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0" w:type="dxa"/>
          <w:bottom w:w="0" w:type="dxa"/>
          <w:right w:w="0" w:type="dxa"/>
        </w:tblCellMar>
      </w:tblPr>
      <w:tblGrid>
        <w:gridCol w:w="1141"/>
        <w:gridCol w:w="1480"/>
        <w:gridCol w:w="76"/>
        <w:gridCol w:w="720"/>
        <w:gridCol w:w="1234"/>
        <w:gridCol w:w="1946"/>
        <w:gridCol w:w="1741"/>
        <w:gridCol w:w="1020"/>
      </w:tblGrid>
      <w:tr w14:paraId="6975A77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00" w:hRule="atLeast"/>
          <w:jc w:val="center"/>
        </w:trPr>
        <w:tc>
          <w:tcPr>
            <w:tcW w:w="1141" w:type="dxa"/>
            <w:vMerge w:val="restart"/>
            <w:tcBorders>
              <w:top w:val="single" w:color="000000" w:sz="2" w:space="0"/>
              <w:left w:val="single" w:color="000000" w:sz="2" w:space="0"/>
              <w:bottom w:val="nil"/>
              <w:right w:val="single" w:color="000000" w:sz="2" w:space="0"/>
            </w:tcBorders>
          </w:tcPr>
          <w:p w14:paraId="0F1F09BD">
            <w:pPr>
              <w:spacing w:line="270" w:lineRule="auto"/>
              <w:rPr>
                <w:color w:val="auto"/>
                <w:highlight w:val="none"/>
              </w:rPr>
            </w:pPr>
          </w:p>
          <w:p w14:paraId="75588276">
            <w:pPr>
              <w:pStyle w:val="36"/>
              <w:spacing w:before="68" w:line="282" w:lineRule="auto"/>
              <w:ind w:left="346" w:right="128" w:hanging="219"/>
              <w:rPr>
                <w:color w:val="auto"/>
                <w:sz w:val="21"/>
                <w:szCs w:val="21"/>
                <w:highlight w:val="none"/>
              </w:rPr>
            </w:pPr>
            <w:r>
              <w:rPr>
                <w:color w:val="auto"/>
                <w:spacing w:val="9"/>
                <w:sz w:val="21"/>
                <w:szCs w:val="21"/>
                <w:highlight w:val="none"/>
              </w:rPr>
              <w:t>信息传输</w:t>
            </w:r>
            <w:r>
              <w:rPr>
                <w:color w:val="auto"/>
                <w:spacing w:val="-4"/>
                <w:sz w:val="21"/>
                <w:szCs w:val="21"/>
                <w:highlight w:val="none"/>
              </w:rPr>
              <w:t>业</w:t>
            </w:r>
            <w:r>
              <w:rPr>
                <w:color w:val="auto"/>
                <w:spacing w:val="37"/>
                <w:sz w:val="21"/>
                <w:szCs w:val="21"/>
                <w:highlight w:val="none"/>
              </w:rPr>
              <w:t xml:space="preserve"> </w:t>
            </w:r>
            <w:r>
              <w:rPr>
                <w:color w:val="auto"/>
                <w:spacing w:val="-4"/>
                <w:sz w:val="21"/>
                <w:szCs w:val="21"/>
                <w:highlight w:val="none"/>
              </w:rPr>
              <w:t>*</w:t>
            </w:r>
          </w:p>
        </w:tc>
        <w:tc>
          <w:tcPr>
            <w:tcW w:w="1556" w:type="dxa"/>
            <w:gridSpan w:val="2"/>
            <w:tcBorders>
              <w:top w:val="single" w:color="000000" w:sz="2" w:space="0"/>
              <w:left w:val="single" w:color="000000" w:sz="2" w:space="0"/>
              <w:bottom w:val="single" w:color="000000" w:sz="2" w:space="0"/>
              <w:right w:val="single" w:color="000000" w:sz="2" w:space="0"/>
            </w:tcBorders>
          </w:tcPr>
          <w:p w14:paraId="3530B150">
            <w:pPr>
              <w:pStyle w:val="36"/>
              <w:spacing w:before="195" w:line="221" w:lineRule="auto"/>
              <w:ind w:left="138"/>
              <w:rPr>
                <w:color w:val="auto"/>
                <w:sz w:val="21"/>
                <w:szCs w:val="21"/>
                <w:highlight w:val="none"/>
              </w:rPr>
            </w:pPr>
            <w:r>
              <w:rPr>
                <w:color w:val="auto"/>
                <w:spacing w:val="2"/>
                <w:sz w:val="21"/>
                <w:szCs w:val="21"/>
                <w:highlight w:val="none"/>
              </w:rPr>
              <w:t>从业人员</w:t>
            </w:r>
            <w:r>
              <w:rPr>
                <w:color w:val="auto"/>
                <w:spacing w:val="-43"/>
                <w:sz w:val="21"/>
                <w:szCs w:val="21"/>
                <w:highlight w:val="none"/>
              </w:rPr>
              <w:t xml:space="preserve"> </w:t>
            </w:r>
            <w:r>
              <w:rPr>
                <w:color w:val="auto"/>
                <w:spacing w:val="2"/>
                <w:sz w:val="21"/>
                <w:szCs w:val="21"/>
                <w:highlight w:val="none"/>
              </w:rPr>
              <w:t>(X)</w:t>
            </w:r>
          </w:p>
        </w:tc>
        <w:tc>
          <w:tcPr>
            <w:tcW w:w="720" w:type="dxa"/>
            <w:tcBorders>
              <w:top w:val="single" w:color="000000" w:sz="2" w:space="0"/>
              <w:left w:val="single" w:color="000000" w:sz="2" w:space="0"/>
              <w:bottom w:val="single" w:color="000000" w:sz="2" w:space="0"/>
              <w:right w:val="single" w:color="000000" w:sz="2" w:space="0"/>
            </w:tcBorders>
          </w:tcPr>
          <w:p w14:paraId="52B24349">
            <w:pPr>
              <w:pStyle w:val="36"/>
              <w:spacing w:before="196" w:line="223" w:lineRule="auto"/>
              <w:ind w:left="200"/>
              <w:rPr>
                <w:color w:val="auto"/>
                <w:sz w:val="21"/>
                <w:szCs w:val="21"/>
                <w:highlight w:val="none"/>
              </w:rPr>
            </w:pPr>
            <w:r>
              <w:rPr>
                <w:color w:val="auto"/>
                <w:sz w:val="21"/>
                <w:szCs w:val="21"/>
                <w:highlight w:val="none"/>
              </w:rPr>
              <w:t>人</w:t>
            </w:r>
          </w:p>
        </w:tc>
        <w:tc>
          <w:tcPr>
            <w:tcW w:w="1234" w:type="dxa"/>
            <w:tcBorders>
              <w:top w:val="single" w:color="000000" w:sz="2" w:space="0"/>
              <w:left w:val="single" w:color="000000" w:sz="2" w:space="0"/>
              <w:bottom w:val="single" w:color="000000" w:sz="2" w:space="0"/>
              <w:right w:val="single" w:color="000000" w:sz="2" w:space="0"/>
            </w:tcBorders>
          </w:tcPr>
          <w:p w14:paraId="4D45DD0F">
            <w:pPr>
              <w:pStyle w:val="36"/>
              <w:spacing w:before="195" w:line="239" w:lineRule="auto"/>
              <w:ind w:left="179"/>
              <w:rPr>
                <w:color w:val="auto"/>
                <w:sz w:val="21"/>
                <w:szCs w:val="21"/>
                <w:highlight w:val="none"/>
              </w:rPr>
            </w:pPr>
            <w:r>
              <w:rPr>
                <w:color w:val="auto"/>
                <w:spacing w:val="6"/>
                <w:sz w:val="21"/>
                <w:szCs w:val="21"/>
                <w:highlight w:val="none"/>
              </w:rPr>
              <w:t>X≥2000</w:t>
            </w:r>
          </w:p>
        </w:tc>
        <w:tc>
          <w:tcPr>
            <w:tcW w:w="1946" w:type="dxa"/>
            <w:tcBorders>
              <w:top w:val="single" w:color="000000" w:sz="2" w:space="0"/>
              <w:left w:val="single" w:color="000000" w:sz="2" w:space="0"/>
              <w:bottom w:val="single" w:color="000000" w:sz="2" w:space="0"/>
              <w:right w:val="single" w:color="000000" w:sz="2" w:space="0"/>
            </w:tcBorders>
          </w:tcPr>
          <w:p w14:paraId="1D9B5125">
            <w:pPr>
              <w:pStyle w:val="36"/>
              <w:spacing w:before="195" w:line="237" w:lineRule="auto"/>
              <w:ind w:left="286"/>
              <w:rPr>
                <w:color w:val="auto"/>
                <w:sz w:val="21"/>
                <w:szCs w:val="21"/>
                <w:highlight w:val="none"/>
              </w:rPr>
            </w:pPr>
            <w:r>
              <w:rPr>
                <w:color w:val="auto"/>
                <w:spacing w:val="6"/>
                <w:sz w:val="21"/>
                <w:szCs w:val="21"/>
                <w:highlight w:val="none"/>
              </w:rPr>
              <w:t>100≤X＜2000</w:t>
            </w:r>
          </w:p>
        </w:tc>
        <w:tc>
          <w:tcPr>
            <w:tcW w:w="1741" w:type="dxa"/>
            <w:tcBorders>
              <w:top w:val="single" w:color="000000" w:sz="2" w:space="0"/>
              <w:left w:val="single" w:color="000000" w:sz="2" w:space="0"/>
              <w:bottom w:val="single" w:color="000000" w:sz="2" w:space="0"/>
              <w:right w:val="single" w:color="000000" w:sz="2" w:space="0"/>
            </w:tcBorders>
          </w:tcPr>
          <w:p w14:paraId="553FFEA1">
            <w:pPr>
              <w:pStyle w:val="36"/>
              <w:spacing w:before="195" w:line="237" w:lineRule="auto"/>
              <w:ind w:left="313"/>
              <w:rPr>
                <w:color w:val="auto"/>
                <w:sz w:val="21"/>
                <w:szCs w:val="21"/>
                <w:highlight w:val="none"/>
              </w:rPr>
            </w:pPr>
            <w:r>
              <w:rPr>
                <w:color w:val="auto"/>
                <w:spacing w:val="-2"/>
                <w:sz w:val="21"/>
                <w:szCs w:val="21"/>
                <w:highlight w:val="none"/>
              </w:rPr>
              <w:t>10≤X＜</w:t>
            </w:r>
            <w:r>
              <w:rPr>
                <w:color w:val="auto"/>
                <w:spacing w:val="-40"/>
                <w:sz w:val="21"/>
                <w:szCs w:val="21"/>
                <w:highlight w:val="none"/>
              </w:rPr>
              <w:t xml:space="preserve"> </w:t>
            </w:r>
            <w:r>
              <w:rPr>
                <w:color w:val="auto"/>
                <w:spacing w:val="-2"/>
                <w:sz w:val="21"/>
                <w:szCs w:val="21"/>
                <w:highlight w:val="none"/>
              </w:rPr>
              <w:t>100</w:t>
            </w:r>
          </w:p>
        </w:tc>
        <w:tc>
          <w:tcPr>
            <w:tcW w:w="1020" w:type="dxa"/>
            <w:tcBorders>
              <w:top w:val="single" w:color="000000" w:sz="2" w:space="0"/>
              <w:left w:val="single" w:color="000000" w:sz="2" w:space="0"/>
              <w:bottom w:val="single" w:color="000000" w:sz="2" w:space="0"/>
              <w:right w:val="single" w:color="000000" w:sz="2" w:space="0"/>
            </w:tcBorders>
          </w:tcPr>
          <w:p w14:paraId="35815A12">
            <w:pPr>
              <w:pStyle w:val="36"/>
              <w:spacing w:before="195" w:line="241" w:lineRule="auto"/>
              <w:ind w:left="229"/>
              <w:rPr>
                <w:color w:val="auto"/>
                <w:sz w:val="21"/>
                <w:szCs w:val="21"/>
                <w:highlight w:val="none"/>
              </w:rPr>
            </w:pPr>
            <w:r>
              <w:rPr>
                <w:color w:val="auto"/>
                <w:spacing w:val="-8"/>
                <w:sz w:val="21"/>
                <w:szCs w:val="21"/>
                <w:highlight w:val="none"/>
              </w:rPr>
              <w:t>X＜</w:t>
            </w:r>
            <w:r>
              <w:rPr>
                <w:color w:val="auto"/>
                <w:spacing w:val="-41"/>
                <w:sz w:val="21"/>
                <w:szCs w:val="21"/>
                <w:highlight w:val="none"/>
              </w:rPr>
              <w:t xml:space="preserve"> </w:t>
            </w:r>
            <w:r>
              <w:rPr>
                <w:color w:val="auto"/>
                <w:spacing w:val="-8"/>
                <w:sz w:val="21"/>
                <w:szCs w:val="21"/>
                <w:highlight w:val="none"/>
              </w:rPr>
              <w:t>10</w:t>
            </w:r>
          </w:p>
        </w:tc>
      </w:tr>
      <w:tr w14:paraId="43C7AB9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41" w:type="dxa"/>
            <w:vMerge w:val="continue"/>
            <w:tcBorders>
              <w:top w:val="nil"/>
              <w:left w:val="single" w:color="000000" w:sz="2" w:space="0"/>
              <w:bottom w:val="single" w:color="000000" w:sz="2" w:space="0"/>
              <w:right w:val="single" w:color="000000" w:sz="2" w:space="0"/>
            </w:tcBorders>
          </w:tcPr>
          <w:p w14:paraId="60787406">
            <w:pPr>
              <w:rPr>
                <w:color w:val="auto"/>
                <w:highlight w:val="none"/>
              </w:rPr>
            </w:pP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B8CCE4"/>
          </w:tcPr>
          <w:p w14:paraId="6CB30DF8">
            <w:pPr>
              <w:pStyle w:val="36"/>
              <w:spacing w:before="187" w:line="221" w:lineRule="auto"/>
              <w:ind w:left="143"/>
              <w:rPr>
                <w:color w:val="auto"/>
                <w:sz w:val="21"/>
                <w:szCs w:val="21"/>
                <w:highlight w:val="none"/>
              </w:rPr>
            </w:pPr>
            <w:r>
              <w:rPr>
                <w:color w:val="auto"/>
                <w:spacing w:val="9"/>
                <w:sz w:val="21"/>
                <w:szCs w:val="21"/>
                <w:highlight w:val="none"/>
              </w:rPr>
              <w:t>营业收入(Y)</w:t>
            </w:r>
          </w:p>
        </w:tc>
        <w:tc>
          <w:tcPr>
            <w:tcW w:w="720" w:type="dxa"/>
            <w:tcBorders>
              <w:top w:val="single" w:color="000000" w:sz="2" w:space="0"/>
              <w:left w:val="single" w:color="000000" w:sz="2" w:space="0"/>
              <w:bottom w:val="single" w:color="000000" w:sz="2" w:space="0"/>
              <w:right w:val="single" w:color="000000" w:sz="2" w:space="0"/>
            </w:tcBorders>
            <w:shd w:val="clear" w:color="auto" w:fill="B8CCE4"/>
          </w:tcPr>
          <w:p w14:paraId="02BA34A1">
            <w:pPr>
              <w:pStyle w:val="36"/>
              <w:spacing w:before="188" w:line="221" w:lineRule="auto"/>
              <w:ind w:left="90"/>
              <w:rPr>
                <w:color w:val="auto"/>
                <w:sz w:val="21"/>
                <w:szCs w:val="21"/>
                <w:highlight w:val="none"/>
              </w:rPr>
            </w:pPr>
            <w:r>
              <w:rPr>
                <w:color w:val="auto"/>
                <w:spacing w:val="1"/>
                <w:sz w:val="21"/>
                <w:szCs w:val="21"/>
                <w:highlight w:val="none"/>
              </w:rPr>
              <w:t>万元</w:t>
            </w:r>
          </w:p>
        </w:tc>
        <w:tc>
          <w:tcPr>
            <w:tcW w:w="1234" w:type="dxa"/>
            <w:tcBorders>
              <w:top w:val="single" w:color="000000" w:sz="2" w:space="0"/>
              <w:left w:val="single" w:color="000000" w:sz="2" w:space="0"/>
              <w:bottom w:val="single" w:color="000000" w:sz="2" w:space="0"/>
              <w:right w:val="single" w:color="000000" w:sz="2" w:space="0"/>
            </w:tcBorders>
            <w:shd w:val="clear" w:color="auto" w:fill="B8CCE4"/>
          </w:tcPr>
          <w:p w14:paraId="75A58EA6">
            <w:pPr>
              <w:pStyle w:val="36"/>
              <w:spacing w:before="187" w:line="239" w:lineRule="auto"/>
              <w:ind w:left="65"/>
              <w:rPr>
                <w:color w:val="auto"/>
                <w:sz w:val="21"/>
                <w:szCs w:val="21"/>
                <w:highlight w:val="none"/>
              </w:rPr>
            </w:pPr>
            <w:r>
              <w:rPr>
                <w:color w:val="auto"/>
                <w:spacing w:val="7"/>
                <w:sz w:val="21"/>
                <w:szCs w:val="21"/>
                <w:highlight w:val="none"/>
              </w:rPr>
              <w:t>Y≥100000</w:t>
            </w:r>
          </w:p>
        </w:tc>
        <w:tc>
          <w:tcPr>
            <w:tcW w:w="1946" w:type="dxa"/>
            <w:tcBorders>
              <w:top w:val="single" w:color="000000" w:sz="2" w:space="0"/>
              <w:left w:val="single" w:color="000000" w:sz="2" w:space="0"/>
              <w:bottom w:val="single" w:color="000000" w:sz="2" w:space="0"/>
              <w:right w:val="single" w:color="000000" w:sz="2" w:space="0"/>
            </w:tcBorders>
            <w:shd w:val="clear" w:color="auto" w:fill="B8CCE4"/>
          </w:tcPr>
          <w:p w14:paraId="27EA49E1">
            <w:pPr>
              <w:pStyle w:val="36"/>
              <w:spacing w:before="188" w:line="237" w:lineRule="auto"/>
              <w:ind w:left="115"/>
              <w:rPr>
                <w:color w:val="auto"/>
                <w:sz w:val="21"/>
                <w:szCs w:val="21"/>
                <w:highlight w:val="none"/>
              </w:rPr>
            </w:pPr>
            <w:r>
              <w:rPr>
                <w:color w:val="auto"/>
                <w:spacing w:val="1"/>
                <w:sz w:val="21"/>
                <w:szCs w:val="21"/>
                <w:highlight w:val="none"/>
              </w:rPr>
              <w:t>1000≤Y＜</w:t>
            </w:r>
            <w:r>
              <w:rPr>
                <w:color w:val="auto"/>
                <w:spacing w:val="-33"/>
                <w:sz w:val="21"/>
                <w:szCs w:val="21"/>
                <w:highlight w:val="none"/>
              </w:rPr>
              <w:t xml:space="preserve"> </w:t>
            </w:r>
            <w:r>
              <w:rPr>
                <w:color w:val="auto"/>
                <w:spacing w:val="1"/>
                <w:sz w:val="21"/>
                <w:szCs w:val="21"/>
                <w:highlight w:val="none"/>
              </w:rPr>
              <w:t>100000</w:t>
            </w:r>
          </w:p>
        </w:tc>
        <w:tc>
          <w:tcPr>
            <w:tcW w:w="1741" w:type="dxa"/>
            <w:tcBorders>
              <w:top w:val="single" w:color="000000" w:sz="2" w:space="0"/>
              <w:left w:val="single" w:color="000000" w:sz="2" w:space="0"/>
              <w:bottom w:val="single" w:color="000000" w:sz="2" w:space="0"/>
              <w:right w:val="single" w:color="000000" w:sz="2" w:space="0"/>
            </w:tcBorders>
            <w:shd w:val="clear" w:color="auto" w:fill="B8CCE4"/>
          </w:tcPr>
          <w:p w14:paraId="5807061F">
            <w:pPr>
              <w:pStyle w:val="36"/>
              <w:spacing w:before="188" w:line="237" w:lineRule="auto"/>
              <w:ind w:left="200"/>
              <w:rPr>
                <w:color w:val="auto"/>
                <w:sz w:val="21"/>
                <w:szCs w:val="21"/>
                <w:highlight w:val="none"/>
              </w:rPr>
            </w:pPr>
            <w:r>
              <w:rPr>
                <w:color w:val="auto"/>
                <w:spacing w:val="-1"/>
                <w:sz w:val="21"/>
                <w:szCs w:val="21"/>
                <w:highlight w:val="none"/>
              </w:rPr>
              <w:t>100≤Y＜</w:t>
            </w:r>
            <w:r>
              <w:rPr>
                <w:color w:val="auto"/>
                <w:spacing w:val="-33"/>
                <w:sz w:val="21"/>
                <w:szCs w:val="21"/>
                <w:highlight w:val="none"/>
              </w:rPr>
              <w:t xml:space="preserve"> </w:t>
            </w:r>
            <w:r>
              <w:rPr>
                <w:color w:val="auto"/>
                <w:spacing w:val="-1"/>
                <w:sz w:val="21"/>
                <w:szCs w:val="21"/>
                <w:highlight w:val="none"/>
              </w:rPr>
              <w:t>1000</w:t>
            </w:r>
          </w:p>
        </w:tc>
        <w:tc>
          <w:tcPr>
            <w:tcW w:w="1020" w:type="dxa"/>
            <w:tcBorders>
              <w:top w:val="single" w:color="000000" w:sz="2" w:space="0"/>
              <w:left w:val="single" w:color="000000" w:sz="2" w:space="0"/>
              <w:bottom w:val="single" w:color="000000" w:sz="2" w:space="0"/>
              <w:right w:val="single" w:color="000000" w:sz="2" w:space="0"/>
            </w:tcBorders>
            <w:shd w:val="clear" w:color="auto" w:fill="B8CCE4"/>
          </w:tcPr>
          <w:p w14:paraId="5B733D66">
            <w:pPr>
              <w:pStyle w:val="36"/>
              <w:spacing w:before="187" w:line="241" w:lineRule="auto"/>
              <w:ind w:left="171"/>
              <w:rPr>
                <w:color w:val="auto"/>
                <w:sz w:val="21"/>
                <w:szCs w:val="21"/>
                <w:highlight w:val="none"/>
              </w:rPr>
            </w:pPr>
            <w:r>
              <w:rPr>
                <w:color w:val="auto"/>
                <w:spacing w:val="-6"/>
                <w:sz w:val="21"/>
                <w:szCs w:val="21"/>
                <w:highlight w:val="none"/>
              </w:rPr>
              <w:t>Y＜</w:t>
            </w:r>
            <w:r>
              <w:rPr>
                <w:color w:val="auto"/>
                <w:spacing w:val="-39"/>
                <w:sz w:val="21"/>
                <w:szCs w:val="21"/>
                <w:highlight w:val="none"/>
              </w:rPr>
              <w:t xml:space="preserve"> </w:t>
            </w:r>
            <w:r>
              <w:rPr>
                <w:color w:val="auto"/>
                <w:spacing w:val="-6"/>
                <w:sz w:val="21"/>
                <w:szCs w:val="21"/>
                <w:highlight w:val="none"/>
              </w:rPr>
              <w:t>100</w:t>
            </w:r>
          </w:p>
        </w:tc>
      </w:tr>
      <w:tr w14:paraId="467251B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4" w:hRule="atLeast"/>
          <w:jc w:val="center"/>
        </w:trPr>
        <w:tc>
          <w:tcPr>
            <w:tcW w:w="1141" w:type="dxa"/>
            <w:vMerge w:val="restart"/>
            <w:tcBorders>
              <w:top w:val="single" w:color="000000" w:sz="2" w:space="0"/>
              <w:left w:val="single" w:color="000000" w:sz="2" w:space="0"/>
              <w:bottom w:val="nil"/>
            </w:tcBorders>
          </w:tcPr>
          <w:p w14:paraId="640C7ADE">
            <w:pPr>
              <w:pStyle w:val="36"/>
              <w:spacing w:before="178" w:line="221" w:lineRule="auto"/>
              <w:ind w:left="132"/>
              <w:rPr>
                <w:color w:val="auto"/>
                <w:sz w:val="21"/>
                <w:szCs w:val="21"/>
                <w:highlight w:val="none"/>
              </w:rPr>
            </w:pPr>
            <w:r>
              <w:rPr>
                <w:color w:val="auto"/>
                <w:spacing w:val="-20"/>
                <w:w w:val="99"/>
                <w:sz w:val="21"/>
                <w:szCs w:val="21"/>
                <w:highlight w:val="none"/>
              </w:rPr>
              <w:t>软件和信息</w:t>
            </w:r>
          </w:p>
          <w:p w14:paraId="1DEBEA03">
            <w:pPr>
              <w:pStyle w:val="36"/>
              <w:spacing w:before="60" w:line="221" w:lineRule="auto"/>
              <w:ind w:left="198"/>
              <w:rPr>
                <w:color w:val="auto"/>
                <w:sz w:val="21"/>
                <w:szCs w:val="21"/>
                <w:highlight w:val="none"/>
              </w:rPr>
            </w:pPr>
            <w:r>
              <w:rPr>
                <w:color w:val="auto"/>
                <w:spacing w:val="-17"/>
                <w:sz w:val="21"/>
                <w:szCs w:val="21"/>
                <w:highlight w:val="none"/>
              </w:rPr>
              <w:t>技术服务</w:t>
            </w:r>
          </w:p>
          <w:p w14:paraId="4122E0D2">
            <w:pPr>
              <w:pStyle w:val="36"/>
              <w:spacing w:before="60" w:line="233" w:lineRule="auto"/>
              <w:ind w:left="465"/>
              <w:rPr>
                <w:color w:val="auto"/>
                <w:sz w:val="21"/>
                <w:szCs w:val="21"/>
                <w:highlight w:val="none"/>
              </w:rPr>
            </w:pPr>
            <w:r>
              <w:rPr>
                <w:color w:val="auto"/>
                <w:sz w:val="21"/>
                <w:szCs w:val="21"/>
                <w:highlight w:val="none"/>
              </w:rPr>
              <w:t>业</w:t>
            </w:r>
          </w:p>
        </w:tc>
        <w:tc>
          <w:tcPr>
            <w:tcW w:w="1556" w:type="dxa"/>
            <w:gridSpan w:val="2"/>
            <w:tcBorders>
              <w:top w:val="single" w:color="000000" w:sz="2" w:space="0"/>
              <w:left w:val="single" w:color="000000" w:sz="2" w:space="0"/>
              <w:bottom w:val="single" w:color="000000" w:sz="2" w:space="0"/>
              <w:right w:val="single" w:color="000000" w:sz="2" w:space="0"/>
            </w:tcBorders>
          </w:tcPr>
          <w:p w14:paraId="366D9236">
            <w:pPr>
              <w:pStyle w:val="36"/>
              <w:spacing w:before="191" w:line="221" w:lineRule="auto"/>
              <w:ind w:left="136"/>
              <w:rPr>
                <w:color w:val="auto"/>
                <w:sz w:val="21"/>
                <w:szCs w:val="21"/>
                <w:highlight w:val="none"/>
              </w:rPr>
            </w:pPr>
            <w:r>
              <w:rPr>
                <w:color w:val="auto"/>
                <w:spacing w:val="2"/>
                <w:sz w:val="21"/>
                <w:szCs w:val="21"/>
                <w:highlight w:val="none"/>
              </w:rPr>
              <w:t>从业人员</w:t>
            </w:r>
            <w:r>
              <w:rPr>
                <w:color w:val="auto"/>
                <w:spacing w:val="-43"/>
                <w:sz w:val="21"/>
                <w:szCs w:val="21"/>
                <w:highlight w:val="none"/>
              </w:rPr>
              <w:t xml:space="preserve"> </w:t>
            </w:r>
            <w:r>
              <w:rPr>
                <w:color w:val="auto"/>
                <w:spacing w:val="2"/>
                <w:sz w:val="21"/>
                <w:szCs w:val="21"/>
                <w:highlight w:val="none"/>
              </w:rPr>
              <w:t>(X)</w:t>
            </w:r>
          </w:p>
        </w:tc>
        <w:tc>
          <w:tcPr>
            <w:tcW w:w="720" w:type="dxa"/>
            <w:tcBorders>
              <w:top w:val="single" w:color="000000" w:sz="2" w:space="0"/>
              <w:left w:val="single" w:color="000000" w:sz="2" w:space="0"/>
              <w:bottom w:val="single" w:color="000000" w:sz="2" w:space="0"/>
              <w:right w:val="single" w:color="000000" w:sz="2" w:space="0"/>
            </w:tcBorders>
          </w:tcPr>
          <w:p w14:paraId="206FAD67">
            <w:pPr>
              <w:pStyle w:val="36"/>
              <w:spacing w:before="191" w:line="223" w:lineRule="auto"/>
              <w:ind w:left="200"/>
              <w:rPr>
                <w:color w:val="auto"/>
                <w:sz w:val="21"/>
                <w:szCs w:val="21"/>
                <w:highlight w:val="none"/>
              </w:rPr>
            </w:pPr>
            <w:r>
              <w:rPr>
                <w:color w:val="auto"/>
                <w:sz w:val="21"/>
                <w:szCs w:val="21"/>
                <w:highlight w:val="none"/>
              </w:rPr>
              <w:t>人</w:t>
            </w:r>
          </w:p>
        </w:tc>
        <w:tc>
          <w:tcPr>
            <w:tcW w:w="1234" w:type="dxa"/>
            <w:tcBorders>
              <w:top w:val="single" w:color="000000" w:sz="2" w:space="0"/>
              <w:left w:val="single" w:color="000000" w:sz="2" w:space="0"/>
              <w:bottom w:val="single" w:color="000000" w:sz="2" w:space="0"/>
              <w:right w:val="single" w:color="000000" w:sz="2" w:space="0"/>
            </w:tcBorders>
          </w:tcPr>
          <w:p w14:paraId="48E09B37">
            <w:pPr>
              <w:pStyle w:val="36"/>
              <w:spacing w:before="190" w:line="239" w:lineRule="auto"/>
              <w:ind w:left="236"/>
              <w:rPr>
                <w:color w:val="auto"/>
                <w:sz w:val="21"/>
                <w:szCs w:val="21"/>
                <w:highlight w:val="none"/>
              </w:rPr>
            </w:pPr>
            <w:r>
              <w:rPr>
                <w:color w:val="auto"/>
                <w:spacing w:val="6"/>
                <w:sz w:val="21"/>
                <w:szCs w:val="21"/>
                <w:highlight w:val="none"/>
              </w:rPr>
              <w:t>X≥300</w:t>
            </w:r>
          </w:p>
        </w:tc>
        <w:tc>
          <w:tcPr>
            <w:tcW w:w="1946" w:type="dxa"/>
            <w:tcBorders>
              <w:top w:val="single" w:color="000000" w:sz="2" w:space="0"/>
              <w:left w:val="single" w:color="000000" w:sz="2" w:space="0"/>
              <w:bottom w:val="single" w:color="000000" w:sz="2" w:space="0"/>
              <w:right w:val="single" w:color="000000" w:sz="2" w:space="0"/>
            </w:tcBorders>
          </w:tcPr>
          <w:p w14:paraId="2E8A4545">
            <w:pPr>
              <w:pStyle w:val="36"/>
              <w:spacing w:before="191" w:line="237" w:lineRule="auto"/>
              <w:ind w:left="341"/>
              <w:rPr>
                <w:color w:val="auto"/>
                <w:sz w:val="21"/>
                <w:szCs w:val="21"/>
                <w:highlight w:val="none"/>
              </w:rPr>
            </w:pPr>
            <w:r>
              <w:rPr>
                <w:color w:val="auto"/>
                <w:spacing w:val="6"/>
                <w:sz w:val="21"/>
                <w:szCs w:val="21"/>
                <w:highlight w:val="none"/>
              </w:rPr>
              <w:t>100≤X＜300</w:t>
            </w:r>
          </w:p>
        </w:tc>
        <w:tc>
          <w:tcPr>
            <w:tcW w:w="1741" w:type="dxa"/>
            <w:tcBorders>
              <w:top w:val="single" w:color="000000" w:sz="2" w:space="0"/>
              <w:left w:val="single" w:color="000000" w:sz="2" w:space="0"/>
              <w:bottom w:val="single" w:color="000000" w:sz="2" w:space="0"/>
              <w:right w:val="single" w:color="000000" w:sz="2" w:space="0"/>
            </w:tcBorders>
          </w:tcPr>
          <w:p w14:paraId="12259178">
            <w:pPr>
              <w:pStyle w:val="36"/>
              <w:spacing w:before="191" w:line="237" w:lineRule="auto"/>
              <w:ind w:left="313"/>
              <w:rPr>
                <w:color w:val="auto"/>
                <w:sz w:val="21"/>
                <w:szCs w:val="21"/>
                <w:highlight w:val="none"/>
              </w:rPr>
            </w:pPr>
            <w:r>
              <w:rPr>
                <w:color w:val="auto"/>
                <w:spacing w:val="-2"/>
                <w:sz w:val="21"/>
                <w:szCs w:val="21"/>
                <w:highlight w:val="none"/>
              </w:rPr>
              <w:t>10≤X＜</w:t>
            </w:r>
            <w:r>
              <w:rPr>
                <w:color w:val="auto"/>
                <w:spacing w:val="-40"/>
                <w:sz w:val="21"/>
                <w:szCs w:val="21"/>
                <w:highlight w:val="none"/>
              </w:rPr>
              <w:t xml:space="preserve"> </w:t>
            </w:r>
            <w:r>
              <w:rPr>
                <w:color w:val="auto"/>
                <w:spacing w:val="-2"/>
                <w:sz w:val="21"/>
                <w:szCs w:val="21"/>
                <w:highlight w:val="none"/>
              </w:rPr>
              <w:t>100</w:t>
            </w:r>
          </w:p>
        </w:tc>
        <w:tc>
          <w:tcPr>
            <w:tcW w:w="1020" w:type="dxa"/>
            <w:tcBorders>
              <w:top w:val="single" w:color="000000" w:sz="2" w:space="0"/>
              <w:left w:val="single" w:color="000000" w:sz="2" w:space="0"/>
              <w:bottom w:val="single" w:color="000000" w:sz="2" w:space="0"/>
              <w:right w:val="single" w:color="000000" w:sz="2" w:space="0"/>
            </w:tcBorders>
          </w:tcPr>
          <w:p w14:paraId="745979B7">
            <w:pPr>
              <w:pStyle w:val="36"/>
              <w:spacing w:before="190" w:line="241" w:lineRule="auto"/>
              <w:ind w:left="229"/>
              <w:rPr>
                <w:color w:val="auto"/>
                <w:sz w:val="21"/>
                <w:szCs w:val="21"/>
                <w:highlight w:val="none"/>
              </w:rPr>
            </w:pPr>
            <w:r>
              <w:rPr>
                <w:color w:val="auto"/>
                <w:spacing w:val="-8"/>
                <w:sz w:val="21"/>
                <w:szCs w:val="21"/>
                <w:highlight w:val="none"/>
              </w:rPr>
              <w:t>X＜</w:t>
            </w:r>
            <w:r>
              <w:rPr>
                <w:color w:val="auto"/>
                <w:spacing w:val="-41"/>
                <w:sz w:val="21"/>
                <w:szCs w:val="21"/>
                <w:highlight w:val="none"/>
              </w:rPr>
              <w:t xml:space="preserve"> </w:t>
            </w:r>
            <w:r>
              <w:rPr>
                <w:color w:val="auto"/>
                <w:spacing w:val="-8"/>
                <w:sz w:val="21"/>
                <w:szCs w:val="21"/>
                <w:highlight w:val="none"/>
              </w:rPr>
              <w:t>10</w:t>
            </w:r>
          </w:p>
        </w:tc>
      </w:tr>
      <w:tr w14:paraId="63C4107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86" w:hRule="atLeast"/>
          <w:jc w:val="center"/>
        </w:trPr>
        <w:tc>
          <w:tcPr>
            <w:tcW w:w="1141" w:type="dxa"/>
            <w:vMerge w:val="continue"/>
            <w:tcBorders>
              <w:top w:val="nil"/>
              <w:left w:val="single" w:color="000000" w:sz="2" w:space="0"/>
            </w:tcBorders>
          </w:tcPr>
          <w:p w14:paraId="16EB81A2">
            <w:pPr>
              <w:rPr>
                <w:color w:val="auto"/>
                <w:highlight w:val="none"/>
              </w:rPr>
            </w:pPr>
          </w:p>
        </w:tc>
        <w:tc>
          <w:tcPr>
            <w:tcW w:w="1480" w:type="dxa"/>
            <w:tcBorders>
              <w:top w:val="single" w:color="000000" w:sz="2" w:space="0"/>
            </w:tcBorders>
            <w:shd w:val="clear" w:color="auto" w:fill="B8CCE4"/>
          </w:tcPr>
          <w:p w14:paraId="5B6375FD">
            <w:pPr>
              <w:pStyle w:val="36"/>
              <w:spacing w:before="191" w:line="221" w:lineRule="auto"/>
              <w:ind w:left="140"/>
              <w:rPr>
                <w:color w:val="auto"/>
                <w:sz w:val="21"/>
                <w:szCs w:val="21"/>
                <w:highlight w:val="none"/>
              </w:rPr>
            </w:pPr>
            <w:r>
              <w:rPr>
                <w:color w:val="auto"/>
                <w:spacing w:val="9"/>
                <w:sz w:val="21"/>
                <w:szCs w:val="21"/>
                <w:highlight w:val="none"/>
              </w:rPr>
              <w:t>营业收入(Y)</w:t>
            </w:r>
          </w:p>
        </w:tc>
        <w:tc>
          <w:tcPr>
            <w:tcW w:w="76" w:type="dxa"/>
            <w:tcBorders>
              <w:top w:val="nil"/>
              <w:left w:val="nil"/>
              <w:bottom w:val="nil"/>
              <w:right w:val="nil"/>
            </w:tcBorders>
          </w:tcPr>
          <w:p w14:paraId="25F182ED">
            <w:pPr>
              <w:rPr>
                <w:color w:val="auto"/>
                <w:highlight w:val="none"/>
              </w:rPr>
            </w:pPr>
          </w:p>
        </w:tc>
        <w:tc>
          <w:tcPr>
            <w:tcW w:w="720" w:type="dxa"/>
            <w:tcBorders>
              <w:top w:val="single" w:color="000000" w:sz="2" w:space="0"/>
              <w:left w:val="nil"/>
            </w:tcBorders>
            <w:shd w:val="clear" w:color="auto" w:fill="B8CCE4"/>
          </w:tcPr>
          <w:p w14:paraId="1A26EB5D">
            <w:pPr>
              <w:pStyle w:val="36"/>
              <w:spacing w:before="192" w:line="221" w:lineRule="auto"/>
              <w:ind w:left="93"/>
              <w:rPr>
                <w:color w:val="auto"/>
                <w:sz w:val="21"/>
                <w:szCs w:val="21"/>
                <w:highlight w:val="none"/>
              </w:rPr>
            </w:pPr>
            <w:r>
              <w:rPr>
                <w:color w:val="auto"/>
                <w:spacing w:val="1"/>
                <w:sz w:val="21"/>
                <w:szCs w:val="21"/>
                <w:highlight w:val="none"/>
              </w:rPr>
              <w:t>万元</w:t>
            </w:r>
          </w:p>
        </w:tc>
        <w:tc>
          <w:tcPr>
            <w:tcW w:w="1234" w:type="dxa"/>
            <w:tcBorders>
              <w:top w:val="single" w:color="000000" w:sz="2" w:space="0"/>
            </w:tcBorders>
            <w:shd w:val="clear" w:color="auto" w:fill="B8CCE4"/>
          </w:tcPr>
          <w:p w14:paraId="25270D36">
            <w:pPr>
              <w:pStyle w:val="36"/>
              <w:spacing w:before="191" w:line="239" w:lineRule="auto"/>
              <w:ind w:left="120"/>
              <w:rPr>
                <w:color w:val="auto"/>
                <w:sz w:val="21"/>
                <w:szCs w:val="21"/>
                <w:highlight w:val="none"/>
              </w:rPr>
            </w:pPr>
            <w:r>
              <w:rPr>
                <w:color w:val="auto"/>
                <w:spacing w:val="7"/>
                <w:sz w:val="21"/>
                <w:szCs w:val="21"/>
                <w:highlight w:val="none"/>
              </w:rPr>
              <w:t>Y≥10000</w:t>
            </w:r>
          </w:p>
        </w:tc>
        <w:tc>
          <w:tcPr>
            <w:tcW w:w="1946" w:type="dxa"/>
            <w:tcBorders>
              <w:top w:val="single" w:color="000000" w:sz="2" w:space="0"/>
            </w:tcBorders>
            <w:shd w:val="clear" w:color="auto" w:fill="B8CCE4"/>
          </w:tcPr>
          <w:p w14:paraId="6C49D22F">
            <w:pPr>
              <w:pStyle w:val="36"/>
              <w:spacing w:before="192" w:line="237" w:lineRule="auto"/>
              <w:ind w:left="170"/>
              <w:rPr>
                <w:color w:val="auto"/>
                <w:sz w:val="21"/>
                <w:szCs w:val="21"/>
                <w:highlight w:val="none"/>
              </w:rPr>
            </w:pPr>
            <w:r>
              <w:rPr>
                <w:color w:val="auto"/>
                <w:spacing w:val="1"/>
                <w:sz w:val="21"/>
                <w:szCs w:val="21"/>
                <w:highlight w:val="none"/>
              </w:rPr>
              <w:t>1000≤Y＜</w:t>
            </w:r>
            <w:r>
              <w:rPr>
                <w:color w:val="auto"/>
                <w:spacing w:val="-40"/>
                <w:sz w:val="21"/>
                <w:szCs w:val="21"/>
                <w:highlight w:val="none"/>
              </w:rPr>
              <w:t xml:space="preserve"> </w:t>
            </w:r>
            <w:r>
              <w:rPr>
                <w:color w:val="auto"/>
                <w:spacing w:val="1"/>
                <w:sz w:val="21"/>
                <w:szCs w:val="21"/>
                <w:highlight w:val="none"/>
              </w:rPr>
              <w:t>10000</w:t>
            </w:r>
          </w:p>
        </w:tc>
        <w:tc>
          <w:tcPr>
            <w:tcW w:w="1741" w:type="dxa"/>
            <w:tcBorders>
              <w:top w:val="single" w:color="000000" w:sz="2" w:space="0"/>
            </w:tcBorders>
            <w:shd w:val="clear" w:color="auto" w:fill="B8CCE4"/>
          </w:tcPr>
          <w:p w14:paraId="05A3BE3F">
            <w:pPr>
              <w:pStyle w:val="36"/>
              <w:spacing w:before="192" w:line="237" w:lineRule="auto"/>
              <w:ind w:left="243"/>
              <w:rPr>
                <w:color w:val="auto"/>
                <w:sz w:val="21"/>
                <w:szCs w:val="21"/>
                <w:highlight w:val="none"/>
              </w:rPr>
            </w:pPr>
            <w:r>
              <w:rPr>
                <w:color w:val="auto"/>
                <w:sz w:val="21"/>
                <w:szCs w:val="21"/>
                <w:highlight w:val="none"/>
              </w:rPr>
              <w:t>50≤Y＜</w:t>
            </w:r>
            <w:r>
              <w:rPr>
                <w:color w:val="auto"/>
                <w:spacing w:val="-40"/>
                <w:sz w:val="21"/>
                <w:szCs w:val="21"/>
                <w:highlight w:val="none"/>
              </w:rPr>
              <w:t xml:space="preserve"> </w:t>
            </w:r>
            <w:r>
              <w:rPr>
                <w:color w:val="auto"/>
                <w:sz w:val="21"/>
                <w:szCs w:val="21"/>
                <w:highlight w:val="none"/>
              </w:rPr>
              <w:t>1000</w:t>
            </w:r>
          </w:p>
        </w:tc>
        <w:tc>
          <w:tcPr>
            <w:tcW w:w="1020" w:type="dxa"/>
            <w:tcBorders>
              <w:top w:val="single" w:color="000000" w:sz="2" w:space="0"/>
            </w:tcBorders>
            <w:shd w:val="clear" w:color="auto" w:fill="B8CCE4"/>
          </w:tcPr>
          <w:p w14:paraId="6D7893A6">
            <w:pPr>
              <w:pStyle w:val="36"/>
              <w:spacing w:before="191" w:line="241" w:lineRule="auto"/>
              <w:ind w:left="226"/>
              <w:rPr>
                <w:color w:val="auto"/>
                <w:sz w:val="21"/>
                <w:szCs w:val="21"/>
                <w:highlight w:val="none"/>
              </w:rPr>
            </w:pPr>
            <w:r>
              <w:rPr>
                <w:color w:val="auto"/>
                <w:spacing w:val="6"/>
                <w:sz w:val="21"/>
                <w:szCs w:val="21"/>
                <w:highlight w:val="none"/>
              </w:rPr>
              <w:t>Y＜50</w:t>
            </w:r>
          </w:p>
        </w:tc>
      </w:tr>
      <w:tr w14:paraId="1827451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8" w:hRule="atLeast"/>
          <w:jc w:val="center"/>
        </w:trPr>
        <w:tc>
          <w:tcPr>
            <w:tcW w:w="1141" w:type="dxa"/>
            <w:vMerge w:val="restart"/>
            <w:tcBorders>
              <w:bottom w:val="nil"/>
            </w:tcBorders>
          </w:tcPr>
          <w:p w14:paraId="4FB07498">
            <w:pPr>
              <w:spacing w:line="274" w:lineRule="auto"/>
              <w:rPr>
                <w:color w:val="auto"/>
                <w:highlight w:val="none"/>
              </w:rPr>
            </w:pPr>
          </w:p>
          <w:p w14:paraId="53C28336">
            <w:pPr>
              <w:pStyle w:val="36"/>
              <w:spacing w:before="68" w:line="277" w:lineRule="auto"/>
              <w:ind w:left="241" w:right="125" w:hanging="115"/>
              <w:rPr>
                <w:color w:val="auto"/>
                <w:sz w:val="21"/>
                <w:szCs w:val="21"/>
                <w:highlight w:val="none"/>
              </w:rPr>
            </w:pPr>
            <w:r>
              <w:rPr>
                <w:color w:val="auto"/>
                <w:spacing w:val="9"/>
                <w:sz w:val="21"/>
                <w:szCs w:val="21"/>
                <w:highlight w:val="none"/>
              </w:rPr>
              <w:t>房地产开</w:t>
            </w:r>
            <w:r>
              <w:rPr>
                <w:color w:val="auto"/>
                <w:spacing w:val="6"/>
                <w:sz w:val="21"/>
                <w:szCs w:val="21"/>
                <w:highlight w:val="none"/>
              </w:rPr>
              <w:t>发经营</w:t>
            </w:r>
          </w:p>
        </w:tc>
        <w:tc>
          <w:tcPr>
            <w:tcW w:w="1480" w:type="dxa"/>
          </w:tcPr>
          <w:p w14:paraId="6F5D213A">
            <w:pPr>
              <w:pStyle w:val="36"/>
              <w:spacing w:before="198" w:line="221" w:lineRule="auto"/>
              <w:ind w:left="140"/>
              <w:rPr>
                <w:color w:val="auto"/>
                <w:sz w:val="21"/>
                <w:szCs w:val="21"/>
                <w:highlight w:val="none"/>
              </w:rPr>
            </w:pPr>
            <w:r>
              <w:rPr>
                <w:color w:val="auto"/>
                <w:spacing w:val="9"/>
                <w:sz w:val="21"/>
                <w:szCs w:val="21"/>
                <w:highlight w:val="none"/>
              </w:rPr>
              <w:t>营业收入(Y)</w:t>
            </w:r>
          </w:p>
        </w:tc>
        <w:tc>
          <w:tcPr>
            <w:tcW w:w="76" w:type="dxa"/>
            <w:tcBorders>
              <w:top w:val="nil"/>
              <w:left w:val="nil"/>
              <w:bottom w:val="nil"/>
              <w:right w:val="nil"/>
            </w:tcBorders>
          </w:tcPr>
          <w:p w14:paraId="0C1CA4A8">
            <w:pPr>
              <w:rPr>
                <w:color w:val="auto"/>
                <w:highlight w:val="none"/>
              </w:rPr>
            </w:pPr>
          </w:p>
        </w:tc>
        <w:tc>
          <w:tcPr>
            <w:tcW w:w="720" w:type="dxa"/>
            <w:tcBorders>
              <w:left w:val="nil"/>
            </w:tcBorders>
          </w:tcPr>
          <w:p w14:paraId="52943072">
            <w:pPr>
              <w:pStyle w:val="36"/>
              <w:spacing w:before="198" w:line="221" w:lineRule="auto"/>
              <w:ind w:left="93"/>
              <w:rPr>
                <w:color w:val="auto"/>
                <w:sz w:val="21"/>
                <w:szCs w:val="21"/>
                <w:highlight w:val="none"/>
              </w:rPr>
            </w:pPr>
            <w:r>
              <w:rPr>
                <w:color w:val="auto"/>
                <w:spacing w:val="1"/>
                <w:sz w:val="21"/>
                <w:szCs w:val="21"/>
                <w:highlight w:val="none"/>
              </w:rPr>
              <w:t>万元</w:t>
            </w:r>
          </w:p>
        </w:tc>
        <w:tc>
          <w:tcPr>
            <w:tcW w:w="1234" w:type="dxa"/>
          </w:tcPr>
          <w:p w14:paraId="5396A54C">
            <w:pPr>
              <w:pStyle w:val="36"/>
              <w:spacing w:before="198" w:line="239" w:lineRule="auto"/>
              <w:ind w:left="63"/>
              <w:rPr>
                <w:color w:val="auto"/>
                <w:sz w:val="21"/>
                <w:szCs w:val="21"/>
                <w:highlight w:val="none"/>
              </w:rPr>
            </w:pPr>
            <w:r>
              <w:rPr>
                <w:color w:val="auto"/>
                <w:spacing w:val="7"/>
                <w:sz w:val="21"/>
                <w:szCs w:val="21"/>
                <w:highlight w:val="none"/>
              </w:rPr>
              <w:t>Y≥200000</w:t>
            </w:r>
          </w:p>
        </w:tc>
        <w:tc>
          <w:tcPr>
            <w:tcW w:w="1946" w:type="dxa"/>
          </w:tcPr>
          <w:p w14:paraId="3F5681CA">
            <w:pPr>
              <w:pStyle w:val="36"/>
              <w:spacing w:before="198" w:line="237" w:lineRule="auto"/>
              <w:ind w:left="112"/>
              <w:rPr>
                <w:color w:val="auto"/>
                <w:sz w:val="21"/>
                <w:szCs w:val="21"/>
                <w:highlight w:val="none"/>
              </w:rPr>
            </w:pPr>
            <w:r>
              <w:rPr>
                <w:color w:val="auto"/>
                <w:spacing w:val="6"/>
                <w:sz w:val="21"/>
                <w:szCs w:val="21"/>
                <w:highlight w:val="none"/>
              </w:rPr>
              <w:t>1000≤Y＜200000</w:t>
            </w:r>
          </w:p>
        </w:tc>
        <w:tc>
          <w:tcPr>
            <w:tcW w:w="1741" w:type="dxa"/>
          </w:tcPr>
          <w:p w14:paraId="74A579B1">
            <w:pPr>
              <w:pStyle w:val="36"/>
              <w:spacing w:before="198" w:line="237" w:lineRule="auto"/>
              <w:ind w:left="197"/>
              <w:rPr>
                <w:color w:val="auto"/>
                <w:sz w:val="21"/>
                <w:szCs w:val="21"/>
                <w:highlight w:val="none"/>
              </w:rPr>
            </w:pPr>
            <w:r>
              <w:rPr>
                <w:color w:val="auto"/>
                <w:spacing w:val="-1"/>
                <w:sz w:val="21"/>
                <w:szCs w:val="21"/>
                <w:highlight w:val="none"/>
              </w:rPr>
              <w:t>100≤Y＜</w:t>
            </w:r>
            <w:r>
              <w:rPr>
                <w:color w:val="auto"/>
                <w:spacing w:val="-33"/>
                <w:sz w:val="21"/>
                <w:szCs w:val="21"/>
                <w:highlight w:val="none"/>
              </w:rPr>
              <w:t xml:space="preserve"> </w:t>
            </w:r>
            <w:r>
              <w:rPr>
                <w:color w:val="auto"/>
                <w:spacing w:val="-1"/>
                <w:sz w:val="21"/>
                <w:szCs w:val="21"/>
                <w:highlight w:val="none"/>
              </w:rPr>
              <w:t>1000</w:t>
            </w:r>
          </w:p>
        </w:tc>
        <w:tc>
          <w:tcPr>
            <w:tcW w:w="1020" w:type="dxa"/>
          </w:tcPr>
          <w:p w14:paraId="764A80C5">
            <w:pPr>
              <w:pStyle w:val="36"/>
              <w:spacing w:before="198" w:line="241" w:lineRule="auto"/>
              <w:ind w:left="168"/>
              <w:rPr>
                <w:color w:val="auto"/>
                <w:sz w:val="21"/>
                <w:szCs w:val="21"/>
                <w:highlight w:val="none"/>
              </w:rPr>
            </w:pPr>
            <w:r>
              <w:rPr>
                <w:color w:val="auto"/>
                <w:spacing w:val="-6"/>
                <w:sz w:val="21"/>
                <w:szCs w:val="21"/>
                <w:highlight w:val="none"/>
              </w:rPr>
              <w:t>Y＜</w:t>
            </w:r>
            <w:r>
              <w:rPr>
                <w:color w:val="auto"/>
                <w:spacing w:val="-39"/>
                <w:sz w:val="21"/>
                <w:szCs w:val="21"/>
                <w:highlight w:val="none"/>
              </w:rPr>
              <w:t xml:space="preserve"> </w:t>
            </w:r>
            <w:r>
              <w:rPr>
                <w:color w:val="auto"/>
                <w:spacing w:val="-6"/>
                <w:sz w:val="21"/>
                <w:szCs w:val="21"/>
                <w:highlight w:val="none"/>
              </w:rPr>
              <w:t>100</w:t>
            </w:r>
          </w:p>
        </w:tc>
      </w:tr>
      <w:tr w14:paraId="3C5A668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7" w:hRule="atLeast"/>
          <w:jc w:val="center"/>
        </w:trPr>
        <w:tc>
          <w:tcPr>
            <w:tcW w:w="1141" w:type="dxa"/>
            <w:vMerge w:val="continue"/>
            <w:tcBorders>
              <w:top w:val="nil"/>
            </w:tcBorders>
          </w:tcPr>
          <w:p w14:paraId="6B957067">
            <w:pPr>
              <w:rPr>
                <w:color w:val="auto"/>
                <w:highlight w:val="none"/>
              </w:rPr>
            </w:pPr>
          </w:p>
        </w:tc>
        <w:tc>
          <w:tcPr>
            <w:tcW w:w="1480" w:type="dxa"/>
            <w:shd w:val="clear" w:color="auto" w:fill="B8CCE4"/>
          </w:tcPr>
          <w:p w14:paraId="43FF8828">
            <w:pPr>
              <w:pStyle w:val="36"/>
              <w:spacing w:before="194" w:line="221" w:lineRule="auto"/>
              <w:ind w:left="143"/>
              <w:rPr>
                <w:color w:val="auto"/>
                <w:sz w:val="21"/>
                <w:szCs w:val="21"/>
                <w:highlight w:val="none"/>
              </w:rPr>
            </w:pPr>
            <w:r>
              <w:rPr>
                <w:color w:val="auto"/>
                <w:spacing w:val="8"/>
                <w:sz w:val="21"/>
                <w:szCs w:val="21"/>
                <w:highlight w:val="none"/>
              </w:rPr>
              <w:t>资产总额(Z)</w:t>
            </w:r>
          </w:p>
        </w:tc>
        <w:tc>
          <w:tcPr>
            <w:tcW w:w="76" w:type="dxa"/>
            <w:tcBorders>
              <w:top w:val="nil"/>
              <w:left w:val="nil"/>
              <w:bottom w:val="nil"/>
              <w:right w:val="nil"/>
            </w:tcBorders>
          </w:tcPr>
          <w:p w14:paraId="1D282BA3">
            <w:pPr>
              <w:rPr>
                <w:color w:val="auto"/>
                <w:highlight w:val="none"/>
              </w:rPr>
            </w:pPr>
          </w:p>
        </w:tc>
        <w:tc>
          <w:tcPr>
            <w:tcW w:w="720" w:type="dxa"/>
            <w:tcBorders>
              <w:left w:val="nil"/>
            </w:tcBorders>
            <w:shd w:val="clear" w:color="auto" w:fill="B8CCE4"/>
          </w:tcPr>
          <w:p w14:paraId="0EFBD8C0">
            <w:pPr>
              <w:pStyle w:val="36"/>
              <w:spacing w:before="195" w:line="221" w:lineRule="auto"/>
              <w:ind w:left="93"/>
              <w:rPr>
                <w:color w:val="auto"/>
                <w:sz w:val="21"/>
                <w:szCs w:val="21"/>
                <w:highlight w:val="none"/>
              </w:rPr>
            </w:pPr>
            <w:r>
              <w:rPr>
                <w:color w:val="auto"/>
                <w:spacing w:val="1"/>
                <w:sz w:val="21"/>
                <w:szCs w:val="21"/>
                <w:highlight w:val="none"/>
              </w:rPr>
              <w:t>万元</w:t>
            </w:r>
          </w:p>
        </w:tc>
        <w:tc>
          <w:tcPr>
            <w:tcW w:w="1234" w:type="dxa"/>
            <w:shd w:val="clear" w:color="auto" w:fill="B8CCE4"/>
          </w:tcPr>
          <w:p w14:paraId="30871D62">
            <w:pPr>
              <w:pStyle w:val="36"/>
              <w:spacing w:before="194" w:line="239" w:lineRule="auto"/>
              <w:ind w:left="123"/>
              <w:rPr>
                <w:color w:val="auto"/>
                <w:sz w:val="21"/>
                <w:szCs w:val="21"/>
                <w:highlight w:val="none"/>
              </w:rPr>
            </w:pPr>
            <w:r>
              <w:rPr>
                <w:color w:val="auto"/>
                <w:spacing w:val="6"/>
                <w:sz w:val="21"/>
                <w:szCs w:val="21"/>
                <w:highlight w:val="none"/>
              </w:rPr>
              <w:t>Z≥10000</w:t>
            </w:r>
          </w:p>
        </w:tc>
        <w:tc>
          <w:tcPr>
            <w:tcW w:w="1946" w:type="dxa"/>
            <w:shd w:val="clear" w:color="auto" w:fill="B8CCE4"/>
          </w:tcPr>
          <w:p w14:paraId="4BD3F4BA">
            <w:pPr>
              <w:pStyle w:val="36"/>
              <w:spacing w:before="195" w:line="237" w:lineRule="auto"/>
              <w:ind w:left="159"/>
              <w:rPr>
                <w:color w:val="auto"/>
                <w:sz w:val="21"/>
                <w:szCs w:val="21"/>
                <w:highlight w:val="none"/>
              </w:rPr>
            </w:pPr>
            <w:r>
              <w:rPr>
                <w:color w:val="auto"/>
                <w:spacing w:val="2"/>
                <w:sz w:val="21"/>
                <w:szCs w:val="21"/>
                <w:highlight w:val="none"/>
              </w:rPr>
              <w:t>5000≤Z＜</w:t>
            </w:r>
            <w:r>
              <w:rPr>
                <w:color w:val="auto"/>
                <w:spacing w:val="-41"/>
                <w:sz w:val="21"/>
                <w:szCs w:val="21"/>
                <w:highlight w:val="none"/>
              </w:rPr>
              <w:t xml:space="preserve"> </w:t>
            </w:r>
            <w:r>
              <w:rPr>
                <w:color w:val="auto"/>
                <w:spacing w:val="2"/>
                <w:sz w:val="21"/>
                <w:szCs w:val="21"/>
                <w:highlight w:val="none"/>
              </w:rPr>
              <w:t>10000</w:t>
            </w:r>
          </w:p>
        </w:tc>
        <w:tc>
          <w:tcPr>
            <w:tcW w:w="1741" w:type="dxa"/>
            <w:shd w:val="clear" w:color="auto" w:fill="B8CCE4"/>
          </w:tcPr>
          <w:p w14:paraId="0DED9B8C">
            <w:pPr>
              <w:pStyle w:val="36"/>
              <w:spacing w:before="195" w:line="237" w:lineRule="auto"/>
              <w:ind w:left="129"/>
              <w:rPr>
                <w:color w:val="auto"/>
                <w:sz w:val="21"/>
                <w:szCs w:val="21"/>
                <w:highlight w:val="none"/>
              </w:rPr>
            </w:pPr>
            <w:r>
              <w:rPr>
                <w:color w:val="auto"/>
                <w:spacing w:val="7"/>
                <w:sz w:val="21"/>
                <w:szCs w:val="21"/>
                <w:highlight w:val="none"/>
              </w:rPr>
              <w:t>2000≤Z＜5000</w:t>
            </w:r>
          </w:p>
        </w:tc>
        <w:tc>
          <w:tcPr>
            <w:tcW w:w="1020" w:type="dxa"/>
            <w:shd w:val="clear" w:color="auto" w:fill="B8CCE4"/>
          </w:tcPr>
          <w:p w14:paraId="72D3879B">
            <w:pPr>
              <w:pStyle w:val="36"/>
              <w:spacing w:before="195" w:line="241" w:lineRule="auto"/>
              <w:ind w:left="113"/>
              <w:rPr>
                <w:color w:val="auto"/>
                <w:sz w:val="21"/>
                <w:szCs w:val="21"/>
                <w:highlight w:val="none"/>
              </w:rPr>
            </w:pPr>
            <w:r>
              <w:rPr>
                <w:color w:val="auto"/>
                <w:spacing w:val="6"/>
                <w:sz w:val="21"/>
                <w:szCs w:val="21"/>
                <w:highlight w:val="none"/>
              </w:rPr>
              <w:t>Z＜2000</w:t>
            </w:r>
          </w:p>
        </w:tc>
      </w:tr>
      <w:tr w14:paraId="14DC1D5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82" w:hRule="atLeast"/>
          <w:jc w:val="center"/>
        </w:trPr>
        <w:tc>
          <w:tcPr>
            <w:tcW w:w="1141" w:type="dxa"/>
            <w:vMerge w:val="restart"/>
            <w:tcBorders>
              <w:bottom w:val="nil"/>
            </w:tcBorders>
          </w:tcPr>
          <w:p w14:paraId="1ED2ECF1">
            <w:pPr>
              <w:spacing w:line="422" w:lineRule="auto"/>
              <w:rPr>
                <w:color w:val="auto"/>
                <w:highlight w:val="none"/>
              </w:rPr>
            </w:pPr>
          </w:p>
          <w:p w14:paraId="3D1E8D7E">
            <w:pPr>
              <w:pStyle w:val="36"/>
              <w:spacing w:before="68" w:line="221" w:lineRule="auto"/>
              <w:ind w:left="125"/>
              <w:rPr>
                <w:color w:val="auto"/>
                <w:sz w:val="21"/>
                <w:szCs w:val="21"/>
                <w:highlight w:val="none"/>
              </w:rPr>
            </w:pPr>
            <w:r>
              <w:rPr>
                <w:color w:val="auto"/>
                <w:spacing w:val="9"/>
                <w:sz w:val="21"/>
                <w:szCs w:val="21"/>
                <w:highlight w:val="none"/>
              </w:rPr>
              <w:t>物业管理</w:t>
            </w:r>
          </w:p>
        </w:tc>
        <w:tc>
          <w:tcPr>
            <w:tcW w:w="1480" w:type="dxa"/>
          </w:tcPr>
          <w:p w14:paraId="04EE9917">
            <w:pPr>
              <w:pStyle w:val="36"/>
              <w:spacing w:before="194" w:line="221" w:lineRule="auto"/>
              <w:ind w:left="136"/>
              <w:rPr>
                <w:color w:val="auto"/>
                <w:sz w:val="21"/>
                <w:szCs w:val="21"/>
                <w:highlight w:val="none"/>
              </w:rPr>
            </w:pPr>
            <w:r>
              <w:rPr>
                <w:color w:val="auto"/>
                <w:spacing w:val="2"/>
                <w:sz w:val="21"/>
                <w:szCs w:val="21"/>
                <w:highlight w:val="none"/>
              </w:rPr>
              <w:t>从业人员</w:t>
            </w:r>
            <w:r>
              <w:rPr>
                <w:color w:val="auto"/>
                <w:spacing w:val="-43"/>
                <w:sz w:val="21"/>
                <w:szCs w:val="21"/>
                <w:highlight w:val="none"/>
              </w:rPr>
              <w:t xml:space="preserve"> </w:t>
            </w:r>
            <w:r>
              <w:rPr>
                <w:color w:val="auto"/>
                <w:spacing w:val="2"/>
                <w:sz w:val="21"/>
                <w:szCs w:val="21"/>
                <w:highlight w:val="none"/>
              </w:rPr>
              <w:t>(X)</w:t>
            </w:r>
          </w:p>
        </w:tc>
        <w:tc>
          <w:tcPr>
            <w:tcW w:w="76" w:type="dxa"/>
            <w:tcBorders>
              <w:top w:val="nil"/>
              <w:left w:val="nil"/>
              <w:bottom w:val="nil"/>
              <w:right w:val="nil"/>
            </w:tcBorders>
          </w:tcPr>
          <w:p w14:paraId="39B16664">
            <w:pPr>
              <w:rPr>
                <w:color w:val="auto"/>
                <w:highlight w:val="none"/>
              </w:rPr>
            </w:pPr>
          </w:p>
        </w:tc>
        <w:tc>
          <w:tcPr>
            <w:tcW w:w="720" w:type="dxa"/>
            <w:tcBorders>
              <w:left w:val="nil"/>
            </w:tcBorders>
          </w:tcPr>
          <w:p w14:paraId="2DED04B3">
            <w:pPr>
              <w:pStyle w:val="36"/>
              <w:spacing w:before="194" w:line="223" w:lineRule="auto"/>
              <w:ind w:left="202"/>
              <w:rPr>
                <w:color w:val="auto"/>
                <w:sz w:val="21"/>
                <w:szCs w:val="21"/>
                <w:highlight w:val="none"/>
              </w:rPr>
            </w:pPr>
            <w:r>
              <w:rPr>
                <w:color w:val="auto"/>
                <w:sz w:val="21"/>
                <w:szCs w:val="21"/>
                <w:highlight w:val="none"/>
              </w:rPr>
              <w:t>人</w:t>
            </w:r>
          </w:p>
        </w:tc>
        <w:tc>
          <w:tcPr>
            <w:tcW w:w="1234" w:type="dxa"/>
          </w:tcPr>
          <w:p w14:paraId="7A421A64">
            <w:pPr>
              <w:pStyle w:val="36"/>
              <w:spacing w:before="193" w:line="239" w:lineRule="auto"/>
              <w:ind w:left="176"/>
              <w:rPr>
                <w:color w:val="auto"/>
                <w:sz w:val="21"/>
                <w:szCs w:val="21"/>
                <w:highlight w:val="none"/>
              </w:rPr>
            </w:pPr>
            <w:r>
              <w:rPr>
                <w:color w:val="auto"/>
                <w:spacing w:val="6"/>
                <w:sz w:val="21"/>
                <w:szCs w:val="21"/>
                <w:highlight w:val="none"/>
              </w:rPr>
              <w:t>X≥1000</w:t>
            </w:r>
          </w:p>
        </w:tc>
        <w:tc>
          <w:tcPr>
            <w:tcW w:w="1946" w:type="dxa"/>
          </w:tcPr>
          <w:p w14:paraId="76C6D3E2">
            <w:pPr>
              <w:pStyle w:val="36"/>
              <w:spacing w:before="193" w:line="237" w:lineRule="auto"/>
              <w:ind w:left="272"/>
              <w:rPr>
                <w:color w:val="auto"/>
                <w:sz w:val="21"/>
                <w:szCs w:val="21"/>
                <w:highlight w:val="none"/>
              </w:rPr>
            </w:pPr>
            <w:r>
              <w:rPr>
                <w:color w:val="auto"/>
                <w:spacing w:val="1"/>
                <w:sz w:val="21"/>
                <w:szCs w:val="21"/>
                <w:highlight w:val="none"/>
              </w:rPr>
              <w:t>300≤X＜</w:t>
            </w:r>
            <w:r>
              <w:rPr>
                <w:color w:val="auto"/>
                <w:spacing w:val="-42"/>
                <w:sz w:val="21"/>
                <w:szCs w:val="21"/>
                <w:highlight w:val="none"/>
              </w:rPr>
              <w:t xml:space="preserve"> </w:t>
            </w:r>
            <w:r>
              <w:rPr>
                <w:color w:val="auto"/>
                <w:spacing w:val="1"/>
                <w:sz w:val="21"/>
                <w:szCs w:val="21"/>
                <w:highlight w:val="none"/>
              </w:rPr>
              <w:t>1000</w:t>
            </w:r>
          </w:p>
        </w:tc>
        <w:tc>
          <w:tcPr>
            <w:tcW w:w="1741" w:type="dxa"/>
          </w:tcPr>
          <w:p w14:paraId="46B9E8AB">
            <w:pPr>
              <w:pStyle w:val="36"/>
              <w:spacing w:before="193" w:line="237" w:lineRule="auto"/>
              <w:ind w:left="255"/>
              <w:rPr>
                <w:color w:val="auto"/>
                <w:sz w:val="21"/>
                <w:szCs w:val="21"/>
                <w:highlight w:val="none"/>
              </w:rPr>
            </w:pPr>
            <w:r>
              <w:rPr>
                <w:color w:val="auto"/>
                <w:spacing w:val="6"/>
                <w:sz w:val="21"/>
                <w:szCs w:val="21"/>
                <w:highlight w:val="none"/>
              </w:rPr>
              <w:t>100≤X＜300</w:t>
            </w:r>
          </w:p>
        </w:tc>
        <w:tc>
          <w:tcPr>
            <w:tcW w:w="1020" w:type="dxa"/>
          </w:tcPr>
          <w:p w14:paraId="526A88FF">
            <w:pPr>
              <w:pStyle w:val="36"/>
              <w:spacing w:before="193" w:line="241" w:lineRule="auto"/>
              <w:ind w:left="169"/>
              <w:rPr>
                <w:color w:val="auto"/>
                <w:sz w:val="21"/>
                <w:szCs w:val="21"/>
                <w:highlight w:val="none"/>
              </w:rPr>
            </w:pPr>
            <w:r>
              <w:rPr>
                <w:color w:val="auto"/>
                <w:spacing w:val="-6"/>
                <w:sz w:val="21"/>
                <w:szCs w:val="21"/>
                <w:highlight w:val="none"/>
              </w:rPr>
              <w:t>X＜</w:t>
            </w:r>
            <w:r>
              <w:rPr>
                <w:color w:val="auto"/>
                <w:spacing w:val="-40"/>
                <w:sz w:val="21"/>
                <w:szCs w:val="21"/>
                <w:highlight w:val="none"/>
              </w:rPr>
              <w:t xml:space="preserve"> </w:t>
            </w:r>
            <w:r>
              <w:rPr>
                <w:color w:val="auto"/>
                <w:spacing w:val="-6"/>
                <w:sz w:val="21"/>
                <w:szCs w:val="21"/>
                <w:highlight w:val="none"/>
              </w:rPr>
              <w:t>100</w:t>
            </w:r>
          </w:p>
        </w:tc>
      </w:tr>
      <w:tr w14:paraId="4D58257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9" w:hRule="atLeast"/>
          <w:jc w:val="center"/>
        </w:trPr>
        <w:tc>
          <w:tcPr>
            <w:tcW w:w="1141" w:type="dxa"/>
            <w:vMerge w:val="continue"/>
            <w:tcBorders>
              <w:top w:val="nil"/>
            </w:tcBorders>
          </w:tcPr>
          <w:p w14:paraId="3CF6C5A1">
            <w:pPr>
              <w:rPr>
                <w:color w:val="auto"/>
                <w:highlight w:val="none"/>
              </w:rPr>
            </w:pPr>
          </w:p>
        </w:tc>
        <w:tc>
          <w:tcPr>
            <w:tcW w:w="1480" w:type="dxa"/>
            <w:shd w:val="clear" w:color="auto" w:fill="B8CCE4"/>
          </w:tcPr>
          <w:p w14:paraId="0A7F8F7B">
            <w:pPr>
              <w:pStyle w:val="36"/>
              <w:spacing w:before="203" w:line="221" w:lineRule="auto"/>
              <w:ind w:left="140"/>
              <w:rPr>
                <w:color w:val="auto"/>
                <w:sz w:val="21"/>
                <w:szCs w:val="21"/>
                <w:highlight w:val="none"/>
              </w:rPr>
            </w:pPr>
            <w:r>
              <w:rPr>
                <w:color w:val="auto"/>
                <w:spacing w:val="9"/>
                <w:sz w:val="21"/>
                <w:szCs w:val="21"/>
                <w:highlight w:val="none"/>
              </w:rPr>
              <w:t>营业收入(Y)</w:t>
            </w:r>
          </w:p>
        </w:tc>
        <w:tc>
          <w:tcPr>
            <w:tcW w:w="76" w:type="dxa"/>
            <w:tcBorders>
              <w:top w:val="nil"/>
              <w:left w:val="nil"/>
              <w:bottom w:val="nil"/>
              <w:right w:val="nil"/>
            </w:tcBorders>
          </w:tcPr>
          <w:p w14:paraId="00B65635">
            <w:pPr>
              <w:rPr>
                <w:color w:val="auto"/>
                <w:highlight w:val="none"/>
              </w:rPr>
            </w:pPr>
          </w:p>
        </w:tc>
        <w:tc>
          <w:tcPr>
            <w:tcW w:w="720" w:type="dxa"/>
            <w:tcBorders>
              <w:left w:val="nil"/>
            </w:tcBorders>
            <w:shd w:val="clear" w:color="auto" w:fill="B8CCE4"/>
          </w:tcPr>
          <w:p w14:paraId="2169DD9F">
            <w:pPr>
              <w:pStyle w:val="36"/>
              <w:spacing w:before="204" w:line="221" w:lineRule="auto"/>
              <w:ind w:left="93"/>
              <w:rPr>
                <w:color w:val="auto"/>
                <w:sz w:val="21"/>
                <w:szCs w:val="21"/>
                <w:highlight w:val="none"/>
              </w:rPr>
            </w:pPr>
            <w:r>
              <w:rPr>
                <w:color w:val="auto"/>
                <w:spacing w:val="1"/>
                <w:sz w:val="21"/>
                <w:szCs w:val="21"/>
                <w:highlight w:val="none"/>
              </w:rPr>
              <w:t>万元</w:t>
            </w:r>
          </w:p>
        </w:tc>
        <w:tc>
          <w:tcPr>
            <w:tcW w:w="1234" w:type="dxa"/>
            <w:shd w:val="clear" w:color="auto" w:fill="B8CCE4"/>
          </w:tcPr>
          <w:p w14:paraId="7CD5AFBA">
            <w:pPr>
              <w:pStyle w:val="36"/>
              <w:spacing w:before="203" w:line="239" w:lineRule="auto"/>
              <w:ind w:left="175"/>
              <w:rPr>
                <w:color w:val="auto"/>
                <w:sz w:val="21"/>
                <w:szCs w:val="21"/>
                <w:highlight w:val="none"/>
              </w:rPr>
            </w:pPr>
            <w:r>
              <w:rPr>
                <w:color w:val="auto"/>
                <w:spacing w:val="7"/>
                <w:sz w:val="21"/>
                <w:szCs w:val="21"/>
                <w:highlight w:val="none"/>
              </w:rPr>
              <w:t>Y≥5000</w:t>
            </w:r>
          </w:p>
        </w:tc>
        <w:tc>
          <w:tcPr>
            <w:tcW w:w="1946" w:type="dxa"/>
            <w:shd w:val="clear" w:color="auto" w:fill="B8CCE4"/>
          </w:tcPr>
          <w:p w14:paraId="1A408F30">
            <w:pPr>
              <w:pStyle w:val="36"/>
              <w:spacing w:before="204" w:line="237" w:lineRule="auto"/>
              <w:ind w:left="226"/>
              <w:rPr>
                <w:color w:val="auto"/>
                <w:sz w:val="21"/>
                <w:szCs w:val="21"/>
                <w:highlight w:val="none"/>
              </w:rPr>
            </w:pPr>
            <w:r>
              <w:rPr>
                <w:color w:val="auto"/>
                <w:spacing w:val="6"/>
                <w:sz w:val="21"/>
                <w:szCs w:val="21"/>
                <w:highlight w:val="none"/>
              </w:rPr>
              <w:t>1000≤Y＜5000</w:t>
            </w:r>
          </w:p>
        </w:tc>
        <w:tc>
          <w:tcPr>
            <w:tcW w:w="1741" w:type="dxa"/>
            <w:shd w:val="clear" w:color="auto" w:fill="B8CCE4"/>
          </w:tcPr>
          <w:p w14:paraId="13F060D1">
            <w:pPr>
              <w:pStyle w:val="36"/>
              <w:spacing w:before="204" w:line="237" w:lineRule="auto"/>
              <w:ind w:left="186"/>
              <w:rPr>
                <w:color w:val="auto"/>
                <w:sz w:val="21"/>
                <w:szCs w:val="21"/>
                <w:highlight w:val="none"/>
              </w:rPr>
            </w:pPr>
            <w:r>
              <w:rPr>
                <w:color w:val="auto"/>
                <w:spacing w:val="1"/>
                <w:sz w:val="21"/>
                <w:szCs w:val="21"/>
                <w:highlight w:val="none"/>
              </w:rPr>
              <w:t>500≤Y＜</w:t>
            </w:r>
            <w:r>
              <w:rPr>
                <w:color w:val="auto"/>
                <w:spacing w:val="-42"/>
                <w:sz w:val="21"/>
                <w:szCs w:val="21"/>
                <w:highlight w:val="none"/>
              </w:rPr>
              <w:t xml:space="preserve"> </w:t>
            </w:r>
            <w:r>
              <w:rPr>
                <w:color w:val="auto"/>
                <w:spacing w:val="1"/>
                <w:sz w:val="21"/>
                <w:szCs w:val="21"/>
                <w:highlight w:val="none"/>
              </w:rPr>
              <w:t>1000</w:t>
            </w:r>
          </w:p>
        </w:tc>
        <w:tc>
          <w:tcPr>
            <w:tcW w:w="1020" w:type="dxa"/>
            <w:shd w:val="clear" w:color="auto" w:fill="B8CCE4"/>
          </w:tcPr>
          <w:p w14:paraId="4FB51DC2">
            <w:pPr>
              <w:pStyle w:val="36"/>
              <w:spacing w:before="203" w:line="241" w:lineRule="auto"/>
              <w:ind w:left="168"/>
              <w:rPr>
                <w:color w:val="auto"/>
                <w:sz w:val="21"/>
                <w:szCs w:val="21"/>
                <w:highlight w:val="none"/>
              </w:rPr>
            </w:pPr>
            <w:r>
              <w:rPr>
                <w:color w:val="auto"/>
                <w:spacing w:val="6"/>
                <w:sz w:val="21"/>
                <w:szCs w:val="21"/>
                <w:highlight w:val="none"/>
              </w:rPr>
              <w:t>Y＜500</w:t>
            </w:r>
          </w:p>
        </w:tc>
      </w:tr>
      <w:tr w14:paraId="7E67E17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8" w:hRule="atLeast"/>
          <w:jc w:val="center"/>
        </w:trPr>
        <w:tc>
          <w:tcPr>
            <w:tcW w:w="1141" w:type="dxa"/>
            <w:vMerge w:val="restart"/>
            <w:tcBorders>
              <w:bottom w:val="nil"/>
            </w:tcBorders>
          </w:tcPr>
          <w:p w14:paraId="7D8D1730">
            <w:pPr>
              <w:spacing w:line="277" w:lineRule="auto"/>
              <w:rPr>
                <w:color w:val="auto"/>
                <w:highlight w:val="none"/>
              </w:rPr>
            </w:pPr>
          </w:p>
          <w:p w14:paraId="6DE785A7">
            <w:pPr>
              <w:pStyle w:val="36"/>
              <w:spacing w:before="68" w:line="276" w:lineRule="auto"/>
              <w:ind w:left="127" w:right="125"/>
              <w:rPr>
                <w:color w:val="auto"/>
                <w:sz w:val="21"/>
                <w:szCs w:val="21"/>
                <w:highlight w:val="none"/>
              </w:rPr>
            </w:pPr>
            <w:r>
              <w:rPr>
                <w:color w:val="auto"/>
                <w:spacing w:val="9"/>
                <w:sz w:val="21"/>
                <w:szCs w:val="21"/>
                <w:highlight w:val="none"/>
              </w:rPr>
              <w:t>租赁和商务服务业</w:t>
            </w:r>
          </w:p>
        </w:tc>
        <w:tc>
          <w:tcPr>
            <w:tcW w:w="1480" w:type="dxa"/>
          </w:tcPr>
          <w:p w14:paraId="45463B61">
            <w:pPr>
              <w:pStyle w:val="36"/>
              <w:spacing w:before="200" w:line="221" w:lineRule="auto"/>
              <w:ind w:left="136"/>
              <w:rPr>
                <w:color w:val="auto"/>
                <w:sz w:val="21"/>
                <w:szCs w:val="21"/>
                <w:highlight w:val="none"/>
              </w:rPr>
            </w:pPr>
            <w:r>
              <w:rPr>
                <w:color w:val="auto"/>
                <w:spacing w:val="2"/>
                <w:sz w:val="21"/>
                <w:szCs w:val="21"/>
                <w:highlight w:val="none"/>
              </w:rPr>
              <w:t>从业人员</w:t>
            </w:r>
            <w:r>
              <w:rPr>
                <w:color w:val="auto"/>
                <w:spacing w:val="-43"/>
                <w:sz w:val="21"/>
                <w:szCs w:val="21"/>
                <w:highlight w:val="none"/>
              </w:rPr>
              <w:t xml:space="preserve"> </w:t>
            </w:r>
            <w:r>
              <w:rPr>
                <w:color w:val="auto"/>
                <w:spacing w:val="2"/>
                <w:sz w:val="21"/>
                <w:szCs w:val="21"/>
                <w:highlight w:val="none"/>
              </w:rPr>
              <w:t>(X)</w:t>
            </w:r>
          </w:p>
        </w:tc>
        <w:tc>
          <w:tcPr>
            <w:tcW w:w="76" w:type="dxa"/>
            <w:tcBorders>
              <w:top w:val="nil"/>
              <w:left w:val="nil"/>
              <w:bottom w:val="nil"/>
              <w:right w:val="nil"/>
            </w:tcBorders>
          </w:tcPr>
          <w:p w14:paraId="63FD9E2C">
            <w:pPr>
              <w:rPr>
                <w:color w:val="auto"/>
                <w:highlight w:val="none"/>
              </w:rPr>
            </w:pPr>
          </w:p>
        </w:tc>
        <w:tc>
          <w:tcPr>
            <w:tcW w:w="720" w:type="dxa"/>
            <w:tcBorders>
              <w:left w:val="nil"/>
            </w:tcBorders>
          </w:tcPr>
          <w:p w14:paraId="03C0EB1B">
            <w:pPr>
              <w:pStyle w:val="36"/>
              <w:spacing w:before="200" w:line="223" w:lineRule="auto"/>
              <w:ind w:left="202"/>
              <w:rPr>
                <w:color w:val="auto"/>
                <w:sz w:val="21"/>
                <w:szCs w:val="21"/>
                <w:highlight w:val="none"/>
              </w:rPr>
            </w:pPr>
            <w:r>
              <w:rPr>
                <w:color w:val="auto"/>
                <w:sz w:val="21"/>
                <w:szCs w:val="21"/>
                <w:highlight w:val="none"/>
              </w:rPr>
              <w:t>人</w:t>
            </w:r>
          </w:p>
        </w:tc>
        <w:tc>
          <w:tcPr>
            <w:tcW w:w="1234" w:type="dxa"/>
          </w:tcPr>
          <w:p w14:paraId="066902DF">
            <w:pPr>
              <w:pStyle w:val="36"/>
              <w:spacing w:before="199" w:line="239" w:lineRule="auto"/>
              <w:ind w:left="234"/>
              <w:rPr>
                <w:color w:val="auto"/>
                <w:sz w:val="21"/>
                <w:szCs w:val="21"/>
                <w:highlight w:val="none"/>
              </w:rPr>
            </w:pPr>
            <w:r>
              <w:rPr>
                <w:color w:val="auto"/>
                <w:spacing w:val="6"/>
                <w:sz w:val="21"/>
                <w:szCs w:val="21"/>
                <w:highlight w:val="none"/>
              </w:rPr>
              <w:t>X≥300</w:t>
            </w:r>
          </w:p>
        </w:tc>
        <w:tc>
          <w:tcPr>
            <w:tcW w:w="1946" w:type="dxa"/>
          </w:tcPr>
          <w:p w14:paraId="58A5C94A">
            <w:pPr>
              <w:pStyle w:val="36"/>
              <w:spacing w:before="200" w:line="237" w:lineRule="auto"/>
              <w:ind w:left="338"/>
              <w:rPr>
                <w:color w:val="auto"/>
                <w:sz w:val="21"/>
                <w:szCs w:val="21"/>
                <w:highlight w:val="none"/>
              </w:rPr>
            </w:pPr>
            <w:r>
              <w:rPr>
                <w:color w:val="auto"/>
                <w:spacing w:val="6"/>
                <w:sz w:val="21"/>
                <w:szCs w:val="21"/>
                <w:highlight w:val="none"/>
              </w:rPr>
              <w:t>100≤X＜300</w:t>
            </w:r>
          </w:p>
        </w:tc>
        <w:tc>
          <w:tcPr>
            <w:tcW w:w="1741" w:type="dxa"/>
          </w:tcPr>
          <w:p w14:paraId="0839CDAF">
            <w:pPr>
              <w:pStyle w:val="36"/>
              <w:spacing w:before="200" w:line="237" w:lineRule="auto"/>
              <w:ind w:left="310"/>
              <w:rPr>
                <w:color w:val="auto"/>
                <w:sz w:val="21"/>
                <w:szCs w:val="21"/>
                <w:highlight w:val="none"/>
              </w:rPr>
            </w:pPr>
            <w:r>
              <w:rPr>
                <w:color w:val="auto"/>
                <w:spacing w:val="-2"/>
                <w:sz w:val="21"/>
                <w:szCs w:val="21"/>
                <w:highlight w:val="none"/>
              </w:rPr>
              <w:t>10≤X＜</w:t>
            </w:r>
            <w:r>
              <w:rPr>
                <w:color w:val="auto"/>
                <w:spacing w:val="-40"/>
                <w:sz w:val="21"/>
                <w:szCs w:val="21"/>
                <w:highlight w:val="none"/>
              </w:rPr>
              <w:t xml:space="preserve"> </w:t>
            </w:r>
            <w:r>
              <w:rPr>
                <w:color w:val="auto"/>
                <w:spacing w:val="-2"/>
                <w:sz w:val="21"/>
                <w:szCs w:val="21"/>
                <w:highlight w:val="none"/>
              </w:rPr>
              <w:t>100</w:t>
            </w:r>
          </w:p>
        </w:tc>
        <w:tc>
          <w:tcPr>
            <w:tcW w:w="1020" w:type="dxa"/>
          </w:tcPr>
          <w:p w14:paraId="1711E541">
            <w:pPr>
              <w:pStyle w:val="36"/>
              <w:spacing w:before="199" w:line="241" w:lineRule="auto"/>
              <w:ind w:left="227"/>
              <w:rPr>
                <w:color w:val="auto"/>
                <w:sz w:val="21"/>
                <w:szCs w:val="21"/>
                <w:highlight w:val="none"/>
              </w:rPr>
            </w:pPr>
            <w:r>
              <w:rPr>
                <w:color w:val="auto"/>
                <w:spacing w:val="-8"/>
                <w:sz w:val="21"/>
                <w:szCs w:val="21"/>
                <w:highlight w:val="none"/>
              </w:rPr>
              <w:t>X＜</w:t>
            </w:r>
            <w:r>
              <w:rPr>
                <w:color w:val="auto"/>
                <w:spacing w:val="-41"/>
                <w:sz w:val="21"/>
                <w:szCs w:val="21"/>
                <w:highlight w:val="none"/>
              </w:rPr>
              <w:t xml:space="preserve"> </w:t>
            </w:r>
            <w:r>
              <w:rPr>
                <w:color w:val="auto"/>
                <w:spacing w:val="-8"/>
                <w:sz w:val="21"/>
                <w:szCs w:val="21"/>
                <w:highlight w:val="none"/>
              </w:rPr>
              <w:t>10</w:t>
            </w:r>
          </w:p>
        </w:tc>
      </w:tr>
      <w:tr w14:paraId="1C86F12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41" w:type="dxa"/>
            <w:vMerge w:val="continue"/>
            <w:tcBorders>
              <w:top w:val="nil"/>
            </w:tcBorders>
          </w:tcPr>
          <w:p w14:paraId="2DB4561B">
            <w:pPr>
              <w:rPr>
                <w:color w:val="auto"/>
                <w:highlight w:val="none"/>
              </w:rPr>
            </w:pPr>
          </w:p>
        </w:tc>
        <w:tc>
          <w:tcPr>
            <w:tcW w:w="1480" w:type="dxa"/>
            <w:shd w:val="clear" w:color="auto" w:fill="B8CCE4"/>
          </w:tcPr>
          <w:p w14:paraId="5676D36A">
            <w:pPr>
              <w:pStyle w:val="36"/>
              <w:spacing w:before="196" w:line="221" w:lineRule="auto"/>
              <w:ind w:left="143"/>
              <w:rPr>
                <w:color w:val="auto"/>
                <w:sz w:val="21"/>
                <w:szCs w:val="21"/>
                <w:highlight w:val="none"/>
              </w:rPr>
            </w:pPr>
            <w:r>
              <w:rPr>
                <w:color w:val="auto"/>
                <w:spacing w:val="8"/>
                <w:sz w:val="21"/>
                <w:szCs w:val="21"/>
                <w:highlight w:val="none"/>
              </w:rPr>
              <w:t>资产总额(Z)</w:t>
            </w:r>
          </w:p>
        </w:tc>
        <w:tc>
          <w:tcPr>
            <w:tcW w:w="76" w:type="dxa"/>
            <w:tcBorders>
              <w:top w:val="nil"/>
              <w:left w:val="nil"/>
              <w:bottom w:val="nil"/>
              <w:right w:val="nil"/>
            </w:tcBorders>
          </w:tcPr>
          <w:p w14:paraId="4971EB4B">
            <w:pPr>
              <w:rPr>
                <w:color w:val="auto"/>
                <w:highlight w:val="none"/>
              </w:rPr>
            </w:pPr>
          </w:p>
        </w:tc>
        <w:tc>
          <w:tcPr>
            <w:tcW w:w="720" w:type="dxa"/>
            <w:tcBorders>
              <w:left w:val="nil"/>
            </w:tcBorders>
            <w:shd w:val="clear" w:color="auto" w:fill="B8CCE4"/>
          </w:tcPr>
          <w:p w14:paraId="628061E7">
            <w:pPr>
              <w:pStyle w:val="36"/>
              <w:spacing w:before="197" w:line="221" w:lineRule="auto"/>
              <w:ind w:left="93"/>
              <w:rPr>
                <w:color w:val="auto"/>
                <w:sz w:val="21"/>
                <w:szCs w:val="21"/>
                <w:highlight w:val="none"/>
              </w:rPr>
            </w:pPr>
            <w:r>
              <w:rPr>
                <w:color w:val="auto"/>
                <w:spacing w:val="1"/>
                <w:sz w:val="21"/>
                <w:szCs w:val="21"/>
                <w:highlight w:val="none"/>
              </w:rPr>
              <w:t>万元</w:t>
            </w:r>
          </w:p>
        </w:tc>
        <w:tc>
          <w:tcPr>
            <w:tcW w:w="1234" w:type="dxa"/>
            <w:shd w:val="clear" w:color="auto" w:fill="B8CCE4"/>
          </w:tcPr>
          <w:p w14:paraId="4BBC4D55">
            <w:pPr>
              <w:pStyle w:val="36"/>
              <w:spacing w:before="196" w:line="239" w:lineRule="auto"/>
              <w:ind w:left="65"/>
              <w:rPr>
                <w:color w:val="auto"/>
                <w:sz w:val="21"/>
                <w:szCs w:val="21"/>
                <w:highlight w:val="none"/>
              </w:rPr>
            </w:pPr>
            <w:r>
              <w:rPr>
                <w:color w:val="auto"/>
                <w:spacing w:val="6"/>
                <w:sz w:val="21"/>
                <w:szCs w:val="21"/>
                <w:highlight w:val="none"/>
              </w:rPr>
              <w:t>Z≥120000</w:t>
            </w:r>
          </w:p>
        </w:tc>
        <w:tc>
          <w:tcPr>
            <w:tcW w:w="1946" w:type="dxa"/>
            <w:shd w:val="clear" w:color="auto" w:fill="B8CCE4"/>
          </w:tcPr>
          <w:p w14:paraId="1210E078">
            <w:pPr>
              <w:pStyle w:val="36"/>
              <w:spacing w:before="196" w:line="237" w:lineRule="auto"/>
              <w:ind w:left="98"/>
              <w:rPr>
                <w:color w:val="auto"/>
                <w:sz w:val="21"/>
                <w:szCs w:val="21"/>
                <w:highlight w:val="none"/>
              </w:rPr>
            </w:pPr>
            <w:r>
              <w:rPr>
                <w:color w:val="auto"/>
                <w:spacing w:val="2"/>
                <w:sz w:val="21"/>
                <w:szCs w:val="21"/>
                <w:highlight w:val="none"/>
              </w:rPr>
              <w:t>8000≤Z＜</w:t>
            </w:r>
            <w:r>
              <w:rPr>
                <w:color w:val="auto"/>
                <w:spacing w:val="-31"/>
                <w:sz w:val="21"/>
                <w:szCs w:val="21"/>
                <w:highlight w:val="none"/>
              </w:rPr>
              <w:t xml:space="preserve"> </w:t>
            </w:r>
            <w:r>
              <w:rPr>
                <w:color w:val="auto"/>
                <w:spacing w:val="2"/>
                <w:sz w:val="21"/>
                <w:szCs w:val="21"/>
                <w:highlight w:val="none"/>
              </w:rPr>
              <w:t>120000</w:t>
            </w:r>
          </w:p>
        </w:tc>
        <w:tc>
          <w:tcPr>
            <w:tcW w:w="1741" w:type="dxa"/>
            <w:shd w:val="clear" w:color="auto" w:fill="B8CCE4"/>
          </w:tcPr>
          <w:p w14:paraId="614AA102">
            <w:pPr>
              <w:pStyle w:val="36"/>
              <w:spacing w:before="196" w:line="237" w:lineRule="auto"/>
              <w:ind w:left="197"/>
              <w:rPr>
                <w:color w:val="auto"/>
                <w:sz w:val="21"/>
                <w:szCs w:val="21"/>
                <w:highlight w:val="none"/>
              </w:rPr>
            </w:pPr>
            <w:r>
              <w:rPr>
                <w:color w:val="auto"/>
                <w:spacing w:val="6"/>
                <w:sz w:val="21"/>
                <w:szCs w:val="21"/>
                <w:highlight w:val="none"/>
              </w:rPr>
              <w:t>100≤Z＜8000</w:t>
            </w:r>
          </w:p>
        </w:tc>
        <w:tc>
          <w:tcPr>
            <w:tcW w:w="1020" w:type="dxa"/>
            <w:shd w:val="clear" w:color="auto" w:fill="B8CCE4"/>
          </w:tcPr>
          <w:p w14:paraId="7EA69DF8">
            <w:pPr>
              <w:pStyle w:val="36"/>
              <w:spacing w:before="196" w:line="241" w:lineRule="auto"/>
              <w:ind w:left="171"/>
              <w:rPr>
                <w:color w:val="auto"/>
                <w:sz w:val="21"/>
                <w:szCs w:val="21"/>
                <w:highlight w:val="none"/>
              </w:rPr>
            </w:pPr>
            <w:r>
              <w:rPr>
                <w:color w:val="auto"/>
                <w:spacing w:val="-6"/>
                <w:sz w:val="21"/>
                <w:szCs w:val="21"/>
                <w:highlight w:val="none"/>
              </w:rPr>
              <w:t>Z＜</w:t>
            </w:r>
            <w:r>
              <w:rPr>
                <w:color w:val="auto"/>
                <w:spacing w:val="-42"/>
                <w:sz w:val="21"/>
                <w:szCs w:val="21"/>
                <w:highlight w:val="none"/>
              </w:rPr>
              <w:t xml:space="preserve"> </w:t>
            </w:r>
            <w:r>
              <w:rPr>
                <w:color w:val="auto"/>
                <w:spacing w:val="-6"/>
                <w:sz w:val="21"/>
                <w:szCs w:val="21"/>
                <w:highlight w:val="none"/>
              </w:rPr>
              <w:t>100</w:t>
            </w:r>
          </w:p>
        </w:tc>
      </w:tr>
      <w:tr w14:paraId="3265434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77" w:hRule="atLeast"/>
          <w:jc w:val="center"/>
        </w:trPr>
        <w:tc>
          <w:tcPr>
            <w:tcW w:w="1141" w:type="dxa"/>
          </w:tcPr>
          <w:p w14:paraId="1CF2AC3E">
            <w:pPr>
              <w:pStyle w:val="36"/>
              <w:spacing w:before="79" w:line="221" w:lineRule="auto"/>
              <w:ind w:left="126"/>
              <w:rPr>
                <w:color w:val="auto"/>
                <w:sz w:val="21"/>
                <w:szCs w:val="21"/>
                <w:highlight w:val="none"/>
              </w:rPr>
            </w:pPr>
            <w:r>
              <w:rPr>
                <w:color w:val="auto"/>
                <w:spacing w:val="9"/>
                <w:sz w:val="21"/>
                <w:szCs w:val="21"/>
                <w:highlight w:val="none"/>
              </w:rPr>
              <w:t>其他未列</w:t>
            </w:r>
          </w:p>
          <w:p w14:paraId="4D1ACA3B">
            <w:pPr>
              <w:pStyle w:val="36"/>
              <w:spacing w:before="59" w:line="221" w:lineRule="auto"/>
              <w:ind w:left="200"/>
              <w:rPr>
                <w:color w:val="auto"/>
                <w:sz w:val="21"/>
                <w:szCs w:val="21"/>
                <w:highlight w:val="none"/>
              </w:rPr>
            </w:pPr>
            <w:r>
              <w:rPr>
                <w:color w:val="auto"/>
                <w:spacing w:val="4"/>
                <w:sz w:val="21"/>
                <w:szCs w:val="21"/>
                <w:highlight w:val="none"/>
              </w:rPr>
              <w:t>明行业*</w:t>
            </w:r>
          </w:p>
        </w:tc>
        <w:tc>
          <w:tcPr>
            <w:tcW w:w="1480" w:type="dxa"/>
          </w:tcPr>
          <w:p w14:paraId="362BC319">
            <w:pPr>
              <w:pStyle w:val="36"/>
              <w:spacing w:before="235" w:line="221" w:lineRule="auto"/>
              <w:ind w:left="136"/>
              <w:rPr>
                <w:color w:val="auto"/>
                <w:sz w:val="21"/>
                <w:szCs w:val="21"/>
                <w:highlight w:val="none"/>
              </w:rPr>
            </w:pPr>
            <w:r>
              <w:rPr>
                <w:color w:val="auto"/>
                <w:spacing w:val="2"/>
                <w:sz w:val="21"/>
                <w:szCs w:val="21"/>
                <w:highlight w:val="none"/>
              </w:rPr>
              <w:t>从业人员</w:t>
            </w:r>
            <w:r>
              <w:rPr>
                <w:color w:val="auto"/>
                <w:spacing w:val="-43"/>
                <w:sz w:val="21"/>
                <w:szCs w:val="21"/>
                <w:highlight w:val="none"/>
              </w:rPr>
              <w:t xml:space="preserve"> </w:t>
            </w:r>
            <w:r>
              <w:rPr>
                <w:color w:val="auto"/>
                <w:spacing w:val="2"/>
                <w:sz w:val="21"/>
                <w:szCs w:val="21"/>
                <w:highlight w:val="none"/>
              </w:rPr>
              <w:t>(X)</w:t>
            </w:r>
          </w:p>
        </w:tc>
        <w:tc>
          <w:tcPr>
            <w:tcW w:w="76" w:type="dxa"/>
            <w:tcBorders>
              <w:top w:val="nil"/>
              <w:left w:val="nil"/>
              <w:bottom w:val="nil"/>
              <w:right w:val="nil"/>
            </w:tcBorders>
          </w:tcPr>
          <w:p w14:paraId="13F146D8">
            <w:pPr>
              <w:rPr>
                <w:color w:val="auto"/>
                <w:highlight w:val="none"/>
              </w:rPr>
            </w:pPr>
          </w:p>
        </w:tc>
        <w:tc>
          <w:tcPr>
            <w:tcW w:w="720" w:type="dxa"/>
            <w:tcBorders>
              <w:left w:val="nil"/>
            </w:tcBorders>
          </w:tcPr>
          <w:p w14:paraId="49F800E3">
            <w:pPr>
              <w:pStyle w:val="36"/>
              <w:spacing w:before="235" w:line="223" w:lineRule="auto"/>
              <w:ind w:left="202"/>
              <w:rPr>
                <w:color w:val="auto"/>
                <w:sz w:val="21"/>
                <w:szCs w:val="21"/>
                <w:highlight w:val="none"/>
              </w:rPr>
            </w:pPr>
            <w:r>
              <w:rPr>
                <w:color w:val="auto"/>
                <w:sz w:val="21"/>
                <w:szCs w:val="21"/>
                <w:highlight w:val="none"/>
              </w:rPr>
              <w:t>人</w:t>
            </w:r>
          </w:p>
        </w:tc>
        <w:tc>
          <w:tcPr>
            <w:tcW w:w="1234" w:type="dxa"/>
          </w:tcPr>
          <w:p w14:paraId="1F83557D">
            <w:pPr>
              <w:pStyle w:val="36"/>
              <w:spacing w:before="234" w:line="239" w:lineRule="auto"/>
              <w:ind w:left="234"/>
              <w:rPr>
                <w:color w:val="auto"/>
                <w:sz w:val="21"/>
                <w:szCs w:val="21"/>
                <w:highlight w:val="none"/>
              </w:rPr>
            </w:pPr>
            <w:r>
              <w:rPr>
                <w:color w:val="auto"/>
                <w:spacing w:val="6"/>
                <w:sz w:val="21"/>
                <w:szCs w:val="21"/>
                <w:highlight w:val="none"/>
              </w:rPr>
              <w:t>X≥300</w:t>
            </w:r>
          </w:p>
        </w:tc>
        <w:tc>
          <w:tcPr>
            <w:tcW w:w="1946" w:type="dxa"/>
          </w:tcPr>
          <w:p w14:paraId="6DC57661">
            <w:pPr>
              <w:pStyle w:val="36"/>
              <w:spacing w:before="235" w:line="237" w:lineRule="auto"/>
              <w:ind w:left="338"/>
              <w:rPr>
                <w:color w:val="auto"/>
                <w:sz w:val="21"/>
                <w:szCs w:val="21"/>
                <w:highlight w:val="none"/>
              </w:rPr>
            </w:pPr>
            <w:r>
              <w:rPr>
                <w:color w:val="auto"/>
                <w:spacing w:val="6"/>
                <w:sz w:val="21"/>
                <w:szCs w:val="21"/>
                <w:highlight w:val="none"/>
              </w:rPr>
              <w:t>100≤X＜300</w:t>
            </w:r>
          </w:p>
        </w:tc>
        <w:tc>
          <w:tcPr>
            <w:tcW w:w="1741" w:type="dxa"/>
          </w:tcPr>
          <w:p w14:paraId="209FABB9">
            <w:pPr>
              <w:pStyle w:val="36"/>
              <w:spacing w:before="235" w:line="237" w:lineRule="auto"/>
              <w:ind w:left="310"/>
              <w:rPr>
                <w:color w:val="auto"/>
                <w:sz w:val="21"/>
                <w:szCs w:val="21"/>
                <w:highlight w:val="none"/>
              </w:rPr>
            </w:pPr>
            <w:r>
              <w:rPr>
                <w:color w:val="auto"/>
                <w:spacing w:val="-2"/>
                <w:sz w:val="21"/>
                <w:szCs w:val="21"/>
                <w:highlight w:val="none"/>
              </w:rPr>
              <w:t>10≤X＜</w:t>
            </w:r>
            <w:r>
              <w:rPr>
                <w:color w:val="auto"/>
                <w:spacing w:val="-40"/>
                <w:sz w:val="21"/>
                <w:szCs w:val="21"/>
                <w:highlight w:val="none"/>
              </w:rPr>
              <w:t xml:space="preserve"> </w:t>
            </w:r>
            <w:r>
              <w:rPr>
                <w:color w:val="auto"/>
                <w:spacing w:val="-2"/>
                <w:sz w:val="21"/>
                <w:szCs w:val="21"/>
                <w:highlight w:val="none"/>
              </w:rPr>
              <w:t>100</w:t>
            </w:r>
          </w:p>
        </w:tc>
        <w:tc>
          <w:tcPr>
            <w:tcW w:w="1020" w:type="dxa"/>
          </w:tcPr>
          <w:p w14:paraId="0A046DE7">
            <w:pPr>
              <w:pStyle w:val="36"/>
              <w:spacing w:before="234" w:line="241" w:lineRule="auto"/>
              <w:ind w:left="227"/>
              <w:rPr>
                <w:color w:val="auto"/>
                <w:sz w:val="21"/>
                <w:szCs w:val="21"/>
                <w:highlight w:val="none"/>
              </w:rPr>
            </w:pPr>
            <w:r>
              <w:rPr>
                <w:color w:val="auto"/>
                <w:spacing w:val="-8"/>
                <w:sz w:val="21"/>
                <w:szCs w:val="21"/>
                <w:highlight w:val="none"/>
              </w:rPr>
              <w:t>X＜</w:t>
            </w:r>
            <w:r>
              <w:rPr>
                <w:color w:val="auto"/>
                <w:spacing w:val="-41"/>
                <w:sz w:val="21"/>
                <w:szCs w:val="21"/>
                <w:highlight w:val="none"/>
              </w:rPr>
              <w:t xml:space="preserve"> </w:t>
            </w:r>
            <w:r>
              <w:rPr>
                <w:color w:val="auto"/>
                <w:spacing w:val="-8"/>
                <w:sz w:val="21"/>
                <w:szCs w:val="21"/>
                <w:highlight w:val="none"/>
              </w:rPr>
              <w:t>10</w:t>
            </w:r>
          </w:p>
        </w:tc>
      </w:tr>
    </w:tbl>
    <w:p w14:paraId="2382290E">
      <w:pPr>
        <w:spacing w:before="177" w:line="386" w:lineRule="auto"/>
        <w:ind w:left="290" w:right="271" w:firstLine="428"/>
        <w:rPr>
          <w:rFonts w:ascii="宋体" w:hAnsi="宋体" w:eastAsia="宋体" w:cs="宋体"/>
          <w:color w:val="auto"/>
          <w:sz w:val="22"/>
          <w:highlight w:val="none"/>
        </w:rPr>
      </w:pPr>
      <w:r>
        <w:rPr>
          <w:rFonts w:ascii="宋体" w:hAnsi="宋体" w:eastAsia="宋体" w:cs="宋体"/>
          <w:color w:val="auto"/>
          <w:spacing w:val="-1"/>
          <w:sz w:val="22"/>
          <w:highlight w:val="none"/>
        </w:rPr>
        <w:t>说明：1.大型、中型和小型企业须</w:t>
      </w:r>
      <w:r>
        <w:rPr>
          <w:rFonts w:ascii="宋体" w:hAnsi="宋体" w:eastAsia="宋体" w:cs="宋体"/>
          <w:b/>
          <w:bCs/>
          <w:color w:val="auto"/>
          <w:spacing w:val="-1"/>
          <w:sz w:val="22"/>
          <w:highlight w:val="none"/>
        </w:rPr>
        <w:t>同时满足所列指标的下限，否则下划一档</w:t>
      </w:r>
      <w:r>
        <w:rPr>
          <w:rFonts w:ascii="宋体" w:hAnsi="宋体" w:eastAsia="宋体" w:cs="宋体"/>
          <w:color w:val="auto"/>
          <w:spacing w:val="-1"/>
          <w:sz w:val="22"/>
          <w:highlight w:val="none"/>
        </w:rPr>
        <w:t>；微型企业</w:t>
      </w:r>
      <w:r>
        <w:rPr>
          <w:rFonts w:ascii="宋体" w:hAnsi="宋体" w:eastAsia="宋体" w:cs="宋体"/>
          <w:color w:val="auto"/>
          <w:spacing w:val="-3"/>
          <w:sz w:val="22"/>
          <w:highlight w:val="none"/>
        </w:rPr>
        <w:t>只须满足所列指标中的一项即可。</w:t>
      </w:r>
    </w:p>
    <w:p w14:paraId="732DA599">
      <w:pPr>
        <w:spacing w:before="4" w:line="365" w:lineRule="auto"/>
        <w:ind w:left="277" w:right="264" w:firstLine="441"/>
        <w:rPr>
          <w:rFonts w:ascii="宋体" w:hAnsi="宋体" w:eastAsia="宋体" w:cs="宋体"/>
          <w:color w:val="auto"/>
          <w:sz w:val="22"/>
          <w:highlight w:val="none"/>
        </w:rPr>
      </w:pPr>
      <w:r>
        <w:rPr>
          <w:rFonts w:ascii="宋体" w:hAnsi="宋体" w:eastAsia="宋体" w:cs="宋体"/>
          <w:color w:val="auto"/>
          <w:spacing w:val="1"/>
          <w:sz w:val="22"/>
          <w:highlight w:val="none"/>
        </w:rPr>
        <w:t>2.附表中各行业的范围以《国民经济行业分类》（</w:t>
      </w:r>
      <w:r>
        <w:rPr>
          <w:rFonts w:ascii="宋体" w:hAnsi="宋体" w:eastAsia="宋体" w:cs="宋体"/>
          <w:color w:val="auto"/>
          <w:sz w:val="22"/>
          <w:highlight w:val="none"/>
        </w:rPr>
        <w:t>GB</w:t>
      </w:r>
      <w:r>
        <w:rPr>
          <w:rFonts w:ascii="宋体" w:hAnsi="宋体" w:eastAsia="宋体" w:cs="宋体"/>
          <w:color w:val="auto"/>
          <w:spacing w:val="1"/>
          <w:sz w:val="22"/>
          <w:highlight w:val="none"/>
        </w:rPr>
        <w:t>/T47</w:t>
      </w:r>
      <w:r>
        <w:rPr>
          <w:rFonts w:ascii="宋体" w:hAnsi="宋体" w:eastAsia="宋体" w:cs="宋体"/>
          <w:color w:val="auto"/>
          <w:sz w:val="22"/>
          <w:highlight w:val="none"/>
        </w:rPr>
        <w:t>54-2017）为准。</w:t>
      </w:r>
      <w:r>
        <w:rPr>
          <w:rFonts w:ascii="宋体" w:hAnsi="宋体" w:eastAsia="宋体" w:cs="宋体"/>
          <w:b/>
          <w:bCs/>
          <w:color w:val="auto"/>
          <w:sz w:val="22"/>
          <w:highlight w:val="none"/>
        </w:rPr>
        <w:t>带*的项为行业组合类别</w:t>
      </w:r>
      <w:r>
        <w:rPr>
          <w:rFonts w:ascii="宋体" w:hAnsi="宋体" w:eastAsia="宋体" w:cs="宋体"/>
          <w:color w:val="auto"/>
          <w:sz w:val="22"/>
          <w:highlight w:val="none"/>
        </w:rPr>
        <w:t>，其中，</w:t>
      </w:r>
      <w:r>
        <w:rPr>
          <w:rFonts w:ascii="宋体" w:hAnsi="宋体" w:eastAsia="宋体" w:cs="宋体"/>
          <w:b/>
          <w:bCs/>
          <w:color w:val="auto"/>
          <w:sz w:val="22"/>
          <w:highlight w:val="none"/>
        </w:rPr>
        <w:t>工业</w:t>
      </w:r>
      <w:r>
        <w:rPr>
          <w:rFonts w:ascii="宋体" w:hAnsi="宋体" w:eastAsia="宋体" w:cs="宋体"/>
          <w:color w:val="auto"/>
          <w:sz w:val="22"/>
          <w:highlight w:val="none"/>
        </w:rPr>
        <w:t>包括采矿业，制造业，电力、热力、燃气及水生产和供应业；</w:t>
      </w:r>
      <w:r>
        <w:rPr>
          <w:rFonts w:ascii="宋体" w:hAnsi="宋体" w:eastAsia="宋体" w:cs="宋体"/>
          <w:b/>
          <w:bCs/>
          <w:color w:val="auto"/>
          <w:sz w:val="22"/>
          <w:highlight w:val="none"/>
        </w:rPr>
        <w:t>交</w:t>
      </w:r>
      <w:r>
        <w:rPr>
          <w:rFonts w:ascii="宋体" w:hAnsi="宋体" w:eastAsia="宋体" w:cs="宋体"/>
          <w:b/>
          <w:bCs/>
          <w:color w:val="auto"/>
          <w:spacing w:val="-5"/>
          <w:sz w:val="22"/>
          <w:highlight w:val="none"/>
        </w:rPr>
        <w:t>通运输业</w:t>
      </w:r>
      <w:r>
        <w:rPr>
          <w:rFonts w:ascii="宋体" w:hAnsi="宋体" w:eastAsia="宋体" w:cs="宋体"/>
          <w:color w:val="auto"/>
          <w:spacing w:val="-5"/>
          <w:sz w:val="22"/>
          <w:highlight w:val="none"/>
        </w:rPr>
        <w:t>包括道路运输业，水上运输业，航空运输业，管道运输业，多式联运和运输代理业、</w:t>
      </w:r>
      <w:r>
        <w:rPr>
          <w:rFonts w:ascii="宋体" w:hAnsi="宋体" w:eastAsia="宋体" w:cs="宋体"/>
          <w:color w:val="auto"/>
          <w:sz w:val="22"/>
          <w:highlight w:val="none"/>
        </w:rPr>
        <w:t>装卸搬运，不包括铁路运输业；</w:t>
      </w:r>
      <w:r>
        <w:rPr>
          <w:rFonts w:ascii="宋体" w:hAnsi="宋体" w:eastAsia="宋体" w:cs="宋体"/>
          <w:b/>
          <w:bCs/>
          <w:color w:val="auto"/>
          <w:sz w:val="22"/>
          <w:highlight w:val="none"/>
        </w:rPr>
        <w:t>仓储业</w:t>
      </w:r>
      <w:r>
        <w:rPr>
          <w:rFonts w:ascii="宋体" w:hAnsi="宋体" w:eastAsia="宋体" w:cs="宋体"/>
          <w:color w:val="auto"/>
          <w:sz w:val="22"/>
          <w:highlight w:val="none"/>
        </w:rPr>
        <w:t>包括通用仓储，低温仓储，危险品仓储，谷物、棉花</w:t>
      </w:r>
      <w:r>
        <w:rPr>
          <w:rFonts w:ascii="宋体" w:hAnsi="宋体" w:eastAsia="宋体" w:cs="宋体"/>
          <w:color w:val="auto"/>
          <w:spacing w:val="-5"/>
          <w:sz w:val="22"/>
          <w:highlight w:val="none"/>
        </w:rPr>
        <w:t>等农产品仓储，中药材仓储和其他仓储业；</w:t>
      </w:r>
      <w:r>
        <w:rPr>
          <w:rFonts w:ascii="宋体" w:hAnsi="宋体" w:eastAsia="宋体" w:cs="宋体"/>
          <w:b/>
          <w:bCs/>
          <w:color w:val="auto"/>
          <w:spacing w:val="-5"/>
          <w:sz w:val="22"/>
          <w:highlight w:val="none"/>
        </w:rPr>
        <w:t>信息传输业</w:t>
      </w:r>
      <w:r>
        <w:rPr>
          <w:rFonts w:ascii="宋体" w:hAnsi="宋体" w:eastAsia="宋体" w:cs="宋体"/>
          <w:color w:val="auto"/>
          <w:spacing w:val="-5"/>
          <w:sz w:val="22"/>
          <w:highlight w:val="none"/>
        </w:rPr>
        <w:t>包括电信、广播电视和卫星传输服务，</w:t>
      </w:r>
      <w:r>
        <w:rPr>
          <w:rFonts w:ascii="宋体" w:hAnsi="宋体" w:eastAsia="宋体" w:cs="宋体"/>
          <w:color w:val="auto"/>
          <w:sz w:val="22"/>
          <w:highlight w:val="none"/>
        </w:rPr>
        <w:t>互联网和相关服务；</w:t>
      </w:r>
      <w:r>
        <w:rPr>
          <w:rFonts w:ascii="宋体" w:hAnsi="宋体" w:eastAsia="宋体" w:cs="宋体"/>
          <w:b/>
          <w:bCs/>
          <w:color w:val="auto"/>
          <w:sz w:val="22"/>
          <w:highlight w:val="none"/>
        </w:rPr>
        <w:t>其他未列明行业</w:t>
      </w:r>
      <w:r>
        <w:rPr>
          <w:rFonts w:ascii="宋体" w:hAnsi="宋体" w:eastAsia="宋体" w:cs="宋体"/>
          <w:color w:val="auto"/>
          <w:sz w:val="22"/>
          <w:highlight w:val="none"/>
        </w:rPr>
        <w:t>包括科学研究和技术服务业，水利、环境和公共设施管</w:t>
      </w:r>
      <w:r>
        <w:rPr>
          <w:rFonts w:ascii="宋体" w:hAnsi="宋体" w:eastAsia="宋体" w:cs="宋体"/>
          <w:color w:val="auto"/>
          <w:spacing w:val="1"/>
          <w:sz w:val="22"/>
          <w:highlight w:val="none"/>
        </w:rPr>
        <w:t>理业，居民服务、修理和其他服务业，社会工作，</w:t>
      </w:r>
      <w:r>
        <w:rPr>
          <w:rFonts w:ascii="宋体" w:hAnsi="宋体" w:eastAsia="宋体" w:cs="宋体"/>
          <w:color w:val="auto"/>
          <w:sz w:val="22"/>
          <w:highlight w:val="none"/>
        </w:rPr>
        <w:t>文化、体育和娱乐业，以及房地产中介服</w:t>
      </w:r>
      <w:r>
        <w:rPr>
          <w:rFonts w:ascii="宋体" w:hAnsi="宋体" w:eastAsia="宋体" w:cs="宋体"/>
          <w:color w:val="auto"/>
          <w:spacing w:val="-1"/>
          <w:sz w:val="22"/>
          <w:highlight w:val="none"/>
        </w:rPr>
        <w:t>务，其他房地产业等，不包括自有房地产经营活动。</w:t>
      </w:r>
    </w:p>
    <w:p w14:paraId="68CB5339">
      <w:pPr>
        <w:spacing w:before="198" w:line="221" w:lineRule="auto"/>
        <w:ind w:left="720"/>
        <w:rPr>
          <w:rFonts w:ascii="宋体" w:hAnsi="宋体" w:eastAsia="宋体" w:cs="宋体"/>
          <w:color w:val="auto"/>
          <w:sz w:val="22"/>
          <w:highlight w:val="none"/>
        </w:rPr>
      </w:pPr>
      <w:r>
        <w:rPr>
          <w:rFonts w:ascii="宋体" w:hAnsi="宋体" w:eastAsia="宋体" w:cs="宋体"/>
          <w:color w:val="auto"/>
          <w:spacing w:val="-2"/>
          <w:sz w:val="22"/>
          <w:highlight w:val="none"/>
        </w:rPr>
        <w:t>3.企业划分指标以现行统计制度为准。</w:t>
      </w:r>
    </w:p>
    <w:p w14:paraId="30FBA9BE">
      <w:pPr>
        <w:spacing w:before="196" w:line="303" w:lineRule="auto"/>
        <w:ind w:left="286" w:right="279" w:firstLine="435"/>
        <w:rPr>
          <w:rFonts w:ascii="宋体" w:hAnsi="宋体" w:eastAsia="宋体" w:cs="宋体"/>
          <w:color w:val="auto"/>
          <w:sz w:val="22"/>
          <w:highlight w:val="none"/>
        </w:rPr>
      </w:pPr>
      <w:r>
        <w:rPr>
          <w:rFonts w:ascii="宋体" w:hAnsi="宋体" w:eastAsia="宋体" w:cs="宋体"/>
          <w:color w:val="auto"/>
          <w:spacing w:val="-3"/>
          <w:sz w:val="22"/>
          <w:highlight w:val="none"/>
        </w:rPr>
        <w:t>（1）从业人员，是指期末从业人员数，没有期末从业人员数的，采用全年平均人员数代</w:t>
      </w:r>
      <w:r>
        <w:rPr>
          <w:rFonts w:ascii="宋体" w:hAnsi="宋体" w:eastAsia="宋体" w:cs="宋体"/>
          <w:color w:val="auto"/>
          <w:spacing w:val="-13"/>
          <w:sz w:val="22"/>
          <w:highlight w:val="none"/>
        </w:rPr>
        <w:t>替。</w:t>
      </w:r>
    </w:p>
    <w:p w14:paraId="39BAB27C">
      <w:pPr>
        <w:spacing w:before="198" w:line="302" w:lineRule="auto"/>
        <w:ind w:left="277" w:right="267" w:firstLine="445"/>
        <w:rPr>
          <w:rFonts w:ascii="宋体" w:hAnsi="宋体" w:eastAsia="宋体" w:cs="宋体"/>
          <w:color w:val="auto"/>
          <w:sz w:val="22"/>
          <w:highlight w:val="none"/>
        </w:rPr>
      </w:pPr>
      <w:r>
        <w:rPr>
          <w:rFonts w:ascii="宋体" w:hAnsi="宋体" w:eastAsia="宋体" w:cs="宋体"/>
          <w:color w:val="auto"/>
          <w:spacing w:val="-2"/>
          <w:sz w:val="22"/>
          <w:highlight w:val="none"/>
        </w:rPr>
        <w:t>（2）营业收入，工业、建筑业、限额以上批发和零</w:t>
      </w:r>
      <w:r>
        <w:rPr>
          <w:rFonts w:ascii="宋体" w:hAnsi="宋体" w:eastAsia="宋体" w:cs="宋体"/>
          <w:color w:val="auto"/>
          <w:spacing w:val="-3"/>
          <w:sz w:val="22"/>
          <w:highlight w:val="none"/>
        </w:rPr>
        <w:t>售业、限额以上住宿和餐饮业以及其</w:t>
      </w:r>
      <w:r>
        <w:rPr>
          <w:rFonts w:ascii="宋体" w:hAnsi="宋体" w:eastAsia="宋体" w:cs="宋体"/>
          <w:color w:val="auto"/>
          <w:spacing w:val="1"/>
          <w:sz w:val="22"/>
          <w:highlight w:val="none"/>
        </w:rPr>
        <w:t>他设置主营业务收入指标的行业，采用主营业务收</w:t>
      </w:r>
      <w:r>
        <w:rPr>
          <w:rFonts w:ascii="宋体" w:hAnsi="宋体" w:eastAsia="宋体" w:cs="宋体"/>
          <w:color w:val="auto"/>
          <w:sz w:val="22"/>
          <w:highlight w:val="none"/>
        </w:rPr>
        <w:t>入；限额以下批发与零售业企业采用商品</w:t>
      </w:r>
      <w:r>
        <w:rPr>
          <w:rFonts w:ascii="宋体" w:hAnsi="宋体" w:eastAsia="宋体" w:cs="宋体"/>
          <w:color w:val="auto"/>
          <w:spacing w:val="1"/>
          <w:sz w:val="22"/>
          <w:highlight w:val="none"/>
        </w:rPr>
        <w:t>销售额代替；限额以下住宿与餐饮业企业采用营</w:t>
      </w:r>
      <w:r>
        <w:rPr>
          <w:rFonts w:ascii="宋体" w:hAnsi="宋体" w:eastAsia="宋体" w:cs="宋体"/>
          <w:color w:val="auto"/>
          <w:sz w:val="22"/>
          <w:highlight w:val="none"/>
        </w:rPr>
        <w:t>业额代替；农、林、牧、渔业企业采用营业</w:t>
      </w:r>
      <w:r>
        <w:rPr>
          <w:rFonts w:ascii="宋体" w:hAnsi="宋体" w:eastAsia="宋体" w:cs="宋体"/>
          <w:color w:val="auto"/>
          <w:spacing w:val="-1"/>
          <w:sz w:val="22"/>
          <w:highlight w:val="none"/>
        </w:rPr>
        <w:t>总收入代替；其他未设置主营业务收入的行业，采用营业收入指标。</w:t>
      </w:r>
    </w:p>
    <w:p w14:paraId="6A891932">
      <w:pPr>
        <w:spacing w:before="198" w:line="302" w:lineRule="auto"/>
        <w:ind w:left="277" w:right="267" w:firstLine="445"/>
        <w:rPr>
          <w:rFonts w:ascii="宋体" w:hAnsi="宋体" w:eastAsia="宋体" w:cs="宋体"/>
          <w:color w:val="auto"/>
          <w:sz w:val="22"/>
          <w:highlight w:val="none"/>
        </w:rPr>
      </w:pPr>
      <w:r>
        <w:rPr>
          <w:rFonts w:ascii="宋体" w:hAnsi="宋体" w:eastAsia="宋体" w:cs="宋体"/>
          <w:color w:val="auto"/>
          <w:spacing w:val="-2"/>
          <w:sz w:val="22"/>
          <w:highlight w:val="none"/>
        </w:rPr>
        <w:t>（3）资产总额，采用资产总计代替。</w:t>
      </w:r>
    </w:p>
    <w:p w14:paraId="766EFB5D">
      <w:pPr>
        <w:rPr>
          <w:rFonts w:ascii="黑体" w:hAnsi="黑体" w:eastAsia="黑体" w:cs="黑体"/>
          <w:color w:val="auto"/>
          <w:spacing w:val="-9"/>
          <w:sz w:val="28"/>
          <w:szCs w:val="28"/>
          <w:highlight w:val="none"/>
        </w:rPr>
      </w:pPr>
      <w:r>
        <w:rPr>
          <w:rFonts w:ascii="宋体" w:hAnsi="宋体" w:eastAsia="宋体" w:cs="宋体"/>
          <w:color w:val="auto"/>
          <w:spacing w:val="-2"/>
          <w:sz w:val="22"/>
          <w:highlight w:val="none"/>
        </w:rPr>
        <w:br w:type="page"/>
      </w:r>
      <w:r>
        <w:rPr>
          <w:rFonts w:ascii="黑体" w:hAnsi="黑体" w:eastAsia="黑体" w:cs="黑体"/>
          <w:color w:val="auto"/>
          <w:spacing w:val="-9"/>
          <w:sz w:val="28"/>
          <w:szCs w:val="28"/>
          <w:highlight w:val="none"/>
        </w:rPr>
        <w:t>附件</w:t>
      </w:r>
      <w:r>
        <w:rPr>
          <w:rFonts w:ascii="黑体" w:hAnsi="黑体" w:eastAsia="黑体" w:cs="黑体"/>
          <w:color w:val="auto"/>
          <w:spacing w:val="-45"/>
          <w:sz w:val="28"/>
          <w:szCs w:val="28"/>
          <w:highlight w:val="none"/>
        </w:rPr>
        <w:t xml:space="preserve"> </w:t>
      </w:r>
      <w:r>
        <w:rPr>
          <w:rFonts w:hint="eastAsia" w:ascii="黑体" w:hAnsi="黑体" w:eastAsia="黑体" w:cs="黑体"/>
          <w:color w:val="auto"/>
          <w:spacing w:val="-9"/>
          <w:sz w:val="28"/>
          <w:szCs w:val="28"/>
          <w:highlight w:val="none"/>
        </w:rPr>
        <w:t>2</w:t>
      </w:r>
    </w:p>
    <w:p w14:paraId="280EE24C">
      <w:pPr>
        <w:jc w:val="center"/>
        <w:rPr>
          <w:rFonts w:ascii="华文中宋" w:hAnsi="华文中宋" w:eastAsia="华文中宋" w:cs="华文中宋"/>
          <w:color w:val="auto"/>
          <w:kern w:val="0"/>
          <w:sz w:val="24"/>
          <w:szCs w:val="24"/>
          <w:highlight w:val="none"/>
          <w:shd w:val="clear" w:color="auto" w:fill="FFFFFF"/>
          <w:lang w:bidi="ar"/>
        </w:rPr>
      </w:pPr>
      <w:r>
        <w:rPr>
          <w:rFonts w:hint="eastAsia" w:ascii="黑体" w:hAnsi="黑体" w:eastAsia="黑体" w:cs="黑体"/>
          <w:color w:val="auto"/>
          <w:sz w:val="28"/>
          <w:szCs w:val="28"/>
          <w:highlight w:val="none"/>
        </w:rPr>
        <w:t xml:space="preserve"> </w:t>
      </w:r>
      <w:r>
        <w:rPr>
          <w:rFonts w:ascii="华文中宋" w:hAnsi="华文中宋" w:eastAsia="华文中宋" w:cs="华文中宋"/>
          <w:color w:val="auto"/>
          <w:kern w:val="0"/>
          <w:sz w:val="24"/>
          <w:szCs w:val="24"/>
          <w:highlight w:val="none"/>
          <w:shd w:val="clear" w:color="auto" w:fill="FFFFFF"/>
          <w:lang w:bidi="ar"/>
        </w:rPr>
        <w:t>国务院办公厅关于在政府采购中实施本国产品标准及相关政策的通知</w:t>
      </w:r>
    </w:p>
    <w:p w14:paraId="3E18F699">
      <w:pPr>
        <w:pStyle w:val="16"/>
        <w:ind w:firstLine="480"/>
        <w:jc w:val="right"/>
        <w:rPr>
          <w:rFonts w:ascii="华文中宋" w:hAnsi="华文中宋" w:eastAsia="华文中宋" w:cs="华文中宋"/>
          <w:color w:val="auto"/>
          <w:sz w:val="24"/>
          <w:szCs w:val="24"/>
          <w:highlight w:val="none"/>
          <w:shd w:val="clear" w:color="auto" w:fill="FFFFFF"/>
          <w:lang w:bidi="ar"/>
        </w:rPr>
      </w:pPr>
      <w:r>
        <w:rPr>
          <w:rFonts w:hint="eastAsia" w:ascii="华文中宋" w:hAnsi="华文中宋" w:eastAsia="华文中宋" w:cs="华文中宋"/>
          <w:color w:val="auto"/>
          <w:sz w:val="24"/>
          <w:szCs w:val="24"/>
          <w:highlight w:val="none"/>
          <w:shd w:val="clear" w:color="auto" w:fill="FFFFFF"/>
          <w:lang w:bidi="ar"/>
        </w:rPr>
        <w:t>国办发(2025)34号</w:t>
      </w:r>
    </w:p>
    <w:p w14:paraId="7734F868">
      <w:pPr>
        <w:pStyle w:val="14"/>
        <w:widowControl/>
        <w:spacing w:before="24" w:after="24" w:line="560" w:lineRule="atLeast"/>
        <w:jc w:val="left"/>
        <w:textAlignment w:val="baseline"/>
        <w:rPr>
          <w:rFonts w:ascii="华文中宋" w:hAnsi="华文中宋" w:eastAsia="华文中宋" w:cs="华文中宋"/>
          <w:color w:val="auto"/>
          <w:kern w:val="0"/>
          <w:highlight w:val="none"/>
          <w:shd w:val="clear" w:color="auto" w:fill="FFFFFF"/>
          <w:lang w:bidi="ar"/>
        </w:rPr>
      </w:pPr>
      <w:r>
        <w:rPr>
          <w:rFonts w:ascii="华文中宋" w:hAnsi="华文中宋" w:eastAsia="华文中宋" w:cs="华文中宋"/>
          <w:color w:val="auto"/>
          <w:kern w:val="0"/>
          <w:highlight w:val="none"/>
          <w:shd w:val="clear" w:color="auto" w:fill="FFFFFF"/>
          <w:lang w:bidi="ar"/>
        </w:rPr>
        <w:t>各省、自治区、直辖市人民政府，国务院各部委、各直属机构：</w:t>
      </w:r>
    </w:p>
    <w:p w14:paraId="6BFAB0BF">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86B1C59">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一、本国产品标准</w:t>
      </w:r>
    </w:p>
    <w:p w14:paraId="03514989">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本国产品应当符合以下条件：</w:t>
      </w:r>
    </w:p>
    <w:p w14:paraId="0A4473C5">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ascii="华文中宋" w:hAnsi="华文中宋" w:eastAsia="华文中宋" w:cs="华文中宋"/>
          <w:color w:val="auto"/>
          <w:kern w:val="0"/>
          <w:highlight w:val="none"/>
          <w:shd w:val="clear" w:color="auto" w:fill="FFFFFF"/>
          <w:lang w:bidi="ar"/>
        </w:rPr>
        <w:t>（一）在中国境内生产</w:t>
      </w:r>
    </w:p>
    <w:p w14:paraId="16369FE3">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产品应当在中国境内生产，即在中华人民共和国关境内实现从原材料、组件到产品的属性改变。</w:t>
      </w:r>
    </w:p>
    <w:p w14:paraId="00DFD345">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属性改变是指经过制造、加工或者组装等工序，产生完全不同于原材料、组件的新产品，并具有新的名称和特征（用途）。属性改变不包括以下细微操作：</w:t>
      </w:r>
    </w:p>
    <w:p w14:paraId="74C1CBF4">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1.为确保产品在运输或者储存期间保持某种状态而进行的操作；</w:t>
      </w:r>
    </w:p>
    <w:p w14:paraId="51562319">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2.为产品运输或者销售进行的包装或者展示；</w:t>
      </w:r>
    </w:p>
    <w:p w14:paraId="5E2F2851">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3.在产品或者其包装上粘贴或者印刷品牌、标志、标识以及其他用于区别的标记；</w:t>
      </w:r>
    </w:p>
    <w:p w14:paraId="4BF75C91">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4.简单的上漆、磨光和分装；</w:t>
      </w:r>
    </w:p>
    <w:p w14:paraId="4CE83DF2">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5.其他不属于属性改变的情形。</w:t>
      </w:r>
    </w:p>
    <w:p w14:paraId="264A3490">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（二）在中国境内生产的组件成本占比达到规定比例</w:t>
      </w:r>
    </w:p>
    <w:p w14:paraId="0BE0A235">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产品在中国境内生产的组件成本占比应当达到规定比例，计算公式为：</w:t>
      </w:r>
    </w:p>
    <w:p w14:paraId="6598FD1C">
      <w:pPr>
        <w:pStyle w:val="14"/>
        <w:widowControl/>
        <w:spacing w:before="24" w:after="24" w:line="560" w:lineRule="atLeast"/>
        <w:jc w:val="center"/>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rPr>
        <w:drawing>
          <wp:inline distT="0" distB="0" distL="114300" distR="114300">
            <wp:extent cx="4829175" cy="762000"/>
            <wp:effectExtent l="0" t="0" r="1905" b="0"/>
            <wp:docPr id="1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6"/>
                    <pic:cNvPicPr>
                      <a:picLocks noChangeAspect="1"/>
                    </pic:cNvPicPr>
                  </pic:nvPicPr>
                  <pic:blipFill>
                    <a:blip r:embed="rId16"/>
                    <a:stretch>
                      <a:fillRect/>
                    </a:stretch>
                  </pic:blipFill>
                  <pic:spPr>
                    <a:xfrm>
                      <a:off x="0" y="0"/>
                      <a:ext cx="4829175" cy="762000"/>
                    </a:xfrm>
                    <a:prstGeom prst="rect">
                      <a:avLst/>
                    </a:prstGeom>
                    <a:noFill/>
                    <a:ln w="9525">
                      <a:noFill/>
                    </a:ln>
                  </pic:spPr>
                </pic:pic>
              </a:graphicData>
            </a:graphic>
          </wp:inline>
        </w:drawing>
      </w:r>
    </w:p>
    <w:p w14:paraId="184310CD">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3B615A9">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（三）特定产品的关键组件、关键工序符合相关要求</w:t>
      </w:r>
    </w:p>
    <w:p w14:paraId="3BE78031">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对特定产品，在符合本通知第一条第（一）项和第（二）项条件的基础上，应当符合财政部会同有关行业主管部门确定的其关键组件、关键工序在中国境内生产、完成等要求。</w:t>
      </w:r>
    </w:p>
    <w:p w14:paraId="33A22977">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1D69089">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二、本国产品标准的适用范围</w:t>
      </w:r>
    </w:p>
    <w:p w14:paraId="776636A5">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43362D6">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三、对本国产品的支持政策</w:t>
      </w:r>
    </w:p>
    <w:p w14:paraId="587A05C8">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政府采购活动中既有本国产品又有非本国产品参与竞争的，依法对本国产品给予价格评审优惠，对本国产品的报价给予20%的价格扣除，用扣除后的价格参与评审。</w:t>
      </w:r>
    </w:p>
    <w:p w14:paraId="7FEB8026">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9A15BC3">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四、政策执行要求</w:t>
      </w:r>
    </w:p>
    <w:p w14:paraId="15527E45">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（一）产品在中国境内生产的组件成本核算规则。产品在中国境内生产的组件成本，按照《中国境内生产的组件成本核算基本规则》（见附件1）计算。</w:t>
      </w:r>
    </w:p>
    <w:p w14:paraId="29F6E01C">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6C86043A">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采购人、采购代理机构应当随中标、成交结果同时公告中标、成交供应商提供的《声明函》或有关证明文件。</w:t>
      </w:r>
    </w:p>
    <w:p w14:paraId="613A6409">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D321CAE">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（四）中华人民共和国缔结或者共同参加的国际条约、协定对政府采购中本国产品政策另有规定的，按照有关条约、协定执行。</w:t>
      </w:r>
    </w:p>
    <w:p w14:paraId="59C67BBB">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五、争议处理</w:t>
      </w:r>
    </w:p>
    <w:p w14:paraId="300BB43A">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BCF7A79">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（一）政府采购投诉处理、监督检查中，对产品或组件是否在中国境内生产存在争议的，按照以下原则处理：</w:t>
      </w:r>
    </w:p>
    <w:p w14:paraId="61929551">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3E32194B">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657D3C11">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3AB55505">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3D20B9B">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45F88A6">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本通知自2026年1月1日起施行。</w:t>
      </w:r>
    </w:p>
    <w:p w14:paraId="3228ACF3">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 </w:t>
      </w:r>
    </w:p>
    <w:p w14:paraId="3540A765">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附件：1.中国境内生产的组件成本核算基本规则</w:t>
      </w:r>
    </w:p>
    <w:p w14:paraId="598366FB">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　　　2.关于符合本国产品标准的声明函</w:t>
      </w:r>
    </w:p>
    <w:p w14:paraId="4B3B25CA">
      <w:pPr>
        <w:pStyle w:val="14"/>
        <w:widowControl/>
        <w:spacing w:before="24" w:after="24" w:line="560" w:lineRule="atLeast"/>
        <w:ind w:firstLine="420"/>
        <w:jc w:val="right"/>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国务院办公厅</w:t>
      </w:r>
    </w:p>
    <w:p w14:paraId="1FADA044">
      <w:pPr>
        <w:pStyle w:val="14"/>
        <w:widowControl/>
        <w:spacing w:before="24" w:after="24" w:line="560" w:lineRule="atLeast"/>
        <w:ind w:firstLine="420"/>
        <w:jc w:val="right"/>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2025年9月28日</w:t>
      </w:r>
    </w:p>
    <w:p w14:paraId="314D8950">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（此件公开发布）</w:t>
      </w:r>
    </w:p>
    <w:p w14:paraId="5A9B96A8">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br w:type="page"/>
      </w:r>
    </w:p>
    <w:p w14:paraId="592201D0">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附件</w:t>
      </w:r>
    </w:p>
    <w:p w14:paraId="6E250E7D">
      <w:pPr>
        <w:pStyle w:val="14"/>
        <w:widowControl/>
        <w:spacing w:before="24" w:after="24" w:line="560" w:lineRule="atLeast"/>
        <w:ind w:firstLine="420"/>
        <w:jc w:val="center"/>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中国境内生产的组件成本核算基本规则</w:t>
      </w:r>
    </w:p>
    <w:p w14:paraId="27E42229">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EA09F64">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一、产品的一级组件是指直接组成产品的组件。产品的二级组件是指直接组成产品一级组件的组件。一级组件不可分解的，视同二级组件。</w:t>
      </w:r>
    </w:p>
    <w:p w14:paraId="0956480C">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二、二级组件在中国境内生产的，其全部成本计入中国境内生产的组件成本；二级组件不在中国境内生产的，其成本不计入中国境内生产的组件成本。</w:t>
      </w:r>
    </w:p>
    <w:p w14:paraId="3DC02D8B">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三、产品总成本和组件成本以相关会计核算数据、采购合同、进货记录等为基础进行计算。</w:t>
      </w:r>
    </w:p>
    <w:p w14:paraId="0DFEFE8E">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r>
        <w:rPr>
          <w:rFonts w:hint="eastAsia" w:ascii="华文中宋" w:hAnsi="华文中宋" w:eastAsia="华文中宋" w:cs="华文中宋"/>
          <w:color w:val="auto"/>
          <w:kern w:val="0"/>
          <w:highlight w:val="none"/>
          <w:shd w:val="clear" w:color="auto" w:fill="FFFFFF"/>
          <w:lang w:bidi="ar"/>
        </w:rPr>
        <w:t>四、需要对成本核算规则予以进一步明确的其他有关事项，由财政部会同有关部门另行规定。</w:t>
      </w:r>
    </w:p>
    <w:p w14:paraId="6C278B38">
      <w:pPr>
        <w:pStyle w:val="14"/>
        <w:widowControl/>
        <w:spacing w:before="24" w:after="24" w:line="560" w:lineRule="atLeast"/>
        <w:ind w:firstLine="420"/>
        <w:textAlignment w:val="baseline"/>
        <w:rPr>
          <w:rFonts w:ascii="华文中宋" w:hAnsi="华文中宋" w:eastAsia="华文中宋" w:cs="华文中宋"/>
          <w:color w:val="auto"/>
          <w:kern w:val="0"/>
          <w:highlight w:val="none"/>
          <w:shd w:val="clear" w:color="auto" w:fill="FFFFFF"/>
          <w:lang w:bidi="ar"/>
        </w:rPr>
      </w:pPr>
    </w:p>
    <w:bookmarkEnd w:id="151"/>
    <w:p w14:paraId="0007AB2E">
      <w:pPr>
        <w:rPr>
          <w:color w:val="auto"/>
          <w:highlight w:val="none"/>
        </w:rPr>
      </w:pPr>
      <w:r>
        <w:rPr>
          <w:rFonts w:ascii="宋体" w:hAnsi="宋体" w:eastAsia="宋体" w:cs="宋体"/>
          <w:b/>
          <w:color w:val="auto"/>
          <w:sz w:val="24"/>
          <w:szCs w:val="24"/>
          <w:highlight w:val="none"/>
        </w:rPr>
        <w:br w:type="page"/>
      </w:r>
    </w:p>
    <w:p w14:paraId="2284C001">
      <w:pPr>
        <w:rPr>
          <w:rFonts w:ascii="宋体" w:hAnsi="宋体" w:eastAsia="宋体" w:cs="宋体"/>
          <w:b/>
          <w:color w:val="auto"/>
          <w:sz w:val="24"/>
          <w:szCs w:val="24"/>
          <w:highlight w:val="none"/>
        </w:rPr>
      </w:pPr>
      <w:r>
        <w:rPr>
          <w:rFonts w:ascii="黑体" w:hAnsi="黑体" w:eastAsia="黑体" w:cs="黑体"/>
          <w:color w:val="auto"/>
          <w:spacing w:val="-9"/>
          <w:sz w:val="28"/>
          <w:szCs w:val="28"/>
          <w:highlight w:val="none"/>
        </w:rPr>
        <w:t>附件</w:t>
      </w:r>
      <w:r>
        <w:rPr>
          <w:rFonts w:ascii="黑体" w:hAnsi="黑体" w:eastAsia="黑体" w:cs="黑体"/>
          <w:color w:val="auto"/>
          <w:spacing w:val="-45"/>
          <w:sz w:val="28"/>
          <w:szCs w:val="28"/>
          <w:highlight w:val="none"/>
        </w:rPr>
        <w:t xml:space="preserve"> </w:t>
      </w:r>
      <w:r>
        <w:rPr>
          <w:rFonts w:hint="eastAsia" w:ascii="黑体" w:hAnsi="黑体" w:eastAsia="黑体" w:cs="黑体"/>
          <w:color w:val="auto"/>
          <w:spacing w:val="-9"/>
          <w:sz w:val="28"/>
          <w:szCs w:val="28"/>
          <w:highlight w:val="none"/>
        </w:rPr>
        <w:t>3</w:t>
      </w:r>
    </w:p>
    <w:p w14:paraId="333230C0">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62AEDFC5">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28D85724">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50B432F7">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5F216E60">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4A8EE0A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4666863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7D958A2B">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w:t>
      </w:r>
      <w:r>
        <w:rPr>
          <w:rFonts w:hint="eastAsia" w:ascii="宋体" w:hAnsi="宋体" w:eastAsia="宋体" w:cs="宋体"/>
          <w:color w:val="auto"/>
          <w:kern w:val="0"/>
          <w:sz w:val="24"/>
          <w:szCs w:val="24"/>
          <w:highlight w:val="none"/>
          <w:lang w:val="en-US" w:eastAsia="zh-CN"/>
        </w:rPr>
        <w:t>邮箱</w:t>
      </w:r>
      <w:r>
        <w:rPr>
          <w:rFonts w:hint="eastAsia" w:ascii="宋体" w:hAnsi="宋体" w:eastAsia="宋体" w:cs="宋体"/>
          <w:color w:val="auto"/>
          <w:kern w:val="0"/>
          <w:sz w:val="24"/>
          <w:szCs w:val="24"/>
          <w:highlight w:val="none"/>
        </w:rPr>
        <w:t xml:space="preserve">：                                       </w:t>
      </w:r>
    </w:p>
    <w:p w14:paraId="0E37DEA8">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0303CBAF">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0A380E3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2B4AE490">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21BE727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28282CD4">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27AA4C6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3E4140DF">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7AA4C01E">
      <w:pPr>
        <w:spacing w:line="480" w:lineRule="exact"/>
        <w:ind w:firstLine="480" w:firstLineChars="200"/>
        <w:rPr>
          <w:rFonts w:ascii="宋体" w:hAnsi="宋体" w:eastAsia="宋体" w:cs="宋体"/>
          <w:color w:val="auto"/>
          <w:kern w:val="0"/>
          <w:sz w:val="24"/>
          <w:szCs w:val="24"/>
          <w:highlight w:val="none"/>
        </w:rPr>
      </w:pPr>
    </w:p>
    <w:p w14:paraId="26F81DC9">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518524AA">
      <w:pPr>
        <w:spacing w:line="480" w:lineRule="exact"/>
        <w:ind w:firstLine="480" w:firstLineChars="200"/>
        <w:rPr>
          <w:rFonts w:ascii="宋体" w:hAnsi="宋体" w:eastAsia="宋体" w:cs="宋体"/>
          <w:color w:val="auto"/>
          <w:kern w:val="0"/>
          <w:sz w:val="24"/>
          <w:szCs w:val="24"/>
          <w:highlight w:val="none"/>
        </w:rPr>
      </w:pPr>
    </w:p>
    <w:p w14:paraId="477BB21A">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1DD056DA">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311400A3">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26C2E74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190C0419">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3E02A077">
      <w:pPr>
        <w:autoSpaceDE w:val="0"/>
        <w:autoSpaceDN w:val="0"/>
        <w:spacing w:before="90" w:line="312" w:lineRule="auto"/>
        <w:ind w:right="95"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1E39C30">
      <w:pPr>
        <w:rPr>
          <w:rFonts w:ascii="宋体" w:hAnsi="宋体" w:eastAsia="宋体" w:cs="宋体"/>
          <w:color w:val="auto"/>
          <w:kern w:val="0"/>
          <w:sz w:val="24"/>
          <w:szCs w:val="24"/>
          <w:highlight w:val="none"/>
        </w:rPr>
      </w:pPr>
      <w:r>
        <w:rPr>
          <w:rFonts w:hint="eastAsia" w:ascii="宋体" w:hAnsi="宋体" w:eastAsia="宋体" w:cs="Times New Roman"/>
          <w:color w:val="auto"/>
          <w:sz w:val="24"/>
          <w:szCs w:val="24"/>
          <w:highlight w:val="none"/>
        </w:rPr>
        <w:br w:type="page"/>
      </w:r>
    </w:p>
    <w:p w14:paraId="222535F3">
      <w:pPr>
        <w:spacing w:before="312" w:beforeLines="100" w:line="360" w:lineRule="auto"/>
        <w:jc w:val="center"/>
        <w:outlineLvl w:val="0"/>
        <w:rPr>
          <w:rFonts w:hint="eastAsia" w:ascii="宋体" w:hAnsi="宋体" w:cs="宋体"/>
          <w:b/>
          <w:bCs/>
          <w:color w:val="auto"/>
          <w:sz w:val="36"/>
          <w:szCs w:val="36"/>
          <w:highlight w:val="none"/>
          <w:lang w:bidi="ar"/>
        </w:rPr>
      </w:pPr>
      <w:bookmarkStart w:id="153" w:name="_Toc32545"/>
      <w:bookmarkStart w:id="154" w:name="_Toc14135"/>
      <w:r>
        <w:rPr>
          <w:rFonts w:hint="eastAsia" w:ascii="宋体" w:hAnsi="宋体" w:cs="宋体"/>
          <w:b/>
          <w:bCs/>
          <w:color w:val="auto"/>
          <w:sz w:val="36"/>
          <w:szCs w:val="36"/>
          <w:highlight w:val="none"/>
          <w:lang w:bidi="ar"/>
        </w:rPr>
        <w:t>第三章  评标办法</w:t>
      </w:r>
      <w:bookmarkEnd w:id="29"/>
      <w:bookmarkEnd w:id="30"/>
      <w:bookmarkEnd w:id="31"/>
      <w:bookmarkEnd w:id="32"/>
      <w:bookmarkEnd w:id="33"/>
      <w:bookmarkEnd w:id="153"/>
      <w:bookmarkEnd w:id="154"/>
    </w:p>
    <w:p w14:paraId="12C86E5C">
      <w:pPr>
        <w:widowControl/>
        <w:spacing w:line="400" w:lineRule="exact"/>
        <w:ind w:firstLine="420"/>
        <w:rPr>
          <w:rFonts w:ascii="宋体" w:hAnsi="宋体" w:cs="Calibri"/>
          <w:color w:val="auto"/>
          <w:sz w:val="24"/>
          <w:highlight w:val="none"/>
        </w:rPr>
      </w:pPr>
      <w:bookmarkStart w:id="155" w:name="_Toc375053347"/>
      <w:bookmarkEnd w:id="155"/>
      <w:bookmarkStart w:id="156" w:name="_Toc179632618"/>
      <w:bookmarkEnd w:id="156"/>
      <w:bookmarkStart w:id="157" w:name="_Toc144974567"/>
      <w:bookmarkEnd w:id="157"/>
      <w:bookmarkStart w:id="158" w:name="_Toc152045600"/>
      <w:bookmarkEnd w:id="158"/>
      <w:bookmarkStart w:id="159" w:name="_Toc466566794"/>
      <w:bookmarkEnd w:id="159"/>
      <w:bookmarkStart w:id="160" w:name="_Toc466566705"/>
      <w:bookmarkEnd w:id="160"/>
      <w:bookmarkStart w:id="161" w:name="OLE_LINK1"/>
      <w:r>
        <w:rPr>
          <w:rFonts w:hint="eastAsia" w:ascii="宋体" w:hAnsi="宋体" w:cs="Calibri"/>
          <w:color w:val="auto"/>
          <w:kern w:val="0"/>
          <w:sz w:val="24"/>
          <w:highlight w:val="none"/>
        </w:rPr>
        <w:t>本次项目的评审分为初步审查和详细审查。详细审查采用综合评分法，总分为100分。</w:t>
      </w:r>
      <w:bookmarkEnd w:id="161"/>
      <w:r>
        <w:rPr>
          <w:rFonts w:hint="eastAsia" w:ascii="宋体" w:hAnsi="宋体" w:cs="Calibri"/>
          <w:color w:val="auto"/>
          <w:kern w:val="0"/>
          <w:sz w:val="24"/>
          <w:highlight w:val="none"/>
        </w:rPr>
        <w:t>评审因素如下：</w:t>
      </w:r>
    </w:p>
    <w:p w14:paraId="60487963">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17"/>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771"/>
        <w:gridCol w:w="5178"/>
      </w:tblGrid>
      <w:tr w14:paraId="0FCA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0600EB36">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771" w:type="dxa"/>
            <w:tcBorders>
              <w:top w:val="single" w:color="auto" w:sz="4" w:space="0"/>
              <w:left w:val="nil"/>
              <w:bottom w:val="single" w:color="auto" w:sz="4" w:space="0"/>
              <w:right w:val="single" w:color="auto" w:sz="4" w:space="0"/>
            </w:tcBorders>
            <w:vAlign w:val="center"/>
          </w:tcPr>
          <w:p w14:paraId="47B867A1">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178" w:type="dxa"/>
            <w:tcBorders>
              <w:top w:val="single" w:color="auto" w:sz="4" w:space="0"/>
              <w:left w:val="nil"/>
              <w:bottom w:val="single" w:color="auto" w:sz="4" w:space="0"/>
              <w:right w:val="single" w:color="auto" w:sz="4" w:space="0"/>
            </w:tcBorders>
            <w:vAlign w:val="center"/>
          </w:tcPr>
          <w:p w14:paraId="13E69727">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14:paraId="53F0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526" w:type="dxa"/>
            <w:vMerge w:val="restart"/>
            <w:tcBorders>
              <w:left w:val="single" w:color="auto" w:sz="4" w:space="0"/>
              <w:right w:val="single" w:color="auto" w:sz="4" w:space="0"/>
            </w:tcBorders>
            <w:vAlign w:val="center"/>
          </w:tcPr>
          <w:p w14:paraId="3CEB1189">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初步评审</w:t>
            </w:r>
          </w:p>
        </w:tc>
        <w:tc>
          <w:tcPr>
            <w:tcW w:w="987" w:type="dxa"/>
            <w:vMerge w:val="restart"/>
            <w:tcBorders>
              <w:top w:val="nil"/>
              <w:left w:val="nil"/>
              <w:right w:val="single" w:color="auto" w:sz="4" w:space="0"/>
            </w:tcBorders>
            <w:vAlign w:val="center"/>
          </w:tcPr>
          <w:p w14:paraId="74A12730">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14:paraId="58DF43B6">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6BFB81DE">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771" w:type="dxa"/>
            <w:tcBorders>
              <w:top w:val="single" w:color="auto" w:sz="4" w:space="0"/>
              <w:left w:val="nil"/>
              <w:bottom w:val="single" w:color="auto" w:sz="4" w:space="0"/>
              <w:right w:val="single" w:color="auto" w:sz="4" w:space="0"/>
            </w:tcBorders>
            <w:vAlign w:val="center"/>
          </w:tcPr>
          <w:p w14:paraId="4E9708AF">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第二十二条规定</w:t>
            </w:r>
          </w:p>
        </w:tc>
        <w:tc>
          <w:tcPr>
            <w:tcW w:w="5178" w:type="dxa"/>
            <w:tcBorders>
              <w:top w:val="single" w:color="auto" w:sz="4" w:space="0"/>
              <w:left w:val="nil"/>
              <w:bottom w:val="single" w:color="auto" w:sz="4" w:space="0"/>
              <w:right w:val="single" w:color="auto" w:sz="4" w:space="0"/>
            </w:tcBorders>
            <w:vAlign w:val="center"/>
          </w:tcPr>
          <w:p w14:paraId="1737DD35">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供应商参加本次政府采购活动必须符合《中华人民共和国政府采购法》二十二条的规定（自行承诺，格式自拟）</w:t>
            </w:r>
          </w:p>
        </w:tc>
      </w:tr>
      <w:tr w14:paraId="6CDE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26" w:type="dxa"/>
            <w:vMerge w:val="continue"/>
            <w:tcBorders>
              <w:left w:val="single" w:color="auto" w:sz="4" w:space="0"/>
              <w:right w:val="single" w:color="auto" w:sz="4" w:space="0"/>
            </w:tcBorders>
            <w:vAlign w:val="center"/>
          </w:tcPr>
          <w:p w14:paraId="1A2DF41D">
            <w:pPr>
              <w:spacing w:line="360" w:lineRule="auto"/>
              <w:jc w:val="center"/>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03444D78">
            <w:pPr>
              <w:spacing w:line="360" w:lineRule="auto"/>
              <w:rPr>
                <w:rFonts w:ascii="宋体" w:hAnsi="宋体" w:eastAsia="宋体" w:cs="Times New Roman"/>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7059A59D">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中小企业声明函</w:t>
            </w:r>
          </w:p>
        </w:tc>
        <w:tc>
          <w:tcPr>
            <w:tcW w:w="5178" w:type="dxa"/>
            <w:tcBorders>
              <w:top w:val="single" w:color="auto" w:sz="4" w:space="0"/>
              <w:left w:val="nil"/>
              <w:bottom w:val="single" w:color="auto" w:sz="4" w:space="0"/>
              <w:right w:val="single" w:color="auto" w:sz="4" w:space="0"/>
            </w:tcBorders>
            <w:vAlign w:val="center"/>
          </w:tcPr>
          <w:p w14:paraId="1E3CAEB5">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4478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26" w:type="dxa"/>
            <w:vMerge w:val="continue"/>
            <w:tcBorders>
              <w:left w:val="single" w:color="auto" w:sz="4" w:space="0"/>
              <w:right w:val="single" w:color="auto" w:sz="4" w:space="0"/>
            </w:tcBorders>
            <w:vAlign w:val="center"/>
          </w:tcPr>
          <w:p w14:paraId="03E04BA0">
            <w:pPr>
              <w:spacing w:line="360" w:lineRule="auto"/>
              <w:jc w:val="center"/>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713E7564">
            <w:pPr>
              <w:spacing w:line="360" w:lineRule="auto"/>
              <w:rPr>
                <w:rFonts w:ascii="宋体" w:hAnsi="宋体" w:eastAsia="宋体" w:cs="Times New Roman"/>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6CC05BFC">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w:t>
            </w:r>
          </w:p>
        </w:tc>
        <w:tc>
          <w:tcPr>
            <w:tcW w:w="5178" w:type="dxa"/>
            <w:tcBorders>
              <w:top w:val="single" w:color="auto" w:sz="4" w:space="0"/>
              <w:left w:val="nil"/>
              <w:bottom w:val="single" w:color="auto" w:sz="4" w:space="0"/>
              <w:right w:val="single" w:color="auto" w:sz="4" w:space="0"/>
            </w:tcBorders>
            <w:vAlign w:val="center"/>
          </w:tcPr>
          <w:p w14:paraId="570E6383">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21B6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26" w:type="dxa"/>
            <w:vMerge w:val="continue"/>
            <w:tcBorders>
              <w:left w:val="single" w:color="auto" w:sz="4" w:space="0"/>
              <w:right w:val="single" w:color="auto" w:sz="4" w:space="0"/>
            </w:tcBorders>
            <w:vAlign w:val="center"/>
          </w:tcPr>
          <w:p w14:paraId="3AAA6795">
            <w:pPr>
              <w:spacing w:line="360" w:lineRule="auto"/>
              <w:jc w:val="center"/>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280635EA">
            <w:pPr>
              <w:spacing w:line="360" w:lineRule="auto"/>
              <w:rPr>
                <w:rFonts w:ascii="宋体" w:hAnsi="宋体" w:eastAsia="宋体" w:cs="Times New Roman"/>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31B8E5B7">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提供供应商企业、法定代表人无行贿犯罪记录</w:t>
            </w:r>
          </w:p>
        </w:tc>
        <w:tc>
          <w:tcPr>
            <w:tcW w:w="5178" w:type="dxa"/>
            <w:tcBorders>
              <w:top w:val="single" w:color="auto" w:sz="4" w:space="0"/>
              <w:left w:val="nil"/>
              <w:bottom w:val="single" w:color="auto" w:sz="4" w:space="0"/>
              <w:right w:val="single" w:color="auto" w:sz="4" w:space="0"/>
            </w:tcBorders>
            <w:vAlign w:val="center"/>
          </w:tcPr>
          <w:p w14:paraId="370BFA55">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5851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26" w:type="dxa"/>
            <w:vMerge w:val="continue"/>
            <w:tcBorders>
              <w:left w:val="single" w:color="auto" w:sz="4" w:space="0"/>
              <w:right w:val="single" w:color="auto" w:sz="4" w:space="0"/>
            </w:tcBorders>
            <w:vAlign w:val="center"/>
          </w:tcPr>
          <w:p w14:paraId="300AB259">
            <w:pPr>
              <w:spacing w:line="360" w:lineRule="auto"/>
              <w:jc w:val="center"/>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55D36CF5">
            <w:pPr>
              <w:widowControl/>
              <w:jc w:val="left"/>
              <w:rPr>
                <w:rFonts w:ascii="宋体" w:hAnsi="宋体" w:eastAsia="宋体" w:cs="Times New Roman"/>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71A771EC">
            <w:pPr>
              <w:spacing w:line="266" w:lineRule="auto"/>
              <w:rPr>
                <w:rFonts w:ascii="宋体" w:hAnsi="宋体" w:eastAsia="宋体" w:cs="Courier New"/>
                <w:color w:val="auto"/>
                <w:sz w:val="24"/>
                <w:szCs w:val="21"/>
                <w:highlight w:val="none"/>
              </w:rPr>
            </w:pPr>
            <w:r>
              <w:rPr>
                <w:rFonts w:hint="eastAsia" w:asciiTheme="minorEastAsia" w:hAnsiTheme="minorEastAsia" w:cstheme="minorEastAsia"/>
                <w:color w:val="auto"/>
                <w:sz w:val="24"/>
                <w:szCs w:val="24"/>
                <w:highlight w:val="none"/>
              </w:rPr>
              <w:t>无商业贿赂及无不正当竞争行为的承诺书</w:t>
            </w:r>
          </w:p>
        </w:tc>
        <w:tc>
          <w:tcPr>
            <w:tcW w:w="5178" w:type="dxa"/>
            <w:tcBorders>
              <w:top w:val="single" w:color="auto" w:sz="4" w:space="0"/>
              <w:left w:val="nil"/>
              <w:bottom w:val="single" w:color="auto" w:sz="4" w:space="0"/>
              <w:right w:val="single" w:color="auto" w:sz="4" w:space="0"/>
            </w:tcBorders>
            <w:vAlign w:val="center"/>
          </w:tcPr>
          <w:p w14:paraId="305EF94B">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713A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7AFDFC87">
            <w:pPr>
              <w:spacing w:line="360" w:lineRule="auto"/>
              <w:jc w:val="center"/>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70753D91">
            <w:pPr>
              <w:widowControl/>
              <w:jc w:val="left"/>
              <w:rPr>
                <w:rFonts w:ascii="宋体" w:hAnsi="宋体" w:eastAsia="宋体" w:cs="Times New Roman"/>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7EEE464D">
            <w:pPr>
              <w:spacing w:line="266" w:lineRule="auto"/>
              <w:rPr>
                <w:rFonts w:ascii="宋体" w:hAnsi="宋体" w:cs="宋体"/>
                <w:color w:val="auto"/>
                <w:sz w:val="24"/>
                <w:highlight w:val="none"/>
              </w:rPr>
            </w:pPr>
            <w:r>
              <w:rPr>
                <w:rFonts w:hint="eastAsia" w:ascii="宋体" w:hAnsi="宋体" w:cs="宋体"/>
                <w:color w:val="auto"/>
                <w:sz w:val="24"/>
                <w:highlight w:val="none"/>
              </w:rPr>
              <w:t>具有履行合同所必需的设备和专业技术能力</w:t>
            </w:r>
          </w:p>
        </w:tc>
        <w:tc>
          <w:tcPr>
            <w:tcW w:w="5178" w:type="dxa"/>
            <w:tcBorders>
              <w:top w:val="single" w:color="auto" w:sz="4" w:space="0"/>
              <w:left w:val="nil"/>
              <w:bottom w:val="single" w:color="auto" w:sz="4" w:space="0"/>
              <w:right w:val="single" w:color="auto" w:sz="4" w:space="0"/>
            </w:tcBorders>
            <w:vAlign w:val="center"/>
          </w:tcPr>
          <w:p w14:paraId="00DE9DD5">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7F7E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539D8A73">
            <w:pPr>
              <w:spacing w:line="360" w:lineRule="auto"/>
              <w:jc w:val="center"/>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258829AA">
            <w:pPr>
              <w:widowControl/>
              <w:jc w:val="left"/>
              <w:rPr>
                <w:rFonts w:ascii="宋体" w:hAnsi="宋体" w:eastAsia="宋体" w:cs="Times New Roman"/>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5BDE37F7">
            <w:pPr>
              <w:spacing w:line="266" w:lineRule="auto"/>
              <w:rPr>
                <w:rFonts w:ascii="宋体" w:hAnsi="宋体" w:eastAsia="宋体" w:cs="Courier New"/>
                <w:color w:val="auto"/>
                <w:sz w:val="24"/>
                <w:szCs w:val="21"/>
                <w:highlight w:val="none"/>
              </w:rPr>
            </w:pPr>
            <w:r>
              <w:rPr>
                <w:rFonts w:hint="eastAsia" w:asciiTheme="minorEastAsia" w:hAnsiTheme="minorEastAsia" w:cstheme="minorEastAsia"/>
                <w:color w:val="auto"/>
                <w:sz w:val="24"/>
                <w:szCs w:val="24"/>
                <w:highlight w:val="none"/>
              </w:rPr>
              <w:t>“中国执行信息公开网”</w:t>
            </w:r>
            <w:r>
              <w:rPr>
                <w:rFonts w:hint="eastAsia" w:ascii="宋体" w:hAnsi="宋体" w:eastAsia="宋体" w:cs="Courier New"/>
                <w:color w:val="auto"/>
                <w:sz w:val="24"/>
                <w:szCs w:val="21"/>
                <w:highlight w:val="none"/>
              </w:rPr>
              <w:t>“信用中国”、“中国政府采购网”查询结果</w:t>
            </w:r>
          </w:p>
        </w:tc>
        <w:tc>
          <w:tcPr>
            <w:tcW w:w="5178" w:type="dxa"/>
            <w:tcBorders>
              <w:top w:val="single" w:color="auto" w:sz="4" w:space="0"/>
              <w:left w:val="nil"/>
              <w:bottom w:val="single" w:color="auto" w:sz="4" w:space="0"/>
              <w:right w:val="single" w:color="auto" w:sz="4" w:space="0"/>
            </w:tcBorders>
            <w:vAlign w:val="center"/>
          </w:tcPr>
          <w:p w14:paraId="33191E62">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007C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20AFF712">
            <w:pPr>
              <w:spacing w:line="360" w:lineRule="auto"/>
              <w:jc w:val="center"/>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45223979">
            <w:pPr>
              <w:widowControl/>
              <w:jc w:val="left"/>
              <w:rPr>
                <w:rFonts w:ascii="宋体" w:hAnsi="宋体" w:eastAsia="宋体" w:cs="Times New Roman"/>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5DBB7D9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“国家企业信用信息公示系统”查询结果</w:t>
            </w:r>
          </w:p>
        </w:tc>
        <w:tc>
          <w:tcPr>
            <w:tcW w:w="5178" w:type="dxa"/>
            <w:tcBorders>
              <w:top w:val="single" w:color="auto" w:sz="4" w:space="0"/>
              <w:left w:val="nil"/>
              <w:bottom w:val="single" w:color="auto" w:sz="4" w:space="0"/>
              <w:right w:val="single" w:color="auto" w:sz="4" w:space="0"/>
            </w:tcBorders>
            <w:vAlign w:val="center"/>
          </w:tcPr>
          <w:p w14:paraId="15D2E8E8">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0AF9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4AA09FE6">
            <w:pPr>
              <w:spacing w:line="360" w:lineRule="auto"/>
              <w:jc w:val="center"/>
              <w:rPr>
                <w:rFonts w:ascii="宋体" w:hAnsi="宋体" w:eastAsia="宋体" w:cs="Courier New"/>
                <w:color w:val="auto"/>
                <w:sz w:val="24"/>
                <w:szCs w:val="21"/>
                <w:highlight w:val="none"/>
              </w:rPr>
            </w:pPr>
          </w:p>
        </w:tc>
        <w:tc>
          <w:tcPr>
            <w:tcW w:w="987" w:type="dxa"/>
            <w:vMerge w:val="continue"/>
            <w:tcBorders>
              <w:left w:val="nil"/>
              <w:bottom w:val="single" w:color="auto" w:sz="4" w:space="0"/>
              <w:right w:val="single" w:color="auto" w:sz="4" w:space="0"/>
            </w:tcBorders>
            <w:vAlign w:val="center"/>
          </w:tcPr>
          <w:p w14:paraId="64B4C215">
            <w:pPr>
              <w:widowControl/>
              <w:jc w:val="left"/>
              <w:rPr>
                <w:rFonts w:ascii="宋体" w:hAnsi="宋体" w:eastAsia="宋体" w:cs="Times New Roman"/>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417FB30D">
            <w:pPr>
              <w:spacing w:line="266" w:lineRule="auto"/>
              <w:rPr>
                <w:rFonts w:ascii="宋体" w:hAnsi="宋体" w:eastAsia="宋体" w:cs="Courier New"/>
                <w:color w:val="auto"/>
                <w:sz w:val="24"/>
                <w:szCs w:val="21"/>
                <w:highlight w:val="none"/>
              </w:rPr>
            </w:pPr>
            <w:r>
              <w:rPr>
                <w:rFonts w:hint="eastAsia" w:ascii="宋体" w:hAnsi="宋体" w:eastAsia="宋体" w:cs="宋体"/>
                <w:color w:val="auto"/>
                <w:spacing w:val="-1"/>
                <w:sz w:val="24"/>
                <w:szCs w:val="24"/>
                <w:highlight w:val="none"/>
              </w:rPr>
              <w:t>本项目不接受联合体投标</w:t>
            </w:r>
          </w:p>
        </w:tc>
        <w:tc>
          <w:tcPr>
            <w:tcW w:w="5178" w:type="dxa"/>
            <w:tcBorders>
              <w:top w:val="single" w:color="auto" w:sz="4" w:space="0"/>
              <w:left w:val="nil"/>
              <w:bottom w:val="single" w:color="auto" w:sz="4" w:space="0"/>
              <w:right w:val="single" w:color="auto" w:sz="4" w:space="0"/>
            </w:tcBorders>
            <w:vAlign w:val="center"/>
          </w:tcPr>
          <w:p w14:paraId="6425365C">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4F21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374BF090">
            <w:pPr>
              <w:spacing w:line="360" w:lineRule="auto"/>
              <w:jc w:val="center"/>
              <w:rPr>
                <w:rFonts w:ascii="宋体" w:hAnsi="宋体" w:eastAsia="宋体" w:cs="Courier New"/>
                <w:color w:val="auto"/>
                <w:sz w:val="24"/>
                <w:szCs w:val="21"/>
                <w:highlight w:val="none"/>
              </w:rPr>
            </w:pPr>
          </w:p>
        </w:tc>
        <w:tc>
          <w:tcPr>
            <w:tcW w:w="987" w:type="dxa"/>
            <w:vMerge w:val="restart"/>
            <w:tcBorders>
              <w:left w:val="nil"/>
              <w:right w:val="single" w:color="auto" w:sz="4" w:space="0"/>
            </w:tcBorders>
            <w:vAlign w:val="center"/>
          </w:tcPr>
          <w:p w14:paraId="1FC2B6DE">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符</w:t>
            </w:r>
          </w:p>
          <w:p w14:paraId="1AC0474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合</w:t>
            </w:r>
          </w:p>
          <w:p w14:paraId="093117C7">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性</w:t>
            </w:r>
          </w:p>
          <w:p w14:paraId="24909E79">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4969D20D">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14:paraId="53C06724">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14:paraId="7605FB61">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771" w:type="dxa"/>
            <w:tcBorders>
              <w:top w:val="single" w:color="auto" w:sz="4" w:space="0"/>
              <w:left w:val="nil"/>
              <w:bottom w:val="single" w:color="auto" w:sz="4" w:space="0"/>
              <w:right w:val="single" w:color="auto" w:sz="4" w:space="0"/>
            </w:tcBorders>
            <w:vAlign w:val="center"/>
          </w:tcPr>
          <w:p w14:paraId="56BCFC91">
            <w:pPr>
              <w:spacing w:line="266" w:lineRule="auto"/>
              <w:jc w:val="center"/>
              <w:rPr>
                <w:rFonts w:ascii="宋体" w:hAnsi="宋体" w:eastAsia="宋体" w:cs="宋体"/>
                <w:color w:val="auto"/>
                <w:spacing w:val="-1"/>
                <w:sz w:val="24"/>
                <w:szCs w:val="24"/>
                <w:highlight w:val="none"/>
              </w:rPr>
            </w:pPr>
            <w:r>
              <w:rPr>
                <w:rFonts w:hint="eastAsia" w:ascii="宋体" w:hAnsi="宋体" w:eastAsia="宋体" w:cs="Courier New"/>
                <w:color w:val="auto"/>
                <w:sz w:val="24"/>
                <w:szCs w:val="21"/>
                <w:highlight w:val="none"/>
              </w:rPr>
              <w:t>供应商名称</w:t>
            </w:r>
          </w:p>
        </w:tc>
        <w:tc>
          <w:tcPr>
            <w:tcW w:w="5178" w:type="dxa"/>
            <w:tcBorders>
              <w:top w:val="single" w:color="auto" w:sz="4" w:space="0"/>
              <w:left w:val="nil"/>
              <w:bottom w:val="single" w:color="auto" w:sz="4" w:space="0"/>
              <w:right w:val="single" w:color="auto" w:sz="4" w:space="0"/>
            </w:tcBorders>
            <w:vAlign w:val="center"/>
          </w:tcPr>
          <w:p w14:paraId="267F462F">
            <w:pPr>
              <w:spacing w:line="266" w:lineRule="auto"/>
              <w:rPr>
                <w:rFonts w:ascii="宋体" w:hAnsi="宋体" w:eastAsia="宋体" w:cs="宋体"/>
                <w:color w:val="auto"/>
                <w:sz w:val="24"/>
                <w:szCs w:val="21"/>
                <w:highlight w:val="none"/>
              </w:rPr>
            </w:pPr>
            <w:r>
              <w:rPr>
                <w:rFonts w:hint="eastAsia" w:ascii="宋体" w:hAnsi="宋体" w:eastAsia="宋体" w:cs="Courier New"/>
                <w:color w:val="auto"/>
                <w:sz w:val="24"/>
                <w:szCs w:val="21"/>
                <w:highlight w:val="none"/>
              </w:rPr>
              <w:t>与营业执照一致</w:t>
            </w:r>
          </w:p>
        </w:tc>
      </w:tr>
      <w:tr w14:paraId="15A7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0F7C8107">
            <w:pPr>
              <w:spacing w:line="360" w:lineRule="auto"/>
              <w:jc w:val="center"/>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1B8388E3">
            <w:pPr>
              <w:spacing w:line="360" w:lineRule="auto"/>
              <w:jc w:val="center"/>
              <w:rPr>
                <w:rFonts w:ascii="宋体" w:hAnsi="宋体" w:eastAsia="宋体" w:cs="Courier New"/>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16BC7DD9">
            <w:pPr>
              <w:spacing w:line="266" w:lineRule="auto"/>
              <w:jc w:val="center"/>
              <w:rPr>
                <w:rFonts w:ascii="宋体" w:hAnsi="宋体" w:eastAsia="宋体" w:cs="宋体"/>
                <w:color w:val="auto"/>
                <w:sz w:val="24"/>
                <w:szCs w:val="21"/>
                <w:highlight w:val="none"/>
              </w:rPr>
            </w:pPr>
            <w:r>
              <w:rPr>
                <w:rFonts w:hint="eastAsia" w:ascii="宋体" w:hAnsi="宋体" w:eastAsia="宋体" w:cs="Courier New"/>
                <w:color w:val="auto"/>
                <w:sz w:val="24"/>
                <w:szCs w:val="21"/>
                <w:highlight w:val="none"/>
              </w:rPr>
              <w:t>签字盖章</w:t>
            </w:r>
          </w:p>
        </w:tc>
        <w:tc>
          <w:tcPr>
            <w:tcW w:w="5178" w:type="dxa"/>
            <w:tcBorders>
              <w:top w:val="single" w:color="auto" w:sz="4" w:space="0"/>
              <w:left w:val="nil"/>
              <w:bottom w:val="single" w:color="auto" w:sz="4" w:space="0"/>
              <w:right w:val="single" w:color="auto" w:sz="4" w:space="0"/>
            </w:tcBorders>
            <w:vAlign w:val="center"/>
          </w:tcPr>
          <w:p w14:paraId="01D8CB31">
            <w:pPr>
              <w:spacing w:line="266" w:lineRule="auto"/>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磋商文件中要求法定代表人或授权委托人签字或盖章的，投标人在进行电子化响应文件签章时，以签盖法定代表人签章为准</w:t>
            </w:r>
          </w:p>
        </w:tc>
      </w:tr>
      <w:tr w14:paraId="4E69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211E33FB">
            <w:pPr>
              <w:spacing w:line="360" w:lineRule="auto"/>
              <w:jc w:val="center"/>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285F9DB0">
            <w:pPr>
              <w:spacing w:line="360" w:lineRule="auto"/>
              <w:jc w:val="center"/>
              <w:rPr>
                <w:rFonts w:ascii="宋体" w:hAnsi="宋体" w:eastAsia="宋体" w:cs="Courier New"/>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4FD47BA0">
            <w:pPr>
              <w:spacing w:line="266" w:lineRule="auto"/>
              <w:jc w:val="center"/>
              <w:rPr>
                <w:rFonts w:ascii="宋体" w:hAnsi="宋体" w:eastAsia="宋体" w:cs="宋体"/>
                <w:color w:val="auto"/>
                <w:sz w:val="24"/>
                <w:szCs w:val="21"/>
                <w:highlight w:val="none"/>
              </w:rPr>
            </w:pPr>
            <w:r>
              <w:rPr>
                <w:rFonts w:hint="eastAsia" w:ascii="宋体" w:hAnsi="宋体" w:eastAsia="宋体" w:cs="Courier New"/>
                <w:color w:val="auto"/>
                <w:sz w:val="24"/>
                <w:szCs w:val="21"/>
                <w:highlight w:val="none"/>
              </w:rPr>
              <w:t>报价唯一</w:t>
            </w:r>
          </w:p>
        </w:tc>
        <w:tc>
          <w:tcPr>
            <w:tcW w:w="5178" w:type="dxa"/>
            <w:tcBorders>
              <w:top w:val="single" w:color="auto" w:sz="4" w:space="0"/>
              <w:left w:val="nil"/>
              <w:bottom w:val="single" w:color="auto" w:sz="4" w:space="0"/>
              <w:right w:val="single" w:color="auto" w:sz="4" w:space="0"/>
            </w:tcBorders>
            <w:vAlign w:val="center"/>
          </w:tcPr>
          <w:p w14:paraId="69BFF65B">
            <w:pPr>
              <w:spacing w:line="266" w:lineRule="auto"/>
              <w:rPr>
                <w:rFonts w:ascii="宋体" w:hAnsi="宋体" w:eastAsia="宋体" w:cs="宋体"/>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14:paraId="4A52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0794B28E">
            <w:pPr>
              <w:spacing w:line="360" w:lineRule="auto"/>
              <w:jc w:val="center"/>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6B04E4BB">
            <w:pPr>
              <w:spacing w:line="360" w:lineRule="auto"/>
              <w:jc w:val="center"/>
              <w:rPr>
                <w:rFonts w:ascii="宋体" w:hAnsi="宋体" w:eastAsia="宋体" w:cs="Courier New"/>
                <w:color w:val="auto"/>
                <w:sz w:val="24"/>
                <w:szCs w:val="21"/>
                <w:highlight w:val="none"/>
              </w:rPr>
            </w:pPr>
          </w:p>
        </w:tc>
        <w:tc>
          <w:tcPr>
            <w:tcW w:w="2771" w:type="dxa"/>
            <w:tcBorders>
              <w:top w:val="single" w:color="auto" w:sz="4" w:space="0"/>
              <w:left w:val="nil"/>
              <w:bottom w:val="single" w:color="auto" w:sz="4" w:space="0"/>
              <w:right w:val="single" w:color="auto" w:sz="4" w:space="0"/>
            </w:tcBorders>
          </w:tcPr>
          <w:p w14:paraId="4CE6E292">
            <w:pPr>
              <w:pStyle w:val="36"/>
              <w:spacing w:before="128" w:line="221" w:lineRule="auto"/>
              <w:ind w:left="395"/>
              <w:rPr>
                <w:color w:val="auto"/>
                <w:szCs w:val="21"/>
                <w:highlight w:val="none"/>
              </w:rPr>
            </w:pPr>
            <w:r>
              <w:rPr>
                <w:rFonts w:hint="eastAsia"/>
                <w:color w:val="auto"/>
                <w:spacing w:val="-2"/>
                <w:highlight w:val="none"/>
              </w:rPr>
              <w:t>响应文件格式</w:t>
            </w:r>
          </w:p>
        </w:tc>
        <w:tc>
          <w:tcPr>
            <w:tcW w:w="5178" w:type="dxa"/>
            <w:tcBorders>
              <w:top w:val="single" w:color="auto" w:sz="4" w:space="0"/>
              <w:left w:val="nil"/>
              <w:bottom w:val="single" w:color="auto" w:sz="4" w:space="0"/>
              <w:right w:val="single" w:color="auto" w:sz="4" w:space="0"/>
            </w:tcBorders>
          </w:tcPr>
          <w:p w14:paraId="6F9C55C0">
            <w:pPr>
              <w:pStyle w:val="36"/>
              <w:spacing w:before="128" w:line="220" w:lineRule="auto"/>
              <w:ind w:left="115"/>
              <w:rPr>
                <w:color w:val="auto"/>
                <w:szCs w:val="21"/>
                <w:highlight w:val="none"/>
              </w:rPr>
            </w:pPr>
            <w:r>
              <w:rPr>
                <w:rFonts w:hint="eastAsia"/>
                <w:color w:val="auto"/>
                <w:highlight w:val="none"/>
              </w:rPr>
              <w:t>符合“响应文件格式”的要求</w:t>
            </w:r>
          </w:p>
        </w:tc>
      </w:tr>
      <w:tr w14:paraId="5886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3D1CF616">
            <w:pPr>
              <w:spacing w:line="360" w:lineRule="auto"/>
              <w:jc w:val="center"/>
              <w:rPr>
                <w:rFonts w:ascii="宋体" w:hAnsi="宋体" w:eastAsia="宋体" w:cs="Courier New"/>
                <w:color w:val="auto"/>
                <w:sz w:val="24"/>
                <w:szCs w:val="21"/>
                <w:highlight w:val="none"/>
              </w:rPr>
            </w:pPr>
          </w:p>
        </w:tc>
        <w:tc>
          <w:tcPr>
            <w:tcW w:w="987" w:type="dxa"/>
            <w:vMerge w:val="restart"/>
            <w:tcBorders>
              <w:left w:val="nil"/>
              <w:right w:val="single" w:color="auto" w:sz="4" w:space="0"/>
            </w:tcBorders>
            <w:vAlign w:val="center"/>
          </w:tcPr>
          <w:p w14:paraId="5190C79F">
            <w:pPr>
              <w:spacing w:line="360" w:lineRule="auto"/>
              <w:jc w:val="center"/>
              <w:rPr>
                <w:rFonts w:hint="eastAsia" w:ascii="宋体" w:hAnsi="宋体" w:eastAsia="宋体" w:cs="Courier New"/>
                <w:color w:val="auto"/>
                <w:sz w:val="24"/>
                <w:szCs w:val="21"/>
                <w:highlight w:val="none"/>
                <w:lang w:val="en-US" w:eastAsia="zh-CN"/>
              </w:rPr>
            </w:pPr>
            <w:r>
              <w:rPr>
                <w:rFonts w:hint="eastAsia" w:ascii="宋体" w:hAnsi="宋体" w:eastAsia="宋体" w:cs="Courier New"/>
                <w:color w:val="auto"/>
                <w:sz w:val="24"/>
                <w:szCs w:val="21"/>
                <w:highlight w:val="none"/>
                <w:lang w:val="en-US" w:eastAsia="zh-CN"/>
              </w:rPr>
              <w:t>实</w:t>
            </w:r>
          </w:p>
          <w:p w14:paraId="55A0235E">
            <w:pPr>
              <w:spacing w:line="360" w:lineRule="auto"/>
              <w:jc w:val="center"/>
              <w:rPr>
                <w:rFonts w:hint="eastAsia" w:ascii="宋体" w:hAnsi="宋体" w:eastAsia="宋体" w:cs="Courier New"/>
                <w:color w:val="auto"/>
                <w:sz w:val="24"/>
                <w:szCs w:val="21"/>
                <w:highlight w:val="none"/>
                <w:lang w:eastAsia="zh-CN"/>
              </w:rPr>
            </w:pPr>
            <w:r>
              <w:rPr>
                <w:rFonts w:hint="eastAsia" w:ascii="宋体" w:hAnsi="宋体" w:eastAsia="宋体" w:cs="Courier New"/>
                <w:color w:val="auto"/>
                <w:sz w:val="24"/>
                <w:szCs w:val="21"/>
                <w:highlight w:val="none"/>
                <w:lang w:val="en-US" w:eastAsia="zh-CN"/>
              </w:rPr>
              <w:t>质</w:t>
            </w:r>
          </w:p>
          <w:p w14:paraId="2C81BC9D">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性</w:t>
            </w:r>
          </w:p>
          <w:p w14:paraId="73843F6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7375681A">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14:paraId="418B7DB3">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14:paraId="724B1CBE">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771" w:type="dxa"/>
            <w:tcBorders>
              <w:top w:val="single" w:color="auto" w:sz="4" w:space="0"/>
              <w:left w:val="nil"/>
              <w:bottom w:val="single" w:color="auto" w:sz="4" w:space="0"/>
              <w:right w:val="single" w:color="auto" w:sz="4" w:space="0"/>
            </w:tcBorders>
            <w:vAlign w:val="center"/>
          </w:tcPr>
          <w:p w14:paraId="294D522C">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交货期</w:t>
            </w:r>
          </w:p>
        </w:tc>
        <w:tc>
          <w:tcPr>
            <w:tcW w:w="5178" w:type="dxa"/>
            <w:tcBorders>
              <w:top w:val="single" w:color="auto" w:sz="4" w:space="0"/>
              <w:left w:val="nil"/>
              <w:bottom w:val="single" w:color="auto" w:sz="4" w:space="0"/>
              <w:right w:val="single" w:color="auto" w:sz="4" w:space="0"/>
            </w:tcBorders>
            <w:vAlign w:val="center"/>
          </w:tcPr>
          <w:p w14:paraId="63CDFC1C">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62E4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2F94D36">
            <w:pPr>
              <w:spacing w:line="360" w:lineRule="auto"/>
              <w:jc w:val="center"/>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383D2C3E">
            <w:pPr>
              <w:spacing w:line="360" w:lineRule="auto"/>
              <w:jc w:val="center"/>
              <w:rPr>
                <w:rFonts w:ascii="宋体" w:hAnsi="宋体" w:eastAsia="宋体" w:cs="Courier New"/>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5ED2A16E">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交货地点</w:t>
            </w:r>
          </w:p>
        </w:tc>
        <w:tc>
          <w:tcPr>
            <w:tcW w:w="5178" w:type="dxa"/>
            <w:tcBorders>
              <w:top w:val="single" w:color="auto" w:sz="4" w:space="0"/>
              <w:left w:val="nil"/>
              <w:bottom w:val="single" w:color="auto" w:sz="4" w:space="0"/>
              <w:right w:val="single" w:color="auto" w:sz="4" w:space="0"/>
            </w:tcBorders>
            <w:vAlign w:val="center"/>
          </w:tcPr>
          <w:p w14:paraId="146FC164">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0059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26" w:type="dxa"/>
            <w:vMerge w:val="continue"/>
            <w:tcBorders>
              <w:left w:val="single" w:color="auto" w:sz="4" w:space="0"/>
              <w:right w:val="single" w:color="auto" w:sz="4" w:space="0"/>
            </w:tcBorders>
            <w:vAlign w:val="center"/>
          </w:tcPr>
          <w:p w14:paraId="7B28AA95">
            <w:pPr>
              <w:widowControl/>
              <w:jc w:val="left"/>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6A15AF07">
            <w:pPr>
              <w:widowControl/>
              <w:jc w:val="left"/>
              <w:rPr>
                <w:rFonts w:ascii="宋体" w:hAnsi="宋体" w:eastAsia="宋体" w:cs="Courier New"/>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69F76DA8">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178" w:type="dxa"/>
            <w:tcBorders>
              <w:top w:val="single" w:color="auto" w:sz="4" w:space="0"/>
              <w:left w:val="nil"/>
              <w:bottom w:val="single" w:color="auto" w:sz="4" w:space="0"/>
              <w:right w:val="single" w:color="auto" w:sz="4" w:space="0"/>
            </w:tcBorders>
            <w:vAlign w:val="center"/>
          </w:tcPr>
          <w:p w14:paraId="447E47B1">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7408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26" w:type="dxa"/>
            <w:vMerge w:val="continue"/>
            <w:tcBorders>
              <w:left w:val="single" w:color="auto" w:sz="4" w:space="0"/>
              <w:right w:val="single" w:color="auto" w:sz="4" w:space="0"/>
            </w:tcBorders>
            <w:vAlign w:val="center"/>
          </w:tcPr>
          <w:p w14:paraId="4CEF9CBA">
            <w:pPr>
              <w:widowControl/>
              <w:jc w:val="left"/>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2574935B">
            <w:pPr>
              <w:widowControl/>
              <w:jc w:val="left"/>
              <w:rPr>
                <w:rFonts w:ascii="宋体" w:hAnsi="宋体" w:eastAsia="宋体" w:cs="Courier New"/>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1BCF9757">
            <w:pPr>
              <w:adjustRightInd w:val="0"/>
              <w:spacing w:line="360" w:lineRule="auto"/>
              <w:jc w:val="center"/>
              <w:textAlignment w:val="baseline"/>
              <w:rPr>
                <w:rFonts w:ascii="宋体" w:hAnsi="宋体" w:eastAsia="宋体" w:cs="宋体"/>
                <w:color w:val="auto"/>
                <w:sz w:val="24"/>
                <w:szCs w:val="21"/>
                <w:highlight w:val="none"/>
              </w:rPr>
            </w:pPr>
            <w:r>
              <w:rPr>
                <w:rFonts w:hint="eastAsia" w:asciiTheme="minorEastAsia" w:hAnsiTheme="minorEastAsia" w:cstheme="minorEastAsia"/>
                <w:color w:val="auto"/>
                <w:sz w:val="24"/>
                <w:szCs w:val="24"/>
                <w:highlight w:val="none"/>
              </w:rPr>
              <w:t>质保期</w:t>
            </w:r>
          </w:p>
        </w:tc>
        <w:tc>
          <w:tcPr>
            <w:tcW w:w="5178" w:type="dxa"/>
            <w:tcBorders>
              <w:top w:val="single" w:color="auto" w:sz="4" w:space="0"/>
              <w:left w:val="nil"/>
              <w:bottom w:val="single" w:color="auto" w:sz="4" w:space="0"/>
              <w:right w:val="single" w:color="auto" w:sz="4" w:space="0"/>
            </w:tcBorders>
            <w:vAlign w:val="center"/>
          </w:tcPr>
          <w:p w14:paraId="15E23ADE">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一年</w:t>
            </w:r>
          </w:p>
        </w:tc>
      </w:tr>
      <w:tr w14:paraId="4592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26" w:type="dxa"/>
            <w:vMerge w:val="continue"/>
            <w:tcBorders>
              <w:left w:val="single" w:color="auto" w:sz="4" w:space="0"/>
              <w:right w:val="single" w:color="auto" w:sz="4" w:space="0"/>
            </w:tcBorders>
            <w:vAlign w:val="center"/>
          </w:tcPr>
          <w:p w14:paraId="37EC7D28">
            <w:pPr>
              <w:widowControl/>
              <w:jc w:val="left"/>
              <w:rPr>
                <w:rFonts w:ascii="宋体" w:hAnsi="宋体" w:eastAsia="宋体" w:cs="Courier New"/>
                <w:color w:val="auto"/>
                <w:sz w:val="24"/>
                <w:szCs w:val="21"/>
                <w:highlight w:val="none"/>
              </w:rPr>
            </w:pPr>
          </w:p>
        </w:tc>
        <w:tc>
          <w:tcPr>
            <w:tcW w:w="987" w:type="dxa"/>
            <w:vMerge w:val="continue"/>
            <w:tcBorders>
              <w:left w:val="nil"/>
              <w:bottom w:val="single" w:color="auto" w:sz="4" w:space="0"/>
              <w:right w:val="single" w:color="auto" w:sz="4" w:space="0"/>
            </w:tcBorders>
            <w:vAlign w:val="center"/>
          </w:tcPr>
          <w:p w14:paraId="28F5D9CD">
            <w:pPr>
              <w:widowControl/>
              <w:jc w:val="left"/>
              <w:rPr>
                <w:rFonts w:ascii="宋体" w:hAnsi="宋体" w:eastAsia="宋体" w:cs="Courier New"/>
                <w:color w:val="auto"/>
                <w:sz w:val="24"/>
                <w:szCs w:val="21"/>
                <w:highlight w:val="none"/>
              </w:rPr>
            </w:pPr>
          </w:p>
        </w:tc>
        <w:tc>
          <w:tcPr>
            <w:tcW w:w="2771" w:type="dxa"/>
            <w:tcBorders>
              <w:top w:val="single" w:color="auto" w:sz="4" w:space="0"/>
              <w:left w:val="nil"/>
              <w:bottom w:val="single" w:color="auto" w:sz="4" w:space="0"/>
              <w:right w:val="single" w:color="auto" w:sz="4" w:space="0"/>
            </w:tcBorders>
            <w:vAlign w:val="center"/>
          </w:tcPr>
          <w:p w14:paraId="73597AA0">
            <w:pPr>
              <w:spacing w:line="360" w:lineRule="auto"/>
              <w:jc w:val="center"/>
              <w:rPr>
                <w:rFonts w:asciiTheme="minorEastAsia" w:hAnsiTheme="minorEastAsia" w:cstheme="minorEastAsia"/>
                <w:color w:val="auto"/>
                <w:sz w:val="24"/>
                <w:szCs w:val="24"/>
                <w:highlight w:val="none"/>
              </w:rPr>
            </w:pPr>
            <w:r>
              <w:rPr>
                <w:rFonts w:hint="eastAsia" w:ascii="宋体" w:hAnsi="宋体"/>
                <w:color w:val="auto"/>
                <w:sz w:val="24"/>
                <w:highlight w:val="none"/>
              </w:rPr>
              <w:t>磋商有效期</w:t>
            </w:r>
          </w:p>
        </w:tc>
        <w:tc>
          <w:tcPr>
            <w:tcW w:w="5178" w:type="dxa"/>
            <w:tcBorders>
              <w:top w:val="single" w:color="auto" w:sz="4" w:space="0"/>
              <w:left w:val="nil"/>
              <w:bottom w:val="single" w:color="auto" w:sz="4" w:space="0"/>
              <w:right w:val="single" w:color="auto" w:sz="4" w:space="0"/>
            </w:tcBorders>
            <w:vAlign w:val="center"/>
          </w:tcPr>
          <w:p w14:paraId="4221A46C">
            <w:pPr>
              <w:spacing w:line="360" w:lineRule="auto"/>
              <w:rPr>
                <w:rFonts w:ascii="宋体" w:hAnsi="宋体" w:eastAsia="宋体" w:cs="宋体"/>
                <w:color w:val="auto"/>
                <w:sz w:val="24"/>
                <w:szCs w:val="21"/>
                <w:highlight w:val="none"/>
              </w:rPr>
            </w:pPr>
            <w:r>
              <w:rPr>
                <w:rFonts w:hint="eastAsia" w:ascii="宋体" w:hAnsi="宋体"/>
                <w:color w:val="auto"/>
                <w:sz w:val="24"/>
                <w:highlight w:val="none"/>
              </w:rPr>
              <w:t>符合磋商文件规定</w:t>
            </w:r>
          </w:p>
        </w:tc>
      </w:tr>
    </w:tbl>
    <w:p w14:paraId="784CCC35">
      <w:pPr>
        <w:widowControl/>
        <w:jc w:val="left"/>
        <w:rPr>
          <w:rFonts w:ascii="宋体" w:hAnsi="宋体" w:cs="Calibri"/>
          <w:b/>
          <w:bCs/>
          <w:color w:val="auto"/>
          <w:kern w:val="0"/>
          <w:sz w:val="24"/>
          <w:highlight w:val="none"/>
        </w:rPr>
      </w:pPr>
    </w:p>
    <w:p w14:paraId="5530A27F">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p w14:paraId="4551CFEE">
      <w:pPr>
        <w:widowControl/>
        <w:jc w:val="center"/>
        <w:rPr>
          <w:rFonts w:ascii="宋体" w:hAnsi="宋体" w:eastAsia="宋体" w:cs="宋体"/>
          <w:color w:val="auto"/>
          <w:sz w:val="24"/>
          <w:szCs w:val="32"/>
          <w:highlight w:val="none"/>
        </w:rPr>
      </w:pPr>
      <w:bookmarkStart w:id="162" w:name="_Toc512514899"/>
      <w:bookmarkEnd w:id="162"/>
      <w:bookmarkStart w:id="163" w:name="_Toc16770583"/>
      <w:bookmarkEnd w:id="163"/>
      <w:bookmarkStart w:id="164" w:name="_Toc517179004"/>
      <w:bookmarkEnd w:id="164"/>
      <w:bookmarkStart w:id="165" w:name="_Toc528078063"/>
      <w:bookmarkEnd w:id="165"/>
      <w:bookmarkStart w:id="166" w:name="_Toc13219"/>
      <w:bookmarkStart w:id="167" w:name="_Toc43302814"/>
      <w:r>
        <w:rPr>
          <w:rFonts w:hint="eastAsia" w:ascii="宋体" w:hAnsi="宋体" w:eastAsia="宋体" w:cs="宋体"/>
          <w:color w:val="auto"/>
          <w:sz w:val="24"/>
          <w:szCs w:val="32"/>
          <w:highlight w:val="none"/>
        </w:rPr>
        <w:t>评分标准</w:t>
      </w:r>
      <w:bookmarkEnd w:id="166"/>
      <w:bookmarkEnd w:id="167"/>
    </w:p>
    <w:p w14:paraId="357B19AC">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分值构成(总分100分) 报价分：30分；技术分：40分；商务分：30分；</w:t>
      </w:r>
    </w:p>
    <w:p w14:paraId="0928F34C">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综合得分按公式计算：综合得分=报价得分＋技术得分＋商务得分；</w:t>
      </w:r>
    </w:p>
    <w:p w14:paraId="3BD65F8B">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供应商综合得分按下列公式计算（计算分值均保留两位小数）；</w:t>
      </w:r>
    </w:p>
    <w:tbl>
      <w:tblPr>
        <w:tblStyle w:val="17"/>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18A9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14:paraId="62D4CB88">
            <w:pPr>
              <w:widowControl/>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tc>
        <w:tc>
          <w:tcPr>
            <w:tcW w:w="1232" w:type="dxa"/>
            <w:tcBorders>
              <w:top w:val="single" w:color="auto" w:sz="4" w:space="0"/>
              <w:left w:val="nil"/>
              <w:bottom w:val="single" w:color="auto" w:sz="4" w:space="0"/>
              <w:right w:val="single" w:color="auto" w:sz="4" w:space="0"/>
            </w:tcBorders>
          </w:tcPr>
          <w:p w14:paraId="259507FF">
            <w:pPr>
              <w:widowControl/>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749" w:type="dxa"/>
            <w:tcBorders>
              <w:top w:val="single" w:color="auto" w:sz="4" w:space="0"/>
              <w:left w:val="nil"/>
              <w:bottom w:val="single" w:color="auto" w:sz="4" w:space="0"/>
              <w:right w:val="single" w:color="auto" w:sz="4" w:space="0"/>
            </w:tcBorders>
          </w:tcPr>
          <w:p w14:paraId="4CF9989A">
            <w:pPr>
              <w:widowControl/>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426" w:type="dxa"/>
            <w:tcBorders>
              <w:top w:val="single" w:color="auto" w:sz="4" w:space="0"/>
              <w:left w:val="nil"/>
              <w:bottom w:val="single" w:color="auto" w:sz="4" w:space="0"/>
              <w:right w:val="single" w:color="auto" w:sz="4" w:space="0"/>
            </w:tcBorders>
          </w:tcPr>
          <w:p w14:paraId="53390873">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评分准则</w:t>
            </w:r>
          </w:p>
        </w:tc>
      </w:tr>
      <w:tr w14:paraId="3700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10B550BB">
            <w:pPr>
              <w:widowControl/>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52C34EBA">
            <w:pPr>
              <w:widowControl/>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981" w:type="dxa"/>
            <w:gridSpan w:val="2"/>
            <w:tcBorders>
              <w:top w:val="single" w:color="auto" w:sz="4" w:space="0"/>
              <w:left w:val="nil"/>
              <w:bottom w:val="single" w:color="auto" w:sz="4" w:space="0"/>
              <w:right w:val="single" w:color="auto" w:sz="4" w:space="0"/>
            </w:tcBorders>
            <w:vAlign w:val="center"/>
          </w:tcPr>
          <w:p w14:paraId="340170A0">
            <w:pPr>
              <w:widowControl/>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投标报价（30分）</w:t>
            </w:r>
          </w:p>
        </w:tc>
        <w:tc>
          <w:tcPr>
            <w:tcW w:w="6426" w:type="dxa"/>
            <w:tcBorders>
              <w:top w:val="single" w:color="auto" w:sz="4" w:space="0"/>
              <w:left w:val="nil"/>
              <w:bottom w:val="single" w:color="auto" w:sz="4" w:space="0"/>
              <w:right w:val="single" w:color="auto" w:sz="4" w:space="0"/>
            </w:tcBorders>
          </w:tcPr>
          <w:p w14:paraId="567713A3">
            <w:pPr>
              <w:widowControl/>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 30 分。</w:t>
            </w:r>
          </w:p>
          <w:p w14:paraId="333B8FCD">
            <w:pPr>
              <w:widowControl/>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投标报价得分=(评标基准价/投标报价)×30</w:t>
            </w:r>
          </w:p>
          <w:p w14:paraId="24E648C9">
            <w:pPr>
              <w:widowControl/>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注：1.根据《政府采购促进中小企业发展管理办法》（财库﹝2020﹞46 号）及《三门峡市财政局关于进一步优化提升政府采购营商环境有关事项通知》（三财购（2021）14 号）及《三门峡市财政局关于进一步加大政府采购支持中小企业发展有关事项的通知》（三财购（2022）9 号）的规定，对于非专门面向中小企业的项目</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对小型、微型企业的价格给予 10%～20%的扣除，本项目小型、微型企业按 20%扣除。对于中型企业的价格不予扣除。在货物采购项目中，供应商提供的货物既有中型企业制造，也有小微企业制造的，不享受20%的扣除。（注：小型、微型企业提供中型企业制造的货物的，视同为中型企业。）</w:t>
            </w:r>
          </w:p>
          <w:p w14:paraId="65D1D2ED">
            <w:pPr>
              <w:widowControl/>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所投小微企业报价=所投小微企业报价×（1-20%）</w:t>
            </w:r>
          </w:p>
          <w:p w14:paraId="5493C3CC">
            <w:pPr>
              <w:widowControl/>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2.根据财政部司法部《关于政府采购支持监狱企业发展有关问题的通知》（财库〔2014〕68号）规定，对于监狱企业视同为小型、微型企业，价格给予 20%的扣除。</w:t>
            </w:r>
          </w:p>
          <w:p w14:paraId="30F2F309">
            <w:pPr>
              <w:widowControl/>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所投监狱企业报价=所投监狱企业报价×（1-20%）</w:t>
            </w:r>
          </w:p>
          <w:p w14:paraId="76516A0F">
            <w:pPr>
              <w:widowControl/>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3.根据财政部民政部中国残疾人联合会《关于促进残疾人就业政府采购政策的通知》（财库〔2017〕141号）规定，对于残疾人福利性单位视同为小型、微型企业，价格给予 20%的扣除。</w:t>
            </w:r>
          </w:p>
          <w:p w14:paraId="2C5CFC80">
            <w:pPr>
              <w:widowControl/>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所投残疾人福利性单位企业报价=所投残疾人福利性单位企业报价×（1-20%）</w:t>
            </w:r>
          </w:p>
          <w:p w14:paraId="3ACEBCF8">
            <w:pPr>
              <w:widowControl/>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同一供应商，中小微企业、监狱企业、残疾人福利性单位的价格扣除优惠只享受一次，不得重复享受。</w:t>
            </w:r>
          </w:p>
          <w:p w14:paraId="0E74774C">
            <w:pPr>
              <w:widowControl/>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备注：评标委员会认为投标人的报价明显低于其他通过符合性审查投标人的报价，有可能影响产品质量或者不能诚信履约的，应当要求其在评标现场合理的时间内提供书面说明，必要时提交相关证明材料；供应商不能提供书面说明、证明材料，或者提供的书面说明、证明材料不能证明其报价合理性的，评审委员会应当将其作为无效投标（响应）处理。</w:t>
            </w:r>
          </w:p>
        </w:tc>
      </w:tr>
      <w:tr w14:paraId="35E9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300" w:type="dxa"/>
            <w:vMerge w:val="restart"/>
            <w:tcBorders>
              <w:top w:val="nil"/>
              <w:left w:val="single" w:color="auto" w:sz="4" w:space="0"/>
              <w:right w:val="single" w:color="auto" w:sz="4" w:space="0"/>
            </w:tcBorders>
            <w:vAlign w:val="center"/>
          </w:tcPr>
          <w:p w14:paraId="39E89EF9">
            <w:pPr>
              <w:widowControl/>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w:t>
            </w:r>
          </w:p>
          <w:p w14:paraId="69F23BA3">
            <w:pPr>
              <w:widowControl/>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（40分）</w:t>
            </w:r>
          </w:p>
        </w:tc>
        <w:tc>
          <w:tcPr>
            <w:tcW w:w="1981" w:type="dxa"/>
            <w:gridSpan w:val="2"/>
            <w:tcBorders>
              <w:top w:val="single" w:color="auto" w:sz="4" w:space="0"/>
              <w:left w:val="nil"/>
              <w:bottom w:val="single" w:color="auto" w:sz="4" w:space="0"/>
              <w:right w:val="single" w:color="auto" w:sz="4" w:space="0"/>
            </w:tcBorders>
            <w:vAlign w:val="center"/>
          </w:tcPr>
          <w:p w14:paraId="3C6E1666">
            <w:pPr>
              <w:adjustRightInd w:val="0"/>
              <w:spacing w:line="400" w:lineRule="exact"/>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技术参数</w:t>
            </w:r>
          </w:p>
          <w:p w14:paraId="53B07A65">
            <w:pPr>
              <w:adjustRightInd w:val="0"/>
              <w:spacing w:line="400" w:lineRule="exact"/>
              <w:jc w:val="center"/>
              <w:textAlignment w:val="baseline"/>
              <w:rPr>
                <w:rFonts w:ascii="宋体" w:hAnsi="宋体" w:eastAsia="宋体" w:cs="宋体"/>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tc>
        <w:tc>
          <w:tcPr>
            <w:tcW w:w="6426" w:type="dxa"/>
            <w:tcBorders>
              <w:top w:val="single" w:color="auto" w:sz="4" w:space="0"/>
              <w:left w:val="nil"/>
              <w:bottom w:val="single" w:color="auto" w:sz="4" w:space="0"/>
              <w:right w:val="single" w:color="auto" w:sz="4" w:space="0"/>
            </w:tcBorders>
            <w:vAlign w:val="center"/>
          </w:tcPr>
          <w:p w14:paraId="52DE4038">
            <w:pPr>
              <w:spacing w:line="360" w:lineRule="auto"/>
              <w:rPr>
                <w:rFonts w:ascii="宋体" w:hAnsi="宋体" w:eastAsia="宋体" w:cs="宋体"/>
                <w:color w:val="auto"/>
                <w:kern w:val="0"/>
                <w:sz w:val="24"/>
                <w:szCs w:val="24"/>
                <w:highlight w:val="none"/>
              </w:rPr>
            </w:pPr>
            <w:r>
              <w:rPr>
                <w:rFonts w:hint="eastAsia" w:ascii="宋体" w:hAnsi="宋体"/>
                <w:color w:val="auto"/>
                <w:sz w:val="24"/>
                <w:szCs w:val="24"/>
                <w:highlight w:val="none"/>
              </w:rPr>
              <w:t>投标产品技术性能指标完全满足磋商文件技术要求的得2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分；技术参数及需求中技术指标，不满足（负偏离）在2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分的基础上扣2分，扣完为止。</w:t>
            </w:r>
          </w:p>
        </w:tc>
      </w:tr>
      <w:tr w14:paraId="2770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300" w:type="dxa"/>
            <w:vMerge w:val="continue"/>
            <w:tcBorders>
              <w:left w:val="single" w:color="auto" w:sz="4" w:space="0"/>
              <w:right w:val="single" w:color="auto" w:sz="4" w:space="0"/>
            </w:tcBorders>
            <w:vAlign w:val="center"/>
          </w:tcPr>
          <w:p w14:paraId="12DD362B">
            <w:pPr>
              <w:widowControl/>
              <w:spacing w:line="360" w:lineRule="auto"/>
              <w:jc w:val="center"/>
              <w:rPr>
                <w:rFonts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076EDBE8">
            <w:pPr>
              <w:wordWrap w:val="0"/>
              <w:spacing w:line="36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供货、运输方案</w:t>
            </w:r>
          </w:p>
          <w:p w14:paraId="1A1FA783">
            <w:pPr>
              <w:adjustRightInd w:val="0"/>
              <w:spacing w:line="400" w:lineRule="exact"/>
              <w:jc w:val="center"/>
              <w:textAlignment w:val="baseline"/>
              <w:rPr>
                <w:rFonts w:ascii="宋体" w:hAnsi="宋体" w:eastAsia="宋体" w:cs="宋体"/>
                <w:color w:val="auto"/>
                <w:kern w:val="0"/>
                <w:sz w:val="24"/>
                <w:szCs w:val="24"/>
                <w:highlight w:val="none"/>
              </w:rPr>
            </w:pPr>
            <w:r>
              <w:rPr>
                <w:rFonts w:hint="eastAsia" w:ascii="宋体" w:hAnsi="宋体"/>
                <w:color w:val="auto"/>
                <w:kern w:val="0"/>
                <w:sz w:val="24"/>
                <w:szCs w:val="24"/>
                <w:highlight w:val="none"/>
              </w:rPr>
              <w:t>（6分）</w:t>
            </w:r>
          </w:p>
        </w:tc>
        <w:tc>
          <w:tcPr>
            <w:tcW w:w="6426" w:type="dxa"/>
            <w:tcBorders>
              <w:top w:val="single" w:color="auto" w:sz="4" w:space="0"/>
              <w:left w:val="nil"/>
              <w:bottom w:val="single" w:color="auto" w:sz="4" w:space="0"/>
              <w:right w:val="single" w:color="auto" w:sz="4" w:space="0"/>
            </w:tcBorders>
            <w:vAlign w:val="center"/>
          </w:tcPr>
          <w:p w14:paraId="31EB2969">
            <w:pPr>
              <w:spacing w:line="360" w:lineRule="auto"/>
              <w:rPr>
                <w:rFonts w:ascii="宋体" w:hAnsi="宋体"/>
                <w:color w:val="auto"/>
                <w:sz w:val="24"/>
                <w:szCs w:val="24"/>
                <w:highlight w:val="none"/>
              </w:rPr>
            </w:pPr>
            <w:r>
              <w:rPr>
                <w:rFonts w:hint="eastAsia" w:ascii="宋体" w:hAnsi="宋体"/>
                <w:color w:val="auto"/>
                <w:kern w:val="0"/>
                <w:sz w:val="24"/>
                <w:szCs w:val="24"/>
                <w:highlight w:val="none"/>
              </w:rPr>
              <w:t>1</w:t>
            </w:r>
            <w:r>
              <w:rPr>
                <w:rFonts w:hint="eastAsia" w:ascii="宋体" w:hAnsi="宋体"/>
                <w:color w:val="auto"/>
                <w:sz w:val="24"/>
                <w:szCs w:val="24"/>
                <w:highlight w:val="none"/>
              </w:rPr>
              <w:t>.供货、运输方案科学合理、全面、措施有保障的，得6分；</w:t>
            </w:r>
          </w:p>
          <w:p w14:paraId="42429F81">
            <w:pPr>
              <w:spacing w:line="360" w:lineRule="auto"/>
              <w:rPr>
                <w:rFonts w:ascii="宋体" w:hAnsi="宋体"/>
                <w:color w:val="auto"/>
                <w:sz w:val="24"/>
                <w:szCs w:val="24"/>
                <w:highlight w:val="none"/>
              </w:rPr>
            </w:pPr>
            <w:r>
              <w:rPr>
                <w:rFonts w:hint="eastAsia" w:ascii="宋体" w:hAnsi="宋体"/>
                <w:color w:val="auto"/>
                <w:sz w:val="24"/>
                <w:szCs w:val="24"/>
                <w:highlight w:val="none"/>
              </w:rPr>
              <w:t>2.不全面、不详尽或者个别方面不满足采购需求的，得4分；</w:t>
            </w:r>
          </w:p>
          <w:p w14:paraId="41465724">
            <w:pPr>
              <w:spacing w:line="360" w:lineRule="auto"/>
              <w:rPr>
                <w:rFonts w:ascii="宋体" w:hAnsi="宋体"/>
                <w:color w:val="auto"/>
                <w:sz w:val="24"/>
                <w:szCs w:val="24"/>
                <w:highlight w:val="none"/>
              </w:rPr>
            </w:pPr>
            <w:r>
              <w:rPr>
                <w:rFonts w:hint="eastAsia" w:ascii="宋体" w:hAnsi="宋体"/>
                <w:color w:val="auto"/>
                <w:sz w:val="24"/>
                <w:szCs w:val="24"/>
                <w:highlight w:val="none"/>
              </w:rPr>
              <w:t>3.不能满足采购需求的，得2分。</w:t>
            </w:r>
          </w:p>
          <w:p w14:paraId="46EA7558">
            <w:pPr>
              <w:spacing w:line="360" w:lineRule="auto"/>
              <w:rPr>
                <w:rFonts w:ascii="宋体" w:hAnsi="宋体" w:eastAsia="宋体" w:cs="宋体"/>
                <w:color w:val="auto"/>
                <w:sz w:val="24"/>
                <w:szCs w:val="24"/>
                <w:highlight w:val="none"/>
              </w:rPr>
            </w:pPr>
            <w:r>
              <w:rPr>
                <w:rFonts w:hint="eastAsia" w:ascii="宋体" w:hAnsi="宋体"/>
                <w:color w:val="auto"/>
                <w:sz w:val="24"/>
                <w:szCs w:val="24"/>
                <w:highlight w:val="none"/>
              </w:rPr>
              <w:t>4.未提供的得0分。</w:t>
            </w:r>
          </w:p>
        </w:tc>
      </w:tr>
      <w:tr w14:paraId="6EA7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3" w:hRule="atLeast"/>
          <w:jc w:val="center"/>
        </w:trPr>
        <w:tc>
          <w:tcPr>
            <w:tcW w:w="1300" w:type="dxa"/>
            <w:vMerge w:val="continue"/>
            <w:tcBorders>
              <w:left w:val="single" w:color="auto" w:sz="4" w:space="0"/>
              <w:right w:val="single" w:color="auto" w:sz="4" w:space="0"/>
            </w:tcBorders>
            <w:vAlign w:val="center"/>
          </w:tcPr>
          <w:p w14:paraId="18147CAA">
            <w:pPr>
              <w:widowControl/>
              <w:spacing w:line="360" w:lineRule="auto"/>
              <w:jc w:val="center"/>
              <w:rPr>
                <w:rFonts w:ascii="宋体" w:hAnsi="宋体" w:eastAsia="宋体" w:cs="宋体"/>
                <w:color w:val="auto"/>
                <w:sz w:val="24"/>
                <w:szCs w:val="24"/>
                <w:highlight w:val="none"/>
              </w:rPr>
            </w:pPr>
          </w:p>
        </w:tc>
        <w:tc>
          <w:tcPr>
            <w:tcW w:w="1981" w:type="dxa"/>
            <w:gridSpan w:val="2"/>
            <w:tcBorders>
              <w:top w:val="single" w:color="auto" w:sz="4" w:space="0"/>
              <w:left w:val="nil"/>
              <w:right w:val="single" w:color="auto" w:sz="4" w:space="0"/>
            </w:tcBorders>
            <w:vAlign w:val="center"/>
          </w:tcPr>
          <w:p w14:paraId="6F25B3FD">
            <w:pPr>
              <w:adjustRightInd w:val="0"/>
              <w:spacing w:line="400" w:lineRule="exact"/>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培训方案</w:t>
            </w:r>
          </w:p>
          <w:p w14:paraId="26CF7948">
            <w:pPr>
              <w:adjustRightInd w:val="0"/>
              <w:spacing w:line="400" w:lineRule="exact"/>
              <w:jc w:val="center"/>
              <w:textAlignment w:val="baseline"/>
              <w:rPr>
                <w:rFonts w:ascii="宋体" w:hAnsi="宋体" w:eastAsia="宋体" w:cs="宋体"/>
                <w:color w:val="auto"/>
                <w:kern w:val="0"/>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tc>
        <w:tc>
          <w:tcPr>
            <w:tcW w:w="6426" w:type="dxa"/>
            <w:tcBorders>
              <w:top w:val="single" w:color="auto" w:sz="4" w:space="0"/>
              <w:left w:val="nil"/>
              <w:bottom w:val="single" w:color="auto" w:sz="4" w:space="0"/>
              <w:right w:val="single" w:color="auto" w:sz="4" w:space="0"/>
            </w:tcBorders>
            <w:vAlign w:val="center"/>
          </w:tcPr>
          <w:p w14:paraId="6321853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1.供应商提供对技术人员进行技术培训使其能独立操作、排除简单故障等培训方案，根据各供应商的人员培训计划、培训内容、培训方式、培训时间等情况进行打分，内容齐全、合理、可实施性满足需求的得</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分；</w:t>
            </w:r>
          </w:p>
          <w:p w14:paraId="0B82BD6D">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内容基本齐全、合理、可实施性基本满足得2分；</w:t>
            </w:r>
          </w:p>
          <w:p w14:paraId="434EE097">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内容笼统、一般、可实施性欠完备的得1分；</w:t>
            </w:r>
          </w:p>
          <w:p w14:paraId="24C5A884">
            <w:pPr>
              <w:spacing w:line="360" w:lineRule="auto"/>
              <w:rPr>
                <w:rFonts w:ascii="宋体" w:hAnsi="宋体" w:eastAsia="宋体" w:cs="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未提供或者不符合项目需求的</w:t>
            </w:r>
            <w:r>
              <w:rPr>
                <w:rFonts w:hint="eastAsia" w:ascii="宋体" w:hAnsi="宋体"/>
                <w:color w:val="auto"/>
                <w:sz w:val="24"/>
                <w:szCs w:val="24"/>
                <w:highlight w:val="none"/>
              </w:rPr>
              <w:t>得0分</w:t>
            </w:r>
            <w:r>
              <w:rPr>
                <w:rFonts w:hint="eastAsia" w:ascii="宋体" w:hAnsi="宋体" w:eastAsia="宋体"/>
                <w:color w:val="auto"/>
                <w:sz w:val="24"/>
                <w:szCs w:val="24"/>
                <w:highlight w:val="none"/>
              </w:rPr>
              <w:t>。</w:t>
            </w:r>
          </w:p>
        </w:tc>
      </w:tr>
      <w:tr w14:paraId="52CD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300" w:type="dxa"/>
            <w:vMerge w:val="continue"/>
            <w:tcBorders>
              <w:left w:val="single" w:color="auto" w:sz="4" w:space="0"/>
              <w:right w:val="single" w:color="auto" w:sz="4" w:space="0"/>
            </w:tcBorders>
            <w:vAlign w:val="center"/>
          </w:tcPr>
          <w:p w14:paraId="3FEF0A35">
            <w:pPr>
              <w:widowControl/>
              <w:spacing w:line="360" w:lineRule="auto"/>
              <w:jc w:val="center"/>
              <w:rPr>
                <w:rFonts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48BDB1D2">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安全和质量保证体系及措施</w:t>
            </w:r>
          </w:p>
          <w:p w14:paraId="5F9D5854">
            <w:pPr>
              <w:adjustRightInd w:val="0"/>
              <w:spacing w:line="400" w:lineRule="exact"/>
              <w:jc w:val="center"/>
              <w:textAlignment w:val="baseline"/>
              <w:rPr>
                <w:rFonts w:ascii="宋体" w:hAnsi="宋体" w:cs="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分）</w:t>
            </w:r>
          </w:p>
        </w:tc>
        <w:tc>
          <w:tcPr>
            <w:tcW w:w="6426" w:type="dxa"/>
            <w:tcBorders>
              <w:top w:val="single" w:color="auto" w:sz="4" w:space="0"/>
              <w:left w:val="nil"/>
              <w:bottom w:val="single" w:color="auto" w:sz="4" w:space="0"/>
              <w:right w:val="single" w:color="auto" w:sz="4" w:space="0"/>
            </w:tcBorders>
            <w:vAlign w:val="center"/>
          </w:tcPr>
          <w:p w14:paraId="3F1DDFE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根据供应商提供的安全和质量保证体系及措施进行评审：  有具体详细、可行的安全和质量保障体系及措施，得</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分；有较详细的安全和质量保障体系，措施完整但不够具体完善，得</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分；有安全和质量保障体系，保障措施一般，得2分；不提供或其它不得分。</w:t>
            </w:r>
          </w:p>
        </w:tc>
      </w:tr>
      <w:tr w14:paraId="1E08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00" w:type="dxa"/>
            <w:vMerge w:val="restart"/>
            <w:tcBorders>
              <w:left w:val="single" w:color="auto" w:sz="4" w:space="0"/>
              <w:right w:val="single" w:color="auto" w:sz="4" w:space="0"/>
            </w:tcBorders>
            <w:vAlign w:val="center"/>
          </w:tcPr>
          <w:p w14:paraId="7594A454">
            <w:pPr>
              <w:widowControl/>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商务标</w:t>
            </w:r>
          </w:p>
          <w:p w14:paraId="17CCC3C1">
            <w:pPr>
              <w:widowControl/>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981" w:type="dxa"/>
            <w:gridSpan w:val="2"/>
            <w:tcBorders>
              <w:top w:val="single" w:color="auto" w:sz="4" w:space="0"/>
              <w:left w:val="nil"/>
              <w:bottom w:val="single" w:color="auto" w:sz="4" w:space="0"/>
              <w:right w:val="single" w:color="auto" w:sz="4" w:space="0"/>
            </w:tcBorders>
            <w:vAlign w:val="center"/>
          </w:tcPr>
          <w:p w14:paraId="479E0096">
            <w:pPr>
              <w:adjustRightInd w:val="0"/>
              <w:spacing w:line="360" w:lineRule="auto"/>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w:t>
            </w:r>
          </w:p>
          <w:p w14:paraId="55802469">
            <w:pPr>
              <w:adjustRightInd w:val="0"/>
              <w:spacing w:line="360" w:lineRule="auto"/>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（15分）</w:t>
            </w:r>
          </w:p>
        </w:tc>
        <w:tc>
          <w:tcPr>
            <w:tcW w:w="6426" w:type="dxa"/>
            <w:tcBorders>
              <w:top w:val="single" w:color="auto" w:sz="4" w:space="0"/>
              <w:left w:val="nil"/>
              <w:bottom w:val="single" w:color="auto" w:sz="4" w:space="0"/>
              <w:right w:val="single" w:color="auto" w:sz="4" w:space="0"/>
            </w:tcBorders>
            <w:vAlign w:val="center"/>
          </w:tcPr>
          <w:p w14:paraId="222194F3">
            <w:pPr>
              <w:widowControl/>
              <w:spacing w:line="48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投标供应商或生产厂家根据本项目特点提供售后服务方案，方案内容及措施 (至少应包含但不限于：售后人员配备名单、售后响应时间、售后流程、售后服务承诺、故障解决流程、制造厂商售后服务承诺等) 进行分档计分：</w:t>
            </w:r>
          </w:p>
          <w:p w14:paraId="19C0FE48">
            <w:pPr>
              <w:widowControl/>
              <w:spacing w:line="48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第一档：方案思路清晰、合理、措施完善、科学、针对性强的计15分；</w:t>
            </w:r>
          </w:p>
          <w:p w14:paraId="37A9EA4C">
            <w:pPr>
              <w:widowControl/>
              <w:spacing w:line="48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第二档：方案思路较清晰、较合理、措施较完善、较科学、针对性较强的计10分；</w:t>
            </w:r>
          </w:p>
          <w:p w14:paraId="24CA41D0">
            <w:pPr>
              <w:widowControl/>
              <w:spacing w:line="48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第三档：方案思路欠清晰、欠合理、措施欠完善、欠科学、针对性一般的计5分；</w:t>
            </w:r>
          </w:p>
          <w:p w14:paraId="0B786CE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未提供的不计分。</w:t>
            </w:r>
          </w:p>
        </w:tc>
      </w:tr>
      <w:tr w14:paraId="1730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00" w:type="dxa"/>
            <w:vMerge w:val="continue"/>
            <w:tcBorders>
              <w:left w:val="single" w:color="auto" w:sz="4" w:space="0"/>
              <w:right w:val="single" w:color="auto" w:sz="4" w:space="0"/>
            </w:tcBorders>
            <w:vAlign w:val="center"/>
          </w:tcPr>
          <w:p w14:paraId="0D1C3949">
            <w:pPr>
              <w:widowControl/>
              <w:spacing w:line="360" w:lineRule="auto"/>
              <w:jc w:val="center"/>
              <w:rPr>
                <w:rFonts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59983293">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408B410E">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c>
          <w:tcPr>
            <w:tcW w:w="6426" w:type="dxa"/>
            <w:tcBorders>
              <w:top w:val="single" w:color="auto" w:sz="4" w:space="0"/>
              <w:left w:val="nil"/>
              <w:bottom w:val="single" w:color="auto" w:sz="4" w:space="0"/>
              <w:right w:val="single" w:color="auto" w:sz="4" w:space="0"/>
            </w:tcBorders>
            <w:vAlign w:val="center"/>
          </w:tcPr>
          <w:p w14:paraId="1A3FDA05">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供应商2023年1月1日以来具有类似项目业绩的，每提供一份得1分，最多得3分。（提供附清晰可辨的中标（成交）通知书或合同扫描件</w:t>
            </w:r>
            <w:r>
              <w:rPr>
                <w:rFonts w:ascii="宋体" w:hAnsi="宋体" w:eastAsia="宋体" w:cs="宋体"/>
                <w:color w:val="auto"/>
                <w:sz w:val="24"/>
                <w:szCs w:val="24"/>
                <w:highlight w:val="none"/>
              </w:rPr>
              <w:t>以落款时间为准</w:t>
            </w:r>
            <w:r>
              <w:rPr>
                <w:rFonts w:hint="eastAsia" w:ascii="宋体" w:hAnsi="宋体" w:eastAsia="宋体" w:cs="宋体"/>
                <w:color w:val="auto"/>
                <w:sz w:val="24"/>
                <w:szCs w:val="24"/>
                <w:highlight w:val="none"/>
              </w:rPr>
              <w:t>），否则将不予认可。</w:t>
            </w:r>
          </w:p>
        </w:tc>
      </w:tr>
      <w:tr w14:paraId="5540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left w:val="single" w:color="auto" w:sz="4" w:space="0"/>
              <w:bottom w:val="single" w:color="auto" w:sz="4" w:space="0"/>
              <w:right w:val="single" w:color="auto" w:sz="4" w:space="0"/>
            </w:tcBorders>
            <w:vAlign w:val="center"/>
          </w:tcPr>
          <w:p w14:paraId="034E8595">
            <w:pPr>
              <w:widowControl/>
              <w:spacing w:line="360" w:lineRule="auto"/>
              <w:rPr>
                <w:rFonts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6B652BF6">
            <w:pPr>
              <w:widowControl/>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应急保障方案（12分）</w:t>
            </w:r>
          </w:p>
        </w:tc>
        <w:tc>
          <w:tcPr>
            <w:tcW w:w="6426" w:type="dxa"/>
            <w:tcBorders>
              <w:top w:val="single" w:color="auto" w:sz="4" w:space="0"/>
              <w:left w:val="nil"/>
              <w:bottom w:val="single" w:color="auto" w:sz="4" w:space="0"/>
              <w:right w:val="single" w:color="auto" w:sz="4" w:space="0"/>
            </w:tcBorders>
            <w:vAlign w:val="center"/>
          </w:tcPr>
          <w:p w14:paraId="4BE3E23C">
            <w:pPr>
              <w:widowControl/>
              <w:spacing w:line="48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投标供应商或生产厂家根据本项目特点提供应急保障方案，方案内容及措施 (至少应包含但不限于：应急保障方案的可操作性、应急救援保障服务能力、 完整的应急救援体系、完善的风险保障措施等) 进行分档计分：</w:t>
            </w:r>
          </w:p>
          <w:p w14:paraId="6086F976">
            <w:pPr>
              <w:widowControl/>
              <w:spacing w:line="48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第一档：方案思路清晰、合理、措施完善、科学、针对性强的计12分；</w:t>
            </w:r>
          </w:p>
          <w:p w14:paraId="5153F578">
            <w:pPr>
              <w:widowControl/>
              <w:spacing w:line="48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第二档：方案思路较清晰、较合理、措施较完善、较科学、针对性较 强的计8分；</w:t>
            </w:r>
          </w:p>
          <w:p w14:paraId="163C72E0">
            <w:pPr>
              <w:widowControl/>
              <w:spacing w:line="48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第三档：方案思路欠清晰、欠合理、措施欠完善、欠科学、针对性一般的计3分；                                                  </w:t>
            </w:r>
          </w:p>
          <w:p w14:paraId="2C8ABAB2">
            <w:pPr>
              <w:widowControl/>
              <w:spacing w:line="48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未提供的不计分。</w:t>
            </w:r>
          </w:p>
        </w:tc>
      </w:tr>
    </w:tbl>
    <w:p w14:paraId="5A98362C">
      <w:pPr>
        <w:widowControl/>
        <w:spacing w:line="360" w:lineRule="auto"/>
        <w:rPr>
          <w:rFonts w:ascii="宋体" w:hAnsi="宋体" w:cs="Calibri"/>
          <w:color w:val="auto"/>
          <w:szCs w:val="21"/>
          <w:highlight w:val="none"/>
        </w:rPr>
      </w:pPr>
      <w:r>
        <w:rPr>
          <w:rFonts w:hint="eastAsia" w:ascii="宋体" w:hAnsi="宋体" w:cs="Calibri"/>
          <w:b/>
          <w:bCs/>
          <w:color w:val="auto"/>
          <w:kern w:val="0"/>
          <w:sz w:val="24"/>
          <w:highlight w:val="none"/>
        </w:rPr>
        <w:t>注：评分办法中要求材料均以原件扫描件为准，保证清晰可见。</w:t>
      </w:r>
    </w:p>
    <w:p w14:paraId="688C553A">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三、综合评分法</w:t>
      </w:r>
    </w:p>
    <w:p w14:paraId="36BFA01F">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3.1、本次采用综合评分法。</w:t>
      </w:r>
    </w:p>
    <w:p w14:paraId="1CEAF235">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26A0947A">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3113DE8B">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3.2、评分分值计算保留小数点后两位，小数点后第三位“四舍五入”。</w:t>
      </w:r>
    </w:p>
    <w:p w14:paraId="29D99A44">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73A47694">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3.4、磋商小组完成评审后，向采购人出具评审报告。</w:t>
      </w:r>
    </w:p>
    <w:p w14:paraId="65268A8F">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四、磋商程序 </w:t>
      </w:r>
    </w:p>
    <w:p w14:paraId="08CAB5D4">
      <w:pPr>
        <w:spacing w:line="48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初步评审 </w:t>
      </w:r>
    </w:p>
    <w:p w14:paraId="0351717A">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 xml:space="preserve">磋商小组依据本章附表 1 初步评审表规定的标准对磋商响应文件进行初步评审。有一项不符合评审标准的，作无效标处理。 </w:t>
      </w:r>
    </w:p>
    <w:p w14:paraId="6ADEE950">
      <w:pPr>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 xml:space="preserve">供应商有以下情形之一的，其磋商作无效标处理： </w:t>
      </w:r>
    </w:p>
    <w:p w14:paraId="27B10A0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14:paraId="1464D485">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（2）不按磋商小组要求澄清、说明或补正的。 </w:t>
      </w:r>
    </w:p>
    <w:p w14:paraId="4577BFB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52733E0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（1）磋商文件中的大写金额与小写金额不一致的，以大写金额为准； </w:t>
      </w:r>
    </w:p>
    <w:p w14:paraId="03894FC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（2）总价金额与依据单价计算出的结果不一致的，以单价金额为准修正总价，但单价金额小数点有明显错误的除外。 </w:t>
      </w:r>
    </w:p>
    <w:p w14:paraId="529EED14">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4.2详细评审 </w:t>
      </w:r>
    </w:p>
    <w:p w14:paraId="408ABA71">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4.2.1磋商小组按本章评标办法前附表规定的量化因素和分值进行打分，并计算出综合评估得分。 </w:t>
      </w:r>
    </w:p>
    <w:p w14:paraId="22AB07F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4.2.2在评审过程中，磋商小组发现供应商的磋商报价明显低于其他供应商的报价， 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highlight w:val="none"/>
        </w:rPr>
        <w:t>认定，属于恶性竞标的，可以按废标处理；磋商小组将不对无效响应文件或废标的供应商进行评审或打分。</w:t>
      </w:r>
      <w:r>
        <w:rPr>
          <w:rFonts w:hint="eastAsia" w:ascii="宋体" w:hAnsi="宋体" w:eastAsia="宋体" w:cs="宋体"/>
          <w:color w:val="auto"/>
          <w:sz w:val="24"/>
          <w:szCs w:val="24"/>
          <w:highlight w:val="none"/>
        </w:rPr>
        <w:t xml:space="preserve"> </w:t>
      </w:r>
    </w:p>
    <w:p w14:paraId="1A1695BF">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4.3磋商文件的澄清和补正 </w:t>
      </w:r>
    </w:p>
    <w:p w14:paraId="2E8F13FD">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081C7439">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4.3.2澄清、说明和补正不得改变磋商文件的实质性内容（算术性错误修正的除外）。供应商的澄清、说明和补正属于磋商响应文件的组成部分。 </w:t>
      </w:r>
    </w:p>
    <w:p w14:paraId="74CEC890">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4.3.3磋商小组对供应商提交的澄清、说明或补正有疑问的，可以要求供应商进一步澄清、说明或补正，直至满足磋商小组的要求。 </w:t>
      </w:r>
    </w:p>
    <w:p w14:paraId="2F269A8A">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4.4计分办法</w:t>
      </w:r>
    </w:p>
    <w:p w14:paraId="39E9173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3DA74CF0">
      <w:pPr>
        <w:widowControl/>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w:t>
      </w:r>
      <w:r>
        <w:rPr>
          <w:rFonts w:ascii="宋体" w:hAnsi="宋体" w:eastAsia="宋体" w:cs="宋体"/>
          <w:b/>
          <w:bCs/>
          <w:color w:val="auto"/>
          <w:sz w:val="24"/>
          <w:szCs w:val="24"/>
          <w:highlight w:val="none"/>
        </w:rPr>
        <w:t xml:space="preserve">政府采购政策 </w:t>
      </w:r>
    </w:p>
    <w:p w14:paraId="26D6352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政府采购政策详见第三章“供应商须知前附表”</w:t>
      </w:r>
    </w:p>
    <w:p w14:paraId="4361DE21">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对于本项目</w:t>
      </w:r>
      <w:r>
        <w:rPr>
          <w:rFonts w:ascii="宋体" w:hAnsi="宋体" w:eastAsia="宋体" w:cs="宋体"/>
          <w:color w:val="auto"/>
          <w:sz w:val="24"/>
          <w:szCs w:val="24"/>
          <w:highlight w:val="none"/>
        </w:rPr>
        <w:t>小型和微型企业产品均以扣除优惠比率后的价格作为最后报价参与评审，不作为成交价和合同签约价。</w:t>
      </w:r>
    </w:p>
    <w:p w14:paraId="101D3430">
      <w:pPr>
        <w:spacing w:line="460" w:lineRule="exact"/>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成交价和合同签约价仍以其响应文件中的报价为准。 </w:t>
      </w:r>
    </w:p>
    <w:p w14:paraId="7D54C489">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定标办法</w:t>
      </w:r>
    </w:p>
    <w:p w14:paraId="7C3669D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（1）磋商小组应当根据供应商最终得分由高到低的顺序推荐</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3名成交候选供应商，出具磋商评审报告。</w:t>
      </w:r>
    </w:p>
    <w:p w14:paraId="6CC8BAD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最终得分相同的，按照最后报价由低到高的顺序推荐。最终得分和最后报价均相同的，按照技术指标优劣顺序或磋商小组举手表决，少数服从多数的原则推荐。</w:t>
      </w:r>
    </w:p>
    <w:p w14:paraId="5E088C0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（2）采购人按磋商小组写出磋商报告确定排序第一的响应单位为成交人。</w:t>
      </w:r>
    </w:p>
    <w:p w14:paraId="07795A0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1E0DE6A8">
      <w:pPr>
        <w:spacing w:line="360" w:lineRule="auto"/>
        <w:ind w:firstLine="456" w:firstLineChars="200"/>
        <w:jc w:val="left"/>
        <w:rPr>
          <w:rFonts w:ascii="宋体" w:hAnsi="宋体" w:cs="宋体"/>
          <w:color w:val="auto"/>
          <w:spacing w:val="-6"/>
          <w:kern w:val="0"/>
          <w:sz w:val="24"/>
          <w:highlight w:val="none"/>
        </w:rPr>
      </w:pPr>
    </w:p>
    <w:p w14:paraId="2B405082">
      <w:pPr>
        <w:spacing w:line="360" w:lineRule="auto"/>
        <w:ind w:firstLine="456" w:firstLineChars="200"/>
        <w:jc w:val="left"/>
        <w:rPr>
          <w:rFonts w:ascii="宋体" w:hAnsi="宋体" w:cs="宋体"/>
          <w:color w:val="auto"/>
          <w:spacing w:val="-6"/>
          <w:kern w:val="0"/>
          <w:sz w:val="24"/>
          <w:highlight w:val="none"/>
        </w:rPr>
      </w:pPr>
    </w:p>
    <w:p w14:paraId="29B13CEE">
      <w:pPr>
        <w:spacing w:line="360" w:lineRule="auto"/>
        <w:ind w:firstLine="456" w:firstLineChars="200"/>
        <w:jc w:val="left"/>
        <w:rPr>
          <w:rFonts w:ascii="宋体" w:hAnsi="宋体" w:cs="宋体"/>
          <w:color w:val="auto"/>
          <w:spacing w:val="-6"/>
          <w:kern w:val="0"/>
          <w:sz w:val="24"/>
          <w:highlight w:val="none"/>
        </w:rPr>
      </w:pPr>
    </w:p>
    <w:p w14:paraId="64CF52DC">
      <w:pPr>
        <w:spacing w:line="360" w:lineRule="auto"/>
        <w:jc w:val="left"/>
        <w:rPr>
          <w:color w:val="auto"/>
          <w:highlight w:val="none"/>
        </w:rPr>
      </w:pPr>
      <w:r>
        <w:rPr>
          <w:rFonts w:hint="eastAsia" w:ascii="宋体" w:hAnsi="宋体" w:cs="宋体"/>
          <w:color w:val="auto"/>
          <w:spacing w:val="-6"/>
          <w:kern w:val="0"/>
          <w:sz w:val="24"/>
          <w:highlight w:val="none"/>
        </w:rPr>
        <w:br w:type="page"/>
      </w:r>
    </w:p>
    <w:p w14:paraId="71849E53">
      <w:pPr>
        <w:spacing w:before="312" w:beforeLines="100" w:line="360" w:lineRule="auto"/>
        <w:jc w:val="center"/>
        <w:outlineLvl w:val="0"/>
        <w:rPr>
          <w:rFonts w:hint="eastAsia" w:ascii="宋体" w:hAnsi="宋体" w:cs="宋体"/>
          <w:b/>
          <w:bCs/>
          <w:color w:val="auto"/>
          <w:sz w:val="36"/>
          <w:szCs w:val="36"/>
          <w:highlight w:val="none"/>
          <w:lang w:bidi="ar"/>
        </w:rPr>
      </w:pPr>
      <w:bookmarkStart w:id="168" w:name="_Toc26959_WPSOffice_Level1"/>
      <w:bookmarkStart w:id="169" w:name="_Toc6551_WPSOffice_Level1"/>
      <w:bookmarkStart w:id="170" w:name="_Toc13565_WPSOffice_Level1"/>
      <w:bookmarkStart w:id="171" w:name="_Toc2414"/>
      <w:bookmarkStart w:id="172" w:name="_Toc11512_WPSOffice_Level1"/>
      <w:bookmarkStart w:id="173" w:name="_Toc8518"/>
      <w:r>
        <w:rPr>
          <w:rFonts w:hint="eastAsia" w:ascii="宋体" w:hAnsi="宋体" w:cs="宋体"/>
          <w:b/>
          <w:bCs/>
          <w:color w:val="auto"/>
          <w:sz w:val="36"/>
          <w:szCs w:val="36"/>
          <w:highlight w:val="none"/>
          <w:lang w:bidi="ar"/>
        </w:rPr>
        <w:t xml:space="preserve"> </w:t>
      </w:r>
      <w:bookmarkStart w:id="174" w:name="_Toc22756"/>
      <w:r>
        <w:rPr>
          <w:rFonts w:hint="eastAsia" w:ascii="宋体" w:hAnsi="宋体" w:cs="宋体"/>
          <w:b/>
          <w:bCs/>
          <w:color w:val="auto"/>
          <w:sz w:val="36"/>
          <w:szCs w:val="36"/>
          <w:highlight w:val="none"/>
          <w:lang w:val="en-US" w:eastAsia="zh-CN" w:bidi="ar"/>
        </w:rPr>
        <w:t xml:space="preserve">第四章  </w:t>
      </w:r>
      <w:r>
        <w:rPr>
          <w:rFonts w:hint="eastAsia" w:ascii="宋体" w:hAnsi="宋体" w:cs="宋体"/>
          <w:b/>
          <w:bCs/>
          <w:color w:val="auto"/>
          <w:sz w:val="36"/>
          <w:szCs w:val="36"/>
          <w:highlight w:val="none"/>
          <w:lang w:bidi="ar"/>
        </w:rPr>
        <w:t>合同主要条款及格式</w:t>
      </w:r>
      <w:bookmarkEnd w:id="168"/>
      <w:bookmarkEnd w:id="169"/>
      <w:bookmarkEnd w:id="170"/>
      <w:bookmarkEnd w:id="171"/>
      <w:bookmarkEnd w:id="172"/>
      <w:bookmarkEnd w:id="173"/>
      <w:bookmarkEnd w:id="174"/>
    </w:p>
    <w:p w14:paraId="2871D2DD">
      <w:pPr>
        <w:jc w:val="center"/>
        <w:rPr>
          <w:rFonts w:ascii="宋体" w:hAnsi="宋体"/>
          <w:bCs/>
          <w:color w:val="auto"/>
          <w:sz w:val="24"/>
          <w:szCs w:val="24"/>
          <w:highlight w:val="none"/>
        </w:rPr>
      </w:pPr>
      <w:r>
        <w:rPr>
          <w:rFonts w:hint="eastAsia" w:ascii="宋体" w:hAnsi="宋体"/>
          <w:bCs/>
          <w:color w:val="auto"/>
          <w:sz w:val="24"/>
          <w:szCs w:val="24"/>
          <w:highlight w:val="none"/>
        </w:rPr>
        <w:t>（样本仅做参考，采购人可根据采购项目的实际情况增减条款和内容）</w:t>
      </w:r>
    </w:p>
    <w:p w14:paraId="2CFB78EB">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由项目采购单位与成交单位根据本磋商文件、成交单位响应文件及成交通知书，协商签订本项目采购合同。</w:t>
      </w:r>
    </w:p>
    <w:p w14:paraId="3DF85006">
      <w:pPr>
        <w:pStyle w:val="5"/>
        <w:rPr>
          <w:rFonts w:ascii="宋体" w:hAnsi="宋体" w:cs="宋体"/>
          <w:b/>
          <w:bCs/>
          <w:color w:val="auto"/>
          <w:sz w:val="24"/>
          <w:szCs w:val="24"/>
          <w:highlight w:val="none"/>
        </w:rPr>
      </w:pPr>
    </w:p>
    <w:p w14:paraId="71EA8FBA">
      <w:pPr>
        <w:pStyle w:val="5"/>
        <w:jc w:val="center"/>
        <w:rPr>
          <w:rFonts w:ascii="宋体" w:hAnsi="宋体" w:cs="宋体"/>
          <w:b/>
          <w:bCs/>
          <w:color w:val="auto"/>
          <w:spacing w:val="-20"/>
          <w:kern w:val="44"/>
          <w:sz w:val="24"/>
          <w:szCs w:val="24"/>
          <w:highlight w:val="none"/>
        </w:rPr>
      </w:pPr>
    </w:p>
    <w:p w14:paraId="323B5647">
      <w:pPr>
        <w:pStyle w:val="5"/>
        <w:jc w:val="center"/>
        <w:rPr>
          <w:rFonts w:ascii="宋体" w:hAnsi="宋体" w:cs="宋体"/>
          <w:b/>
          <w:bCs/>
          <w:color w:val="auto"/>
          <w:spacing w:val="-20"/>
          <w:kern w:val="44"/>
          <w:sz w:val="24"/>
          <w:szCs w:val="24"/>
          <w:highlight w:val="none"/>
        </w:rPr>
      </w:pPr>
    </w:p>
    <w:p w14:paraId="7D4F678E">
      <w:pPr>
        <w:pStyle w:val="5"/>
        <w:jc w:val="center"/>
        <w:rPr>
          <w:rFonts w:ascii="宋体" w:hAnsi="宋体" w:cs="宋体"/>
          <w:b/>
          <w:bCs/>
          <w:color w:val="auto"/>
          <w:spacing w:val="-20"/>
          <w:kern w:val="44"/>
          <w:sz w:val="24"/>
          <w:szCs w:val="24"/>
          <w:highlight w:val="none"/>
        </w:rPr>
      </w:pPr>
    </w:p>
    <w:p w14:paraId="41D35FF6">
      <w:pPr>
        <w:pStyle w:val="5"/>
        <w:jc w:val="center"/>
        <w:rPr>
          <w:rFonts w:ascii="宋体" w:hAnsi="宋体" w:cs="宋体"/>
          <w:b/>
          <w:bCs/>
          <w:color w:val="auto"/>
          <w:spacing w:val="-20"/>
          <w:kern w:val="44"/>
          <w:sz w:val="24"/>
          <w:szCs w:val="24"/>
          <w:highlight w:val="none"/>
        </w:rPr>
      </w:pPr>
    </w:p>
    <w:p w14:paraId="4BE01391">
      <w:pPr>
        <w:pStyle w:val="5"/>
        <w:jc w:val="center"/>
        <w:rPr>
          <w:rFonts w:ascii="宋体" w:hAnsi="宋体" w:cs="宋体"/>
          <w:b/>
          <w:bCs/>
          <w:color w:val="auto"/>
          <w:spacing w:val="-20"/>
          <w:kern w:val="44"/>
          <w:sz w:val="24"/>
          <w:szCs w:val="24"/>
          <w:highlight w:val="none"/>
        </w:rPr>
      </w:pPr>
    </w:p>
    <w:p w14:paraId="418F90B1">
      <w:pPr>
        <w:pStyle w:val="5"/>
        <w:jc w:val="center"/>
        <w:rPr>
          <w:rFonts w:ascii="宋体" w:hAnsi="宋体" w:cs="宋体"/>
          <w:b/>
          <w:bCs/>
          <w:color w:val="auto"/>
          <w:spacing w:val="-20"/>
          <w:kern w:val="44"/>
          <w:sz w:val="24"/>
          <w:szCs w:val="24"/>
          <w:highlight w:val="none"/>
        </w:rPr>
      </w:pPr>
    </w:p>
    <w:p w14:paraId="7F3A6BE3">
      <w:pPr>
        <w:pStyle w:val="5"/>
        <w:jc w:val="center"/>
        <w:rPr>
          <w:rFonts w:ascii="宋体" w:hAnsi="宋体" w:cs="宋体"/>
          <w:b/>
          <w:bCs/>
          <w:color w:val="auto"/>
          <w:spacing w:val="-20"/>
          <w:kern w:val="44"/>
          <w:sz w:val="24"/>
          <w:szCs w:val="24"/>
          <w:highlight w:val="none"/>
        </w:rPr>
      </w:pPr>
    </w:p>
    <w:p w14:paraId="38BB7C45">
      <w:pPr>
        <w:pStyle w:val="5"/>
        <w:jc w:val="center"/>
        <w:rPr>
          <w:rFonts w:ascii="宋体" w:hAnsi="宋体" w:cs="宋体"/>
          <w:b/>
          <w:bCs/>
          <w:color w:val="auto"/>
          <w:spacing w:val="-20"/>
          <w:kern w:val="44"/>
          <w:sz w:val="24"/>
          <w:szCs w:val="24"/>
          <w:highlight w:val="none"/>
        </w:rPr>
      </w:pPr>
      <w:r>
        <w:rPr>
          <w:rFonts w:hint="eastAsia" w:ascii="宋体" w:hAnsi="宋体" w:cs="宋体"/>
          <w:b/>
          <w:bCs/>
          <w:color w:val="auto"/>
          <w:spacing w:val="-20"/>
          <w:kern w:val="44"/>
          <w:sz w:val="24"/>
          <w:szCs w:val="24"/>
          <w:highlight w:val="none"/>
        </w:rPr>
        <w:t>政府采购货物买卖合同</w:t>
      </w:r>
    </w:p>
    <w:p w14:paraId="62FAF7F3">
      <w:pPr>
        <w:pStyle w:val="5"/>
        <w:jc w:val="center"/>
        <w:rPr>
          <w:rFonts w:ascii="宋体" w:hAnsi="宋体" w:cs="宋体"/>
          <w:b/>
          <w:bCs/>
          <w:color w:val="auto"/>
          <w:spacing w:val="-20"/>
          <w:kern w:val="44"/>
          <w:sz w:val="24"/>
          <w:szCs w:val="24"/>
          <w:highlight w:val="none"/>
        </w:rPr>
      </w:pPr>
      <w:r>
        <w:rPr>
          <w:rFonts w:hint="eastAsia" w:ascii="宋体" w:hAnsi="宋体" w:cs="宋体"/>
          <w:b/>
          <w:bCs/>
          <w:color w:val="auto"/>
          <w:spacing w:val="-20"/>
          <w:kern w:val="44"/>
          <w:sz w:val="24"/>
          <w:szCs w:val="24"/>
          <w:highlight w:val="none"/>
        </w:rPr>
        <w:t>（试行）</w:t>
      </w:r>
    </w:p>
    <w:p w14:paraId="2E713A33">
      <w:pPr>
        <w:rPr>
          <w:rFonts w:ascii="宋体" w:hAnsi="宋体" w:cs="宋体"/>
          <w:b/>
          <w:bCs/>
          <w:color w:val="auto"/>
          <w:spacing w:val="-20"/>
          <w:kern w:val="44"/>
          <w:sz w:val="24"/>
          <w:highlight w:val="none"/>
        </w:rPr>
      </w:pPr>
    </w:p>
    <w:p w14:paraId="1307EAA2">
      <w:pPr>
        <w:rPr>
          <w:rFonts w:ascii="宋体" w:hAnsi="宋体" w:cs="宋体"/>
          <w:b/>
          <w:bCs/>
          <w:color w:val="auto"/>
          <w:spacing w:val="-20"/>
          <w:kern w:val="44"/>
          <w:sz w:val="24"/>
          <w:highlight w:val="none"/>
        </w:rPr>
      </w:pPr>
    </w:p>
    <w:p w14:paraId="4E91C5F2">
      <w:pPr>
        <w:rPr>
          <w:rFonts w:ascii="宋体" w:hAnsi="宋体" w:cs="宋体"/>
          <w:b/>
          <w:bCs/>
          <w:color w:val="auto"/>
          <w:spacing w:val="-20"/>
          <w:kern w:val="44"/>
          <w:sz w:val="24"/>
          <w:highlight w:val="none"/>
        </w:rPr>
      </w:pPr>
    </w:p>
    <w:p w14:paraId="2CBB7979">
      <w:pPr>
        <w:spacing w:line="360" w:lineRule="auto"/>
        <w:ind w:left="420" w:leftChars="200"/>
        <w:rPr>
          <w:rFonts w:ascii="宋体" w:hAnsi="宋体" w:cs="宋体"/>
          <w:color w:val="auto"/>
          <w:sz w:val="24"/>
          <w:highlight w:val="none"/>
        </w:rPr>
      </w:pPr>
      <w:r>
        <w:rPr>
          <w:rFonts w:hint="eastAsia" w:ascii="宋体" w:hAnsi="宋体" w:cs="宋体"/>
          <w:color w:val="auto"/>
          <w:kern w:val="0"/>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渑池县林业局2025年森林防火物资采购项目</w:t>
      </w:r>
      <w:r>
        <w:rPr>
          <w:rFonts w:hint="eastAsia" w:ascii="宋体" w:hAnsi="宋体" w:cs="宋体"/>
          <w:color w:val="auto"/>
          <w:sz w:val="24"/>
          <w:highlight w:val="none"/>
          <w:u w:val="single"/>
        </w:rPr>
        <w:t xml:space="preserve">              </w:t>
      </w:r>
    </w:p>
    <w:p w14:paraId="6AD38325">
      <w:pPr>
        <w:spacing w:line="360" w:lineRule="auto"/>
        <w:ind w:left="420" w:leftChars="200"/>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068FE46A">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甲    方：</w:t>
      </w:r>
      <w:r>
        <w:rPr>
          <w:rFonts w:hint="eastAsia" w:ascii="宋体" w:hAnsi="宋体" w:cs="宋体"/>
          <w:color w:val="auto"/>
          <w:sz w:val="24"/>
          <w:highlight w:val="none"/>
          <w:u w:val="single"/>
        </w:rPr>
        <w:t xml:space="preserve">                                                        </w:t>
      </w:r>
    </w:p>
    <w:p w14:paraId="4EA539EA">
      <w:pPr>
        <w:spacing w:line="360" w:lineRule="auto"/>
        <w:ind w:left="420" w:leftChars="200"/>
        <w:rPr>
          <w:rFonts w:ascii="宋体" w:hAnsi="宋体" w:cs="宋体"/>
          <w:color w:val="auto"/>
          <w:sz w:val="24"/>
          <w:highlight w:val="none"/>
          <w:u w:val="single"/>
        </w:rPr>
      </w:pPr>
      <w:r>
        <w:rPr>
          <w:rFonts w:hint="eastAsia" w:ascii="宋体" w:hAnsi="宋体" w:cs="宋体"/>
          <w:color w:val="auto"/>
          <w:sz w:val="24"/>
          <w:highlight w:val="none"/>
        </w:rPr>
        <w:t>乙    方：</w:t>
      </w:r>
      <w:r>
        <w:rPr>
          <w:rFonts w:hint="eastAsia" w:ascii="宋体" w:hAnsi="宋体" w:cs="宋体"/>
          <w:color w:val="auto"/>
          <w:sz w:val="24"/>
          <w:highlight w:val="none"/>
          <w:u w:val="single"/>
        </w:rPr>
        <w:t xml:space="preserve">                                                        </w:t>
      </w:r>
    </w:p>
    <w:p w14:paraId="49E8CB38">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签订时间：</w:t>
      </w:r>
      <w:r>
        <w:rPr>
          <w:rFonts w:hint="eastAsia" w:ascii="宋体" w:hAnsi="宋体" w:cs="宋体"/>
          <w:color w:val="auto"/>
          <w:sz w:val="24"/>
          <w:highlight w:val="none"/>
          <w:u w:val="single"/>
        </w:rPr>
        <w:t xml:space="preserve">                                                         </w:t>
      </w:r>
    </w:p>
    <w:p w14:paraId="071AE677">
      <w:pPr>
        <w:rPr>
          <w:rFonts w:ascii="宋体" w:hAnsi="宋体" w:cs="宋体"/>
          <w:color w:val="auto"/>
          <w:sz w:val="24"/>
          <w:highlight w:val="none"/>
        </w:rPr>
      </w:pPr>
    </w:p>
    <w:p w14:paraId="1BE9DB6F">
      <w:pPr>
        <w:rPr>
          <w:rFonts w:ascii="宋体" w:hAnsi="宋体" w:cs="宋体"/>
          <w:color w:val="auto"/>
          <w:sz w:val="24"/>
          <w:highlight w:val="none"/>
        </w:rPr>
      </w:pPr>
      <w:r>
        <w:rPr>
          <w:rFonts w:hint="eastAsia" w:ascii="宋体" w:hAnsi="宋体" w:cs="宋体"/>
          <w:color w:val="auto"/>
          <w:sz w:val="24"/>
          <w:highlight w:val="none"/>
        </w:rPr>
        <w:br w:type="page"/>
      </w:r>
    </w:p>
    <w:p w14:paraId="4F4305B5">
      <w:pPr>
        <w:rPr>
          <w:rFonts w:ascii="宋体" w:hAnsi="宋体" w:cs="宋体"/>
          <w:color w:val="auto"/>
          <w:sz w:val="24"/>
          <w:highlight w:val="none"/>
        </w:rPr>
      </w:pPr>
    </w:p>
    <w:p w14:paraId="702CC2A7">
      <w:pPr>
        <w:rPr>
          <w:rFonts w:ascii="宋体" w:hAnsi="宋体" w:cs="宋体"/>
          <w:color w:val="auto"/>
          <w:sz w:val="24"/>
          <w:highlight w:val="none"/>
        </w:rPr>
      </w:pPr>
    </w:p>
    <w:p w14:paraId="4252E9DA">
      <w:pPr>
        <w:jc w:val="center"/>
        <w:rPr>
          <w:rFonts w:ascii="宋体" w:hAnsi="宋体" w:cs="宋体"/>
          <w:color w:val="auto"/>
          <w:sz w:val="24"/>
          <w:highlight w:val="none"/>
        </w:rPr>
      </w:pPr>
      <w:r>
        <w:rPr>
          <w:rFonts w:hint="eastAsia" w:ascii="宋体" w:hAnsi="宋体" w:cs="宋体"/>
          <w:color w:val="auto"/>
          <w:sz w:val="24"/>
          <w:highlight w:val="none"/>
        </w:rPr>
        <w:t>使 用 说 明</w:t>
      </w:r>
    </w:p>
    <w:p w14:paraId="3DAC4670">
      <w:pPr>
        <w:ind w:firstLine="480" w:firstLineChars="200"/>
        <w:rPr>
          <w:rFonts w:ascii="宋体" w:hAnsi="宋体" w:cs="宋体"/>
          <w:color w:val="auto"/>
          <w:sz w:val="24"/>
          <w:highlight w:val="none"/>
        </w:rPr>
      </w:pPr>
    </w:p>
    <w:p w14:paraId="47F76A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1.本合同标准文本适用于购买现成货物的采购项目，不包括需要供应商定制开发、创新研发的货物采购项目。</w:t>
      </w:r>
    </w:p>
    <w:p w14:paraId="762916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2.本合同标准文本为政府采购货物买卖合同编制提供参考，可以结合采购项目具体情况，对文本作必要的调整修订后使用。</w:t>
      </w:r>
    </w:p>
    <w:p w14:paraId="641FA6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3.本合同标准文本各条款中，如涉及填写多家供应商、制造商，多种采购标的、分包主要内容等信息的，可根据采购项目具体情况添加信息项。</w:t>
      </w:r>
    </w:p>
    <w:p w14:paraId="02572AE4">
      <w:pPr>
        <w:ind w:firstLine="480" w:firstLineChars="200"/>
        <w:rPr>
          <w:rFonts w:ascii="宋体" w:hAnsi="宋体" w:cs="宋体"/>
          <w:color w:val="auto"/>
          <w:sz w:val="24"/>
          <w:highlight w:val="none"/>
        </w:rPr>
        <w:sectPr>
          <w:headerReference r:id="rId9" w:type="default"/>
          <w:footerReference r:id="rId10" w:type="default"/>
          <w:pgSz w:w="11906" w:h="16838"/>
          <w:pgMar w:top="1361" w:right="1418" w:bottom="1361" w:left="1418" w:header="851" w:footer="992" w:gutter="0"/>
          <w:pgNumType w:start="1"/>
          <w:cols w:space="425" w:num="1"/>
          <w:docGrid w:type="lines" w:linePitch="312" w:charSpace="0"/>
        </w:sectPr>
      </w:pPr>
    </w:p>
    <w:p w14:paraId="2C5AC8AF">
      <w:pPr>
        <w:pStyle w:val="3"/>
        <w:adjustRightInd w:val="0"/>
        <w:snapToGrid w:val="0"/>
        <w:spacing w:line="400" w:lineRule="exact"/>
        <w:jc w:val="center"/>
        <w:rPr>
          <w:rFonts w:ascii="宋体" w:hAnsi="宋体" w:eastAsia="宋体" w:cs="宋体"/>
          <w:b w:val="0"/>
          <w:bCs w:val="0"/>
          <w:color w:val="auto"/>
          <w:sz w:val="24"/>
          <w:szCs w:val="24"/>
          <w:highlight w:val="none"/>
        </w:rPr>
      </w:pPr>
      <w:bookmarkStart w:id="175" w:name="_Toc22209"/>
      <w:r>
        <w:rPr>
          <w:rFonts w:hint="eastAsia" w:ascii="宋体" w:hAnsi="宋体" w:eastAsia="宋体" w:cs="宋体"/>
          <w:b w:val="0"/>
          <w:bCs w:val="0"/>
          <w:color w:val="auto"/>
          <w:sz w:val="24"/>
          <w:szCs w:val="24"/>
          <w:highlight w:val="none"/>
        </w:rPr>
        <w:t>第一节 政府采购合同协议书</w:t>
      </w:r>
      <w:bookmarkEnd w:id="175"/>
    </w:p>
    <w:p w14:paraId="326B5B7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甲方（全称）：</w:t>
      </w:r>
      <w:r>
        <w:rPr>
          <w:rFonts w:hint="eastAsia" w:ascii="宋体" w:hAnsi="宋体" w:cs="宋体"/>
          <w:color w:val="auto"/>
          <w:sz w:val="24"/>
          <w:highlight w:val="none"/>
          <w:u w:val="single"/>
        </w:rPr>
        <w:t xml:space="preserve">     渑池县林业局      </w:t>
      </w:r>
      <w:r>
        <w:rPr>
          <w:rFonts w:hint="eastAsia" w:ascii="宋体" w:hAnsi="宋体" w:cs="宋体"/>
          <w:color w:val="auto"/>
          <w:sz w:val="24"/>
          <w:highlight w:val="none"/>
        </w:rPr>
        <w:t>（采购人）</w:t>
      </w:r>
    </w:p>
    <w:p w14:paraId="4E50F8B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乙方（全称）：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w:t>
      </w:r>
    </w:p>
    <w:p w14:paraId="3F970FF2">
      <w:pPr>
        <w:pStyle w:val="6"/>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6553264">
      <w:pPr>
        <w:numPr>
          <w:ilvl w:val="0"/>
          <w:numId w:val="2"/>
        </w:num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项目信息</w:t>
      </w:r>
    </w:p>
    <w:p w14:paraId="5B123B2C">
      <w:pPr>
        <w:pStyle w:val="6"/>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（1）采购项目名称：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渑池县林业局2025年森林防火物资采购项目</w:t>
      </w:r>
      <w:r>
        <w:rPr>
          <w:rFonts w:hint="eastAsia" w:ascii="宋体" w:hAnsi="宋体" w:eastAsia="宋体" w:cs="宋体"/>
          <w:color w:val="auto"/>
          <w:sz w:val="24"/>
          <w:highlight w:val="none"/>
          <w:u w:val="single"/>
        </w:rPr>
        <w:t xml:space="preserve">     </w:t>
      </w:r>
    </w:p>
    <w:p w14:paraId="65102C39">
      <w:pPr>
        <w:pStyle w:val="6"/>
        <w:adjustRightInd w:val="0"/>
        <w:snapToGrid w:val="0"/>
        <w:spacing w:line="360" w:lineRule="auto"/>
        <w:ind w:firstLine="1200" w:firstLineChars="500"/>
        <w:rPr>
          <w:rFonts w:ascii="宋体" w:hAnsi="宋体" w:eastAsia="宋体" w:cs="宋体"/>
          <w:color w:val="auto"/>
          <w:sz w:val="24"/>
          <w:highlight w:val="none"/>
        </w:rPr>
      </w:pPr>
      <w:r>
        <w:rPr>
          <w:rFonts w:hint="eastAsia" w:ascii="宋体" w:hAnsi="宋体" w:eastAsia="宋体" w:cs="宋体"/>
          <w:color w:val="auto"/>
          <w:sz w:val="24"/>
          <w:highlight w:val="none"/>
        </w:rPr>
        <w:t>采购项目编号：</w:t>
      </w:r>
    </w:p>
    <w:p w14:paraId="6B8C3ECA">
      <w:pPr>
        <w:pStyle w:val="6"/>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（2）项目内容：</w:t>
      </w:r>
    </w:p>
    <w:p w14:paraId="0D2C5C3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采购标的及数量（台/套</w:t>
      </w:r>
      <w:r>
        <w:rPr>
          <w:rFonts w:hint="eastAsia" w:ascii="宋体" w:hAnsi="宋体" w:cs="宋体"/>
          <w:color w:val="auto"/>
          <w:sz w:val="24"/>
          <w:highlight w:val="none"/>
          <w:lang w:val="en"/>
        </w:rPr>
        <w:t>/个/架/组等</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69185635">
      <w:pPr>
        <w:numPr>
          <w:ilvl w:val="255"/>
          <w:numId w:val="0"/>
        </w:numPr>
        <w:adjustRightInd w:val="0"/>
        <w:snapToGrid w:val="0"/>
        <w:spacing w:line="360" w:lineRule="auto"/>
        <w:ind w:firstLine="480" w:firstLineChars="200"/>
        <w:rPr>
          <w:rFonts w:ascii="宋体" w:hAnsi="宋体" w:cs="宋体"/>
          <w:color w:val="auto"/>
          <w:sz w:val="24"/>
          <w:highlight w:val="none"/>
          <w:lang w:val="en"/>
        </w:rPr>
      </w:pPr>
      <w:r>
        <w:rPr>
          <w:rFonts w:hint="eastAsia" w:ascii="宋体" w:hAnsi="宋体" w:cs="宋体"/>
          <w:color w:val="auto"/>
          <w:sz w:val="24"/>
          <w:highlight w:val="none"/>
        </w:rPr>
        <w:t>品牌：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en"/>
        </w:rPr>
        <w:t xml:space="preserve">     </w:t>
      </w:r>
      <w:r>
        <w:rPr>
          <w:rFonts w:hint="eastAsia" w:ascii="宋体" w:hAnsi="宋体" w:cs="宋体"/>
          <w:color w:val="auto"/>
          <w:sz w:val="24"/>
          <w:highlight w:val="none"/>
        </w:rPr>
        <w:t>规格型号：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
        </w:rPr>
        <w:t xml:space="preserve">   </w:t>
      </w:r>
    </w:p>
    <w:p w14:paraId="002EA620">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采购标的的技术要求、商务要求具体见附件。</w:t>
      </w:r>
    </w:p>
    <w:p w14:paraId="27142070">
      <w:pPr>
        <w:numPr>
          <w:ilvl w:val="0"/>
          <w:numId w:val="2"/>
        </w:num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合同金额</w:t>
      </w:r>
    </w:p>
    <w:p w14:paraId="3A74108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（1）合同金额小写：</w:t>
      </w:r>
      <w:r>
        <w:rPr>
          <w:rFonts w:hint="eastAsia" w:ascii="宋体" w:hAnsi="宋体" w:cs="宋体"/>
          <w:color w:val="auto"/>
          <w:sz w:val="24"/>
          <w:highlight w:val="none"/>
          <w:u w:val="single"/>
        </w:rPr>
        <w:t xml:space="preserve">                           </w:t>
      </w:r>
    </w:p>
    <w:p w14:paraId="04F1FCA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大写：</w:t>
      </w:r>
      <w:r>
        <w:rPr>
          <w:rFonts w:hint="eastAsia" w:ascii="宋体" w:hAnsi="宋体" w:cs="宋体"/>
          <w:color w:val="auto"/>
          <w:sz w:val="24"/>
          <w:highlight w:val="none"/>
          <w:u w:val="single"/>
        </w:rPr>
        <w:t xml:space="preserve">                           </w:t>
      </w:r>
    </w:p>
    <w:p w14:paraId="56242CFA">
      <w:pPr>
        <w:pStyle w:val="38"/>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（2）付款方式（按项目实际勾选填写）：</w:t>
      </w:r>
    </w:p>
    <w:p w14:paraId="3C673920">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全额付款：</w:t>
      </w:r>
      <w:r>
        <w:rPr>
          <w:rFonts w:hint="eastAsia" w:ascii="宋体" w:hAnsi="宋体" w:cs="宋体"/>
          <w:color w:val="auto"/>
          <w:sz w:val="24"/>
          <w:highlight w:val="none"/>
          <w:u w:val="single"/>
        </w:rPr>
        <w:t xml:space="preserve">     （应明确一次性支付合同款项的条件）                    </w:t>
      </w:r>
    </w:p>
    <w:p w14:paraId="31A969D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分期付款：</w:t>
      </w:r>
      <w:r>
        <w:rPr>
          <w:rFonts w:hint="eastAsia" w:ascii="宋体" w:hAnsi="宋体" w:cs="宋体"/>
          <w:color w:val="auto"/>
          <w:sz w:val="24"/>
          <w:highlight w:val="none"/>
          <w:u w:val="single"/>
        </w:rPr>
        <w:t xml:space="preserve">  （应明确分期支付合同款项的各期比例和支付条件，各期支付条件应与分期履约验收情况挂钩） </w:t>
      </w:r>
      <w:r>
        <w:rPr>
          <w:rFonts w:hint="eastAsia" w:ascii="宋体" w:hAnsi="宋体" w:cs="宋体"/>
          <w:color w:val="auto"/>
          <w:sz w:val="24"/>
          <w:highlight w:val="none"/>
        </w:rPr>
        <w:t>，其中涉及预付款的：</w:t>
      </w:r>
      <w:r>
        <w:rPr>
          <w:rFonts w:hint="eastAsia" w:ascii="宋体" w:hAnsi="宋体" w:cs="宋体"/>
          <w:color w:val="auto"/>
          <w:sz w:val="24"/>
          <w:highlight w:val="none"/>
          <w:u w:val="single"/>
        </w:rPr>
        <w:t xml:space="preserve"> （应明确预付款的支付比例和支付条件） </w:t>
      </w:r>
    </w:p>
    <w:p w14:paraId="062F705D">
      <w:pPr>
        <w:numPr>
          <w:ilvl w:val="0"/>
          <w:numId w:val="2"/>
        </w:numPr>
        <w:adjustRightInd w:val="0"/>
        <w:snapToGrid w:val="0"/>
        <w:spacing w:line="36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合同履行</w:t>
      </w:r>
    </w:p>
    <w:p w14:paraId="5D478E9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起始日期：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日，完成日期：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E65B114">
      <w:pPr>
        <w:adjustRightInd w:val="0"/>
        <w:snapToGrid w:val="0"/>
        <w:spacing w:line="360" w:lineRule="auto"/>
        <w:ind w:firstLine="480" w:firstLineChars="200"/>
        <w:rPr>
          <w:color w:val="auto"/>
          <w:highlight w:val="none"/>
        </w:rPr>
      </w:pPr>
      <w:r>
        <w:rPr>
          <w:rFonts w:hint="eastAsia" w:ascii="宋体" w:hAnsi="宋体" w:cs="宋体"/>
          <w:color w:val="auto"/>
          <w:sz w:val="24"/>
          <w:highlight w:val="none"/>
        </w:rPr>
        <w:t>履约地点：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color w:val="auto"/>
          <w:highlight w:val="none"/>
        </w:rPr>
        <w:t xml:space="preserve">                           </w:t>
      </w:r>
    </w:p>
    <w:p w14:paraId="2281945B">
      <w:pPr>
        <w:numPr>
          <w:ilvl w:val="0"/>
          <w:numId w:val="2"/>
        </w:num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组成合同的文件</w:t>
      </w:r>
    </w:p>
    <w:p w14:paraId="1382552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本协议书与下列文件一起构成合同文件，如下述文件之间有任何抵触、矛盾或歧义，应按以下顺序解释：</w:t>
      </w:r>
    </w:p>
    <w:p w14:paraId="61D1F97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（1）政府采购合同协议书及其变更、补充协议</w:t>
      </w:r>
    </w:p>
    <w:p w14:paraId="697776B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（2）政府采购合同专用条款</w:t>
      </w:r>
    </w:p>
    <w:p w14:paraId="6D8DD12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（3）政府采购合同通用条款</w:t>
      </w:r>
    </w:p>
    <w:p w14:paraId="328788A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（4）中标（成交）通知书</w:t>
      </w:r>
    </w:p>
    <w:p w14:paraId="65FBA4A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（5）投标（响应）文件</w:t>
      </w:r>
    </w:p>
    <w:p w14:paraId="1616E6C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（6）采购文件</w:t>
      </w:r>
    </w:p>
    <w:p w14:paraId="3620E55E">
      <w:pPr>
        <w:pStyle w:val="32"/>
        <w:spacing w:line="360" w:lineRule="auto"/>
        <w:ind w:firstLine="480"/>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1279FBA5">
      <w:pPr>
        <w:numPr>
          <w:ilvl w:val="0"/>
          <w:numId w:val="2"/>
        </w:num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合同生效</w:t>
      </w:r>
    </w:p>
    <w:p w14:paraId="2AD99A9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生效。</w:t>
      </w:r>
    </w:p>
    <w:p w14:paraId="60562BE7">
      <w:pPr>
        <w:numPr>
          <w:ilvl w:val="0"/>
          <w:numId w:val="2"/>
        </w:num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合同份数</w:t>
      </w:r>
    </w:p>
    <w:p w14:paraId="7E1470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份，均具有同等法律效力。</w:t>
      </w:r>
    </w:p>
    <w:p w14:paraId="035BC64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合同订立时间：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62B531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合同订立地点：</w:t>
      </w:r>
      <w:r>
        <w:rPr>
          <w:rFonts w:hint="eastAsia" w:ascii="宋体" w:hAnsi="宋体" w:cs="宋体"/>
          <w:color w:val="auto"/>
          <w:sz w:val="24"/>
          <w:highlight w:val="none"/>
          <w:u w:val="single"/>
        </w:rPr>
        <w:t xml:space="preserve">                           </w:t>
      </w:r>
    </w:p>
    <w:p w14:paraId="7D16082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附件：具体标的及其技术要求和商务要求等。</w:t>
      </w:r>
    </w:p>
    <w:p w14:paraId="6D4AC29E">
      <w:pPr>
        <w:widowControl/>
        <w:spacing w:line="360" w:lineRule="auto"/>
        <w:jc w:val="center"/>
        <w:rPr>
          <w:rFonts w:ascii="宋体" w:hAnsi="宋体" w:eastAsia="宋体" w:cs="宋体"/>
          <w:color w:val="auto"/>
          <w:sz w:val="24"/>
          <w:szCs w:val="24"/>
          <w:highlight w:val="none"/>
        </w:rPr>
      </w:pPr>
    </w:p>
    <w:p w14:paraId="3D177D98">
      <w:pPr>
        <w:widowControl/>
        <w:spacing w:line="520" w:lineRule="atLeas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                             乙方：</w:t>
      </w:r>
    </w:p>
    <w:p w14:paraId="204CB371">
      <w:pPr>
        <w:widowControl/>
        <w:spacing w:line="520" w:lineRule="atLeas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单位地址：</w:t>
      </w:r>
    </w:p>
    <w:p w14:paraId="04F9A9E8">
      <w:pPr>
        <w:widowControl/>
        <w:spacing w:line="520" w:lineRule="atLeas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71113A59">
      <w:pPr>
        <w:widowControl/>
        <w:spacing w:line="520" w:lineRule="atLeas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49F3E329">
      <w:pPr>
        <w:widowControl/>
        <w:spacing w:line="520" w:lineRule="atLeas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14:paraId="54DC467F">
      <w:pPr>
        <w:rPr>
          <w:rFonts w:ascii="宋体" w:hAnsi="宋体" w:cs="宋体"/>
          <w:color w:val="auto"/>
          <w:sz w:val="24"/>
          <w:szCs w:val="24"/>
          <w:highlight w:val="none"/>
        </w:rPr>
      </w:pPr>
      <w:r>
        <w:rPr>
          <w:rFonts w:ascii="宋体" w:hAnsi="宋体" w:cs="宋体"/>
          <w:color w:val="auto"/>
          <w:sz w:val="24"/>
          <w:szCs w:val="24"/>
          <w:highlight w:val="none"/>
        </w:rPr>
        <w:br w:type="page"/>
      </w:r>
    </w:p>
    <w:p w14:paraId="564F1EAF">
      <w:pPr>
        <w:pStyle w:val="3"/>
        <w:adjustRightInd w:val="0"/>
        <w:snapToGrid w:val="0"/>
        <w:spacing w:before="120" w:beforeLines="50"/>
        <w:jc w:val="center"/>
        <w:rPr>
          <w:rFonts w:ascii="宋体" w:hAnsi="宋体" w:eastAsia="宋体" w:cs="宋体"/>
          <w:color w:val="auto"/>
          <w:sz w:val="24"/>
          <w:szCs w:val="24"/>
          <w:highlight w:val="none"/>
        </w:rPr>
      </w:pPr>
      <w:bookmarkStart w:id="176" w:name="_Toc27624"/>
      <w:r>
        <w:rPr>
          <w:rFonts w:hint="eastAsia" w:ascii="宋体" w:hAnsi="宋体" w:eastAsia="宋体" w:cs="宋体"/>
          <w:b w:val="0"/>
          <w:bCs w:val="0"/>
          <w:color w:val="auto"/>
          <w:sz w:val="24"/>
          <w:szCs w:val="24"/>
          <w:highlight w:val="none"/>
        </w:rPr>
        <w:t>第二节 政府采购合同通用条款</w:t>
      </w:r>
      <w:bookmarkEnd w:id="176"/>
    </w:p>
    <w:p w14:paraId="0AC38BA1">
      <w:pPr>
        <w:tabs>
          <w:tab w:val="left" w:pos="8820"/>
          <w:tab w:val="left" w:pos="9345"/>
          <w:tab w:val="left" w:pos="9765"/>
        </w:tabs>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 xml:space="preserve">1. </w:t>
      </w:r>
      <w:r>
        <w:rPr>
          <w:rFonts w:hint="eastAsia" w:ascii="宋体" w:hAnsi="宋体" w:cs="宋体"/>
          <w:b/>
          <w:bCs/>
          <w:color w:val="auto"/>
          <w:sz w:val="24"/>
          <w:highlight w:val="none"/>
        </w:rPr>
        <w:t>定义</w:t>
      </w:r>
    </w:p>
    <w:p w14:paraId="2AB34CA7">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1.1合同当事人</w:t>
      </w:r>
    </w:p>
    <w:p w14:paraId="5576056B">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（1）采购人（以下称甲方）是指使用财政性资金，通过政府采购方式向供应商购买货物及其相关服务的国家机关、事业单位、团体组织。</w:t>
      </w:r>
    </w:p>
    <w:p w14:paraId="78DA083D">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（2）供应商（以下称乙方）是指参加政府采购活动并且中标（成交），向采购人提供合同约定的货物及其相关服务的法人、非法人组织或者自然人。</w:t>
      </w:r>
    </w:p>
    <w:p w14:paraId="71B8DD9C">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s="宋体"/>
          <w:color w:val="auto"/>
          <w:sz w:val="24"/>
          <w:highlight w:val="none"/>
        </w:rPr>
        <w:t>。</w:t>
      </w:r>
    </w:p>
    <w:p w14:paraId="72C3B050">
      <w:pPr>
        <w:tabs>
          <w:tab w:val="left" w:pos="570"/>
          <w:tab w:val="left" w:pos="9240"/>
          <w:tab w:val="left" w:pos="9555"/>
        </w:tabs>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1.2本合同下列术语应解释为：</w:t>
      </w:r>
    </w:p>
    <w:p w14:paraId="19792FD7">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s="宋体"/>
          <w:color w:val="auto"/>
          <w:sz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26989BA">
      <w:pPr>
        <w:tabs>
          <w:tab w:val="left" w:pos="570"/>
          <w:tab w:val="left" w:pos="9240"/>
          <w:tab w:val="left" w:pos="9555"/>
        </w:tabs>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（2）“合同价款”系指根据本合同规定乙方在全面履行合同义务后甲方应支付给乙方的价款。</w:t>
      </w:r>
    </w:p>
    <w:p w14:paraId="28F51388">
      <w:pPr>
        <w:tabs>
          <w:tab w:val="left" w:pos="570"/>
          <w:tab w:val="left" w:pos="9240"/>
          <w:tab w:val="left" w:pos="9555"/>
        </w:tabs>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s="宋体"/>
          <w:color w:val="auto"/>
          <w:sz w:val="24"/>
          <w:highlight w:val="none"/>
          <w:lang w:val="en"/>
        </w:rPr>
        <w:t>其他</w:t>
      </w:r>
      <w:r>
        <w:rPr>
          <w:rFonts w:hint="eastAsia" w:ascii="宋体" w:hAnsi="宋体" w:cs="宋体"/>
          <w:color w:val="auto"/>
          <w:sz w:val="24"/>
          <w:highlight w:val="none"/>
        </w:rPr>
        <w:t>技术资料和材料等。</w:t>
      </w:r>
    </w:p>
    <w:p w14:paraId="214630C0">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（4）“相关服务”系指根据合同规定，乙方应提供的与货物有关的技术、管理和</w:t>
      </w:r>
      <w:r>
        <w:rPr>
          <w:rFonts w:hint="eastAsia" w:ascii="宋体" w:hAnsi="宋体" w:cs="宋体"/>
          <w:color w:val="auto"/>
          <w:sz w:val="24"/>
          <w:highlight w:val="none"/>
          <w:lang w:val="en"/>
        </w:rPr>
        <w:t>其他</w:t>
      </w:r>
      <w:r>
        <w:rPr>
          <w:rFonts w:hint="eastAsia" w:ascii="宋体" w:hAnsi="宋体" w:cs="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 w:val="24"/>
          <w:highlight w:val="none"/>
          <w:lang w:val="en"/>
        </w:rPr>
        <w:t>其他</w:t>
      </w:r>
      <w:r>
        <w:rPr>
          <w:rFonts w:hint="eastAsia" w:ascii="宋体" w:hAnsi="宋体" w:cs="宋体"/>
          <w:color w:val="auto"/>
          <w:sz w:val="24"/>
          <w:highlight w:val="none"/>
        </w:rPr>
        <w:t>义务。</w:t>
      </w:r>
    </w:p>
    <w:p w14:paraId="6558DBF1">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5F9B9AB1">
      <w:pPr>
        <w:tabs>
          <w:tab w:val="left" w:pos="570"/>
          <w:tab w:val="left" w:pos="9240"/>
          <w:tab w:val="left" w:pos="9555"/>
        </w:tabs>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w:t>
      </w:r>
    </w:p>
    <w:p w14:paraId="1D543E49">
      <w:pPr>
        <w:tabs>
          <w:tab w:val="left" w:pos="570"/>
          <w:tab w:val="left" w:pos="9240"/>
          <w:tab w:val="left" w:pos="9555"/>
        </w:tabs>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（7）其他术语解释，见【</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w:t>
      </w:r>
    </w:p>
    <w:p w14:paraId="2948C9A4">
      <w:pPr>
        <w:numPr>
          <w:ilvl w:val="0"/>
          <w:numId w:val="3"/>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合同标的及金额</w:t>
      </w:r>
    </w:p>
    <w:p w14:paraId="51A69926">
      <w:pPr>
        <w:autoSpaceDE w:val="0"/>
        <w:autoSpaceDN w:val="0"/>
        <w:adjustRightInd w:val="0"/>
        <w:snapToGrid w:val="0"/>
        <w:spacing w:line="400" w:lineRule="exact"/>
        <w:ind w:firstLine="480" w:firstLineChars="200"/>
        <w:jc w:val="left"/>
        <w:rPr>
          <w:rFonts w:ascii="宋体" w:hAnsi="宋体" w:cs="宋体"/>
          <w:b/>
          <w:bCs/>
          <w:i/>
          <w:iCs/>
          <w:color w:val="auto"/>
          <w:sz w:val="24"/>
          <w:highlight w:val="none"/>
        </w:rPr>
      </w:pPr>
      <w:r>
        <w:rPr>
          <w:rFonts w:hint="eastAsia" w:ascii="宋体" w:hAnsi="宋体" w:cs="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s="宋体"/>
          <w:color w:val="auto"/>
          <w:sz w:val="24"/>
          <w:highlight w:val="none"/>
          <w:lang w:val="en"/>
        </w:rPr>
        <w:t>其他</w:t>
      </w:r>
      <w:r>
        <w:rPr>
          <w:rFonts w:hint="eastAsia" w:ascii="宋体" w:hAnsi="宋体" w:cs="宋体"/>
          <w:color w:val="auto"/>
          <w:sz w:val="24"/>
          <w:highlight w:val="none"/>
        </w:rPr>
        <w:t>任何费用。</w:t>
      </w:r>
    </w:p>
    <w:p w14:paraId="3F595E81">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3. 履行合同的时间、地点和方式</w:t>
      </w:r>
    </w:p>
    <w:p w14:paraId="7E053B57">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 乙方应当在约定的时间、地点，按照约定方式履行合同。</w:t>
      </w:r>
    </w:p>
    <w:p w14:paraId="5BD45B5F">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4. 甲方的权利和义务</w:t>
      </w:r>
    </w:p>
    <w:p w14:paraId="2B7ABAEE">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10AE9E23">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14:paraId="382392D0">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4.3 甲方有权要求乙方对缺陷部分予以修复，并按合同约定享有货物保修及其他合同约定的权利。</w:t>
      </w:r>
    </w:p>
    <w:p w14:paraId="77F1FC50">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 甲方应当按照合同约定及时对交付的货物进行验收，未在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约定的期限内对乙方履约提出任何异议或者向乙方作出任何说明的，视为验收通过。</w:t>
      </w:r>
    </w:p>
    <w:p w14:paraId="1E83E0C1">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4.5 甲方应当根据合同约定及时向乙方支付合同价款，不得以内部人员变更、履行内部付款流程等为由，拒绝或迟延支付。</w:t>
      </w:r>
    </w:p>
    <w:p w14:paraId="290C65DE">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约定应由甲方承担的其他义务和责任。</w:t>
      </w:r>
    </w:p>
    <w:p w14:paraId="1CC6A6F4">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5. 乙方的权利和义务</w:t>
      </w:r>
    </w:p>
    <w:p w14:paraId="4EC02018">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 签署合同后，乙方应确定项目负责人（或项目联系人），负责与本合同有关的事务。</w:t>
      </w:r>
    </w:p>
    <w:p w14:paraId="05EAC620">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24DC00B">
      <w:pPr>
        <w:pStyle w:val="5"/>
        <w:spacing w:line="400" w:lineRule="exact"/>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5.3乙方有权根据合同约定向甲方收取合同价款。</w:t>
      </w:r>
    </w:p>
    <w:p w14:paraId="526A071A">
      <w:pPr>
        <w:pStyle w:val="5"/>
        <w:spacing w:line="400" w:lineRule="exact"/>
        <w:ind w:firstLine="422" w:firstLineChars="176"/>
        <w:rPr>
          <w:rFonts w:ascii="宋体" w:hAnsi="宋体" w:cs="宋体"/>
          <w:color w:val="auto"/>
          <w:sz w:val="24"/>
          <w:szCs w:val="24"/>
          <w:highlight w:val="none"/>
        </w:rPr>
      </w:pPr>
      <w:r>
        <w:rPr>
          <w:rFonts w:hint="eastAsia" w:ascii="宋体" w:hAnsi="宋体" w:cs="宋体"/>
          <w:color w:val="auto"/>
          <w:sz w:val="24"/>
          <w:szCs w:val="24"/>
          <w:highlight w:val="none"/>
        </w:rPr>
        <w:t>5.4国家法律法规规定及</w:t>
      </w:r>
      <w:r>
        <w:rPr>
          <w:rFonts w:hint="eastAsia" w:ascii="宋体" w:hAnsi="宋体" w:cs="宋体"/>
          <w:b/>
          <w:bCs/>
          <w:color w:val="auto"/>
          <w:sz w:val="24"/>
          <w:szCs w:val="24"/>
          <w:highlight w:val="none"/>
        </w:rPr>
        <w:t>【政府采购合同专用条款】</w:t>
      </w:r>
      <w:r>
        <w:rPr>
          <w:rFonts w:hint="eastAsia" w:ascii="宋体" w:hAnsi="宋体" w:cs="宋体"/>
          <w:color w:val="auto"/>
          <w:sz w:val="24"/>
          <w:szCs w:val="24"/>
          <w:highlight w:val="none"/>
        </w:rPr>
        <w:t>约定应由乙方承担的其他义务和责任。</w:t>
      </w:r>
    </w:p>
    <w:p w14:paraId="11AFC640">
      <w:pPr>
        <w:numPr>
          <w:ilvl w:val="0"/>
          <w:numId w:val="4"/>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合同履行</w:t>
      </w:r>
    </w:p>
    <w:p w14:paraId="56B463FB">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约定顺序履行合同义务；如果没有先后顺序的，应当同时履行。</w:t>
      </w:r>
    </w:p>
    <w:p w14:paraId="30C67397">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64DE5AEC">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7. 货物包装、运输、保险和交付要求</w:t>
      </w:r>
    </w:p>
    <w:p w14:paraId="6797DDF3">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7.1 本合同</w:t>
      </w:r>
      <w:r>
        <w:rPr>
          <w:rFonts w:hint="eastAsia" w:ascii="宋体" w:hAnsi="宋体" w:cs="宋体"/>
          <w:bCs/>
          <w:color w:val="auto"/>
          <w:sz w:val="24"/>
          <w:highlight w:val="none"/>
        </w:rPr>
        <w:t>涉及商品包装、快递包装的，</w:t>
      </w:r>
      <w:r>
        <w:rPr>
          <w:rFonts w:hint="eastAsia" w:ascii="宋体" w:hAnsi="宋体" w:cs="宋体"/>
          <w:color w:val="auto"/>
          <w:sz w:val="24"/>
          <w:highlight w:val="none"/>
        </w:rPr>
        <w:t>除</w:t>
      </w:r>
      <w:r>
        <w:rPr>
          <w:rFonts w:hint="eastAsia" w:ascii="宋体" w:hAnsi="宋体" w:cs="宋体"/>
          <w:b/>
          <w:color w:val="auto"/>
          <w:sz w:val="24"/>
          <w:highlight w:val="none"/>
        </w:rPr>
        <w:t>【政府采购合同专用条款】</w:t>
      </w:r>
      <w:r>
        <w:rPr>
          <w:rFonts w:hint="eastAsia" w:ascii="宋体" w:hAnsi="宋体" w:cs="宋体"/>
          <w:bCs/>
          <w:color w:val="auto"/>
          <w:sz w:val="24"/>
          <w:highlight w:val="none"/>
        </w:rPr>
        <w:t>另有约定外，</w:t>
      </w:r>
      <w:r>
        <w:rPr>
          <w:rFonts w:hint="eastAsia" w:ascii="宋体" w:hAnsi="宋体" w:cs="宋体"/>
          <w:color w:val="auto"/>
          <w:sz w:val="24"/>
          <w:highlight w:val="none"/>
        </w:rPr>
        <w:t>包装应适应远距离运输、防潮、防震、防锈和防野蛮装卸等要求，确保货物安全无损地运抵</w:t>
      </w:r>
      <w:r>
        <w:rPr>
          <w:rFonts w:hint="eastAsia" w:ascii="宋体" w:hAnsi="宋体" w:cs="宋体"/>
          <w:b/>
          <w:color w:val="auto"/>
          <w:sz w:val="24"/>
          <w:highlight w:val="none"/>
        </w:rPr>
        <w:t>【政府采购合同专用条款】</w:t>
      </w:r>
      <w:r>
        <w:rPr>
          <w:rFonts w:hint="eastAsia" w:ascii="宋体" w:hAnsi="宋体" w:cs="宋体"/>
          <w:bCs/>
          <w:color w:val="auto"/>
          <w:sz w:val="24"/>
          <w:highlight w:val="none"/>
        </w:rPr>
        <w:t>约定的</w:t>
      </w:r>
      <w:r>
        <w:rPr>
          <w:rFonts w:hint="eastAsia" w:ascii="宋体" w:hAnsi="宋体" w:cs="宋体"/>
          <w:color w:val="auto"/>
          <w:sz w:val="24"/>
          <w:highlight w:val="none"/>
        </w:rPr>
        <w:t>指定现场。</w:t>
      </w:r>
    </w:p>
    <w:p w14:paraId="6DB775AE">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7.2 除</w:t>
      </w:r>
      <w:r>
        <w:rPr>
          <w:rFonts w:hint="eastAsia" w:ascii="宋体" w:hAnsi="宋体" w:cs="宋体"/>
          <w:b/>
          <w:color w:val="auto"/>
          <w:sz w:val="24"/>
          <w:highlight w:val="none"/>
        </w:rPr>
        <w:t>【政府采购合同专用条款】</w:t>
      </w:r>
      <w:r>
        <w:rPr>
          <w:rFonts w:hint="eastAsia" w:ascii="宋体" w:hAnsi="宋体" w:cs="宋体"/>
          <w:bCs/>
          <w:color w:val="auto"/>
          <w:sz w:val="24"/>
          <w:highlight w:val="none"/>
        </w:rPr>
        <w:t>另有约定外，</w:t>
      </w:r>
      <w:r>
        <w:rPr>
          <w:rFonts w:hint="eastAsia" w:ascii="宋体" w:hAnsi="宋体" w:cs="宋体"/>
          <w:color w:val="auto"/>
          <w:sz w:val="24"/>
          <w:highlight w:val="none"/>
        </w:rPr>
        <w:t>乙方负责办理将货物运抵本合同规定的交货地点，并装卸、交付至甲方的一切运输事项，相关费用应包含在合同价款中。</w:t>
      </w:r>
    </w:p>
    <w:p w14:paraId="3A1B1CBA">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7.3 货物保险要求按</w:t>
      </w:r>
      <w:r>
        <w:rPr>
          <w:rFonts w:hint="eastAsia" w:ascii="宋体" w:hAnsi="宋体" w:cs="宋体"/>
          <w:b/>
          <w:color w:val="auto"/>
          <w:sz w:val="24"/>
          <w:highlight w:val="none"/>
        </w:rPr>
        <w:t>【政府采购合同专用条款】</w:t>
      </w:r>
      <w:r>
        <w:rPr>
          <w:rFonts w:hint="eastAsia" w:ascii="宋体" w:hAnsi="宋体" w:cs="宋体"/>
          <w:bCs/>
          <w:color w:val="auto"/>
          <w:sz w:val="24"/>
          <w:highlight w:val="none"/>
        </w:rPr>
        <w:t>规定执行</w:t>
      </w:r>
      <w:r>
        <w:rPr>
          <w:rFonts w:hint="eastAsia" w:ascii="宋体" w:hAnsi="宋体" w:cs="宋体"/>
          <w:color w:val="auto"/>
          <w:sz w:val="24"/>
          <w:highlight w:val="none"/>
        </w:rPr>
        <w:t>。</w:t>
      </w:r>
    </w:p>
    <w:p w14:paraId="3CB10E65">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B78A44">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7.5 乙方在运输到达之前应提前通知甲方，并提示货物运输装卸的注意事项，甲方配合乙方做好货物的接收工作。</w:t>
      </w:r>
    </w:p>
    <w:p w14:paraId="3C25806D">
      <w:pPr>
        <w:pStyle w:val="32"/>
        <w:ind w:firstLine="480"/>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34DD717F">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8. 质量标准和保证</w:t>
      </w:r>
    </w:p>
    <w:p w14:paraId="4D4BADAC">
      <w:pPr>
        <w:pStyle w:val="7"/>
        <w:adjustRightInd w:val="0"/>
        <w:snapToGrid w:val="0"/>
        <w:spacing w:line="400" w:lineRule="exact"/>
        <w:ind w:firstLine="480" w:firstLineChars="200"/>
        <w:jc w:val="left"/>
        <w:rPr>
          <w:rFonts w:hAnsi="宋体" w:cs="宋体"/>
          <w:b/>
          <w:color w:val="auto"/>
          <w:sz w:val="24"/>
          <w:szCs w:val="24"/>
          <w:highlight w:val="none"/>
        </w:rPr>
      </w:pPr>
      <w:r>
        <w:rPr>
          <w:rFonts w:hint="eastAsia" w:hAnsi="宋体" w:cs="宋体"/>
          <w:color w:val="auto"/>
          <w:sz w:val="24"/>
          <w:szCs w:val="24"/>
          <w:highlight w:val="none"/>
        </w:rPr>
        <w:t>8.1 质量标准</w:t>
      </w:r>
    </w:p>
    <w:p w14:paraId="190FA337">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FEA017A">
      <w:pPr>
        <w:pStyle w:val="7"/>
        <w:adjustRightInd w:val="0"/>
        <w:snapToGrid w:val="0"/>
        <w:spacing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（2）采用中华人民共和国法定计量单位。</w:t>
      </w:r>
    </w:p>
    <w:p w14:paraId="705D0FEE">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（3）乙方所提供的货物应符合国家有关安全、环保、卫生的规定。</w:t>
      </w:r>
    </w:p>
    <w:p w14:paraId="251628B5">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18E31C8C">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8.2 保证</w:t>
      </w:r>
    </w:p>
    <w:p w14:paraId="6079FDD0">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 w:val="24"/>
          <w:highlight w:val="none"/>
        </w:rPr>
        <w:t>【政府采购合同专用条款】</w:t>
      </w:r>
      <w:r>
        <w:rPr>
          <w:rFonts w:hint="eastAsia" w:ascii="宋体" w:hAnsi="宋体" w:cs="宋体"/>
          <w:color w:val="auto"/>
          <w:sz w:val="24"/>
          <w:highlight w:val="none"/>
        </w:rPr>
        <w:t>规定或乙方书面承诺（两者以较长的为准）的质量保证期内，本保证保持有效。</w:t>
      </w:r>
    </w:p>
    <w:p w14:paraId="12CDC348">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（2）在质量保证期内所发现的缺陷，甲方应尽快以书面形式通知乙方。</w:t>
      </w:r>
    </w:p>
    <w:p w14:paraId="3956913C">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（3）乙方收到通知后，应在</w:t>
      </w:r>
      <w:r>
        <w:rPr>
          <w:rFonts w:hint="eastAsia" w:ascii="宋体" w:hAnsi="宋体" w:cs="宋体"/>
          <w:b/>
          <w:color w:val="auto"/>
          <w:sz w:val="24"/>
          <w:highlight w:val="none"/>
        </w:rPr>
        <w:t>【政府采购合同专用条款】</w:t>
      </w:r>
      <w:r>
        <w:rPr>
          <w:rFonts w:hint="eastAsia" w:ascii="宋体" w:hAnsi="宋体" w:cs="宋体"/>
          <w:color w:val="auto"/>
          <w:sz w:val="24"/>
          <w:highlight w:val="none"/>
        </w:rPr>
        <w:t>规定的响应时间内以合理的速度免费维修或更换有缺陷的货物或部件。</w:t>
      </w:r>
    </w:p>
    <w:p w14:paraId="43B8284D">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BDCEBB4">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（5）乙方在约定的时间内未能弥补缺陷，甲方可采取必要的补救措施，但其风险和费用将由乙方承担，甲方根据合同约定对乙方行使的其他权利不受影响。</w:t>
      </w:r>
    </w:p>
    <w:p w14:paraId="033298AB">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9. 权利瑕疵担保</w:t>
      </w:r>
    </w:p>
    <w:p w14:paraId="116A6FC8">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9.1 乙方保证对其出售的货物享有合法的权利。</w:t>
      </w:r>
    </w:p>
    <w:p w14:paraId="41A48BDF">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9.2 乙方保证在交付的货物上不存在抵押权等担保物权。</w:t>
      </w:r>
    </w:p>
    <w:p w14:paraId="2F7A4A8B">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9.3 如甲方使用上述货物构成对第三人侵权的，则由乙方承担全部责任。</w:t>
      </w:r>
    </w:p>
    <w:p w14:paraId="5F7663C3">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10. 知识产权保护</w:t>
      </w:r>
    </w:p>
    <w:p w14:paraId="3D6E3E32">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10.1 乙方对其所销售的货物应当享有知识产权或经权利人合法授权，保证没有侵犯任何第三人的知识产权等权利。</w:t>
      </w:r>
      <w:bookmarkStart w:id="177"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177"/>
      <w:r>
        <w:rPr>
          <w:rFonts w:hint="eastAsia" w:ascii="宋体" w:hAnsi="宋体" w:cs="宋体"/>
          <w:color w:val="auto"/>
          <w:sz w:val="24"/>
          <w:highlight w:val="none"/>
        </w:rPr>
        <w:t>。</w:t>
      </w:r>
    </w:p>
    <w:p w14:paraId="45394B8B">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11. 保密义务</w:t>
      </w:r>
    </w:p>
    <w:p w14:paraId="22C291B0">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14:paraId="52BF5AB4">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12. 合同价款支付</w:t>
      </w:r>
    </w:p>
    <w:p w14:paraId="1CA20820">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12.1 合同价款支付按照国库集中支付制度及财政管理相关规定执行。</w:t>
      </w:r>
    </w:p>
    <w:p w14:paraId="30D9D290">
      <w:pPr>
        <w:adjustRightInd w:val="0"/>
        <w:snapToGrid w:val="0"/>
        <w:spacing w:line="4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3C72D290">
      <w:pPr>
        <w:pStyle w:val="5"/>
        <w:spacing w:line="4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13. 履约保证金</w:t>
      </w:r>
    </w:p>
    <w:p w14:paraId="34126863">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 乙方应当以支票、汇票、本票或者金融机构、担保机构出具的保函等非现金形式提交。</w:t>
      </w:r>
    </w:p>
    <w:p w14:paraId="41F9CBC9">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BED434D">
      <w:pPr>
        <w:spacing w:line="400" w:lineRule="exact"/>
        <w:ind w:firstLine="420"/>
        <w:rPr>
          <w:rFonts w:ascii="宋体" w:hAnsi="宋体" w:cs="宋体"/>
          <w:color w:val="auto"/>
          <w:sz w:val="24"/>
          <w:highlight w:val="none"/>
        </w:rPr>
      </w:pPr>
      <w:r>
        <w:rPr>
          <w:rFonts w:hint="eastAsia" w:ascii="宋体" w:hAnsi="宋体" w:cs="宋体"/>
          <w:color w:val="auto"/>
          <w:sz w:val="24"/>
          <w:highlight w:val="none"/>
        </w:rPr>
        <w:t>13.3 甲方在项目通过验收后按照</w:t>
      </w:r>
      <w:r>
        <w:rPr>
          <w:rFonts w:hint="eastAsia" w:ascii="宋体" w:hAnsi="宋体" w:cs="宋体"/>
          <w:b/>
          <w:color w:val="auto"/>
          <w:sz w:val="24"/>
          <w:highlight w:val="none"/>
        </w:rPr>
        <w:t>【政府采购合同专用条款】</w:t>
      </w:r>
      <w:r>
        <w:rPr>
          <w:rFonts w:hint="eastAsia" w:ascii="宋体" w:hAnsi="宋体" w:cs="宋体"/>
          <w:color w:val="auto"/>
          <w:sz w:val="24"/>
          <w:highlight w:val="none"/>
        </w:rPr>
        <w:t>规定的时间内将履约保证金退还乙方；逾期退还的，乙方可要求甲方支付违约金，违约金按照</w:t>
      </w:r>
      <w:r>
        <w:rPr>
          <w:rFonts w:hint="eastAsia" w:ascii="宋体" w:hAnsi="宋体" w:cs="宋体"/>
          <w:b/>
          <w:color w:val="auto"/>
          <w:sz w:val="24"/>
          <w:highlight w:val="none"/>
        </w:rPr>
        <w:t>【政府采购合同专用条款】</w:t>
      </w:r>
      <w:r>
        <w:rPr>
          <w:rFonts w:hint="eastAsia" w:ascii="宋体" w:hAnsi="宋体" w:cs="宋体"/>
          <w:color w:val="auto"/>
          <w:sz w:val="24"/>
          <w:highlight w:val="none"/>
        </w:rPr>
        <w:t>规定支付。</w:t>
      </w:r>
    </w:p>
    <w:p w14:paraId="6AFED8E8">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bCs/>
          <w:color w:val="auto"/>
          <w:sz w:val="24"/>
          <w:highlight w:val="none"/>
        </w:rPr>
        <w:t xml:space="preserve">14. </w:t>
      </w:r>
      <w:r>
        <w:rPr>
          <w:rFonts w:hint="eastAsia" w:ascii="宋体" w:hAnsi="宋体" w:cs="宋体"/>
          <w:b/>
          <w:color w:val="auto"/>
          <w:sz w:val="24"/>
          <w:highlight w:val="none"/>
        </w:rPr>
        <w:t>售后服务</w:t>
      </w:r>
    </w:p>
    <w:p w14:paraId="7E85C99A">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14.1 除项目不涉及或采购活动中明确约定无须承担外，乙方还应提供下列服务：</w:t>
      </w:r>
    </w:p>
    <w:p w14:paraId="76920B44">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（1）货物的现场移动、安装、调试、启动监督及技术支持；</w:t>
      </w:r>
    </w:p>
    <w:p w14:paraId="4CA734A8">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（2）提供货物组装和维修所需的专用工具和辅助材料；</w:t>
      </w:r>
    </w:p>
    <w:p w14:paraId="4EB0098D">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约定的期限内对所有的货物实施运行监督、维修，但前提条件是该服务并不能免除乙方在质量保证期内所承担的义务；</w:t>
      </w:r>
    </w:p>
    <w:p w14:paraId="5A28D8E1">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（4）在制造商所在地或指定现场就货物的安装、启动、运营、维护、废弃处置等对甲方操作人员进行培训；</w:t>
      </w:r>
    </w:p>
    <w:p w14:paraId="25E3C166">
      <w:pPr>
        <w:pStyle w:val="32"/>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0AA681A1">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
          <w:color w:val="auto"/>
          <w:sz w:val="24"/>
          <w:highlight w:val="none"/>
        </w:rPr>
        <w:t>【政府采购合同专用条款】</w:t>
      </w:r>
      <w:r>
        <w:rPr>
          <w:rFonts w:hint="eastAsia" w:ascii="宋体" w:hAnsi="宋体" w:cs="宋体"/>
          <w:color w:val="auto"/>
          <w:sz w:val="24"/>
          <w:highlight w:val="none"/>
        </w:rPr>
        <w:t>规定由乙方提供的其他服务。</w:t>
      </w:r>
    </w:p>
    <w:p w14:paraId="32C22ACA">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14.2 乙方提供的售后服务的费用已包含在合同价款中，甲方不再另行支付。</w:t>
      </w:r>
    </w:p>
    <w:p w14:paraId="634DFC7D">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15. 违约责任</w:t>
      </w:r>
    </w:p>
    <w:p w14:paraId="376A3519">
      <w:pPr>
        <w:adjustRightInd w:val="0"/>
        <w:snapToGrid w:val="0"/>
        <w:spacing w:line="4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15.1质量瑕疵的违约责任</w:t>
      </w:r>
    </w:p>
    <w:p w14:paraId="6BCCBE3D">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乙方提供的产品不符合合同约定的质量标准或存在产品质量缺陷，甲方有权要求乙方根据</w:t>
      </w:r>
      <w:r>
        <w:rPr>
          <w:rFonts w:hint="eastAsia" w:ascii="宋体" w:hAnsi="宋体" w:cs="宋体"/>
          <w:b/>
          <w:color w:val="auto"/>
          <w:sz w:val="24"/>
          <w:highlight w:val="none"/>
        </w:rPr>
        <w:t>【政府采购合同专用条款】</w:t>
      </w:r>
      <w:r>
        <w:rPr>
          <w:rFonts w:hint="eastAsia" w:ascii="宋体" w:hAnsi="宋体" w:cs="宋体"/>
          <w:bCs/>
          <w:color w:val="auto"/>
          <w:sz w:val="24"/>
          <w:highlight w:val="none"/>
        </w:rPr>
        <w:t>要求</w:t>
      </w:r>
      <w:r>
        <w:rPr>
          <w:rFonts w:hint="eastAsia" w:ascii="宋体" w:hAnsi="宋体" w:cs="宋体"/>
          <w:color w:val="auto"/>
          <w:sz w:val="24"/>
          <w:highlight w:val="none"/>
        </w:rPr>
        <w:t>及时修理、重作、更换，并承担由此给甲方造成的损失。</w:t>
      </w:r>
    </w:p>
    <w:p w14:paraId="1550CDF6">
      <w:pPr>
        <w:autoSpaceDE w:val="0"/>
        <w:autoSpaceDN w:val="0"/>
        <w:adjustRightInd w:val="0"/>
        <w:snapToGrid w:val="0"/>
        <w:spacing w:line="4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15.2 迟延交货的违约责任</w:t>
      </w:r>
    </w:p>
    <w:p w14:paraId="1EAB8A46">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084F69C">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 w:val="24"/>
          <w:highlight w:val="none"/>
        </w:rPr>
        <w:t>【政府采购合同专用条款】</w:t>
      </w:r>
      <w:r>
        <w:rPr>
          <w:rFonts w:hint="eastAsia" w:ascii="宋体" w:hAnsi="宋体" w:cs="宋体"/>
          <w:color w:val="auto"/>
          <w:sz w:val="24"/>
          <w:highlight w:val="none"/>
        </w:rPr>
        <w:t>规定执行。如果涉及公共利益，且赔偿金额无法弥补公共利益损失，甲方可要求继续履行或者采取其他补救措施。</w:t>
      </w:r>
    </w:p>
    <w:p w14:paraId="226E7565">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15.3 迟延支付的违约责任</w:t>
      </w:r>
    </w:p>
    <w:p w14:paraId="1F4CCA40">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甲方存在迟延支付乙方合同款项的，应当承担</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规定的逾期付款利息。</w:t>
      </w:r>
    </w:p>
    <w:p w14:paraId="3162175B">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15.4其他违约责任根据项目实际需要按</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规定执行。</w:t>
      </w:r>
    </w:p>
    <w:p w14:paraId="7F9FDFBE">
      <w:pPr>
        <w:numPr>
          <w:ilvl w:val="0"/>
          <w:numId w:val="5"/>
        </w:num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合同变更、中止与终止</w:t>
      </w:r>
    </w:p>
    <w:p w14:paraId="5A6E47EE">
      <w:pPr>
        <w:adjustRightInd w:val="0"/>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 xml:space="preserve">    16.1合同的变更</w:t>
      </w:r>
    </w:p>
    <w:p w14:paraId="785026EA">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政府采购合同履行中，在不改变合同其他条款的前提下，甲方可以在合同价款10%的范围内追加与合同标的相同的货物，并就此与乙方协商一致后签订补充协议。</w:t>
      </w:r>
    </w:p>
    <w:p w14:paraId="7B550EC2">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16.2合同的中止</w:t>
      </w:r>
    </w:p>
    <w:p w14:paraId="3EA760C5">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（1）合同履行过程中因供应商就采购文件、采购过程或结果提起投诉的，甲方认为有必要的，可以中止合同的履行。</w:t>
      </w:r>
    </w:p>
    <w:p w14:paraId="6C5C32BA">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4E35BBC">
      <w:pPr>
        <w:pStyle w:val="32"/>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2622CCAF">
      <w:pPr>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（4）甲方不得以行政区划调整、政府换届、机构或者职能调整以及相关责任人更替为由中止合同。</w:t>
      </w:r>
    </w:p>
    <w:p w14:paraId="03F08E72">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16.3合同的终止</w:t>
      </w:r>
    </w:p>
    <w:p w14:paraId="0EEBA75D">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（1）合同因有效期限届满而终止；</w:t>
      </w:r>
    </w:p>
    <w:p w14:paraId="054C9832">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（2）乙方未按合同约定履行，构成根本性违约的，甲方有权终止合同，并追究乙方的违约责任。</w:t>
      </w:r>
    </w:p>
    <w:p w14:paraId="2187B07C">
      <w:pPr>
        <w:pStyle w:val="32"/>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0C553B9">
      <w:pPr>
        <w:pStyle w:val="32"/>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19FB62B1">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17. 合同分包</w:t>
      </w:r>
    </w:p>
    <w:p w14:paraId="126A2181">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17.1 乙方不得将合同转包给其他供应商。涉及合同分包的，乙方应根据采购文件和投标（响应）文件规定进行合同分包。</w:t>
      </w:r>
    </w:p>
    <w:p w14:paraId="54B1CD06">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17.2 乙方执行政府采购政策向中小企业依法分包的，乙方应当按采购文件和投标（响应）文件签订分包意向协议，分包意向协议属于本合同组成部分。</w:t>
      </w:r>
    </w:p>
    <w:p w14:paraId="735C782D">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18. 不可抗力</w:t>
      </w:r>
    </w:p>
    <w:p w14:paraId="13983DD3">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18.1 不可抗力是指合同双方不能预见、不能避免且不能克服的客观情况。</w:t>
      </w:r>
    </w:p>
    <w:p w14:paraId="6E2161AE">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18.2 任何一方对由于不可抗力造成的部分或全部不能履行合同不承担违约责任。但迟延履行后发生不可抗力的，不能免除责任。</w:t>
      </w:r>
    </w:p>
    <w:p w14:paraId="256660C6">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1AEE94D">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19. 解决争议的方法</w:t>
      </w:r>
    </w:p>
    <w:p w14:paraId="0721EAFD">
      <w:pPr>
        <w:pStyle w:val="32"/>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912697F">
      <w:pPr>
        <w:pStyle w:val="32"/>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32B6F3E9">
      <w:pPr>
        <w:pStyle w:val="32"/>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4C2B5618">
      <w:pPr>
        <w:autoSpaceDE w:val="0"/>
        <w:autoSpaceDN w:val="0"/>
        <w:adjustRightInd w:val="0"/>
        <w:snapToGrid w:val="0"/>
        <w:spacing w:line="400" w:lineRule="exact"/>
        <w:jc w:val="left"/>
        <w:rPr>
          <w:rFonts w:ascii="宋体" w:hAnsi="宋体" w:cs="宋体"/>
          <w:color w:val="auto"/>
          <w:sz w:val="24"/>
          <w:highlight w:val="none"/>
        </w:rPr>
      </w:pPr>
      <w:r>
        <w:rPr>
          <w:rFonts w:hint="eastAsia" w:ascii="宋体" w:hAnsi="宋体" w:cs="宋体"/>
          <w:b/>
          <w:color w:val="auto"/>
          <w:sz w:val="24"/>
          <w:highlight w:val="none"/>
        </w:rPr>
        <w:t>20. 政府采购政策</w:t>
      </w:r>
    </w:p>
    <w:p w14:paraId="4B8CD595">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14:paraId="7FBF7E61">
      <w:pPr>
        <w:autoSpaceDE w:val="0"/>
        <w:autoSpaceDN w:val="0"/>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20.2 本合同依法执行政府采购政策的方式和内容，属于合同履约验收的范围。甲乙双方</w:t>
      </w:r>
      <w:r>
        <w:rPr>
          <w:rFonts w:hint="eastAsia" w:ascii="宋体" w:hAnsi="宋体" w:cs="宋体"/>
          <w:color w:val="auto"/>
          <w:sz w:val="24"/>
          <w:highlight w:val="none"/>
          <w:lang w:val="en-GB"/>
        </w:rPr>
        <w:t>未按规定要求执行政府采购政策造成损失的</w:t>
      </w:r>
      <w:r>
        <w:rPr>
          <w:rFonts w:hint="eastAsia" w:ascii="宋体" w:hAnsi="宋体" w:cs="宋体"/>
          <w:color w:val="auto"/>
          <w:sz w:val="24"/>
          <w:highlight w:val="none"/>
        </w:rPr>
        <w:t>，有过错的一方应当承担赔偿责任，双方都有过错的，各自承担相应的责任。</w:t>
      </w:r>
    </w:p>
    <w:p w14:paraId="74BE2B57">
      <w:pPr>
        <w:pStyle w:val="5"/>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965E195">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21. 法律适用</w:t>
      </w:r>
    </w:p>
    <w:p w14:paraId="3CDBC25E">
      <w:pPr>
        <w:pStyle w:val="32"/>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2AEA01E3">
      <w:pPr>
        <w:pStyle w:val="32"/>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073B92CF">
      <w:pPr>
        <w:numPr>
          <w:ilvl w:val="255"/>
          <w:numId w:val="0"/>
        </w:num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22. 通知</w:t>
      </w:r>
    </w:p>
    <w:p w14:paraId="5EBF2ED4">
      <w:pPr>
        <w:pStyle w:val="32"/>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60CA8F12">
      <w:pPr>
        <w:pStyle w:val="32"/>
        <w:ind w:firstLine="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4A975D29">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22.3本合同一方给另一方的通知均应采用书面形式，传真或快递送到本合同中规定的对方的地址和办理签收手续。</w:t>
      </w:r>
    </w:p>
    <w:p w14:paraId="0ED3A015">
      <w:pPr>
        <w:adjustRightInd w:val="0"/>
        <w:snapToGri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22.4通知以送达之日或通知书中规定的生效之日起生效，两者中以较迟之日为准。</w:t>
      </w:r>
    </w:p>
    <w:p w14:paraId="1CD4082D">
      <w:pPr>
        <w:numPr>
          <w:ilvl w:val="0"/>
          <w:numId w:val="6"/>
        </w:num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合同未尽事项</w:t>
      </w:r>
    </w:p>
    <w:p w14:paraId="624567D7">
      <w:pPr>
        <w:adjustRightInd w:val="0"/>
        <w:snapToGrid w:val="0"/>
        <w:spacing w:line="40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23.1合同未尽事项见</w:t>
      </w:r>
      <w:r>
        <w:rPr>
          <w:rFonts w:hint="eastAsia" w:ascii="宋体" w:hAnsi="宋体" w:cs="宋体"/>
          <w:b/>
          <w:color w:val="auto"/>
          <w:sz w:val="24"/>
          <w:highlight w:val="none"/>
        </w:rPr>
        <w:t>【政府采购合同专用条款】</w:t>
      </w:r>
      <w:r>
        <w:rPr>
          <w:rFonts w:hint="eastAsia" w:ascii="宋体" w:hAnsi="宋体" w:cs="宋体"/>
          <w:bCs/>
          <w:color w:val="auto"/>
          <w:sz w:val="24"/>
          <w:highlight w:val="none"/>
        </w:rPr>
        <w:t>。</w:t>
      </w:r>
    </w:p>
    <w:p w14:paraId="15939CFD">
      <w:pPr>
        <w:adjustRightInd w:val="0"/>
        <w:snapToGrid w:val="0"/>
        <w:spacing w:line="400" w:lineRule="exact"/>
        <w:ind w:firstLine="480" w:firstLineChars="200"/>
        <w:jc w:val="left"/>
        <w:rPr>
          <w:rFonts w:ascii="宋体" w:hAnsi="宋体" w:cs="宋体"/>
          <w:bCs/>
          <w:color w:val="auto"/>
          <w:sz w:val="24"/>
          <w:highlight w:val="none"/>
        </w:rPr>
      </w:pPr>
      <w:r>
        <w:rPr>
          <w:rFonts w:hint="eastAsia" w:ascii="宋体" w:hAnsi="宋体" w:cs="宋体"/>
          <w:color w:val="auto"/>
          <w:sz w:val="24"/>
          <w:highlight w:val="none"/>
        </w:rPr>
        <w:t>23.2 合同附件与合同正文具有同等的法律效力。</w:t>
      </w:r>
    </w:p>
    <w:p w14:paraId="42CBF976">
      <w:pPr>
        <w:widowControl/>
        <w:jc w:val="left"/>
        <w:rPr>
          <w:rFonts w:ascii="宋体" w:hAnsi="宋体" w:eastAsia="宋体" w:cs="宋体"/>
          <w:color w:val="auto"/>
          <w:sz w:val="24"/>
          <w:szCs w:val="24"/>
          <w:highlight w:val="none"/>
        </w:rPr>
      </w:pPr>
      <w:r>
        <w:rPr>
          <w:rFonts w:ascii="宋体" w:hAnsi="宋体" w:eastAsia="宋体" w:cs="宋体"/>
          <w:b/>
          <w:bCs/>
          <w:color w:val="auto"/>
          <w:sz w:val="24"/>
          <w:szCs w:val="24"/>
          <w:highlight w:val="none"/>
        </w:rPr>
        <w:br w:type="page"/>
      </w:r>
    </w:p>
    <w:p w14:paraId="16F3302A">
      <w:pPr>
        <w:pStyle w:val="3"/>
        <w:adjustRightInd w:val="0"/>
        <w:snapToGrid w:val="0"/>
        <w:spacing w:before="120" w:beforeLines="50"/>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第三节 政府采购合同专用条款</w:t>
      </w:r>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44A4C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2655B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724C1E0">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14:paraId="454F52E1">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14:paraId="1CBCCF51">
            <w:pPr>
              <w:adjustRightInd w:val="0"/>
              <w:snapToGrid w:val="0"/>
              <w:jc w:val="left"/>
              <w:rPr>
                <w:rFonts w:ascii="宋体" w:hAnsi="宋体"/>
                <w:color w:val="auto"/>
                <w:szCs w:val="21"/>
                <w:highlight w:val="none"/>
              </w:rPr>
            </w:pPr>
          </w:p>
        </w:tc>
      </w:tr>
      <w:tr w14:paraId="584FFA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948DE1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AC67D4B">
            <w:pPr>
              <w:adjustRightInd w:val="0"/>
              <w:snapToGrid w:val="0"/>
              <w:jc w:val="center"/>
              <w:rPr>
                <w:rFonts w:ascii="宋体" w:hAnsi="宋体" w:eastAsia="宋体" w:cs="Times New Roman"/>
                <w:color w:val="auto"/>
                <w:szCs w:val="21"/>
                <w:highlight w:val="none"/>
              </w:rPr>
            </w:pPr>
            <w:r>
              <w:rPr>
                <w:rFonts w:hint="eastAsia" w:ascii="宋体" w:hAnsi="宋体"/>
                <w:color w:val="auto"/>
                <w:szCs w:val="21"/>
                <w:highlight w:val="none"/>
              </w:rPr>
              <w:t>第1.2（7）项</w:t>
            </w:r>
          </w:p>
        </w:tc>
        <w:tc>
          <w:tcPr>
            <w:tcW w:w="1742" w:type="dxa"/>
            <w:vAlign w:val="center"/>
          </w:tcPr>
          <w:p w14:paraId="51C9C458">
            <w:pPr>
              <w:adjustRightInd w:val="0"/>
              <w:snapToGrid w:val="0"/>
              <w:jc w:val="left"/>
              <w:rPr>
                <w:rFonts w:ascii="宋体" w:hAnsi="宋体" w:eastAsia="宋体" w:cs="Times New Roman"/>
                <w:color w:val="auto"/>
                <w:szCs w:val="21"/>
                <w:highlight w:val="none"/>
              </w:rPr>
            </w:pPr>
            <w:r>
              <w:rPr>
                <w:rFonts w:hint="eastAsia" w:ascii="宋体" w:hAnsi="宋体"/>
                <w:color w:val="auto"/>
                <w:szCs w:val="21"/>
                <w:highlight w:val="none"/>
              </w:rPr>
              <w:t>其他术语解释</w:t>
            </w:r>
          </w:p>
        </w:tc>
        <w:tc>
          <w:tcPr>
            <w:tcW w:w="5170" w:type="dxa"/>
            <w:vAlign w:val="center"/>
          </w:tcPr>
          <w:p w14:paraId="5318244C">
            <w:pPr>
              <w:adjustRightInd w:val="0"/>
              <w:snapToGrid w:val="0"/>
              <w:jc w:val="left"/>
              <w:rPr>
                <w:rFonts w:ascii="宋体" w:hAnsi="宋体" w:eastAsia="宋体" w:cs="Times New Roman"/>
                <w:color w:val="auto"/>
                <w:szCs w:val="21"/>
                <w:highlight w:val="none"/>
              </w:rPr>
            </w:pPr>
          </w:p>
        </w:tc>
      </w:tr>
      <w:tr w14:paraId="43F13D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DB959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4CE7D29">
            <w:pPr>
              <w:adjustRightInd w:val="0"/>
              <w:snapToGrid w:val="0"/>
              <w:jc w:val="center"/>
              <w:rPr>
                <w:rFonts w:ascii="宋体" w:hAnsi="宋体" w:eastAsia="宋体"/>
                <w:color w:val="auto"/>
                <w:szCs w:val="21"/>
                <w:highlight w:val="none"/>
              </w:rPr>
            </w:pPr>
            <w:r>
              <w:rPr>
                <w:rFonts w:hint="eastAsia" w:ascii="宋体" w:hAnsi="宋体"/>
                <w:color w:val="auto"/>
                <w:szCs w:val="21"/>
                <w:highlight w:val="none"/>
              </w:rPr>
              <w:t>第4.4款</w:t>
            </w:r>
          </w:p>
        </w:tc>
        <w:tc>
          <w:tcPr>
            <w:tcW w:w="1742" w:type="dxa"/>
            <w:vAlign w:val="center"/>
          </w:tcPr>
          <w:p w14:paraId="2F00EFFE">
            <w:pPr>
              <w:adjustRightInd w:val="0"/>
              <w:snapToGrid w:val="0"/>
              <w:jc w:val="left"/>
              <w:rPr>
                <w:rFonts w:ascii="宋体" w:hAnsi="宋体" w:eastAsia="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14:paraId="4A6BD42C">
            <w:pPr>
              <w:adjustRightInd w:val="0"/>
              <w:snapToGrid w:val="0"/>
              <w:jc w:val="left"/>
              <w:rPr>
                <w:rFonts w:ascii="宋体" w:hAnsi="宋体" w:eastAsia="宋体" w:cs="Times New Roman"/>
                <w:color w:val="auto"/>
                <w:szCs w:val="21"/>
                <w:highlight w:val="none"/>
              </w:rPr>
            </w:pPr>
          </w:p>
        </w:tc>
      </w:tr>
      <w:tr w14:paraId="5AE7D5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FFE9D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3460358">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vAlign w:val="center"/>
          </w:tcPr>
          <w:p w14:paraId="586C932C">
            <w:pPr>
              <w:adjustRightInd w:val="0"/>
              <w:snapToGrid w:val="0"/>
              <w:jc w:val="left"/>
              <w:rPr>
                <w:rFonts w:ascii="宋体" w:hAnsi="宋体" w:eastAsia="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14:paraId="1A29BB61">
            <w:pPr>
              <w:adjustRightInd w:val="0"/>
              <w:snapToGrid w:val="0"/>
              <w:jc w:val="left"/>
              <w:rPr>
                <w:rFonts w:ascii="宋体" w:hAnsi="宋体" w:eastAsia="宋体" w:cs="Times New Roman"/>
                <w:color w:val="auto"/>
                <w:szCs w:val="21"/>
                <w:highlight w:val="none"/>
              </w:rPr>
            </w:pPr>
          </w:p>
        </w:tc>
      </w:tr>
      <w:tr w14:paraId="70E403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AADFD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423A902">
            <w:pPr>
              <w:snapToGrid w:val="0"/>
              <w:jc w:val="center"/>
              <w:rPr>
                <w:color w:val="auto"/>
                <w:highlight w:val="none"/>
              </w:rPr>
            </w:pPr>
            <w:r>
              <w:rPr>
                <w:rFonts w:hint="eastAsia" w:ascii="宋体" w:hAnsi="宋体"/>
                <w:color w:val="auto"/>
                <w:szCs w:val="21"/>
                <w:highlight w:val="none"/>
              </w:rPr>
              <w:t>第5.4款</w:t>
            </w:r>
          </w:p>
        </w:tc>
        <w:tc>
          <w:tcPr>
            <w:tcW w:w="1742" w:type="dxa"/>
            <w:vAlign w:val="center"/>
          </w:tcPr>
          <w:p w14:paraId="36AA9721">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14:paraId="4BAC49BF">
            <w:pPr>
              <w:adjustRightInd w:val="0"/>
              <w:snapToGrid w:val="0"/>
              <w:jc w:val="left"/>
              <w:rPr>
                <w:rFonts w:ascii="宋体" w:hAnsi="宋体" w:eastAsia="宋体" w:cs="Times New Roman"/>
                <w:color w:val="auto"/>
                <w:szCs w:val="21"/>
                <w:highlight w:val="none"/>
              </w:rPr>
            </w:pPr>
          </w:p>
        </w:tc>
      </w:tr>
      <w:tr w14:paraId="667E74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5BD32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CE9DDE4">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vAlign w:val="center"/>
          </w:tcPr>
          <w:p w14:paraId="52D485E7">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14:paraId="1BCD812B">
            <w:pPr>
              <w:adjustRightInd w:val="0"/>
              <w:snapToGrid w:val="0"/>
              <w:jc w:val="left"/>
              <w:rPr>
                <w:rFonts w:ascii="宋体" w:hAnsi="宋体" w:eastAsia="宋体" w:cs="Times New Roman"/>
                <w:color w:val="auto"/>
                <w:szCs w:val="21"/>
                <w:highlight w:val="none"/>
              </w:rPr>
            </w:pPr>
          </w:p>
        </w:tc>
      </w:tr>
      <w:tr w14:paraId="540A99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16D5E9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CB0C721">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vAlign w:val="center"/>
          </w:tcPr>
          <w:p w14:paraId="69080C14">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vAlign w:val="center"/>
          </w:tcPr>
          <w:p w14:paraId="700D0EA7">
            <w:pPr>
              <w:rPr>
                <w:color w:val="auto"/>
                <w:highlight w:val="none"/>
              </w:rPr>
            </w:pPr>
          </w:p>
        </w:tc>
      </w:tr>
      <w:tr w14:paraId="5DD46C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9D0E15E">
            <w:pPr>
              <w:adjustRightInd w:val="0"/>
              <w:snapToGrid w:val="0"/>
              <w:jc w:val="center"/>
              <w:rPr>
                <w:rFonts w:ascii="宋体" w:hAnsi="宋体"/>
                <w:color w:val="auto"/>
                <w:szCs w:val="21"/>
                <w:highlight w:val="none"/>
              </w:rPr>
            </w:pPr>
          </w:p>
        </w:tc>
        <w:tc>
          <w:tcPr>
            <w:tcW w:w="1742" w:type="dxa"/>
            <w:vAlign w:val="center"/>
          </w:tcPr>
          <w:p w14:paraId="5BEC828C">
            <w:pPr>
              <w:adjustRightInd w:val="0"/>
              <w:snapToGrid w:val="0"/>
              <w:jc w:val="left"/>
              <w:rPr>
                <w:rFonts w:ascii="宋体" w:hAnsi="宋体" w:eastAsia="宋体"/>
                <w:color w:val="auto"/>
                <w:szCs w:val="21"/>
                <w:highlight w:val="none"/>
              </w:rPr>
            </w:pPr>
            <w:r>
              <w:rPr>
                <w:rFonts w:hint="eastAsia" w:ascii="宋体" w:hAnsi="宋体"/>
                <w:color w:val="auto"/>
                <w:szCs w:val="21"/>
                <w:highlight w:val="none"/>
              </w:rPr>
              <w:t>指定现场</w:t>
            </w:r>
          </w:p>
        </w:tc>
        <w:tc>
          <w:tcPr>
            <w:tcW w:w="5170" w:type="dxa"/>
            <w:vAlign w:val="center"/>
          </w:tcPr>
          <w:p w14:paraId="3885CD68">
            <w:pPr>
              <w:rPr>
                <w:color w:val="auto"/>
                <w:highlight w:val="none"/>
              </w:rPr>
            </w:pPr>
          </w:p>
        </w:tc>
      </w:tr>
      <w:tr w14:paraId="655044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C288D5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85F244E">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742" w:type="dxa"/>
            <w:vAlign w:val="center"/>
          </w:tcPr>
          <w:p w14:paraId="59742FE1">
            <w:pPr>
              <w:adjustRightInd w:val="0"/>
              <w:snapToGrid w:val="0"/>
              <w:jc w:val="left"/>
              <w:rPr>
                <w:rFonts w:ascii="宋体" w:hAnsi="宋体" w:eastAsia="宋体"/>
                <w:color w:val="auto"/>
                <w:szCs w:val="21"/>
                <w:highlight w:val="none"/>
              </w:rPr>
            </w:pPr>
            <w:r>
              <w:rPr>
                <w:rFonts w:hint="eastAsia" w:ascii="宋体" w:hAnsi="宋体"/>
                <w:color w:val="auto"/>
                <w:szCs w:val="21"/>
                <w:highlight w:val="none"/>
              </w:rPr>
              <w:t>运输特殊要求</w:t>
            </w:r>
          </w:p>
        </w:tc>
        <w:tc>
          <w:tcPr>
            <w:tcW w:w="5170" w:type="dxa"/>
            <w:vAlign w:val="center"/>
          </w:tcPr>
          <w:p w14:paraId="6C46BB53">
            <w:pPr>
              <w:rPr>
                <w:color w:val="auto"/>
                <w:highlight w:val="none"/>
              </w:rPr>
            </w:pPr>
          </w:p>
        </w:tc>
      </w:tr>
      <w:tr w14:paraId="4515A4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3FC416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39A7BF3">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742" w:type="dxa"/>
            <w:vAlign w:val="center"/>
          </w:tcPr>
          <w:p w14:paraId="1191B440">
            <w:pPr>
              <w:adjustRightInd w:val="0"/>
              <w:snapToGrid w:val="0"/>
              <w:jc w:val="left"/>
              <w:rPr>
                <w:rFonts w:ascii="宋体" w:hAnsi="宋体" w:eastAsia="宋体"/>
                <w:color w:val="auto"/>
                <w:szCs w:val="21"/>
                <w:highlight w:val="none"/>
              </w:rPr>
            </w:pPr>
            <w:r>
              <w:rPr>
                <w:rFonts w:hint="eastAsia" w:ascii="宋体" w:hAnsi="宋体"/>
                <w:color w:val="auto"/>
                <w:szCs w:val="21"/>
                <w:highlight w:val="none"/>
              </w:rPr>
              <w:t>保险要求</w:t>
            </w:r>
          </w:p>
        </w:tc>
        <w:tc>
          <w:tcPr>
            <w:tcW w:w="5170" w:type="dxa"/>
            <w:vAlign w:val="center"/>
          </w:tcPr>
          <w:p w14:paraId="1FBB0518">
            <w:pPr>
              <w:rPr>
                <w:color w:val="auto"/>
                <w:highlight w:val="none"/>
              </w:rPr>
            </w:pPr>
          </w:p>
        </w:tc>
      </w:tr>
      <w:tr w14:paraId="1CA1E6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AACC6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AE9F40F">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vAlign w:val="center"/>
          </w:tcPr>
          <w:p w14:paraId="415769A0">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2768C1B0">
            <w:pPr>
              <w:autoSpaceDE w:val="0"/>
              <w:autoSpaceDN w:val="0"/>
              <w:adjustRightInd w:val="0"/>
              <w:snapToGrid w:val="0"/>
              <w:ind w:firstLine="420" w:firstLineChars="200"/>
              <w:jc w:val="left"/>
              <w:rPr>
                <w:rFonts w:ascii="宋体" w:hAnsi="宋体"/>
                <w:color w:val="auto"/>
                <w:szCs w:val="21"/>
                <w:highlight w:val="none"/>
              </w:rPr>
            </w:pPr>
          </w:p>
        </w:tc>
      </w:tr>
      <w:tr w14:paraId="00FA79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B836A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712455A">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vAlign w:val="center"/>
          </w:tcPr>
          <w:p w14:paraId="1C378457">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7A03B730">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524ECB2D">
            <w:pPr>
              <w:adjustRightInd w:val="0"/>
              <w:snapToGrid w:val="0"/>
              <w:jc w:val="left"/>
              <w:rPr>
                <w:rFonts w:ascii="宋体" w:hAnsi="宋体"/>
                <w:color w:val="auto"/>
                <w:szCs w:val="21"/>
                <w:highlight w:val="none"/>
              </w:rPr>
            </w:pPr>
          </w:p>
        </w:tc>
      </w:tr>
      <w:tr w14:paraId="29037B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0AEF21">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40D11EF">
            <w:pPr>
              <w:pStyle w:val="32"/>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vAlign w:val="center"/>
          </w:tcPr>
          <w:p w14:paraId="6077C5C8">
            <w:pPr>
              <w:adjustRightInd w:val="0"/>
              <w:snapToGrid w:val="0"/>
              <w:rPr>
                <w:rFonts w:ascii="宋体" w:hAnsi="宋体" w:eastAsia="宋体"/>
                <w:color w:val="auto"/>
                <w:szCs w:val="21"/>
                <w:highlight w:val="none"/>
              </w:rPr>
            </w:pPr>
            <w:r>
              <w:rPr>
                <w:rFonts w:hint="eastAsia" w:ascii="宋体" w:hAnsi="宋体"/>
                <w:color w:val="auto"/>
                <w:szCs w:val="21"/>
                <w:highlight w:val="none"/>
              </w:rPr>
              <w:t>其他应当保密的信息</w:t>
            </w:r>
          </w:p>
        </w:tc>
        <w:tc>
          <w:tcPr>
            <w:tcW w:w="5170" w:type="dxa"/>
            <w:vAlign w:val="center"/>
          </w:tcPr>
          <w:p w14:paraId="3BB05EC4">
            <w:pPr>
              <w:adjustRightInd w:val="0"/>
              <w:snapToGrid w:val="0"/>
              <w:jc w:val="left"/>
              <w:rPr>
                <w:rFonts w:ascii="宋体" w:hAnsi="宋体"/>
                <w:color w:val="auto"/>
                <w:szCs w:val="21"/>
                <w:highlight w:val="none"/>
              </w:rPr>
            </w:pPr>
          </w:p>
        </w:tc>
      </w:tr>
      <w:tr w14:paraId="1928B1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410229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0179BCD">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14:paraId="75306287">
            <w:pPr>
              <w:adjustRightInd w:val="0"/>
              <w:snapToGrid w:val="0"/>
              <w:jc w:val="left"/>
              <w:rPr>
                <w:rFonts w:ascii="宋体" w:hAnsi="宋体" w:eastAsia="宋体"/>
                <w:color w:val="auto"/>
                <w:szCs w:val="21"/>
                <w:highlight w:val="none"/>
              </w:rPr>
            </w:pPr>
            <w:r>
              <w:rPr>
                <w:rFonts w:hint="eastAsia" w:ascii="宋体" w:hAnsi="宋体"/>
                <w:color w:val="auto"/>
                <w:szCs w:val="21"/>
                <w:highlight w:val="none"/>
              </w:rPr>
              <w:t>合同价款支付时间</w:t>
            </w:r>
          </w:p>
        </w:tc>
        <w:tc>
          <w:tcPr>
            <w:tcW w:w="5170" w:type="dxa"/>
            <w:vAlign w:val="center"/>
          </w:tcPr>
          <w:p w14:paraId="0E734066">
            <w:pPr>
              <w:adjustRightInd w:val="0"/>
              <w:snapToGrid w:val="0"/>
              <w:jc w:val="left"/>
              <w:rPr>
                <w:rFonts w:ascii="宋体" w:hAnsi="宋体"/>
                <w:color w:val="auto"/>
                <w:szCs w:val="21"/>
                <w:highlight w:val="none"/>
              </w:rPr>
            </w:pPr>
          </w:p>
        </w:tc>
      </w:tr>
      <w:tr w14:paraId="0280F1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AF9714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12A3145">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742" w:type="dxa"/>
            <w:vAlign w:val="center"/>
          </w:tcPr>
          <w:p w14:paraId="3E994686">
            <w:pPr>
              <w:adjustRightInd w:val="0"/>
              <w:snapToGrid w:val="0"/>
              <w:jc w:val="left"/>
              <w:rPr>
                <w:rFonts w:ascii="宋体" w:hAnsi="宋体" w:eastAsia="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14:paraId="5E775644">
            <w:pPr>
              <w:adjustRightInd w:val="0"/>
              <w:snapToGrid w:val="0"/>
              <w:jc w:val="left"/>
              <w:rPr>
                <w:rFonts w:ascii="宋体" w:hAnsi="宋体"/>
                <w:color w:val="auto"/>
                <w:szCs w:val="21"/>
                <w:highlight w:val="none"/>
              </w:rPr>
            </w:pPr>
          </w:p>
        </w:tc>
      </w:tr>
      <w:tr w14:paraId="2179B3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77379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7FAB06C">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742" w:type="dxa"/>
            <w:vAlign w:val="center"/>
          </w:tcPr>
          <w:p w14:paraId="66922C3A">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14:paraId="34BACD81">
            <w:pPr>
              <w:adjustRightInd w:val="0"/>
              <w:snapToGrid w:val="0"/>
              <w:jc w:val="left"/>
              <w:rPr>
                <w:rFonts w:ascii="宋体" w:hAnsi="宋体"/>
                <w:color w:val="auto"/>
                <w:szCs w:val="21"/>
                <w:highlight w:val="none"/>
              </w:rPr>
            </w:pPr>
          </w:p>
        </w:tc>
      </w:tr>
      <w:tr w14:paraId="65432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312622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A3147AC">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vAlign w:val="center"/>
          </w:tcPr>
          <w:p w14:paraId="5274F9B8">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14:paraId="23826293">
            <w:pPr>
              <w:adjustRightInd w:val="0"/>
              <w:snapToGrid w:val="0"/>
              <w:jc w:val="left"/>
              <w:rPr>
                <w:rFonts w:ascii="宋体" w:hAnsi="宋体"/>
                <w:color w:val="auto"/>
                <w:szCs w:val="21"/>
                <w:highlight w:val="none"/>
              </w:rPr>
            </w:pPr>
          </w:p>
        </w:tc>
      </w:tr>
      <w:tr w14:paraId="7C65BD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D2CF5B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A0AE23F">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vAlign w:val="center"/>
          </w:tcPr>
          <w:p w14:paraId="02DAD200">
            <w:pPr>
              <w:adjustRightInd w:val="0"/>
              <w:snapToGrid w:val="0"/>
              <w:jc w:val="left"/>
              <w:rPr>
                <w:rFonts w:ascii="宋体" w:hAnsi="宋体" w:eastAsia="宋体"/>
                <w:color w:val="auto"/>
                <w:szCs w:val="21"/>
                <w:highlight w:val="none"/>
              </w:rPr>
            </w:pPr>
            <w:r>
              <w:rPr>
                <w:rFonts w:hint="eastAsia" w:ascii="宋体" w:hAnsi="宋体"/>
                <w:color w:val="auto"/>
                <w:szCs w:val="21"/>
                <w:highlight w:val="none"/>
              </w:rPr>
              <w:t>货物回收的约定</w:t>
            </w:r>
          </w:p>
        </w:tc>
        <w:tc>
          <w:tcPr>
            <w:tcW w:w="5170" w:type="dxa"/>
            <w:vAlign w:val="center"/>
          </w:tcPr>
          <w:p w14:paraId="027F95ED">
            <w:pPr>
              <w:adjustRightInd w:val="0"/>
              <w:snapToGrid w:val="0"/>
              <w:jc w:val="left"/>
              <w:rPr>
                <w:rFonts w:ascii="宋体" w:hAnsi="宋体"/>
                <w:color w:val="auto"/>
                <w:szCs w:val="21"/>
                <w:highlight w:val="none"/>
              </w:rPr>
            </w:pPr>
          </w:p>
        </w:tc>
      </w:tr>
      <w:tr w14:paraId="4B71D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2B876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96A3EB">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vAlign w:val="center"/>
          </w:tcPr>
          <w:p w14:paraId="47BFF2D3">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7EC50534">
            <w:pPr>
              <w:adjustRightInd w:val="0"/>
              <w:snapToGrid w:val="0"/>
              <w:jc w:val="left"/>
              <w:rPr>
                <w:rFonts w:ascii="宋体" w:hAnsi="宋体"/>
                <w:color w:val="auto"/>
                <w:szCs w:val="21"/>
                <w:highlight w:val="none"/>
              </w:rPr>
            </w:pPr>
          </w:p>
        </w:tc>
      </w:tr>
      <w:tr w14:paraId="59D997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B5443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F4FFF8F">
            <w:pPr>
              <w:adjustRightInd w:val="0"/>
              <w:snapToGrid w:val="0"/>
              <w:jc w:val="center"/>
              <w:rPr>
                <w:rFonts w:ascii="宋体" w:hAnsi="宋体" w:eastAsia="宋体"/>
                <w:color w:val="auto"/>
                <w:szCs w:val="21"/>
                <w:highlight w:val="none"/>
              </w:rPr>
            </w:pPr>
            <w:r>
              <w:rPr>
                <w:rFonts w:hint="eastAsia" w:ascii="宋体" w:hAnsi="宋体"/>
                <w:color w:val="auto"/>
                <w:szCs w:val="21"/>
                <w:highlight w:val="none"/>
              </w:rPr>
              <w:t>第15.1款</w:t>
            </w:r>
          </w:p>
        </w:tc>
        <w:tc>
          <w:tcPr>
            <w:tcW w:w="1742" w:type="dxa"/>
            <w:vAlign w:val="center"/>
          </w:tcPr>
          <w:p w14:paraId="7DCDFC8B">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14:paraId="77A11C71">
            <w:pPr>
              <w:adjustRightInd w:val="0"/>
              <w:snapToGrid w:val="0"/>
              <w:jc w:val="left"/>
              <w:rPr>
                <w:rFonts w:ascii="宋体" w:hAnsi="宋体"/>
                <w:color w:val="auto"/>
                <w:szCs w:val="21"/>
                <w:highlight w:val="none"/>
              </w:rPr>
            </w:pPr>
          </w:p>
        </w:tc>
      </w:tr>
      <w:tr w14:paraId="1132D0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5FB77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F7B046D">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vAlign w:val="center"/>
          </w:tcPr>
          <w:p w14:paraId="1EE0C80C">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0D56C943">
            <w:pPr>
              <w:adjustRightInd w:val="0"/>
              <w:snapToGrid w:val="0"/>
              <w:jc w:val="left"/>
              <w:rPr>
                <w:rFonts w:ascii="宋体" w:hAnsi="宋体"/>
                <w:color w:val="auto"/>
                <w:szCs w:val="21"/>
                <w:highlight w:val="none"/>
                <w:u w:val="single"/>
              </w:rPr>
            </w:pPr>
          </w:p>
        </w:tc>
      </w:tr>
      <w:tr w14:paraId="5FE25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259F4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B62AB4B">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742" w:type="dxa"/>
            <w:vAlign w:val="center"/>
          </w:tcPr>
          <w:p w14:paraId="58580F4A">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71AA3F05">
            <w:pPr>
              <w:adjustRightInd w:val="0"/>
              <w:snapToGrid w:val="0"/>
              <w:jc w:val="left"/>
              <w:rPr>
                <w:rFonts w:ascii="宋体" w:hAnsi="宋体"/>
                <w:color w:val="auto"/>
                <w:szCs w:val="21"/>
                <w:highlight w:val="none"/>
                <w:u w:val="single"/>
              </w:rPr>
            </w:pPr>
          </w:p>
        </w:tc>
      </w:tr>
      <w:tr w14:paraId="254AC3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D76AE3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BBB7354">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64F38F8E">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003109E0">
            <w:pPr>
              <w:adjustRightInd w:val="0"/>
              <w:snapToGrid w:val="0"/>
              <w:jc w:val="left"/>
              <w:rPr>
                <w:rFonts w:ascii="宋体" w:hAnsi="宋体"/>
                <w:color w:val="auto"/>
                <w:szCs w:val="21"/>
                <w:highlight w:val="none"/>
                <w:u w:val="single"/>
              </w:rPr>
            </w:pPr>
          </w:p>
        </w:tc>
      </w:tr>
      <w:tr w14:paraId="1951DC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F2F1C1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7411D49">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0D9A508A">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14:paraId="0D06D2E6">
            <w:pPr>
              <w:autoSpaceDE w:val="0"/>
              <w:autoSpaceDN w:val="0"/>
              <w:adjustRightInd w:val="0"/>
              <w:snapToGrid w:val="0"/>
              <w:spacing w:line="400" w:lineRule="exact"/>
              <w:jc w:val="left"/>
              <w:rPr>
                <w:rFonts w:ascii="宋体" w:hAnsi="宋体" w:eastAsia="宋体" w:cs="宋体"/>
                <w:iCs/>
                <w:color w:val="auto"/>
                <w:szCs w:val="21"/>
                <w:highlight w:val="none"/>
              </w:rPr>
            </w:pPr>
            <w:r>
              <w:rPr>
                <w:rFonts w:hint="eastAsia" w:ascii="宋体" w:hAnsi="宋体" w:eastAsia="宋体" w:cs="宋体"/>
                <w:iCs/>
                <w:color w:val="auto"/>
                <w:szCs w:val="21"/>
                <w:highlight w:val="none"/>
              </w:rPr>
              <w:t>因本合同及合同有关事项发生的争议，按下列第</w:t>
            </w:r>
            <w:r>
              <w:rPr>
                <w:rFonts w:hint="eastAsia" w:ascii="宋体" w:hAnsi="宋体" w:eastAsia="宋体" w:cs="宋体"/>
                <w:iCs/>
                <w:color w:val="auto"/>
                <w:szCs w:val="21"/>
                <w:highlight w:val="none"/>
                <w:u w:val="single"/>
              </w:rPr>
              <w:t xml:space="preserve">   </w:t>
            </w:r>
            <w:r>
              <w:rPr>
                <w:rFonts w:hint="eastAsia" w:ascii="宋体" w:hAnsi="宋体" w:eastAsia="宋体" w:cs="宋体"/>
                <w:iCs/>
                <w:color w:val="auto"/>
                <w:szCs w:val="21"/>
                <w:highlight w:val="none"/>
              </w:rPr>
              <w:t>种方式解决：</w:t>
            </w:r>
          </w:p>
          <w:p w14:paraId="35DA4B4D">
            <w:pPr>
              <w:autoSpaceDE w:val="0"/>
              <w:autoSpaceDN w:val="0"/>
              <w:adjustRightInd w:val="0"/>
              <w:snapToGrid w:val="0"/>
              <w:spacing w:line="400" w:lineRule="exact"/>
              <w:jc w:val="left"/>
              <w:rPr>
                <w:rFonts w:ascii="宋体" w:hAnsi="宋体" w:eastAsia="宋体" w:cs="宋体"/>
                <w:iCs/>
                <w:color w:val="auto"/>
                <w:szCs w:val="21"/>
                <w:highlight w:val="none"/>
              </w:rPr>
            </w:pPr>
            <w:r>
              <w:rPr>
                <w:rFonts w:hint="eastAsia" w:ascii="宋体" w:hAnsi="宋体" w:eastAsia="宋体" w:cs="宋体"/>
                <w:iCs/>
                <w:color w:val="auto"/>
                <w:szCs w:val="21"/>
                <w:highlight w:val="none"/>
              </w:rPr>
              <w:t>（1）向</w:t>
            </w:r>
            <w:r>
              <w:rPr>
                <w:rFonts w:hint="eastAsia" w:ascii="宋体" w:hAnsi="宋体" w:eastAsia="宋体" w:cs="宋体"/>
                <w:iCs/>
                <w:color w:val="auto"/>
                <w:szCs w:val="21"/>
                <w:highlight w:val="none"/>
                <w:u w:val="single"/>
              </w:rPr>
              <w:t xml:space="preserve">                    </w:t>
            </w:r>
            <w:r>
              <w:rPr>
                <w:rFonts w:hint="eastAsia" w:ascii="宋体" w:hAnsi="宋体" w:eastAsia="宋体" w:cs="宋体"/>
                <w:iCs/>
                <w:color w:val="auto"/>
                <w:szCs w:val="21"/>
                <w:highlight w:val="none"/>
              </w:rPr>
              <w:t>仲裁委员会申请仲裁，仲裁地点为</w:t>
            </w:r>
            <w:r>
              <w:rPr>
                <w:rFonts w:hint="eastAsia" w:ascii="宋体" w:hAnsi="宋体" w:eastAsia="宋体" w:cs="宋体"/>
                <w:iCs/>
                <w:color w:val="auto"/>
                <w:szCs w:val="21"/>
                <w:highlight w:val="none"/>
                <w:u w:val="single"/>
              </w:rPr>
              <w:t xml:space="preserve">           </w:t>
            </w:r>
            <w:r>
              <w:rPr>
                <w:rFonts w:hint="eastAsia" w:ascii="宋体" w:hAnsi="宋体" w:eastAsia="宋体" w:cs="宋体"/>
                <w:iCs/>
                <w:color w:val="auto"/>
                <w:szCs w:val="21"/>
                <w:highlight w:val="none"/>
              </w:rPr>
              <w:t>；</w:t>
            </w:r>
          </w:p>
          <w:p w14:paraId="21E5610F">
            <w:pPr>
              <w:adjustRightInd w:val="0"/>
              <w:snapToGrid w:val="0"/>
              <w:jc w:val="left"/>
              <w:rPr>
                <w:rFonts w:ascii="宋体" w:hAnsi="宋体"/>
                <w:color w:val="auto"/>
                <w:szCs w:val="21"/>
                <w:highlight w:val="none"/>
                <w:u w:val="single"/>
              </w:rPr>
            </w:pPr>
            <w:r>
              <w:rPr>
                <w:rFonts w:hint="eastAsia" w:ascii="宋体" w:hAnsi="宋体" w:eastAsia="宋体" w:cs="宋体"/>
                <w:iCs/>
                <w:color w:val="auto"/>
                <w:szCs w:val="21"/>
                <w:highlight w:val="none"/>
              </w:rPr>
              <w:t>（2）向</w:t>
            </w:r>
            <w:r>
              <w:rPr>
                <w:rFonts w:hint="eastAsia" w:ascii="宋体" w:hAnsi="宋体" w:eastAsia="宋体" w:cs="宋体"/>
                <w:iCs/>
                <w:color w:val="auto"/>
                <w:szCs w:val="21"/>
                <w:highlight w:val="none"/>
                <w:u w:val="single"/>
              </w:rPr>
              <w:t xml:space="preserve">                    </w:t>
            </w:r>
            <w:r>
              <w:rPr>
                <w:rFonts w:hint="eastAsia" w:ascii="宋体" w:hAnsi="宋体" w:eastAsia="宋体" w:cs="宋体"/>
                <w:iCs/>
                <w:color w:val="auto"/>
                <w:szCs w:val="21"/>
                <w:highlight w:val="none"/>
              </w:rPr>
              <w:t>人民法院起诉。</w:t>
            </w:r>
          </w:p>
        </w:tc>
      </w:tr>
      <w:tr w14:paraId="2F9AE8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90E4B3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269670E">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vAlign w:val="center"/>
          </w:tcPr>
          <w:p w14:paraId="0FF275A6">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14:paraId="2B397969">
            <w:pPr>
              <w:adjustRightInd w:val="0"/>
              <w:snapToGrid w:val="0"/>
              <w:jc w:val="left"/>
              <w:rPr>
                <w:rFonts w:ascii="宋体" w:hAnsi="宋体" w:eastAsia="宋体"/>
                <w:color w:val="auto"/>
                <w:szCs w:val="21"/>
                <w:highlight w:val="none"/>
              </w:rPr>
            </w:pPr>
          </w:p>
        </w:tc>
      </w:tr>
    </w:tbl>
    <w:p w14:paraId="0721A3CA">
      <w:pPr>
        <w:ind w:firstLine="480"/>
        <w:rPr>
          <w:rFonts w:ascii="宋体" w:hAnsi="宋体" w:cs="宋体"/>
          <w:bCs/>
          <w:color w:val="auto"/>
          <w:sz w:val="24"/>
          <w:highlight w:val="none"/>
        </w:rPr>
      </w:pPr>
    </w:p>
    <w:p w14:paraId="3474FCB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9405902">
      <w:pPr>
        <w:spacing w:before="312" w:beforeLines="100" w:line="360" w:lineRule="auto"/>
        <w:jc w:val="center"/>
        <w:outlineLvl w:val="0"/>
        <w:rPr>
          <w:rFonts w:hint="eastAsia" w:ascii="宋体" w:hAnsi="宋体" w:cs="宋体"/>
          <w:b/>
          <w:bCs/>
          <w:color w:val="auto"/>
          <w:sz w:val="36"/>
          <w:szCs w:val="36"/>
          <w:highlight w:val="none"/>
          <w:lang w:bidi="ar"/>
        </w:rPr>
      </w:pPr>
      <w:bookmarkStart w:id="178" w:name="_Toc1189"/>
      <w:bookmarkStart w:id="179" w:name="_Toc29042"/>
      <w:r>
        <w:rPr>
          <w:rFonts w:hint="eastAsia" w:ascii="宋体" w:hAnsi="宋体" w:cs="宋体"/>
          <w:b/>
          <w:bCs/>
          <w:color w:val="auto"/>
          <w:sz w:val="36"/>
          <w:szCs w:val="36"/>
          <w:highlight w:val="none"/>
          <w:lang w:val="en-US" w:eastAsia="zh-CN" w:bidi="ar"/>
        </w:rPr>
        <w:t xml:space="preserve">第五章  </w:t>
      </w:r>
      <w:r>
        <w:rPr>
          <w:rFonts w:hint="eastAsia" w:ascii="宋体" w:hAnsi="宋体" w:cs="宋体"/>
          <w:b/>
          <w:bCs/>
          <w:color w:val="auto"/>
          <w:sz w:val="36"/>
          <w:szCs w:val="36"/>
          <w:highlight w:val="none"/>
          <w:lang w:bidi="ar"/>
        </w:rPr>
        <w:t>采购清单及技术参数</w:t>
      </w:r>
      <w:bookmarkEnd w:id="178"/>
      <w:bookmarkEnd w:id="179"/>
    </w:p>
    <w:p w14:paraId="0C1C73F1">
      <w:pPr>
        <w:numPr>
          <w:ilvl w:val="0"/>
          <w:numId w:val="7"/>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项目采购内容:</w:t>
      </w:r>
    </w:p>
    <w:tbl>
      <w:tblPr>
        <w:tblStyle w:val="17"/>
        <w:tblW w:w="104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
        <w:gridCol w:w="949"/>
        <w:gridCol w:w="7376"/>
        <w:gridCol w:w="632"/>
        <w:gridCol w:w="873"/>
      </w:tblGrid>
      <w:tr w14:paraId="24E6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D27F31">
            <w:pPr>
              <w:spacing w:beforeLines="0" w:afterLine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D8F144">
            <w:pPr>
              <w:spacing w:beforeLines="0" w:afterLine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名称</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5CA69744">
            <w:pPr>
              <w:spacing w:beforeLines="0" w:afterLine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技术参数</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71866796">
            <w:pPr>
              <w:spacing w:beforeLines="0" w:afterLine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单位</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2E2EEE23">
            <w:pPr>
              <w:spacing w:beforeLines="0" w:afterLine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r>
      <w:tr w14:paraId="142E4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4FCD58">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A03A9C">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打火把2#工具</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225DDD86">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木杆材质为水曲柳，长度（150±5）㎝，可弯曲大于90℃；橡皮条厚度0.2㎝左右，宽度2㎝，长度大于55㎝，条数为20条。</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017BDD0D">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把</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44315309">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2000 </w:t>
            </w:r>
          </w:p>
        </w:tc>
      </w:tr>
      <w:tr w14:paraId="7691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5AFB5A">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C7DF3B">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打火把3#工具</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3F176233">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手柄材质为热镀锌管，直径大于2.5㎝，长度大于150㎝；拍头为大于0.2㎝多次冲压钢丝编织，钢丝直径大于0.36㎝，长度大于50㎝，条数大于20根。</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25EFB3F8">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把</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47EFF845">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500 </w:t>
            </w:r>
          </w:p>
        </w:tc>
      </w:tr>
      <w:tr w14:paraId="5366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D36C49">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FFA7C6">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防火阻燃服</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2E011E64">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1.颜色：橘黄色</w:t>
            </w:r>
          </w:p>
          <w:p w14:paraId="3E824037">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2.面料：全棉阻燃面料，具有优良阻燃、耐磨、透气、吸汗等功能。适用于森林火灾抢险救援时救援人员的防护穿着。</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61883415">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2223EAD1">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r>
      <w:tr w14:paraId="3B59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97FEBA">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6F5E98">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加长防火手套</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25B19FBF">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颜色：手掌背处浅灰色、手臂处橘黄色</w:t>
            </w:r>
          </w:p>
          <w:p w14:paraId="6F62838B">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材质：浅灰色部分采用棉镀橡胶材质，手臂处全棉阻燃面料，具有优良阻燃、防穿刺、耐磨、透气、吸汗等功能。适用于森林火灾抢险救援时救援人员的防护佩戴。</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6D614AAB">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双</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22D75AB8">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r>
      <w:tr w14:paraId="3B40D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EC1CAA">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7A0832">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防火靴</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5335D7F2">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1.颜色：浅咖色；</w:t>
            </w:r>
          </w:p>
          <w:p w14:paraId="3DFED12F">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2.材质：阻燃橡胶大底，耐磨、防滑、柔韧性好；鞋面：优质反绒牛皮和帆布，透气阻燃，凯夫拉中底防穿刺，欧标钢包头防砸。</w:t>
            </w:r>
          </w:p>
          <w:p w14:paraId="7EA24AF0">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3.款式：高腰款，靴背面缝反光标志带，增强可视性；靴侧边带“中国森林防火”字样。</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26D8F841">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双</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3E98E589">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r>
      <w:tr w14:paraId="38F9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9C998A">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0DFE33">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消防头盔</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2615E567">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1.颜色：红色</w:t>
            </w:r>
          </w:p>
          <w:p w14:paraId="331BB853">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2.材质：盔体选用ABS材质，外观烤漆处理。</w:t>
            </w:r>
          </w:p>
          <w:p w14:paraId="11EB5304">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3.款式：内衬配减震织带，与盔体连接牢固，衬箍大小可调节；内置森林防火 行业标志帽徽；右侧配手电筒夹。</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56E15A67">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顶</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2C97566B">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r>
      <w:tr w14:paraId="79AD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FC9F2A">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4492B0">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头盔侧方手电筒</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1410978C">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1.颜色：黑色</w:t>
            </w:r>
          </w:p>
          <w:p w14:paraId="02204B71">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2.材质：高强度镁铝合金外壳，表面做阳极氧化处理，防水、抗腐蚀；LED微型半导体发光，新型节能光源，LED灯泡寿命1万小时。</w:t>
            </w:r>
          </w:p>
          <w:p w14:paraId="12A057CA">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3.功能：电压：4V;电流3000mA;输出功率：12W；放电时间：高亮≈3小时；充电时间：≈6小时,发光亮度：≈800流明；LED寿命1000小时，电池：18650锂电池</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1C2DCC8E">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把</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22620AFD">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r>
      <w:tr w14:paraId="0F81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D6899">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1438B6">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迷彩作训服</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7A44EAC6">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1.颜色：荒漠色</w:t>
            </w:r>
          </w:p>
          <w:p w14:paraId="3FED6090">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2.材质：采用全棉加厚阻燃面料，具有优良阻燃、耐磨、透气、吸汗等功能，适用于日常训练穿着。</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4C1B341B">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07511BED">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r>
      <w:tr w14:paraId="6727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6FE8C8">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E14023">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迷彩鞋</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0205E216">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1.颜色：荒漠色</w:t>
            </w:r>
          </w:p>
          <w:p w14:paraId="6892687D">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2.材质：鞋底橡胶材质，鞋面高密高支网格布加皮革拼接，适用于日常训练穿着。</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368FE7E0">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双</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00593587">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r>
      <w:tr w14:paraId="3547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AE641D">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6CAD76">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应急斧头</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335AC7F5">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1.材质：木柄斧，碳素钢斧头，淬火硬度：HRC42-46。</w:t>
            </w:r>
          </w:p>
          <w:p w14:paraId="110A1616">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2.工艺：锻造＋淬火</w:t>
            </w:r>
          </w:p>
          <w:p w14:paraId="2EBAB64B">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3.长度65㎝左右，适用与森林作业。</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4A154B52">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把</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2E57EA5F">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r>
      <w:tr w14:paraId="0DFF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6B714">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9C4F66">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砍刀、镰刀</w:t>
            </w:r>
          </w:p>
          <w:p w14:paraId="24F49EF4">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组合工具</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0EB70EB7">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1.材质：木柄，锰钢双砍加大加厚镰刀，淬火硬度：HRC42-46。</w:t>
            </w:r>
          </w:p>
          <w:p w14:paraId="5A768F72">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2.长度:约75cm左右</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791F62E8">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把</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328D1395">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r>
      <w:tr w14:paraId="3CA4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B542E7">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FAD455">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手锯</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4F500AFB">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1.材质：SK5钢锯片，三面磨齿，双面开刃，特佛龙防锈，高温淬火。</w:t>
            </w:r>
          </w:p>
          <w:p w14:paraId="4E759D9B">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2.长度：总长度50cm左右</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0C9066AA">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把</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2A39A3E0">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r>
      <w:tr w14:paraId="186B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C4BF69">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462828">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灭火机</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2EFED956">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1.款式：背负式，</w:t>
            </w:r>
          </w:p>
          <w:p w14:paraId="48129F87">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2.性能：风量≥1400m³/h，风速≥90m/s,风力≥25N,Z重量≤11kg,适用于森林消防。</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45A3192F">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3FC44708">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r>
      <w:tr w14:paraId="00DC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CB7479">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AFBEF7">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油锯</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241F7B1F">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大排量，大功率，单杠风冷二冲程，动力类型为油动，操作方式手提式。</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3B646AA6">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56EE70F9">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2E4A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2DBB17">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832B3">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割灌机</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62680662">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大排量，大功率，4冲程，动力类型为油动，操作方式背负式。</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3371E84E">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5CBD8C36">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1DC7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018EA4">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7915E5">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对讲机</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640D0F1D">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覆盖范围20公里以内，含显示屏，待机时长≥55小时。</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35729FB6">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37CCF859">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r>
      <w:tr w14:paraId="3C3D9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4642B8">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22604E">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车载中继台</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15C8B142">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大功率，山区传输距离20公里以内，含夹边，馈线，超强信号天线，辅材，安装费。</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01881D6B">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08D5E680">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6D5D7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E742AF">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BF68E6">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防静电油桶</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088C3C21">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金属材质，耐油防腐蚀，防静电，容量20L。</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1EDD569D">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6B472F79">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5AD60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4DBFB0">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4B56A1">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水壶</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097CD1A7">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白色塑料材质，耐用，便携，含黑色背带，容量2.5L。</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7B9DC582">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753D49B2">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500</w:t>
            </w:r>
          </w:p>
        </w:tc>
      </w:tr>
      <w:tr w14:paraId="5925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1FDA58">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6E1984">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红外望远镜</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10E9B251">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1.颜色：黑色</w:t>
            </w:r>
          </w:p>
          <w:p w14:paraId="1EBC1A8E">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2.性能：高清，微光红外夜视</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7D3FF607">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76F32F1C">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105E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C83F0A">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D38D4">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手持喇叭</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78E256DC">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护林防火录音喊话器，≥35W功率，录音时间≥240秒，传送距离≥1000M，失真度≤1%</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13F44E9C">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58EC7108">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r>
      <w:tr w14:paraId="2883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46CE32">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1B8A7">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毛巾</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4AEAA69A">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1.颜色：火焰蓝</w:t>
            </w:r>
          </w:p>
          <w:p w14:paraId="4445D130">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2.功能：吸水、透气性强，绣指定字样。</w:t>
            </w:r>
          </w:p>
          <w:p w14:paraId="0C76FEED">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3.尺寸：70cm×30cm</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3D6045F6">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条</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64D79562">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1000</w:t>
            </w:r>
          </w:p>
        </w:tc>
      </w:tr>
      <w:tr w14:paraId="5DFD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436195">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A82F90">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迷彩棉服</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4171218D">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1.颜色：荒漠色</w:t>
            </w:r>
          </w:p>
          <w:p w14:paraId="7BA1823D">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2.款式：中长款，帽子、毛领，防污内胆可脱卸。</w:t>
            </w:r>
          </w:p>
          <w:p w14:paraId="7437C02F">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3.厚度：特加厚双内胆</w:t>
            </w:r>
          </w:p>
          <w:p w14:paraId="0F7653CB">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4.材质：面料采用全棉双层加厚阻燃面料，内胆填充物：天然棉花，具有优良阻燃、耐磨、透气、吸汗等功能，适用于日常训练穿着。</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7C200665">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47D6729B">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r>
      <w:tr w14:paraId="2BD8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532F4">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C745FA">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棉大衣</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2008AED5">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1.颜色：军绿色</w:t>
            </w:r>
          </w:p>
          <w:p w14:paraId="74BE9548">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2.款式：过膝款</w:t>
            </w:r>
          </w:p>
          <w:p w14:paraId="609836D6">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3.厚度：特加厚</w:t>
            </w:r>
          </w:p>
          <w:p w14:paraId="677FCAED">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4.材质：全棉加厚斜纹棉布，内胆填充物：天然纯棉花，具有优良阻燃、耐磨、透气、吸汗等功能，适用于日常训练穿着。</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0B3A6C9F">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798F6018">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r>
      <w:tr w14:paraId="2F86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5E0EE0">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FB5143">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多功能战术马甲</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5904908C">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1.颜色：黑色</w:t>
            </w:r>
          </w:p>
          <w:p w14:paraId="36A4F0AC">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2.款式：可调节大小，轻量化设计</w:t>
            </w:r>
          </w:p>
          <w:p w14:paraId="3266EC25">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材质：尼龙材质</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3C102296">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件</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2B664D0D">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r>
      <w:tr w14:paraId="2263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AAA21D">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EC5FF">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应急电源</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69EC8406">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1.功能：汽车启动应急电源，启动方式：夹子式，接口类型：USB-C,反向充电，无限次打火</w:t>
            </w:r>
          </w:p>
          <w:p w14:paraId="25A4DC1C">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输出电压：12V24V通用，电池容量：≥30000毫安</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6E4346D8">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组</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2834AAE4">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14:paraId="53A8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37CA55">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077637">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移动户外电源</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51167FB8">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磷酸特锂电池，容量：≥1kwh,功率：≥1500w,最大输出电源:220v</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6D2841E0">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组</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3FE6DC15">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14:paraId="4A66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264679">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EB9E82">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强光手电</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59B38CE7">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1.颜色：黑色</w:t>
            </w:r>
          </w:p>
          <w:p w14:paraId="56A006B8">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2.材质：高强度镁铝合金外壳，表面做阳极氧化处理，防水、抗腐蚀；LED微型半导体发光，新型节能光源，LED灯泡寿命1万小时。</w:t>
            </w:r>
          </w:p>
          <w:p w14:paraId="496FBC3E">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3.功能：电压：4V;电流3000mA;输出功率12W；放电时间：强光≈2小时，普光≈6小时；射程1000M，充电时间：≈8小时,；发光亮度：≈800流明；LED寿命1000小时，电池：18650锂电池，可调节高光、普光、闪光。</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7CBCECE5">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3AA2C55B">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r>
      <w:tr w14:paraId="3CA9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594817">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53073E">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移动硬盘</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1E08223E">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1.颜色：黑色</w:t>
            </w:r>
          </w:p>
          <w:p w14:paraId="6DC3072C">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2.容量：2TB</w:t>
            </w:r>
          </w:p>
          <w:p w14:paraId="3DC97764">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3.规格：支持Type-c接口手机/电脑硬盘互接</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55BCF7DD">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03BF1397">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14:paraId="5A73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0"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BA152C">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9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8C00ED">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无人机</w:t>
            </w:r>
          </w:p>
        </w:tc>
        <w:tc>
          <w:tcPr>
            <w:tcW w:w="7376" w:type="dxa"/>
            <w:tcBorders>
              <w:top w:val="single" w:color="auto" w:sz="6" w:space="0"/>
              <w:left w:val="single" w:color="auto" w:sz="6" w:space="0"/>
              <w:bottom w:val="single" w:color="auto" w:sz="6" w:space="0"/>
              <w:right w:val="single" w:color="auto" w:sz="6" w:space="0"/>
              <w:tl2br w:val="nil"/>
              <w:tr2bl w:val="nil"/>
            </w:tcBorders>
            <w:noWrap w:val="0"/>
            <w:vAlign w:val="top"/>
          </w:tcPr>
          <w:p w14:paraId="17E229D3">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1.最大起飞重量≥1420g，最大载重：≥200g，可同时搭载喊话器、探照灯及多类摄影摄像设备，适配复杂户外作业。</w:t>
            </w:r>
          </w:p>
          <w:p w14:paraId="6B80962D">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2.最长续航≥46 分钟，海平面无风最大水平前飞速度≥21m/s，最大抗风≥12m/s。</w:t>
            </w:r>
          </w:p>
          <w:p w14:paraId="64E5B155">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3.O4图传行业版，FCC 标准最远传输距离≥25km。</w:t>
            </w:r>
          </w:p>
          <w:p w14:paraId="50DCDD39">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4. 飞行器的前、后、左、右、上、下均需具备双目视觉系统；</w:t>
            </w:r>
          </w:p>
          <w:p w14:paraId="760004CF">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5. 飞行器需具备低电量自动返航功能，具备信号丢失自动返航功能；</w:t>
            </w:r>
          </w:p>
          <w:p w14:paraId="06FC153A">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6. 相机需采用一体化设计，需具备广角、长焦、激光测距、热成像、近红外补光等功能；</w:t>
            </w:r>
          </w:p>
          <w:p w14:paraId="6D47FDB2">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7. 无人机可见光相机混合变焦倍数≥110倍，红外相机变焦倍数≥28倍；</w:t>
            </w:r>
          </w:p>
          <w:p w14:paraId="01CBAD24">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8. 无人机需具备AI识别功能包含但不限于人、车、船的识别，并支持三方AI模型导入。</w:t>
            </w:r>
          </w:p>
          <w:p w14:paraId="44B2D446">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9.搭载 RTK 高精度定位，水平精度≤1cm+1ppm，垂直精度≤1.5cm+1ppm。</w:t>
            </w:r>
          </w:p>
          <w:p w14:paraId="7383D834">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10.飞行电池数量4块（包含主机1块）；电池容量：≥6740毫安时。</w:t>
            </w:r>
          </w:p>
          <w:p w14:paraId="3327EEF5">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11.提供一张高速存储卡，内存≥128G；</w:t>
            </w:r>
          </w:p>
          <w:p w14:paraId="45DC9C43">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12.每套无人机提供3年无人机维保服务，在保障期内如发生碰撞损坏、设备进水、信号干扰等飞行意外带来的损失，在保障额度内可享受不限次数的免费维修或置换服务，直至保障额度用完为止；</w:t>
            </w:r>
          </w:p>
          <w:p w14:paraId="1BA32448">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13.提供无人机实操培训服务。</w:t>
            </w:r>
          </w:p>
          <w:p w14:paraId="2661C58A">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14.配件包括：1套4G图传模块、1个喊话器、1个探照灯°</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3AFD5B52">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451B975D">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5102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58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7D84E5B">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949"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5C224DA7">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视频监控大屏</w:t>
            </w:r>
          </w:p>
        </w:tc>
        <w:tc>
          <w:tcPr>
            <w:tcW w:w="737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829751A">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1.装机方式：挂装（含挂架），视频线路、电源线安装。</w:t>
            </w:r>
          </w:p>
          <w:p w14:paraId="417E309E">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2.屏幕分辨率：超高清4K</w:t>
            </w:r>
          </w:p>
          <w:p w14:paraId="19147EF2">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3.存储内存：64GB</w:t>
            </w:r>
          </w:p>
          <w:p w14:paraId="630242F8">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4.运行内存/RAM：4GB</w:t>
            </w:r>
          </w:p>
          <w:p w14:paraId="3EF06B68">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5.WIFI频段：5G</w:t>
            </w:r>
          </w:p>
          <w:p w14:paraId="6106E607">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6.能效等级：一级能效</w:t>
            </w:r>
          </w:p>
          <w:p w14:paraId="0BAA5343">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7.显示类型：Mini LED</w:t>
            </w:r>
          </w:p>
          <w:p w14:paraId="77D6B6F2">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8.亮度：3000-4000尼特</w:t>
            </w:r>
          </w:p>
          <w:p w14:paraId="55A2E8D6">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9.CPU架构：四核A73</w:t>
            </w:r>
          </w:p>
          <w:p w14:paraId="31E66AF5">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10.色域标准：DCI-P3</w:t>
            </w:r>
          </w:p>
        </w:tc>
        <w:tc>
          <w:tcPr>
            <w:tcW w:w="632" w:type="dxa"/>
            <w:tcBorders>
              <w:top w:val="single" w:color="auto" w:sz="6" w:space="0"/>
              <w:left w:val="single" w:color="auto" w:sz="6" w:space="0"/>
              <w:bottom w:val="single" w:color="auto" w:sz="6" w:space="0"/>
              <w:right w:val="single" w:color="auto" w:sz="6" w:space="0"/>
              <w:tl2br w:val="nil"/>
              <w:tr2bl w:val="nil"/>
            </w:tcBorders>
            <w:noWrap w:val="0"/>
            <w:vAlign w:val="top"/>
          </w:tcPr>
          <w:p w14:paraId="348D81A7">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873" w:type="dxa"/>
            <w:tcBorders>
              <w:top w:val="single" w:color="auto" w:sz="6" w:space="0"/>
              <w:left w:val="single" w:color="auto" w:sz="6" w:space="0"/>
              <w:bottom w:val="single" w:color="auto" w:sz="6" w:space="0"/>
              <w:right w:val="single" w:color="auto" w:sz="6" w:space="0"/>
              <w:tl2br w:val="nil"/>
              <w:tr2bl w:val="nil"/>
            </w:tcBorders>
            <w:noWrap w:val="0"/>
            <w:vAlign w:val="top"/>
          </w:tcPr>
          <w:p w14:paraId="05609EEE">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39E66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jc w:val="center"/>
        </w:trPr>
        <w:tc>
          <w:tcPr>
            <w:tcW w:w="585" w:type="dxa"/>
            <w:tcBorders>
              <w:top w:val="single" w:color="auto" w:sz="6" w:space="0"/>
              <w:left w:val="single" w:color="auto" w:sz="6" w:space="0"/>
              <w:bottom w:val="nil"/>
              <w:right w:val="single" w:color="auto" w:sz="6" w:space="0"/>
              <w:tl2br w:val="nil"/>
              <w:tr2bl w:val="nil"/>
            </w:tcBorders>
            <w:noWrap w:val="0"/>
            <w:vAlign w:val="center"/>
          </w:tcPr>
          <w:p w14:paraId="5D5C227A">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949" w:type="dxa"/>
            <w:tcBorders>
              <w:top w:val="single" w:color="auto" w:sz="6" w:space="0"/>
              <w:left w:val="single" w:color="auto" w:sz="6" w:space="0"/>
              <w:bottom w:val="nil"/>
              <w:right w:val="single" w:color="auto" w:sz="6" w:space="0"/>
              <w:tl2br w:val="nil"/>
              <w:tr2bl w:val="nil"/>
            </w:tcBorders>
            <w:noWrap w:val="0"/>
            <w:vAlign w:val="center"/>
          </w:tcPr>
          <w:p w14:paraId="34B6ECF6">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语音杆</w:t>
            </w:r>
          </w:p>
        </w:tc>
        <w:tc>
          <w:tcPr>
            <w:tcW w:w="7376" w:type="dxa"/>
            <w:tcBorders>
              <w:top w:val="single" w:color="auto" w:sz="6" w:space="0"/>
              <w:left w:val="single" w:color="auto" w:sz="6" w:space="0"/>
              <w:bottom w:val="nil"/>
              <w:right w:val="single" w:color="auto" w:sz="6" w:space="0"/>
              <w:tl2br w:val="nil"/>
              <w:tr2bl w:val="nil"/>
            </w:tcBorders>
            <w:noWrap w:val="0"/>
            <w:vAlign w:val="top"/>
          </w:tcPr>
          <w:p w14:paraId="76F1E822">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1.太阳能板：多晶硅18V200W</w:t>
            </w:r>
          </w:p>
          <w:p w14:paraId="1292C0DA">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2.电池：铅酸胶体12V100AH</w:t>
            </w:r>
          </w:p>
          <w:p w14:paraId="4B20A562">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3.待机天数：可持续使用15个阴雨天，</w:t>
            </w:r>
          </w:p>
          <w:p w14:paraId="5D70A564">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4.防水等级：IP65</w:t>
            </w:r>
          </w:p>
          <w:p w14:paraId="726FDA4E">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5.感应探头：距离12米，角度120度，3级灵敏度可调</w:t>
            </w:r>
          </w:p>
          <w:p w14:paraId="5E12E5BE">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6.喇叭：8欧10W</w:t>
            </w:r>
          </w:p>
          <w:p w14:paraId="390D0BB3">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7.闪灯：红蓝双色高亮LED灯，功率1W。</w:t>
            </w:r>
          </w:p>
          <w:p w14:paraId="486C88EF">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8.LED 屏：尺寸16*64CM，间距P10，大红色</w:t>
            </w:r>
          </w:p>
          <w:p w14:paraId="1BCA38DA">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五金部分：</w:t>
            </w:r>
          </w:p>
          <w:p w14:paraId="2FF1B894">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1.总体高4.5米；</w:t>
            </w:r>
          </w:p>
          <w:p w14:paraId="69421AB9">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2.机箱尺寸：1490*300*160mm</w:t>
            </w:r>
          </w:p>
          <w:p w14:paraId="78449573">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3.下部立杆：直径114mm，厚2mm，高2米</w:t>
            </w:r>
          </w:p>
          <w:p w14:paraId="6B9D88B0">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4.法兰尺寸：300*300*10mm</w:t>
            </w:r>
          </w:p>
          <w:p w14:paraId="599BEA26">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5.地笼：长宽高170*170*480mm ，直径M16*4</w:t>
            </w:r>
          </w:p>
          <w:p w14:paraId="2BAC5CE3">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控制核心主板（J22）</w:t>
            </w:r>
          </w:p>
          <w:p w14:paraId="25DEF8DA">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6.上网方式：4G无线或有线宽带；</w:t>
            </w:r>
          </w:p>
          <w:p w14:paraId="6A75A826">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7.支持最大300W太阳能板接入，充电电流最高可达15A;</w:t>
            </w:r>
          </w:p>
          <w:p w14:paraId="4C42A2C2">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8.集成电池保护机制，低于11V过放保护，高于13.8V过充保护；</w:t>
            </w:r>
          </w:p>
          <w:p w14:paraId="3FF1E080">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9.输出一组DC12V 2A电源，可设置重启时间；</w:t>
            </w:r>
          </w:p>
          <w:p w14:paraId="5495A955">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10.支持外接一路红外热释电感应探头；</w:t>
            </w:r>
          </w:p>
          <w:p w14:paraId="4A964260">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11.支持摄像机音频输入，进行扩大输出，功率10W;</w:t>
            </w:r>
          </w:p>
          <w:p w14:paraId="15FAECA1">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12.语音播放声音功率10W；</w:t>
            </w:r>
          </w:p>
          <w:p w14:paraId="1A1BD7BE">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13.支持MP3文件播放功能；</w:t>
            </w:r>
          </w:p>
          <w:p w14:paraId="79E2D981">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14.内置16MB存储器，可以存储99首语音文件；</w:t>
            </w:r>
          </w:p>
          <w:p w14:paraId="48CABEF0">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15.支持TF卡拷贝Mp3格式文件到主板的内存上</w:t>
            </w:r>
          </w:p>
          <w:p w14:paraId="244FA446">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16.内置4G模块，包含GPS/北斗定位功能；</w:t>
            </w:r>
          </w:p>
          <w:p w14:paraId="4FC1C433">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17.3个按键是初始化、音量加、音量减；</w:t>
            </w:r>
          </w:p>
          <w:p w14:paraId="1D5A9DDB">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18.内嵌eSIM卡，也可外部插入MICROSIM卡，支持移动联通电信三大运营商网络，双卡单待；</w:t>
            </w:r>
          </w:p>
          <w:p w14:paraId="116C60F6">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19.监控摄像含三年流量服务费</w:t>
            </w:r>
          </w:p>
          <w:p w14:paraId="1FA7AC40">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红外网络球机：</w:t>
            </w:r>
          </w:p>
          <w:p w14:paraId="33B52E5E">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1.像素：400W</w:t>
            </w:r>
          </w:p>
          <w:p w14:paraId="489EB7C2">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2.最大图像尺寸：2560×1440</w:t>
            </w:r>
          </w:p>
          <w:p w14:paraId="137DF1AA">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3.Smart 265：支持</w:t>
            </w:r>
          </w:p>
          <w:p w14:paraId="6E6BF2B9">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4.最低照度：彩色：0.005Lux@（F1.6，AGC ON）；黑白:0. 001 Lux @ (F1. 6, AGC ON);O Lux with IR</w:t>
            </w:r>
          </w:p>
          <w:p w14:paraId="300DABC0">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5.日夜转换模式：自动ICR彩转黑</w:t>
            </w:r>
          </w:p>
          <w:p w14:paraId="4C8428B6">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6.焦距：4.8mm~110mm，23倍光学变倍</w:t>
            </w:r>
          </w:p>
          <w:p w14:paraId="293202A5">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7.红外补光：100米</w:t>
            </w:r>
          </w:p>
          <w:p w14:paraId="1D54D193">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8.数字变倍：16倍</w:t>
            </w:r>
          </w:p>
          <w:p w14:paraId="0B376E86">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9.光学变倍：23倍</w:t>
            </w:r>
          </w:p>
          <w:p w14:paraId="18A93F60">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10.水平范围：360度</w:t>
            </w:r>
          </w:p>
          <w:p w14:paraId="232F51DE">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11.垂直范围：-15°~90°（自动翻转）</w:t>
            </w:r>
          </w:p>
          <w:p w14:paraId="476F280A">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12.预置点个数：300个</w:t>
            </w:r>
          </w:p>
          <w:p w14:paraId="6864E99D">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13.内置1路音频输入和1路音频输出接口，通过外置拾音器与功放喇叭可实现双向对讲；</w:t>
            </w:r>
          </w:p>
          <w:p w14:paraId="71E16CD1">
            <w:pPr>
              <w:spacing w:beforeLines="0" w:afterLines="0"/>
              <w:jc w:val="left"/>
              <w:rPr>
                <w:rFonts w:hint="eastAsia" w:ascii="宋体" w:hAnsi="宋体" w:eastAsia="宋体" w:cs="宋体"/>
                <w:color w:val="auto"/>
                <w:sz w:val="24"/>
                <w:szCs w:val="24"/>
              </w:rPr>
            </w:pPr>
            <w:r>
              <w:rPr>
                <w:rFonts w:hint="eastAsia" w:ascii="宋体" w:hAnsi="宋体" w:eastAsia="宋体" w:cs="宋体"/>
                <w:color w:val="auto"/>
                <w:sz w:val="24"/>
                <w:szCs w:val="24"/>
              </w:rPr>
              <w:t>14.尺寸:0164.5X290 mm</w:t>
            </w:r>
          </w:p>
        </w:tc>
        <w:tc>
          <w:tcPr>
            <w:tcW w:w="632" w:type="dxa"/>
            <w:tcBorders>
              <w:top w:val="single" w:color="auto" w:sz="6" w:space="0"/>
              <w:left w:val="single" w:color="auto" w:sz="6" w:space="0"/>
              <w:bottom w:val="nil"/>
              <w:right w:val="single" w:color="auto" w:sz="6" w:space="0"/>
              <w:tl2br w:val="nil"/>
              <w:tr2bl w:val="nil"/>
            </w:tcBorders>
            <w:noWrap w:val="0"/>
            <w:vAlign w:val="top"/>
          </w:tcPr>
          <w:p w14:paraId="14F94E96">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根</w:t>
            </w:r>
          </w:p>
        </w:tc>
        <w:tc>
          <w:tcPr>
            <w:tcW w:w="873" w:type="dxa"/>
            <w:tcBorders>
              <w:top w:val="single" w:color="auto" w:sz="6" w:space="0"/>
              <w:left w:val="single" w:color="auto" w:sz="6" w:space="0"/>
              <w:bottom w:val="nil"/>
              <w:right w:val="single" w:color="auto" w:sz="6" w:space="0"/>
              <w:tl2br w:val="nil"/>
              <w:tr2bl w:val="nil"/>
            </w:tcBorders>
            <w:noWrap w:val="0"/>
            <w:vAlign w:val="top"/>
          </w:tcPr>
          <w:p w14:paraId="31E9552E">
            <w:pPr>
              <w:spacing w:beforeLines="0" w:afterLine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14:paraId="7411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85" w:type="dxa"/>
            <w:tcBorders>
              <w:top w:val="nil"/>
              <w:left w:val="single" w:color="auto" w:sz="6" w:space="0"/>
              <w:bottom w:val="single" w:color="auto" w:sz="6" w:space="0"/>
              <w:right w:val="single" w:color="auto" w:sz="6" w:space="0"/>
              <w:tl2br w:val="nil"/>
              <w:tr2bl w:val="nil"/>
            </w:tcBorders>
            <w:noWrap w:val="0"/>
            <w:vAlign w:val="top"/>
          </w:tcPr>
          <w:p w14:paraId="07BDABBB">
            <w:pPr>
              <w:spacing w:beforeLines="0" w:afterLines="0"/>
              <w:jc w:val="center"/>
              <w:rPr>
                <w:rFonts w:hint="eastAsia" w:ascii="宋体" w:hAnsi="宋体" w:eastAsia="宋体" w:cs="宋体"/>
                <w:color w:val="auto"/>
                <w:sz w:val="24"/>
                <w:szCs w:val="24"/>
              </w:rPr>
            </w:pPr>
          </w:p>
        </w:tc>
        <w:tc>
          <w:tcPr>
            <w:tcW w:w="949" w:type="dxa"/>
            <w:tcBorders>
              <w:top w:val="nil"/>
              <w:left w:val="single" w:color="auto" w:sz="6" w:space="0"/>
              <w:bottom w:val="single" w:color="auto" w:sz="6" w:space="0"/>
              <w:right w:val="single" w:color="auto" w:sz="6" w:space="0"/>
              <w:tl2br w:val="nil"/>
              <w:tr2bl w:val="nil"/>
            </w:tcBorders>
            <w:noWrap w:val="0"/>
            <w:vAlign w:val="top"/>
          </w:tcPr>
          <w:p w14:paraId="748CA9B5">
            <w:pPr>
              <w:spacing w:beforeLines="0" w:afterLines="0"/>
              <w:jc w:val="center"/>
              <w:rPr>
                <w:rFonts w:hint="eastAsia" w:ascii="宋体" w:hAnsi="宋体" w:eastAsia="宋体" w:cs="宋体"/>
                <w:color w:val="auto"/>
                <w:sz w:val="24"/>
                <w:szCs w:val="24"/>
              </w:rPr>
            </w:pPr>
          </w:p>
        </w:tc>
        <w:tc>
          <w:tcPr>
            <w:tcW w:w="7376" w:type="dxa"/>
            <w:tcBorders>
              <w:top w:val="nil"/>
              <w:left w:val="single" w:color="auto" w:sz="6" w:space="0"/>
              <w:bottom w:val="single" w:color="auto" w:sz="6" w:space="0"/>
              <w:right w:val="single" w:color="auto" w:sz="6" w:space="0"/>
              <w:tl2br w:val="nil"/>
              <w:tr2bl w:val="nil"/>
            </w:tcBorders>
            <w:noWrap w:val="0"/>
            <w:vAlign w:val="top"/>
          </w:tcPr>
          <w:p w14:paraId="0F39E69A">
            <w:pPr>
              <w:spacing w:beforeLines="0" w:afterLines="0"/>
              <w:jc w:val="left"/>
              <w:rPr>
                <w:rFonts w:hint="eastAsia" w:ascii="宋体" w:hAnsi="宋体" w:eastAsia="宋体" w:cs="宋体"/>
                <w:color w:val="auto"/>
                <w:sz w:val="24"/>
                <w:szCs w:val="24"/>
              </w:rPr>
            </w:pPr>
          </w:p>
        </w:tc>
        <w:tc>
          <w:tcPr>
            <w:tcW w:w="632" w:type="dxa"/>
            <w:tcBorders>
              <w:top w:val="nil"/>
              <w:left w:val="single" w:color="auto" w:sz="6" w:space="0"/>
              <w:bottom w:val="single" w:color="auto" w:sz="6" w:space="0"/>
              <w:right w:val="single" w:color="auto" w:sz="6" w:space="0"/>
              <w:tl2br w:val="nil"/>
              <w:tr2bl w:val="nil"/>
            </w:tcBorders>
            <w:noWrap w:val="0"/>
            <w:vAlign w:val="top"/>
          </w:tcPr>
          <w:p w14:paraId="77BB5CA8">
            <w:pPr>
              <w:spacing w:beforeLines="0" w:afterLines="0"/>
              <w:jc w:val="center"/>
              <w:rPr>
                <w:rFonts w:hint="eastAsia" w:ascii="宋体" w:hAnsi="宋体" w:eastAsia="宋体" w:cs="宋体"/>
                <w:color w:val="auto"/>
                <w:sz w:val="24"/>
                <w:szCs w:val="24"/>
              </w:rPr>
            </w:pPr>
          </w:p>
        </w:tc>
        <w:tc>
          <w:tcPr>
            <w:tcW w:w="873" w:type="dxa"/>
            <w:tcBorders>
              <w:top w:val="nil"/>
              <w:left w:val="single" w:color="auto" w:sz="6" w:space="0"/>
              <w:bottom w:val="single" w:color="auto" w:sz="6" w:space="0"/>
              <w:right w:val="single" w:color="auto" w:sz="6" w:space="0"/>
              <w:tl2br w:val="nil"/>
              <w:tr2bl w:val="nil"/>
            </w:tcBorders>
            <w:noWrap w:val="0"/>
            <w:vAlign w:val="top"/>
          </w:tcPr>
          <w:p w14:paraId="760FBCBE">
            <w:pPr>
              <w:spacing w:beforeLines="0" w:afterLines="0"/>
              <w:jc w:val="center"/>
              <w:rPr>
                <w:rFonts w:hint="eastAsia" w:ascii="宋体" w:hAnsi="宋体" w:eastAsia="宋体" w:cs="宋体"/>
                <w:color w:val="auto"/>
                <w:sz w:val="24"/>
                <w:szCs w:val="24"/>
              </w:rPr>
            </w:pPr>
          </w:p>
        </w:tc>
      </w:tr>
    </w:tbl>
    <w:p w14:paraId="28995465">
      <w:pPr>
        <w:numPr>
          <w:ilvl w:val="0"/>
          <w:numId w:val="0"/>
        </w:numPr>
        <w:rPr>
          <w:rFonts w:hint="eastAsia" w:ascii="宋体" w:hAnsi="宋体" w:cs="宋体"/>
          <w:b/>
          <w:bCs/>
          <w:color w:val="auto"/>
          <w:sz w:val="24"/>
          <w:szCs w:val="24"/>
          <w:highlight w:val="none"/>
          <w:lang w:val="en-US" w:eastAsia="zh-CN"/>
        </w:rPr>
      </w:pPr>
    </w:p>
    <w:p w14:paraId="6C6DB5A4">
      <w:pPr>
        <w:numPr>
          <w:ilvl w:val="0"/>
          <w:numId w:val="0"/>
        </w:numP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注：1、</w:t>
      </w:r>
      <w:r>
        <w:rPr>
          <w:rFonts w:hint="eastAsia" w:ascii="宋体" w:hAnsi="宋体" w:cs="宋体"/>
          <w:b/>
          <w:bCs/>
          <w:color w:val="auto"/>
          <w:sz w:val="24"/>
          <w:szCs w:val="24"/>
          <w:highlight w:val="none"/>
        </w:rPr>
        <w:t>核心产品：无人机</w:t>
      </w:r>
    </w:p>
    <w:p w14:paraId="11D9F360">
      <w:pPr>
        <w:numPr>
          <w:ilvl w:val="0"/>
          <w:numId w:val="8"/>
        </w:num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关于强制节能产品的要求:视频监控大屏为政府强制采购的节能产品。节能品是指财政部和国家发展和改革委员会公布的《节能产品政府采购品目清单》中的产品。投标人须在投标文件中附该产品节能证书（在有效期内），否则评标委员会有权不予认可。(对于强制采购的节能产品交货时必须提供节能证明材料)</w:t>
      </w:r>
    </w:p>
    <w:p w14:paraId="497CB746">
      <w:pPr>
        <w:spacing w:line="360" w:lineRule="auto"/>
        <w:ind w:firstLine="480" w:firstLineChars="200"/>
        <w:rPr>
          <w:rFonts w:ascii="宋体" w:hAnsi="宋体" w:cs="宋体"/>
          <w:color w:val="auto"/>
          <w:szCs w:val="24"/>
          <w:highlight w:val="none"/>
        </w:rPr>
      </w:pPr>
      <w:r>
        <w:rPr>
          <w:rFonts w:hint="eastAsia" w:ascii="宋体" w:hAnsi="宋体" w:eastAsia="宋体" w:cs="宋体"/>
          <w:color w:val="auto"/>
          <w:sz w:val="24"/>
          <w:szCs w:val="24"/>
          <w:highlight w:val="none"/>
        </w:rPr>
        <w:t>二、服务要求：</w:t>
      </w:r>
    </w:p>
    <w:p w14:paraId="1E4E8511">
      <w:pPr>
        <w:spacing w:line="460" w:lineRule="exact"/>
        <w:ind w:firstLine="482" w:firstLineChars="200"/>
        <w:rPr>
          <w:rFonts w:ascii="宋体" w:hAnsi="宋体" w:cs="Calibri"/>
          <w:b/>
          <w:color w:val="auto"/>
          <w:sz w:val="24"/>
          <w:highlight w:val="none"/>
        </w:rPr>
      </w:pPr>
      <w:bookmarkStart w:id="180" w:name="_Toc267581944"/>
      <w:r>
        <w:rPr>
          <w:rFonts w:hint="eastAsia" w:ascii="宋体" w:hAnsi="宋体" w:cs="Calibri"/>
          <w:b/>
          <w:color w:val="auto"/>
          <w:sz w:val="24"/>
          <w:highlight w:val="none"/>
        </w:rPr>
        <w:t>1、货物基本要求</w:t>
      </w:r>
      <w:bookmarkEnd w:id="180"/>
    </w:p>
    <w:p w14:paraId="63869FF4">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①投标人所提供的产品必须为投标货物生产厂家提供的原厂设备，包装未开封，而且设备（包括零部件）应是交付前最新生产或技术较为先进的且未被使用过的全新设备，同时必须在中国境内具有合法使用权。</w:t>
      </w:r>
    </w:p>
    <w:p w14:paraId="27A82825">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②磋商文件中没有列出，而对产品的正常运行和维护必不可少的备件、专用工具和消耗品，投标人有责任予以补充。</w:t>
      </w:r>
    </w:p>
    <w:p w14:paraId="56C78070">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③投标人所提供的产品必须满足磋商文件的要求，其性能须达到或超过需求中技术指标的要求。</w:t>
      </w:r>
    </w:p>
    <w:p w14:paraId="10356B4B">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④如果投标人在中标并签署合同后，在供货时出现软、硬件的任何遗漏，均由中标人免费提供，招标人将不再支付任何费用。</w:t>
      </w:r>
    </w:p>
    <w:p w14:paraId="31C98F53">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⑤运行要求：产品安装后能够接通并正常运转、如涉及到软件产品的须能够在招标人相应平台上正常运行，并达到磋商文件要求的性能和产品技术规格中的性能。</w:t>
      </w:r>
    </w:p>
    <w:p w14:paraId="5F7F94AC">
      <w:pPr>
        <w:spacing w:line="460" w:lineRule="exact"/>
        <w:ind w:left="42" w:leftChars="20" w:firstLine="357" w:firstLineChars="148"/>
        <w:rPr>
          <w:rFonts w:ascii="宋体" w:hAnsi="宋体" w:cs="Calibri"/>
          <w:b/>
          <w:color w:val="auto"/>
          <w:sz w:val="24"/>
          <w:highlight w:val="none"/>
        </w:rPr>
      </w:pPr>
      <w:r>
        <w:rPr>
          <w:rFonts w:hint="eastAsia" w:ascii="宋体" w:hAnsi="宋体" w:cs="Calibri"/>
          <w:b/>
          <w:color w:val="auto"/>
          <w:sz w:val="24"/>
          <w:highlight w:val="none"/>
        </w:rPr>
        <w:t>2、安装、调试要求</w:t>
      </w:r>
    </w:p>
    <w:p w14:paraId="78BA1614">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①中标人应及时向招标人提供设备、货物及服务，并承诺与招标人进行积极主动的合作，中标人必须服从招标人的统一协调，在设备供货、技术支持、运行维护等方面相互配合；</w:t>
      </w:r>
    </w:p>
    <w:p w14:paraId="5664C9B0">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②中标人负责本次招标内容的安装、调试，以达到系统应具有的功能和技术指标，并负责相关技术支持和维护。</w:t>
      </w:r>
    </w:p>
    <w:p w14:paraId="46F71D76">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③产品未经验收时，由中标人负责保管至采购项目交货结束，其间发生的损坏、遗失由中标人负责；</w:t>
      </w:r>
    </w:p>
    <w:p w14:paraId="670A5132">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④设备到货后中标人应免费派技术人员在现场安装、调试；</w:t>
      </w:r>
    </w:p>
    <w:p w14:paraId="15261F6C">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⑤中标人应遵守招标人安装现场的一切规章制度；</w:t>
      </w:r>
    </w:p>
    <w:p w14:paraId="31C9C64E">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⑥中标人在设备全部安装完工并通过招标人的验收之前应对安装好的设备及设备的安装工具等提供适当的保护、包装或覆盖等处理，直至验收合格，以免设备受损；</w:t>
      </w:r>
    </w:p>
    <w:p w14:paraId="3DF974F0">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⑦安装调试人员在安装中对其他邻近设备、管线等造成损坏，应负责修复及承担一切费用；</w:t>
      </w:r>
    </w:p>
    <w:p w14:paraId="1AE8B32D">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⑧调试期间或保修过程中，中标人负责及时清理垃圾，并将包装物及垃圾堆放至招标人指定地点。</w:t>
      </w:r>
    </w:p>
    <w:p w14:paraId="68659926">
      <w:pPr>
        <w:spacing w:line="460" w:lineRule="exact"/>
        <w:ind w:left="42" w:leftChars="20" w:firstLine="357" w:firstLineChars="148"/>
        <w:rPr>
          <w:rFonts w:ascii="宋体" w:hAnsi="宋体" w:cs="Calibri"/>
          <w:b/>
          <w:color w:val="auto"/>
          <w:sz w:val="24"/>
          <w:highlight w:val="none"/>
        </w:rPr>
      </w:pPr>
      <w:r>
        <w:rPr>
          <w:rFonts w:hint="eastAsia" w:ascii="宋体" w:hAnsi="宋体" w:cs="Calibri"/>
          <w:b/>
          <w:color w:val="auto"/>
          <w:sz w:val="24"/>
          <w:highlight w:val="none"/>
        </w:rPr>
        <w:t>3、产品验收要求：</w:t>
      </w:r>
    </w:p>
    <w:p w14:paraId="6F8D4838">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①招标人将依磋商文件及投标人的投标文件的要求对全部交货设备的型号、规格、数量、外型、包装及资料、文件（如装箱单、保修单、随箱介质等）进行验收。验收主要包括：招标人与中标人在设备到货后共同进行开箱检查设备数量、外观、质量性能、备件备品、装箱单等资料及包装；所有货物和附（配）件应符合其规定的性能，无瑕疵和缺陷，质量为全新合格产品，同时有明确的生产制造厂商标志，供方在交货前未经招标人允许不得私自拆毁原包装，否则，招标人有权不予验收，供方产品质量问题负责包退、包换和包修，由此发生的费用由供方负责；</w:t>
      </w:r>
    </w:p>
    <w:p w14:paraId="63C10069">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②验收中设备出现性能指标或功能上不符合磋商文件和合同要求时，招标人有拒收的权利；</w:t>
      </w:r>
    </w:p>
    <w:p w14:paraId="033F0628">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③验收中出现不符合磋商文件和合同要求的严重质量问题时，招标人保留索赔的权利；</w:t>
      </w:r>
    </w:p>
    <w:p w14:paraId="3D606BB1">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④在安装现场直至进行最终验收所发生的一切费用均由中标人承担；</w:t>
      </w:r>
    </w:p>
    <w:p w14:paraId="50EE31D1">
      <w:pPr>
        <w:spacing w:line="46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⑤投标人所提供的货物须符合国家强制性规定或相关法律法规要求；</w:t>
      </w:r>
    </w:p>
    <w:p w14:paraId="3FF1B3C0">
      <w:pPr>
        <w:pStyle w:val="5"/>
        <w:spacing w:line="460" w:lineRule="exact"/>
        <w:ind w:firstLine="480" w:firstLineChars="200"/>
        <w:rPr>
          <w:rFonts w:ascii="宋体" w:hAnsi="宋体" w:cs="Calibri"/>
          <w:color w:val="auto"/>
          <w:kern w:val="2"/>
          <w:sz w:val="24"/>
          <w:szCs w:val="24"/>
          <w:highlight w:val="none"/>
        </w:rPr>
      </w:pPr>
      <w:r>
        <w:rPr>
          <w:rFonts w:hint="eastAsia" w:ascii="宋体" w:hAnsi="宋体" w:cs="Calibri"/>
          <w:color w:val="auto"/>
          <w:kern w:val="2"/>
          <w:sz w:val="24"/>
          <w:szCs w:val="24"/>
          <w:highlight w:val="none"/>
        </w:rPr>
        <w:t>⑥验收时间和地点：投标人中标后须按照磋商文件的交货要求交货至招标人指定地点，设备全部交货完毕后由招标人进行现场验收并最终填写验收报告。基本标准为：是否按交货要求及时完成设备的到货、安装、调试工作，投标人提供的设备质量情况是否确保达到磋商文件要求。</w:t>
      </w:r>
    </w:p>
    <w:p w14:paraId="06815FF9">
      <w:pPr>
        <w:spacing w:line="460" w:lineRule="exact"/>
        <w:ind w:left="42" w:leftChars="20" w:firstLine="357" w:firstLineChars="148"/>
        <w:rPr>
          <w:rFonts w:ascii="宋体" w:hAnsi="宋体" w:cs="Calibri"/>
          <w:b/>
          <w:color w:val="auto"/>
          <w:sz w:val="24"/>
          <w:highlight w:val="none"/>
        </w:rPr>
      </w:pPr>
      <w:r>
        <w:rPr>
          <w:rFonts w:hint="eastAsia" w:ascii="宋体" w:hAnsi="宋体" w:cs="Calibri"/>
          <w:b/>
          <w:color w:val="auto"/>
          <w:sz w:val="24"/>
          <w:highlight w:val="none"/>
        </w:rPr>
        <w:t>4、售后服务要求：</w:t>
      </w:r>
    </w:p>
    <w:p w14:paraId="3272D857">
      <w:pPr>
        <w:spacing w:line="460" w:lineRule="exact"/>
        <w:ind w:left="42" w:leftChars="20" w:firstLine="355" w:firstLineChars="148"/>
        <w:rPr>
          <w:rFonts w:ascii="宋体" w:hAnsi="宋体" w:cs="Calibri"/>
          <w:b/>
          <w:color w:val="auto"/>
          <w:sz w:val="24"/>
          <w:highlight w:val="none"/>
        </w:rPr>
      </w:pPr>
      <w:r>
        <w:rPr>
          <w:rFonts w:hint="eastAsia" w:ascii="宋体" w:hAnsi="宋体" w:cs="宋体"/>
          <w:color w:val="auto"/>
          <w:sz w:val="24"/>
          <w:szCs w:val="24"/>
          <w:highlight w:val="none"/>
        </w:rPr>
        <w:t xml:space="preserve">供应商接到保修请求应马上响应，如有需要维修人员到达现场，无法完成维修的、提供备件供采购人使用。 </w:t>
      </w:r>
    </w:p>
    <w:p w14:paraId="4E3706BA">
      <w:pPr>
        <w:rPr>
          <w:color w:val="auto"/>
          <w:highlight w:val="none"/>
        </w:rPr>
      </w:pPr>
    </w:p>
    <w:p w14:paraId="6598AD86">
      <w:pPr>
        <w:spacing w:line="500" w:lineRule="exact"/>
        <w:ind w:firstLine="480" w:firstLineChars="200"/>
        <w:rPr>
          <w:rFonts w:ascii="宋体" w:hAnsi="宋体" w:cs="宋体"/>
          <w:color w:val="auto"/>
          <w:sz w:val="24"/>
          <w:szCs w:val="24"/>
          <w:highlight w:val="none"/>
        </w:rPr>
      </w:pPr>
    </w:p>
    <w:p w14:paraId="4C176E2B">
      <w:pPr>
        <w:rPr>
          <w:color w:val="auto"/>
          <w:highlight w:val="none"/>
        </w:rPr>
      </w:pPr>
    </w:p>
    <w:bookmarkEnd w:id="9"/>
    <w:bookmarkEnd w:id="10"/>
    <w:bookmarkEnd w:id="11"/>
    <w:bookmarkEnd w:id="12"/>
    <w:bookmarkEnd w:id="13"/>
    <w:bookmarkEnd w:id="14"/>
    <w:bookmarkEnd w:id="15"/>
    <w:p w14:paraId="40B15819">
      <w:pPr>
        <w:rPr>
          <w:color w:val="auto"/>
          <w:highlight w:val="none"/>
        </w:rPr>
      </w:pPr>
      <w:bookmarkStart w:id="181" w:name="_Toc24845_WPSOffice_Level1"/>
      <w:bookmarkStart w:id="182" w:name="_Toc5137"/>
      <w:bookmarkStart w:id="183" w:name="_Toc15342_WPSOffice_Level1"/>
      <w:bookmarkStart w:id="184" w:name="_Toc1755_WPSOffice_Level1"/>
      <w:bookmarkStart w:id="185" w:name="_Toc708_WPSOffice_Level1"/>
      <w:bookmarkStart w:id="186" w:name="_Toc25497"/>
    </w:p>
    <w:p w14:paraId="7069A38C">
      <w:pPr>
        <w:rPr>
          <w:color w:val="auto"/>
          <w:highlight w:val="none"/>
        </w:rPr>
      </w:pPr>
      <w:r>
        <w:rPr>
          <w:rFonts w:hint="eastAsia"/>
          <w:color w:val="auto"/>
          <w:highlight w:val="none"/>
        </w:rPr>
        <w:br w:type="page"/>
      </w:r>
    </w:p>
    <w:p w14:paraId="2F791950">
      <w:pPr>
        <w:spacing w:before="312" w:beforeLines="100" w:line="360" w:lineRule="auto"/>
        <w:jc w:val="center"/>
        <w:outlineLvl w:val="0"/>
        <w:rPr>
          <w:rFonts w:hint="eastAsia" w:ascii="宋体" w:hAnsi="宋体" w:cs="宋体"/>
          <w:b/>
          <w:bCs/>
          <w:color w:val="auto"/>
          <w:sz w:val="36"/>
          <w:szCs w:val="36"/>
          <w:highlight w:val="none"/>
          <w:lang w:bidi="ar"/>
        </w:rPr>
      </w:pPr>
      <w:bookmarkStart w:id="187" w:name="_Toc29680"/>
      <w:r>
        <w:rPr>
          <w:rFonts w:hint="eastAsia" w:ascii="宋体" w:hAnsi="宋体" w:cs="宋体"/>
          <w:b/>
          <w:bCs/>
          <w:color w:val="auto"/>
          <w:sz w:val="36"/>
          <w:szCs w:val="36"/>
          <w:highlight w:val="none"/>
          <w:lang w:bidi="ar"/>
        </w:rPr>
        <w:t>第六章  响应性文件格式</w:t>
      </w:r>
      <w:bookmarkEnd w:id="181"/>
      <w:bookmarkEnd w:id="182"/>
      <w:bookmarkEnd w:id="183"/>
      <w:bookmarkEnd w:id="184"/>
      <w:bookmarkEnd w:id="185"/>
      <w:bookmarkEnd w:id="186"/>
      <w:bookmarkEnd w:id="187"/>
    </w:p>
    <w:p w14:paraId="1009D5DA">
      <w:pPr>
        <w:widowControl/>
        <w:ind w:firstLine="360"/>
        <w:jc w:val="center"/>
        <w:rPr>
          <w:rFonts w:ascii="宋体" w:hAnsi="宋体" w:eastAsia="宋体" w:cs="宋体"/>
          <w:b/>
          <w:color w:val="auto"/>
          <w:kern w:val="0"/>
          <w:sz w:val="24"/>
          <w:highlight w:val="none"/>
        </w:rPr>
      </w:pPr>
      <w:bookmarkStart w:id="188" w:name="_Toc394651921"/>
      <w:bookmarkEnd w:id="188"/>
      <w:bookmarkStart w:id="189" w:name="_Toc27687"/>
      <w:bookmarkEnd w:id="189"/>
      <w:bookmarkStart w:id="190" w:name="_Toc528078066"/>
      <w:bookmarkEnd w:id="190"/>
      <w:bookmarkStart w:id="191" w:name="_Toc19996"/>
    </w:p>
    <w:p w14:paraId="0591F09C">
      <w:pPr>
        <w:widowControl/>
        <w:ind w:firstLine="360"/>
        <w:jc w:val="center"/>
        <w:rPr>
          <w:rFonts w:ascii="宋体" w:hAnsi="宋体" w:eastAsia="宋体" w:cs="宋体"/>
          <w:b/>
          <w:color w:val="auto"/>
          <w:kern w:val="0"/>
          <w:sz w:val="24"/>
          <w:highlight w:val="none"/>
        </w:rPr>
      </w:pPr>
    </w:p>
    <w:p w14:paraId="7E626F76">
      <w:pPr>
        <w:widowControl/>
        <w:ind w:firstLine="360"/>
        <w:jc w:val="center"/>
        <w:rPr>
          <w:rFonts w:ascii="宋体" w:hAnsi="宋体" w:eastAsia="宋体" w:cs="宋体"/>
          <w:b/>
          <w:color w:val="auto"/>
          <w:kern w:val="0"/>
          <w:sz w:val="24"/>
          <w:highlight w:val="none"/>
        </w:rPr>
      </w:pPr>
    </w:p>
    <w:p w14:paraId="2AC4DFA1">
      <w:pPr>
        <w:widowControl/>
        <w:ind w:firstLine="360"/>
        <w:jc w:val="center"/>
        <w:rPr>
          <w:rFonts w:ascii="宋体" w:hAnsi="宋体" w:eastAsia="宋体" w:cs="宋体"/>
          <w:b/>
          <w:color w:val="auto"/>
          <w:kern w:val="0"/>
          <w:sz w:val="24"/>
          <w:highlight w:val="none"/>
          <w:u w:val="single"/>
        </w:rPr>
      </w:pPr>
    </w:p>
    <w:p w14:paraId="710B6959">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49A97B4D">
      <w:pPr>
        <w:widowControl/>
        <w:ind w:firstLine="360"/>
        <w:jc w:val="center"/>
        <w:rPr>
          <w:rFonts w:ascii="宋体" w:hAnsi="宋体" w:eastAsia="宋体" w:cs="宋体"/>
          <w:b/>
          <w:color w:val="auto"/>
          <w:kern w:val="0"/>
          <w:sz w:val="24"/>
          <w:highlight w:val="none"/>
        </w:rPr>
      </w:pPr>
    </w:p>
    <w:p w14:paraId="76A7038F">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0D5E549D">
      <w:pPr>
        <w:widowControl/>
        <w:ind w:firstLine="360"/>
        <w:jc w:val="center"/>
        <w:rPr>
          <w:rFonts w:ascii="宋体" w:hAnsi="宋体" w:eastAsia="宋体" w:cs="宋体"/>
          <w:b/>
          <w:color w:val="auto"/>
          <w:kern w:val="0"/>
          <w:sz w:val="24"/>
          <w:highlight w:val="none"/>
        </w:rPr>
      </w:pPr>
    </w:p>
    <w:p w14:paraId="284170ED">
      <w:pPr>
        <w:widowControl/>
        <w:ind w:firstLine="360"/>
        <w:jc w:val="center"/>
        <w:rPr>
          <w:rFonts w:ascii="宋体" w:hAnsi="宋体" w:eastAsia="宋体" w:cs="宋体"/>
          <w:b/>
          <w:color w:val="auto"/>
          <w:kern w:val="0"/>
          <w:sz w:val="24"/>
          <w:highlight w:val="none"/>
        </w:rPr>
      </w:pPr>
    </w:p>
    <w:p w14:paraId="68339349">
      <w:pPr>
        <w:widowControl/>
        <w:ind w:firstLine="360"/>
        <w:jc w:val="center"/>
        <w:rPr>
          <w:rFonts w:ascii="宋体" w:hAnsi="宋体" w:eastAsia="宋体" w:cs="宋体"/>
          <w:b/>
          <w:color w:val="auto"/>
          <w:kern w:val="0"/>
          <w:sz w:val="24"/>
          <w:highlight w:val="none"/>
        </w:rPr>
      </w:pPr>
    </w:p>
    <w:p w14:paraId="0C99AE69">
      <w:pPr>
        <w:widowControl/>
        <w:ind w:firstLine="360"/>
        <w:jc w:val="center"/>
        <w:rPr>
          <w:rFonts w:ascii="宋体" w:hAnsi="宋体" w:eastAsia="宋体" w:cs="宋体"/>
          <w:b/>
          <w:color w:val="auto"/>
          <w:kern w:val="0"/>
          <w:sz w:val="24"/>
          <w:highlight w:val="none"/>
        </w:rPr>
      </w:pPr>
    </w:p>
    <w:p w14:paraId="044181DD">
      <w:pPr>
        <w:widowControl/>
        <w:ind w:firstLine="360"/>
        <w:jc w:val="center"/>
        <w:rPr>
          <w:rFonts w:ascii="宋体" w:hAnsi="宋体" w:eastAsia="宋体" w:cs="宋体"/>
          <w:b/>
          <w:color w:val="auto"/>
          <w:kern w:val="0"/>
          <w:sz w:val="24"/>
          <w:highlight w:val="none"/>
        </w:rPr>
      </w:pPr>
    </w:p>
    <w:p w14:paraId="2443CA54">
      <w:pPr>
        <w:widowControl/>
        <w:ind w:firstLine="360"/>
        <w:jc w:val="center"/>
        <w:rPr>
          <w:rFonts w:ascii="宋体" w:hAnsi="宋体" w:eastAsia="宋体" w:cs="宋体"/>
          <w:b/>
          <w:color w:val="auto"/>
          <w:kern w:val="0"/>
          <w:sz w:val="24"/>
          <w:highlight w:val="none"/>
        </w:rPr>
      </w:pPr>
    </w:p>
    <w:p w14:paraId="58C31DF8">
      <w:pPr>
        <w:widowControl/>
        <w:ind w:firstLine="360"/>
        <w:jc w:val="center"/>
        <w:rPr>
          <w:rFonts w:ascii="宋体" w:hAnsi="宋体" w:eastAsia="宋体" w:cs="宋体"/>
          <w:b/>
          <w:color w:val="auto"/>
          <w:kern w:val="0"/>
          <w:sz w:val="28"/>
          <w:szCs w:val="24"/>
          <w:highlight w:val="none"/>
        </w:rPr>
      </w:pPr>
      <w:r>
        <w:rPr>
          <w:rFonts w:hint="eastAsia" w:ascii="宋体" w:hAnsi="宋体" w:eastAsia="宋体" w:cs="宋体"/>
          <w:b/>
          <w:color w:val="auto"/>
          <w:kern w:val="0"/>
          <w:sz w:val="28"/>
          <w:szCs w:val="24"/>
          <w:highlight w:val="none"/>
        </w:rPr>
        <w:t>响</w:t>
      </w:r>
    </w:p>
    <w:p w14:paraId="50BF881F">
      <w:pPr>
        <w:widowControl/>
        <w:ind w:firstLine="360"/>
        <w:jc w:val="center"/>
        <w:rPr>
          <w:rFonts w:ascii="宋体" w:hAnsi="宋体" w:eastAsia="宋体" w:cs="宋体"/>
          <w:b/>
          <w:color w:val="auto"/>
          <w:kern w:val="0"/>
          <w:sz w:val="28"/>
          <w:szCs w:val="24"/>
          <w:highlight w:val="none"/>
        </w:rPr>
      </w:pPr>
    </w:p>
    <w:p w14:paraId="7645C46D">
      <w:pPr>
        <w:widowControl/>
        <w:ind w:firstLine="360"/>
        <w:jc w:val="center"/>
        <w:rPr>
          <w:rFonts w:ascii="宋体" w:hAnsi="宋体" w:eastAsia="宋体" w:cs="宋体"/>
          <w:b/>
          <w:color w:val="auto"/>
          <w:kern w:val="0"/>
          <w:sz w:val="28"/>
          <w:szCs w:val="24"/>
          <w:highlight w:val="none"/>
        </w:rPr>
      </w:pPr>
      <w:r>
        <w:rPr>
          <w:rFonts w:hint="eastAsia" w:ascii="宋体" w:hAnsi="宋体" w:eastAsia="宋体" w:cs="宋体"/>
          <w:b/>
          <w:color w:val="auto"/>
          <w:kern w:val="0"/>
          <w:sz w:val="28"/>
          <w:szCs w:val="24"/>
          <w:highlight w:val="none"/>
        </w:rPr>
        <w:t xml:space="preserve">应 </w:t>
      </w:r>
    </w:p>
    <w:p w14:paraId="0A6F59F5">
      <w:pPr>
        <w:widowControl/>
        <w:ind w:firstLine="360"/>
        <w:jc w:val="center"/>
        <w:rPr>
          <w:rFonts w:ascii="宋体" w:hAnsi="宋体" w:eastAsia="宋体" w:cs="宋体"/>
          <w:b/>
          <w:color w:val="auto"/>
          <w:kern w:val="0"/>
          <w:sz w:val="28"/>
          <w:szCs w:val="24"/>
          <w:highlight w:val="none"/>
        </w:rPr>
      </w:pPr>
      <w:r>
        <w:rPr>
          <w:rFonts w:ascii="宋体" w:hAnsi="宋体" w:eastAsia="宋体" w:cs="宋体"/>
          <w:b/>
          <w:color w:val="auto"/>
          <w:kern w:val="0"/>
          <w:sz w:val="28"/>
          <w:szCs w:val="24"/>
          <w:highlight w:val="none"/>
        </w:rPr>
        <w:t xml:space="preserve"> </w:t>
      </w:r>
    </w:p>
    <w:p w14:paraId="674CF570">
      <w:pPr>
        <w:widowControl/>
        <w:ind w:firstLine="360"/>
        <w:jc w:val="center"/>
        <w:rPr>
          <w:rFonts w:ascii="宋体" w:hAnsi="宋体" w:eastAsia="宋体" w:cs="宋体"/>
          <w:b/>
          <w:color w:val="auto"/>
          <w:kern w:val="0"/>
          <w:sz w:val="28"/>
          <w:szCs w:val="24"/>
          <w:highlight w:val="none"/>
        </w:rPr>
      </w:pPr>
      <w:r>
        <w:rPr>
          <w:rFonts w:hint="eastAsia" w:ascii="宋体" w:hAnsi="宋体" w:eastAsia="宋体" w:cs="宋体"/>
          <w:b/>
          <w:color w:val="auto"/>
          <w:kern w:val="0"/>
          <w:sz w:val="28"/>
          <w:szCs w:val="24"/>
          <w:highlight w:val="none"/>
        </w:rPr>
        <w:t xml:space="preserve">文 </w:t>
      </w:r>
    </w:p>
    <w:p w14:paraId="12006F79">
      <w:pPr>
        <w:widowControl/>
        <w:ind w:firstLine="360"/>
        <w:jc w:val="center"/>
        <w:rPr>
          <w:rFonts w:ascii="宋体" w:hAnsi="宋体" w:eastAsia="宋体" w:cs="宋体"/>
          <w:b/>
          <w:color w:val="auto"/>
          <w:kern w:val="0"/>
          <w:sz w:val="28"/>
          <w:szCs w:val="24"/>
          <w:highlight w:val="none"/>
        </w:rPr>
      </w:pPr>
      <w:r>
        <w:rPr>
          <w:rFonts w:ascii="宋体" w:hAnsi="宋体" w:eastAsia="宋体" w:cs="宋体"/>
          <w:b/>
          <w:color w:val="auto"/>
          <w:kern w:val="0"/>
          <w:sz w:val="28"/>
          <w:szCs w:val="24"/>
          <w:highlight w:val="none"/>
        </w:rPr>
        <w:t xml:space="preserve"> </w:t>
      </w:r>
    </w:p>
    <w:p w14:paraId="418C2736">
      <w:pPr>
        <w:widowControl/>
        <w:ind w:firstLine="360"/>
        <w:jc w:val="center"/>
        <w:rPr>
          <w:rFonts w:ascii="宋体" w:hAnsi="宋体" w:eastAsia="宋体" w:cs="宋体"/>
          <w:b/>
          <w:color w:val="auto"/>
          <w:kern w:val="0"/>
          <w:sz w:val="28"/>
          <w:szCs w:val="24"/>
          <w:highlight w:val="none"/>
        </w:rPr>
      </w:pPr>
      <w:r>
        <w:rPr>
          <w:rFonts w:hint="eastAsia" w:ascii="宋体" w:hAnsi="宋体" w:eastAsia="宋体" w:cs="宋体"/>
          <w:b/>
          <w:color w:val="auto"/>
          <w:kern w:val="0"/>
          <w:sz w:val="28"/>
          <w:szCs w:val="24"/>
          <w:highlight w:val="none"/>
        </w:rPr>
        <w:t>件</w:t>
      </w:r>
    </w:p>
    <w:p w14:paraId="5E12EC27">
      <w:pPr>
        <w:widowControl/>
        <w:ind w:firstLine="360"/>
        <w:jc w:val="center"/>
        <w:rPr>
          <w:rFonts w:ascii="宋体" w:hAnsi="宋体" w:eastAsia="宋体" w:cs="宋体"/>
          <w:b/>
          <w:color w:val="auto"/>
          <w:kern w:val="0"/>
          <w:sz w:val="24"/>
          <w:highlight w:val="none"/>
        </w:rPr>
      </w:pPr>
    </w:p>
    <w:p w14:paraId="5CF8690F">
      <w:pPr>
        <w:widowControl/>
        <w:spacing w:line="360" w:lineRule="auto"/>
        <w:ind w:firstLine="840" w:firstLineChars="350"/>
        <w:jc w:val="left"/>
        <w:rPr>
          <w:rFonts w:ascii="Calibri" w:hAnsi="Calibri" w:eastAsia="宋体" w:cs="Times New Roman"/>
          <w:color w:val="auto"/>
          <w:kern w:val="0"/>
          <w:sz w:val="24"/>
          <w:highlight w:val="none"/>
        </w:rPr>
      </w:pPr>
    </w:p>
    <w:p w14:paraId="358ABC1D">
      <w:pPr>
        <w:widowControl/>
        <w:spacing w:line="360" w:lineRule="auto"/>
        <w:ind w:firstLine="840" w:firstLineChars="350"/>
        <w:jc w:val="left"/>
        <w:rPr>
          <w:rFonts w:ascii="Calibri" w:hAnsi="Calibri" w:eastAsia="宋体" w:cs="Times New Roman"/>
          <w:color w:val="auto"/>
          <w:kern w:val="0"/>
          <w:sz w:val="24"/>
          <w:highlight w:val="none"/>
        </w:rPr>
      </w:pPr>
    </w:p>
    <w:p w14:paraId="769BB268">
      <w:pPr>
        <w:widowControl/>
        <w:spacing w:line="360" w:lineRule="auto"/>
        <w:ind w:firstLine="840" w:firstLineChars="350"/>
        <w:jc w:val="left"/>
        <w:rPr>
          <w:rFonts w:ascii="Calibri" w:hAnsi="Calibri" w:eastAsia="宋体" w:cs="Times New Roman"/>
          <w:color w:val="auto"/>
          <w:kern w:val="0"/>
          <w:sz w:val="24"/>
          <w:highlight w:val="none"/>
        </w:rPr>
      </w:pPr>
    </w:p>
    <w:p w14:paraId="45B5D94C">
      <w:pPr>
        <w:widowControl/>
        <w:spacing w:line="360" w:lineRule="auto"/>
        <w:ind w:firstLine="840" w:firstLineChars="350"/>
        <w:jc w:val="left"/>
        <w:rPr>
          <w:rFonts w:ascii="Calibri" w:hAnsi="Calibri" w:eastAsia="宋体" w:cs="Times New Roman"/>
          <w:color w:val="auto"/>
          <w:kern w:val="0"/>
          <w:sz w:val="24"/>
          <w:highlight w:val="none"/>
        </w:rPr>
      </w:pPr>
    </w:p>
    <w:p w14:paraId="6D908C7C">
      <w:pPr>
        <w:widowControl/>
        <w:spacing w:line="360" w:lineRule="auto"/>
        <w:ind w:firstLine="840" w:firstLineChars="350"/>
        <w:jc w:val="left"/>
        <w:rPr>
          <w:rFonts w:ascii="Calibri" w:hAnsi="Calibri" w:eastAsia="宋体" w:cs="Times New Roman"/>
          <w:color w:val="auto"/>
          <w:kern w:val="0"/>
          <w:sz w:val="24"/>
          <w:highlight w:val="none"/>
        </w:rPr>
      </w:pPr>
    </w:p>
    <w:p w14:paraId="7B6D9516">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供应商名称：</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w:t>
      </w:r>
    </w:p>
    <w:p w14:paraId="71C0D46A">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法定代表人：</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（电子签章或签字）</w:t>
      </w:r>
    </w:p>
    <w:p w14:paraId="5057005A">
      <w:pPr>
        <w:widowControl/>
        <w:spacing w:line="360" w:lineRule="auto"/>
        <w:ind w:firstLine="843" w:firstLineChars="35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 xml:space="preserve">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 年</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月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日</w:t>
      </w:r>
    </w:p>
    <w:p w14:paraId="1676A57D">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26E9B3D4">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22813CF5">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4E46E98B">
      <w:pPr>
        <w:spacing w:line="560" w:lineRule="exact"/>
        <w:rPr>
          <w:rFonts w:asciiTheme="minorEastAsia" w:hAnsiTheme="minorEastAsia" w:cstheme="minorEastAsia"/>
          <w:b/>
          <w:color w:val="auto"/>
          <w:sz w:val="28"/>
          <w:szCs w:val="28"/>
          <w:highlight w:val="none"/>
        </w:rPr>
      </w:pPr>
    </w:p>
    <w:p w14:paraId="028CC305">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191"/>
    <w:p w14:paraId="7FF9519B">
      <w:pPr>
        <w:pStyle w:val="4"/>
        <w:jc w:val="center"/>
        <w:rPr>
          <w:color w:val="auto"/>
          <w:highlight w:val="none"/>
        </w:rPr>
      </w:pPr>
      <w:r>
        <w:rPr>
          <w:rFonts w:hint="eastAsia"/>
          <w:color w:val="auto"/>
          <w:highlight w:val="none"/>
        </w:rPr>
        <w:t>一、投标函</w:t>
      </w:r>
      <w:bookmarkStart w:id="192" w:name="_Toc246997100"/>
      <w:bookmarkEnd w:id="192"/>
      <w:bookmarkStart w:id="193" w:name="_Toc179632809"/>
      <w:bookmarkEnd w:id="193"/>
      <w:bookmarkStart w:id="194" w:name="_Toc394651922"/>
      <w:bookmarkEnd w:id="194"/>
      <w:bookmarkStart w:id="195" w:name="_Toc152045789"/>
      <w:bookmarkEnd w:id="195"/>
      <w:bookmarkStart w:id="196" w:name="_Toc152042578"/>
      <w:bookmarkEnd w:id="196"/>
      <w:bookmarkStart w:id="197" w:name="_Toc246996357"/>
      <w:bookmarkEnd w:id="197"/>
      <w:bookmarkStart w:id="198" w:name="_Toc247085875"/>
      <w:bookmarkEnd w:id="198"/>
      <w:bookmarkStart w:id="199" w:name="_Toc144974858"/>
      <w:bookmarkEnd w:id="199"/>
      <w:bookmarkStart w:id="200" w:name="_Toc19389"/>
      <w:bookmarkEnd w:id="200"/>
      <w:r>
        <w:rPr>
          <w:rFonts w:hint="eastAsia"/>
          <w:color w:val="auto"/>
          <w:highlight w:val="none"/>
        </w:rPr>
        <w:t>及投标函附录</w:t>
      </w:r>
    </w:p>
    <w:p w14:paraId="233153C7">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（1）投标函</w:t>
      </w:r>
    </w:p>
    <w:p w14:paraId="52178985">
      <w:pPr>
        <w:rPr>
          <w:color w:val="auto"/>
          <w:highlight w:val="none"/>
        </w:rPr>
      </w:pPr>
    </w:p>
    <w:p w14:paraId="5F91F2E5">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7492EA72">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hint="eastAsia" w:ascii="宋体" w:hAnsi="宋体" w:cs="宋体"/>
          <w:color w:val="auto"/>
          <w:spacing w:val="-2"/>
          <w:sz w:val="24"/>
          <w:szCs w:val="24"/>
          <w:highlight w:val="none"/>
        </w:rPr>
        <w:t>竞争性磋商文件</w:t>
      </w:r>
      <w:r>
        <w:rPr>
          <w:rFonts w:hint="eastAsia" w:ascii="宋体" w:hAnsi="宋体" w:cs="宋体"/>
          <w:color w:val="auto"/>
          <w:sz w:val="24"/>
          <w:szCs w:val="24"/>
          <w:highlight w:val="none"/>
        </w:rPr>
        <w:t>的全部内容</w:t>
      </w:r>
      <w:r>
        <w:rPr>
          <w:rFonts w:hint="eastAsia" w:ascii="宋体" w:hAnsi="宋体" w:cs="宋体"/>
          <w:color w:val="auto"/>
          <w:spacing w:val="-2"/>
          <w:sz w:val="24"/>
          <w:szCs w:val="24"/>
          <w:highlight w:val="none"/>
        </w:rPr>
        <w:t>，按照竞争性磋商文件要求交付本次采购项目设备的投标报价为：(大写)</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2"/>
          <w:sz w:val="24"/>
          <w:szCs w:val="24"/>
          <w:highlight w:val="none"/>
        </w:rPr>
        <w:t>；小写：</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2"/>
          <w:sz w:val="24"/>
          <w:szCs w:val="24"/>
          <w:highlight w:val="none"/>
        </w:rPr>
        <w:t>元，</w:t>
      </w:r>
      <w:r>
        <w:rPr>
          <w:rFonts w:hint="eastAsia" w:ascii="宋体" w:hAnsi="宋体" w:cs="宋体"/>
          <w:color w:val="auto"/>
          <w:sz w:val="24"/>
          <w:szCs w:val="24"/>
          <w:highlight w:val="none"/>
        </w:rPr>
        <w:t>交货期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，交货地点：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31D47AB">
      <w:pPr>
        <w:spacing w:line="480" w:lineRule="exact"/>
        <w:ind w:firstLine="480" w:firstLineChars="200"/>
        <w:outlineLvl w:val="2"/>
        <w:rPr>
          <w:rFonts w:cs="宋体"/>
          <w:color w:val="auto"/>
          <w:sz w:val="24"/>
          <w:szCs w:val="24"/>
          <w:highlight w:val="none"/>
        </w:rPr>
      </w:pPr>
      <w:r>
        <w:rPr>
          <w:rFonts w:hint="eastAsia" w:ascii="宋体" w:hAnsi="宋体" w:cs="宋体"/>
          <w:color w:val="auto"/>
          <w:kern w:val="10"/>
          <w:sz w:val="24"/>
          <w:highlight w:val="none"/>
        </w:rPr>
        <w:t>2.如我</w:t>
      </w:r>
      <w:r>
        <w:rPr>
          <w:rFonts w:hint="eastAsia" w:cs="宋体"/>
          <w:color w:val="auto"/>
          <w:sz w:val="24"/>
          <w:szCs w:val="24"/>
          <w:highlight w:val="none"/>
        </w:rPr>
        <w:t>方中标：</w:t>
      </w:r>
    </w:p>
    <w:p w14:paraId="61290876">
      <w:pPr>
        <w:spacing w:line="360" w:lineRule="auto"/>
        <w:ind w:firstLine="720" w:firstLineChars="300"/>
        <w:rPr>
          <w:rFonts w:ascii="宋体" w:hAnsi="宋体" w:cs="宋体"/>
          <w:color w:val="auto"/>
          <w:kern w:val="10"/>
          <w:sz w:val="24"/>
          <w:highlight w:val="none"/>
        </w:rPr>
      </w:pPr>
      <w:r>
        <w:rPr>
          <w:rFonts w:hint="eastAsia" w:ascii="宋体" w:hAnsi="宋体" w:cs="宋体"/>
          <w:color w:val="auto"/>
          <w:kern w:val="10"/>
          <w:sz w:val="24"/>
          <w:highlight w:val="none"/>
        </w:rPr>
        <w:t>1.我方承诺在收到中标通知书后，在中标通知书规定的期限内与你方签订合同。</w:t>
      </w:r>
    </w:p>
    <w:p w14:paraId="6D283394">
      <w:pPr>
        <w:spacing w:line="360" w:lineRule="auto"/>
        <w:ind w:firstLine="720" w:firstLineChars="300"/>
        <w:rPr>
          <w:rFonts w:ascii="宋体" w:hAnsi="宋体" w:cs="宋体"/>
          <w:color w:val="auto"/>
          <w:kern w:val="10"/>
          <w:sz w:val="24"/>
          <w:highlight w:val="none"/>
        </w:rPr>
      </w:pPr>
      <w:r>
        <w:rPr>
          <w:rFonts w:hint="eastAsia" w:ascii="宋体" w:hAnsi="宋体" w:cs="宋体"/>
          <w:color w:val="auto"/>
          <w:kern w:val="10"/>
          <w:sz w:val="24"/>
          <w:highlight w:val="none"/>
        </w:rPr>
        <w:t>2.如果我们的投标书被接受，我们将履行竞争性磋商文件中规定的每一项要求，按期、按质、按量履行合同。</w:t>
      </w:r>
    </w:p>
    <w:p w14:paraId="25672528">
      <w:pPr>
        <w:spacing w:line="360" w:lineRule="auto"/>
        <w:ind w:firstLine="720" w:firstLineChars="300"/>
        <w:rPr>
          <w:rFonts w:ascii="宋体" w:hAnsi="宋体" w:cs="宋体"/>
          <w:color w:val="auto"/>
          <w:kern w:val="10"/>
          <w:sz w:val="24"/>
          <w:highlight w:val="none"/>
        </w:rPr>
      </w:pPr>
      <w:r>
        <w:rPr>
          <w:rFonts w:hint="eastAsia" w:ascii="宋体" w:hAnsi="宋体" w:cs="宋体"/>
          <w:color w:val="auto"/>
          <w:kern w:val="10"/>
          <w:sz w:val="24"/>
          <w:highlight w:val="none"/>
        </w:rPr>
        <w:t>3.我方已详细研究全部竞争性磋商文件，包括修改文件以及全部参考资料和有关附件。我们完全理解并同意放弃对这方面有不明及误解的权力。</w:t>
      </w:r>
    </w:p>
    <w:p w14:paraId="208824F6">
      <w:pPr>
        <w:spacing w:line="360" w:lineRule="auto"/>
        <w:ind w:firstLine="720" w:firstLineChars="300"/>
        <w:rPr>
          <w:rFonts w:ascii="宋体" w:hAnsi="宋体" w:cs="宋体"/>
          <w:color w:val="auto"/>
          <w:kern w:val="10"/>
          <w:sz w:val="24"/>
          <w:highlight w:val="none"/>
        </w:rPr>
      </w:pPr>
      <w:r>
        <w:rPr>
          <w:rFonts w:hint="eastAsia" w:ascii="宋体" w:hAnsi="宋体" w:cs="宋体"/>
          <w:color w:val="auto"/>
          <w:kern w:val="10"/>
          <w:sz w:val="24"/>
          <w:highlight w:val="none"/>
        </w:rPr>
        <w:t>4.本项目磋商有效期为</w:t>
      </w:r>
      <w:r>
        <w:rPr>
          <w:rFonts w:hint="eastAsia" w:ascii="宋体" w:hAnsi="宋体" w:cs="宋体"/>
          <w:color w:val="auto"/>
          <w:kern w:val="10"/>
          <w:sz w:val="24"/>
          <w:highlight w:val="none"/>
          <w:u w:val="single"/>
        </w:rPr>
        <w:t xml:space="preserve">             </w:t>
      </w:r>
      <w:r>
        <w:rPr>
          <w:rFonts w:hint="eastAsia" w:ascii="宋体" w:hAnsi="宋体" w:cs="宋体"/>
          <w:color w:val="auto"/>
          <w:kern w:val="10"/>
          <w:sz w:val="24"/>
          <w:highlight w:val="none"/>
        </w:rPr>
        <w:t>。</w:t>
      </w:r>
    </w:p>
    <w:p w14:paraId="63923508">
      <w:pPr>
        <w:spacing w:line="360" w:lineRule="auto"/>
        <w:ind w:firstLine="720" w:firstLineChars="300"/>
        <w:rPr>
          <w:rFonts w:ascii="宋体" w:hAnsi="宋体" w:cs="宋体"/>
          <w:color w:val="auto"/>
          <w:kern w:val="10"/>
          <w:sz w:val="24"/>
          <w:highlight w:val="none"/>
        </w:rPr>
      </w:pPr>
      <w:r>
        <w:rPr>
          <w:rFonts w:hint="eastAsia" w:ascii="宋体" w:hAnsi="宋体" w:cs="宋体"/>
          <w:color w:val="auto"/>
          <w:kern w:val="10"/>
          <w:sz w:val="24"/>
          <w:highlight w:val="none"/>
        </w:rPr>
        <w:t>5.我方同意提供按照贵方可能要求的与投标有关的一切数据或资料，理解贵方不一定接受最低价的投标或收到的任何投标。</w:t>
      </w:r>
    </w:p>
    <w:p w14:paraId="12EFA2D0">
      <w:pPr>
        <w:spacing w:line="360" w:lineRule="auto"/>
        <w:ind w:firstLine="720" w:firstLineChars="300"/>
        <w:rPr>
          <w:rFonts w:ascii="宋体" w:hAnsi="宋体" w:cs="宋体"/>
          <w:color w:val="auto"/>
          <w:kern w:val="10"/>
          <w:sz w:val="24"/>
          <w:highlight w:val="none"/>
        </w:rPr>
      </w:pPr>
      <w:r>
        <w:rPr>
          <w:rFonts w:hint="eastAsia" w:ascii="宋体" w:hAnsi="宋体" w:cs="宋体"/>
          <w:color w:val="auto"/>
          <w:kern w:val="10"/>
          <w:sz w:val="24"/>
          <w:highlight w:val="none"/>
        </w:rPr>
        <w:t>6.我单位声明参加本次政府采购活动前3年内在经营活动中没有重大违法记录（重大违法记录，是指投标人因违法经营受到刑事处罚或者责令停产停业、吊销许可证或者执照、较大数额罚款等行政处罚）。</w:t>
      </w:r>
    </w:p>
    <w:p w14:paraId="63D018DF">
      <w:pPr>
        <w:spacing w:line="360" w:lineRule="auto"/>
        <w:ind w:firstLine="480" w:firstLineChars="200"/>
        <w:rPr>
          <w:rFonts w:ascii="宋体" w:hAnsi="宋体" w:cs="宋体"/>
          <w:b/>
          <w:bCs/>
          <w:color w:val="auto"/>
          <w:kern w:val="10"/>
          <w:sz w:val="24"/>
          <w:highlight w:val="none"/>
        </w:rPr>
      </w:pPr>
      <w:r>
        <w:rPr>
          <w:rFonts w:hint="eastAsia" w:ascii="宋体" w:hAnsi="宋体" w:cs="宋体"/>
          <w:color w:val="auto"/>
          <w:kern w:val="10"/>
          <w:sz w:val="24"/>
          <w:highlight w:val="none"/>
        </w:rPr>
        <w:t>7.我方</w:t>
      </w:r>
      <w:r>
        <w:rPr>
          <w:rFonts w:hint="eastAsia" w:cs="宋体"/>
          <w:color w:val="auto"/>
          <w:sz w:val="24"/>
          <w:szCs w:val="24"/>
          <w:highlight w:val="none"/>
        </w:rPr>
        <w:t>在此声明，所递交的响应文件及有关资料内容完整、真实和准确。</w:t>
      </w:r>
    </w:p>
    <w:p w14:paraId="4BED750D">
      <w:pPr>
        <w:spacing w:line="360" w:lineRule="auto"/>
        <w:ind w:firstLine="480" w:firstLineChars="200"/>
        <w:rPr>
          <w:rFonts w:ascii="宋体" w:hAnsi="宋体" w:cs="宋体"/>
          <w:color w:val="auto"/>
          <w:kern w:val="10"/>
          <w:sz w:val="24"/>
          <w:highlight w:val="none"/>
        </w:rPr>
      </w:pPr>
      <w:r>
        <w:rPr>
          <w:rFonts w:hint="eastAsia" w:ascii="宋体" w:hAnsi="宋体" w:cs="宋体"/>
          <w:color w:val="auto"/>
          <w:kern w:val="10"/>
          <w:sz w:val="24"/>
          <w:highlight w:val="none"/>
        </w:rPr>
        <w:t>8．其他补充说明：</w:t>
      </w:r>
      <w:r>
        <w:rPr>
          <w:rFonts w:hint="eastAsia" w:ascii="宋体" w:hAnsi="宋体" w:cs="宋体"/>
          <w:color w:val="auto"/>
          <w:kern w:val="10"/>
          <w:sz w:val="24"/>
          <w:highlight w:val="none"/>
          <w:u w:val="single"/>
        </w:rPr>
        <w:t xml:space="preserve">       </w:t>
      </w:r>
      <w:r>
        <w:rPr>
          <w:rFonts w:hint="eastAsia" w:ascii="宋体" w:hAnsi="宋体" w:cs="宋体"/>
          <w:color w:val="auto"/>
          <w:kern w:val="10"/>
          <w:sz w:val="24"/>
          <w:highlight w:val="none"/>
        </w:rPr>
        <w:t>（如有）。</w:t>
      </w:r>
    </w:p>
    <w:p w14:paraId="7CDDCDF6">
      <w:pPr>
        <w:spacing w:line="480" w:lineRule="exact"/>
        <w:ind w:firstLine="4200" w:firstLineChars="1750"/>
        <w:rPr>
          <w:rFonts w:ascii="宋体" w:hAnsi="宋体" w:cs="宋体"/>
          <w:color w:val="auto"/>
          <w:sz w:val="24"/>
          <w:highlight w:val="none"/>
        </w:rPr>
      </w:pPr>
    </w:p>
    <w:p w14:paraId="401C6D32">
      <w:pPr>
        <w:spacing w:line="480" w:lineRule="exact"/>
        <w:ind w:firstLine="4200" w:firstLineChars="1750"/>
        <w:rPr>
          <w:rFonts w:ascii="宋体" w:hAnsi="宋体" w:cs="宋体"/>
          <w:color w:val="auto"/>
          <w:sz w:val="24"/>
          <w:highlight w:val="none"/>
        </w:rPr>
      </w:pPr>
    </w:p>
    <w:p w14:paraId="4D6C366B">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供应商名称</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w:t>
      </w:r>
      <w:r>
        <w:rPr>
          <w:rFonts w:hint="eastAsia" w:ascii="Calibri" w:hAnsi="Calibri" w:eastAsia="宋体" w:cs="Times New Roman"/>
          <w:color w:val="auto"/>
          <w:kern w:val="0"/>
          <w:sz w:val="24"/>
          <w:highlight w:val="none"/>
        </w:rPr>
        <w:t>电子签章</w:t>
      </w:r>
      <w:r>
        <w:rPr>
          <w:rFonts w:ascii="Calibri" w:hAnsi="Calibri" w:eastAsia="宋体" w:cs="Times New Roman"/>
          <w:color w:val="auto"/>
          <w:kern w:val="0"/>
          <w:sz w:val="24"/>
          <w:highlight w:val="none"/>
        </w:rPr>
        <w:t>）</w:t>
      </w:r>
    </w:p>
    <w:p w14:paraId="51AF5428">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w:t>
      </w:r>
      <w:r>
        <w:rPr>
          <w:rFonts w:hint="eastAsia" w:ascii="Calibri" w:hAnsi="Calibri" w:eastAsia="宋体" w:cs="Times New Roman"/>
          <w:color w:val="auto"/>
          <w:kern w:val="0"/>
          <w:sz w:val="24"/>
          <w:highlight w:val="none"/>
        </w:rPr>
        <w:t>电子签章或签字</w:t>
      </w:r>
      <w:r>
        <w:rPr>
          <w:rFonts w:ascii="Calibri" w:hAnsi="Calibri" w:eastAsia="宋体" w:cs="Times New Roman"/>
          <w:color w:val="auto"/>
          <w:kern w:val="0"/>
          <w:sz w:val="24"/>
          <w:highlight w:val="none"/>
        </w:rPr>
        <w:t>）</w:t>
      </w:r>
    </w:p>
    <w:p w14:paraId="0EE10C15">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1FD7A5DB">
      <w:pPr>
        <w:jc w:val="center"/>
        <w:rPr>
          <w:rFonts w:ascii="宋体" w:hAnsi="宋体" w:cs="宋体"/>
          <w:b/>
          <w:bCs/>
          <w:color w:val="auto"/>
          <w:sz w:val="24"/>
          <w:highlight w:val="none"/>
        </w:rPr>
      </w:pPr>
      <w:r>
        <w:rPr>
          <w:rFonts w:hint="eastAsia" w:ascii="宋体" w:hAnsi="宋体" w:cs="宋体"/>
          <w:b/>
          <w:bCs/>
          <w:color w:val="auto"/>
          <w:sz w:val="24"/>
          <w:highlight w:val="none"/>
        </w:rPr>
        <w:br w:type="page"/>
      </w:r>
      <w:bookmarkStart w:id="201" w:name="_Toc528078068"/>
      <w:bookmarkEnd w:id="201"/>
      <w:r>
        <w:rPr>
          <w:rFonts w:hint="eastAsia" w:ascii="宋体" w:hAnsi="宋体" w:cs="宋体"/>
          <w:b/>
          <w:bCs/>
          <w:color w:val="auto"/>
          <w:sz w:val="24"/>
          <w:highlight w:val="none"/>
        </w:rPr>
        <w:t>（2）投标函附录</w:t>
      </w:r>
    </w:p>
    <w:tbl>
      <w:tblPr>
        <w:tblStyle w:val="17"/>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599241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05B7564">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323BD9D8">
            <w:pPr>
              <w:spacing w:line="480" w:lineRule="exact"/>
              <w:ind w:firstLine="818" w:firstLineChars="341"/>
              <w:rPr>
                <w:rFonts w:cs="宋体"/>
                <w:color w:val="auto"/>
                <w:sz w:val="24"/>
                <w:szCs w:val="24"/>
                <w:highlight w:val="none"/>
              </w:rPr>
            </w:pPr>
          </w:p>
        </w:tc>
      </w:tr>
      <w:tr w14:paraId="3B76AD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795A8D3D">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4AA86D97">
            <w:pPr>
              <w:spacing w:line="480" w:lineRule="exact"/>
              <w:ind w:firstLine="818" w:firstLineChars="341"/>
              <w:rPr>
                <w:rFonts w:cs="宋体"/>
                <w:color w:val="auto"/>
                <w:sz w:val="24"/>
                <w:szCs w:val="24"/>
                <w:highlight w:val="none"/>
              </w:rPr>
            </w:pPr>
          </w:p>
        </w:tc>
      </w:tr>
      <w:tr w14:paraId="62A7D14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4368E7A">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4683B39B">
            <w:pPr>
              <w:spacing w:line="480" w:lineRule="exact"/>
              <w:ind w:firstLine="818" w:firstLineChars="341"/>
              <w:rPr>
                <w:rFonts w:cs="宋体"/>
                <w:color w:val="auto"/>
                <w:sz w:val="24"/>
                <w:szCs w:val="24"/>
                <w:highlight w:val="none"/>
              </w:rPr>
            </w:pPr>
          </w:p>
        </w:tc>
      </w:tr>
      <w:tr w14:paraId="40AB82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E637CE9">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4C9507C3">
            <w:pPr>
              <w:spacing w:line="480" w:lineRule="exact"/>
              <w:ind w:firstLine="818" w:firstLineChars="341"/>
              <w:rPr>
                <w:rFonts w:cs="宋体"/>
                <w:color w:val="auto"/>
                <w:sz w:val="24"/>
                <w:szCs w:val="24"/>
                <w:highlight w:val="none"/>
              </w:rPr>
            </w:pPr>
          </w:p>
        </w:tc>
      </w:tr>
      <w:tr w14:paraId="7CA4A57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55F25C2C">
            <w:pPr>
              <w:spacing w:line="480" w:lineRule="exact"/>
              <w:jc w:val="center"/>
              <w:rPr>
                <w:rFonts w:cs="宋体"/>
                <w:color w:val="auto"/>
                <w:sz w:val="24"/>
                <w:szCs w:val="24"/>
                <w:highlight w:val="none"/>
              </w:rPr>
            </w:pPr>
            <w:r>
              <w:rPr>
                <w:rFonts w:hint="eastAsia" w:cs="宋体"/>
                <w:color w:val="auto"/>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7E41B96C">
            <w:pPr>
              <w:spacing w:line="480" w:lineRule="exact"/>
              <w:rPr>
                <w:rFonts w:cs="宋体"/>
                <w:color w:val="auto"/>
                <w:sz w:val="24"/>
                <w:szCs w:val="24"/>
                <w:highlight w:val="none"/>
              </w:rPr>
            </w:pPr>
            <w:r>
              <w:rPr>
                <w:rFonts w:hint="eastAsia" w:cs="宋体"/>
                <w:color w:val="auto"/>
                <w:sz w:val="24"/>
                <w:szCs w:val="24"/>
                <w:highlight w:val="none"/>
              </w:rPr>
              <w:t>（大写）</w:t>
            </w:r>
            <w:r>
              <w:rPr>
                <w:rFonts w:hint="eastAsia" w:cs="宋体"/>
                <w:color w:val="auto"/>
                <w:sz w:val="24"/>
                <w:szCs w:val="24"/>
                <w:highlight w:val="none"/>
                <w:u w:val="single"/>
              </w:rPr>
              <w:t xml:space="preserve">           </w:t>
            </w:r>
            <w:r>
              <w:rPr>
                <w:rFonts w:hint="eastAsia" w:cs="宋体"/>
                <w:color w:val="auto"/>
                <w:sz w:val="24"/>
                <w:szCs w:val="24"/>
                <w:highlight w:val="none"/>
              </w:rPr>
              <w:t xml:space="preserve"> ，    （小写）</w:t>
            </w:r>
            <w:r>
              <w:rPr>
                <w:rFonts w:hint="eastAsia" w:cs="宋体"/>
                <w:color w:val="auto"/>
                <w:sz w:val="24"/>
                <w:szCs w:val="24"/>
                <w:highlight w:val="none"/>
                <w:u w:val="single"/>
              </w:rPr>
              <w:t xml:space="preserve">        </w:t>
            </w:r>
            <w:r>
              <w:rPr>
                <w:rFonts w:hint="eastAsia" w:cs="宋体"/>
                <w:color w:val="auto"/>
                <w:sz w:val="24"/>
                <w:szCs w:val="24"/>
                <w:highlight w:val="none"/>
              </w:rPr>
              <w:t>元</w:t>
            </w:r>
          </w:p>
        </w:tc>
      </w:tr>
      <w:tr w14:paraId="38F9A9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21A42F93">
            <w:pPr>
              <w:spacing w:line="480" w:lineRule="exact"/>
              <w:jc w:val="center"/>
              <w:rPr>
                <w:rFonts w:cs="宋体"/>
                <w:color w:val="auto"/>
                <w:sz w:val="24"/>
                <w:szCs w:val="24"/>
                <w:highlight w:val="none"/>
              </w:rPr>
            </w:pPr>
            <w:r>
              <w:rPr>
                <w:rFonts w:hint="eastAsia" w:cs="宋体"/>
                <w:color w:val="auto"/>
                <w:sz w:val="24"/>
                <w:szCs w:val="24"/>
                <w:highlight w:val="none"/>
              </w:rPr>
              <w:t>交货期</w:t>
            </w:r>
          </w:p>
        </w:tc>
        <w:tc>
          <w:tcPr>
            <w:tcW w:w="6733" w:type="dxa"/>
            <w:tcBorders>
              <w:top w:val="single" w:color="auto" w:sz="4" w:space="0"/>
              <w:left w:val="nil"/>
              <w:bottom w:val="single" w:color="auto" w:sz="4" w:space="0"/>
              <w:right w:val="single" w:color="auto" w:sz="4" w:space="0"/>
            </w:tcBorders>
            <w:vAlign w:val="center"/>
          </w:tcPr>
          <w:p w14:paraId="2B7512FD">
            <w:pPr>
              <w:spacing w:line="480" w:lineRule="exact"/>
              <w:rPr>
                <w:rFonts w:cs="宋体"/>
                <w:color w:val="auto"/>
                <w:sz w:val="24"/>
                <w:szCs w:val="24"/>
                <w:highlight w:val="none"/>
              </w:rPr>
            </w:pPr>
          </w:p>
        </w:tc>
      </w:tr>
      <w:tr w14:paraId="2ABA28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3C6D8839">
            <w:pPr>
              <w:spacing w:line="480" w:lineRule="exact"/>
              <w:jc w:val="center"/>
              <w:rPr>
                <w:rFonts w:cs="宋体"/>
                <w:color w:val="auto"/>
                <w:sz w:val="24"/>
                <w:szCs w:val="24"/>
                <w:highlight w:val="none"/>
              </w:rPr>
            </w:pPr>
            <w:r>
              <w:rPr>
                <w:rFonts w:hint="eastAsia" w:cs="宋体"/>
                <w:color w:val="auto"/>
                <w:sz w:val="24"/>
                <w:szCs w:val="24"/>
                <w:highlight w:val="none"/>
              </w:rPr>
              <w:t>交货地点</w:t>
            </w:r>
          </w:p>
        </w:tc>
        <w:tc>
          <w:tcPr>
            <w:tcW w:w="6733" w:type="dxa"/>
            <w:tcBorders>
              <w:top w:val="single" w:color="auto" w:sz="4" w:space="0"/>
              <w:left w:val="nil"/>
              <w:bottom w:val="single" w:color="auto" w:sz="4" w:space="0"/>
              <w:right w:val="single" w:color="auto" w:sz="4" w:space="0"/>
            </w:tcBorders>
            <w:vAlign w:val="center"/>
          </w:tcPr>
          <w:p w14:paraId="4DEF3918">
            <w:pPr>
              <w:spacing w:line="480" w:lineRule="exact"/>
              <w:ind w:firstLine="818" w:firstLineChars="341"/>
              <w:rPr>
                <w:rFonts w:cs="宋体"/>
                <w:color w:val="auto"/>
                <w:sz w:val="24"/>
                <w:szCs w:val="24"/>
                <w:highlight w:val="none"/>
              </w:rPr>
            </w:pPr>
          </w:p>
        </w:tc>
      </w:tr>
      <w:tr w14:paraId="4EE6CAC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0D1C38C0">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79196531">
            <w:pPr>
              <w:spacing w:line="480" w:lineRule="exact"/>
              <w:ind w:firstLine="818" w:firstLineChars="341"/>
              <w:rPr>
                <w:rFonts w:cs="宋体"/>
                <w:color w:val="auto"/>
                <w:sz w:val="24"/>
                <w:szCs w:val="24"/>
                <w:highlight w:val="none"/>
              </w:rPr>
            </w:pPr>
          </w:p>
        </w:tc>
      </w:tr>
      <w:tr w14:paraId="383C79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1EF45B6F">
            <w:pPr>
              <w:spacing w:line="480" w:lineRule="exact"/>
              <w:jc w:val="center"/>
              <w:rPr>
                <w:rFonts w:cs="宋体"/>
                <w:color w:val="auto"/>
                <w:sz w:val="24"/>
                <w:szCs w:val="24"/>
                <w:highlight w:val="none"/>
              </w:rPr>
            </w:pPr>
            <w:r>
              <w:rPr>
                <w:rFonts w:hint="eastAsia" w:asciiTheme="minorEastAsia" w:hAnsiTheme="minorEastAsia" w:cstheme="minorEastAsia"/>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25B7996E">
            <w:pPr>
              <w:spacing w:line="480" w:lineRule="exact"/>
              <w:ind w:firstLine="818" w:firstLineChars="341"/>
              <w:rPr>
                <w:rFonts w:cs="宋体"/>
                <w:color w:val="auto"/>
                <w:sz w:val="24"/>
                <w:szCs w:val="24"/>
                <w:highlight w:val="none"/>
              </w:rPr>
            </w:pPr>
          </w:p>
        </w:tc>
      </w:tr>
      <w:tr w14:paraId="579017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C6C5EBC">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3BB2E9A2">
            <w:pPr>
              <w:spacing w:line="480" w:lineRule="exact"/>
              <w:ind w:firstLine="818" w:firstLineChars="341"/>
              <w:rPr>
                <w:rFonts w:cs="宋体"/>
                <w:color w:val="auto"/>
                <w:sz w:val="24"/>
                <w:szCs w:val="24"/>
                <w:highlight w:val="none"/>
              </w:rPr>
            </w:pPr>
          </w:p>
        </w:tc>
      </w:tr>
      <w:tr w14:paraId="2531EE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0442B9BB">
            <w:pPr>
              <w:spacing w:line="480" w:lineRule="exact"/>
              <w:jc w:val="center"/>
              <w:rPr>
                <w:rFonts w:cs="宋体"/>
                <w:color w:val="auto"/>
                <w:sz w:val="24"/>
                <w:szCs w:val="24"/>
                <w:highlight w:val="none"/>
              </w:rPr>
            </w:pPr>
            <w:r>
              <w:rPr>
                <w:rFonts w:hint="eastAsia" w:cs="宋体"/>
                <w:color w:val="auto"/>
                <w:sz w:val="24"/>
                <w:szCs w:val="24"/>
                <w:highlight w:val="none"/>
              </w:rPr>
              <w:t>磋商有效期</w:t>
            </w:r>
          </w:p>
        </w:tc>
        <w:tc>
          <w:tcPr>
            <w:tcW w:w="6733" w:type="dxa"/>
            <w:tcBorders>
              <w:top w:val="single" w:color="auto" w:sz="4" w:space="0"/>
              <w:left w:val="nil"/>
              <w:bottom w:val="single" w:color="auto" w:sz="4" w:space="0"/>
              <w:right w:val="single" w:color="auto" w:sz="4" w:space="0"/>
            </w:tcBorders>
            <w:vAlign w:val="center"/>
          </w:tcPr>
          <w:p w14:paraId="562E54AB">
            <w:pPr>
              <w:spacing w:line="480" w:lineRule="exact"/>
              <w:ind w:firstLine="818" w:firstLineChars="341"/>
              <w:rPr>
                <w:rFonts w:cs="宋体"/>
                <w:color w:val="auto"/>
                <w:sz w:val="24"/>
                <w:szCs w:val="24"/>
                <w:highlight w:val="none"/>
              </w:rPr>
            </w:pPr>
          </w:p>
        </w:tc>
      </w:tr>
      <w:tr w14:paraId="370C9E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79F6384C">
            <w:pPr>
              <w:spacing w:line="480" w:lineRule="exact"/>
              <w:rPr>
                <w:rFonts w:cs="宋体"/>
                <w:color w:val="auto"/>
                <w:sz w:val="24"/>
                <w:szCs w:val="24"/>
                <w:highlight w:val="none"/>
              </w:rPr>
            </w:pPr>
            <w:r>
              <w:rPr>
                <w:rFonts w:hint="eastAsia" w:cs="宋体"/>
                <w:color w:val="auto"/>
                <w:sz w:val="24"/>
                <w:szCs w:val="24"/>
                <w:highlight w:val="none"/>
              </w:rPr>
              <w:t>补充（如有）</w:t>
            </w:r>
          </w:p>
        </w:tc>
      </w:tr>
    </w:tbl>
    <w:p w14:paraId="17E3C1E6">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供应商名称</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w:t>
      </w:r>
      <w:r>
        <w:rPr>
          <w:rFonts w:hint="eastAsia" w:ascii="Calibri" w:hAnsi="Calibri" w:eastAsia="宋体" w:cs="Times New Roman"/>
          <w:color w:val="auto"/>
          <w:kern w:val="0"/>
          <w:sz w:val="24"/>
          <w:highlight w:val="none"/>
        </w:rPr>
        <w:t>电子签章</w:t>
      </w:r>
      <w:r>
        <w:rPr>
          <w:rFonts w:ascii="Calibri" w:hAnsi="Calibri" w:eastAsia="宋体" w:cs="Times New Roman"/>
          <w:color w:val="auto"/>
          <w:kern w:val="0"/>
          <w:sz w:val="24"/>
          <w:highlight w:val="none"/>
        </w:rPr>
        <w:t>）</w:t>
      </w:r>
    </w:p>
    <w:p w14:paraId="6D1E21C8">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w:t>
      </w:r>
      <w:r>
        <w:rPr>
          <w:rFonts w:hint="eastAsia" w:ascii="Calibri" w:hAnsi="Calibri" w:eastAsia="宋体" w:cs="Times New Roman"/>
          <w:color w:val="auto"/>
          <w:kern w:val="0"/>
          <w:sz w:val="24"/>
          <w:highlight w:val="none"/>
        </w:rPr>
        <w:t>电子签章或签字</w:t>
      </w:r>
      <w:r>
        <w:rPr>
          <w:rFonts w:ascii="Calibri" w:hAnsi="Calibri" w:eastAsia="宋体" w:cs="Times New Roman"/>
          <w:color w:val="auto"/>
          <w:kern w:val="0"/>
          <w:sz w:val="24"/>
          <w:highlight w:val="none"/>
        </w:rPr>
        <w:t>）</w:t>
      </w:r>
    </w:p>
    <w:p w14:paraId="499D5778">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5DFE75C4">
      <w:pPr>
        <w:pStyle w:val="4"/>
        <w:jc w:val="center"/>
        <w:rPr>
          <w:color w:val="auto"/>
          <w:highlight w:val="none"/>
        </w:rPr>
      </w:pPr>
      <w:r>
        <w:rPr>
          <w:rFonts w:hint="eastAsia" w:ascii="宋体" w:hAnsi="宋体" w:cs="宋体"/>
          <w:color w:val="auto"/>
          <w:szCs w:val="24"/>
          <w:highlight w:val="none"/>
        </w:rPr>
        <w:br w:type="page"/>
      </w:r>
      <w:bookmarkStart w:id="202" w:name="_Toc26862"/>
      <w:bookmarkEnd w:id="202"/>
      <w:r>
        <w:rPr>
          <w:rFonts w:hint="eastAsia"/>
          <w:color w:val="auto"/>
          <w:highlight w:val="none"/>
        </w:rPr>
        <w:t>二、法定代表人身份证明</w:t>
      </w:r>
    </w:p>
    <w:p w14:paraId="5C880B35">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44FFEFD1">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5F292EDF">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5278AC46">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6E49DBD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72D82BBE">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0151F046">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56E64DEE">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3285E755">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491F8BAF">
      <w:pPr>
        <w:spacing w:line="500" w:lineRule="exact"/>
        <w:ind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w:t>
      </w:r>
      <w:r>
        <w:rPr>
          <w:rFonts w:hint="eastAsia" w:ascii="宋体" w:hAnsi="宋体" w:cs="宋体"/>
          <w:color w:val="auto"/>
          <w:sz w:val="24"/>
          <w:highlight w:val="none"/>
        </w:rPr>
        <w:t>正反面</w:t>
      </w:r>
      <w:r>
        <w:rPr>
          <w:rFonts w:hint="eastAsia" w:asciiTheme="minorEastAsia" w:hAnsiTheme="minorEastAsia" w:cstheme="minorEastAsia"/>
          <w:color w:val="auto"/>
          <w:sz w:val="24"/>
          <w:szCs w:val="28"/>
          <w:highlight w:val="none"/>
        </w:rPr>
        <w:t>。</w:t>
      </w:r>
    </w:p>
    <w:p w14:paraId="2E7E05D0">
      <w:pPr>
        <w:spacing w:line="560" w:lineRule="exact"/>
        <w:ind w:left="170" w:firstLine="480" w:firstLineChars="200"/>
        <w:rPr>
          <w:rFonts w:asciiTheme="minorEastAsia" w:hAnsiTheme="minorEastAsia" w:cstheme="minorEastAsia"/>
          <w:color w:val="auto"/>
          <w:sz w:val="24"/>
          <w:szCs w:val="28"/>
          <w:highlight w:val="none"/>
        </w:rPr>
      </w:pPr>
    </w:p>
    <w:p w14:paraId="6A559A49">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14:paraId="73EB3E34">
      <w:pPr>
        <w:autoSpaceDE w:val="0"/>
        <w:autoSpaceDN w:val="0"/>
        <w:adjustRightInd w:val="0"/>
        <w:spacing w:line="560" w:lineRule="exact"/>
        <w:ind w:firstLine="3084" w:firstLineChars="1285"/>
        <w:jc w:val="center"/>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kern w:val="0"/>
          <w:sz w:val="24"/>
          <w:szCs w:val="28"/>
          <w:highlight w:val="none"/>
        </w:rPr>
        <w:t>（电子签章）</w:t>
      </w:r>
    </w:p>
    <w:p w14:paraId="1D53EB99">
      <w:pPr>
        <w:autoSpaceDE w:val="0"/>
        <w:autoSpaceDN w:val="0"/>
        <w:adjustRightInd w:val="0"/>
        <w:spacing w:line="560" w:lineRule="exact"/>
        <w:ind w:right="420" w:firstLine="3760" w:firstLineChars="1567"/>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日期：</w:t>
      </w:r>
      <w:r>
        <w:rPr>
          <w:rFonts w:hint="eastAsia" w:asciiTheme="minorEastAsia" w:hAnsiTheme="minorEastAsia" w:cstheme="minorEastAsia"/>
          <w:color w:val="auto"/>
          <w:kern w:val="0"/>
          <w:sz w:val="24"/>
          <w:szCs w:val="28"/>
          <w:highlight w:val="none"/>
          <w:u w:val="single"/>
        </w:rPr>
        <w:t xml:space="preserve">      </w:t>
      </w:r>
      <w:r>
        <w:rPr>
          <w:rFonts w:hint="eastAsia" w:asciiTheme="minorEastAsia" w:hAnsiTheme="minorEastAsia" w:cstheme="minorEastAsia"/>
          <w:color w:val="auto"/>
          <w:kern w:val="0"/>
          <w:sz w:val="24"/>
          <w:szCs w:val="28"/>
          <w:highlight w:val="none"/>
        </w:rPr>
        <w:t>年</w:t>
      </w:r>
      <w:r>
        <w:rPr>
          <w:rFonts w:hint="eastAsia" w:asciiTheme="minorEastAsia" w:hAnsiTheme="minorEastAsia" w:cstheme="minorEastAsia"/>
          <w:color w:val="auto"/>
          <w:kern w:val="0"/>
          <w:sz w:val="24"/>
          <w:szCs w:val="28"/>
          <w:highlight w:val="none"/>
          <w:u w:val="single"/>
        </w:rPr>
        <w:t xml:space="preserve">       </w:t>
      </w:r>
      <w:r>
        <w:rPr>
          <w:rFonts w:hint="eastAsia" w:asciiTheme="minorEastAsia" w:hAnsiTheme="minorEastAsia" w:cstheme="minorEastAsia"/>
          <w:color w:val="auto"/>
          <w:kern w:val="0"/>
          <w:sz w:val="24"/>
          <w:szCs w:val="28"/>
          <w:highlight w:val="none"/>
        </w:rPr>
        <w:t>月</w:t>
      </w:r>
      <w:r>
        <w:rPr>
          <w:rFonts w:hint="eastAsia" w:asciiTheme="minorEastAsia" w:hAnsiTheme="minorEastAsia" w:cstheme="minorEastAsia"/>
          <w:color w:val="auto"/>
          <w:kern w:val="0"/>
          <w:sz w:val="24"/>
          <w:szCs w:val="28"/>
          <w:highlight w:val="none"/>
          <w:u w:val="single"/>
        </w:rPr>
        <w:t xml:space="preserve">      </w:t>
      </w:r>
      <w:r>
        <w:rPr>
          <w:rFonts w:hint="eastAsia" w:asciiTheme="minorEastAsia" w:hAnsiTheme="minorEastAsia" w:cstheme="minorEastAsia"/>
          <w:color w:val="auto"/>
          <w:kern w:val="0"/>
          <w:sz w:val="24"/>
          <w:szCs w:val="28"/>
          <w:highlight w:val="none"/>
        </w:rPr>
        <w:t>日</w:t>
      </w:r>
    </w:p>
    <w:p w14:paraId="57C18F4D">
      <w:pPr>
        <w:pStyle w:val="4"/>
        <w:jc w:val="center"/>
        <w:rPr>
          <w:color w:val="auto"/>
          <w:highlight w:val="none"/>
        </w:rPr>
      </w:pPr>
      <w:r>
        <w:rPr>
          <w:rFonts w:hint="eastAsia" w:ascii="宋体" w:hAnsi="宋体" w:cs="宋体"/>
          <w:color w:val="auto"/>
          <w:szCs w:val="24"/>
          <w:highlight w:val="none"/>
        </w:rPr>
        <w:br w:type="page"/>
      </w:r>
      <w:bookmarkStart w:id="203" w:name="_Toc528078069"/>
      <w:bookmarkEnd w:id="203"/>
      <w:bookmarkStart w:id="204" w:name="_Toc23204"/>
      <w:r>
        <w:rPr>
          <w:rFonts w:hint="eastAsia"/>
          <w:color w:val="auto"/>
          <w:highlight w:val="none"/>
        </w:rPr>
        <w:t>三、授权委托书</w:t>
      </w:r>
      <w:bookmarkEnd w:id="204"/>
    </w:p>
    <w:p w14:paraId="0F147F78">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（项目名称）响应文件、签订合同和处理有关事宜，其法律后果由我方承担。</w:t>
      </w:r>
    </w:p>
    <w:p w14:paraId="6D8D951F">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4CF023AD">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30DBB27F">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w:t>
      </w:r>
      <w:r>
        <w:rPr>
          <w:rFonts w:hint="eastAsia" w:ascii="宋体" w:hAnsi="宋体" w:cs="宋体"/>
          <w:color w:val="auto"/>
          <w:sz w:val="24"/>
          <w:highlight w:val="none"/>
        </w:rPr>
        <w:t>正反面</w:t>
      </w:r>
      <w:r>
        <w:rPr>
          <w:rFonts w:hint="eastAsia" w:ascii="宋体" w:hAnsi="宋体" w:eastAsia="宋体" w:cs="Times New Roman"/>
          <w:color w:val="auto"/>
          <w:sz w:val="24"/>
          <w:szCs w:val="24"/>
          <w:highlight w:val="none"/>
        </w:rPr>
        <w:t>、被授权委托人身份证复印件</w:t>
      </w:r>
      <w:r>
        <w:rPr>
          <w:rFonts w:hint="eastAsia" w:ascii="宋体" w:hAnsi="宋体" w:cs="宋体"/>
          <w:color w:val="auto"/>
          <w:sz w:val="24"/>
          <w:highlight w:val="none"/>
        </w:rPr>
        <w:t>正反面</w:t>
      </w:r>
    </w:p>
    <w:p w14:paraId="42A3A3AF">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49D1A3FD">
      <w:pPr>
        <w:suppressAutoHyphens/>
        <w:spacing w:line="360" w:lineRule="auto"/>
        <w:ind w:firstLine="3120" w:firstLineChars="1300"/>
        <w:rPr>
          <w:rFonts w:ascii="宋体" w:hAnsi="宋体" w:eastAsia="宋体" w:cs="Times New Roman"/>
          <w:color w:val="auto"/>
          <w:kern w:val="1"/>
          <w:sz w:val="24"/>
          <w:szCs w:val="24"/>
          <w:highlight w:val="none"/>
        </w:rPr>
      </w:pPr>
    </w:p>
    <w:p w14:paraId="0FC2B5D1">
      <w:pPr>
        <w:suppressAutoHyphens/>
        <w:spacing w:line="360" w:lineRule="auto"/>
        <w:ind w:firstLine="3120" w:firstLineChars="1300"/>
        <w:rPr>
          <w:rFonts w:ascii="宋体" w:hAnsi="宋体" w:eastAsia="宋体" w:cs="Times New Roman"/>
          <w:color w:val="auto"/>
          <w:kern w:val="1"/>
          <w:sz w:val="24"/>
          <w:szCs w:val="24"/>
          <w:highlight w:val="none"/>
        </w:rPr>
      </w:pPr>
    </w:p>
    <w:p w14:paraId="472BFEE1">
      <w:pPr>
        <w:suppressAutoHyphens/>
        <w:spacing w:line="36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供应商：</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Times New Roman"/>
          <w:color w:val="auto"/>
          <w:kern w:val="1"/>
          <w:sz w:val="24"/>
          <w:szCs w:val="24"/>
          <w:highlight w:val="none"/>
        </w:rPr>
        <w:t>）</w:t>
      </w:r>
    </w:p>
    <w:p w14:paraId="408B1366">
      <w:pPr>
        <w:suppressAutoHyphens/>
        <w:spacing w:line="36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法定代表人：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宋体"/>
          <w:color w:val="auto"/>
          <w:kern w:val="0"/>
          <w:sz w:val="24"/>
          <w:highlight w:val="none"/>
          <w:lang w:bidi="ar"/>
        </w:rPr>
        <w:t>或签字</w:t>
      </w:r>
      <w:r>
        <w:rPr>
          <w:rFonts w:hint="eastAsia" w:ascii="宋体" w:hAnsi="宋体" w:eastAsia="宋体" w:cs="Times New Roman"/>
          <w:color w:val="auto"/>
          <w:kern w:val="1"/>
          <w:sz w:val="24"/>
          <w:szCs w:val="24"/>
          <w:highlight w:val="none"/>
        </w:rPr>
        <w:t>）</w:t>
      </w:r>
    </w:p>
    <w:p w14:paraId="2DCCC70C">
      <w:pPr>
        <w:suppressAutoHyphens/>
        <w:spacing w:line="36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仿宋_GB2312"/>
          <w:color w:val="auto"/>
          <w:kern w:val="0"/>
          <w:sz w:val="24"/>
          <w:szCs w:val="24"/>
          <w:highlight w:val="none"/>
        </w:rPr>
        <w:t>身份证号码：</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021354A8">
      <w:pPr>
        <w:suppressAutoHyphens/>
        <w:spacing w:line="36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委托代理人：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 xml:space="preserve">（签字） </w:t>
      </w:r>
    </w:p>
    <w:p w14:paraId="227FC020">
      <w:pPr>
        <w:suppressAutoHyphens/>
        <w:spacing w:line="36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身份证号码：</w:t>
      </w:r>
      <w:r>
        <w:rPr>
          <w:rFonts w:hint="eastAsia" w:ascii="宋体" w:hAnsi="宋体" w:eastAsia="宋体" w:cs="Times New Roman"/>
          <w:color w:val="auto"/>
          <w:kern w:val="1"/>
          <w:sz w:val="24"/>
          <w:szCs w:val="24"/>
          <w:highlight w:val="none"/>
          <w:u w:val="single"/>
        </w:rPr>
        <w:t xml:space="preserve">                      </w:t>
      </w:r>
    </w:p>
    <w:p w14:paraId="1A679C66">
      <w:pPr>
        <w:suppressAutoHyphens/>
        <w:spacing w:line="360" w:lineRule="auto"/>
        <w:ind w:firstLine="4920" w:firstLineChars="205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年</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月</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日</w:t>
      </w:r>
    </w:p>
    <w:p w14:paraId="0FA59CE4">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5DFED421">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872C75D">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3114BEA1">
      <w:pPr>
        <w:widowControl/>
        <w:ind w:firstLine="360"/>
        <w:jc w:val="left"/>
        <w:rPr>
          <w:rFonts w:ascii="宋体" w:hAnsi="宋体" w:eastAsia="宋体" w:cs="宋体"/>
          <w:b/>
          <w:bCs/>
          <w:color w:val="auto"/>
          <w:spacing w:val="10"/>
          <w:kern w:val="0"/>
          <w:sz w:val="24"/>
          <w:highlight w:val="none"/>
        </w:rPr>
      </w:pPr>
    </w:p>
    <w:p w14:paraId="02D2AF66">
      <w:pPr>
        <w:spacing w:line="560" w:lineRule="exact"/>
        <w:rPr>
          <w:rFonts w:asciiTheme="minorEastAsia" w:hAnsiTheme="minorEastAsia" w:cstheme="minorEastAsia"/>
          <w:b/>
          <w:bCs/>
          <w:color w:val="auto"/>
          <w:kern w:val="0"/>
          <w:sz w:val="28"/>
          <w:szCs w:val="28"/>
          <w:highlight w:val="none"/>
        </w:rPr>
      </w:pPr>
    </w:p>
    <w:p w14:paraId="4BD43CF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557328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66F17D39">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862168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C2E29B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20D3331">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F7B7925">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845216E">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273861FD">
      <w:pPr>
        <w:pStyle w:val="4"/>
        <w:jc w:val="center"/>
        <w:rPr>
          <w:color w:val="auto"/>
          <w:highlight w:val="none"/>
        </w:rPr>
      </w:pPr>
      <w:bookmarkStart w:id="205" w:name="_Toc10352"/>
      <w:bookmarkEnd w:id="205"/>
      <w:r>
        <w:rPr>
          <w:rFonts w:hint="eastAsia" w:ascii="宋体" w:hAnsi="宋体" w:cs="宋体"/>
          <w:color w:val="auto"/>
          <w:szCs w:val="24"/>
          <w:highlight w:val="none"/>
        </w:rPr>
        <w:br w:type="page"/>
      </w:r>
      <w:r>
        <w:rPr>
          <w:rFonts w:hint="eastAsia"/>
          <w:color w:val="auto"/>
          <w:highlight w:val="none"/>
        </w:rPr>
        <w:t>四、投标承诺函</w:t>
      </w:r>
    </w:p>
    <w:p w14:paraId="3740690A">
      <w:pPr>
        <w:spacing w:line="360" w:lineRule="auto"/>
        <w:ind w:firstLine="480" w:firstLineChars="200"/>
        <w:rPr>
          <w:color w:val="auto"/>
          <w:sz w:val="24"/>
          <w:szCs w:val="28"/>
          <w:highlight w:val="none"/>
        </w:rPr>
      </w:pPr>
      <w:r>
        <w:rPr>
          <w:rFonts w:hint="eastAsia"/>
          <w:color w:val="auto"/>
          <w:sz w:val="24"/>
          <w:szCs w:val="28"/>
          <w:highlight w:val="none"/>
        </w:rPr>
        <w:t>致 （采购人）：</w:t>
      </w:r>
      <w:r>
        <w:rPr>
          <w:rFonts w:hint="eastAsia"/>
          <w:color w:val="auto"/>
          <w:sz w:val="24"/>
          <w:szCs w:val="28"/>
          <w:highlight w:val="none"/>
          <w:u w:val="single"/>
        </w:rPr>
        <w:t xml:space="preserve">                     </w:t>
      </w:r>
    </w:p>
    <w:p w14:paraId="2F5FCD5C">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14:paraId="3D695717">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4C8DD43D">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7E396B42">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183AE1F2">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0CE83203">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568781C8">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1DA81E44">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641F338D">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3A68015A">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0D73EDF6">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14BCE6D2">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5590C924">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2F3B1F5A">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3F2837EA">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46327C25">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0414DA33">
      <w:pPr>
        <w:spacing w:line="360" w:lineRule="auto"/>
        <w:ind w:firstLine="480" w:firstLineChars="200"/>
        <w:rPr>
          <w:color w:val="auto"/>
          <w:sz w:val="24"/>
          <w:szCs w:val="28"/>
          <w:highlight w:val="none"/>
        </w:rPr>
      </w:pPr>
      <w:r>
        <w:rPr>
          <w:rFonts w:hint="eastAsia"/>
          <w:color w:val="auto"/>
          <w:sz w:val="24"/>
          <w:szCs w:val="28"/>
          <w:highlight w:val="none"/>
        </w:rPr>
        <w:t>九、存在以下行为之一的愿意接受相关部门的处理：</w:t>
      </w:r>
    </w:p>
    <w:p w14:paraId="7F9530EF">
      <w:pPr>
        <w:spacing w:line="360" w:lineRule="auto"/>
        <w:ind w:firstLine="480" w:firstLineChars="200"/>
        <w:rPr>
          <w:color w:val="auto"/>
          <w:sz w:val="24"/>
          <w:szCs w:val="28"/>
          <w:highlight w:val="none"/>
        </w:rPr>
      </w:pPr>
      <w:r>
        <w:rPr>
          <w:rFonts w:hint="eastAsia"/>
          <w:color w:val="auto"/>
          <w:sz w:val="24"/>
          <w:szCs w:val="28"/>
          <w:highlight w:val="none"/>
        </w:rPr>
        <w:t>（一）磋商有效期内撤销投标文件的；</w:t>
      </w:r>
    </w:p>
    <w:p w14:paraId="195ABC68">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5EB7BF5E">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（三）由于中标人的原因未能按照招标文件的规定与采购人签订合同；</w:t>
      </w:r>
    </w:p>
    <w:p w14:paraId="4B02F2DE">
      <w:pPr>
        <w:spacing w:line="360" w:lineRule="auto"/>
        <w:ind w:firstLine="480" w:firstLineChars="200"/>
        <w:rPr>
          <w:color w:val="auto"/>
          <w:sz w:val="24"/>
          <w:szCs w:val="28"/>
          <w:highlight w:val="none"/>
        </w:rPr>
      </w:pPr>
      <w:r>
        <w:rPr>
          <w:rFonts w:hint="eastAsia"/>
          <w:color w:val="auto"/>
          <w:sz w:val="24"/>
          <w:szCs w:val="28"/>
          <w:highlight w:val="none"/>
        </w:rPr>
        <w:t>（四）在响应文件中提供虚假材料谋取中标；</w:t>
      </w:r>
    </w:p>
    <w:p w14:paraId="42FBD4FF">
      <w:pPr>
        <w:spacing w:line="360" w:lineRule="auto"/>
        <w:ind w:firstLine="480" w:firstLineChars="200"/>
        <w:rPr>
          <w:color w:val="auto"/>
          <w:sz w:val="24"/>
          <w:szCs w:val="28"/>
          <w:highlight w:val="none"/>
        </w:rPr>
      </w:pPr>
      <w:r>
        <w:rPr>
          <w:rFonts w:hint="eastAsia"/>
          <w:color w:val="auto"/>
          <w:sz w:val="24"/>
          <w:szCs w:val="28"/>
          <w:highlight w:val="none"/>
        </w:rPr>
        <w:t>（五）与采购人、其他供应商或者招标代理机构恶意串通的；</w:t>
      </w:r>
    </w:p>
    <w:p w14:paraId="5A244B40">
      <w:pPr>
        <w:spacing w:line="360" w:lineRule="auto"/>
        <w:ind w:firstLine="480" w:firstLineChars="200"/>
        <w:rPr>
          <w:color w:val="auto"/>
          <w:sz w:val="24"/>
          <w:szCs w:val="28"/>
          <w:highlight w:val="none"/>
        </w:rPr>
      </w:pPr>
      <w:r>
        <w:rPr>
          <w:rFonts w:hint="eastAsia"/>
          <w:color w:val="auto"/>
          <w:sz w:val="24"/>
          <w:szCs w:val="28"/>
          <w:highlight w:val="none"/>
        </w:rPr>
        <w:t>（六）磋商有效期内，供应商在政府采购活动中有违法、违规、违纪行为。由此产生的一切法律后果和责任由我公司承担。我公司声明放弃对此提出任何异议和追索的权利。</w:t>
      </w:r>
    </w:p>
    <w:p w14:paraId="302D4E7C">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1C48C0F5">
      <w:pPr>
        <w:spacing w:line="360" w:lineRule="auto"/>
        <w:ind w:firstLine="480" w:firstLineChars="200"/>
        <w:rPr>
          <w:color w:val="auto"/>
          <w:sz w:val="24"/>
          <w:szCs w:val="28"/>
          <w:highlight w:val="none"/>
        </w:rPr>
      </w:pPr>
    </w:p>
    <w:p w14:paraId="344B5B2F">
      <w:pPr>
        <w:spacing w:line="360" w:lineRule="auto"/>
        <w:ind w:firstLine="480" w:firstLineChars="200"/>
        <w:rPr>
          <w:color w:val="auto"/>
          <w:sz w:val="24"/>
          <w:szCs w:val="28"/>
          <w:highlight w:val="none"/>
        </w:rPr>
      </w:pPr>
      <w:bookmarkStart w:id="206" w:name="五、磋商报价明细表"/>
      <w:bookmarkEnd w:id="206"/>
    </w:p>
    <w:p w14:paraId="53EFBD65">
      <w:pPr>
        <w:spacing w:line="360" w:lineRule="auto"/>
        <w:ind w:firstLine="480" w:firstLineChars="200"/>
        <w:rPr>
          <w:color w:val="auto"/>
          <w:sz w:val="24"/>
          <w:szCs w:val="28"/>
          <w:highlight w:val="none"/>
        </w:rPr>
      </w:pPr>
      <w:r>
        <w:rPr>
          <w:rFonts w:hint="eastAsia"/>
          <w:color w:val="auto"/>
          <w:sz w:val="24"/>
          <w:szCs w:val="28"/>
          <w:highlight w:val="none"/>
        </w:rPr>
        <w:t>供应商名称：</w:t>
      </w:r>
      <w:r>
        <w:rPr>
          <w:rFonts w:hint="eastAsia" w:ascii="宋体" w:hAnsi="宋体" w:eastAsia="宋体" w:cs="宋体"/>
          <w:color w:val="auto"/>
          <w:sz w:val="24"/>
          <w:szCs w:val="20"/>
          <w:highlight w:val="none"/>
          <w:u w:val="single"/>
        </w:rPr>
        <w:t xml:space="preserve">                  </w:t>
      </w:r>
      <w:r>
        <w:rPr>
          <w:rFonts w:hint="eastAsia"/>
          <w:color w:val="auto"/>
          <w:sz w:val="24"/>
          <w:szCs w:val="28"/>
          <w:highlight w:val="none"/>
        </w:rPr>
        <w:t xml:space="preserve"> （</w:t>
      </w:r>
      <w:r>
        <w:rPr>
          <w:rFonts w:hint="eastAsia" w:ascii="宋体" w:hAnsi="宋体" w:eastAsia="宋体" w:cs="黑体"/>
          <w:bCs/>
          <w:color w:val="auto"/>
          <w:kern w:val="0"/>
          <w:sz w:val="24"/>
          <w:szCs w:val="21"/>
          <w:highlight w:val="none"/>
        </w:rPr>
        <w:t>电子签章</w:t>
      </w:r>
      <w:r>
        <w:rPr>
          <w:rFonts w:hint="eastAsia"/>
          <w:color w:val="auto"/>
          <w:sz w:val="24"/>
          <w:szCs w:val="28"/>
          <w:highlight w:val="none"/>
        </w:rPr>
        <w:t>）</w:t>
      </w:r>
    </w:p>
    <w:p w14:paraId="0A21E21C">
      <w:pPr>
        <w:spacing w:line="360" w:lineRule="auto"/>
        <w:ind w:firstLine="480" w:firstLineChars="200"/>
        <w:rPr>
          <w:color w:val="auto"/>
          <w:sz w:val="24"/>
          <w:szCs w:val="28"/>
          <w:highlight w:val="none"/>
        </w:rPr>
      </w:pPr>
      <w:r>
        <w:rPr>
          <w:rFonts w:hint="eastAsia"/>
          <w:color w:val="auto"/>
          <w:sz w:val="24"/>
          <w:szCs w:val="28"/>
          <w:highlight w:val="none"/>
        </w:rPr>
        <w:t>法定代表人：</w:t>
      </w:r>
      <w:r>
        <w:rPr>
          <w:rFonts w:hint="eastAsia" w:ascii="宋体" w:hAnsi="宋体" w:eastAsia="宋体" w:cs="宋体"/>
          <w:color w:val="auto"/>
          <w:sz w:val="24"/>
          <w:szCs w:val="20"/>
          <w:highlight w:val="none"/>
          <w:u w:val="single"/>
        </w:rPr>
        <w:t xml:space="preserve">              </w:t>
      </w:r>
      <w:r>
        <w:rPr>
          <w:rFonts w:hint="eastAsia"/>
          <w:color w:val="auto"/>
          <w:sz w:val="24"/>
          <w:szCs w:val="28"/>
          <w:highlight w:val="none"/>
        </w:rPr>
        <w:t xml:space="preserve"> （电子签章</w:t>
      </w:r>
      <w:r>
        <w:rPr>
          <w:rFonts w:hint="eastAsia" w:ascii="宋体" w:hAnsi="宋体" w:eastAsia="宋体" w:cs="宋体"/>
          <w:color w:val="auto"/>
          <w:kern w:val="0"/>
          <w:sz w:val="24"/>
          <w:highlight w:val="none"/>
          <w:lang w:bidi="ar"/>
        </w:rPr>
        <w:t>或签字</w:t>
      </w:r>
      <w:r>
        <w:rPr>
          <w:rFonts w:hint="eastAsia"/>
          <w:color w:val="auto"/>
          <w:sz w:val="24"/>
          <w:szCs w:val="28"/>
          <w:highlight w:val="none"/>
        </w:rPr>
        <w:t>）</w:t>
      </w:r>
    </w:p>
    <w:p w14:paraId="5DCBBFF7">
      <w:pPr>
        <w:spacing w:line="360" w:lineRule="auto"/>
        <w:ind w:firstLine="480" w:firstLineChars="200"/>
        <w:rPr>
          <w:color w:val="auto"/>
          <w:sz w:val="24"/>
          <w:szCs w:val="28"/>
          <w:highlight w:val="none"/>
        </w:rPr>
      </w:pPr>
      <w:r>
        <w:rPr>
          <w:rFonts w:hint="eastAsia"/>
          <w:color w:val="auto"/>
          <w:sz w:val="24"/>
          <w:szCs w:val="28"/>
          <w:highlight w:val="none"/>
        </w:rPr>
        <w:t>日期：</w:t>
      </w:r>
      <w:r>
        <w:rPr>
          <w:rFonts w:hint="eastAsia"/>
          <w:color w:val="auto"/>
          <w:sz w:val="24"/>
          <w:szCs w:val="28"/>
          <w:highlight w:val="none"/>
          <w:u w:val="single"/>
        </w:rPr>
        <w:t xml:space="preserve">        </w:t>
      </w:r>
      <w:r>
        <w:rPr>
          <w:rFonts w:hint="eastAsia"/>
          <w:color w:val="auto"/>
          <w:sz w:val="24"/>
          <w:szCs w:val="28"/>
          <w:highlight w:val="none"/>
        </w:rPr>
        <w:t>年</w:t>
      </w:r>
      <w:r>
        <w:rPr>
          <w:rFonts w:hint="eastAsia"/>
          <w:color w:val="auto"/>
          <w:sz w:val="24"/>
          <w:szCs w:val="28"/>
          <w:highlight w:val="none"/>
          <w:u w:val="single"/>
        </w:rPr>
        <w:t xml:space="preserve">      </w:t>
      </w:r>
      <w:r>
        <w:rPr>
          <w:rFonts w:hint="eastAsia"/>
          <w:color w:val="auto"/>
          <w:sz w:val="24"/>
          <w:szCs w:val="28"/>
          <w:highlight w:val="none"/>
        </w:rPr>
        <w:t>月</w:t>
      </w:r>
      <w:r>
        <w:rPr>
          <w:rFonts w:hint="eastAsia"/>
          <w:color w:val="auto"/>
          <w:sz w:val="24"/>
          <w:szCs w:val="28"/>
          <w:highlight w:val="none"/>
          <w:u w:val="single"/>
        </w:rPr>
        <w:t xml:space="preserve">      </w:t>
      </w:r>
      <w:r>
        <w:rPr>
          <w:rFonts w:hint="eastAsia"/>
          <w:color w:val="auto"/>
          <w:sz w:val="24"/>
          <w:szCs w:val="28"/>
          <w:highlight w:val="none"/>
        </w:rPr>
        <w:t>日</w:t>
      </w:r>
    </w:p>
    <w:p w14:paraId="01749C9A">
      <w:pPr>
        <w:pStyle w:val="4"/>
        <w:jc w:val="center"/>
        <w:rPr>
          <w:color w:val="auto"/>
          <w:highlight w:val="none"/>
        </w:rPr>
      </w:pPr>
      <w:r>
        <w:rPr>
          <w:rFonts w:hint="eastAsia" w:ascii="宋体" w:hAnsi="宋体" w:cs="宋体"/>
          <w:color w:val="auto"/>
          <w:szCs w:val="24"/>
          <w:highlight w:val="none"/>
        </w:rPr>
        <w:br w:type="page"/>
      </w:r>
      <w:bookmarkStart w:id="207" w:name="_Toc244934212"/>
      <w:bookmarkEnd w:id="207"/>
      <w:bookmarkStart w:id="208" w:name="_Hlk3282331"/>
      <w:bookmarkEnd w:id="208"/>
      <w:bookmarkStart w:id="209" w:name="_Toc361989462"/>
      <w:bookmarkEnd w:id="209"/>
      <w:bookmarkStart w:id="210" w:name="_Toc528078071"/>
      <w:bookmarkEnd w:id="210"/>
      <w:bookmarkStart w:id="211" w:name="_Toc23028"/>
      <w:bookmarkStart w:id="212" w:name="_Toc6985"/>
      <w:bookmarkStart w:id="213" w:name="_Toc28663"/>
      <w:r>
        <w:rPr>
          <w:rFonts w:hint="eastAsia"/>
          <w:color w:val="auto"/>
          <w:highlight w:val="none"/>
        </w:rPr>
        <w:t>五、报价明细表</w:t>
      </w:r>
      <w:bookmarkEnd w:id="211"/>
      <w:bookmarkEnd w:id="212"/>
      <w:bookmarkEnd w:id="213"/>
    </w:p>
    <w:tbl>
      <w:tblPr>
        <w:tblStyle w:val="17"/>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940"/>
        <w:gridCol w:w="1425"/>
        <w:gridCol w:w="1301"/>
        <w:gridCol w:w="945"/>
        <w:gridCol w:w="945"/>
        <w:gridCol w:w="1320"/>
        <w:gridCol w:w="1342"/>
        <w:gridCol w:w="850"/>
      </w:tblGrid>
      <w:tr w14:paraId="6C2A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32918E4">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940" w:type="dxa"/>
            <w:tcBorders>
              <w:top w:val="single" w:color="auto" w:sz="4" w:space="0"/>
              <w:left w:val="nil"/>
              <w:bottom w:val="single" w:color="auto" w:sz="4" w:space="0"/>
              <w:right w:val="single" w:color="auto" w:sz="4" w:space="0"/>
            </w:tcBorders>
            <w:vAlign w:val="center"/>
          </w:tcPr>
          <w:p w14:paraId="1A5C89CD">
            <w:pPr>
              <w:rPr>
                <w:rFonts w:ascii="宋体" w:hAnsi="宋体" w:cs="宋体"/>
                <w:color w:val="auto"/>
                <w:sz w:val="24"/>
                <w:szCs w:val="24"/>
                <w:highlight w:val="none"/>
              </w:rPr>
            </w:pPr>
            <w:r>
              <w:rPr>
                <w:rFonts w:hint="eastAsia" w:ascii="宋体" w:hAnsi="宋体" w:eastAsia="宋体" w:cs="宋体"/>
                <w:color w:val="auto"/>
                <w:sz w:val="24"/>
                <w:szCs w:val="24"/>
                <w:highlight w:val="none"/>
              </w:rPr>
              <w:t>货物名称</w:t>
            </w:r>
          </w:p>
        </w:tc>
        <w:tc>
          <w:tcPr>
            <w:tcW w:w="1425" w:type="dxa"/>
            <w:tcBorders>
              <w:top w:val="single" w:color="auto" w:sz="4" w:space="0"/>
              <w:left w:val="nil"/>
              <w:bottom w:val="single" w:color="auto" w:sz="4" w:space="0"/>
              <w:right w:val="single" w:color="auto" w:sz="4" w:space="0"/>
            </w:tcBorders>
            <w:vAlign w:val="center"/>
          </w:tcPr>
          <w:p w14:paraId="70FFDDFF">
            <w:pPr>
              <w:rPr>
                <w:rFonts w:ascii="宋体" w:hAnsi="宋体" w:cs="宋体"/>
                <w:color w:val="auto"/>
                <w:sz w:val="24"/>
                <w:szCs w:val="24"/>
                <w:highlight w:val="none"/>
              </w:rPr>
            </w:pPr>
            <w:r>
              <w:rPr>
                <w:rFonts w:hint="eastAsia" w:ascii="宋体" w:hAnsi="宋体" w:cs="宋体"/>
                <w:color w:val="auto"/>
                <w:sz w:val="24"/>
                <w:szCs w:val="24"/>
                <w:highlight w:val="none"/>
              </w:rPr>
              <w:t>品牌及制造商</w:t>
            </w:r>
          </w:p>
        </w:tc>
        <w:tc>
          <w:tcPr>
            <w:tcW w:w="1301" w:type="dxa"/>
            <w:tcBorders>
              <w:top w:val="single" w:color="auto" w:sz="4" w:space="0"/>
              <w:left w:val="nil"/>
              <w:bottom w:val="single" w:color="auto" w:sz="4" w:space="0"/>
              <w:right w:val="single" w:color="auto" w:sz="4" w:space="0"/>
            </w:tcBorders>
            <w:vAlign w:val="center"/>
          </w:tcPr>
          <w:p w14:paraId="2FFADCAD">
            <w:pPr>
              <w:rPr>
                <w:rFonts w:ascii="宋体" w:hAnsi="宋体" w:cs="宋体"/>
                <w:color w:val="auto"/>
                <w:sz w:val="24"/>
                <w:highlight w:val="none"/>
              </w:rPr>
            </w:pPr>
            <w:r>
              <w:rPr>
                <w:rFonts w:hint="eastAsia" w:ascii="宋体" w:hAnsi="宋体" w:cs="宋体"/>
                <w:color w:val="auto"/>
                <w:sz w:val="24"/>
                <w:szCs w:val="24"/>
                <w:highlight w:val="none"/>
              </w:rPr>
              <w:t>规格型号</w:t>
            </w:r>
          </w:p>
        </w:tc>
        <w:tc>
          <w:tcPr>
            <w:tcW w:w="945" w:type="dxa"/>
            <w:tcBorders>
              <w:top w:val="single" w:color="auto" w:sz="4" w:space="0"/>
              <w:left w:val="nil"/>
              <w:bottom w:val="single" w:color="auto" w:sz="4" w:space="0"/>
              <w:right w:val="single" w:color="auto" w:sz="4" w:space="0"/>
            </w:tcBorders>
            <w:vAlign w:val="center"/>
          </w:tcPr>
          <w:p w14:paraId="4C77C671">
            <w:pPr>
              <w:jc w:val="center"/>
              <w:rPr>
                <w:rFonts w:ascii="宋体" w:hAnsi="宋体" w:cs="黑体"/>
                <w:color w:val="auto"/>
                <w:sz w:val="24"/>
                <w:highlight w:val="none"/>
              </w:rPr>
            </w:pPr>
            <w:r>
              <w:rPr>
                <w:rFonts w:hint="eastAsia" w:ascii="宋体" w:hAnsi="宋体"/>
                <w:color w:val="auto"/>
                <w:sz w:val="24"/>
                <w:highlight w:val="none"/>
              </w:rPr>
              <w:t>单位</w:t>
            </w:r>
          </w:p>
        </w:tc>
        <w:tc>
          <w:tcPr>
            <w:tcW w:w="945" w:type="dxa"/>
            <w:tcBorders>
              <w:top w:val="single" w:color="auto" w:sz="4" w:space="0"/>
              <w:left w:val="nil"/>
              <w:bottom w:val="single" w:color="auto" w:sz="4" w:space="0"/>
              <w:right w:val="single" w:color="auto" w:sz="4" w:space="0"/>
            </w:tcBorders>
            <w:vAlign w:val="center"/>
          </w:tcPr>
          <w:p w14:paraId="4C6803C6">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1320" w:type="dxa"/>
            <w:tcBorders>
              <w:top w:val="single" w:color="auto" w:sz="4" w:space="0"/>
              <w:left w:val="nil"/>
              <w:bottom w:val="single" w:color="auto" w:sz="4" w:space="0"/>
              <w:right w:val="single" w:color="auto" w:sz="4" w:space="0"/>
            </w:tcBorders>
            <w:vAlign w:val="center"/>
          </w:tcPr>
          <w:p w14:paraId="630D7E0F">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1342" w:type="dxa"/>
            <w:tcBorders>
              <w:top w:val="single" w:color="auto" w:sz="4" w:space="0"/>
              <w:left w:val="nil"/>
              <w:bottom w:val="single" w:color="auto" w:sz="4" w:space="0"/>
              <w:right w:val="single" w:color="auto" w:sz="4" w:space="0"/>
            </w:tcBorders>
            <w:vAlign w:val="center"/>
          </w:tcPr>
          <w:p w14:paraId="01CEE467">
            <w:pPr>
              <w:jc w:val="center"/>
              <w:rPr>
                <w:rFonts w:ascii="宋体" w:hAnsi="宋体" w:cs="宋体"/>
                <w:color w:val="auto"/>
                <w:sz w:val="24"/>
                <w:highlight w:val="none"/>
              </w:rPr>
            </w:pPr>
            <w:r>
              <w:rPr>
                <w:rFonts w:hint="eastAsia" w:ascii="宋体" w:hAnsi="宋体" w:cs="宋体"/>
                <w:color w:val="auto"/>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67DB1F9F">
            <w:pPr>
              <w:jc w:val="center"/>
              <w:rPr>
                <w:rFonts w:ascii="宋体" w:hAnsi="宋体" w:cs="宋体"/>
                <w:color w:val="auto"/>
                <w:sz w:val="24"/>
                <w:highlight w:val="none"/>
              </w:rPr>
            </w:pPr>
            <w:r>
              <w:rPr>
                <w:rFonts w:hint="eastAsia" w:ascii="宋体" w:hAnsi="宋体" w:cs="宋体"/>
                <w:color w:val="auto"/>
                <w:sz w:val="24"/>
                <w:highlight w:val="none"/>
              </w:rPr>
              <w:t>备注</w:t>
            </w:r>
          </w:p>
        </w:tc>
      </w:tr>
      <w:tr w14:paraId="57A1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53CF784">
            <w:pPr>
              <w:jc w:val="center"/>
              <w:rPr>
                <w:rFonts w:ascii="宋体" w:hAnsi="宋体" w:cs="宋体"/>
                <w:color w:val="auto"/>
                <w:sz w:val="24"/>
                <w:highlight w:val="none"/>
              </w:rPr>
            </w:pPr>
            <w:r>
              <w:rPr>
                <w:rFonts w:hint="eastAsia" w:ascii="宋体" w:hAnsi="宋体" w:cs="宋体"/>
                <w:color w:val="auto"/>
                <w:sz w:val="24"/>
                <w:highlight w:val="none"/>
              </w:rPr>
              <w:t>1</w:t>
            </w:r>
          </w:p>
        </w:tc>
        <w:tc>
          <w:tcPr>
            <w:tcW w:w="940" w:type="dxa"/>
            <w:tcBorders>
              <w:top w:val="single" w:color="auto" w:sz="4" w:space="0"/>
              <w:left w:val="nil"/>
              <w:bottom w:val="single" w:color="auto" w:sz="4" w:space="0"/>
              <w:right w:val="single" w:color="auto" w:sz="4" w:space="0"/>
            </w:tcBorders>
            <w:vAlign w:val="center"/>
          </w:tcPr>
          <w:p w14:paraId="5A9CA977">
            <w:pPr>
              <w:jc w:val="center"/>
              <w:rPr>
                <w:rFonts w:ascii="宋体" w:hAnsi="宋体" w:cs="宋体"/>
                <w:color w:val="auto"/>
                <w:sz w:val="24"/>
                <w:highlight w:val="none"/>
              </w:rPr>
            </w:pPr>
          </w:p>
        </w:tc>
        <w:tc>
          <w:tcPr>
            <w:tcW w:w="1425" w:type="dxa"/>
            <w:tcBorders>
              <w:top w:val="single" w:color="auto" w:sz="4" w:space="0"/>
              <w:left w:val="nil"/>
              <w:bottom w:val="single" w:color="auto" w:sz="4" w:space="0"/>
              <w:right w:val="single" w:color="auto" w:sz="4" w:space="0"/>
            </w:tcBorders>
            <w:vAlign w:val="center"/>
          </w:tcPr>
          <w:p w14:paraId="7E030927">
            <w:pPr>
              <w:jc w:val="center"/>
              <w:rPr>
                <w:rFonts w:ascii="宋体" w:hAnsi="宋体" w:cs="宋体"/>
                <w:color w:val="auto"/>
                <w:sz w:val="24"/>
                <w:highlight w:val="none"/>
              </w:rPr>
            </w:pPr>
          </w:p>
        </w:tc>
        <w:tc>
          <w:tcPr>
            <w:tcW w:w="1301" w:type="dxa"/>
            <w:tcBorders>
              <w:top w:val="single" w:color="auto" w:sz="4" w:space="0"/>
              <w:left w:val="nil"/>
              <w:bottom w:val="single" w:color="auto" w:sz="4" w:space="0"/>
              <w:right w:val="single" w:color="auto" w:sz="4" w:space="0"/>
            </w:tcBorders>
            <w:vAlign w:val="center"/>
          </w:tcPr>
          <w:p w14:paraId="4332F5C5">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3668A3F5">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71450747">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58CFEFC6">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422AEE13">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6EB9F73">
            <w:pPr>
              <w:jc w:val="center"/>
              <w:rPr>
                <w:rFonts w:ascii="宋体" w:hAnsi="宋体" w:cs="宋体"/>
                <w:color w:val="auto"/>
                <w:sz w:val="24"/>
                <w:highlight w:val="none"/>
              </w:rPr>
            </w:pPr>
          </w:p>
        </w:tc>
      </w:tr>
      <w:tr w14:paraId="36A2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86A1221">
            <w:pPr>
              <w:jc w:val="center"/>
              <w:rPr>
                <w:rFonts w:ascii="宋体" w:hAnsi="宋体" w:cs="宋体"/>
                <w:color w:val="auto"/>
                <w:sz w:val="24"/>
                <w:highlight w:val="none"/>
              </w:rPr>
            </w:pPr>
            <w:r>
              <w:rPr>
                <w:rFonts w:hint="eastAsia" w:ascii="宋体" w:hAnsi="宋体" w:cs="宋体"/>
                <w:color w:val="auto"/>
                <w:sz w:val="24"/>
                <w:highlight w:val="none"/>
              </w:rPr>
              <w:t>2</w:t>
            </w:r>
          </w:p>
        </w:tc>
        <w:tc>
          <w:tcPr>
            <w:tcW w:w="940" w:type="dxa"/>
            <w:tcBorders>
              <w:top w:val="single" w:color="auto" w:sz="4" w:space="0"/>
              <w:left w:val="nil"/>
              <w:bottom w:val="single" w:color="auto" w:sz="4" w:space="0"/>
              <w:right w:val="single" w:color="auto" w:sz="4" w:space="0"/>
            </w:tcBorders>
            <w:vAlign w:val="center"/>
          </w:tcPr>
          <w:p w14:paraId="51061027">
            <w:pPr>
              <w:jc w:val="center"/>
              <w:rPr>
                <w:rFonts w:ascii="宋体" w:hAnsi="宋体" w:cs="宋体"/>
                <w:color w:val="auto"/>
                <w:sz w:val="24"/>
                <w:highlight w:val="none"/>
              </w:rPr>
            </w:pPr>
          </w:p>
        </w:tc>
        <w:tc>
          <w:tcPr>
            <w:tcW w:w="1425" w:type="dxa"/>
            <w:tcBorders>
              <w:top w:val="single" w:color="auto" w:sz="4" w:space="0"/>
              <w:left w:val="nil"/>
              <w:bottom w:val="single" w:color="auto" w:sz="4" w:space="0"/>
              <w:right w:val="single" w:color="auto" w:sz="4" w:space="0"/>
            </w:tcBorders>
            <w:vAlign w:val="center"/>
          </w:tcPr>
          <w:p w14:paraId="0C0D4A69">
            <w:pPr>
              <w:jc w:val="center"/>
              <w:rPr>
                <w:rFonts w:ascii="宋体" w:hAnsi="宋体" w:cs="宋体"/>
                <w:color w:val="auto"/>
                <w:sz w:val="24"/>
                <w:highlight w:val="none"/>
              </w:rPr>
            </w:pPr>
          </w:p>
        </w:tc>
        <w:tc>
          <w:tcPr>
            <w:tcW w:w="1301" w:type="dxa"/>
            <w:tcBorders>
              <w:top w:val="single" w:color="auto" w:sz="4" w:space="0"/>
              <w:left w:val="nil"/>
              <w:bottom w:val="single" w:color="auto" w:sz="4" w:space="0"/>
              <w:right w:val="single" w:color="auto" w:sz="4" w:space="0"/>
            </w:tcBorders>
            <w:vAlign w:val="center"/>
          </w:tcPr>
          <w:p w14:paraId="3A064739">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6B52468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5ACC608C">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32074D83">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0FA04D8">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18FEF9B">
            <w:pPr>
              <w:jc w:val="center"/>
              <w:rPr>
                <w:rFonts w:ascii="宋体" w:hAnsi="宋体" w:cs="宋体"/>
                <w:color w:val="auto"/>
                <w:sz w:val="24"/>
                <w:highlight w:val="none"/>
              </w:rPr>
            </w:pPr>
          </w:p>
        </w:tc>
      </w:tr>
      <w:tr w14:paraId="6F35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EBF2DD5">
            <w:pPr>
              <w:jc w:val="center"/>
              <w:rPr>
                <w:rFonts w:ascii="宋体" w:hAnsi="宋体" w:cs="宋体"/>
                <w:color w:val="auto"/>
                <w:sz w:val="24"/>
                <w:highlight w:val="none"/>
              </w:rPr>
            </w:pPr>
            <w:r>
              <w:rPr>
                <w:rFonts w:hint="eastAsia" w:ascii="宋体" w:hAnsi="宋体" w:cs="宋体"/>
                <w:color w:val="auto"/>
                <w:sz w:val="24"/>
                <w:highlight w:val="none"/>
              </w:rPr>
              <w:t>3</w:t>
            </w:r>
          </w:p>
        </w:tc>
        <w:tc>
          <w:tcPr>
            <w:tcW w:w="940" w:type="dxa"/>
            <w:tcBorders>
              <w:top w:val="single" w:color="auto" w:sz="4" w:space="0"/>
              <w:left w:val="nil"/>
              <w:bottom w:val="single" w:color="auto" w:sz="4" w:space="0"/>
              <w:right w:val="single" w:color="auto" w:sz="4" w:space="0"/>
            </w:tcBorders>
            <w:vAlign w:val="center"/>
          </w:tcPr>
          <w:p w14:paraId="4998EE28">
            <w:pPr>
              <w:jc w:val="center"/>
              <w:rPr>
                <w:rFonts w:ascii="宋体" w:hAnsi="宋体" w:cs="宋体"/>
                <w:color w:val="auto"/>
                <w:sz w:val="24"/>
                <w:highlight w:val="none"/>
              </w:rPr>
            </w:pPr>
          </w:p>
        </w:tc>
        <w:tc>
          <w:tcPr>
            <w:tcW w:w="1425" w:type="dxa"/>
            <w:tcBorders>
              <w:top w:val="single" w:color="auto" w:sz="4" w:space="0"/>
              <w:left w:val="nil"/>
              <w:bottom w:val="single" w:color="auto" w:sz="4" w:space="0"/>
              <w:right w:val="single" w:color="auto" w:sz="4" w:space="0"/>
            </w:tcBorders>
            <w:vAlign w:val="center"/>
          </w:tcPr>
          <w:p w14:paraId="09F83C8C">
            <w:pPr>
              <w:jc w:val="center"/>
              <w:rPr>
                <w:rFonts w:ascii="宋体" w:hAnsi="宋体" w:cs="宋体"/>
                <w:color w:val="auto"/>
                <w:sz w:val="24"/>
                <w:highlight w:val="none"/>
              </w:rPr>
            </w:pPr>
          </w:p>
        </w:tc>
        <w:tc>
          <w:tcPr>
            <w:tcW w:w="1301" w:type="dxa"/>
            <w:tcBorders>
              <w:top w:val="single" w:color="auto" w:sz="4" w:space="0"/>
              <w:left w:val="nil"/>
              <w:bottom w:val="single" w:color="auto" w:sz="4" w:space="0"/>
              <w:right w:val="single" w:color="auto" w:sz="4" w:space="0"/>
            </w:tcBorders>
            <w:vAlign w:val="center"/>
          </w:tcPr>
          <w:p w14:paraId="23E776BC">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74D9D503">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3F79762">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7F45B841">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C59D2A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981AECC">
            <w:pPr>
              <w:jc w:val="center"/>
              <w:rPr>
                <w:rFonts w:ascii="宋体" w:hAnsi="宋体" w:cs="宋体"/>
                <w:color w:val="auto"/>
                <w:sz w:val="24"/>
                <w:highlight w:val="none"/>
              </w:rPr>
            </w:pPr>
          </w:p>
        </w:tc>
      </w:tr>
      <w:tr w14:paraId="56D9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46190AF">
            <w:pPr>
              <w:jc w:val="center"/>
              <w:rPr>
                <w:rFonts w:ascii="宋体" w:hAnsi="宋体" w:cs="宋体"/>
                <w:color w:val="auto"/>
                <w:sz w:val="24"/>
                <w:highlight w:val="none"/>
              </w:rPr>
            </w:pPr>
            <w:r>
              <w:rPr>
                <w:rFonts w:hint="eastAsia" w:ascii="宋体" w:hAnsi="宋体" w:cs="宋体"/>
                <w:color w:val="auto"/>
                <w:sz w:val="24"/>
                <w:highlight w:val="none"/>
              </w:rPr>
              <w:t>4</w:t>
            </w:r>
          </w:p>
        </w:tc>
        <w:tc>
          <w:tcPr>
            <w:tcW w:w="940" w:type="dxa"/>
            <w:tcBorders>
              <w:top w:val="single" w:color="auto" w:sz="4" w:space="0"/>
              <w:left w:val="nil"/>
              <w:bottom w:val="single" w:color="auto" w:sz="4" w:space="0"/>
              <w:right w:val="single" w:color="auto" w:sz="4" w:space="0"/>
            </w:tcBorders>
            <w:vAlign w:val="center"/>
          </w:tcPr>
          <w:p w14:paraId="4F72D8E0">
            <w:pPr>
              <w:jc w:val="center"/>
              <w:rPr>
                <w:rFonts w:ascii="宋体" w:hAnsi="宋体" w:cs="宋体"/>
                <w:color w:val="auto"/>
                <w:sz w:val="24"/>
                <w:highlight w:val="none"/>
              </w:rPr>
            </w:pPr>
          </w:p>
        </w:tc>
        <w:tc>
          <w:tcPr>
            <w:tcW w:w="1425" w:type="dxa"/>
            <w:tcBorders>
              <w:top w:val="single" w:color="auto" w:sz="4" w:space="0"/>
              <w:left w:val="nil"/>
              <w:bottom w:val="single" w:color="auto" w:sz="4" w:space="0"/>
              <w:right w:val="single" w:color="auto" w:sz="4" w:space="0"/>
            </w:tcBorders>
            <w:vAlign w:val="center"/>
          </w:tcPr>
          <w:p w14:paraId="351ADF50">
            <w:pPr>
              <w:jc w:val="center"/>
              <w:rPr>
                <w:rFonts w:ascii="宋体" w:hAnsi="宋体" w:cs="宋体"/>
                <w:color w:val="auto"/>
                <w:sz w:val="24"/>
                <w:highlight w:val="none"/>
              </w:rPr>
            </w:pPr>
          </w:p>
        </w:tc>
        <w:tc>
          <w:tcPr>
            <w:tcW w:w="1301" w:type="dxa"/>
            <w:tcBorders>
              <w:top w:val="single" w:color="auto" w:sz="4" w:space="0"/>
              <w:left w:val="nil"/>
              <w:bottom w:val="single" w:color="auto" w:sz="4" w:space="0"/>
              <w:right w:val="single" w:color="auto" w:sz="4" w:space="0"/>
            </w:tcBorders>
            <w:vAlign w:val="center"/>
          </w:tcPr>
          <w:p w14:paraId="7002AEC4">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6664D9C">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7B8BD07">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9A041E0">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4AEA2E8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836FE43">
            <w:pPr>
              <w:jc w:val="center"/>
              <w:rPr>
                <w:rFonts w:ascii="宋体" w:hAnsi="宋体" w:cs="宋体"/>
                <w:color w:val="auto"/>
                <w:sz w:val="24"/>
                <w:highlight w:val="none"/>
              </w:rPr>
            </w:pPr>
          </w:p>
        </w:tc>
      </w:tr>
      <w:tr w14:paraId="4A46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CD278CF">
            <w:pPr>
              <w:jc w:val="center"/>
              <w:rPr>
                <w:rFonts w:ascii="宋体" w:hAnsi="宋体" w:cs="宋体"/>
                <w:color w:val="auto"/>
                <w:sz w:val="24"/>
                <w:highlight w:val="none"/>
              </w:rPr>
            </w:pPr>
            <w:r>
              <w:rPr>
                <w:rFonts w:hint="eastAsia" w:ascii="宋体" w:hAnsi="宋体" w:cs="宋体"/>
                <w:color w:val="auto"/>
                <w:sz w:val="24"/>
                <w:highlight w:val="none"/>
              </w:rPr>
              <w:t>5</w:t>
            </w:r>
          </w:p>
        </w:tc>
        <w:tc>
          <w:tcPr>
            <w:tcW w:w="940" w:type="dxa"/>
            <w:tcBorders>
              <w:top w:val="single" w:color="auto" w:sz="4" w:space="0"/>
              <w:left w:val="nil"/>
              <w:bottom w:val="single" w:color="auto" w:sz="4" w:space="0"/>
              <w:right w:val="single" w:color="auto" w:sz="4" w:space="0"/>
            </w:tcBorders>
            <w:vAlign w:val="center"/>
          </w:tcPr>
          <w:p w14:paraId="09C08C73">
            <w:pPr>
              <w:jc w:val="center"/>
              <w:rPr>
                <w:rFonts w:ascii="宋体" w:hAnsi="宋体" w:cs="宋体"/>
                <w:color w:val="auto"/>
                <w:sz w:val="24"/>
                <w:highlight w:val="none"/>
              </w:rPr>
            </w:pPr>
          </w:p>
        </w:tc>
        <w:tc>
          <w:tcPr>
            <w:tcW w:w="1425" w:type="dxa"/>
            <w:tcBorders>
              <w:top w:val="single" w:color="auto" w:sz="4" w:space="0"/>
              <w:left w:val="nil"/>
              <w:bottom w:val="single" w:color="auto" w:sz="4" w:space="0"/>
              <w:right w:val="single" w:color="auto" w:sz="4" w:space="0"/>
            </w:tcBorders>
            <w:vAlign w:val="center"/>
          </w:tcPr>
          <w:p w14:paraId="736EA67E">
            <w:pPr>
              <w:jc w:val="center"/>
              <w:rPr>
                <w:rFonts w:ascii="宋体" w:hAnsi="宋体" w:cs="宋体"/>
                <w:color w:val="auto"/>
                <w:sz w:val="24"/>
                <w:highlight w:val="none"/>
              </w:rPr>
            </w:pPr>
          </w:p>
        </w:tc>
        <w:tc>
          <w:tcPr>
            <w:tcW w:w="1301" w:type="dxa"/>
            <w:tcBorders>
              <w:top w:val="single" w:color="auto" w:sz="4" w:space="0"/>
              <w:left w:val="nil"/>
              <w:bottom w:val="single" w:color="auto" w:sz="4" w:space="0"/>
              <w:right w:val="single" w:color="auto" w:sz="4" w:space="0"/>
            </w:tcBorders>
            <w:vAlign w:val="center"/>
          </w:tcPr>
          <w:p w14:paraId="740B9482">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376F610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67D5809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5F9A2D61">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E09AC14">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CF0AE32">
            <w:pPr>
              <w:jc w:val="center"/>
              <w:rPr>
                <w:rFonts w:ascii="宋体" w:hAnsi="宋体" w:cs="宋体"/>
                <w:color w:val="auto"/>
                <w:sz w:val="24"/>
                <w:highlight w:val="none"/>
              </w:rPr>
            </w:pPr>
          </w:p>
        </w:tc>
      </w:tr>
      <w:tr w14:paraId="27D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32BF2A7">
            <w:pPr>
              <w:jc w:val="center"/>
              <w:rPr>
                <w:rFonts w:ascii="宋体" w:hAnsi="宋体" w:cs="宋体"/>
                <w:color w:val="auto"/>
                <w:sz w:val="24"/>
                <w:highlight w:val="none"/>
              </w:rPr>
            </w:pPr>
            <w:r>
              <w:rPr>
                <w:rFonts w:hint="eastAsia" w:ascii="宋体" w:hAnsi="宋体" w:cs="宋体"/>
                <w:color w:val="auto"/>
                <w:sz w:val="24"/>
                <w:highlight w:val="none"/>
              </w:rPr>
              <w:t>6</w:t>
            </w:r>
          </w:p>
        </w:tc>
        <w:tc>
          <w:tcPr>
            <w:tcW w:w="940" w:type="dxa"/>
            <w:tcBorders>
              <w:top w:val="single" w:color="auto" w:sz="4" w:space="0"/>
              <w:left w:val="nil"/>
              <w:bottom w:val="single" w:color="auto" w:sz="4" w:space="0"/>
              <w:right w:val="single" w:color="auto" w:sz="4" w:space="0"/>
            </w:tcBorders>
            <w:vAlign w:val="center"/>
          </w:tcPr>
          <w:p w14:paraId="647D3F05">
            <w:pPr>
              <w:jc w:val="center"/>
              <w:rPr>
                <w:rFonts w:ascii="宋体" w:hAnsi="宋体" w:cs="宋体"/>
                <w:color w:val="auto"/>
                <w:sz w:val="24"/>
                <w:highlight w:val="none"/>
              </w:rPr>
            </w:pPr>
          </w:p>
        </w:tc>
        <w:tc>
          <w:tcPr>
            <w:tcW w:w="1425" w:type="dxa"/>
            <w:tcBorders>
              <w:top w:val="single" w:color="auto" w:sz="4" w:space="0"/>
              <w:left w:val="nil"/>
              <w:bottom w:val="single" w:color="auto" w:sz="4" w:space="0"/>
              <w:right w:val="single" w:color="auto" w:sz="4" w:space="0"/>
            </w:tcBorders>
            <w:vAlign w:val="center"/>
          </w:tcPr>
          <w:p w14:paraId="58C0154F">
            <w:pPr>
              <w:jc w:val="center"/>
              <w:rPr>
                <w:rFonts w:ascii="宋体" w:hAnsi="宋体" w:cs="宋体"/>
                <w:color w:val="auto"/>
                <w:sz w:val="24"/>
                <w:highlight w:val="none"/>
              </w:rPr>
            </w:pPr>
          </w:p>
        </w:tc>
        <w:tc>
          <w:tcPr>
            <w:tcW w:w="1301" w:type="dxa"/>
            <w:tcBorders>
              <w:top w:val="single" w:color="auto" w:sz="4" w:space="0"/>
              <w:left w:val="nil"/>
              <w:bottom w:val="single" w:color="auto" w:sz="4" w:space="0"/>
              <w:right w:val="single" w:color="auto" w:sz="4" w:space="0"/>
            </w:tcBorders>
            <w:vAlign w:val="center"/>
          </w:tcPr>
          <w:p w14:paraId="780DA430">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46598B18">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34F7759C">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828D364">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2FA8CF7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29066E1">
            <w:pPr>
              <w:jc w:val="center"/>
              <w:rPr>
                <w:rFonts w:ascii="宋体" w:hAnsi="宋体" w:cs="宋体"/>
                <w:color w:val="auto"/>
                <w:sz w:val="24"/>
                <w:highlight w:val="none"/>
              </w:rPr>
            </w:pPr>
          </w:p>
        </w:tc>
      </w:tr>
      <w:tr w14:paraId="6DDC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D70E1E2">
            <w:pPr>
              <w:jc w:val="center"/>
              <w:rPr>
                <w:rFonts w:ascii="宋体" w:hAnsi="宋体" w:cs="宋体"/>
                <w:color w:val="auto"/>
                <w:sz w:val="24"/>
                <w:highlight w:val="none"/>
              </w:rPr>
            </w:pPr>
            <w:r>
              <w:rPr>
                <w:rFonts w:hint="eastAsia" w:ascii="宋体" w:hAnsi="宋体" w:cs="宋体"/>
                <w:color w:val="auto"/>
                <w:sz w:val="24"/>
                <w:highlight w:val="none"/>
              </w:rPr>
              <w:t>7</w:t>
            </w:r>
          </w:p>
        </w:tc>
        <w:tc>
          <w:tcPr>
            <w:tcW w:w="940" w:type="dxa"/>
            <w:tcBorders>
              <w:top w:val="single" w:color="auto" w:sz="4" w:space="0"/>
              <w:left w:val="nil"/>
              <w:bottom w:val="single" w:color="auto" w:sz="4" w:space="0"/>
              <w:right w:val="single" w:color="auto" w:sz="4" w:space="0"/>
            </w:tcBorders>
            <w:vAlign w:val="center"/>
          </w:tcPr>
          <w:p w14:paraId="7E92FC6E">
            <w:pPr>
              <w:jc w:val="center"/>
              <w:rPr>
                <w:rFonts w:ascii="宋体" w:hAnsi="宋体" w:cs="宋体"/>
                <w:color w:val="auto"/>
                <w:sz w:val="24"/>
                <w:highlight w:val="none"/>
              </w:rPr>
            </w:pPr>
          </w:p>
        </w:tc>
        <w:tc>
          <w:tcPr>
            <w:tcW w:w="1425" w:type="dxa"/>
            <w:tcBorders>
              <w:top w:val="single" w:color="auto" w:sz="4" w:space="0"/>
              <w:left w:val="nil"/>
              <w:bottom w:val="single" w:color="auto" w:sz="4" w:space="0"/>
              <w:right w:val="single" w:color="auto" w:sz="4" w:space="0"/>
            </w:tcBorders>
            <w:vAlign w:val="center"/>
          </w:tcPr>
          <w:p w14:paraId="3F0D0AF0">
            <w:pPr>
              <w:jc w:val="center"/>
              <w:rPr>
                <w:rFonts w:ascii="宋体" w:hAnsi="宋体" w:cs="宋体"/>
                <w:color w:val="auto"/>
                <w:sz w:val="24"/>
                <w:highlight w:val="none"/>
              </w:rPr>
            </w:pPr>
          </w:p>
        </w:tc>
        <w:tc>
          <w:tcPr>
            <w:tcW w:w="1301" w:type="dxa"/>
            <w:tcBorders>
              <w:top w:val="single" w:color="auto" w:sz="4" w:space="0"/>
              <w:left w:val="nil"/>
              <w:bottom w:val="single" w:color="auto" w:sz="4" w:space="0"/>
              <w:right w:val="single" w:color="auto" w:sz="4" w:space="0"/>
            </w:tcBorders>
            <w:vAlign w:val="center"/>
          </w:tcPr>
          <w:p w14:paraId="5F31F3CE">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4200B84">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68EE11B0">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A55B04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2041B8C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0FB236B">
            <w:pPr>
              <w:jc w:val="center"/>
              <w:rPr>
                <w:rFonts w:ascii="宋体" w:hAnsi="宋体" w:cs="宋体"/>
                <w:color w:val="auto"/>
                <w:sz w:val="24"/>
                <w:highlight w:val="none"/>
              </w:rPr>
            </w:pPr>
          </w:p>
        </w:tc>
      </w:tr>
      <w:tr w14:paraId="1BE4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CB1E0B5">
            <w:pPr>
              <w:jc w:val="center"/>
              <w:rPr>
                <w:rFonts w:ascii="宋体" w:hAnsi="宋体" w:cs="宋体"/>
                <w:color w:val="auto"/>
                <w:sz w:val="24"/>
                <w:highlight w:val="none"/>
              </w:rPr>
            </w:pPr>
            <w:r>
              <w:rPr>
                <w:rFonts w:hint="eastAsia" w:ascii="宋体" w:hAnsi="宋体" w:cs="宋体"/>
                <w:color w:val="auto"/>
                <w:sz w:val="24"/>
                <w:highlight w:val="none"/>
              </w:rPr>
              <w:t>8</w:t>
            </w:r>
          </w:p>
        </w:tc>
        <w:tc>
          <w:tcPr>
            <w:tcW w:w="940" w:type="dxa"/>
            <w:tcBorders>
              <w:top w:val="single" w:color="auto" w:sz="4" w:space="0"/>
              <w:left w:val="nil"/>
              <w:bottom w:val="single" w:color="auto" w:sz="4" w:space="0"/>
              <w:right w:val="single" w:color="auto" w:sz="4" w:space="0"/>
            </w:tcBorders>
            <w:vAlign w:val="center"/>
          </w:tcPr>
          <w:p w14:paraId="496795FD">
            <w:pPr>
              <w:jc w:val="center"/>
              <w:rPr>
                <w:rFonts w:ascii="宋体" w:hAnsi="宋体" w:cs="宋体"/>
                <w:color w:val="auto"/>
                <w:sz w:val="24"/>
                <w:highlight w:val="none"/>
              </w:rPr>
            </w:pPr>
          </w:p>
        </w:tc>
        <w:tc>
          <w:tcPr>
            <w:tcW w:w="1425" w:type="dxa"/>
            <w:tcBorders>
              <w:top w:val="single" w:color="auto" w:sz="4" w:space="0"/>
              <w:left w:val="nil"/>
              <w:bottom w:val="single" w:color="auto" w:sz="4" w:space="0"/>
              <w:right w:val="single" w:color="auto" w:sz="4" w:space="0"/>
            </w:tcBorders>
            <w:vAlign w:val="center"/>
          </w:tcPr>
          <w:p w14:paraId="508F8FE2">
            <w:pPr>
              <w:jc w:val="center"/>
              <w:rPr>
                <w:rFonts w:ascii="宋体" w:hAnsi="宋体" w:cs="宋体"/>
                <w:color w:val="auto"/>
                <w:sz w:val="24"/>
                <w:highlight w:val="none"/>
              </w:rPr>
            </w:pPr>
          </w:p>
        </w:tc>
        <w:tc>
          <w:tcPr>
            <w:tcW w:w="1301" w:type="dxa"/>
            <w:tcBorders>
              <w:top w:val="single" w:color="auto" w:sz="4" w:space="0"/>
              <w:left w:val="nil"/>
              <w:bottom w:val="single" w:color="auto" w:sz="4" w:space="0"/>
              <w:right w:val="single" w:color="auto" w:sz="4" w:space="0"/>
            </w:tcBorders>
            <w:vAlign w:val="center"/>
          </w:tcPr>
          <w:p w14:paraId="59EC417F">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45C68215">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E085EB6">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15BD477">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4452255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159FB91">
            <w:pPr>
              <w:jc w:val="center"/>
              <w:rPr>
                <w:rFonts w:ascii="宋体" w:hAnsi="宋体" w:cs="宋体"/>
                <w:color w:val="auto"/>
                <w:sz w:val="24"/>
                <w:highlight w:val="none"/>
              </w:rPr>
            </w:pPr>
          </w:p>
        </w:tc>
      </w:tr>
      <w:tr w14:paraId="67D5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AE0E757">
            <w:pPr>
              <w:jc w:val="center"/>
              <w:rPr>
                <w:color w:val="auto"/>
                <w:highlight w:val="none"/>
              </w:rPr>
            </w:pPr>
            <w:r>
              <w:rPr>
                <w:rFonts w:hint="eastAsia"/>
                <w:color w:val="auto"/>
                <w:highlight w:val="none"/>
              </w:rPr>
              <w:t>...</w:t>
            </w:r>
          </w:p>
          <w:p w14:paraId="11627494">
            <w:pPr>
              <w:jc w:val="center"/>
              <w:rPr>
                <w:color w:val="auto"/>
                <w:highlight w:val="none"/>
              </w:rPr>
            </w:pPr>
            <w:r>
              <w:rPr>
                <w:rFonts w:hint="eastAsia" w:ascii="宋体" w:hAnsi="宋体" w:eastAsia="宋体" w:cs="宋体"/>
                <w:color w:val="auto"/>
                <w:sz w:val="24"/>
                <w:szCs w:val="24"/>
                <w:highlight w:val="none"/>
              </w:rPr>
              <w:t>自行补充</w:t>
            </w:r>
          </w:p>
        </w:tc>
        <w:tc>
          <w:tcPr>
            <w:tcW w:w="940" w:type="dxa"/>
            <w:tcBorders>
              <w:top w:val="single" w:color="auto" w:sz="4" w:space="0"/>
              <w:left w:val="nil"/>
              <w:bottom w:val="single" w:color="auto" w:sz="4" w:space="0"/>
              <w:right w:val="single" w:color="auto" w:sz="4" w:space="0"/>
            </w:tcBorders>
            <w:vAlign w:val="center"/>
          </w:tcPr>
          <w:p w14:paraId="6DF5D3C6">
            <w:pPr>
              <w:jc w:val="center"/>
              <w:rPr>
                <w:rFonts w:ascii="宋体" w:hAnsi="宋体" w:cs="宋体"/>
                <w:color w:val="auto"/>
                <w:sz w:val="24"/>
                <w:highlight w:val="none"/>
              </w:rPr>
            </w:pPr>
          </w:p>
        </w:tc>
        <w:tc>
          <w:tcPr>
            <w:tcW w:w="1425" w:type="dxa"/>
            <w:tcBorders>
              <w:top w:val="single" w:color="auto" w:sz="4" w:space="0"/>
              <w:left w:val="nil"/>
              <w:bottom w:val="single" w:color="auto" w:sz="4" w:space="0"/>
              <w:right w:val="single" w:color="auto" w:sz="4" w:space="0"/>
            </w:tcBorders>
            <w:vAlign w:val="center"/>
          </w:tcPr>
          <w:p w14:paraId="682EFA16">
            <w:pPr>
              <w:jc w:val="center"/>
              <w:rPr>
                <w:rFonts w:ascii="宋体" w:hAnsi="宋体" w:cs="宋体"/>
                <w:color w:val="auto"/>
                <w:sz w:val="24"/>
                <w:highlight w:val="none"/>
              </w:rPr>
            </w:pPr>
          </w:p>
        </w:tc>
        <w:tc>
          <w:tcPr>
            <w:tcW w:w="1301" w:type="dxa"/>
            <w:tcBorders>
              <w:top w:val="single" w:color="auto" w:sz="4" w:space="0"/>
              <w:left w:val="nil"/>
              <w:bottom w:val="single" w:color="auto" w:sz="4" w:space="0"/>
              <w:right w:val="single" w:color="auto" w:sz="4" w:space="0"/>
            </w:tcBorders>
            <w:vAlign w:val="center"/>
          </w:tcPr>
          <w:p w14:paraId="1B5EA854">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F556ED9">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00694E43">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70A2AC0D">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7585433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06AA06E">
            <w:pPr>
              <w:jc w:val="center"/>
              <w:rPr>
                <w:rFonts w:ascii="宋体" w:hAnsi="宋体" w:cs="宋体"/>
                <w:color w:val="auto"/>
                <w:sz w:val="24"/>
                <w:highlight w:val="none"/>
              </w:rPr>
            </w:pPr>
          </w:p>
        </w:tc>
      </w:tr>
      <w:tr w14:paraId="044C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85" w:type="dxa"/>
            <w:gridSpan w:val="2"/>
            <w:tcBorders>
              <w:top w:val="single" w:color="auto" w:sz="4" w:space="0"/>
              <w:left w:val="single" w:color="auto" w:sz="4" w:space="0"/>
              <w:bottom w:val="single" w:color="auto" w:sz="4" w:space="0"/>
              <w:right w:val="single" w:color="auto" w:sz="4" w:space="0"/>
            </w:tcBorders>
            <w:vAlign w:val="center"/>
          </w:tcPr>
          <w:p w14:paraId="33D62B39">
            <w:pPr>
              <w:jc w:val="center"/>
              <w:rPr>
                <w:rFonts w:ascii="宋体" w:hAnsi="宋体" w:cs="宋体"/>
                <w:color w:val="auto"/>
                <w:sz w:val="24"/>
                <w:highlight w:val="none"/>
              </w:rPr>
            </w:pPr>
            <w:r>
              <w:rPr>
                <w:rFonts w:hint="eastAsia" w:ascii="宋体" w:hAnsi="宋体" w:cs="宋体"/>
                <w:color w:val="auto"/>
                <w:sz w:val="24"/>
                <w:highlight w:val="none"/>
              </w:rPr>
              <w:t>总价</w:t>
            </w:r>
          </w:p>
        </w:tc>
        <w:tc>
          <w:tcPr>
            <w:tcW w:w="8128" w:type="dxa"/>
            <w:gridSpan w:val="7"/>
            <w:tcBorders>
              <w:top w:val="single" w:color="auto" w:sz="4" w:space="0"/>
              <w:left w:val="nil"/>
              <w:bottom w:val="single" w:color="auto" w:sz="4" w:space="0"/>
              <w:right w:val="single" w:color="auto" w:sz="4" w:space="0"/>
            </w:tcBorders>
            <w:vAlign w:val="center"/>
          </w:tcPr>
          <w:p w14:paraId="05A7D82D">
            <w:pPr>
              <w:rPr>
                <w:rFonts w:ascii="宋体" w:hAnsi="宋体" w:cs="宋体"/>
                <w:color w:val="auto"/>
                <w:sz w:val="24"/>
                <w:highlight w:val="none"/>
              </w:rPr>
            </w:pPr>
            <w:r>
              <w:rPr>
                <w:rFonts w:hint="eastAsia" w:ascii="宋体" w:hAnsi="宋体"/>
                <w:b/>
                <w:color w:val="auto"/>
                <w:sz w:val="24"/>
                <w:highlight w:val="none"/>
              </w:rPr>
              <w:t>大写：</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小写： </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w:t>
            </w:r>
          </w:p>
        </w:tc>
      </w:tr>
    </w:tbl>
    <w:p w14:paraId="5ABB5DA1">
      <w:pPr>
        <w:spacing w:line="480" w:lineRule="exact"/>
        <w:outlineLvl w:val="2"/>
        <w:rPr>
          <w:rFonts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141F3484">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2.包含设备价、备品备件价、包装费、装卸费、运输费、税金（含关税、增值税）、安装费、检测验收费、培训费及其他所有费用，均包含在投标报价中。</w:t>
      </w:r>
    </w:p>
    <w:p w14:paraId="65CE73B1">
      <w:pPr>
        <w:spacing w:line="480" w:lineRule="exact"/>
        <w:ind w:firstLine="2738" w:firstLineChars="1141"/>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cs="宋体"/>
          <w:color w:val="auto"/>
          <w:sz w:val="24"/>
          <w:highlight w:val="none"/>
        </w:rPr>
        <w:t>（电子签章）</w:t>
      </w:r>
      <w:bookmarkStart w:id="214" w:name="_Hlk522286805"/>
      <w:bookmarkEnd w:id="214"/>
    </w:p>
    <w:p w14:paraId="323EE925">
      <w:pPr>
        <w:spacing w:line="480" w:lineRule="exact"/>
        <w:ind w:firstLine="2738" w:firstLineChars="1141"/>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eastAsia="宋体" w:cs="宋体"/>
          <w:color w:val="auto"/>
          <w:sz w:val="24"/>
          <w:szCs w:val="20"/>
          <w:highlight w:val="none"/>
          <w:u w:val="single"/>
        </w:rPr>
        <w:t xml:space="preserve">              </w:t>
      </w:r>
      <w:r>
        <w:rPr>
          <w:rFonts w:hint="eastAsia" w:ascii="宋体" w:hAnsi="宋体" w:cs="宋体"/>
          <w:color w:val="auto"/>
          <w:sz w:val="24"/>
          <w:highlight w:val="none"/>
        </w:rPr>
        <w:t>（电子签章</w:t>
      </w:r>
      <w:r>
        <w:rPr>
          <w:rFonts w:hint="eastAsia" w:ascii="宋体" w:hAnsi="宋体" w:eastAsia="宋体" w:cs="宋体"/>
          <w:color w:val="auto"/>
          <w:kern w:val="0"/>
          <w:sz w:val="24"/>
          <w:highlight w:val="none"/>
          <w:lang w:bidi="ar"/>
        </w:rPr>
        <w:t>或签字</w:t>
      </w:r>
      <w:r>
        <w:rPr>
          <w:rFonts w:hint="eastAsia" w:ascii="宋体" w:hAnsi="宋体" w:cs="宋体"/>
          <w:color w:val="auto"/>
          <w:sz w:val="24"/>
          <w:highlight w:val="none"/>
        </w:rPr>
        <w:t>）</w:t>
      </w:r>
    </w:p>
    <w:p w14:paraId="35FEBD3F">
      <w:pPr>
        <w:widowControl/>
        <w:spacing w:line="540" w:lineRule="exact"/>
        <w:ind w:firstLine="2738" w:firstLineChars="1141"/>
        <w:rPr>
          <w:rFonts w:ascii="Calibri" w:hAnsi="Calibri" w:eastAsia="宋体" w:cs="Times New Roman"/>
          <w:color w:val="auto"/>
          <w:kern w:val="0"/>
          <w:sz w:val="24"/>
          <w:highlight w:val="none"/>
        </w:rPr>
      </w:pPr>
      <w:r>
        <w:rPr>
          <w:rFonts w:hint="eastAsia" w:ascii="宋体" w:hAnsi="宋体" w:cs="宋体"/>
          <w:color w:val="auto"/>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16765937">
      <w:pPr>
        <w:spacing w:line="480" w:lineRule="exact"/>
        <w:rPr>
          <w:rFonts w:ascii="宋体" w:hAnsi="宋体" w:cs="宋体"/>
          <w:color w:val="auto"/>
          <w:sz w:val="24"/>
          <w:highlight w:val="none"/>
        </w:rPr>
      </w:pPr>
    </w:p>
    <w:p w14:paraId="71EAB176">
      <w:pPr>
        <w:pStyle w:val="4"/>
        <w:jc w:val="center"/>
        <w:rPr>
          <w:color w:val="auto"/>
          <w:highlight w:val="none"/>
        </w:rPr>
      </w:pPr>
      <w:bookmarkStart w:id="215" w:name="_Toc361989463"/>
      <w:bookmarkEnd w:id="215"/>
      <w:bookmarkStart w:id="216" w:name="_Toc244934213"/>
      <w:bookmarkEnd w:id="216"/>
      <w:bookmarkStart w:id="217" w:name="_Toc10655"/>
      <w:bookmarkStart w:id="218" w:name="_Toc17010"/>
      <w:bookmarkStart w:id="219" w:name="_Toc25298"/>
      <w:r>
        <w:rPr>
          <w:rFonts w:ascii="宋体" w:hAnsi="宋体" w:cs="宋体"/>
          <w:color w:val="auto"/>
          <w:szCs w:val="24"/>
          <w:highlight w:val="none"/>
        </w:rPr>
        <w:br w:type="page"/>
      </w:r>
      <w:r>
        <w:rPr>
          <w:rFonts w:hint="eastAsia"/>
          <w:color w:val="auto"/>
          <w:highlight w:val="none"/>
        </w:rPr>
        <w:t>六、技术规格偏离表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5433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41235E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6ED8039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343F20EC">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6B43E28C">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2B0F5DD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63FF559A">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07B41AEA">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1EB6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B14172A">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43B446EE">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7043310">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EFA3355">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7D1C325">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89070EB">
            <w:pPr>
              <w:spacing w:line="360" w:lineRule="auto"/>
              <w:jc w:val="center"/>
              <w:rPr>
                <w:rFonts w:ascii="宋体" w:hAnsi="宋体" w:eastAsia="宋体" w:cs="宋体"/>
                <w:color w:val="auto"/>
                <w:sz w:val="24"/>
                <w:szCs w:val="20"/>
                <w:highlight w:val="none"/>
              </w:rPr>
            </w:pPr>
          </w:p>
        </w:tc>
      </w:tr>
      <w:tr w14:paraId="2E43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D25DB5A">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12306CC4">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32A686C5">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7363421D">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744C22F0">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ABBB125">
            <w:pPr>
              <w:spacing w:line="360" w:lineRule="auto"/>
              <w:jc w:val="center"/>
              <w:rPr>
                <w:rFonts w:ascii="宋体" w:hAnsi="宋体" w:eastAsia="宋体" w:cs="宋体"/>
                <w:color w:val="auto"/>
                <w:sz w:val="24"/>
                <w:szCs w:val="20"/>
                <w:highlight w:val="none"/>
              </w:rPr>
            </w:pPr>
          </w:p>
        </w:tc>
      </w:tr>
      <w:tr w14:paraId="55E0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92A1E60">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6FAAD9B0">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7B543493">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A9E2F3E">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0AAF484">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0F910A94">
            <w:pPr>
              <w:spacing w:line="360" w:lineRule="auto"/>
              <w:jc w:val="center"/>
              <w:rPr>
                <w:rFonts w:ascii="宋体" w:hAnsi="宋体" w:eastAsia="宋体" w:cs="宋体"/>
                <w:color w:val="auto"/>
                <w:sz w:val="24"/>
                <w:szCs w:val="20"/>
                <w:highlight w:val="none"/>
              </w:rPr>
            </w:pPr>
          </w:p>
        </w:tc>
      </w:tr>
      <w:tr w14:paraId="4F7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E8441D3">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4AFD6626">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777FF21">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3AF0A01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65723AC">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92D1B9A">
            <w:pPr>
              <w:spacing w:line="360" w:lineRule="auto"/>
              <w:jc w:val="center"/>
              <w:rPr>
                <w:rFonts w:ascii="宋体" w:hAnsi="宋体" w:eastAsia="宋体" w:cs="宋体"/>
                <w:color w:val="auto"/>
                <w:sz w:val="24"/>
                <w:szCs w:val="20"/>
                <w:highlight w:val="none"/>
              </w:rPr>
            </w:pPr>
          </w:p>
        </w:tc>
      </w:tr>
      <w:tr w14:paraId="138D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35EFFA6">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2728046A">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369FF89A">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74383A9C">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9DC33ED">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3B0260E1">
            <w:pPr>
              <w:spacing w:line="360" w:lineRule="auto"/>
              <w:jc w:val="center"/>
              <w:rPr>
                <w:rFonts w:ascii="宋体" w:hAnsi="宋体" w:eastAsia="宋体" w:cs="宋体"/>
                <w:color w:val="auto"/>
                <w:sz w:val="24"/>
                <w:szCs w:val="20"/>
                <w:highlight w:val="none"/>
              </w:rPr>
            </w:pPr>
          </w:p>
        </w:tc>
      </w:tr>
      <w:tr w14:paraId="6C61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A73F2EB">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4673EC95">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B2C1649">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3B18EC71">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C11FED2">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9017A51">
            <w:pPr>
              <w:spacing w:line="360" w:lineRule="auto"/>
              <w:jc w:val="center"/>
              <w:rPr>
                <w:rFonts w:ascii="宋体" w:hAnsi="宋体" w:eastAsia="宋体" w:cs="宋体"/>
                <w:color w:val="auto"/>
                <w:sz w:val="24"/>
                <w:szCs w:val="20"/>
                <w:highlight w:val="none"/>
              </w:rPr>
            </w:pPr>
          </w:p>
        </w:tc>
      </w:tr>
      <w:tr w14:paraId="2DAB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C8AC650">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704C5DD8">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C52FDD5">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7BE0F859">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F07CCE0">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C3804E8">
            <w:pPr>
              <w:spacing w:line="360" w:lineRule="auto"/>
              <w:jc w:val="center"/>
              <w:rPr>
                <w:rFonts w:ascii="宋体" w:hAnsi="宋体" w:eastAsia="宋体" w:cs="宋体"/>
                <w:color w:val="auto"/>
                <w:sz w:val="24"/>
                <w:szCs w:val="20"/>
                <w:highlight w:val="none"/>
              </w:rPr>
            </w:pPr>
          </w:p>
        </w:tc>
      </w:tr>
    </w:tbl>
    <w:p w14:paraId="54BDF559">
      <w:pPr>
        <w:spacing w:line="360" w:lineRule="auto"/>
        <w:rPr>
          <w:rFonts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4934901E">
      <w:pPr>
        <w:spacing w:line="360" w:lineRule="auto"/>
        <w:ind w:firstLine="3360" w:firstLineChars="1400"/>
        <w:rPr>
          <w:rFonts w:ascii="宋体" w:hAnsi="宋体" w:eastAsia="宋体" w:cs="宋体"/>
          <w:color w:val="auto"/>
          <w:sz w:val="24"/>
          <w:szCs w:val="20"/>
          <w:highlight w:val="none"/>
        </w:rPr>
      </w:pPr>
    </w:p>
    <w:p w14:paraId="064A28FB">
      <w:pPr>
        <w:spacing w:line="360" w:lineRule="auto"/>
        <w:ind w:firstLine="3360" w:firstLineChars="1400"/>
        <w:rPr>
          <w:rFonts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（电子签章）</w:t>
      </w:r>
    </w:p>
    <w:p w14:paraId="138F827E">
      <w:pPr>
        <w:spacing w:line="360" w:lineRule="auto"/>
        <w:ind w:right="-340" w:rightChars="-162" w:firstLine="3360" w:firstLineChars="14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60AF955D">
      <w:pPr>
        <w:widowControl/>
        <w:jc w:val="left"/>
        <w:rPr>
          <w:rFonts w:ascii="宋体" w:hAnsi="宋体" w:cs="宋体"/>
          <w:color w:val="auto"/>
          <w:szCs w:val="24"/>
          <w:highlight w:val="none"/>
        </w:rPr>
      </w:pPr>
    </w:p>
    <w:p w14:paraId="574363FB">
      <w:pPr>
        <w:widowControl/>
        <w:jc w:val="left"/>
        <w:rPr>
          <w:color w:val="auto"/>
          <w:highlight w:val="none"/>
        </w:rPr>
      </w:pPr>
    </w:p>
    <w:p w14:paraId="7B7527EF">
      <w:pPr>
        <w:widowControl/>
        <w:jc w:val="left"/>
        <w:rPr>
          <w:color w:val="auto"/>
          <w:highlight w:val="none"/>
        </w:rPr>
      </w:pPr>
    </w:p>
    <w:p w14:paraId="1862D6A4">
      <w:pPr>
        <w:widowControl/>
        <w:jc w:val="left"/>
        <w:rPr>
          <w:color w:val="auto"/>
          <w:highlight w:val="none"/>
        </w:rPr>
      </w:pPr>
    </w:p>
    <w:p w14:paraId="606AE17B">
      <w:pPr>
        <w:spacing w:before="63" w:line="225" w:lineRule="auto"/>
        <w:ind w:left="1460"/>
        <w:outlineLvl w:val="1"/>
        <w:rPr>
          <w:rFonts w:ascii="宋体" w:hAnsi="宋体" w:eastAsia="宋体" w:cs="宋体"/>
          <w:color w:val="auto"/>
          <w:sz w:val="31"/>
          <w:szCs w:val="31"/>
          <w:highlight w:val="none"/>
        </w:rPr>
      </w:pPr>
      <w:r>
        <w:rPr>
          <w:rFonts w:hint="eastAsia" w:asciiTheme="minorEastAsia" w:hAnsiTheme="minorEastAsia" w:cstheme="minorEastAsia"/>
          <w:b/>
          <w:color w:val="auto"/>
          <w:sz w:val="28"/>
          <w:szCs w:val="28"/>
          <w:highlight w:val="none"/>
        </w:rPr>
        <w:t>（1）</w:t>
      </w:r>
      <w:r>
        <w:rPr>
          <w:rFonts w:ascii="宋体" w:hAnsi="宋体" w:eastAsia="宋体" w:cs="宋体"/>
          <w:b/>
          <w:bCs/>
          <w:color w:val="auto"/>
          <w:spacing w:val="6"/>
          <w:sz w:val="31"/>
          <w:szCs w:val="31"/>
          <w:highlight w:val="none"/>
        </w:rPr>
        <w:t>产品适用政府采购政策情况表（节能、环保）</w:t>
      </w:r>
    </w:p>
    <w:p w14:paraId="5D4BC999">
      <w:pPr>
        <w:spacing w:before="196"/>
        <w:rPr>
          <w:color w:val="auto"/>
          <w:highlight w:val="none"/>
        </w:rPr>
      </w:pPr>
    </w:p>
    <w:tbl>
      <w:tblPr>
        <w:tblStyle w:val="37"/>
        <w:tblW w:w="89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640"/>
        <w:gridCol w:w="1171"/>
        <w:gridCol w:w="963"/>
        <w:gridCol w:w="1691"/>
        <w:gridCol w:w="1406"/>
        <w:gridCol w:w="1345"/>
      </w:tblGrid>
      <w:tr w14:paraId="0CF40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761" w:type="dxa"/>
            <w:vMerge w:val="restart"/>
            <w:tcBorders>
              <w:bottom w:val="nil"/>
            </w:tcBorders>
          </w:tcPr>
          <w:p w14:paraId="436428FA">
            <w:pPr>
              <w:pStyle w:val="36"/>
              <w:spacing w:line="244" w:lineRule="auto"/>
              <w:jc w:val="center"/>
              <w:rPr>
                <w:color w:val="auto"/>
                <w:szCs w:val="20"/>
                <w:highlight w:val="none"/>
              </w:rPr>
            </w:pPr>
          </w:p>
          <w:p w14:paraId="788E8A14">
            <w:pPr>
              <w:pStyle w:val="36"/>
              <w:spacing w:line="244" w:lineRule="auto"/>
              <w:jc w:val="center"/>
              <w:rPr>
                <w:color w:val="auto"/>
                <w:szCs w:val="20"/>
                <w:highlight w:val="none"/>
              </w:rPr>
            </w:pPr>
          </w:p>
          <w:p w14:paraId="6A95F285">
            <w:pPr>
              <w:pStyle w:val="36"/>
              <w:spacing w:line="244" w:lineRule="auto"/>
              <w:jc w:val="center"/>
              <w:rPr>
                <w:color w:val="auto"/>
                <w:szCs w:val="20"/>
                <w:highlight w:val="none"/>
              </w:rPr>
            </w:pPr>
          </w:p>
          <w:p w14:paraId="67C97D5E">
            <w:pPr>
              <w:pStyle w:val="36"/>
              <w:spacing w:line="244" w:lineRule="auto"/>
              <w:jc w:val="center"/>
              <w:rPr>
                <w:color w:val="auto"/>
                <w:szCs w:val="20"/>
                <w:highlight w:val="none"/>
              </w:rPr>
            </w:pPr>
          </w:p>
          <w:p w14:paraId="1579C2DC">
            <w:pPr>
              <w:pStyle w:val="36"/>
              <w:spacing w:line="244" w:lineRule="auto"/>
              <w:jc w:val="center"/>
              <w:rPr>
                <w:color w:val="auto"/>
                <w:szCs w:val="20"/>
                <w:highlight w:val="none"/>
              </w:rPr>
            </w:pPr>
            <w:r>
              <w:rPr>
                <w:rFonts w:hint="eastAsia"/>
                <w:color w:val="auto"/>
                <w:szCs w:val="20"/>
                <w:highlight w:val="none"/>
              </w:rPr>
              <w:t>节</w:t>
            </w:r>
          </w:p>
          <w:p w14:paraId="1D5E953A">
            <w:pPr>
              <w:pStyle w:val="36"/>
              <w:spacing w:line="244" w:lineRule="auto"/>
              <w:jc w:val="center"/>
              <w:rPr>
                <w:color w:val="auto"/>
                <w:szCs w:val="20"/>
                <w:highlight w:val="none"/>
              </w:rPr>
            </w:pPr>
            <w:r>
              <w:rPr>
                <w:rFonts w:hint="eastAsia"/>
                <w:color w:val="auto"/>
                <w:szCs w:val="20"/>
                <w:highlight w:val="none"/>
              </w:rPr>
              <w:t>能</w:t>
            </w:r>
          </w:p>
          <w:p w14:paraId="737D3ECB">
            <w:pPr>
              <w:pStyle w:val="36"/>
              <w:spacing w:line="244" w:lineRule="auto"/>
              <w:jc w:val="center"/>
              <w:rPr>
                <w:color w:val="auto"/>
                <w:szCs w:val="20"/>
                <w:highlight w:val="none"/>
              </w:rPr>
            </w:pPr>
            <w:r>
              <w:rPr>
                <w:rFonts w:hint="eastAsia"/>
                <w:color w:val="auto"/>
                <w:szCs w:val="20"/>
                <w:highlight w:val="none"/>
              </w:rPr>
              <w:t>产</w:t>
            </w:r>
          </w:p>
          <w:p w14:paraId="47D3521D">
            <w:pPr>
              <w:pStyle w:val="36"/>
              <w:spacing w:line="244" w:lineRule="auto"/>
              <w:jc w:val="center"/>
              <w:rPr>
                <w:color w:val="auto"/>
                <w:szCs w:val="20"/>
                <w:highlight w:val="none"/>
              </w:rPr>
            </w:pPr>
            <w:r>
              <w:rPr>
                <w:rFonts w:hint="eastAsia"/>
                <w:color w:val="auto"/>
                <w:szCs w:val="20"/>
                <w:highlight w:val="none"/>
              </w:rPr>
              <w:t>品</w:t>
            </w:r>
          </w:p>
          <w:p w14:paraId="7AA8578C">
            <w:pPr>
              <w:pStyle w:val="36"/>
              <w:spacing w:line="244" w:lineRule="auto"/>
              <w:rPr>
                <w:color w:val="auto"/>
                <w:szCs w:val="20"/>
                <w:highlight w:val="none"/>
              </w:rPr>
            </w:pPr>
          </w:p>
          <w:p w14:paraId="5DC57333">
            <w:pPr>
              <w:tabs>
                <w:tab w:val="left" w:pos="630"/>
              </w:tabs>
              <w:spacing w:before="65" w:line="375" w:lineRule="auto"/>
              <w:ind w:right="198"/>
              <w:rPr>
                <w:rFonts w:ascii="宋体" w:hAnsi="宋体" w:eastAsia="宋体" w:cs="宋体"/>
                <w:color w:val="auto"/>
                <w:sz w:val="24"/>
                <w:szCs w:val="20"/>
                <w:highlight w:val="none"/>
              </w:rPr>
            </w:pPr>
          </w:p>
        </w:tc>
        <w:tc>
          <w:tcPr>
            <w:tcW w:w="1640" w:type="dxa"/>
            <w:vAlign w:val="center"/>
          </w:tcPr>
          <w:p w14:paraId="565B27E1">
            <w:pPr>
              <w:spacing w:before="144" w:line="302" w:lineRule="auto"/>
              <w:ind w:right="368"/>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1.强制采购产品名称</w:t>
            </w:r>
          </w:p>
        </w:tc>
        <w:tc>
          <w:tcPr>
            <w:tcW w:w="1171" w:type="dxa"/>
            <w:vAlign w:val="center"/>
          </w:tcPr>
          <w:p w14:paraId="0659EF8B">
            <w:pPr>
              <w:spacing w:before="65" w:line="231"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品牌、型号</w:t>
            </w:r>
          </w:p>
        </w:tc>
        <w:tc>
          <w:tcPr>
            <w:tcW w:w="963" w:type="dxa"/>
            <w:vAlign w:val="center"/>
          </w:tcPr>
          <w:p w14:paraId="3550065A">
            <w:pPr>
              <w:spacing w:before="65" w:line="23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制造商</w:t>
            </w:r>
          </w:p>
        </w:tc>
        <w:tc>
          <w:tcPr>
            <w:tcW w:w="1691" w:type="dxa"/>
            <w:vAlign w:val="center"/>
          </w:tcPr>
          <w:p w14:paraId="207A0474">
            <w:pPr>
              <w:spacing w:before="65" w:line="232"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认证证书编号</w:t>
            </w:r>
          </w:p>
        </w:tc>
        <w:tc>
          <w:tcPr>
            <w:tcW w:w="1406" w:type="dxa"/>
            <w:vAlign w:val="center"/>
          </w:tcPr>
          <w:p w14:paraId="1E622AF1">
            <w:pPr>
              <w:spacing w:before="65" w:line="232"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证书有效期</w:t>
            </w:r>
          </w:p>
        </w:tc>
        <w:tc>
          <w:tcPr>
            <w:tcW w:w="1345" w:type="dxa"/>
            <w:vAlign w:val="center"/>
          </w:tcPr>
          <w:p w14:paraId="30BC52CE">
            <w:pPr>
              <w:spacing w:before="65" w:line="229" w:lineRule="auto"/>
              <w:ind w:right="11"/>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认证机构</w:t>
            </w:r>
          </w:p>
        </w:tc>
      </w:tr>
      <w:tr w14:paraId="0550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61" w:type="dxa"/>
            <w:vMerge w:val="continue"/>
            <w:tcBorders>
              <w:top w:val="nil"/>
              <w:bottom w:val="nil"/>
            </w:tcBorders>
          </w:tcPr>
          <w:p w14:paraId="3766659D">
            <w:pPr>
              <w:pStyle w:val="36"/>
              <w:jc w:val="center"/>
              <w:rPr>
                <w:color w:val="auto"/>
                <w:szCs w:val="20"/>
                <w:highlight w:val="none"/>
              </w:rPr>
            </w:pPr>
          </w:p>
        </w:tc>
        <w:tc>
          <w:tcPr>
            <w:tcW w:w="1640" w:type="dxa"/>
          </w:tcPr>
          <w:p w14:paraId="76A882E8">
            <w:pPr>
              <w:pStyle w:val="36"/>
              <w:jc w:val="center"/>
              <w:rPr>
                <w:color w:val="auto"/>
                <w:szCs w:val="20"/>
                <w:highlight w:val="none"/>
              </w:rPr>
            </w:pPr>
          </w:p>
        </w:tc>
        <w:tc>
          <w:tcPr>
            <w:tcW w:w="1171" w:type="dxa"/>
          </w:tcPr>
          <w:p w14:paraId="1D7825B3">
            <w:pPr>
              <w:pStyle w:val="36"/>
              <w:jc w:val="center"/>
              <w:rPr>
                <w:color w:val="auto"/>
                <w:szCs w:val="20"/>
                <w:highlight w:val="none"/>
              </w:rPr>
            </w:pPr>
          </w:p>
        </w:tc>
        <w:tc>
          <w:tcPr>
            <w:tcW w:w="963" w:type="dxa"/>
          </w:tcPr>
          <w:p w14:paraId="7630FCA9">
            <w:pPr>
              <w:pStyle w:val="36"/>
              <w:jc w:val="center"/>
              <w:rPr>
                <w:color w:val="auto"/>
                <w:szCs w:val="20"/>
                <w:highlight w:val="none"/>
              </w:rPr>
            </w:pPr>
          </w:p>
        </w:tc>
        <w:tc>
          <w:tcPr>
            <w:tcW w:w="1691" w:type="dxa"/>
          </w:tcPr>
          <w:p w14:paraId="7690D770">
            <w:pPr>
              <w:pStyle w:val="36"/>
              <w:jc w:val="center"/>
              <w:rPr>
                <w:color w:val="auto"/>
                <w:szCs w:val="20"/>
                <w:highlight w:val="none"/>
              </w:rPr>
            </w:pPr>
          </w:p>
        </w:tc>
        <w:tc>
          <w:tcPr>
            <w:tcW w:w="1406" w:type="dxa"/>
          </w:tcPr>
          <w:p w14:paraId="62DCFAD9">
            <w:pPr>
              <w:pStyle w:val="36"/>
              <w:jc w:val="center"/>
              <w:rPr>
                <w:color w:val="auto"/>
                <w:szCs w:val="20"/>
                <w:highlight w:val="none"/>
              </w:rPr>
            </w:pPr>
          </w:p>
        </w:tc>
        <w:tc>
          <w:tcPr>
            <w:tcW w:w="1345" w:type="dxa"/>
          </w:tcPr>
          <w:p w14:paraId="6D35EC9B">
            <w:pPr>
              <w:pStyle w:val="36"/>
              <w:jc w:val="center"/>
              <w:rPr>
                <w:color w:val="auto"/>
                <w:szCs w:val="20"/>
                <w:highlight w:val="none"/>
              </w:rPr>
            </w:pPr>
          </w:p>
        </w:tc>
      </w:tr>
      <w:tr w14:paraId="2563C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61" w:type="dxa"/>
            <w:vMerge w:val="continue"/>
            <w:tcBorders>
              <w:top w:val="nil"/>
              <w:bottom w:val="nil"/>
            </w:tcBorders>
          </w:tcPr>
          <w:p w14:paraId="3ABE1951">
            <w:pPr>
              <w:pStyle w:val="36"/>
              <w:jc w:val="center"/>
              <w:rPr>
                <w:color w:val="auto"/>
                <w:szCs w:val="20"/>
                <w:highlight w:val="none"/>
              </w:rPr>
            </w:pPr>
          </w:p>
        </w:tc>
        <w:tc>
          <w:tcPr>
            <w:tcW w:w="1640" w:type="dxa"/>
          </w:tcPr>
          <w:p w14:paraId="69253B08">
            <w:pPr>
              <w:pStyle w:val="36"/>
              <w:jc w:val="center"/>
              <w:rPr>
                <w:color w:val="auto"/>
                <w:szCs w:val="20"/>
                <w:highlight w:val="none"/>
              </w:rPr>
            </w:pPr>
          </w:p>
        </w:tc>
        <w:tc>
          <w:tcPr>
            <w:tcW w:w="1171" w:type="dxa"/>
          </w:tcPr>
          <w:p w14:paraId="5C5C2394">
            <w:pPr>
              <w:pStyle w:val="36"/>
              <w:jc w:val="center"/>
              <w:rPr>
                <w:color w:val="auto"/>
                <w:szCs w:val="20"/>
                <w:highlight w:val="none"/>
              </w:rPr>
            </w:pPr>
          </w:p>
        </w:tc>
        <w:tc>
          <w:tcPr>
            <w:tcW w:w="963" w:type="dxa"/>
          </w:tcPr>
          <w:p w14:paraId="000C5C85">
            <w:pPr>
              <w:pStyle w:val="36"/>
              <w:jc w:val="center"/>
              <w:rPr>
                <w:color w:val="auto"/>
                <w:szCs w:val="20"/>
                <w:highlight w:val="none"/>
              </w:rPr>
            </w:pPr>
          </w:p>
        </w:tc>
        <w:tc>
          <w:tcPr>
            <w:tcW w:w="1691" w:type="dxa"/>
          </w:tcPr>
          <w:p w14:paraId="3362EF60">
            <w:pPr>
              <w:pStyle w:val="36"/>
              <w:jc w:val="center"/>
              <w:rPr>
                <w:color w:val="auto"/>
                <w:szCs w:val="20"/>
                <w:highlight w:val="none"/>
              </w:rPr>
            </w:pPr>
          </w:p>
        </w:tc>
        <w:tc>
          <w:tcPr>
            <w:tcW w:w="1406" w:type="dxa"/>
          </w:tcPr>
          <w:p w14:paraId="0A5D756D">
            <w:pPr>
              <w:pStyle w:val="36"/>
              <w:jc w:val="center"/>
              <w:rPr>
                <w:color w:val="auto"/>
                <w:szCs w:val="20"/>
                <w:highlight w:val="none"/>
              </w:rPr>
            </w:pPr>
          </w:p>
        </w:tc>
        <w:tc>
          <w:tcPr>
            <w:tcW w:w="1345" w:type="dxa"/>
          </w:tcPr>
          <w:p w14:paraId="3C40468A">
            <w:pPr>
              <w:pStyle w:val="36"/>
              <w:jc w:val="center"/>
              <w:rPr>
                <w:color w:val="auto"/>
                <w:szCs w:val="20"/>
                <w:highlight w:val="none"/>
              </w:rPr>
            </w:pPr>
          </w:p>
        </w:tc>
      </w:tr>
      <w:tr w14:paraId="72AFB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61" w:type="dxa"/>
            <w:vMerge w:val="continue"/>
            <w:tcBorders>
              <w:top w:val="nil"/>
              <w:bottom w:val="nil"/>
            </w:tcBorders>
          </w:tcPr>
          <w:p w14:paraId="3C319ADC">
            <w:pPr>
              <w:pStyle w:val="36"/>
              <w:jc w:val="center"/>
              <w:rPr>
                <w:color w:val="auto"/>
                <w:szCs w:val="20"/>
                <w:highlight w:val="none"/>
              </w:rPr>
            </w:pPr>
          </w:p>
        </w:tc>
        <w:tc>
          <w:tcPr>
            <w:tcW w:w="1640" w:type="dxa"/>
            <w:vAlign w:val="center"/>
          </w:tcPr>
          <w:p w14:paraId="2DC7B9BC">
            <w:pPr>
              <w:spacing w:before="141" w:line="301" w:lineRule="auto"/>
              <w:ind w:right="368"/>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2.优先采购产品名称</w:t>
            </w:r>
          </w:p>
        </w:tc>
        <w:tc>
          <w:tcPr>
            <w:tcW w:w="1171" w:type="dxa"/>
            <w:vAlign w:val="center"/>
          </w:tcPr>
          <w:p w14:paraId="3A7026D3">
            <w:pPr>
              <w:spacing w:before="65" w:line="231"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品牌、型号</w:t>
            </w:r>
          </w:p>
        </w:tc>
        <w:tc>
          <w:tcPr>
            <w:tcW w:w="963" w:type="dxa"/>
            <w:vAlign w:val="center"/>
          </w:tcPr>
          <w:p w14:paraId="019ABF4E">
            <w:pPr>
              <w:spacing w:before="65" w:line="23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制造商</w:t>
            </w:r>
          </w:p>
        </w:tc>
        <w:tc>
          <w:tcPr>
            <w:tcW w:w="1691" w:type="dxa"/>
            <w:vAlign w:val="center"/>
          </w:tcPr>
          <w:p w14:paraId="690A1EA7">
            <w:pPr>
              <w:spacing w:before="65" w:line="232"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认证证书编号</w:t>
            </w:r>
          </w:p>
        </w:tc>
        <w:tc>
          <w:tcPr>
            <w:tcW w:w="1406" w:type="dxa"/>
            <w:vAlign w:val="center"/>
          </w:tcPr>
          <w:p w14:paraId="4097B347">
            <w:pPr>
              <w:spacing w:before="65" w:line="232"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证书有效期</w:t>
            </w:r>
          </w:p>
        </w:tc>
        <w:tc>
          <w:tcPr>
            <w:tcW w:w="1345" w:type="dxa"/>
            <w:vAlign w:val="center"/>
          </w:tcPr>
          <w:p w14:paraId="04AC6BB9">
            <w:pPr>
              <w:spacing w:before="65" w:line="229" w:lineRule="auto"/>
              <w:ind w:right="11"/>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认证机构</w:t>
            </w:r>
          </w:p>
        </w:tc>
      </w:tr>
      <w:tr w14:paraId="0DEED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61" w:type="dxa"/>
            <w:vMerge w:val="continue"/>
            <w:tcBorders>
              <w:top w:val="nil"/>
              <w:bottom w:val="nil"/>
            </w:tcBorders>
          </w:tcPr>
          <w:p w14:paraId="1CF26E87">
            <w:pPr>
              <w:pStyle w:val="36"/>
              <w:jc w:val="center"/>
              <w:rPr>
                <w:color w:val="auto"/>
                <w:szCs w:val="20"/>
                <w:highlight w:val="none"/>
              </w:rPr>
            </w:pPr>
          </w:p>
        </w:tc>
        <w:tc>
          <w:tcPr>
            <w:tcW w:w="1640" w:type="dxa"/>
            <w:vAlign w:val="center"/>
          </w:tcPr>
          <w:p w14:paraId="62354DE5">
            <w:pPr>
              <w:pStyle w:val="36"/>
              <w:jc w:val="center"/>
              <w:rPr>
                <w:color w:val="auto"/>
                <w:szCs w:val="20"/>
                <w:highlight w:val="none"/>
              </w:rPr>
            </w:pPr>
          </w:p>
        </w:tc>
        <w:tc>
          <w:tcPr>
            <w:tcW w:w="1171" w:type="dxa"/>
            <w:vAlign w:val="center"/>
          </w:tcPr>
          <w:p w14:paraId="34B754AB">
            <w:pPr>
              <w:pStyle w:val="36"/>
              <w:jc w:val="center"/>
              <w:rPr>
                <w:color w:val="auto"/>
                <w:szCs w:val="20"/>
                <w:highlight w:val="none"/>
              </w:rPr>
            </w:pPr>
          </w:p>
        </w:tc>
        <w:tc>
          <w:tcPr>
            <w:tcW w:w="963" w:type="dxa"/>
            <w:vAlign w:val="center"/>
          </w:tcPr>
          <w:p w14:paraId="378EB7CE">
            <w:pPr>
              <w:pStyle w:val="36"/>
              <w:jc w:val="center"/>
              <w:rPr>
                <w:color w:val="auto"/>
                <w:szCs w:val="20"/>
                <w:highlight w:val="none"/>
              </w:rPr>
            </w:pPr>
          </w:p>
        </w:tc>
        <w:tc>
          <w:tcPr>
            <w:tcW w:w="1691" w:type="dxa"/>
            <w:vAlign w:val="center"/>
          </w:tcPr>
          <w:p w14:paraId="45C156A0">
            <w:pPr>
              <w:pStyle w:val="36"/>
              <w:jc w:val="center"/>
              <w:rPr>
                <w:color w:val="auto"/>
                <w:szCs w:val="20"/>
                <w:highlight w:val="none"/>
              </w:rPr>
            </w:pPr>
          </w:p>
        </w:tc>
        <w:tc>
          <w:tcPr>
            <w:tcW w:w="1406" w:type="dxa"/>
            <w:vAlign w:val="center"/>
          </w:tcPr>
          <w:p w14:paraId="734A99E2">
            <w:pPr>
              <w:pStyle w:val="36"/>
              <w:jc w:val="center"/>
              <w:rPr>
                <w:color w:val="auto"/>
                <w:szCs w:val="20"/>
                <w:highlight w:val="none"/>
              </w:rPr>
            </w:pPr>
          </w:p>
        </w:tc>
        <w:tc>
          <w:tcPr>
            <w:tcW w:w="1345" w:type="dxa"/>
            <w:vAlign w:val="center"/>
          </w:tcPr>
          <w:p w14:paraId="255024D7">
            <w:pPr>
              <w:pStyle w:val="36"/>
              <w:jc w:val="center"/>
              <w:rPr>
                <w:color w:val="auto"/>
                <w:szCs w:val="20"/>
                <w:highlight w:val="none"/>
              </w:rPr>
            </w:pPr>
          </w:p>
        </w:tc>
      </w:tr>
      <w:tr w14:paraId="42242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61" w:type="dxa"/>
            <w:vMerge w:val="continue"/>
            <w:tcBorders>
              <w:top w:val="nil"/>
              <w:bottom w:val="single" w:color="auto" w:sz="4" w:space="0"/>
            </w:tcBorders>
          </w:tcPr>
          <w:p w14:paraId="0337A652">
            <w:pPr>
              <w:pStyle w:val="36"/>
              <w:jc w:val="center"/>
              <w:rPr>
                <w:color w:val="auto"/>
                <w:szCs w:val="20"/>
                <w:highlight w:val="none"/>
              </w:rPr>
            </w:pPr>
          </w:p>
        </w:tc>
        <w:tc>
          <w:tcPr>
            <w:tcW w:w="1640" w:type="dxa"/>
            <w:tcBorders>
              <w:bottom w:val="single" w:color="auto" w:sz="4" w:space="0"/>
            </w:tcBorders>
            <w:vAlign w:val="center"/>
          </w:tcPr>
          <w:p w14:paraId="7659CC1E">
            <w:pPr>
              <w:pStyle w:val="36"/>
              <w:jc w:val="center"/>
              <w:rPr>
                <w:color w:val="auto"/>
                <w:szCs w:val="20"/>
                <w:highlight w:val="none"/>
              </w:rPr>
            </w:pPr>
          </w:p>
        </w:tc>
        <w:tc>
          <w:tcPr>
            <w:tcW w:w="1171" w:type="dxa"/>
            <w:vAlign w:val="center"/>
          </w:tcPr>
          <w:p w14:paraId="2E73E54B">
            <w:pPr>
              <w:pStyle w:val="36"/>
              <w:jc w:val="center"/>
              <w:rPr>
                <w:color w:val="auto"/>
                <w:szCs w:val="20"/>
                <w:highlight w:val="none"/>
              </w:rPr>
            </w:pPr>
          </w:p>
        </w:tc>
        <w:tc>
          <w:tcPr>
            <w:tcW w:w="963" w:type="dxa"/>
            <w:vAlign w:val="center"/>
          </w:tcPr>
          <w:p w14:paraId="6E6729BB">
            <w:pPr>
              <w:pStyle w:val="36"/>
              <w:jc w:val="center"/>
              <w:rPr>
                <w:color w:val="auto"/>
                <w:szCs w:val="20"/>
                <w:highlight w:val="none"/>
              </w:rPr>
            </w:pPr>
          </w:p>
        </w:tc>
        <w:tc>
          <w:tcPr>
            <w:tcW w:w="1691" w:type="dxa"/>
            <w:vAlign w:val="center"/>
          </w:tcPr>
          <w:p w14:paraId="4132D252">
            <w:pPr>
              <w:pStyle w:val="36"/>
              <w:jc w:val="center"/>
              <w:rPr>
                <w:color w:val="auto"/>
                <w:szCs w:val="20"/>
                <w:highlight w:val="none"/>
              </w:rPr>
            </w:pPr>
          </w:p>
        </w:tc>
        <w:tc>
          <w:tcPr>
            <w:tcW w:w="1406" w:type="dxa"/>
            <w:vAlign w:val="center"/>
          </w:tcPr>
          <w:p w14:paraId="1D8B6715">
            <w:pPr>
              <w:pStyle w:val="36"/>
              <w:jc w:val="center"/>
              <w:rPr>
                <w:color w:val="auto"/>
                <w:szCs w:val="20"/>
                <w:highlight w:val="none"/>
              </w:rPr>
            </w:pPr>
          </w:p>
        </w:tc>
        <w:tc>
          <w:tcPr>
            <w:tcW w:w="1345" w:type="dxa"/>
            <w:vAlign w:val="center"/>
          </w:tcPr>
          <w:p w14:paraId="26A1D284">
            <w:pPr>
              <w:pStyle w:val="36"/>
              <w:jc w:val="center"/>
              <w:rPr>
                <w:color w:val="auto"/>
                <w:szCs w:val="20"/>
                <w:highlight w:val="none"/>
              </w:rPr>
            </w:pPr>
          </w:p>
        </w:tc>
      </w:tr>
      <w:tr w14:paraId="6823A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61" w:type="dxa"/>
            <w:vMerge w:val="restart"/>
            <w:tcBorders>
              <w:top w:val="single" w:color="auto" w:sz="4" w:space="0"/>
              <w:left w:val="single" w:color="auto" w:sz="4" w:space="0"/>
              <w:bottom w:val="nil"/>
            </w:tcBorders>
          </w:tcPr>
          <w:p w14:paraId="001A1645">
            <w:pPr>
              <w:pStyle w:val="36"/>
              <w:spacing w:line="248" w:lineRule="auto"/>
              <w:jc w:val="center"/>
              <w:rPr>
                <w:color w:val="auto"/>
                <w:szCs w:val="20"/>
                <w:highlight w:val="none"/>
              </w:rPr>
            </w:pPr>
          </w:p>
          <w:p w14:paraId="17142276">
            <w:pPr>
              <w:spacing w:before="65" w:line="371" w:lineRule="auto"/>
              <w:ind w:left="214" w:right="198" w:hanging="5"/>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环境标志产品</w:t>
            </w:r>
          </w:p>
        </w:tc>
        <w:tc>
          <w:tcPr>
            <w:tcW w:w="1640" w:type="dxa"/>
            <w:tcBorders>
              <w:top w:val="single" w:color="auto" w:sz="4" w:space="0"/>
              <w:right w:val="single" w:color="auto" w:sz="4" w:space="0"/>
            </w:tcBorders>
            <w:vAlign w:val="center"/>
          </w:tcPr>
          <w:p w14:paraId="60EF9A8B">
            <w:pPr>
              <w:spacing w:before="144" w:line="229" w:lineRule="auto"/>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优先采购产品名称</w:t>
            </w:r>
          </w:p>
        </w:tc>
        <w:tc>
          <w:tcPr>
            <w:tcW w:w="1171" w:type="dxa"/>
            <w:tcBorders>
              <w:left w:val="single" w:color="auto" w:sz="4" w:space="0"/>
            </w:tcBorders>
            <w:vAlign w:val="center"/>
          </w:tcPr>
          <w:p w14:paraId="211CF66D">
            <w:pPr>
              <w:spacing w:before="143" w:line="231" w:lineRule="auto"/>
              <w:ind w:left="133"/>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品牌、型号</w:t>
            </w:r>
          </w:p>
        </w:tc>
        <w:tc>
          <w:tcPr>
            <w:tcW w:w="963" w:type="dxa"/>
            <w:vAlign w:val="center"/>
          </w:tcPr>
          <w:p w14:paraId="454991BC">
            <w:pPr>
              <w:spacing w:before="144" w:line="23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制造商</w:t>
            </w:r>
          </w:p>
        </w:tc>
        <w:tc>
          <w:tcPr>
            <w:tcW w:w="1691" w:type="dxa"/>
            <w:vAlign w:val="center"/>
          </w:tcPr>
          <w:p w14:paraId="7B4AA5BB">
            <w:pPr>
              <w:spacing w:before="143" w:line="232"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认证证书编号</w:t>
            </w:r>
          </w:p>
        </w:tc>
        <w:tc>
          <w:tcPr>
            <w:tcW w:w="1406" w:type="dxa"/>
            <w:vAlign w:val="center"/>
          </w:tcPr>
          <w:p w14:paraId="3A26292E">
            <w:pPr>
              <w:spacing w:before="143" w:line="232"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证书有效期</w:t>
            </w:r>
          </w:p>
        </w:tc>
        <w:tc>
          <w:tcPr>
            <w:tcW w:w="1345" w:type="dxa"/>
            <w:vAlign w:val="center"/>
          </w:tcPr>
          <w:p w14:paraId="29C842EE">
            <w:pPr>
              <w:spacing w:before="144" w:line="229" w:lineRule="auto"/>
              <w:ind w:right="9"/>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认证机构</w:t>
            </w:r>
          </w:p>
        </w:tc>
      </w:tr>
      <w:tr w14:paraId="007BA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61" w:type="dxa"/>
            <w:vMerge w:val="continue"/>
            <w:tcBorders>
              <w:top w:val="nil"/>
              <w:left w:val="single" w:color="auto" w:sz="4" w:space="0"/>
              <w:bottom w:val="nil"/>
            </w:tcBorders>
          </w:tcPr>
          <w:p w14:paraId="48A20E0E">
            <w:pPr>
              <w:pStyle w:val="36"/>
              <w:jc w:val="center"/>
              <w:rPr>
                <w:color w:val="auto"/>
                <w:szCs w:val="20"/>
                <w:highlight w:val="none"/>
              </w:rPr>
            </w:pPr>
          </w:p>
        </w:tc>
        <w:tc>
          <w:tcPr>
            <w:tcW w:w="1640" w:type="dxa"/>
            <w:tcBorders>
              <w:right w:val="single" w:color="auto" w:sz="4" w:space="0"/>
            </w:tcBorders>
            <w:vAlign w:val="center"/>
          </w:tcPr>
          <w:p w14:paraId="019C09B9">
            <w:pPr>
              <w:pStyle w:val="36"/>
              <w:jc w:val="center"/>
              <w:rPr>
                <w:color w:val="auto"/>
                <w:szCs w:val="20"/>
                <w:highlight w:val="none"/>
              </w:rPr>
            </w:pPr>
          </w:p>
        </w:tc>
        <w:tc>
          <w:tcPr>
            <w:tcW w:w="1171" w:type="dxa"/>
            <w:tcBorders>
              <w:left w:val="single" w:color="auto" w:sz="4" w:space="0"/>
            </w:tcBorders>
            <w:vAlign w:val="center"/>
          </w:tcPr>
          <w:p w14:paraId="330F36D4">
            <w:pPr>
              <w:pStyle w:val="36"/>
              <w:jc w:val="center"/>
              <w:rPr>
                <w:color w:val="auto"/>
                <w:szCs w:val="20"/>
                <w:highlight w:val="none"/>
              </w:rPr>
            </w:pPr>
          </w:p>
        </w:tc>
        <w:tc>
          <w:tcPr>
            <w:tcW w:w="963" w:type="dxa"/>
            <w:vAlign w:val="center"/>
          </w:tcPr>
          <w:p w14:paraId="44BF91E4">
            <w:pPr>
              <w:pStyle w:val="36"/>
              <w:jc w:val="center"/>
              <w:rPr>
                <w:color w:val="auto"/>
                <w:szCs w:val="20"/>
                <w:highlight w:val="none"/>
              </w:rPr>
            </w:pPr>
          </w:p>
        </w:tc>
        <w:tc>
          <w:tcPr>
            <w:tcW w:w="1691" w:type="dxa"/>
            <w:vAlign w:val="center"/>
          </w:tcPr>
          <w:p w14:paraId="60E746DD">
            <w:pPr>
              <w:pStyle w:val="36"/>
              <w:jc w:val="center"/>
              <w:rPr>
                <w:color w:val="auto"/>
                <w:szCs w:val="20"/>
                <w:highlight w:val="none"/>
              </w:rPr>
            </w:pPr>
          </w:p>
        </w:tc>
        <w:tc>
          <w:tcPr>
            <w:tcW w:w="1406" w:type="dxa"/>
            <w:vAlign w:val="center"/>
          </w:tcPr>
          <w:p w14:paraId="694C5B4C">
            <w:pPr>
              <w:pStyle w:val="36"/>
              <w:jc w:val="center"/>
              <w:rPr>
                <w:color w:val="auto"/>
                <w:szCs w:val="20"/>
                <w:highlight w:val="none"/>
              </w:rPr>
            </w:pPr>
          </w:p>
        </w:tc>
        <w:tc>
          <w:tcPr>
            <w:tcW w:w="1345" w:type="dxa"/>
            <w:vAlign w:val="center"/>
          </w:tcPr>
          <w:p w14:paraId="702E3F2E">
            <w:pPr>
              <w:pStyle w:val="36"/>
              <w:jc w:val="center"/>
              <w:rPr>
                <w:color w:val="auto"/>
                <w:szCs w:val="20"/>
                <w:highlight w:val="none"/>
              </w:rPr>
            </w:pPr>
          </w:p>
        </w:tc>
      </w:tr>
      <w:tr w14:paraId="23DF9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61" w:type="dxa"/>
            <w:vMerge w:val="continue"/>
            <w:tcBorders>
              <w:top w:val="nil"/>
              <w:left w:val="single" w:color="auto" w:sz="4" w:space="0"/>
              <w:bottom w:val="nil"/>
            </w:tcBorders>
          </w:tcPr>
          <w:p w14:paraId="1403FEA4">
            <w:pPr>
              <w:pStyle w:val="36"/>
              <w:jc w:val="center"/>
              <w:rPr>
                <w:color w:val="auto"/>
                <w:szCs w:val="20"/>
                <w:highlight w:val="none"/>
              </w:rPr>
            </w:pPr>
          </w:p>
        </w:tc>
        <w:tc>
          <w:tcPr>
            <w:tcW w:w="1640" w:type="dxa"/>
            <w:tcBorders>
              <w:right w:val="single" w:color="auto" w:sz="4" w:space="0"/>
            </w:tcBorders>
            <w:vAlign w:val="center"/>
          </w:tcPr>
          <w:p w14:paraId="256AB827">
            <w:pPr>
              <w:pStyle w:val="36"/>
              <w:jc w:val="center"/>
              <w:rPr>
                <w:color w:val="auto"/>
                <w:szCs w:val="20"/>
                <w:highlight w:val="none"/>
              </w:rPr>
            </w:pPr>
          </w:p>
        </w:tc>
        <w:tc>
          <w:tcPr>
            <w:tcW w:w="1171" w:type="dxa"/>
            <w:tcBorders>
              <w:left w:val="single" w:color="auto" w:sz="4" w:space="0"/>
            </w:tcBorders>
            <w:vAlign w:val="center"/>
          </w:tcPr>
          <w:p w14:paraId="3C0ECF60">
            <w:pPr>
              <w:pStyle w:val="36"/>
              <w:jc w:val="center"/>
              <w:rPr>
                <w:color w:val="auto"/>
                <w:szCs w:val="20"/>
                <w:highlight w:val="none"/>
              </w:rPr>
            </w:pPr>
          </w:p>
        </w:tc>
        <w:tc>
          <w:tcPr>
            <w:tcW w:w="963" w:type="dxa"/>
            <w:vAlign w:val="center"/>
          </w:tcPr>
          <w:p w14:paraId="4EFDFD7B">
            <w:pPr>
              <w:pStyle w:val="36"/>
              <w:jc w:val="center"/>
              <w:rPr>
                <w:color w:val="auto"/>
                <w:szCs w:val="20"/>
                <w:highlight w:val="none"/>
              </w:rPr>
            </w:pPr>
          </w:p>
        </w:tc>
        <w:tc>
          <w:tcPr>
            <w:tcW w:w="1691" w:type="dxa"/>
            <w:vAlign w:val="center"/>
          </w:tcPr>
          <w:p w14:paraId="3DAF0ACA">
            <w:pPr>
              <w:pStyle w:val="36"/>
              <w:jc w:val="center"/>
              <w:rPr>
                <w:color w:val="auto"/>
                <w:szCs w:val="20"/>
                <w:highlight w:val="none"/>
              </w:rPr>
            </w:pPr>
          </w:p>
        </w:tc>
        <w:tc>
          <w:tcPr>
            <w:tcW w:w="1406" w:type="dxa"/>
            <w:vAlign w:val="center"/>
          </w:tcPr>
          <w:p w14:paraId="36B674DD">
            <w:pPr>
              <w:pStyle w:val="36"/>
              <w:jc w:val="center"/>
              <w:rPr>
                <w:color w:val="auto"/>
                <w:szCs w:val="20"/>
                <w:highlight w:val="none"/>
              </w:rPr>
            </w:pPr>
          </w:p>
        </w:tc>
        <w:tc>
          <w:tcPr>
            <w:tcW w:w="1345" w:type="dxa"/>
            <w:vAlign w:val="center"/>
          </w:tcPr>
          <w:p w14:paraId="7658FBF3">
            <w:pPr>
              <w:pStyle w:val="36"/>
              <w:jc w:val="center"/>
              <w:rPr>
                <w:color w:val="auto"/>
                <w:szCs w:val="20"/>
                <w:highlight w:val="none"/>
              </w:rPr>
            </w:pPr>
          </w:p>
        </w:tc>
      </w:tr>
      <w:tr w14:paraId="16576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61" w:type="dxa"/>
            <w:vMerge w:val="continue"/>
            <w:tcBorders>
              <w:top w:val="nil"/>
              <w:left w:val="single" w:color="auto" w:sz="4" w:space="0"/>
              <w:bottom w:val="single" w:color="auto" w:sz="4" w:space="0"/>
            </w:tcBorders>
          </w:tcPr>
          <w:p w14:paraId="29510886">
            <w:pPr>
              <w:pStyle w:val="36"/>
              <w:jc w:val="center"/>
              <w:rPr>
                <w:color w:val="auto"/>
                <w:szCs w:val="20"/>
                <w:highlight w:val="none"/>
              </w:rPr>
            </w:pPr>
          </w:p>
        </w:tc>
        <w:tc>
          <w:tcPr>
            <w:tcW w:w="1640" w:type="dxa"/>
            <w:tcBorders>
              <w:bottom w:val="single" w:color="auto" w:sz="4" w:space="0"/>
              <w:right w:val="single" w:color="auto" w:sz="4" w:space="0"/>
            </w:tcBorders>
            <w:vAlign w:val="center"/>
          </w:tcPr>
          <w:p w14:paraId="1380F6BA">
            <w:pPr>
              <w:pStyle w:val="36"/>
              <w:jc w:val="center"/>
              <w:rPr>
                <w:color w:val="auto"/>
                <w:szCs w:val="20"/>
                <w:highlight w:val="none"/>
              </w:rPr>
            </w:pPr>
          </w:p>
        </w:tc>
        <w:tc>
          <w:tcPr>
            <w:tcW w:w="1171" w:type="dxa"/>
            <w:tcBorders>
              <w:left w:val="single" w:color="auto" w:sz="4" w:space="0"/>
            </w:tcBorders>
            <w:vAlign w:val="center"/>
          </w:tcPr>
          <w:p w14:paraId="6DA55184">
            <w:pPr>
              <w:pStyle w:val="36"/>
              <w:jc w:val="center"/>
              <w:rPr>
                <w:color w:val="auto"/>
                <w:szCs w:val="20"/>
                <w:highlight w:val="none"/>
              </w:rPr>
            </w:pPr>
          </w:p>
        </w:tc>
        <w:tc>
          <w:tcPr>
            <w:tcW w:w="963" w:type="dxa"/>
            <w:vAlign w:val="center"/>
          </w:tcPr>
          <w:p w14:paraId="22DC7C23">
            <w:pPr>
              <w:pStyle w:val="36"/>
              <w:jc w:val="center"/>
              <w:rPr>
                <w:color w:val="auto"/>
                <w:szCs w:val="20"/>
                <w:highlight w:val="none"/>
              </w:rPr>
            </w:pPr>
          </w:p>
        </w:tc>
        <w:tc>
          <w:tcPr>
            <w:tcW w:w="1691" w:type="dxa"/>
            <w:vAlign w:val="center"/>
          </w:tcPr>
          <w:p w14:paraId="66E699EE">
            <w:pPr>
              <w:pStyle w:val="36"/>
              <w:jc w:val="center"/>
              <w:rPr>
                <w:color w:val="auto"/>
                <w:szCs w:val="20"/>
                <w:highlight w:val="none"/>
              </w:rPr>
            </w:pPr>
          </w:p>
        </w:tc>
        <w:tc>
          <w:tcPr>
            <w:tcW w:w="1406" w:type="dxa"/>
            <w:vAlign w:val="center"/>
          </w:tcPr>
          <w:p w14:paraId="73F68503">
            <w:pPr>
              <w:pStyle w:val="36"/>
              <w:jc w:val="center"/>
              <w:rPr>
                <w:color w:val="auto"/>
                <w:szCs w:val="20"/>
                <w:highlight w:val="none"/>
              </w:rPr>
            </w:pPr>
          </w:p>
        </w:tc>
        <w:tc>
          <w:tcPr>
            <w:tcW w:w="1345" w:type="dxa"/>
            <w:vAlign w:val="center"/>
          </w:tcPr>
          <w:p w14:paraId="52094126">
            <w:pPr>
              <w:pStyle w:val="36"/>
              <w:jc w:val="center"/>
              <w:rPr>
                <w:color w:val="auto"/>
                <w:szCs w:val="20"/>
                <w:highlight w:val="none"/>
              </w:rPr>
            </w:pPr>
          </w:p>
        </w:tc>
      </w:tr>
    </w:tbl>
    <w:p w14:paraId="171AC076">
      <w:pPr>
        <w:pStyle w:val="5"/>
        <w:spacing w:before="42" w:line="240" w:lineRule="auto"/>
        <w:ind w:firstLine="0"/>
        <w:rPr>
          <w:rFonts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（后附相关认证证书）</w:t>
      </w:r>
    </w:p>
    <w:p w14:paraId="30957CC8">
      <w:pPr>
        <w:pStyle w:val="5"/>
        <w:spacing w:before="179" w:line="300" w:lineRule="exact"/>
        <w:ind w:right="-102" w:firstLine="0"/>
        <w:rPr>
          <w:rFonts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填报要求：</w:t>
      </w:r>
    </w:p>
    <w:p w14:paraId="24921AF6">
      <w:pPr>
        <w:pStyle w:val="5"/>
        <w:spacing w:before="179" w:line="300" w:lineRule="exact"/>
        <w:ind w:right="-102" w:firstLine="0"/>
        <w:rPr>
          <w:rFonts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1、请根据采购文件“第五章 采购清单及技术参数 ”中要求的节能产品类型、环境标志产品类型，填写本表。</w:t>
      </w:r>
    </w:p>
    <w:p w14:paraId="5F2F49C6">
      <w:pPr>
        <w:pStyle w:val="5"/>
        <w:spacing w:before="179" w:line="300" w:lineRule="exact"/>
        <w:ind w:right="-102" w:firstLine="0"/>
        <w:rPr>
          <w:rFonts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2、本表的产品名称和品牌、型号、金额应与《报价明细表》一致。</w:t>
      </w:r>
    </w:p>
    <w:p w14:paraId="427341D1">
      <w:pPr>
        <w:pStyle w:val="5"/>
        <w:spacing w:before="179" w:line="300" w:lineRule="exact"/>
        <w:ind w:right="-102" w:firstLine="0"/>
        <w:rPr>
          <w:rFonts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3、请供应商正确填写本表，所填内容和后附的证明资料将作为评审的依据。其内容或数据应与对应的证明资料相符。未填写或未正确填写本表的，所提供的对应节能、环保证明资料不予认可。</w:t>
      </w:r>
    </w:p>
    <w:p w14:paraId="303025CA">
      <w:pPr>
        <w:pStyle w:val="5"/>
        <w:spacing w:before="179" w:line="300" w:lineRule="exact"/>
        <w:ind w:right="-102" w:firstLine="0"/>
        <w:rPr>
          <w:rFonts w:ascii="宋体" w:hAnsi="宋体" w:eastAsia="宋体" w:cs="宋体"/>
          <w:color w:val="auto"/>
          <w:sz w:val="24"/>
          <w:szCs w:val="24"/>
          <w:highlight w:val="none"/>
        </w:rPr>
      </w:pPr>
      <w:r>
        <w:rPr>
          <w:rFonts w:hint="eastAsia" w:ascii="宋体" w:hAnsi="宋体" w:eastAsia="宋体" w:cs="宋体"/>
          <w:b/>
          <w:bCs/>
          <w:color w:val="auto"/>
          <w:kern w:val="2"/>
          <w:sz w:val="24"/>
          <w:highlight w:val="none"/>
        </w:rPr>
        <w:t>4、无适用政府采购政策产品，可不填。</w:t>
      </w:r>
    </w:p>
    <w:p w14:paraId="68258A44">
      <w:pPr>
        <w:wordWrap w:val="0"/>
        <w:topLinePunct/>
        <w:spacing w:line="360" w:lineRule="auto"/>
        <w:ind w:firstLine="2520" w:firstLineChars="1050"/>
        <w:rPr>
          <w:color w:val="auto"/>
          <w:sz w:val="24"/>
          <w:szCs w:val="28"/>
          <w:highlight w:val="none"/>
        </w:rPr>
      </w:pPr>
    </w:p>
    <w:p w14:paraId="352AD6CC">
      <w:pPr>
        <w:wordWrap w:val="0"/>
        <w:topLinePunct/>
        <w:spacing w:line="360" w:lineRule="auto"/>
        <w:ind w:firstLine="2738" w:firstLineChars="1141"/>
        <w:rPr>
          <w:rFonts w:ascii="宋体" w:hAnsi="宋体" w:eastAsia="宋体" w:cs="宋体"/>
          <w:color w:val="auto"/>
          <w:sz w:val="24"/>
          <w:szCs w:val="24"/>
          <w:highlight w:val="none"/>
        </w:rPr>
      </w:pPr>
      <w:r>
        <w:rPr>
          <w:rFonts w:hint="eastAsia"/>
          <w:color w:val="auto"/>
          <w:sz w:val="24"/>
          <w:szCs w:val="28"/>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4"/>
          <w:highlight w:val="none"/>
        </w:rPr>
        <w:t>（</w:t>
      </w:r>
      <w:r>
        <w:rPr>
          <w:rFonts w:hint="eastAsia"/>
          <w:color w:val="auto"/>
          <w:sz w:val="24"/>
          <w:szCs w:val="28"/>
          <w:highlight w:val="none"/>
        </w:rPr>
        <w:t>电子签章</w:t>
      </w:r>
      <w:r>
        <w:rPr>
          <w:rFonts w:hint="eastAsia" w:ascii="宋体" w:hAnsi="宋体" w:eastAsia="宋体" w:cs="宋体"/>
          <w:color w:val="auto"/>
          <w:sz w:val="24"/>
          <w:szCs w:val="24"/>
          <w:highlight w:val="none"/>
        </w:rPr>
        <w:t>）：</w:t>
      </w:r>
    </w:p>
    <w:p w14:paraId="752D3F03">
      <w:pPr>
        <w:wordWrap w:val="0"/>
        <w:topLinePunct/>
        <w:spacing w:line="360" w:lineRule="auto"/>
        <w:ind w:firstLine="2738" w:firstLineChars="1141"/>
        <w:rPr>
          <w:rFonts w:ascii="宋体" w:hAnsi="宋体" w:eastAsia="宋体" w:cs="宋体"/>
          <w:color w:val="auto"/>
          <w:sz w:val="24"/>
          <w:szCs w:val="24"/>
          <w:highlight w:val="none"/>
        </w:rPr>
      </w:pPr>
      <w:r>
        <w:rPr>
          <w:rFonts w:hint="eastAsia"/>
          <w:color w:val="auto"/>
          <w:sz w:val="24"/>
          <w:szCs w:val="28"/>
          <w:highlight w:val="none"/>
        </w:rPr>
        <w:t>法定代表人：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4"/>
          <w:highlight w:val="none"/>
        </w:rPr>
        <w:t>（</w:t>
      </w:r>
      <w:r>
        <w:rPr>
          <w:rFonts w:hint="eastAsia"/>
          <w:color w:val="auto"/>
          <w:sz w:val="24"/>
          <w:szCs w:val="28"/>
          <w:highlight w:val="none"/>
        </w:rPr>
        <w:t>电子签章</w:t>
      </w:r>
      <w:r>
        <w:rPr>
          <w:rFonts w:hint="eastAsia" w:ascii="宋体" w:hAnsi="宋体" w:eastAsia="宋体" w:cs="宋体"/>
          <w:color w:val="auto"/>
          <w:kern w:val="0"/>
          <w:sz w:val="24"/>
          <w:highlight w:val="none"/>
          <w:lang w:bidi="ar"/>
        </w:rPr>
        <w:t>或签字</w:t>
      </w:r>
      <w:r>
        <w:rPr>
          <w:rFonts w:hint="eastAsia" w:ascii="宋体" w:hAnsi="宋体" w:eastAsia="宋体" w:cs="宋体"/>
          <w:color w:val="auto"/>
          <w:sz w:val="24"/>
          <w:szCs w:val="24"/>
          <w:highlight w:val="none"/>
        </w:rPr>
        <w:t xml:space="preserve">）： </w:t>
      </w:r>
    </w:p>
    <w:p w14:paraId="2A399C12">
      <w:pPr>
        <w:wordWrap w:val="0"/>
        <w:topLinePunct/>
        <w:spacing w:line="360" w:lineRule="auto"/>
        <w:ind w:firstLine="2738" w:firstLineChars="1141"/>
        <w:rPr>
          <w:rFonts w:ascii="宋体" w:hAnsi="宋体" w:eastAsia="宋体" w:cs="宋体"/>
          <w:b/>
          <w:bCs/>
          <w:color w:val="auto"/>
          <w:spacing w:val="6"/>
          <w:sz w:val="31"/>
          <w:szCs w:val="31"/>
          <w:highlight w:val="none"/>
        </w:rPr>
      </w:pPr>
      <w:r>
        <w:rPr>
          <w:rFonts w:hint="eastAsia"/>
          <w:color w:val="auto"/>
          <w:sz w:val="24"/>
          <w:szCs w:val="28"/>
          <w:highlight w:val="none"/>
        </w:rPr>
        <w:t>日 期：</w:t>
      </w:r>
      <w:r>
        <w:rPr>
          <w:rFonts w:hint="eastAsia"/>
          <w:color w:val="auto"/>
          <w:sz w:val="24"/>
          <w:szCs w:val="28"/>
          <w:highlight w:val="none"/>
          <w:u w:val="single"/>
        </w:rPr>
        <w:t xml:space="preserve">         </w:t>
      </w:r>
      <w:r>
        <w:rPr>
          <w:rFonts w:hint="eastAsia"/>
          <w:color w:val="auto"/>
          <w:sz w:val="24"/>
          <w:szCs w:val="28"/>
          <w:highlight w:val="none"/>
        </w:rPr>
        <w:t>年</w:t>
      </w:r>
      <w:r>
        <w:rPr>
          <w:rFonts w:hint="eastAsia"/>
          <w:color w:val="auto"/>
          <w:sz w:val="24"/>
          <w:szCs w:val="28"/>
          <w:highlight w:val="none"/>
          <w:u w:val="single"/>
        </w:rPr>
        <w:t xml:space="preserve">      </w:t>
      </w:r>
      <w:r>
        <w:rPr>
          <w:rFonts w:hint="eastAsia"/>
          <w:color w:val="auto"/>
          <w:sz w:val="24"/>
          <w:szCs w:val="28"/>
          <w:highlight w:val="none"/>
        </w:rPr>
        <w:t>月</w:t>
      </w:r>
      <w:r>
        <w:rPr>
          <w:rFonts w:hint="eastAsia"/>
          <w:color w:val="auto"/>
          <w:sz w:val="24"/>
          <w:szCs w:val="28"/>
          <w:highlight w:val="none"/>
          <w:u w:val="single"/>
        </w:rPr>
        <w:t xml:space="preserve">      </w:t>
      </w:r>
      <w:r>
        <w:rPr>
          <w:rFonts w:hint="eastAsia"/>
          <w:color w:val="auto"/>
          <w:sz w:val="24"/>
          <w:szCs w:val="28"/>
          <w:highlight w:val="none"/>
        </w:rPr>
        <w:t>日</w:t>
      </w:r>
    </w:p>
    <w:p w14:paraId="7D3CFB95">
      <w:pPr>
        <w:jc w:val="center"/>
        <w:rPr>
          <w:rFonts w:ascii="宋体" w:hAnsi="宋体" w:eastAsia="宋体" w:cs="宋体"/>
          <w:b/>
          <w:bCs/>
          <w:color w:val="auto"/>
          <w:spacing w:val="6"/>
          <w:sz w:val="31"/>
          <w:szCs w:val="31"/>
          <w:highlight w:val="none"/>
        </w:rPr>
      </w:pPr>
    </w:p>
    <w:p w14:paraId="18B0CF3A">
      <w:pPr>
        <w:jc w:val="center"/>
        <w:rPr>
          <w:rFonts w:ascii="宋体" w:hAnsi="宋体" w:eastAsia="宋体" w:cs="宋体"/>
          <w:b/>
          <w:bCs/>
          <w:color w:val="auto"/>
          <w:spacing w:val="6"/>
          <w:sz w:val="31"/>
          <w:szCs w:val="31"/>
          <w:highlight w:val="none"/>
        </w:rPr>
      </w:pPr>
    </w:p>
    <w:p w14:paraId="1372CA9D">
      <w:pPr>
        <w:jc w:val="center"/>
        <w:rPr>
          <w:b/>
          <w:bCs/>
          <w:color w:val="auto"/>
          <w:sz w:val="32"/>
          <w:szCs w:val="32"/>
          <w:highlight w:val="none"/>
        </w:rPr>
      </w:pPr>
      <w:r>
        <w:rPr>
          <w:rFonts w:hint="eastAsia"/>
          <w:b/>
          <w:bCs/>
          <w:color w:val="auto"/>
          <w:sz w:val="32"/>
          <w:szCs w:val="32"/>
          <w:highlight w:val="none"/>
        </w:rPr>
        <w:t>七、技术标部分</w:t>
      </w:r>
      <w:bookmarkEnd w:id="217"/>
      <w:bookmarkEnd w:id="218"/>
      <w:bookmarkEnd w:id="219"/>
    </w:p>
    <w:p w14:paraId="20AD7D79">
      <w:pPr>
        <w:spacing w:line="500" w:lineRule="exact"/>
        <w:jc w:val="center"/>
        <w:rPr>
          <w:rFonts w:ascii="宋体" w:hAnsi="宋体" w:cs="宋体"/>
          <w:color w:val="auto"/>
          <w:sz w:val="22"/>
          <w:highlight w:val="none"/>
        </w:rPr>
      </w:pPr>
      <w:r>
        <w:rPr>
          <w:rFonts w:hint="eastAsia" w:ascii="宋体" w:hAnsi="宋体" w:cs="宋体"/>
          <w:color w:val="auto"/>
          <w:sz w:val="22"/>
          <w:highlight w:val="none"/>
        </w:rPr>
        <w:t>（格式自拟）</w:t>
      </w:r>
    </w:p>
    <w:p w14:paraId="1EA431A0">
      <w:pPr>
        <w:rPr>
          <w:color w:val="auto"/>
          <w:highlight w:val="none"/>
        </w:rPr>
      </w:pPr>
      <w:bookmarkStart w:id="220" w:name="_Toc12073"/>
      <w:bookmarkEnd w:id="220"/>
      <w:r>
        <w:rPr>
          <w:rFonts w:hint="eastAsia"/>
          <w:color w:val="auto"/>
          <w:highlight w:val="none"/>
        </w:rPr>
        <w:br w:type="page"/>
      </w:r>
      <w:bookmarkStart w:id="221" w:name="_Toc2770"/>
      <w:bookmarkEnd w:id="221"/>
      <w:bookmarkStart w:id="222" w:name="_Toc20210"/>
      <w:bookmarkStart w:id="223" w:name="_Toc4724"/>
    </w:p>
    <w:p w14:paraId="5D7DB55C">
      <w:pPr>
        <w:pStyle w:val="4"/>
        <w:jc w:val="center"/>
        <w:rPr>
          <w:color w:val="auto"/>
          <w:highlight w:val="none"/>
        </w:rPr>
      </w:pPr>
      <w:r>
        <w:rPr>
          <w:rFonts w:hint="eastAsia"/>
          <w:color w:val="auto"/>
          <w:highlight w:val="none"/>
        </w:rPr>
        <w:t>八、供应商资格证明</w:t>
      </w:r>
      <w:bookmarkEnd w:id="222"/>
      <w:bookmarkEnd w:id="223"/>
      <w:r>
        <w:rPr>
          <w:rFonts w:hint="eastAsia"/>
          <w:color w:val="auto"/>
          <w:highlight w:val="none"/>
        </w:rPr>
        <w:t>材料</w:t>
      </w:r>
    </w:p>
    <w:p w14:paraId="24F9CE8D">
      <w:pPr>
        <w:jc w:val="center"/>
        <w:rPr>
          <w:rFonts w:ascii="宋体" w:hAnsi="宋体" w:cs="宋体"/>
          <w:color w:val="auto"/>
          <w:sz w:val="24"/>
          <w:highlight w:val="none"/>
        </w:rPr>
      </w:pPr>
      <w:bookmarkStart w:id="224" w:name="_Toc361989464"/>
      <w:bookmarkEnd w:id="224"/>
      <w:r>
        <w:rPr>
          <w:rFonts w:hint="eastAsia" w:ascii="宋体" w:hAnsi="宋体" w:cs="宋体"/>
          <w:color w:val="auto"/>
          <w:sz w:val="24"/>
          <w:highlight w:val="none"/>
        </w:rPr>
        <w:br w:type="page"/>
      </w:r>
      <w:bookmarkStart w:id="225" w:name="_Toc244934216"/>
      <w:bookmarkEnd w:id="225"/>
      <w:bookmarkStart w:id="226" w:name="_Toc361989466"/>
      <w:bookmarkEnd w:id="226"/>
      <w:bookmarkStart w:id="227" w:name="_Toc528078075"/>
      <w:bookmarkEnd w:id="227"/>
      <w:bookmarkStart w:id="228" w:name="_Toc361989467"/>
      <w:bookmarkEnd w:id="228"/>
      <w:bookmarkStart w:id="229" w:name="_Toc234213567"/>
      <w:bookmarkEnd w:id="229"/>
      <w:bookmarkStart w:id="230" w:name="_Toc7868"/>
    </w:p>
    <w:p w14:paraId="0875616F">
      <w:pPr>
        <w:pStyle w:val="4"/>
        <w:jc w:val="center"/>
        <w:rPr>
          <w:color w:val="auto"/>
          <w:highlight w:val="none"/>
        </w:rPr>
      </w:pPr>
      <w:r>
        <w:rPr>
          <w:rFonts w:hint="eastAsia"/>
          <w:color w:val="auto"/>
          <w:highlight w:val="none"/>
        </w:rPr>
        <w:t>九、</w:t>
      </w:r>
      <w:bookmarkEnd w:id="230"/>
      <w:r>
        <w:rPr>
          <w:rFonts w:hint="eastAsia"/>
          <w:color w:val="auto"/>
          <w:highlight w:val="none"/>
        </w:rPr>
        <w:t>商务标部分</w:t>
      </w:r>
    </w:p>
    <w:p w14:paraId="38BF987F">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14:paraId="27AEF64B">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738A6DB2">
      <w:pPr>
        <w:pStyle w:val="4"/>
        <w:jc w:val="center"/>
        <w:rPr>
          <w:color w:val="auto"/>
          <w:highlight w:val="none"/>
        </w:rPr>
      </w:pPr>
      <w:bookmarkStart w:id="231" w:name="_Toc528078076"/>
      <w:bookmarkEnd w:id="231"/>
      <w:bookmarkStart w:id="232" w:name="_Toc361989468"/>
      <w:bookmarkEnd w:id="232"/>
      <w:bookmarkStart w:id="233" w:name="_Toc244934217"/>
      <w:bookmarkEnd w:id="233"/>
      <w:bookmarkStart w:id="234" w:name="_Toc23775"/>
      <w:r>
        <w:rPr>
          <w:rFonts w:hint="eastAsia"/>
          <w:color w:val="auto"/>
          <w:highlight w:val="none"/>
        </w:rPr>
        <w:t>十、其他资料</w:t>
      </w:r>
      <w:bookmarkEnd w:id="234"/>
    </w:p>
    <w:p w14:paraId="1C1A90CD">
      <w:pPr>
        <w:jc w:val="center"/>
        <w:rPr>
          <w:rFonts w:ascii="宋体" w:hAnsi="宋体" w:cs="宋体"/>
          <w:b/>
          <w:bCs/>
          <w:color w:val="auto"/>
          <w:sz w:val="24"/>
          <w:highlight w:val="none"/>
        </w:rPr>
      </w:pPr>
    </w:p>
    <w:p w14:paraId="6CB4542E">
      <w:pPr>
        <w:jc w:val="center"/>
        <w:outlineLvl w:val="2"/>
        <w:rPr>
          <w:rFonts w:hint="eastAsia" w:ascii="宋体" w:hAnsi="宋体" w:cs="宋体"/>
          <w:b/>
          <w:bCs/>
          <w:color w:val="auto"/>
          <w:sz w:val="24"/>
          <w:highlight w:val="none"/>
        </w:rPr>
      </w:pPr>
      <w:bookmarkStart w:id="235" w:name="_Toc30780"/>
      <w:bookmarkStart w:id="236" w:name="_Toc24855"/>
      <w:r>
        <w:rPr>
          <w:rFonts w:hint="eastAsia" w:ascii="宋体" w:hAnsi="宋体" w:cs="宋体"/>
          <w:b/>
          <w:bCs/>
          <w:color w:val="auto"/>
          <w:sz w:val="24"/>
          <w:highlight w:val="none"/>
        </w:rPr>
        <w:t>（供应商认为应该提交的资料）</w:t>
      </w:r>
      <w:bookmarkEnd w:id="235"/>
      <w:bookmarkEnd w:id="236"/>
    </w:p>
    <w:p w14:paraId="6F47CF12">
      <w:pPr>
        <w:jc w:val="center"/>
        <w:rPr>
          <w:rFonts w:ascii="宋体" w:hAnsi="宋体" w:cs="宋体"/>
          <w:b/>
          <w:bCs/>
          <w:color w:val="auto"/>
          <w:sz w:val="24"/>
          <w:highlight w:val="none"/>
        </w:rPr>
      </w:pPr>
    </w:p>
    <w:p w14:paraId="52F8C3F2">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2AF970F8">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DDBA36D">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E7E25AC">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6B19996B">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53E0869">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679E92A0">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C257394">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6146A8A">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4AB3844">
      <w:pPr>
        <w:rPr>
          <w:rFonts w:ascii="宋体" w:hAnsi="宋体" w:cs="宋体"/>
          <w:color w:val="auto"/>
          <w:sz w:val="24"/>
          <w:highlight w:val="none"/>
        </w:rPr>
      </w:pPr>
      <w:r>
        <w:rPr>
          <w:rFonts w:hint="eastAsia" w:ascii="宋体" w:hAnsi="宋体" w:cs="宋体"/>
          <w:color w:val="auto"/>
          <w:sz w:val="24"/>
          <w:highlight w:val="none"/>
        </w:rPr>
        <w:t xml:space="preserve"> </w:t>
      </w:r>
    </w:p>
    <w:p w14:paraId="1C6B0373">
      <w:pPr>
        <w:rPr>
          <w:rFonts w:ascii="宋体" w:hAnsi="宋体" w:cs="宋体"/>
          <w:color w:val="auto"/>
          <w:sz w:val="24"/>
          <w:highlight w:val="none"/>
        </w:rPr>
      </w:pPr>
      <w:r>
        <w:rPr>
          <w:rFonts w:hint="eastAsia" w:ascii="宋体" w:hAnsi="宋体" w:cs="宋体"/>
          <w:color w:val="auto"/>
          <w:sz w:val="24"/>
          <w:highlight w:val="none"/>
        </w:rPr>
        <w:t xml:space="preserve"> </w:t>
      </w:r>
    </w:p>
    <w:p w14:paraId="11C238AA">
      <w:pPr>
        <w:rPr>
          <w:rFonts w:ascii="宋体" w:hAnsi="宋体" w:cs="宋体"/>
          <w:color w:val="auto"/>
          <w:sz w:val="24"/>
          <w:highlight w:val="none"/>
        </w:rPr>
      </w:pPr>
    </w:p>
    <w:p w14:paraId="61CE91EB">
      <w:pPr>
        <w:rPr>
          <w:rFonts w:ascii="宋体" w:hAnsi="宋体" w:cs="宋体"/>
          <w:color w:val="auto"/>
          <w:sz w:val="24"/>
          <w:highlight w:val="none"/>
        </w:rPr>
      </w:pPr>
    </w:p>
    <w:p w14:paraId="05DD4AD2">
      <w:pPr>
        <w:rPr>
          <w:rFonts w:ascii="宋体" w:hAnsi="宋体" w:cs="宋体"/>
          <w:color w:val="auto"/>
          <w:sz w:val="24"/>
          <w:highlight w:val="none"/>
        </w:rPr>
      </w:pPr>
    </w:p>
    <w:p w14:paraId="14045457">
      <w:pPr>
        <w:rPr>
          <w:rFonts w:ascii="宋体" w:hAnsi="宋体" w:eastAsia="宋体" w:cs="宋体"/>
          <w:color w:val="auto"/>
          <w:sz w:val="24"/>
          <w:szCs w:val="24"/>
          <w:highlight w:val="none"/>
        </w:rPr>
      </w:pPr>
    </w:p>
    <w:p w14:paraId="5D644510">
      <w:pPr>
        <w:widowControl/>
        <w:jc w:val="left"/>
        <w:rPr>
          <w:color w:val="auto"/>
          <w:highlight w:val="none"/>
        </w:rPr>
      </w:pPr>
      <w:r>
        <w:rPr>
          <w:color w:val="auto"/>
          <w:highlight w:val="none"/>
        </w:rPr>
        <w:br w:type="page"/>
      </w:r>
    </w:p>
    <w:p w14:paraId="24BF90E8">
      <w:pPr>
        <w:wordWrap w:val="0"/>
        <w:topLinePunct/>
        <w:adjustRightInd w:val="0"/>
        <w:spacing w:line="360" w:lineRule="auto"/>
        <w:ind w:left="63" w:leftChars="30" w:right="63" w:rightChars="30"/>
        <w:jc w:val="center"/>
        <w:textAlignment w:val="baseline"/>
        <w:rPr>
          <w:rFonts w:hint="eastAsia" w:ascii="宋体" w:hAnsi="宋体" w:eastAsia="宋体" w:cs="宋体"/>
          <w:b/>
          <w:color w:val="auto"/>
          <w:sz w:val="28"/>
          <w:szCs w:val="28"/>
          <w:highlight w:val="none"/>
        </w:rPr>
      </w:pPr>
      <w:bookmarkStart w:id="237" w:name="_Toc3644"/>
      <w:bookmarkStart w:id="238" w:name="_Toc16401"/>
      <w:bookmarkStart w:id="239" w:name="_Toc24738"/>
      <w:r>
        <w:rPr>
          <w:rFonts w:hint="eastAsia" w:ascii="宋体" w:hAnsi="宋体" w:eastAsia="宋体" w:cs="宋体"/>
          <w:b/>
          <w:color w:val="auto"/>
          <w:sz w:val="28"/>
          <w:szCs w:val="28"/>
          <w:highlight w:val="none"/>
        </w:rPr>
        <w:t>附件一：中小企业声明函</w:t>
      </w:r>
      <w:bookmarkEnd w:id="237"/>
      <w:bookmarkEnd w:id="238"/>
      <w:bookmarkEnd w:id="239"/>
    </w:p>
    <w:p w14:paraId="78282D12">
      <w:pPr>
        <w:wordWrap w:val="0"/>
        <w:topLinePunct/>
        <w:adjustRightInd w:val="0"/>
        <w:spacing w:line="360" w:lineRule="auto"/>
        <w:ind w:left="63" w:leftChars="30" w:right="63" w:rightChars="30"/>
        <w:textAlignment w:val="baseline"/>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附件1</w:t>
      </w:r>
    </w:p>
    <w:p w14:paraId="788461F4">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中小企业声明函（货物）</w:t>
      </w:r>
    </w:p>
    <w:p w14:paraId="731764E0">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3FFC7C5D">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17710E18">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1D2F5C01">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EDB86D7">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A5B1D89">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6AF366F">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71D68C62">
      <w:pPr>
        <w:spacing w:line="360" w:lineRule="auto"/>
        <w:ind w:firstLine="480" w:firstLineChars="200"/>
        <w:rPr>
          <w:color w:val="auto"/>
          <w:sz w:val="24"/>
          <w:szCs w:val="28"/>
          <w:highlight w:val="none"/>
        </w:rPr>
      </w:pPr>
      <w:r>
        <w:rPr>
          <w:rFonts w:hint="eastAsia" w:ascii="宋体" w:hAnsi="宋体" w:eastAsia="宋体" w:cs="宋体"/>
          <w:color w:val="auto"/>
          <w:sz w:val="24"/>
          <w:szCs w:val="24"/>
          <w:highlight w:val="none"/>
        </w:rPr>
        <w:t xml:space="preserve">                    </w:t>
      </w:r>
      <w:r>
        <w:rPr>
          <w:rFonts w:hint="eastAsia"/>
          <w:color w:val="auto"/>
          <w:sz w:val="24"/>
          <w:szCs w:val="28"/>
          <w:highlight w:val="none"/>
        </w:rPr>
        <w:t>供应商名称：</w:t>
      </w:r>
      <w:r>
        <w:rPr>
          <w:rFonts w:hint="eastAsia" w:ascii="宋体" w:hAnsi="宋体" w:eastAsia="宋体" w:cs="宋体"/>
          <w:color w:val="auto"/>
          <w:sz w:val="24"/>
          <w:szCs w:val="20"/>
          <w:highlight w:val="none"/>
          <w:u w:val="single"/>
        </w:rPr>
        <w:t xml:space="preserve">              </w:t>
      </w:r>
      <w:r>
        <w:rPr>
          <w:rFonts w:hint="eastAsia"/>
          <w:color w:val="auto"/>
          <w:sz w:val="24"/>
          <w:szCs w:val="28"/>
          <w:highlight w:val="none"/>
        </w:rPr>
        <w:t>（电子签章）</w:t>
      </w:r>
    </w:p>
    <w:p w14:paraId="38CD3DED">
      <w:pPr>
        <w:spacing w:line="360" w:lineRule="auto"/>
        <w:ind w:firstLine="2880" w:firstLineChars="1200"/>
        <w:rPr>
          <w:color w:val="auto"/>
          <w:sz w:val="24"/>
          <w:szCs w:val="28"/>
          <w:highlight w:val="none"/>
        </w:rPr>
      </w:pPr>
      <w:r>
        <w:rPr>
          <w:rFonts w:hint="eastAsia"/>
          <w:color w:val="auto"/>
          <w:sz w:val="24"/>
          <w:szCs w:val="28"/>
          <w:highlight w:val="none"/>
        </w:rPr>
        <w:t>法定代表人：</w:t>
      </w:r>
      <w:r>
        <w:rPr>
          <w:rFonts w:hint="eastAsia" w:ascii="宋体" w:hAnsi="宋体" w:eastAsia="宋体" w:cs="宋体"/>
          <w:color w:val="auto"/>
          <w:sz w:val="24"/>
          <w:szCs w:val="20"/>
          <w:highlight w:val="none"/>
          <w:u w:val="single"/>
        </w:rPr>
        <w:t xml:space="preserve">              </w:t>
      </w:r>
      <w:r>
        <w:rPr>
          <w:rFonts w:hint="eastAsia"/>
          <w:color w:val="auto"/>
          <w:sz w:val="24"/>
          <w:szCs w:val="28"/>
          <w:highlight w:val="none"/>
        </w:rPr>
        <w:t>（电子签章</w:t>
      </w:r>
      <w:r>
        <w:rPr>
          <w:rFonts w:hint="eastAsia" w:ascii="宋体" w:hAnsi="宋体" w:eastAsia="宋体" w:cs="宋体"/>
          <w:color w:val="auto"/>
          <w:kern w:val="0"/>
          <w:sz w:val="24"/>
          <w:highlight w:val="none"/>
          <w:lang w:bidi="ar"/>
        </w:rPr>
        <w:t>或签字</w:t>
      </w:r>
      <w:r>
        <w:rPr>
          <w:rFonts w:hint="eastAsia"/>
          <w:color w:val="auto"/>
          <w:sz w:val="24"/>
          <w:szCs w:val="28"/>
          <w:highlight w:val="none"/>
        </w:rPr>
        <w:t>）</w:t>
      </w:r>
    </w:p>
    <w:p w14:paraId="2D8072BE">
      <w:pPr>
        <w:wordWrap w:val="0"/>
        <w:topLinePunct/>
        <w:adjustRightInd w:val="0"/>
        <w:snapToGrid w:val="0"/>
        <w:spacing w:line="360" w:lineRule="auto"/>
        <w:jc w:val="center"/>
        <w:rPr>
          <w:rFonts w:ascii="宋体" w:hAnsi="宋体" w:eastAsia="宋体" w:cs="宋体"/>
          <w:color w:val="auto"/>
          <w:sz w:val="24"/>
          <w:szCs w:val="24"/>
          <w:highlight w:val="none"/>
        </w:rPr>
      </w:pPr>
    </w:p>
    <w:p w14:paraId="7A648565">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color w:val="auto"/>
          <w:sz w:val="24"/>
          <w:szCs w:val="28"/>
          <w:highlight w:val="none"/>
          <w:u w:val="single"/>
        </w:rPr>
        <w:t xml:space="preserve">         </w:t>
      </w:r>
      <w:r>
        <w:rPr>
          <w:rFonts w:hint="eastAsia"/>
          <w:color w:val="auto"/>
          <w:sz w:val="24"/>
          <w:szCs w:val="28"/>
          <w:highlight w:val="none"/>
        </w:rPr>
        <w:t>年</w:t>
      </w:r>
      <w:r>
        <w:rPr>
          <w:rFonts w:hint="eastAsia"/>
          <w:color w:val="auto"/>
          <w:sz w:val="24"/>
          <w:szCs w:val="28"/>
          <w:highlight w:val="none"/>
          <w:u w:val="single"/>
        </w:rPr>
        <w:t xml:space="preserve">      </w:t>
      </w:r>
      <w:r>
        <w:rPr>
          <w:rFonts w:hint="eastAsia"/>
          <w:color w:val="auto"/>
          <w:sz w:val="24"/>
          <w:szCs w:val="28"/>
          <w:highlight w:val="none"/>
        </w:rPr>
        <w:t>月</w:t>
      </w:r>
      <w:r>
        <w:rPr>
          <w:rFonts w:hint="eastAsia"/>
          <w:color w:val="auto"/>
          <w:sz w:val="24"/>
          <w:szCs w:val="28"/>
          <w:highlight w:val="none"/>
          <w:u w:val="single"/>
        </w:rPr>
        <w:t xml:space="preserve">      </w:t>
      </w:r>
      <w:r>
        <w:rPr>
          <w:rFonts w:hint="eastAsia"/>
          <w:color w:val="auto"/>
          <w:sz w:val="24"/>
          <w:szCs w:val="28"/>
          <w:highlight w:val="none"/>
        </w:rPr>
        <w:t>日</w:t>
      </w:r>
    </w:p>
    <w:p w14:paraId="274D32DF">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5E359526">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6329FCB7">
      <w:pPr>
        <w:spacing w:line="360" w:lineRule="auto"/>
        <w:ind w:firstLine="168" w:firstLineChars="67"/>
        <w:rPr>
          <w:rFonts w:ascii="宋体" w:hAnsi="宋体" w:cs="仿宋"/>
          <w:color w:val="auto"/>
          <w:sz w:val="24"/>
          <w:szCs w:val="24"/>
          <w:highlight w:val="none"/>
        </w:rPr>
      </w:pPr>
      <w:r>
        <w:rPr>
          <w:rFonts w:hint="eastAsia" w:ascii="宋体" w:hAnsi="宋体" w:eastAsia="宋体" w:cs="宋体"/>
          <w:color w:val="auto"/>
          <w:spacing w:val="6"/>
          <w:sz w:val="24"/>
          <w:szCs w:val="24"/>
          <w:highlight w:val="none"/>
        </w:rPr>
        <w:t>1、从业人员、营业收入、资产总额填报上一年度数据，无上一年度数据的新成立企业可不填报。</w:t>
      </w:r>
    </w:p>
    <w:p w14:paraId="6368589D">
      <w:pPr>
        <w:spacing w:line="4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注：如果投标人不满足中小微企业的认定标准，或所投产品的制造商不符合小型微型企业认定标准的，需在横线部分填写“/”。</w:t>
      </w:r>
    </w:p>
    <w:p w14:paraId="1EF64C8F">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05667926">
      <w:pPr>
        <w:wordWrap w:val="0"/>
        <w:topLinePunct/>
        <w:adjustRightInd w:val="0"/>
        <w:spacing w:line="360" w:lineRule="auto"/>
        <w:ind w:left="63" w:leftChars="30" w:right="63" w:rightChars="30"/>
        <w:textAlignment w:val="baseline"/>
        <w:rPr>
          <w:rFonts w:hint="eastAsia" w:ascii="宋体" w:hAnsi="宋体" w:eastAsia="宋体" w:cs="宋体"/>
          <w:color w:val="auto"/>
          <w:sz w:val="24"/>
          <w:szCs w:val="24"/>
          <w:highlight w:val="none"/>
        </w:rPr>
      </w:pPr>
      <w:bookmarkStart w:id="240" w:name="_Toc2102"/>
      <w:bookmarkStart w:id="241" w:name="_Toc28455"/>
      <w:r>
        <w:rPr>
          <w:rFonts w:hint="eastAsia" w:ascii="宋体" w:hAnsi="宋体" w:eastAsia="宋体" w:cs="宋体"/>
          <w:color w:val="auto"/>
          <w:sz w:val="24"/>
          <w:szCs w:val="24"/>
          <w:highlight w:val="none"/>
        </w:rPr>
        <w:t>附件2</w:t>
      </w:r>
      <w:bookmarkEnd w:id="240"/>
      <w:bookmarkEnd w:id="241"/>
    </w:p>
    <w:p w14:paraId="50A0B2C4">
      <w:pPr>
        <w:wordWrap w:val="0"/>
        <w:topLinePunct/>
        <w:adjustRightInd w:val="0"/>
        <w:snapToGrid w:val="0"/>
        <w:ind w:firstLine="480" w:firstLineChars="200"/>
        <w:rPr>
          <w:rFonts w:ascii="宋体" w:hAnsi="宋体" w:eastAsia="宋体" w:cs="宋体"/>
          <w:color w:val="auto"/>
          <w:sz w:val="24"/>
          <w:szCs w:val="24"/>
          <w:highlight w:val="none"/>
        </w:rPr>
      </w:pPr>
    </w:p>
    <w:p w14:paraId="2E99BCBB">
      <w:pPr>
        <w:wordWrap w:val="0"/>
        <w:topLinePunct/>
        <w:adjustRightInd w:val="0"/>
        <w:snapToGrid w:val="0"/>
        <w:ind w:firstLine="360" w:firstLineChars="150"/>
        <w:rPr>
          <w:rFonts w:ascii="宋体" w:hAnsi="宋体" w:eastAsia="宋体" w:cs="宋体"/>
          <w:color w:val="auto"/>
          <w:sz w:val="24"/>
          <w:szCs w:val="24"/>
          <w:highlight w:val="none"/>
        </w:rPr>
      </w:pPr>
    </w:p>
    <w:p w14:paraId="624D8CC4">
      <w:pPr>
        <w:wordWrap w:val="0"/>
        <w:topLinePunct/>
        <w:adjustRightInd w:val="0"/>
        <w:spacing w:line="360" w:lineRule="auto"/>
        <w:ind w:left="63" w:leftChars="30" w:right="63" w:rightChars="30"/>
        <w:jc w:val="center"/>
        <w:textAlignment w:val="baseline"/>
        <w:rPr>
          <w:rFonts w:hint="eastAsia" w:ascii="宋体" w:hAnsi="宋体" w:eastAsia="宋体" w:cs="宋体"/>
          <w:b/>
          <w:color w:val="auto"/>
          <w:sz w:val="24"/>
          <w:szCs w:val="24"/>
          <w:highlight w:val="none"/>
          <w:lang w:val="zh-CN"/>
        </w:rPr>
      </w:pPr>
      <w:bookmarkStart w:id="242" w:name="_Toc30785"/>
      <w:bookmarkStart w:id="243" w:name="_Toc20491"/>
      <w:r>
        <w:rPr>
          <w:rFonts w:hint="eastAsia" w:ascii="宋体" w:hAnsi="宋体" w:eastAsia="宋体" w:cs="宋体"/>
          <w:b/>
          <w:color w:val="auto"/>
          <w:sz w:val="24"/>
          <w:szCs w:val="24"/>
          <w:highlight w:val="none"/>
          <w:lang w:val="zh-CN"/>
        </w:rPr>
        <w:t>监狱企业证明文件</w:t>
      </w:r>
      <w:bookmarkEnd w:id="242"/>
      <w:bookmarkEnd w:id="243"/>
      <w:r>
        <w:rPr>
          <w:rFonts w:hint="eastAsia" w:ascii="宋体" w:hAnsi="宋体" w:eastAsia="宋体" w:cs="宋体"/>
          <w:b/>
          <w:color w:val="auto"/>
          <w:sz w:val="24"/>
          <w:szCs w:val="24"/>
          <w:highlight w:val="none"/>
        </w:rPr>
        <w:t>（如有）</w:t>
      </w:r>
    </w:p>
    <w:p w14:paraId="2801924C">
      <w:pPr>
        <w:wordWrap w:val="0"/>
        <w:topLinePunct/>
        <w:jc w:val="center"/>
        <w:rPr>
          <w:rFonts w:ascii="宋体" w:hAnsi="宋体" w:eastAsia="宋体" w:cs="宋体"/>
          <w:b/>
          <w:bCs/>
          <w:color w:val="auto"/>
          <w:sz w:val="24"/>
          <w:szCs w:val="24"/>
          <w:highlight w:val="none"/>
        </w:rPr>
      </w:pPr>
    </w:p>
    <w:p w14:paraId="44B25D9A">
      <w:pPr>
        <w:wordWrap w:val="0"/>
        <w:topLinePunct/>
        <w:spacing w:line="500" w:lineRule="exact"/>
        <w:rPr>
          <w:rFonts w:ascii="宋体" w:hAnsi="宋体" w:eastAsia="宋体" w:cs="宋体"/>
          <w:color w:val="auto"/>
          <w:spacing w:val="6"/>
          <w:sz w:val="24"/>
          <w:szCs w:val="24"/>
          <w:highlight w:val="none"/>
        </w:rPr>
      </w:pPr>
    </w:p>
    <w:p w14:paraId="726EC233">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3F04BEB">
      <w:pPr>
        <w:wordWrap w:val="0"/>
        <w:topLinePunct/>
        <w:spacing w:line="500" w:lineRule="exact"/>
        <w:ind w:firstLine="504" w:firstLineChars="200"/>
        <w:rPr>
          <w:rFonts w:ascii="宋体" w:hAnsi="宋体" w:eastAsia="宋体" w:cs="宋体"/>
          <w:color w:val="auto"/>
          <w:spacing w:val="6"/>
          <w:sz w:val="24"/>
          <w:szCs w:val="24"/>
          <w:highlight w:val="none"/>
        </w:rPr>
      </w:pPr>
    </w:p>
    <w:p w14:paraId="73405A1B">
      <w:pPr>
        <w:wordWrap w:val="0"/>
        <w:topLinePunct/>
        <w:spacing w:line="500" w:lineRule="exact"/>
        <w:ind w:firstLine="504" w:firstLineChars="200"/>
        <w:rPr>
          <w:rFonts w:ascii="宋体" w:hAnsi="宋体" w:eastAsia="宋体" w:cs="宋体"/>
          <w:color w:val="auto"/>
          <w:spacing w:val="6"/>
          <w:sz w:val="24"/>
          <w:szCs w:val="24"/>
          <w:highlight w:val="none"/>
        </w:rPr>
      </w:pPr>
    </w:p>
    <w:p w14:paraId="70019DB0">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747C3E59">
      <w:pPr>
        <w:wordWrap w:val="0"/>
        <w:topLinePunct/>
        <w:spacing w:line="500" w:lineRule="exact"/>
        <w:rPr>
          <w:rFonts w:ascii="宋体" w:hAnsi="宋体" w:eastAsia="宋体" w:cs="宋体"/>
          <w:color w:val="auto"/>
          <w:sz w:val="24"/>
          <w:szCs w:val="24"/>
          <w:highlight w:val="none"/>
        </w:rPr>
      </w:pPr>
    </w:p>
    <w:p w14:paraId="44E1A11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CEB9EE">
      <w:pPr>
        <w:wordWrap w:val="0"/>
        <w:topLinePunct/>
        <w:spacing w:line="360" w:lineRule="auto"/>
        <w:ind w:firstLine="480" w:firstLineChars="200"/>
        <w:rPr>
          <w:rFonts w:ascii="宋体" w:hAnsi="宋体" w:eastAsia="宋体" w:cs="宋体"/>
          <w:color w:val="auto"/>
          <w:sz w:val="24"/>
          <w:szCs w:val="24"/>
          <w:highlight w:val="none"/>
        </w:rPr>
      </w:pPr>
    </w:p>
    <w:p w14:paraId="557EBF73">
      <w:pPr>
        <w:wordWrap w:val="0"/>
        <w:topLinePunct/>
        <w:spacing w:line="360" w:lineRule="auto"/>
        <w:ind w:firstLine="480" w:firstLineChars="200"/>
        <w:rPr>
          <w:rFonts w:ascii="宋体" w:hAnsi="宋体" w:eastAsia="宋体" w:cs="宋体"/>
          <w:color w:val="auto"/>
          <w:sz w:val="24"/>
          <w:szCs w:val="24"/>
          <w:highlight w:val="none"/>
        </w:rPr>
      </w:pPr>
      <w:r>
        <w:rPr>
          <w:rFonts w:hint="eastAsia"/>
          <w:color w:val="auto"/>
          <w:sz w:val="24"/>
          <w:szCs w:val="28"/>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4"/>
          <w:highlight w:val="none"/>
        </w:rPr>
        <w:t>（</w:t>
      </w:r>
      <w:r>
        <w:rPr>
          <w:rFonts w:hint="eastAsia"/>
          <w:color w:val="auto"/>
          <w:sz w:val="24"/>
          <w:szCs w:val="28"/>
          <w:highlight w:val="none"/>
        </w:rPr>
        <w:t>电子签章</w:t>
      </w:r>
      <w:r>
        <w:rPr>
          <w:rFonts w:hint="eastAsia" w:ascii="宋体" w:hAnsi="宋体" w:eastAsia="宋体" w:cs="宋体"/>
          <w:color w:val="auto"/>
          <w:sz w:val="24"/>
          <w:szCs w:val="24"/>
          <w:highlight w:val="none"/>
        </w:rPr>
        <w:t>）：</w:t>
      </w:r>
    </w:p>
    <w:p w14:paraId="589DD8A8">
      <w:pPr>
        <w:wordWrap w:val="0"/>
        <w:topLinePunct/>
        <w:spacing w:line="360" w:lineRule="auto"/>
        <w:ind w:firstLine="480" w:firstLineChars="200"/>
        <w:rPr>
          <w:rFonts w:ascii="宋体" w:hAnsi="宋体" w:eastAsia="宋体" w:cs="宋体"/>
          <w:color w:val="auto"/>
          <w:sz w:val="24"/>
          <w:szCs w:val="24"/>
          <w:highlight w:val="none"/>
        </w:rPr>
      </w:pPr>
      <w:r>
        <w:rPr>
          <w:rFonts w:hint="eastAsia"/>
          <w:color w:val="auto"/>
          <w:sz w:val="24"/>
          <w:szCs w:val="28"/>
          <w:highlight w:val="none"/>
        </w:rPr>
        <w:t>法定代表人：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4"/>
          <w:highlight w:val="none"/>
        </w:rPr>
        <w:t>（</w:t>
      </w:r>
      <w:r>
        <w:rPr>
          <w:rFonts w:hint="eastAsia"/>
          <w:color w:val="auto"/>
          <w:sz w:val="24"/>
          <w:szCs w:val="28"/>
          <w:highlight w:val="none"/>
        </w:rPr>
        <w:t>电子签章</w:t>
      </w:r>
      <w:r>
        <w:rPr>
          <w:rFonts w:hint="eastAsia" w:ascii="宋体" w:hAnsi="宋体" w:eastAsia="宋体" w:cs="宋体"/>
          <w:color w:val="auto"/>
          <w:kern w:val="0"/>
          <w:sz w:val="24"/>
          <w:highlight w:val="none"/>
          <w:lang w:bidi="ar"/>
        </w:rPr>
        <w:t>或签字</w:t>
      </w:r>
      <w:r>
        <w:rPr>
          <w:rFonts w:hint="eastAsia" w:ascii="宋体" w:hAnsi="宋体" w:eastAsia="宋体" w:cs="宋体"/>
          <w:color w:val="auto"/>
          <w:sz w:val="24"/>
          <w:szCs w:val="24"/>
          <w:highlight w:val="none"/>
        </w:rPr>
        <w:t xml:space="preserve">）： </w:t>
      </w:r>
    </w:p>
    <w:p w14:paraId="34979EA0">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color w:val="auto"/>
          <w:sz w:val="24"/>
          <w:szCs w:val="28"/>
          <w:highlight w:val="none"/>
          <w:u w:val="single"/>
        </w:rPr>
        <w:t xml:space="preserve">         </w:t>
      </w:r>
      <w:r>
        <w:rPr>
          <w:rFonts w:hint="eastAsia"/>
          <w:color w:val="auto"/>
          <w:sz w:val="24"/>
          <w:szCs w:val="28"/>
          <w:highlight w:val="none"/>
        </w:rPr>
        <w:t>年</w:t>
      </w:r>
      <w:r>
        <w:rPr>
          <w:rFonts w:hint="eastAsia"/>
          <w:color w:val="auto"/>
          <w:sz w:val="24"/>
          <w:szCs w:val="28"/>
          <w:highlight w:val="none"/>
          <w:u w:val="single"/>
        </w:rPr>
        <w:t xml:space="preserve">      </w:t>
      </w:r>
      <w:r>
        <w:rPr>
          <w:rFonts w:hint="eastAsia"/>
          <w:color w:val="auto"/>
          <w:sz w:val="24"/>
          <w:szCs w:val="28"/>
          <w:highlight w:val="none"/>
        </w:rPr>
        <w:t>月</w:t>
      </w:r>
      <w:r>
        <w:rPr>
          <w:rFonts w:hint="eastAsia"/>
          <w:color w:val="auto"/>
          <w:sz w:val="24"/>
          <w:szCs w:val="28"/>
          <w:highlight w:val="none"/>
          <w:u w:val="single"/>
        </w:rPr>
        <w:t xml:space="preserve">      </w:t>
      </w:r>
      <w:r>
        <w:rPr>
          <w:rFonts w:hint="eastAsia"/>
          <w:color w:val="auto"/>
          <w:sz w:val="24"/>
          <w:szCs w:val="28"/>
          <w:highlight w:val="none"/>
        </w:rPr>
        <w:t>日</w:t>
      </w:r>
      <w:r>
        <w:rPr>
          <w:rFonts w:hint="eastAsia" w:ascii="宋体" w:hAnsi="宋体" w:eastAsia="宋体" w:cs="宋体"/>
          <w:color w:val="auto"/>
          <w:sz w:val="24"/>
          <w:szCs w:val="24"/>
          <w:highlight w:val="none"/>
        </w:rPr>
        <w:t xml:space="preserve"> </w:t>
      </w:r>
    </w:p>
    <w:p w14:paraId="4C6F5F8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CCFC7C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5484EE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5198A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3BF43E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2BD14F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8A3D7F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3AFE0D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775D3F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40BE71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EC30CF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9185538">
      <w:pPr>
        <w:rPr>
          <w:rFonts w:hint="eastAsia" w:ascii="宋体" w:hAnsi="宋体" w:eastAsia="宋体" w:cs="宋体"/>
          <w:color w:val="auto"/>
          <w:sz w:val="24"/>
          <w:szCs w:val="24"/>
          <w:highlight w:val="none"/>
        </w:rPr>
      </w:pPr>
      <w:bookmarkStart w:id="244" w:name="_Toc6264"/>
      <w:bookmarkStart w:id="245" w:name="_Toc11345"/>
      <w:r>
        <w:rPr>
          <w:rFonts w:hint="eastAsia" w:ascii="宋体" w:hAnsi="宋体" w:eastAsia="宋体" w:cs="宋体"/>
          <w:color w:val="auto"/>
          <w:sz w:val="24"/>
          <w:szCs w:val="24"/>
          <w:highlight w:val="none"/>
        </w:rPr>
        <w:br w:type="page"/>
      </w:r>
    </w:p>
    <w:p w14:paraId="0904856A">
      <w:pPr>
        <w:wordWrap w:val="0"/>
        <w:topLinePunct/>
        <w:adjustRightInd w:val="0"/>
        <w:spacing w:line="360" w:lineRule="auto"/>
        <w:ind w:left="63" w:leftChars="30" w:right="63" w:rightChars="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w:t>
      </w:r>
      <w:bookmarkEnd w:id="244"/>
      <w:bookmarkEnd w:id="245"/>
    </w:p>
    <w:p w14:paraId="04E60FAF">
      <w:pPr>
        <w:wordWrap w:val="0"/>
        <w:spacing w:after="120" w:line="480" w:lineRule="exact"/>
        <w:jc w:val="center"/>
        <w:outlineLvl w:val="0"/>
        <w:rPr>
          <w:rFonts w:ascii="宋体" w:hAnsi="宋体" w:eastAsia="宋体" w:cs="宋体"/>
          <w:b/>
          <w:bCs/>
          <w:color w:val="auto"/>
          <w:kern w:val="36"/>
          <w:sz w:val="24"/>
          <w:szCs w:val="24"/>
          <w:highlight w:val="none"/>
        </w:rPr>
      </w:pPr>
      <w:bookmarkStart w:id="246" w:name="_Toc32130"/>
      <w:bookmarkStart w:id="247" w:name="_Toc27930"/>
    </w:p>
    <w:p w14:paraId="6569D890">
      <w:pPr>
        <w:wordWrap w:val="0"/>
        <w:topLinePunct/>
        <w:adjustRightInd w:val="0"/>
        <w:spacing w:line="360" w:lineRule="auto"/>
        <w:ind w:left="63" w:leftChars="30" w:right="63" w:rightChars="30"/>
        <w:jc w:val="center"/>
        <w:textAlignment w:val="baseline"/>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残疾人福利性单位声明函（如有）</w:t>
      </w:r>
      <w:bookmarkEnd w:id="246"/>
      <w:bookmarkEnd w:id="247"/>
    </w:p>
    <w:p w14:paraId="52CFC72D">
      <w:pPr>
        <w:wordWrap w:val="0"/>
        <w:spacing w:after="120" w:line="480" w:lineRule="exact"/>
        <w:ind w:firstLine="480" w:firstLineChars="200"/>
        <w:rPr>
          <w:rFonts w:ascii="宋体" w:hAnsi="宋体" w:eastAsia="宋体" w:cs="宋体"/>
          <w:color w:val="auto"/>
          <w:kern w:val="36"/>
          <w:sz w:val="24"/>
          <w:szCs w:val="24"/>
          <w:highlight w:val="none"/>
        </w:rPr>
      </w:pPr>
    </w:p>
    <w:p w14:paraId="59E5984C">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32AF60">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7AE520B4">
      <w:pPr>
        <w:wordWrap w:val="0"/>
        <w:spacing w:line="480" w:lineRule="exact"/>
        <w:ind w:firstLine="480" w:firstLineChars="200"/>
        <w:jc w:val="right"/>
        <w:rPr>
          <w:rFonts w:ascii="宋体" w:hAnsi="宋体" w:eastAsia="宋体" w:cs="宋体"/>
          <w:color w:val="auto"/>
          <w:sz w:val="24"/>
          <w:szCs w:val="24"/>
          <w:highlight w:val="none"/>
        </w:rPr>
      </w:pPr>
    </w:p>
    <w:p w14:paraId="0D3BC98C">
      <w:pPr>
        <w:wordWrap w:val="0"/>
        <w:topLinePunct/>
        <w:spacing w:line="360" w:lineRule="auto"/>
        <w:rPr>
          <w:rFonts w:ascii="宋体" w:hAnsi="宋体" w:eastAsia="宋体" w:cs="宋体"/>
          <w:color w:val="auto"/>
          <w:kern w:val="0"/>
          <w:sz w:val="24"/>
          <w:szCs w:val="24"/>
          <w:highlight w:val="none"/>
        </w:rPr>
      </w:pPr>
    </w:p>
    <w:p w14:paraId="0DDABF79">
      <w:pPr>
        <w:wordWrap w:val="0"/>
        <w:topLinePunct/>
        <w:spacing w:line="360" w:lineRule="auto"/>
        <w:ind w:firstLine="480" w:firstLineChars="200"/>
        <w:rPr>
          <w:rFonts w:ascii="宋体" w:hAnsi="宋体" w:eastAsia="宋体" w:cs="宋体"/>
          <w:color w:val="auto"/>
          <w:sz w:val="24"/>
          <w:szCs w:val="24"/>
          <w:highlight w:val="none"/>
        </w:rPr>
      </w:pPr>
    </w:p>
    <w:p w14:paraId="2E41B9A7">
      <w:pPr>
        <w:wordWrap w:val="0"/>
        <w:topLinePunct/>
        <w:spacing w:line="360" w:lineRule="auto"/>
        <w:ind w:firstLine="480" w:firstLineChars="200"/>
        <w:rPr>
          <w:rFonts w:ascii="宋体" w:hAnsi="宋体" w:eastAsia="宋体" w:cs="宋体"/>
          <w:color w:val="auto"/>
          <w:sz w:val="24"/>
          <w:szCs w:val="24"/>
          <w:highlight w:val="none"/>
        </w:rPr>
      </w:pPr>
      <w:r>
        <w:rPr>
          <w:rFonts w:hint="eastAsia"/>
          <w:color w:val="auto"/>
          <w:sz w:val="24"/>
          <w:szCs w:val="28"/>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4"/>
          <w:highlight w:val="none"/>
        </w:rPr>
        <w:t>（</w:t>
      </w:r>
      <w:r>
        <w:rPr>
          <w:rFonts w:hint="eastAsia"/>
          <w:color w:val="auto"/>
          <w:sz w:val="24"/>
          <w:szCs w:val="28"/>
          <w:highlight w:val="none"/>
        </w:rPr>
        <w:t>电子签章</w:t>
      </w:r>
      <w:r>
        <w:rPr>
          <w:rFonts w:hint="eastAsia" w:ascii="宋体" w:hAnsi="宋体" w:eastAsia="宋体" w:cs="宋体"/>
          <w:color w:val="auto"/>
          <w:sz w:val="24"/>
          <w:szCs w:val="24"/>
          <w:highlight w:val="none"/>
        </w:rPr>
        <w:t>）：</w:t>
      </w:r>
    </w:p>
    <w:p w14:paraId="2BD36348">
      <w:pPr>
        <w:wordWrap w:val="0"/>
        <w:topLinePunct/>
        <w:spacing w:line="360" w:lineRule="auto"/>
        <w:ind w:firstLine="480" w:firstLineChars="200"/>
        <w:rPr>
          <w:rFonts w:ascii="宋体" w:hAnsi="宋体" w:eastAsia="宋体" w:cs="宋体"/>
          <w:color w:val="auto"/>
          <w:sz w:val="24"/>
          <w:szCs w:val="24"/>
          <w:highlight w:val="none"/>
        </w:rPr>
      </w:pPr>
      <w:r>
        <w:rPr>
          <w:rFonts w:hint="eastAsia"/>
          <w:color w:val="auto"/>
          <w:sz w:val="24"/>
          <w:szCs w:val="28"/>
          <w:highlight w:val="none"/>
        </w:rPr>
        <w:t>法定代表人：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4"/>
          <w:highlight w:val="none"/>
        </w:rPr>
        <w:t>（</w:t>
      </w:r>
      <w:r>
        <w:rPr>
          <w:rFonts w:hint="eastAsia"/>
          <w:color w:val="auto"/>
          <w:sz w:val="24"/>
          <w:szCs w:val="28"/>
          <w:highlight w:val="none"/>
        </w:rPr>
        <w:t>电子签章</w:t>
      </w:r>
      <w:r>
        <w:rPr>
          <w:rFonts w:hint="eastAsia" w:ascii="宋体" w:hAnsi="宋体" w:eastAsia="宋体" w:cs="宋体"/>
          <w:color w:val="auto"/>
          <w:kern w:val="0"/>
          <w:sz w:val="24"/>
          <w:highlight w:val="none"/>
          <w:lang w:bidi="ar"/>
        </w:rPr>
        <w:t>或签字</w:t>
      </w:r>
      <w:r>
        <w:rPr>
          <w:rFonts w:hint="eastAsia" w:ascii="宋体" w:hAnsi="宋体" w:eastAsia="宋体" w:cs="宋体"/>
          <w:color w:val="auto"/>
          <w:sz w:val="24"/>
          <w:szCs w:val="24"/>
          <w:highlight w:val="none"/>
        </w:rPr>
        <w:t xml:space="preserve">）： </w:t>
      </w:r>
    </w:p>
    <w:p w14:paraId="468C9C85">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color w:val="auto"/>
          <w:sz w:val="24"/>
          <w:szCs w:val="28"/>
          <w:highlight w:val="none"/>
          <w:u w:val="single"/>
        </w:rPr>
        <w:t xml:space="preserve">         </w:t>
      </w:r>
      <w:r>
        <w:rPr>
          <w:rFonts w:hint="eastAsia"/>
          <w:color w:val="auto"/>
          <w:sz w:val="24"/>
          <w:szCs w:val="28"/>
          <w:highlight w:val="none"/>
        </w:rPr>
        <w:t>年</w:t>
      </w:r>
      <w:r>
        <w:rPr>
          <w:rFonts w:hint="eastAsia"/>
          <w:color w:val="auto"/>
          <w:sz w:val="24"/>
          <w:szCs w:val="28"/>
          <w:highlight w:val="none"/>
          <w:u w:val="single"/>
        </w:rPr>
        <w:t xml:space="preserve">      </w:t>
      </w:r>
      <w:r>
        <w:rPr>
          <w:rFonts w:hint="eastAsia"/>
          <w:color w:val="auto"/>
          <w:sz w:val="24"/>
          <w:szCs w:val="28"/>
          <w:highlight w:val="none"/>
        </w:rPr>
        <w:t>月</w:t>
      </w:r>
      <w:r>
        <w:rPr>
          <w:rFonts w:hint="eastAsia"/>
          <w:color w:val="auto"/>
          <w:sz w:val="24"/>
          <w:szCs w:val="28"/>
          <w:highlight w:val="none"/>
          <w:u w:val="single"/>
        </w:rPr>
        <w:t xml:space="preserve">      </w:t>
      </w:r>
      <w:r>
        <w:rPr>
          <w:rFonts w:hint="eastAsia"/>
          <w:color w:val="auto"/>
          <w:sz w:val="24"/>
          <w:szCs w:val="28"/>
          <w:highlight w:val="none"/>
        </w:rPr>
        <w:t>日</w:t>
      </w:r>
      <w:r>
        <w:rPr>
          <w:rFonts w:hint="eastAsia" w:ascii="宋体" w:hAnsi="宋体" w:eastAsia="宋体" w:cs="宋体"/>
          <w:color w:val="auto"/>
          <w:sz w:val="24"/>
          <w:szCs w:val="24"/>
          <w:highlight w:val="none"/>
        </w:rPr>
        <w:t xml:space="preserve"> </w:t>
      </w:r>
    </w:p>
    <w:p w14:paraId="41BB3D12">
      <w:pPr>
        <w:rPr>
          <w:rFonts w:ascii="Calibri" w:hAnsi="Calibri" w:eastAsia="宋体" w:cs="Times New Roman"/>
          <w:color w:val="auto"/>
          <w:sz w:val="22"/>
          <w:highlight w:val="none"/>
        </w:rPr>
      </w:pPr>
    </w:p>
    <w:p w14:paraId="76EF895B">
      <w:pPr>
        <w:wordWrap w:val="0"/>
        <w:jc w:val="center"/>
        <w:rPr>
          <w:rFonts w:ascii="宋体" w:hAnsi="宋体" w:eastAsia="宋体" w:cs="宋体"/>
          <w:b/>
          <w:bCs/>
          <w:color w:val="auto"/>
          <w:sz w:val="24"/>
          <w:szCs w:val="24"/>
          <w:highlight w:val="none"/>
        </w:rPr>
      </w:pPr>
    </w:p>
    <w:p w14:paraId="700EF56A">
      <w:pPr>
        <w:wordWrap w:val="0"/>
        <w:jc w:val="center"/>
        <w:rPr>
          <w:rFonts w:ascii="宋体" w:hAnsi="宋体" w:eastAsia="宋体" w:cs="宋体"/>
          <w:b/>
          <w:bCs/>
          <w:color w:val="auto"/>
          <w:sz w:val="24"/>
          <w:szCs w:val="24"/>
          <w:highlight w:val="none"/>
        </w:rPr>
      </w:pPr>
    </w:p>
    <w:p w14:paraId="2B8E189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AB29DA9">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6C6C108">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B30D28A">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9BCBDC2">
      <w:pPr>
        <w:topLinePunct/>
        <w:jc w:val="center"/>
        <w:rPr>
          <w:rFonts w:ascii="宋体" w:hAnsi="宋体" w:eastAsia="宋体" w:cs="宋体"/>
          <w:b/>
          <w:bCs/>
          <w:color w:val="auto"/>
          <w:sz w:val="24"/>
          <w:szCs w:val="24"/>
          <w:highlight w:val="none"/>
        </w:rPr>
      </w:pPr>
    </w:p>
    <w:p w14:paraId="0BC800C2">
      <w:pPr>
        <w:topLinePunct/>
        <w:jc w:val="center"/>
        <w:rPr>
          <w:rFonts w:ascii="宋体" w:hAnsi="宋体" w:eastAsia="宋体" w:cs="宋体"/>
          <w:b/>
          <w:bCs/>
          <w:color w:val="auto"/>
          <w:sz w:val="24"/>
          <w:szCs w:val="24"/>
          <w:highlight w:val="none"/>
        </w:rPr>
      </w:pPr>
    </w:p>
    <w:p w14:paraId="459E9815">
      <w:pPr>
        <w:rPr>
          <w:color w:val="auto"/>
          <w:highlight w:val="none"/>
        </w:rPr>
      </w:pPr>
    </w:p>
    <w:p w14:paraId="40F5D698">
      <w:pPr>
        <w:rPr>
          <w:color w:val="auto"/>
          <w:highlight w:val="none"/>
        </w:rPr>
      </w:pPr>
    </w:p>
    <w:p w14:paraId="1252420D">
      <w:pPr>
        <w:rPr>
          <w:color w:val="auto"/>
          <w:highlight w:val="none"/>
        </w:rPr>
      </w:pPr>
    </w:p>
    <w:p w14:paraId="491AF940">
      <w:pPr>
        <w:rPr>
          <w:color w:val="auto"/>
          <w:highlight w:val="none"/>
        </w:rPr>
      </w:pPr>
    </w:p>
    <w:p w14:paraId="37137D30">
      <w:pPr>
        <w:rPr>
          <w:color w:val="auto"/>
          <w:highlight w:val="none"/>
        </w:rPr>
      </w:pPr>
    </w:p>
    <w:p w14:paraId="084D4C5A">
      <w:pPr>
        <w:rPr>
          <w:color w:val="auto"/>
          <w:highlight w:val="none"/>
        </w:rPr>
      </w:pPr>
    </w:p>
    <w:p w14:paraId="47AA7006">
      <w:pPr>
        <w:rPr>
          <w:color w:val="auto"/>
          <w:highlight w:val="none"/>
        </w:rPr>
      </w:pPr>
    </w:p>
    <w:p w14:paraId="7840B46E">
      <w:pPr>
        <w:rPr>
          <w:color w:val="auto"/>
          <w:highlight w:val="none"/>
        </w:rPr>
      </w:pPr>
    </w:p>
    <w:p w14:paraId="1EA7B129">
      <w:pPr>
        <w:rPr>
          <w:color w:val="auto"/>
          <w:highlight w:val="none"/>
        </w:rPr>
      </w:pPr>
    </w:p>
    <w:p w14:paraId="456500F5">
      <w:pPr>
        <w:rPr>
          <w:color w:val="auto"/>
          <w:highlight w:val="none"/>
        </w:rPr>
      </w:pPr>
    </w:p>
    <w:p w14:paraId="5F80CCD7">
      <w:pPr>
        <w:rPr>
          <w:color w:val="auto"/>
          <w:highlight w:val="none"/>
        </w:rPr>
      </w:pPr>
    </w:p>
    <w:p w14:paraId="14C1A26C">
      <w:pPr>
        <w:rPr>
          <w:color w:val="auto"/>
          <w:highlight w:val="none"/>
        </w:rPr>
      </w:pPr>
    </w:p>
    <w:p w14:paraId="6EAF40DA">
      <w:pPr>
        <w:rPr>
          <w:color w:val="auto"/>
          <w:highlight w:val="none"/>
        </w:rPr>
      </w:pPr>
    </w:p>
    <w:p w14:paraId="3B889EC0">
      <w:pPr>
        <w:rPr>
          <w:color w:val="auto"/>
          <w:highlight w:val="none"/>
        </w:rPr>
      </w:pPr>
    </w:p>
    <w:p w14:paraId="53BA47C9">
      <w:pPr>
        <w:spacing w:line="360" w:lineRule="auto"/>
        <w:jc w:val="center"/>
        <w:rPr>
          <w:rFonts w:ascii="宋体" w:hAnsi="宋体" w:cs="仿宋"/>
          <w:b/>
          <w:bCs/>
          <w:color w:val="auto"/>
          <w:sz w:val="28"/>
          <w:szCs w:val="28"/>
          <w:highlight w:val="none"/>
        </w:rPr>
      </w:pPr>
      <w:r>
        <w:rPr>
          <w:rFonts w:hint="eastAsia" w:ascii="宋体" w:hAnsi="宋体" w:cs="仿宋"/>
          <w:b/>
          <w:bCs/>
          <w:color w:val="auto"/>
          <w:sz w:val="28"/>
          <w:szCs w:val="28"/>
          <w:highlight w:val="none"/>
        </w:rPr>
        <w:t>附件二、关于符合本国产品标准的声明函</w:t>
      </w:r>
    </w:p>
    <w:p w14:paraId="6A308258">
      <w:pPr>
        <w:spacing w:line="360" w:lineRule="auto"/>
        <w:ind w:firstLine="480" w:firstLineChars="200"/>
        <w:rPr>
          <w:color w:val="auto"/>
          <w:sz w:val="24"/>
          <w:szCs w:val="24"/>
          <w:highlight w:val="none"/>
        </w:rPr>
      </w:pPr>
      <w:r>
        <w:rPr>
          <w:rFonts w:hint="eastAsia"/>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2A372E21">
      <w:pPr>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（产品名称1）</w:t>
      </w:r>
      <w:r>
        <w:rPr>
          <w:rFonts w:hint="eastAsia"/>
          <w:color w:val="auto"/>
          <w:sz w:val="24"/>
          <w:szCs w:val="24"/>
          <w:highlight w:val="none"/>
          <w:vertAlign w:val="superscript"/>
        </w:rPr>
        <w:t>1</w:t>
      </w:r>
      <w:r>
        <w:rPr>
          <w:rFonts w:hint="eastAsia"/>
          <w:color w:val="auto"/>
          <w:sz w:val="24"/>
          <w:szCs w:val="24"/>
          <w:highlight w:val="none"/>
        </w:rPr>
        <w:t>，生产厂为</w:t>
      </w:r>
      <w:r>
        <w:rPr>
          <w:rFonts w:hint="eastAsia"/>
          <w:color w:val="auto"/>
          <w:sz w:val="24"/>
          <w:szCs w:val="24"/>
          <w:highlight w:val="none"/>
          <w:u w:val="single"/>
        </w:rPr>
        <w:t>（厂名）</w:t>
      </w:r>
      <w:r>
        <w:rPr>
          <w:rFonts w:hint="eastAsia"/>
          <w:color w:val="auto"/>
          <w:sz w:val="24"/>
          <w:szCs w:val="24"/>
          <w:highlight w:val="none"/>
          <w:vertAlign w:val="superscript"/>
        </w:rPr>
        <w:t>2</w:t>
      </w:r>
      <w:r>
        <w:rPr>
          <w:rFonts w:hint="eastAsia"/>
          <w:color w:val="auto"/>
          <w:sz w:val="24"/>
          <w:szCs w:val="24"/>
          <w:highlight w:val="none"/>
        </w:rPr>
        <w:t>，厂址为</w:t>
      </w:r>
      <w:r>
        <w:rPr>
          <w:rFonts w:hint="eastAsia"/>
          <w:color w:val="auto"/>
          <w:sz w:val="24"/>
          <w:szCs w:val="24"/>
          <w:highlight w:val="none"/>
          <w:u w:val="single"/>
        </w:rPr>
        <w:t>（生产厂址）</w:t>
      </w:r>
      <w:r>
        <w:rPr>
          <w:rFonts w:hint="eastAsia"/>
          <w:color w:val="auto"/>
          <w:sz w:val="24"/>
          <w:szCs w:val="24"/>
          <w:highlight w:val="none"/>
        </w:rPr>
        <w:t>。</w:t>
      </w:r>
      <w:r>
        <w:rPr>
          <w:rFonts w:hint="eastAsia"/>
          <w:color w:val="auto"/>
          <w:sz w:val="24"/>
          <w:szCs w:val="24"/>
          <w:highlight w:val="none"/>
          <w:u w:val="single"/>
        </w:rPr>
        <w:t>（产品名称1）</w:t>
      </w:r>
      <w:r>
        <w:rPr>
          <w:rFonts w:hint="eastAsia"/>
          <w:color w:val="auto"/>
          <w:sz w:val="24"/>
          <w:szCs w:val="24"/>
          <w:highlight w:val="none"/>
        </w:rPr>
        <w:t>的中国境内生产的组件成本占比≥</w:t>
      </w:r>
      <w:r>
        <w:rPr>
          <w:rFonts w:hint="eastAsia"/>
          <w:color w:val="auto"/>
          <w:sz w:val="24"/>
          <w:szCs w:val="24"/>
          <w:highlight w:val="none"/>
          <w:u w:val="single"/>
        </w:rPr>
        <w:t>（规定比例）</w:t>
      </w:r>
      <w:r>
        <w:rPr>
          <w:rFonts w:hint="eastAsia"/>
          <w:color w:val="auto"/>
          <w:sz w:val="24"/>
          <w:szCs w:val="24"/>
          <w:highlight w:val="none"/>
          <w:vertAlign w:val="superscript"/>
        </w:rPr>
        <w:t>3</w:t>
      </w:r>
      <w:r>
        <w:rPr>
          <w:rFonts w:hint="eastAsia"/>
          <w:color w:val="auto"/>
          <w:sz w:val="24"/>
          <w:szCs w:val="24"/>
          <w:highlight w:val="none"/>
        </w:rPr>
        <w:t>。</w:t>
      </w:r>
      <w:r>
        <w:rPr>
          <w:rFonts w:hint="eastAsia"/>
          <w:color w:val="auto"/>
          <w:sz w:val="24"/>
          <w:szCs w:val="24"/>
          <w:highlight w:val="none"/>
          <w:u w:val="single"/>
        </w:rPr>
        <w:t>（产品名称1）</w:t>
      </w:r>
      <w:r>
        <w:rPr>
          <w:rFonts w:hint="eastAsia"/>
          <w:color w:val="auto"/>
          <w:sz w:val="24"/>
          <w:szCs w:val="24"/>
          <w:highlight w:val="none"/>
        </w:rPr>
        <w:t>的</w:t>
      </w:r>
      <w:r>
        <w:rPr>
          <w:rFonts w:hint="eastAsia"/>
          <w:color w:val="auto"/>
          <w:sz w:val="24"/>
          <w:szCs w:val="24"/>
          <w:highlight w:val="none"/>
          <w:u w:val="single"/>
        </w:rPr>
        <w:t>（关键组件）</w:t>
      </w:r>
      <w:r>
        <w:rPr>
          <w:rFonts w:hint="eastAsia"/>
          <w:color w:val="auto"/>
          <w:sz w:val="24"/>
          <w:szCs w:val="24"/>
          <w:highlight w:val="none"/>
          <w:vertAlign w:val="superscript"/>
        </w:rPr>
        <w:t>4</w:t>
      </w:r>
      <w:r>
        <w:rPr>
          <w:rFonts w:hint="eastAsia"/>
          <w:color w:val="auto"/>
          <w:sz w:val="24"/>
          <w:szCs w:val="24"/>
          <w:highlight w:val="none"/>
        </w:rPr>
        <w:t>在中国境内生产。</w:t>
      </w:r>
      <w:r>
        <w:rPr>
          <w:rFonts w:hint="eastAsia"/>
          <w:color w:val="auto"/>
          <w:sz w:val="24"/>
          <w:szCs w:val="24"/>
          <w:highlight w:val="none"/>
          <w:u w:val="single"/>
        </w:rPr>
        <w:t>（产品名称1）</w:t>
      </w:r>
      <w:r>
        <w:rPr>
          <w:rFonts w:hint="eastAsia"/>
          <w:color w:val="auto"/>
          <w:sz w:val="24"/>
          <w:szCs w:val="24"/>
          <w:highlight w:val="none"/>
        </w:rPr>
        <w:t>的</w:t>
      </w:r>
      <w:r>
        <w:rPr>
          <w:rFonts w:hint="eastAsia"/>
          <w:color w:val="auto"/>
          <w:sz w:val="24"/>
          <w:szCs w:val="24"/>
          <w:highlight w:val="none"/>
          <w:u w:val="single"/>
        </w:rPr>
        <w:t>（关键工序）</w:t>
      </w:r>
      <w:r>
        <w:rPr>
          <w:rFonts w:hint="eastAsia"/>
          <w:color w:val="auto"/>
          <w:sz w:val="24"/>
          <w:szCs w:val="24"/>
          <w:highlight w:val="none"/>
          <w:vertAlign w:val="superscript"/>
        </w:rPr>
        <w:t>5</w:t>
      </w:r>
      <w:r>
        <w:rPr>
          <w:rFonts w:hint="eastAsia"/>
          <w:color w:val="auto"/>
          <w:sz w:val="24"/>
          <w:szCs w:val="24"/>
          <w:highlight w:val="none"/>
        </w:rPr>
        <w:t>在中国境内完成。</w:t>
      </w:r>
    </w:p>
    <w:p w14:paraId="3C2D7361">
      <w:pPr>
        <w:spacing w:line="360" w:lineRule="auto"/>
        <w:ind w:firstLine="480" w:firstLineChars="200"/>
        <w:rPr>
          <w:color w:val="auto"/>
          <w:sz w:val="24"/>
          <w:szCs w:val="24"/>
          <w:highlight w:val="none"/>
        </w:rPr>
      </w:pPr>
      <w:r>
        <w:rPr>
          <w:rFonts w:hint="eastAsia"/>
          <w:color w:val="auto"/>
          <w:sz w:val="24"/>
          <w:szCs w:val="24"/>
          <w:highlight w:val="none"/>
        </w:rPr>
        <w:t>2.</w:t>
      </w:r>
      <w:r>
        <w:rPr>
          <w:rFonts w:hint="eastAsia"/>
          <w:color w:val="auto"/>
          <w:sz w:val="24"/>
          <w:szCs w:val="24"/>
          <w:highlight w:val="none"/>
          <w:u w:val="single"/>
        </w:rPr>
        <w:t>（产品名称2）</w:t>
      </w:r>
      <w:r>
        <w:rPr>
          <w:rFonts w:hint="eastAsia"/>
          <w:color w:val="auto"/>
          <w:sz w:val="24"/>
          <w:szCs w:val="24"/>
          <w:highlight w:val="none"/>
        </w:rPr>
        <w:t>，生产厂为</w:t>
      </w:r>
      <w:r>
        <w:rPr>
          <w:rFonts w:hint="eastAsia"/>
          <w:color w:val="auto"/>
          <w:sz w:val="24"/>
          <w:szCs w:val="24"/>
          <w:highlight w:val="none"/>
          <w:u w:val="single"/>
        </w:rPr>
        <w:t>（厂名）</w:t>
      </w:r>
      <w:r>
        <w:rPr>
          <w:rFonts w:hint="eastAsia"/>
          <w:color w:val="auto"/>
          <w:sz w:val="24"/>
          <w:szCs w:val="24"/>
          <w:highlight w:val="none"/>
        </w:rPr>
        <w:t>，厂址为</w:t>
      </w:r>
      <w:r>
        <w:rPr>
          <w:rFonts w:hint="eastAsia"/>
          <w:color w:val="auto"/>
          <w:sz w:val="24"/>
          <w:szCs w:val="24"/>
          <w:highlight w:val="none"/>
          <w:u w:val="single"/>
        </w:rPr>
        <w:t>（生产厂址）</w:t>
      </w:r>
      <w:r>
        <w:rPr>
          <w:rFonts w:hint="eastAsia"/>
          <w:color w:val="auto"/>
          <w:sz w:val="24"/>
          <w:szCs w:val="24"/>
          <w:highlight w:val="none"/>
        </w:rPr>
        <w:t>。（</w:t>
      </w:r>
      <w:r>
        <w:rPr>
          <w:rFonts w:hint="eastAsia"/>
          <w:color w:val="auto"/>
          <w:sz w:val="24"/>
          <w:szCs w:val="24"/>
          <w:highlight w:val="none"/>
          <w:u w:val="single"/>
        </w:rPr>
        <w:t>产品名称2）</w:t>
      </w:r>
      <w:r>
        <w:rPr>
          <w:rFonts w:hint="eastAsia"/>
          <w:color w:val="auto"/>
          <w:sz w:val="24"/>
          <w:szCs w:val="24"/>
          <w:highlight w:val="none"/>
        </w:rPr>
        <w:t>的中国境内生产的组件成本占比≥</w:t>
      </w:r>
      <w:r>
        <w:rPr>
          <w:rFonts w:hint="eastAsia"/>
          <w:color w:val="auto"/>
          <w:sz w:val="24"/>
          <w:szCs w:val="24"/>
          <w:highlight w:val="none"/>
          <w:u w:val="single"/>
        </w:rPr>
        <w:t>（规定比例）</w:t>
      </w:r>
      <w:r>
        <w:rPr>
          <w:rFonts w:hint="eastAsia"/>
          <w:color w:val="auto"/>
          <w:sz w:val="24"/>
          <w:szCs w:val="24"/>
          <w:highlight w:val="none"/>
        </w:rPr>
        <w:t>。</w:t>
      </w:r>
      <w:r>
        <w:rPr>
          <w:rFonts w:hint="eastAsia"/>
          <w:color w:val="auto"/>
          <w:sz w:val="24"/>
          <w:szCs w:val="24"/>
          <w:highlight w:val="none"/>
          <w:u w:val="single"/>
        </w:rPr>
        <w:t>（产品名称2）</w:t>
      </w:r>
      <w:r>
        <w:rPr>
          <w:rFonts w:hint="eastAsia"/>
          <w:color w:val="auto"/>
          <w:sz w:val="24"/>
          <w:szCs w:val="24"/>
          <w:highlight w:val="none"/>
        </w:rPr>
        <w:t>的</w:t>
      </w:r>
      <w:r>
        <w:rPr>
          <w:rFonts w:hint="eastAsia"/>
          <w:color w:val="auto"/>
          <w:sz w:val="24"/>
          <w:szCs w:val="24"/>
          <w:highlight w:val="none"/>
          <w:u w:val="single"/>
        </w:rPr>
        <w:t>（关键组件）</w:t>
      </w:r>
      <w:r>
        <w:rPr>
          <w:rFonts w:hint="eastAsia"/>
          <w:color w:val="auto"/>
          <w:sz w:val="24"/>
          <w:szCs w:val="24"/>
          <w:highlight w:val="none"/>
        </w:rPr>
        <w:t>在中国境内生产。</w:t>
      </w:r>
      <w:r>
        <w:rPr>
          <w:rFonts w:hint="eastAsia"/>
          <w:color w:val="auto"/>
          <w:sz w:val="24"/>
          <w:szCs w:val="24"/>
          <w:highlight w:val="none"/>
          <w:u w:val="single"/>
        </w:rPr>
        <w:t>（产品名称2）</w:t>
      </w:r>
      <w:r>
        <w:rPr>
          <w:rFonts w:hint="eastAsia"/>
          <w:color w:val="auto"/>
          <w:sz w:val="24"/>
          <w:szCs w:val="24"/>
          <w:highlight w:val="none"/>
        </w:rPr>
        <w:t>的</w:t>
      </w:r>
      <w:r>
        <w:rPr>
          <w:rFonts w:hint="eastAsia"/>
          <w:color w:val="auto"/>
          <w:sz w:val="24"/>
          <w:szCs w:val="24"/>
          <w:highlight w:val="none"/>
          <w:u w:val="single"/>
        </w:rPr>
        <w:t>（关键工序）</w:t>
      </w:r>
      <w:r>
        <w:rPr>
          <w:rFonts w:hint="eastAsia"/>
          <w:color w:val="auto"/>
          <w:sz w:val="24"/>
          <w:szCs w:val="24"/>
          <w:highlight w:val="none"/>
        </w:rPr>
        <w:t>在中国境内完成。</w:t>
      </w:r>
    </w:p>
    <w:p w14:paraId="493C67C6">
      <w:pPr>
        <w:spacing w:line="360" w:lineRule="auto"/>
        <w:ind w:firstLine="480" w:firstLineChars="200"/>
        <w:rPr>
          <w:color w:val="auto"/>
          <w:sz w:val="24"/>
          <w:szCs w:val="24"/>
          <w:highlight w:val="none"/>
        </w:rPr>
      </w:pPr>
      <w:r>
        <w:rPr>
          <w:rFonts w:hint="eastAsia"/>
          <w:color w:val="auto"/>
          <w:sz w:val="24"/>
          <w:szCs w:val="24"/>
          <w:highlight w:val="none"/>
        </w:rPr>
        <w:t>……</w:t>
      </w:r>
    </w:p>
    <w:p w14:paraId="335593E6">
      <w:pPr>
        <w:spacing w:line="360" w:lineRule="auto"/>
        <w:ind w:firstLine="480" w:firstLineChars="200"/>
        <w:rPr>
          <w:color w:val="auto"/>
          <w:sz w:val="24"/>
          <w:szCs w:val="24"/>
          <w:highlight w:val="none"/>
        </w:rPr>
      </w:pPr>
      <w:r>
        <w:rPr>
          <w:rFonts w:hint="eastAsia"/>
          <w:color w:val="auto"/>
          <w:sz w:val="24"/>
          <w:szCs w:val="24"/>
          <w:highlight w:val="none"/>
        </w:rPr>
        <w:t>本公司（单位）对上述声明内容的真实性负责。如有虚假，愿承担相应法律责任。</w:t>
      </w:r>
    </w:p>
    <w:p w14:paraId="7B458296">
      <w:pPr>
        <w:spacing w:line="360" w:lineRule="auto"/>
        <w:rPr>
          <w:color w:val="auto"/>
          <w:sz w:val="24"/>
          <w:szCs w:val="24"/>
          <w:highlight w:val="none"/>
        </w:rPr>
      </w:pPr>
    </w:p>
    <w:p w14:paraId="58643555">
      <w:pPr>
        <w:spacing w:line="360" w:lineRule="auto"/>
        <w:ind w:firstLine="2880" w:firstLineChars="1200"/>
        <w:rPr>
          <w:color w:val="auto"/>
          <w:sz w:val="24"/>
          <w:szCs w:val="24"/>
          <w:highlight w:val="none"/>
        </w:rPr>
      </w:pPr>
      <w:r>
        <w:rPr>
          <w:rFonts w:hint="eastAsia"/>
          <w:color w:val="auto"/>
          <w:sz w:val="24"/>
          <w:szCs w:val="24"/>
          <w:highlight w:val="none"/>
        </w:rPr>
        <w:t>公司（单位）名称（</w:t>
      </w:r>
      <w:r>
        <w:rPr>
          <w:rFonts w:hint="eastAsia"/>
          <w:color w:val="auto"/>
          <w:sz w:val="24"/>
          <w:szCs w:val="28"/>
          <w:highlight w:val="none"/>
        </w:rPr>
        <w:t>电子签章</w:t>
      </w:r>
      <w:r>
        <w:rPr>
          <w:rFonts w:hint="eastAsia"/>
          <w:color w:val="auto"/>
          <w:sz w:val="24"/>
          <w:szCs w:val="24"/>
          <w:highlight w:val="none"/>
        </w:rPr>
        <w:t>）：</w:t>
      </w:r>
    </w:p>
    <w:p w14:paraId="50D414DF">
      <w:pPr>
        <w:spacing w:line="360" w:lineRule="auto"/>
        <w:ind w:firstLine="3120" w:firstLineChars="1300"/>
        <w:rPr>
          <w:color w:val="auto"/>
          <w:sz w:val="28"/>
          <w:szCs w:val="36"/>
          <w:highlight w:val="none"/>
        </w:rPr>
      </w:pPr>
      <w:r>
        <w:rPr>
          <w:rFonts w:hint="eastAsia"/>
          <w:color w:val="auto"/>
          <w:sz w:val="24"/>
          <w:szCs w:val="24"/>
          <w:highlight w:val="none"/>
        </w:rPr>
        <w:t>日期：</w:t>
      </w:r>
      <w:r>
        <w:rPr>
          <w:rFonts w:hint="eastAsia"/>
          <w:color w:val="auto"/>
          <w:sz w:val="24"/>
          <w:szCs w:val="28"/>
          <w:highlight w:val="none"/>
          <w:u w:val="single"/>
        </w:rPr>
        <w:t xml:space="preserve">         </w:t>
      </w:r>
      <w:r>
        <w:rPr>
          <w:rFonts w:hint="eastAsia"/>
          <w:color w:val="auto"/>
          <w:sz w:val="24"/>
          <w:szCs w:val="28"/>
          <w:highlight w:val="none"/>
        </w:rPr>
        <w:t>年</w:t>
      </w:r>
      <w:r>
        <w:rPr>
          <w:rFonts w:hint="eastAsia"/>
          <w:color w:val="auto"/>
          <w:sz w:val="24"/>
          <w:szCs w:val="28"/>
          <w:highlight w:val="none"/>
          <w:u w:val="single"/>
        </w:rPr>
        <w:t xml:space="preserve">      </w:t>
      </w:r>
      <w:r>
        <w:rPr>
          <w:rFonts w:hint="eastAsia"/>
          <w:color w:val="auto"/>
          <w:sz w:val="24"/>
          <w:szCs w:val="28"/>
          <w:highlight w:val="none"/>
        </w:rPr>
        <w:t>月</w:t>
      </w:r>
      <w:r>
        <w:rPr>
          <w:rFonts w:hint="eastAsia"/>
          <w:color w:val="auto"/>
          <w:sz w:val="24"/>
          <w:szCs w:val="28"/>
          <w:highlight w:val="none"/>
          <w:u w:val="single"/>
        </w:rPr>
        <w:t xml:space="preserve">      </w:t>
      </w:r>
      <w:r>
        <w:rPr>
          <w:rFonts w:hint="eastAsia"/>
          <w:color w:val="auto"/>
          <w:sz w:val="24"/>
          <w:szCs w:val="28"/>
          <w:highlight w:val="none"/>
        </w:rPr>
        <w:t>日</w:t>
      </w:r>
    </w:p>
    <w:p w14:paraId="25C52F5D">
      <w:pPr>
        <w:widowControl/>
        <w:jc w:val="left"/>
        <w:rPr>
          <w:rFonts w:ascii="宋体" w:hAnsi="宋体" w:eastAsia="宋体" w:cs="宋体"/>
          <w:color w:val="auto"/>
          <w:kern w:val="0"/>
          <w:sz w:val="22"/>
          <w:highlight w:val="none"/>
          <w:lang w:bidi="ar"/>
        </w:rPr>
      </w:pPr>
    </w:p>
    <w:p w14:paraId="1510D2E6">
      <w:pPr>
        <w:widowControl/>
        <w:jc w:val="left"/>
        <w:rPr>
          <w:rFonts w:ascii="宋体" w:hAnsi="宋体" w:eastAsia="宋体" w:cs="宋体"/>
          <w:color w:val="auto"/>
          <w:kern w:val="0"/>
          <w:sz w:val="22"/>
          <w:highlight w:val="none"/>
          <w:lang w:bidi="ar"/>
        </w:rPr>
      </w:pPr>
    </w:p>
    <w:p w14:paraId="57795593">
      <w:pPr>
        <w:widowControl/>
        <w:ind w:firstLine="420" w:firstLineChars="2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1.产品如有型号，请在“产品名称”栏一并填写。</w:t>
      </w:r>
    </w:p>
    <w:p w14:paraId="37536EDD">
      <w:pPr>
        <w:widowControl/>
        <w:ind w:firstLine="420" w:firstLineChars="200"/>
        <w:jc w:val="left"/>
        <w:rPr>
          <w:color w:val="auto"/>
          <w:szCs w:val="21"/>
          <w:highlight w:val="none"/>
        </w:rPr>
      </w:pPr>
      <w:r>
        <w:rPr>
          <w:rFonts w:hint="eastAsia" w:ascii="宋体" w:hAnsi="宋体" w:eastAsia="宋体" w:cs="宋体"/>
          <w:color w:val="auto"/>
          <w:kern w:val="0"/>
          <w:szCs w:val="21"/>
          <w:highlight w:val="none"/>
          <w:lang w:bidi="ar"/>
        </w:rPr>
        <w:t xml:space="preserve">2.生产厂名与厂址应与生产厂营业执照载明的相关信息保持一致。 </w:t>
      </w:r>
    </w:p>
    <w:p w14:paraId="5202E51E">
      <w:pPr>
        <w:widowControl/>
        <w:ind w:firstLine="420" w:firstLineChars="200"/>
        <w:jc w:val="left"/>
        <w:rPr>
          <w:color w:val="auto"/>
          <w:szCs w:val="21"/>
          <w:highlight w:val="none"/>
        </w:rPr>
      </w:pPr>
      <w:r>
        <w:rPr>
          <w:rFonts w:hint="eastAsia" w:ascii="宋体" w:hAnsi="宋体" w:eastAsia="宋体" w:cs="宋体"/>
          <w:color w:val="auto"/>
          <w:kern w:val="0"/>
          <w:szCs w:val="21"/>
          <w:highlight w:val="none"/>
          <w:lang w:bidi="ar"/>
        </w:rPr>
        <w:t xml:space="preserve">3.该产品的中国境内生产的组件成本占比相关要求实施前，“规定比例”栏可不填，下同。 </w:t>
      </w:r>
    </w:p>
    <w:p w14:paraId="6A6108AB">
      <w:pPr>
        <w:widowControl/>
        <w:ind w:firstLine="420" w:firstLineChars="200"/>
        <w:jc w:val="left"/>
        <w:rPr>
          <w:color w:val="auto"/>
          <w:szCs w:val="21"/>
          <w:highlight w:val="none"/>
        </w:rPr>
      </w:pPr>
      <w:r>
        <w:rPr>
          <w:rFonts w:hint="eastAsia" w:ascii="宋体" w:hAnsi="宋体" w:eastAsia="宋体" w:cs="宋体"/>
          <w:color w:val="auto"/>
          <w:kern w:val="0"/>
          <w:szCs w:val="21"/>
          <w:highlight w:val="none"/>
          <w:lang w:bidi="ar"/>
        </w:rPr>
        <w:t xml:space="preserve">4.该产品的关键组件要求实施前，“关键组件”栏可不填，下同。 </w:t>
      </w:r>
    </w:p>
    <w:p w14:paraId="58CE6ABF">
      <w:pPr>
        <w:widowControl/>
        <w:ind w:firstLine="420" w:firstLineChars="200"/>
        <w:jc w:val="left"/>
        <w:rPr>
          <w:color w:val="auto"/>
          <w:szCs w:val="21"/>
          <w:highlight w:val="none"/>
        </w:rPr>
      </w:pPr>
      <w:r>
        <w:rPr>
          <w:rFonts w:hint="eastAsia" w:ascii="宋体" w:hAnsi="宋体" w:eastAsia="宋体" w:cs="宋体"/>
          <w:color w:val="auto"/>
          <w:kern w:val="0"/>
          <w:szCs w:val="21"/>
          <w:highlight w:val="none"/>
          <w:lang w:bidi="ar"/>
        </w:rPr>
        <w:t>5.该产品的关键工序要求实施前，“关键工序”栏可不填，下同。</w:t>
      </w:r>
    </w:p>
    <w:p w14:paraId="5B9E106B">
      <w:pPr>
        <w:rPr>
          <w:color w:val="auto"/>
          <w:sz w:val="28"/>
          <w:szCs w:val="36"/>
          <w:highlight w:val="none"/>
        </w:rPr>
      </w:pPr>
    </w:p>
    <w:p w14:paraId="3FEC3CF3">
      <w:pPr>
        <w:rPr>
          <w:color w:val="auto"/>
          <w:sz w:val="24"/>
          <w:szCs w:val="24"/>
          <w:highlight w:val="none"/>
        </w:rPr>
      </w:pPr>
    </w:p>
    <w:sectPr>
      <w:footerReference r:id="rId12" w:type="first"/>
      <w:footerReference r:id="rId11" w:type="default"/>
      <w:pgSz w:w="11906" w:h="16838"/>
      <w:pgMar w:top="1440" w:right="1803" w:bottom="1440" w:left="1803" w:header="851" w:footer="850" w:gutter="0"/>
      <w:pgNumType w:start="32"/>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D232">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1DE23">
    <w:pPr>
      <w:framePr w:wrap="around" w:vAnchor="text" w:hAnchor="margin" w:xAlign="right" w:y="1"/>
    </w:pPr>
    <w:r>
      <w:fldChar w:fldCharType="begin"/>
    </w:r>
    <w:r>
      <w:instrText xml:space="preserve">PAGE  </w:instrText>
    </w:r>
    <w:r>
      <w:fldChar w:fldCharType="end"/>
    </w:r>
  </w:p>
  <w:p w14:paraId="051A0D22">
    <w:pPr>
      <w:ind w:right="360"/>
    </w:pPr>
  </w:p>
  <w:p w14:paraId="28B3873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185C5">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F261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29779">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1029779">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815DB">
    <w:pPr>
      <w:rPr>
        <w:b/>
        <w:bCs/>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64C70">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6264C70">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8B7B3">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8FB7B">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458FB7B">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CA0E3">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B11E">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5397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E0324">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E86FE"/>
    <w:multiLevelType w:val="singleLevel"/>
    <w:tmpl w:val="814E86FE"/>
    <w:lvl w:ilvl="0" w:tentative="0">
      <w:start w:val="4"/>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DDE7847F"/>
    <w:multiLevelType w:val="singleLevel"/>
    <w:tmpl w:val="DDE7847F"/>
    <w:lvl w:ilvl="0" w:tentative="0">
      <w:start w:val="2"/>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15CF0D0F"/>
    <w:multiLevelType w:val="singleLevel"/>
    <w:tmpl w:val="15CF0D0F"/>
    <w:lvl w:ilvl="0" w:tentative="0">
      <w:start w:val="1"/>
      <w:numFmt w:val="chineseCounting"/>
      <w:suff w:val="nothing"/>
      <w:lvlText w:val="%1、"/>
      <w:lvlJc w:val="left"/>
      <w:rPr>
        <w:rFonts w:hint="eastAsia"/>
      </w:rPr>
    </w:lvl>
  </w:abstractNum>
  <w:abstractNum w:abstractNumId="7">
    <w:nsid w:val="7A0F6431"/>
    <w:multiLevelType w:val="singleLevel"/>
    <w:tmpl w:val="7A0F6431"/>
    <w:lvl w:ilvl="0" w:tentative="0">
      <w:start w:val="1"/>
      <w:numFmt w:val="decimal"/>
      <w:suff w:val="space"/>
      <w:lvlText w:val="%1."/>
      <w:lvlJc w:val="left"/>
    </w:lvl>
  </w:abstractNum>
  <w:num w:numId="1">
    <w:abstractNumId w:val="0"/>
  </w:num>
  <w:num w:numId="2">
    <w:abstractNumId w:val="7"/>
  </w:num>
  <w:num w:numId="3">
    <w:abstractNumId w:val="4"/>
  </w:num>
  <w:num w:numId="4">
    <w:abstractNumId w:val="3"/>
  </w:num>
  <w:num w:numId="5">
    <w:abstractNumId w:val="1"/>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trackRevisions w:val="1"/>
  <w:documentProtection w:edit="trackedChanges" w:enforcement="1" w:cryptProviderType="rsaFull" w:cryptAlgorithmClass="hash" w:cryptAlgorithmType="typeAny" w:cryptAlgorithmSid="4" w:cryptSpinCount="0" w:hash="2ESVhiVYtEivRn7YDRYkqk08F24=" w:salt="Qp+1kRE4kTngFWxQTUfSA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25E2"/>
    <w:rsid w:val="00093575"/>
    <w:rsid w:val="0009390E"/>
    <w:rsid w:val="00097BE7"/>
    <w:rsid w:val="000C7F28"/>
    <w:rsid w:val="000D1B14"/>
    <w:rsid w:val="000D4D8F"/>
    <w:rsid w:val="000E74F3"/>
    <w:rsid w:val="0010046E"/>
    <w:rsid w:val="0011114C"/>
    <w:rsid w:val="001370B6"/>
    <w:rsid w:val="00161AB7"/>
    <w:rsid w:val="00161DAA"/>
    <w:rsid w:val="0022200B"/>
    <w:rsid w:val="00226EAE"/>
    <w:rsid w:val="002415D5"/>
    <w:rsid w:val="00267AE9"/>
    <w:rsid w:val="002C0385"/>
    <w:rsid w:val="002C501C"/>
    <w:rsid w:val="002C707C"/>
    <w:rsid w:val="00326578"/>
    <w:rsid w:val="00393D0A"/>
    <w:rsid w:val="00470E38"/>
    <w:rsid w:val="004B4143"/>
    <w:rsid w:val="004B7ADB"/>
    <w:rsid w:val="004C2020"/>
    <w:rsid w:val="0050461E"/>
    <w:rsid w:val="00524DD1"/>
    <w:rsid w:val="005640F8"/>
    <w:rsid w:val="00567F9A"/>
    <w:rsid w:val="0057746F"/>
    <w:rsid w:val="00583AC5"/>
    <w:rsid w:val="00584B2A"/>
    <w:rsid w:val="00595B10"/>
    <w:rsid w:val="005960E2"/>
    <w:rsid w:val="005B5E5D"/>
    <w:rsid w:val="005F0238"/>
    <w:rsid w:val="005F6D4A"/>
    <w:rsid w:val="00606EE1"/>
    <w:rsid w:val="0063064B"/>
    <w:rsid w:val="00633D2B"/>
    <w:rsid w:val="0064479E"/>
    <w:rsid w:val="006D1822"/>
    <w:rsid w:val="00702DE5"/>
    <w:rsid w:val="00713204"/>
    <w:rsid w:val="007351D8"/>
    <w:rsid w:val="00742876"/>
    <w:rsid w:val="00781CA0"/>
    <w:rsid w:val="007E0AD6"/>
    <w:rsid w:val="00847A75"/>
    <w:rsid w:val="00977FE2"/>
    <w:rsid w:val="00A122AC"/>
    <w:rsid w:val="00A80ADF"/>
    <w:rsid w:val="00A90B80"/>
    <w:rsid w:val="00A93C9D"/>
    <w:rsid w:val="00A95834"/>
    <w:rsid w:val="00AA38F8"/>
    <w:rsid w:val="00AC3038"/>
    <w:rsid w:val="00B36D3A"/>
    <w:rsid w:val="00BC1BF0"/>
    <w:rsid w:val="00BE7366"/>
    <w:rsid w:val="00C03AE0"/>
    <w:rsid w:val="00C056DE"/>
    <w:rsid w:val="00C361BF"/>
    <w:rsid w:val="00C65221"/>
    <w:rsid w:val="00CD339A"/>
    <w:rsid w:val="00CE72AE"/>
    <w:rsid w:val="00CE7BB1"/>
    <w:rsid w:val="00D16646"/>
    <w:rsid w:val="00D5128D"/>
    <w:rsid w:val="00DD7918"/>
    <w:rsid w:val="00E014C2"/>
    <w:rsid w:val="00E225C8"/>
    <w:rsid w:val="00E66F98"/>
    <w:rsid w:val="00E9122D"/>
    <w:rsid w:val="00E919EF"/>
    <w:rsid w:val="00EC664B"/>
    <w:rsid w:val="00EE662F"/>
    <w:rsid w:val="00F051AD"/>
    <w:rsid w:val="00FA174C"/>
    <w:rsid w:val="00FE11F4"/>
    <w:rsid w:val="00FF3195"/>
    <w:rsid w:val="00FF56BA"/>
    <w:rsid w:val="01B841E6"/>
    <w:rsid w:val="01F47117"/>
    <w:rsid w:val="02714395"/>
    <w:rsid w:val="039B5B6E"/>
    <w:rsid w:val="03EC461B"/>
    <w:rsid w:val="044E2BE0"/>
    <w:rsid w:val="04B769D7"/>
    <w:rsid w:val="04E43544"/>
    <w:rsid w:val="050140F6"/>
    <w:rsid w:val="05A30D0A"/>
    <w:rsid w:val="062736E9"/>
    <w:rsid w:val="06562220"/>
    <w:rsid w:val="06C947A0"/>
    <w:rsid w:val="089332B7"/>
    <w:rsid w:val="08F17FDE"/>
    <w:rsid w:val="08F71A98"/>
    <w:rsid w:val="099512B1"/>
    <w:rsid w:val="0A5B6282"/>
    <w:rsid w:val="0ACE4A7B"/>
    <w:rsid w:val="0B03120E"/>
    <w:rsid w:val="0B212DFC"/>
    <w:rsid w:val="0B632A85"/>
    <w:rsid w:val="0C607954"/>
    <w:rsid w:val="0C776A4C"/>
    <w:rsid w:val="0CB739F3"/>
    <w:rsid w:val="0D1A1A71"/>
    <w:rsid w:val="0DD00B0A"/>
    <w:rsid w:val="0DDA3736"/>
    <w:rsid w:val="0F144A26"/>
    <w:rsid w:val="0FCC498E"/>
    <w:rsid w:val="100D7DF3"/>
    <w:rsid w:val="101518E8"/>
    <w:rsid w:val="1096681D"/>
    <w:rsid w:val="10F87487"/>
    <w:rsid w:val="111B6540"/>
    <w:rsid w:val="112A6783"/>
    <w:rsid w:val="114B43E9"/>
    <w:rsid w:val="11673533"/>
    <w:rsid w:val="119A3A6A"/>
    <w:rsid w:val="12555A81"/>
    <w:rsid w:val="12575356"/>
    <w:rsid w:val="127E0B66"/>
    <w:rsid w:val="132C67E2"/>
    <w:rsid w:val="13FF5CA5"/>
    <w:rsid w:val="14151024"/>
    <w:rsid w:val="146B333A"/>
    <w:rsid w:val="147541B9"/>
    <w:rsid w:val="14A8633C"/>
    <w:rsid w:val="1525173B"/>
    <w:rsid w:val="1528122B"/>
    <w:rsid w:val="15391146"/>
    <w:rsid w:val="15C947BC"/>
    <w:rsid w:val="15FD4466"/>
    <w:rsid w:val="164125A5"/>
    <w:rsid w:val="16A91FB8"/>
    <w:rsid w:val="16D056D6"/>
    <w:rsid w:val="16E82A20"/>
    <w:rsid w:val="17A76437"/>
    <w:rsid w:val="17BA007A"/>
    <w:rsid w:val="18664544"/>
    <w:rsid w:val="18784278"/>
    <w:rsid w:val="196842EC"/>
    <w:rsid w:val="199926F8"/>
    <w:rsid w:val="1A0C111B"/>
    <w:rsid w:val="1A4A39F2"/>
    <w:rsid w:val="1A7016AA"/>
    <w:rsid w:val="1ADA2FC8"/>
    <w:rsid w:val="1B0167A6"/>
    <w:rsid w:val="1C4178D3"/>
    <w:rsid w:val="1CA05B4B"/>
    <w:rsid w:val="1CD51C99"/>
    <w:rsid w:val="1E1E141D"/>
    <w:rsid w:val="207928CF"/>
    <w:rsid w:val="21C047A5"/>
    <w:rsid w:val="21EF04B1"/>
    <w:rsid w:val="21EF55AB"/>
    <w:rsid w:val="2412732E"/>
    <w:rsid w:val="242A28CA"/>
    <w:rsid w:val="24373239"/>
    <w:rsid w:val="249935AC"/>
    <w:rsid w:val="268D7140"/>
    <w:rsid w:val="27180014"/>
    <w:rsid w:val="27286E69"/>
    <w:rsid w:val="28C36E49"/>
    <w:rsid w:val="29EB2AFB"/>
    <w:rsid w:val="2AC944BF"/>
    <w:rsid w:val="2B7B5D84"/>
    <w:rsid w:val="2C3D33B6"/>
    <w:rsid w:val="2D173C07"/>
    <w:rsid w:val="2D497F94"/>
    <w:rsid w:val="2DBF5D7B"/>
    <w:rsid w:val="2EA339A5"/>
    <w:rsid w:val="2FC276E4"/>
    <w:rsid w:val="2FFA3A98"/>
    <w:rsid w:val="30C220DC"/>
    <w:rsid w:val="310F1F07"/>
    <w:rsid w:val="31C3435E"/>
    <w:rsid w:val="327F0285"/>
    <w:rsid w:val="32E26A66"/>
    <w:rsid w:val="3321758E"/>
    <w:rsid w:val="336F07F8"/>
    <w:rsid w:val="339F64E0"/>
    <w:rsid w:val="344D6161"/>
    <w:rsid w:val="34627E5E"/>
    <w:rsid w:val="34C70555"/>
    <w:rsid w:val="34CE1050"/>
    <w:rsid w:val="34DA79F4"/>
    <w:rsid w:val="359B63CF"/>
    <w:rsid w:val="35CF507F"/>
    <w:rsid w:val="37375D11"/>
    <w:rsid w:val="37983B97"/>
    <w:rsid w:val="37ED5C91"/>
    <w:rsid w:val="383C2774"/>
    <w:rsid w:val="399F1E35"/>
    <w:rsid w:val="3B5F6EA5"/>
    <w:rsid w:val="3B950B19"/>
    <w:rsid w:val="3BBF57ED"/>
    <w:rsid w:val="3C1934F8"/>
    <w:rsid w:val="3C2F4ACA"/>
    <w:rsid w:val="3C3E2F5F"/>
    <w:rsid w:val="3F27588A"/>
    <w:rsid w:val="3F8E5FAB"/>
    <w:rsid w:val="3FC01EDD"/>
    <w:rsid w:val="3FE454D6"/>
    <w:rsid w:val="41B63597"/>
    <w:rsid w:val="424E1A22"/>
    <w:rsid w:val="42C83582"/>
    <w:rsid w:val="42DC0504"/>
    <w:rsid w:val="433D39EB"/>
    <w:rsid w:val="43A85162"/>
    <w:rsid w:val="43C864C1"/>
    <w:rsid w:val="44562E10"/>
    <w:rsid w:val="45EA1A61"/>
    <w:rsid w:val="46430BED"/>
    <w:rsid w:val="484C255F"/>
    <w:rsid w:val="493C259C"/>
    <w:rsid w:val="4941408E"/>
    <w:rsid w:val="495518E8"/>
    <w:rsid w:val="4A78588E"/>
    <w:rsid w:val="4A8F716B"/>
    <w:rsid w:val="4C465518"/>
    <w:rsid w:val="4CA9190D"/>
    <w:rsid w:val="4D333CEE"/>
    <w:rsid w:val="4D4B54DB"/>
    <w:rsid w:val="4DDC25D7"/>
    <w:rsid w:val="4DFB41B7"/>
    <w:rsid w:val="4EDE09E1"/>
    <w:rsid w:val="4F89148D"/>
    <w:rsid w:val="50B623D4"/>
    <w:rsid w:val="50E33C7D"/>
    <w:rsid w:val="51065A0E"/>
    <w:rsid w:val="512E314A"/>
    <w:rsid w:val="51D04201"/>
    <w:rsid w:val="51E1640E"/>
    <w:rsid w:val="52E37F64"/>
    <w:rsid w:val="530879CB"/>
    <w:rsid w:val="53CE651E"/>
    <w:rsid w:val="53DC50DF"/>
    <w:rsid w:val="549324C0"/>
    <w:rsid w:val="54E029AD"/>
    <w:rsid w:val="54FC355F"/>
    <w:rsid w:val="55EB160A"/>
    <w:rsid w:val="566E223B"/>
    <w:rsid w:val="57032983"/>
    <w:rsid w:val="57382936"/>
    <w:rsid w:val="57D32355"/>
    <w:rsid w:val="57F06BBF"/>
    <w:rsid w:val="583354EA"/>
    <w:rsid w:val="58C44394"/>
    <w:rsid w:val="590D5D3B"/>
    <w:rsid w:val="5A07278A"/>
    <w:rsid w:val="5A53777D"/>
    <w:rsid w:val="5BF95B87"/>
    <w:rsid w:val="5C566D9D"/>
    <w:rsid w:val="5CF3349A"/>
    <w:rsid w:val="5CFF3BED"/>
    <w:rsid w:val="5D120C2C"/>
    <w:rsid w:val="5D177188"/>
    <w:rsid w:val="5D6F2B20"/>
    <w:rsid w:val="5DB648FD"/>
    <w:rsid w:val="605B3830"/>
    <w:rsid w:val="607448F1"/>
    <w:rsid w:val="60F03F78"/>
    <w:rsid w:val="61410DD1"/>
    <w:rsid w:val="624327CD"/>
    <w:rsid w:val="6299063F"/>
    <w:rsid w:val="63260125"/>
    <w:rsid w:val="6389617A"/>
    <w:rsid w:val="63F56961"/>
    <w:rsid w:val="63FC0E86"/>
    <w:rsid w:val="649E018F"/>
    <w:rsid w:val="66A932A5"/>
    <w:rsid w:val="672723A8"/>
    <w:rsid w:val="67591D81"/>
    <w:rsid w:val="675F3C06"/>
    <w:rsid w:val="678F3DBF"/>
    <w:rsid w:val="68E317FD"/>
    <w:rsid w:val="69110F2F"/>
    <w:rsid w:val="6A184540"/>
    <w:rsid w:val="6B2018FE"/>
    <w:rsid w:val="6B9145AA"/>
    <w:rsid w:val="6BAE01B1"/>
    <w:rsid w:val="6BBB5183"/>
    <w:rsid w:val="6E974DA4"/>
    <w:rsid w:val="6F6A1399"/>
    <w:rsid w:val="6F8A4C47"/>
    <w:rsid w:val="6FE949B4"/>
    <w:rsid w:val="6FF7158D"/>
    <w:rsid w:val="711F4749"/>
    <w:rsid w:val="715045BF"/>
    <w:rsid w:val="726E378D"/>
    <w:rsid w:val="72C02E02"/>
    <w:rsid w:val="737C5B3F"/>
    <w:rsid w:val="73873CCD"/>
    <w:rsid w:val="74D13C69"/>
    <w:rsid w:val="75556648"/>
    <w:rsid w:val="75907680"/>
    <w:rsid w:val="761F4B20"/>
    <w:rsid w:val="76283D5C"/>
    <w:rsid w:val="762A3631"/>
    <w:rsid w:val="76524935"/>
    <w:rsid w:val="767E397C"/>
    <w:rsid w:val="77C51BC9"/>
    <w:rsid w:val="78B8118C"/>
    <w:rsid w:val="78D9133E"/>
    <w:rsid w:val="78ED0E74"/>
    <w:rsid w:val="79F857F4"/>
    <w:rsid w:val="7AA53BCD"/>
    <w:rsid w:val="7AFC44A6"/>
    <w:rsid w:val="7B1448AF"/>
    <w:rsid w:val="7B22521E"/>
    <w:rsid w:val="7BB61A1F"/>
    <w:rsid w:val="7C013085"/>
    <w:rsid w:val="7C4D1E27"/>
    <w:rsid w:val="7C63789C"/>
    <w:rsid w:val="7C80044E"/>
    <w:rsid w:val="7C9E08D4"/>
    <w:rsid w:val="7CD662C0"/>
    <w:rsid w:val="7DC46119"/>
    <w:rsid w:val="7DE22A43"/>
    <w:rsid w:val="7F3379FA"/>
    <w:rsid w:val="7F9F74BD"/>
    <w:rsid w:val="7FFC1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adjustRightInd w:val="0"/>
      <w:snapToGrid w:val="0"/>
      <w:spacing w:line="520" w:lineRule="exact"/>
      <w:ind w:firstLine="595"/>
    </w:pPr>
    <w:rPr>
      <w:kern w:val="0"/>
      <w:sz w:val="28"/>
      <w:szCs w:val="20"/>
    </w:rPr>
  </w:style>
  <w:style w:type="paragraph" w:styleId="6">
    <w:name w:val="Body Text Indent"/>
    <w:basedOn w:val="1"/>
    <w:qFormat/>
    <w:uiPriority w:val="0"/>
    <w:pPr>
      <w:ind w:firstLine="430"/>
    </w:pPr>
    <w:rPr>
      <w:rFonts w:ascii="仿宋_GB2312" w:eastAsia="仿宋_GB2312"/>
      <w:kern w:val="0"/>
      <w:sz w:val="32"/>
    </w:r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spacing w:line="360" w:lineRule="auto"/>
      <w:ind w:left="1140"/>
    </w:pPr>
    <w:rPr>
      <w:rFonts w:ascii="宋体"/>
      <w:sz w:val="24"/>
      <w:szCs w:val="20"/>
    </w:rPr>
  </w:style>
  <w:style w:type="paragraph" w:styleId="9">
    <w:name w:val="Balloon Text"/>
    <w:basedOn w:val="1"/>
    <w:link w:val="39"/>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semiHidden/>
    <w:unhideWhenUsed/>
    <w:qFormat/>
    <w:uiPriority w:val="39"/>
  </w:style>
  <w:style w:type="paragraph" w:styleId="13">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4">
    <w:name w:val="Normal (Web)"/>
    <w:basedOn w:val="1"/>
    <w:unhideWhenUsed/>
    <w:qFormat/>
    <w:uiPriority w:val="99"/>
    <w:rPr>
      <w:rFonts w:ascii="Times New Roman" w:hAnsi="Times New Roman" w:cs="Times New Roman"/>
      <w:sz w:val="24"/>
      <w:szCs w:val="24"/>
    </w:rPr>
  </w:style>
  <w:style w:type="paragraph" w:styleId="15">
    <w:name w:val="Body Text First Indent"/>
    <w:basedOn w:val="1"/>
    <w:next w:val="16"/>
    <w:qFormat/>
    <w:uiPriority w:val="99"/>
    <w:pPr>
      <w:spacing w:after="120"/>
      <w:ind w:firstLine="420" w:firstLineChars="100"/>
    </w:pPr>
    <w:rPr>
      <w:rFonts w:ascii="Times New Roman" w:hAnsi="Times New Roman" w:cs="Times New Roman"/>
      <w:szCs w:val="21"/>
    </w:rPr>
  </w:style>
  <w:style w:type="paragraph" w:styleId="16">
    <w:name w:val="Body Text First Indent 2"/>
    <w:basedOn w:val="6"/>
    <w:next w:val="5"/>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rPr>
      <w:sz w:val="0"/>
      <w:szCs w:val="0"/>
      <w:bdr w:val="single" w:color="auto" w:sz="2" w:space="0"/>
    </w:rPr>
  </w:style>
  <w:style w:type="character" w:styleId="27">
    <w:name w:val="Hyperlink"/>
    <w:basedOn w:val="19"/>
    <w:qFormat/>
    <w:uiPriority w:val="0"/>
    <w:rPr>
      <w:color w:val="0000FF"/>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WPSOffice手动目录 1"/>
    <w:qFormat/>
    <w:uiPriority w:val="0"/>
    <w:rPr>
      <w:rFonts w:ascii="Times New Roman" w:hAnsi="Times New Roman" w:eastAsia="宋体" w:cs="Times New Roman"/>
      <w:lang w:val="en-US" w:eastAsia="zh-CN" w:bidi="ar-SA"/>
    </w:rPr>
  </w:style>
  <w:style w:type="character" w:customStyle="1" w:styleId="34">
    <w:name w:val="font01"/>
    <w:basedOn w:val="19"/>
    <w:qFormat/>
    <w:uiPriority w:val="0"/>
    <w:rPr>
      <w:rFonts w:hint="eastAsia" w:ascii="宋体" w:hAnsi="宋体" w:eastAsia="宋体" w:cs="宋体"/>
      <w:color w:val="000000"/>
      <w:sz w:val="22"/>
      <w:szCs w:val="22"/>
      <w:u w:val="none"/>
    </w:rPr>
  </w:style>
  <w:style w:type="character" w:customStyle="1" w:styleId="35">
    <w:name w:val="font31"/>
    <w:basedOn w:val="19"/>
    <w:qFormat/>
    <w:uiPriority w:val="0"/>
    <w:rPr>
      <w:rFonts w:ascii="宋体" w:hAnsi="宋体" w:eastAsia="宋体" w:cs="宋体"/>
      <w:color w:val="000000"/>
      <w:sz w:val="22"/>
      <w:szCs w:val="22"/>
      <w:u w:val="none"/>
    </w:rPr>
  </w:style>
  <w:style w:type="paragraph" w:customStyle="1" w:styleId="36">
    <w:name w:val="Table Text"/>
    <w:basedOn w:val="1"/>
    <w:semiHidden/>
    <w:qFormat/>
    <w:uiPriority w:val="0"/>
    <w:rPr>
      <w:rFonts w:ascii="宋体" w:hAnsi="宋体" w:eastAsia="宋体" w:cs="宋体"/>
      <w:sz w:val="24"/>
      <w:szCs w:val="24"/>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列出段落1"/>
    <w:basedOn w:val="1"/>
    <w:qFormat/>
    <w:uiPriority w:val="34"/>
    <w:pPr>
      <w:ind w:firstLine="420" w:firstLineChars="200"/>
    </w:pPr>
    <w:rPr>
      <w:rFonts w:ascii="Calibri" w:hAnsi="Calibri"/>
    </w:rPr>
  </w:style>
  <w:style w:type="character" w:customStyle="1" w:styleId="39">
    <w:name w:val="批注框文本 Char"/>
    <w:basedOn w:val="19"/>
    <w:link w:val="9"/>
    <w:qFormat/>
    <w:uiPriority w:val="0"/>
    <w:rPr>
      <w:rFonts w:asciiTheme="minorHAnsi" w:hAnsiTheme="minorHAnsi" w:eastAsiaTheme="minorEastAsia" w:cstheme="minorBidi"/>
      <w:kern w:val="2"/>
      <w:sz w:val="18"/>
      <w:szCs w:val="18"/>
    </w:rPr>
  </w:style>
  <w:style w:type="character" w:customStyle="1" w:styleId="40">
    <w:name w:val="hover"/>
    <w:basedOn w:val="19"/>
    <w:qFormat/>
    <w:uiPriority w:val="0"/>
    <w:rPr>
      <w:color w:val="2590EB"/>
    </w:rPr>
  </w:style>
  <w:style w:type="character" w:customStyle="1" w:styleId="41">
    <w:name w:val="hover1"/>
    <w:basedOn w:val="19"/>
    <w:qFormat/>
    <w:uiPriority w:val="0"/>
  </w:style>
  <w:style w:type="character" w:customStyle="1" w:styleId="42">
    <w:name w:val="hover2"/>
    <w:basedOn w:val="19"/>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84</Pages>
  <Words>13947</Words>
  <Characters>15205</Characters>
  <Lines>347</Lines>
  <Paragraphs>97</Paragraphs>
  <TotalTime>2</TotalTime>
  <ScaleCrop>false</ScaleCrop>
  <LinksUpToDate>false</LinksUpToDate>
  <CharactersWithSpaces>15315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2026-03-23T02:54:00Z</dcterms:created>
  <dc:creator>Administrator</dc:creator>
  <cp:lastModifiedBy>Administrator</cp:lastModifiedBy>
  <dcterms:modified xsi:type="dcterms:W3CDTF">2026-06-24T07:17:07Z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eyJoZGlkIjoiOWY3NjUzMGYzOGU2YjEyMjczYmI5ZDJlOWQ3YjhkYTUiLCJ1c2VySWQiOiIxNTgxMDQ2NjUwIn0=</vt:lpwstr>
  </property>
  <property fmtid="{D5CDD505-2E9C-101B-9397-08002B2CF9AE}" pid="4" name="ICV">
    <vt:lpwstr>9E1D9932BC194455ACEA317011BB5F0B_13</vt:lpwstr>
  </property>
</Properties>
</file>