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imes New Roman"/>
          <w:kern w:val="2"/>
          <w:sz w:val="21"/>
          <w:szCs w:val="24"/>
          <w:lang w:val="en-US" w:eastAsia="zh-CN" w:bidi="ar-SA"/>
        </w:rPr>
        <w:id w:val="147467404"/>
        <w15:color w:val="DBDBDB"/>
        <w:docPartObj>
          <w:docPartGallery w:val="Table of Contents"/>
          <w:docPartUnique/>
        </w:docPartObj>
      </w:sdtPr>
      <w:sdtEndPr>
        <w:rPr>
          <w:rFonts w:hint="eastAsia" w:ascii="Times New Roman" w:hAnsi="Times New Roman" w:eastAsia="宋体" w:cs="Times New Roman"/>
          <w:kern w:val="2"/>
          <w:sz w:val="28"/>
          <w:szCs w:val="24"/>
          <w:lang w:val="en-US" w:eastAsia="zh-CN" w:bidi="ar-SA"/>
        </w:rPr>
      </w:sdtEndPr>
      <w:sdtContent>
        <w:p w14:paraId="0FA926A3">
          <w:pPr>
            <w:keepNext w:val="0"/>
            <w:keepLines w:val="0"/>
            <w:pageBreakBefore w:val="0"/>
            <w:widowControl/>
            <w:kinsoku/>
            <w:wordWrap/>
            <w:overflowPunct/>
            <w:topLinePunct w:val="0"/>
            <w:autoSpaceDE/>
            <w:autoSpaceDN/>
            <w:bidi w:val="0"/>
            <w:adjustRightInd/>
            <w:snapToGrid/>
            <w:spacing w:line="1600" w:lineRule="exact"/>
            <w:jc w:val="center"/>
            <w:textAlignment w:val="auto"/>
            <w:rPr>
              <w:rFonts w:hint="eastAsia" w:ascii="宋体" w:hAnsi="宋体" w:cs="宋体"/>
              <w:b/>
              <w:sz w:val="112"/>
              <w:szCs w:val="112"/>
              <w:highlight w:val="none"/>
              <w:lang w:val="en-US" w:eastAsia="zh-CN"/>
            </w:rPr>
          </w:pPr>
          <w:r>
            <w:rPr>
              <w:rFonts w:hint="eastAsia" w:ascii="宋体" w:hAnsi="宋体" w:eastAsia="宋体" w:cs="宋体"/>
              <w:b/>
              <w:snapToGrid w:val="0"/>
              <w:color w:val="000000"/>
              <w:spacing w:val="0"/>
              <w:kern w:val="21"/>
              <w:sz w:val="52"/>
              <w:szCs w:val="52"/>
              <w:lang w:eastAsia="zh-CN"/>
            </w:rPr>
            <w:t>卢氏县</w:t>
          </w:r>
          <w:r>
            <w:rPr>
              <w:rFonts w:hint="eastAsia" w:ascii="宋体" w:hAnsi="宋体" w:cs="宋体"/>
              <w:b/>
              <w:snapToGrid w:val="0"/>
              <w:color w:val="000000"/>
              <w:spacing w:val="0"/>
              <w:kern w:val="21"/>
              <w:sz w:val="52"/>
              <w:szCs w:val="52"/>
              <w:lang w:val="en-US" w:eastAsia="zh-CN"/>
            </w:rPr>
            <w:t>公安局食堂食材采购项目</w:t>
          </w:r>
        </w:p>
        <w:p w14:paraId="56A64539">
          <w:pPr>
            <w:keepNext w:val="0"/>
            <w:keepLines w:val="0"/>
            <w:pageBreakBefore w:val="0"/>
            <w:widowControl/>
            <w:suppressLineNumbers w:val="0"/>
            <w:kinsoku/>
            <w:wordWrap/>
            <w:overflowPunct/>
            <w:topLinePunct w:val="0"/>
            <w:autoSpaceDE/>
            <w:autoSpaceDN/>
            <w:bidi w:val="0"/>
            <w:adjustRightInd/>
            <w:snapToGrid/>
            <w:spacing w:line="1600" w:lineRule="exact"/>
            <w:ind w:left="0" w:leftChars="0" w:firstLine="0" w:firstLineChars="0"/>
            <w:jc w:val="center"/>
            <w:textAlignment w:val="auto"/>
            <w:rPr>
              <w:rFonts w:hint="default"/>
              <w:sz w:val="24"/>
              <w:szCs w:val="24"/>
              <w:highlight w:val="none"/>
              <w:lang w:val="en-US"/>
            </w:rPr>
          </w:pPr>
          <w:r>
            <w:rPr>
              <w:rFonts w:hint="eastAsia" w:ascii="宋体" w:hAnsi="宋体" w:cs="宋体"/>
              <w:b/>
              <w:sz w:val="72"/>
              <w:szCs w:val="72"/>
              <w:highlight w:val="none"/>
              <w:lang w:val="en-US" w:eastAsia="zh-CN"/>
            </w:rPr>
            <w:t>竞争性磋商文件</w:t>
          </w:r>
        </w:p>
        <w:p w14:paraId="3C2C2942">
          <w:pPr>
            <w:pStyle w:val="23"/>
            <w:spacing w:line="360" w:lineRule="auto"/>
            <w:jc w:val="center"/>
            <w:rPr>
              <w:rFonts w:hint="eastAsia" w:ascii="宋体" w:hAnsi="宋体" w:eastAsia="宋体" w:cs="宋体"/>
              <w:spacing w:val="0"/>
              <w:lang w:val="en-US" w:eastAsia="zh-CN"/>
            </w:rPr>
          </w:pPr>
          <w:r>
            <w:rPr>
              <w:rFonts w:hint="eastAsia" w:ascii="宋体" w:hAnsi="宋体" w:eastAsia="宋体" w:cs="宋体"/>
              <w:b/>
              <w:snapToGrid w:val="0"/>
              <w:spacing w:val="0"/>
              <w:kern w:val="21"/>
            </w:rPr>
            <w:t xml:space="preserve">  </w:t>
          </w:r>
        </w:p>
        <w:p w14:paraId="5994A7EA">
          <w:pPr>
            <w:widowControl/>
            <w:spacing w:line="240" w:lineRule="auto"/>
            <w:ind w:firstLine="2508" w:firstLineChars="896"/>
            <w:jc w:val="left"/>
            <w:rPr>
              <w:rFonts w:hint="eastAsia" w:ascii="宋体" w:hAnsi="宋体" w:eastAsia="宋体" w:cs="宋体"/>
              <w:snapToGrid w:val="0"/>
              <w:color w:val="000000"/>
              <w:spacing w:val="0"/>
              <w:kern w:val="21"/>
              <w:sz w:val="28"/>
              <w:szCs w:val="28"/>
            </w:rPr>
          </w:pPr>
        </w:p>
        <w:p w14:paraId="161BDE0C">
          <w:pPr>
            <w:widowControl w:val="0"/>
            <w:wordWrap w:val="0"/>
            <w:spacing w:line="560" w:lineRule="exact"/>
            <w:ind w:firstLine="482" w:firstLineChars="200"/>
            <w:jc w:val="center"/>
            <w:rPr>
              <w:rFonts w:hint="eastAsia" w:ascii="宋体" w:hAnsi="宋体" w:eastAsia="宋体" w:cs="宋体"/>
              <w:b/>
              <w:bCs/>
              <w:spacing w:val="0"/>
            </w:rPr>
          </w:pPr>
          <w:r>
            <w:rPr>
              <w:rFonts w:hint="eastAsia" w:ascii="宋体" w:hAnsi="宋体" w:eastAsia="宋体" w:cs="宋体"/>
              <w:b/>
              <w:bCs/>
              <w:kern w:val="2"/>
              <w:sz w:val="24"/>
              <w:szCs w:val="24"/>
            </w:rPr>
            <w:t>项目编号</w:t>
          </w:r>
          <w:r>
            <w:rPr>
              <w:rFonts w:hint="eastAsia" w:ascii="宋体" w:hAnsi="宋体" w:eastAsia="宋体" w:cs="宋体"/>
              <w:b/>
              <w:bCs/>
              <w:kern w:val="2"/>
              <w:sz w:val="24"/>
              <w:szCs w:val="24"/>
              <w:lang w:eastAsia="zh-CN"/>
            </w:rPr>
            <w:t>：</w:t>
          </w:r>
          <w:r>
            <w:rPr>
              <w:rFonts w:hint="eastAsia" w:ascii="宋体" w:hAnsi="宋体" w:eastAsia="宋体" w:cs="宋体"/>
              <w:b/>
              <w:bCs/>
              <w:kern w:val="2"/>
              <w:sz w:val="24"/>
              <w:szCs w:val="24"/>
              <w:lang w:val="en-US" w:eastAsia="zh-CN"/>
            </w:rPr>
            <w:t>三卢竞</w:t>
          </w:r>
          <w:r>
            <w:rPr>
              <w:rFonts w:hint="eastAsia" w:ascii="宋体" w:hAnsi="宋体" w:eastAsia="宋体" w:cs="宋体"/>
              <w:b/>
              <w:bCs/>
              <w:kern w:val="2"/>
              <w:sz w:val="24"/>
              <w:szCs w:val="24"/>
              <w:lang w:eastAsia="zh-CN"/>
            </w:rPr>
            <w:t>磋</w:t>
          </w:r>
          <w:r>
            <w:rPr>
              <w:rFonts w:hint="eastAsia" w:ascii="宋体" w:hAnsi="宋体" w:eastAsia="宋体" w:cs="宋体"/>
              <w:b/>
              <w:bCs/>
              <w:kern w:val="2"/>
              <w:sz w:val="24"/>
              <w:szCs w:val="24"/>
              <w:lang w:val="en-US" w:eastAsia="zh-CN"/>
            </w:rPr>
            <w:t>采购-2026-48、LSGZ[2026]113-ZC086</w:t>
          </w:r>
        </w:p>
        <w:p w14:paraId="0B25E0E2">
          <w:pPr>
            <w:pStyle w:val="16"/>
            <w:rPr>
              <w:rFonts w:hint="eastAsia" w:ascii="宋体" w:hAnsi="宋体" w:eastAsia="宋体" w:cs="宋体"/>
              <w:snapToGrid w:val="0"/>
              <w:spacing w:val="0"/>
              <w:kern w:val="21"/>
            </w:rPr>
          </w:pPr>
        </w:p>
        <w:p w14:paraId="4D3BB9C3">
          <w:pPr>
            <w:widowControl/>
            <w:jc w:val="center"/>
            <w:rPr>
              <w:rFonts w:hint="eastAsia" w:ascii="宋体" w:hAnsi="宋体" w:eastAsia="宋体" w:cs="宋体"/>
              <w:b/>
              <w:snapToGrid w:val="0"/>
              <w:color w:val="000000"/>
              <w:spacing w:val="0"/>
              <w:kern w:val="21"/>
              <w:szCs w:val="21"/>
            </w:rPr>
          </w:pPr>
          <w:r>
            <w:rPr>
              <w:rFonts w:hint="eastAsia" w:ascii="宋体" w:hAnsi="宋体" w:eastAsia="宋体"/>
              <w:szCs w:val="21"/>
              <w:lang w:eastAsia="zh-CN"/>
            </w:rPr>
            <w:drawing>
              <wp:anchor distT="0" distB="0" distL="114300" distR="114300" simplePos="0" relativeHeight="251660288" behindDoc="0" locked="0" layoutInCell="1" allowOverlap="1">
                <wp:simplePos x="0" y="0"/>
                <wp:positionH relativeFrom="column">
                  <wp:posOffset>1839595</wp:posOffset>
                </wp:positionH>
                <wp:positionV relativeFrom="paragraph">
                  <wp:posOffset>215265</wp:posOffset>
                </wp:positionV>
                <wp:extent cx="2322830" cy="2315210"/>
                <wp:effectExtent l="0" t="0" r="1270" b="8890"/>
                <wp:wrapSquare wrapText="bothSides"/>
                <wp:docPr id="16" name="图片 3" descr="ee6fafe2dcabb197195f7e9c0d131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ee6fafe2dcabb197195f7e9c0d131ea"/>
                        <pic:cNvPicPr>
                          <a:picLocks noChangeAspect="1"/>
                        </pic:cNvPicPr>
                      </pic:nvPicPr>
                      <pic:blipFill>
                        <a:blip r:embed="rId9"/>
                        <a:stretch>
                          <a:fillRect/>
                        </a:stretch>
                      </pic:blipFill>
                      <pic:spPr>
                        <a:xfrm>
                          <a:off x="0" y="0"/>
                          <a:ext cx="2322830" cy="2315210"/>
                        </a:xfrm>
                        <a:prstGeom prst="rect">
                          <a:avLst/>
                        </a:prstGeom>
                        <a:noFill/>
                        <a:ln>
                          <a:noFill/>
                        </a:ln>
                      </pic:spPr>
                    </pic:pic>
                  </a:graphicData>
                </a:graphic>
              </wp:anchor>
            </w:drawing>
          </w:r>
        </w:p>
        <w:p w14:paraId="7E86FAB9">
          <w:pPr>
            <w:pStyle w:val="7"/>
            <w:rPr>
              <w:rFonts w:hint="eastAsia" w:ascii="宋体" w:hAnsi="宋体" w:eastAsia="宋体" w:cs="宋体"/>
              <w:b/>
              <w:snapToGrid w:val="0"/>
              <w:color w:val="000000"/>
              <w:spacing w:val="0"/>
              <w:kern w:val="21"/>
              <w:szCs w:val="21"/>
            </w:rPr>
          </w:pPr>
        </w:p>
        <w:p w14:paraId="06F84C30">
          <w:pPr>
            <w:pStyle w:val="4"/>
            <w:rPr>
              <w:rFonts w:hint="eastAsia" w:ascii="宋体" w:hAnsi="宋体" w:eastAsia="宋体" w:cs="宋体"/>
              <w:b/>
              <w:snapToGrid w:val="0"/>
              <w:color w:val="000000"/>
              <w:spacing w:val="0"/>
              <w:kern w:val="21"/>
              <w:szCs w:val="21"/>
            </w:rPr>
          </w:pPr>
        </w:p>
        <w:p w14:paraId="6FBD4FF4">
          <w:pPr>
            <w:pStyle w:val="5"/>
            <w:rPr>
              <w:rFonts w:hint="eastAsia"/>
            </w:rPr>
          </w:pPr>
        </w:p>
        <w:p w14:paraId="5379BB24">
          <w:pPr>
            <w:pStyle w:val="4"/>
            <w:rPr>
              <w:rFonts w:hint="eastAsia" w:ascii="宋体" w:hAnsi="宋体" w:eastAsia="宋体" w:cs="宋体"/>
              <w:b/>
              <w:snapToGrid w:val="0"/>
              <w:color w:val="000000"/>
              <w:spacing w:val="0"/>
              <w:kern w:val="21"/>
              <w:szCs w:val="21"/>
            </w:rPr>
          </w:pPr>
        </w:p>
        <w:p w14:paraId="7A6877EB">
          <w:pPr>
            <w:pStyle w:val="4"/>
            <w:rPr>
              <w:rFonts w:hint="eastAsia" w:ascii="宋体" w:hAnsi="宋体" w:eastAsia="宋体" w:cs="宋体"/>
              <w:b/>
              <w:snapToGrid w:val="0"/>
              <w:color w:val="000000"/>
              <w:spacing w:val="0"/>
              <w:kern w:val="21"/>
              <w:szCs w:val="21"/>
            </w:rPr>
          </w:pPr>
        </w:p>
        <w:p w14:paraId="53F1E4B1">
          <w:pPr>
            <w:widowControl/>
            <w:jc w:val="left"/>
            <w:rPr>
              <w:rFonts w:hint="eastAsia" w:ascii="宋体" w:hAnsi="宋体" w:eastAsia="宋体" w:cs="宋体"/>
              <w:b/>
              <w:snapToGrid w:val="0"/>
              <w:color w:val="000000"/>
              <w:spacing w:val="0"/>
              <w:kern w:val="21"/>
              <w:szCs w:val="21"/>
            </w:rPr>
          </w:pPr>
        </w:p>
        <w:p w14:paraId="1A0FA1C2">
          <w:pPr>
            <w:keepNext w:val="0"/>
            <w:keepLines w:val="0"/>
            <w:pageBreakBefore w:val="0"/>
            <w:widowControl/>
            <w:tabs>
              <w:tab w:val="right" w:leader="dot" w:pos="9345"/>
            </w:tabs>
            <w:kinsoku/>
            <w:wordWrap/>
            <w:overflowPunct/>
            <w:topLinePunct w:val="0"/>
            <w:autoSpaceDE/>
            <w:autoSpaceDN/>
            <w:bidi w:val="0"/>
            <w:adjustRightInd/>
            <w:snapToGrid/>
            <w:spacing w:before="120" w:after="120" w:line="540" w:lineRule="exact"/>
            <w:ind w:left="0" w:leftChars="0" w:firstLine="0" w:firstLineChars="0"/>
            <w:textAlignment w:val="auto"/>
            <w:rPr>
              <w:rFonts w:hint="eastAsia" w:ascii="宋体" w:hAnsi="宋体" w:eastAsia="宋体" w:cs="宋体"/>
              <w:b/>
              <w:snapToGrid w:val="0"/>
              <w:color w:val="000000"/>
              <w:spacing w:val="0"/>
              <w:kern w:val="21"/>
              <w:sz w:val="36"/>
              <w:szCs w:val="36"/>
              <w:lang w:val="en-US" w:eastAsia="zh-CN"/>
            </w:rPr>
          </w:pPr>
        </w:p>
        <w:p w14:paraId="6F2F0FB9">
          <w:pPr>
            <w:keepNext w:val="0"/>
            <w:keepLines w:val="0"/>
            <w:pageBreakBefore w:val="0"/>
            <w:widowControl/>
            <w:tabs>
              <w:tab w:val="right" w:leader="dot" w:pos="9345"/>
            </w:tabs>
            <w:kinsoku/>
            <w:wordWrap/>
            <w:overflowPunct/>
            <w:topLinePunct w:val="0"/>
            <w:autoSpaceDE/>
            <w:autoSpaceDN/>
            <w:bidi w:val="0"/>
            <w:adjustRightInd/>
            <w:snapToGrid/>
            <w:spacing w:before="120" w:after="120" w:line="540" w:lineRule="exact"/>
            <w:ind w:firstLine="1807" w:firstLineChars="500"/>
            <w:textAlignment w:val="auto"/>
            <w:rPr>
              <w:rFonts w:hint="eastAsia" w:ascii="宋体" w:hAnsi="宋体" w:eastAsia="宋体" w:cs="宋体"/>
              <w:b/>
              <w:snapToGrid w:val="0"/>
              <w:color w:val="000000"/>
              <w:spacing w:val="0"/>
              <w:kern w:val="21"/>
              <w:sz w:val="36"/>
              <w:szCs w:val="36"/>
              <w:lang w:val="en-US" w:eastAsia="zh-CN"/>
            </w:rPr>
          </w:pPr>
        </w:p>
        <w:p w14:paraId="480A78AB">
          <w:pPr>
            <w:keepNext w:val="0"/>
            <w:keepLines w:val="0"/>
            <w:pageBreakBefore w:val="0"/>
            <w:widowControl/>
            <w:tabs>
              <w:tab w:val="right" w:leader="dot" w:pos="9345"/>
            </w:tabs>
            <w:kinsoku/>
            <w:wordWrap/>
            <w:overflowPunct/>
            <w:topLinePunct w:val="0"/>
            <w:autoSpaceDE/>
            <w:autoSpaceDN/>
            <w:bidi w:val="0"/>
            <w:adjustRightInd/>
            <w:snapToGrid/>
            <w:spacing w:before="120" w:after="120" w:line="540" w:lineRule="exact"/>
            <w:ind w:firstLine="1807" w:firstLineChars="500"/>
            <w:textAlignment w:val="auto"/>
            <w:rPr>
              <w:rFonts w:hint="eastAsia" w:ascii="宋体" w:hAnsi="宋体" w:cs="宋体"/>
              <w:b/>
              <w:snapToGrid w:val="0"/>
              <w:color w:val="000000"/>
              <w:spacing w:val="0"/>
              <w:kern w:val="21"/>
              <w:sz w:val="36"/>
              <w:szCs w:val="36"/>
              <w:lang w:val="en-US" w:eastAsia="zh-CN"/>
            </w:rPr>
          </w:pPr>
          <w:r>
            <w:rPr>
              <w:rFonts w:hint="eastAsia" w:ascii="宋体" w:hAnsi="宋体" w:eastAsia="宋体" w:cs="宋体"/>
              <w:b/>
              <w:snapToGrid w:val="0"/>
              <w:color w:val="000000"/>
              <w:spacing w:val="0"/>
              <w:kern w:val="21"/>
              <w:sz w:val="36"/>
              <w:szCs w:val="36"/>
              <w:lang w:val="en-US" w:eastAsia="zh-CN"/>
            </w:rPr>
            <w:t>采 购 人</w:t>
          </w:r>
          <w:r>
            <w:rPr>
              <w:rFonts w:hint="eastAsia" w:ascii="宋体" w:hAnsi="宋体" w:eastAsia="宋体" w:cs="宋体"/>
              <w:b/>
              <w:snapToGrid w:val="0"/>
              <w:color w:val="000000"/>
              <w:spacing w:val="0"/>
              <w:kern w:val="21"/>
              <w:sz w:val="36"/>
              <w:szCs w:val="36"/>
            </w:rPr>
            <w:t>：卢氏县</w:t>
          </w:r>
          <w:r>
            <w:rPr>
              <w:rFonts w:hint="eastAsia" w:ascii="宋体" w:hAnsi="宋体" w:cs="宋体"/>
              <w:b/>
              <w:snapToGrid w:val="0"/>
              <w:color w:val="000000"/>
              <w:spacing w:val="0"/>
              <w:kern w:val="21"/>
              <w:sz w:val="36"/>
              <w:szCs w:val="36"/>
              <w:lang w:val="en-US" w:eastAsia="zh-CN"/>
            </w:rPr>
            <w:t>公安局</w:t>
          </w:r>
        </w:p>
        <w:p w14:paraId="33B0C019">
          <w:pPr>
            <w:keepNext w:val="0"/>
            <w:keepLines w:val="0"/>
            <w:pageBreakBefore w:val="0"/>
            <w:widowControl/>
            <w:tabs>
              <w:tab w:val="right" w:leader="dot" w:pos="9345"/>
            </w:tabs>
            <w:kinsoku/>
            <w:wordWrap/>
            <w:overflowPunct/>
            <w:topLinePunct w:val="0"/>
            <w:autoSpaceDE/>
            <w:autoSpaceDN/>
            <w:bidi w:val="0"/>
            <w:adjustRightInd/>
            <w:snapToGrid/>
            <w:spacing w:before="120" w:after="120" w:line="540" w:lineRule="exact"/>
            <w:ind w:firstLine="1807" w:firstLineChars="500"/>
            <w:textAlignment w:val="auto"/>
            <w:rPr>
              <w:rFonts w:hint="eastAsia" w:ascii="宋体" w:hAnsi="宋体" w:eastAsia="宋体" w:cs="宋体"/>
              <w:b/>
              <w:snapToGrid w:val="0"/>
              <w:color w:val="000000"/>
              <w:spacing w:val="0"/>
              <w:kern w:val="21"/>
              <w:sz w:val="36"/>
              <w:szCs w:val="36"/>
            </w:rPr>
          </w:pPr>
          <w:r>
            <w:rPr>
              <w:rFonts w:hint="eastAsia" w:ascii="宋体" w:hAnsi="宋体" w:eastAsia="宋体" w:cs="宋体"/>
              <w:b/>
              <w:snapToGrid w:val="0"/>
              <w:color w:val="000000"/>
              <w:spacing w:val="0"/>
              <w:kern w:val="21"/>
              <w:sz w:val="36"/>
              <w:szCs w:val="36"/>
            </w:rPr>
            <w:t>代理机构：</w:t>
          </w:r>
          <w:r>
            <w:rPr>
              <w:rFonts w:hint="eastAsia" w:ascii="宋体" w:hAnsi="宋体" w:eastAsia="宋体" w:cs="宋体"/>
              <w:b/>
              <w:snapToGrid w:val="0"/>
              <w:color w:val="000000"/>
              <w:spacing w:val="0"/>
              <w:kern w:val="21"/>
              <w:sz w:val="36"/>
              <w:szCs w:val="36"/>
              <w:lang w:eastAsia="zh-CN"/>
            </w:rPr>
            <w:t>中大宇辰项目管理有限公司</w:t>
          </w:r>
        </w:p>
        <w:p w14:paraId="34008999">
          <w:pPr>
            <w:spacing w:before="0" w:beforeLines="0" w:after="0" w:afterLines="0" w:line="600" w:lineRule="auto"/>
            <w:ind w:left="0" w:leftChars="0" w:right="0" w:rightChars="0" w:firstLine="1807" w:firstLineChars="500"/>
            <w:jc w:val="both"/>
            <w:rPr>
              <w:rFonts w:hint="eastAsia" w:ascii="宋体" w:hAnsi="宋体" w:eastAsia="宋体" w:cs="宋体"/>
              <w:b/>
              <w:snapToGrid w:val="0"/>
              <w:color w:val="000000"/>
              <w:spacing w:val="0"/>
              <w:kern w:val="21"/>
              <w:sz w:val="36"/>
              <w:szCs w:val="36"/>
            </w:rPr>
          </w:pPr>
          <w:r>
            <w:rPr>
              <w:rFonts w:hint="eastAsia" w:ascii="宋体" w:hAnsi="宋体" w:cs="宋体"/>
              <w:b/>
              <w:snapToGrid w:val="0"/>
              <w:color w:val="000000"/>
              <w:spacing w:val="0"/>
              <w:kern w:val="21"/>
              <w:sz w:val="36"/>
              <w:szCs w:val="36"/>
              <w:lang w:val="en-US" w:eastAsia="zh-CN"/>
            </w:rPr>
            <w:t>日    期</w:t>
          </w:r>
          <w:r>
            <w:rPr>
              <w:rFonts w:hint="eastAsia" w:ascii="宋体" w:hAnsi="宋体" w:eastAsia="宋体" w:cs="宋体"/>
              <w:b/>
              <w:snapToGrid w:val="0"/>
              <w:color w:val="000000"/>
              <w:spacing w:val="0"/>
              <w:kern w:val="21"/>
              <w:sz w:val="36"/>
              <w:szCs w:val="36"/>
            </w:rPr>
            <w:t>：二〇二</w:t>
          </w:r>
          <w:r>
            <w:rPr>
              <w:rFonts w:hint="eastAsia" w:ascii="宋体" w:hAnsi="宋体" w:cs="宋体"/>
              <w:b/>
              <w:snapToGrid w:val="0"/>
              <w:color w:val="000000"/>
              <w:spacing w:val="0"/>
              <w:kern w:val="21"/>
              <w:sz w:val="36"/>
              <w:szCs w:val="36"/>
              <w:lang w:val="en-US" w:eastAsia="zh-CN"/>
            </w:rPr>
            <w:t>六</w:t>
          </w:r>
          <w:r>
            <w:rPr>
              <w:rFonts w:hint="eastAsia" w:ascii="宋体" w:hAnsi="宋体" w:eastAsia="宋体" w:cs="宋体"/>
              <w:b/>
              <w:snapToGrid w:val="0"/>
              <w:color w:val="000000"/>
              <w:spacing w:val="0"/>
              <w:kern w:val="21"/>
              <w:sz w:val="36"/>
              <w:szCs w:val="36"/>
            </w:rPr>
            <w:t>年</w:t>
          </w:r>
          <w:r>
            <w:rPr>
              <w:rFonts w:hint="eastAsia" w:ascii="宋体" w:hAnsi="宋体" w:eastAsia="宋体" w:cs="宋体"/>
              <w:b/>
              <w:snapToGrid w:val="0"/>
              <w:color w:val="000000"/>
              <w:spacing w:val="0"/>
              <w:kern w:val="21"/>
              <w:sz w:val="36"/>
              <w:szCs w:val="36"/>
              <w:lang w:val="en-US" w:eastAsia="zh-CN"/>
            </w:rPr>
            <w:t>六</w:t>
          </w:r>
          <w:r>
            <w:rPr>
              <w:rFonts w:hint="eastAsia" w:ascii="宋体" w:hAnsi="宋体" w:eastAsia="宋体" w:cs="宋体"/>
              <w:b/>
              <w:snapToGrid w:val="0"/>
              <w:color w:val="000000"/>
              <w:spacing w:val="0"/>
              <w:kern w:val="21"/>
              <w:sz w:val="36"/>
              <w:szCs w:val="36"/>
            </w:rPr>
            <w:t>月</w:t>
          </w:r>
        </w:p>
        <w:p w14:paraId="0F1B697C">
          <w:pPr>
            <w:spacing w:before="0" w:beforeLines="0" w:after="0" w:afterLines="0" w:line="600" w:lineRule="auto"/>
            <w:ind w:left="0" w:leftChars="0" w:right="0" w:rightChars="0" w:firstLine="0" w:firstLineChars="0"/>
            <w:jc w:val="center"/>
            <w:rPr>
              <w:rFonts w:hint="eastAsia" w:ascii="宋体" w:hAnsi="宋体" w:eastAsia="宋体" w:cs="宋体"/>
              <w:b/>
              <w:snapToGrid w:val="0"/>
              <w:color w:val="000000"/>
              <w:spacing w:val="0"/>
              <w:kern w:val="21"/>
              <w:sz w:val="36"/>
              <w:szCs w:val="36"/>
            </w:rPr>
          </w:pPr>
        </w:p>
        <w:p w14:paraId="0F9AA67A">
          <w:pPr>
            <w:spacing w:before="0" w:beforeLines="0" w:after="0" w:afterLines="0" w:line="600" w:lineRule="auto"/>
            <w:ind w:left="0" w:leftChars="0" w:right="0" w:rightChars="0" w:firstLine="0" w:firstLineChars="0"/>
            <w:jc w:val="center"/>
            <w:rPr>
              <w:sz w:val="44"/>
              <w:szCs w:val="40"/>
            </w:rPr>
          </w:pPr>
          <w:r>
            <w:rPr>
              <w:rFonts w:ascii="宋体" w:hAnsi="宋体" w:eastAsia="宋体"/>
              <w:sz w:val="32"/>
              <w:szCs w:val="40"/>
            </w:rPr>
            <w:t>目</w:t>
          </w:r>
          <w:r>
            <w:rPr>
              <w:rFonts w:hint="eastAsia" w:ascii="宋体" w:hAnsi="宋体" w:eastAsia="宋体"/>
              <w:sz w:val="32"/>
              <w:szCs w:val="40"/>
              <w:lang w:val="en-US" w:eastAsia="zh-CN"/>
            </w:rPr>
            <w:t xml:space="preserve">  </w:t>
          </w:r>
          <w:r>
            <w:rPr>
              <w:rFonts w:ascii="宋体" w:hAnsi="宋体" w:eastAsia="宋体"/>
              <w:sz w:val="32"/>
              <w:szCs w:val="40"/>
            </w:rPr>
            <w:t>录</w:t>
          </w:r>
        </w:p>
        <w:p w14:paraId="193AAE06">
          <w:pPr>
            <w:pStyle w:val="12"/>
            <w:tabs>
              <w:tab w:val="right" w:leader="dot" w:pos="9247"/>
            </w:tabs>
            <w:spacing w:line="600" w:lineRule="auto"/>
            <w:rPr>
              <w:sz w:val="32"/>
              <w:szCs w:val="40"/>
            </w:rPr>
          </w:pPr>
          <w:r>
            <w:rPr>
              <w:rFonts w:hint="eastAsia"/>
              <w:sz w:val="32"/>
              <w:szCs w:val="40"/>
              <w:lang w:eastAsia="zh-CN"/>
            </w:rPr>
            <w:fldChar w:fldCharType="begin"/>
          </w:r>
          <w:r>
            <w:rPr>
              <w:rFonts w:hint="eastAsia"/>
              <w:sz w:val="32"/>
              <w:szCs w:val="40"/>
              <w:lang w:eastAsia="zh-CN"/>
            </w:rPr>
            <w:instrText xml:space="preserve">TOC \o "1-3" \h \u </w:instrText>
          </w:r>
          <w:r>
            <w:rPr>
              <w:rFonts w:hint="eastAsia"/>
              <w:sz w:val="32"/>
              <w:szCs w:val="40"/>
              <w:lang w:eastAsia="zh-CN"/>
            </w:rPr>
            <w:fldChar w:fldCharType="separate"/>
          </w:r>
          <w:r>
            <w:rPr>
              <w:rFonts w:hint="eastAsia"/>
              <w:sz w:val="32"/>
              <w:szCs w:val="40"/>
              <w:lang w:eastAsia="zh-CN"/>
            </w:rPr>
            <w:fldChar w:fldCharType="begin"/>
          </w:r>
          <w:r>
            <w:rPr>
              <w:rFonts w:hint="eastAsia"/>
              <w:sz w:val="32"/>
              <w:szCs w:val="40"/>
              <w:lang w:eastAsia="zh-CN"/>
            </w:rPr>
            <w:instrText xml:space="preserve"> HYPERLINK \l _Toc3184 </w:instrText>
          </w:r>
          <w:r>
            <w:rPr>
              <w:rFonts w:hint="eastAsia"/>
              <w:sz w:val="32"/>
              <w:szCs w:val="40"/>
              <w:lang w:eastAsia="zh-CN"/>
            </w:rPr>
            <w:fldChar w:fldCharType="separate"/>
          </w:r>
          <w:r>
            <w:rPr>
              <w:rFonts w:hint="eastAsia" w:ascii="黑体" w:cs="宋体"/>
              <w:kern w:val="2"/>
              <w:sz w:val="32"/>
              <w:szCs w:val="44"/>
            </w:rPr>
            <w:t>第一章    竞争性磋商公告</w:t>
          </w:r>
          <w:r>
            <w:rPr>
              <w:sz w:val="32"/>
              <w:szCs w:val="40"/>
            </w:rPr>
            <w:tab/>
          </w:r>
          <w:r>
            <w:rPr>
              <w:sz w:val="32"/>
              <w:szCs w:val="40"/>
            </w:rPr>
            <w:fldChar w:fldCharType="begin"/>
          </w:r>
          <w:r>
            <w:rPr>
              <w:sz w:val="32"/>
              <w:szCs w:val="40"/>
            </w:rPr>
            <w:instrText xml:space="preserve"> PAGEREF _Toc3184 \h </w:instrText>
          </w:r>
          <w:r>
            <w:rPr>
              <w:sz w:val="32"/>
              <w:szCs w:val="40"/>
            </w:rPr>
            <w:fldChar w:fldCharType="separate"/>
          </w:r>
          <w:r>
            <w:rPr>
              <w:sz w:val="32"/>
              <w:szCs w:val="40"/>
            </w:rPr>
            <w:t>1</w:t>
          </w:r>
          <w:r>
            <w:rPr>
              <w:sz w:val="32"/>
              <w:szCs w:val="40"/>
            </w:rPr>
            <w:fldChar w:fldCharType="end"/>
          </w:r>
          <w:r>
            <w:rPr>
              <w:rFonts w:hint="eastAsia"/>
              <w:sz w:val="32"/>
              <w:szCs w:val="40"/>
              <w:lang w:eastAsia="zh-CN"/>
            </w:rPr>
            <w:fldChar w:fldCharType="end"/>
          </w:r>
        </w:p>
        <w:p w14:paraId="7E9D5AED">
          <w:pPr>
            <w:pStyle w:val="12"/>
            <w:tabs>
              <w:tab w:val="right" w:leader="dot" w:pos="9247"/>
            </w:tabs>
            <w:spacing w:line="600" w:lineRule="auto"/>
            <w:rPr>
              <w:sz w:val="32"/>
              <w:szCs w:val="40"/>
            </w:rPr>
          </w:pPr>
          <w:r>
            <w:rPr>
              <w:rFonts w:hint="eastAsia"/>
              <w:sz w:val="32"/>
              <w:szCs w:val="40"/>
              <w:lang w:eastAsia="zh-CN"/>
            </w:rPr>
            <w:fldChar w:fldCharType="begin"/>
          </w:r>
          <w:r>
            <w:rPr>
              <w:rFonts w:hint="eastAsia"/>
              <w:sz w:val="32"/>
              <w:szCs w:val="40"/>
              <w:lang w:eastAsia="zh-CN"/>
            </w:rPr>
            <w:instrText xml:space="preserve"> HYPERLINK \l _Toc6662 </w:instrText>
          </w:r>
          <w:r>
            <w:rPr>
              <w:rFonts w:hint="eastAsia"/>
              <w:sz w:val="32"/>
              <w:szCs w:val="40"/>
              <w:lang w:eastAsia="zh-CN"/>
            </w:rPr>
            <w:fldChar w:fldCharType="separate"/>
          </w:r>
          <w:r>
            <w:rPr>
              <w:rFonts w:hint="eastAsia" w:ascii="黑体" w:cs="宋体"/>
              <w:kern w:val="2"/>
              <w:sz w:val="32"/>
              <w:szCs w:val="44"/>
            </w:rPr>
            <w:t>第二章</w:t>
          </w:r>
          <w:r>
            <w:rPr>
              <w:rFonts w:hint="eastAsia" w:ascii="黑体" w:cs="黑体"/>
              <w:kern w:val="2"/>
              <w:sz w:val="32"/>
              <w:szCs w:val="44"/>
            </w:rPr>
            <w:t xml:space="preserve">    </w:t>
          </w:r>
          <w:r>
            <w:rPr>
              <w:rFonts w:hint="eastAsia" w:ascii="黑体" w:cs="宋体"/>
              <w:kern w:val="2"/>
              <w:sz w:val="32"/>
              <w:szCs w:val="44"/>
            </w:rPr>
            <w:t>供应商须知</w:t>
          </w:r>
          <w:r>
            <w:rPr>
              <w:sz w:val="32"/>
              <w:szCs w:val="40"/>
            </w:rPr>
            <w:tab/>
          </w:r>
          <w:r>
            <w:rPr>
              <w:sz w:val="32"/>
              <w:szCs w:val="40"/>
            </w:rPr>
            <w:fldChar w:fldCharType="begin"/>
          </w:r>
          <w:r>
            <w:rPr>
              <w:sz w:val="32"/>
              <w:szCs w:val="40"/>
            </w:rPr>
            <w:instrText xml:space="preserve"> PAGEREF _Toc6662 \h </w:instrText>
          </w:r>
          <w:r>
            <w:rPr>
              <w:sz w:val="32"/>
              <w:szCs w:val="40"/>
            </w:rPr>
            <w:fldChar w:fldCharType="separate"/>
          </w:r>
          <w:r>
            <w:rPr>
              <w:sz w:val="32"/>
              <w:szCs w:val="40"/>
            </w:rPr>
            <w:t>6</w:t>
          </w:r>
          <w:r>
            <w:rPr>
              <w:sz w:val="32"/>
              <w:szCs w:val="40"/>
            </w:rPr>
            <w:fldChar w:fldCharType="end"/>
          </w:r>
          <w:r>
            <w:rPr>
              <w:rFonts w:hint="eastAsia"/>
              <w:sz w:val="32"/>
              <w:szCs w:val="40"/>
              <w:lang w:eastAsia="zh-CN"/>
            </w:rPr>
            <w:fldChar w:fldCharType="end"/>
          </w:r>
        </w:p>
        <w:p w14:paraId="1309AD69">
          <w:pPr>
            <w:pStyle w:val="12"/>
            <w:tabs>
              <w:tab w:val="right" w:leader="dot" w:pos="9247"/>
            </w:tabs>
            <w:spacing w:line="600" w:lineRule="auto"/>
            <w:rPr>
              <w:rFonts w:hint="default"/>
              <w:sz w:val="32"/>
              <w:szCs w:val="40"/>
              <w:lang w:val="en-US"/>
            </w:rPr>
          </w:pPr>
          <w:r>
            <w:rPr>
              <w:rFonts w:hint="eastAsia"/>
              <w:sz w:val="32"/>
              <w:szCs w:val="40"/>
              <w:lang w:eastAsia="zh-CN"/>
            </w:rPr>
            <w:fldChar w:fldCharType="begin"/>
          </w:r>
          <w:r>
            <w:rPr>
              <w:rFonts w:hint="eastAsia"/>
              <w:sz w:val="32"/>
              <w:szCs w:val="40"/>
              <w:lang w:eastAsia="zh-CN"/>
            </w:rPr>
            <w:instrText xml:space="preserve"> HYPERLINK \l _Toc18200 </w:instrText>
          </w:r>
          <w:r>
            <w:rPr>
              <w:rFonts w:hint="eastAsia"/>
              <w:sz w:val="32"/>
              <w:szCs w:val="40"/>
              <w:lang w:eastAsia="zh-CN"/>
            </w:rPr>
            <w:fldChar w:fldCharType="separate"/>
          </w:r>
          <w:r>
            <w:rPr>
              <w:rFonts w:hint="eastAsia" w:ascii="黑体" w:cs="宋体"/>
              <w:kern w:val="2"/>
              <w:sz w:val="32"/>
              <w:szCs w:val="44"/>
            </w:rPr>
            <w:t xml:space="preserve">第三章 </w:t>
          </w:r>
          <w:r>
            <w:rPr>
              <w:rFonts w:hint="eastAsia" w:ascii="黑体" w:cs="宋体"/>
              <w:kern w:val="2"/>
              <w:sz w:val="32"/>
              <w:szCs w:val="44"/>
              <w:lang w:val="en-US" w:eastAsia="zh-CN"/>
            </w:rPr>
            <w:t xml:space="preserve">   服务内容及要求</w:t>
          </w:r>
          <w:r>
            <w:rPr>
              <w:sz w:val="32"/>
              <w:szCs w:val="40"/>
            </w:rPr>
            <w:tab/>
          </w:r>
          <w:r>
            <w:rPr>
              <w:rFonts w:hint="eastAsia"/>
              <w:sz w:val="32"/>
              <w:szCs w:val="40"/>
              <w:lang w:val="en-US" w:eastAsia="zh-CN"/>
            </w:rPr>
            <w:t>2</w:t>
          </w:r>
          <w:r>
            <w:rPr>
              <w:rFonts w:hint="eastAsia"/>
              <w:sz w:val="32"/>
              <w:szCs w:val="40"/>
              <w:lang w:eastAsia="zh-CN"/>
            </w:rPr>
            <w:fldChar w:fldCharType="end"/>
          </w:r>
          <w:r>
            <w:rPr>
              <w:rFonts w:hint="eastAsia"/>
              <w:sz w:val="32"/>
              <w:szCs w:val="40"/>
              <w:lang w:val="en-US" w:eastAsia="zh-CN"/>
            </w:rPr>
            <w:t>0</w:t>
          </w:r>
        </w:p>
        <w:p w14:paraId="63F6A818">
          <w:pPr>
            <w:pStyle w:val="12"/>
            <w:tabs>
              <w:tab w:val="right" w:leader="dot" w:pos="9247"/>
            </w:tabs>
            <w:spacing w:line="600" w:lineRule="auto"/>
            <w:rPr>
              <w:rFonts w:hint="default"/>
              <w:sz w:val="32"/>
              <w:szCs w:val="40"/>
              <w:lang w:val="en-US"/>
            </w:rPr>
          </w:pPr>
          <w:r>
            <w:rPr>
              <w:rFonts w:hint="eastAsia"/>
              <w:sz w:val="32"/>
              <w:szCs w:val="40"/>
              <w:lang w:eastAsia="zh-CN"/>
            </w:rPr>
            <w:fldChar w:fldCharType="begin"/>
          </w:r>
          <w:r>
            <w:rPr>
              <w:rFonts w:hint="eastAsia"/>
              <w:sz w:val="32"/>
              <w:szCs w:val="40"/>
              <w:lang w:eastAsia="zh-CN"/>
            </w:rPr>
            <w:instrText xml:space="preserve"> HYPERLINK \l _Toc26911 </w:instrText>
          </w:r>
          <w:r>
            <w:rPr>
              <w:rFonts w:hint="eastAsia"/>
              <w:sz w:val="32"/>
              <w:szCs w:val="40"/>
              <w:lang w:eastAsia="zh-CN"/>
            </w:rPr>
            <w:fldChar w:fldCharType="separate"/>
          </w:r>
          <w:r>
            <w:rPr>
              <w:rFonts w:hint="eastAsia" w:ascii="黑体" w:cs="宋体"/>
              <w:kern w:val="2"/>
              <w:sz w:val="32"/>
              <w:szCs w:val="44"/>
            </w:rPr>
            <w:t xml:space="preserve">第四章 </w:t>
          </w:r>
          <w:r>
            <w:rPr>
              <w:rFonts w:hint="eastAsia" w:ascii="黑体" w:cs="宋体"/>
              <w:kern w:val="2"/>
              <w:sz w:val="32"/>
              <w:szCs w:val="44"/>
              <w:lang w:val="en-US" w:eastAsia="zh-CN"/>
            </w:rPr>
            <w:t xml:space="preserve">   合同条款及格式</w:t>
          </w:r>
          <w:r>
            <w:rPr>
              <w:sz w:val="32"/>
              <w:szCs w:val="40"/>
            </w:rPr>
            <w:tab/>
          </w:r>
          <w:r>
            <w:rPr>
              <w:rFonts w:hint="eastAsia"/>
              <w:sz w:val="32"/>
              <w:szCs w:val="40"/>
              <w:lang w:val="en-US" w:eastAsia="zh-CN"/>
            </w:rPr>
            <w:t>2</w:t>
          </w:r>
          <w:r>
            <w:rPr>
              <w:rFonts w:hint="eastAsia"/>
              <w:sz w:val="32"/>
              <w:szCs w:val="40"/>
              <w:lang w:eastAsia="zh-CN"/>
            </w:rPr>
            <w:fldChar w:fldCharType="end"/>
          </w:r>
          <w:r>
            <w:rPr>
              <w:rFonts w:hint="eastAsia"/>
              <w:sz w:val="32"/>
              <w:szCs w:val="40"/>
              <w:lang w:val="en-US" w:eastAsia="zh-CN"/>
            </w:rPr>
            <w:t>7</w:t>
          </w:r>
        </w:p>
        <w:p w14:paraId="77BC9772">
          <w:pPr>
            <w:pStyle w:val="12"/>
            <w:tabs>
              <w:tab w:val="right" w:leader="dot" w:pos="9247"/>
            </w:tabs>
            <w:spacing w:line="600" w:lineRule="auto"/>
            <w:rPr>
              <w:rFonts w:hint="default"/>
              <w:sz w:val="32"/>
              <w:szCs w:val="40"/>
              <w:lang w:val="en-US"/>
            </w:rPr>
          </w:pPr>
          <w:r>
            <w:rPr>
              <w:rFonts w:hint="eastAsia"/>
              <w:sz w:val="32"/>
              <w:szCs w:val="40"/>
              <w:lang w:eastAsia="zh-CN"/>
            </w:rPr>
            <w:fldChar w:fldCharType="begin"/>
          </w:r>
          <w:r>
            <w:rPr>
              <w:rFonts w:hint="eastAsia"/>
              <w:sz w:val="32"/>
              <w:szCs w:val="40"/>
              <w:lang w:eastAsia="zh-CN"/>
            </w:rPr>
            <w:instrText xml:space="preserve"> HYPERLINK \l _Toc4085 </w:instrText>
          </w:r>
          <w:r>
            <w:rPr>
              <w:rFonts w:hint="eastAsia"/>
              <w:sz w:val="32"/>
              <w:szCs w:val="40"/>
              <w:lang w:eastAsia="zh-CN"/>
            </w:rPr>
            <w:fldChar w:fldCharType="separate"/>
          </w:r>
          <w:r>
            <w:rPr>
              <w:rFonts w:hint="eastAsia" w:ascii="黑体" w:cs="宋体"/>
              <w:kern w:val="2"/>
              <w:sz w:val="32"/>
              <w:szCs w:val="44"/>
            </w:rPr>
            <w:t xml:space="preserve">第五章 </w:t>
          </w:r>
          <w:r>
            <w:rPr>
              <w:rFonts w:hint="eastAsia" w:ascii="黑体" w:cs="宋体"/>
              <w:kern w:val="2"/>
              <w:sz w:val="32"/>
              <w:szCs w:val="44"/>
              <w:lang w:val="en-US" w:eastAsia="zh-CN"/>
            </w:rPr>
            <w:t xml:space="preserve">   </w:t>
          </w:r>
          <w:r>
            <w:rPr>
              <w:rFonts w:hint="eastAsia" w:ascii="黑体" w:cs="宋体"/>
              <w:kern w:val="2"/>
              <w:sz w:val="32"/>
              <w:szCs w:val="44"/>
            </w:rPr>
            <w:t>评审标准</w:t>
          </w:r>
          <w:r>
            <w:rPr>
              <w:sz w:val="32"/>
              <w:szCs w:val="40"/>
            </w:rPr>
            <w:tab/>
          </w:r>
          <w:r>
            <w:rPr>
              <w:rFonts w:hint="eastAsia"/>
              <w:sz w:val="32"/>
              <w:szCs w:val="40"/>
              <w:lang w:val="en-US" w:eastAsia="zh-CN"/>
            </w:rPr>
            <w:t>3</w:t>
          </w:r>
          <w:r>
            <w:rPr>
              <w:rFonts w:hint="eastAsia"/>
              <w:sz w:val="32"/>
              <w:szCs w:val="40"/>
              <w:lang w:eastAsia="zh-CN"/>
            </w:rPr>
            <w:fldChar w:fldCharType="end"/>
          </w:r>
          <w:r>
            <w:rPr>
              <w:rFonts w:hint="eastAsia"/>
              <w:sz w:val="32"/>
              <w:szCs w:val="40"/>
              <w:lang w:val="en-US" w:eastAsia="zh-CN"/>
            </w:rPr>
            <w:t>5</w:t>
          </w:r>
        </w:p>
        <w:p w14:paraId="259CB9E0">
          <w:pPr>
            <w:pStyle w:val="12"/>
            <w:tabs>
              <w:tab w:val="right" w:leader="dot" w:pos="9247"/>
            </w:tabs>
            <w:spacing w:line="600" w:lineRule="auto"/>
            <w:rPr>
              <w:rFonts w:hint="default"/>
              <w:sz w:val="32"/>
              <w:szCs w:val="40"/>
              <w:lang w:val="en-US"/>
            </w:rPr>
          </w:pPr>
          <w:r>
            <w:rPr>
              <w:rFonts w:hint="eastAsia"/>
              <w:sz w:val="32"/>
              <w:szCs w:val="40"/>
              <w:lang w:eastAsia="zh-CN"/>
            </w:rPr>
            <w:fldChar w:fldCharType="begin"/>
          </w:r>
          <w:r>
            <w:rPr>
              <w:rFonts w:hint="eastAsia"/>
              <w:sz w:val="32"/>
              <w:szCs w:val="40"/>
              <w:lang w:eastAsia="zh-CN"/>
            </w:rPr>
            <w:instrText xml:space="preserve"> HYPERLINK \l _Toc1883 </w:instrText>
          </w:r>
          <w:r>
            <w:rPr>
              <w:rFonts w:hint="eastAsia"/>
              <w:sz w:val="32"/>
              <w:szCs w:val="40"/>
              <w:lang w:eastAsia="zh-CN"/>
            </w:rPr>
            <w:fldChar w:fldCharType="separate"/>
          </w:r>
          <w:r>
            <w:rPr>
              <w:rFonts w:hint="eastAsia" w:ascii="宋体" w:hAnsi="宋体" w:cs="宋体"/>
              <w:kern w:val="2"/>
              <w:sz w:val="32"/>
              <w:szCs w:val="44"/>
            </w:rPr>
            <w:t xml:space="preserve">第六章  </w:t>
          </w:r>
          <w:r>
            <w:rPr>
              <w:rFonts w:hint="eastAsia" w:ascii="宋体" w:hAnsi="宋体" w:cs="宋体"/>
              <w:kern w:val="2"/>
              <w:sz w:val="32"/>
              <w:szCs w:val="44"/>
              <w:lang w:val="en-US" w:eastAsia="zh-CN"/>
            </w:rPr>
            <w:t xml:space="preserve">  响应文件内容及格式</w:t>
          </w:r>
          <w:r>
            <w:rPr>
              <w:sz w:val="32"/>
              <w:szCs w:val="40"/>
            </w:rPr>
            <w:tab/>
          </w:r>
          <w:r>
            <w:rPr>
              <w:rFonts w:hint="eastAsia"/>
              <w:sz w:val="32"/>
              <w:szCs w:val="40"/>
              <w:lang w:val="en-US" w:eastAsia="zh-CN"/>
            </w:rPr>
            <w:t>4</w:t>
          </w:r>
          <w:r>
            <w:rPr>
              <w:rFonts w:hint="eastAsia"/>
              <w:sz w:val="32"/>
              <w:szCs w:val="40"/>
              <w:lang w:eastAsia="zh-CN"/>
            </w:rPr>
            <w:fldChar w:fldCharType="end"/>
          </w:r>
          <w:r>
            <w:rPr>
              <w:rFonts w:hint="eastAsia"/>
              <w:sz w:val="32"/>
              <w:szCs w:val="40"/>
              <w:lang w:val="en-US" w:eastAsia="zh-CN"/>
            </w:rPr>
            <w:t>6</w:t>
          </w:r>
        </w:p>
        <w:p w14:paraId="5FC21F88">
          <w:pPr>
            <w:pStyle w:val="12"/>
            <w:tabs>
              <w:tab w:val="right" w:leader="dot" w:pos="9247"/>
            </w:tabs>
            <w:spacing w:line="600" w:lineRule="auto"/>
            <w:ind w:left="0" w:leftChars="0" w:firstLine="0" w:firstLineChars="0"/>
            <w:rPr>
              <w:sz w:val="32"/>
              <w:szCs w:val="40"/>
            </w:rPr>
          </w:pPr>
        </w:p>
        <w:p w14:paraId="23CB0F74">
          <w:pPr>
            <w:spacing w:line="600" w:lineRule="auto"/>
            <w:rPr>
              <w:rFonts w:hint="eastAsia" w:ascii="Times New Roman" w:hAnsi="Times New Roman" w:eastAsia="宋体" w:cs="Times New Roman"/>
              <w:kern w:val="2"/>
              <w:sz w:val="28"/>
              <w:szCs w:val="24"/>
              <w:lang w:val="en-US" w:eastAsia="zh-CN" w:bidi="ar-SA"/>
            </w:rPr>
          </w:pPr>
          <w:r>
            <w:rPr>
              <w:rFonts w:hint="eastAsia"/>
              <w:sz w:val="44"/>
              <w:szCs w:val="40"/>
              <w:lang w:eastAsia="zh-CN"/>
            </w:rPr>
            <w:fldChar w:fldCharType="end"/>
          </w:r>
        </w:p>
      </w:sdtContent>
    </w:sdt>
    <w:p w14:paraId="5317F343">
      <w:pPr>
        <w:rPr>
          <w:rFonts w:hint="eastAsia" w:ascii="Times New Roman" w:hAnsi="Times New Roman" w:eastAsia="宋体" w:cs="Times New Roman"/>
          <w:kern w:val="2"/>
          <w:sz w:val="28"/>
          <w:szCs w:val="24"/>
          <w:lang w:val="en-US" w:eastAsia="zh-CN" w:bidi="ar-SA"/>
        </w:rPr>
      </w:pPr>
    </w:p>
    <w:p w14:paraId="370ED443">
      <w:pPr>
        <w:keepNext/>
        <w:widowControl w:val="0"/>
        <w:spacing w:before="100" w:beforeAutospacing="1" w:after="100" w:afterAutospacing="1" w:line="520" w:lineRule="exact"/>
        <w:jc w:val="center"/>
        <w:outlineLvl w:val="9"/>
        <w:rPr>
          <w:rFonts w:ascii="黑体" w:cs="宋体"/>
          <w:b/>
          <w:kern w:val="2"/>
          <w:sz w:val="24"/>
          <w:szCs w:val="24"/>
        </w:rPr>
      </w:pPr>
    </w:p>
    <w:p w14:paraId="0A237783">
      <w:pPr>
        <w:keepNext/>
        <w:widowControl w:val="0"/>
        <w:spacing w:before="100" w:beforeAutospacing="1" w:after="100" w:afterAutospacing="1" w:line="520" w:lineRule="exact"/>
        <w:jc w:val="center"/>
        <w:outlineLvl w:val="9"/>
        <w:rPr>
          <w:rFonts w:ascii="黑体" w:cs="宋体"/>
          <w:b/>
          <w:kern w:val="2"/>
          <w:sz w:val="24"/>
          <w:szCs w:val="24"/>
        </w:rPr>
      </w:pPr>
    </w:p>
    <w:p w14:paraId="4F346F4B">
      <w:pPr>
        <w:keepNext/>
        <w:widowControl w:val="0"/>
        <w:spacing w:before="100" w:beforeAutospacing="1" w:after="100" w:afterAutospacing="1" w:line="520" w:lineRule="exact"/>
        <w:jc w:val="center"/>
        <w:outlineLvl w:val="9"/>
        <w:rPr>
          <w:rFonts w:ascii="黑体" w:cs="宋体"/>
          <w:b/>
          <w:kern w:val="2"/>
          <w:sz w:val="24"/>
          <w:szCs w:val="24"/>
        </w:rPr>
      </w:pPr>
    </w:p>
    <w:p w14:paraId="59DAB2B5">
      <w:pPr>
        <w:keepNext/>
        <w:widowControl w:val="0"/>
        <w:spacing w:before="100" w:beforeAutospacing="1" w:after="100" w:afterAutospacing="1" w:line="520" w:lineRule="exact"/>
        <w:jc w:val="center"/>
        <w:outlineLvl w:val="9"/>
        <w:rPr>
          <w:rFonts w:ascii="黑体" w:cs="宋体"/>
          <w:b/>
          <w:kern w:val="2"/>
          <w:sz w:val="24"/>
          <w:szCs w:val="24"/>
        </w:rPr>
      </w:pPr>
    </w:p>
    <w:p w14:paraId="25411D0D">
      <w:pPr>
        <w:keepNext/>
        <w:widowControl w:val="0"/>
        <w:spacing w:before="100" w:beforeAutospacing="1" w:after="100" w:afterAutospacing="1" w:line="520" w:lineRule="exact"/>
        <w:jc w:val="center"/>
        <w:outlineLvl w:val="9"/>
        <w:rPr>
          <w:rFonts w:ascii="黑体" w:cs="宋体"/>
          <w:b/>
          <w:kern w:val="2"/>
          <w:sz w:val="24"/>
          <w:szCs w:val="24"/>
        </w:rPr>
      </w:pPr>
    </w:p>
    <w:p w14:paraId="7DFE3312"/>
    <w:p w14:paraId="39803C6A"/>
    <w:p w14:paraId="2DF33785"/>
    <w:p w14:paraId="0016394B">
      <w:pPr>
        <w:keepNext/>
        <w:widowControl w:val="0"/>
        <w:spacing w:before="100" w:beforeAutospacing="1" w:after="100" w:afterAutospacing="1" w:line="360" w:lineRule="auto"/>
        <w:jc w:val="center"/>
        <w:outlineLvl w:val="0"/>
        <w:rPr>
          <w:rFonts w:hint="eastAsia" w:ascii="黑体" w:cs="宋体"/>
          <w:b/>
          <w:kern w:val="2"/>
          <w:sz w:val="28"/>
          <w:szCs w:val="28"/>
        </w:rPr>
        <w:sectPr>
          <w:footerReference r:id="rId5" w:type="default"/>
          <w:pgSz w:w="11906" w:h="16838"/>
          <w:pgMar w:top="1135" w:right="1196" w:bottom="1135" w:left="1463" w:header="720" w:footer="720" w:gutter="0"/>
          <w:pgNumType w:fmt="decimal" w:start="1"/>
          <w:cols w:space="720" w:num="1"/>
          <w:docGrid w:type="lines" w:linePitch="312" w:charSpace="0"/>
        </w:sectPr>
      </w:pPr>
      <w:bookmarkStart w:id="0" w:name="_Toc3184"/>
    </w:p>
    <w:p w14:paraId="700C9774">
      <w:pPr>
        <w:keepNext/>
        <w:widowControl w:val="0"/>
        <w:numPr>
          <w:ilvl w:val="0"/>
          <w:numId w:val="1"/>
        </w:numPr>
        <w:spacing w:before="100" w:beforeAutospacing="1" w:after="100" w:afterAutospacing="1" w:line="360" w:lineRule="auto"/>
        <w:ind w:left="0" w:leftChars="0" w:firstLine="0" w:firstLineChars="0"/>
        <w:jc w:val="center"/>
        <w:outlineLvl w:val="0"/>
        <w:rPr>
          <w:rFonts w:hint="eastAsia" w:ascii="黑体" w:cs="宋体"/>
          <w:b/>
          <w:kern w:val="2"/>
          <w:sz w:val="32"/>
          <w:szCs w:val="32"/>
        </w:rPr>
      </w:pPr>
      <w:r>
        <w:rPr>
          <w:rFonts w:hint="eastAsia" w:ascii="黑体" w:cs="宋体"/>
          <w:b/>
          <w:kern w:val="2"/>
          <w:sz w:val="32"/>
          <w:szCs w:val="32"/>
        </w:rPr>
        <w:t xml:space="preserve">   竞争性磋商公告</w:t>
      </w:r>
      <w:bookmarkEnd w:id="0"/>
    </w:p>
    <w:p w14:paraId="78B2641D">
      <w:pPr>
        <w:widowControl w:val="0"/>
        <w:wordWrap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中大宇辰项目管理有限公司</w:t>
      </w:r>
      <w:r>
        <w:rPr>
          <w:rFonts w:hint="eastAsia" w:ascii="宋体" w:hAnsi="宋体" w:eastAsia="宋体" w:cs="宋体"/>
          <w:kern w:val="2"/>
          <w:sz w:val="24"/>
          <w:szCs w:val="24"/>
        </w:rPr>
        <w:t>受</w:t>
      </w:r>
      <w:r>
        <w:rPr>
          <w:rFonts w:hint="eastAsia" w:ascii="宋体" w:hAnsi="宋体" w:eastAsia="宋体" w:cs="宋体"/>
          <w:kern w:val="2"/>
          <w:sz w:val="24"/>
          <w:szCs w:val="24"/>
          <w:lang w:eastAsia="zh-CN"/>
        </w:rPr>
        <w:t>卢氏县公安局</w:t>
      </w:r>
      <w:r>
        <w:rPr>
          <w:rFonts w:hint="eastAsia" w:ascii="宋体" w:hAnsi="宋体" w:eastAsia="宋体" w:cs="宋体"/>
          <w:kern w:val="2"/>
          <w:sz w:val="24"/>
          <w:szCs w:val="24"/>
        </w:rPr>
        <w:t>的委托，就</w:t>
      </w:r>
      <w:r>
        <w:rPr>
          <w:rFonts w:hint="eastAsia" w:ascii="宋体" w:hAnsi="宋体" w:eastAsia="宋体" w:cs="宋体"/>
          <w:kern w:val="2"/>
          <w:sz w:val="24"/>
          <w:szCs w:val="24"/>
          <w:lang w:eastAsia="zh-CN"/>
        </w:rPr>
        <w:t>卢氏县公安局食堂食材采购项目</w:t>
      </w:r>
      <w:r>
        <w:rPr>
          <w:rFonts w:hint="eastAsia" w:ascii="宋体" w:hAnsi="宋体" w:eastAsia="宋体" w:cs="宋体"/>
          <w:kern w:val="2"/>
          <w:sz w:val="24"/>
          <w:szCs w:val="24"/>
        </w:rPr>
        <w:t>进行竞争性磋商采购，本项目已具备磋商条件,欢迎符合资格条件的供应商参加。</w:t>
      </w:r>
      <w:bookmarkStart w:id="1" w:name="_Toc2448"/>
      <w:bookmarkStart w:id="2" w:name="_Toc30020"/>
    </w:p>
    <w:p w14:paraId="30E19453">
      <w:pPr>
        <w:widowControl w:val="0"/>
        <w:wordWrap w:val="0"/>
        <w:spacing w:line="560" w:lineRule="exact"/>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一、</w:t>
      </w:r>
      <w:r>
        <w:rPr>
          <w:rFonts w:hint="eastAsia" w:ascii="宋体" w:hAnsi="宋体" w:eastAsia="宋体" w:cs="宋体"/>
          <w:kern w:val="2"/>
          <w:sz w:val="24"/>
          <w:szCs w:val="24"/>
        </w:rPr>
        <w:t>项目概况</w:t>
      </w:r>
      <w:bookmarkEnd w:id="1"/>
      <w:bookmarkEnd w:id="2"/>
    </w:p>
    <w:p w14:paraId="5D2E6D1F">
      <w:pPr>
        <w:widowControl w:val="0"/>
        <w:wordWrap w:val="0"/>
        <w:spacing w:line="560" w:lineRule="exact"/>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采购人：</w:t>
      </w:r>
      <w:r>
        <w:rPr>
          <w:rFonts w:hint="eastAsia" w:ascii="宋体" w:hAnsi="宋体" w:eastAsia="宋体" w:cs="宋体"/>
          <w:kern w:val="2"/>
          <w:sz w:val="24"/>
          <w:szCs w:val="24"/>
          <w:lang w:eastAsia="zh-CN"/>
        </w:rPr>
        <w:t>卢氏县公安局</w:t>
      </w:r>
    </w:p>
    <w:p w14:paraId="2EBF5A7C">
      <w:pPr>
        <w:widowControl w:val="0"/>
        <w:wordWrap w:val="0"/>
        <w:spacing w:line="560" w:lineRule="exact"/>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rPr>
        <w:t>2、项目名称：</w:t>
      </w:r>
      <w:r>
        <w:rPr>
          <w:rFonts w:hint="eastAsia" w:ascii="宋体" w:hAnsi="宋体" w:eastAsia="宋体" w:cs="宋体"/>
          <w:kern w:val="2"/>
          <w:sz w:val="24"/>
          <w:szCs w:val="24"/>
          <w:lang w:eastAsia="zh-CN"/>
        </w:rPr>
        <w:t>卢氏县公安局食堂食材采购项目</w:t>
      </w:r>
    </w:p>
    <w:p w14:paraId="58123400">
      <w:pPr>
        <w:widowControl w:val="0"/>
        <w:wordWrap w:val="0"/>
        <w:spacing w:line="560" w:lineRule="exact"/>
        <w:ind w:firstLine="480" w:firstLineChars="200"/>
        <w:rPr>
          <w:rFonts w:hint="default" w:ascii="宋体" w:hAnsi="宋体" w:eastAsia="宋体" w:cs="宋体"/>
          <w:kern w:val="2"/>
          <w:sz w:val="24"/>
          <w:szCs w:val="24"/>
          <w:lang w:val="en-US" w:eastAsia="zh-CN"/>
        </w:rPr>
      </w:pPr>
      <w:r>
        <w:rPr>
          <w:rFonts w:hint="eastAsia" w:ascii="宋体" w:hAnsi="宋体" w:eastAsia="宋体" w:cs="宋体"/>
          <w:kern w:val="2"/>
          <w:sz w:val="24"/>
          <w:szCs w:val="24"/>
        </w:rPr>
        <w:t>3、项目编号</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三卢竞</w:t>
      </w:r>
      <w:r>
        <w:rPr>
          <w:rFonts w:hint="eastAsia" w:ascii="宋体" w:hAnsi="宋体" w:eastAsia="宋体" w:cs="宋体"/>
          <w:kern w:val="2"/>
          <w:sz w:val="24"/>
          <w:szCs w:val="24"/>
          <w:lang w:eastAsia="zh-CN"/>
        </w:rPr>
        <w:t>磋</w:t>
      </w:r>
      <w:r>
        <w:rPr>
          <w:rFonts w:hint="eastAsia" w:ascii="宋体" w:hAnsi="宋体" w:eastAsia="宋体" w:cs="宋体"/>
          <w:kern w:val="2"/>
          <w:sz w:val="24"/>
          <w:szCs w:val="24"/>
          <w:lang w:val="en-US" w:eastAsia="zh-CN"/>
        </w:rPr>
        <w:t>采购-2026-48、LSGZ[2026]113-ZC086</w:t>
      </w:r>
    </w:p>
    <w:p w14:paraId="1CAA5AD3">
      <w:pPr>
        <w:widowControl w:val="0"/>
        <w:wordWrap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4、标段划分：一个标段</w:t>
      </w:r>
    </w:p>
    <w:p w14:paraId="3FDA1C70">
      <w:pPr>
        <w:widowControl w:val="0"/>
        <w:wordWrap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5、</w:t>
      </w:r>
      <w:r>
        <w:rPr>
          <w:rFonts w:hint="eastAsia" w:ascii="宋体" w:hAnsi="宋体" w:eastAsia="宋体" w:cs="宋体"/>
          <w:kern w:val="2"/>
          <w:sz w:val="24"/>
          <w:szCs w:val="24"/>
          <w:lang w:val="en-US" w:eastAsia="zh-CN"/>
        </w:rPr>
        <w:t>采购</w:t>
      </w:r>
      <w:r>
        <w:rPr>
          <w:rFonts w:hint="eastAsia" w:ascii="宋体" w:hAnsi="宋体" w:eastAsia="宋体" w:cs="宋体"/>
          <w:kern w:val="2"/>
          <w:sz w:val="24"/>
          <w:szCs w:val="24"/>
        </w:rPr>
        <w:t>内容：对卢氏县公安局机关及卢氏县公安局交管大队提供（包括但不限于）米、面、油、肉类、干货、蔬菜、水果、调料、副食类等食材供应服务</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具体内容详见服务内容及要求</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 xml:space="preserve"> </w:t>
      </w:r>
    </w:p>
    <w:p w14:paraId="43440511">
      <w:pPr>
        <w:widowControl w:val="0"/>
        <w:wordWrap w:val="0"/>
        <w:spacing w:line="560" w:lineRule="exact"/>
        <w:ind w:firstLine="480" w:firstLineChars="200"/>
        <w:rPr>
          <w:rFonts w:hint="default" w:ascii="宋体" w:hAnsi="宋体" w:eastAsia="宋体" w:cs="宋体"/>
          <w:kern w:val="2"/>
          <w:sz w:val="24"/>
          <w:szCs w:val="24"/>
          <w:lang w:val="en-US" w:eastAsia="zh-CN"/>
        </w:rPr>
      </w:pPr>
      <w:r>
        <w:rPr>
          <w:rFonts w:hint="eastAsia" w:ascii="宋体" w:hAnsi="宋体" w:eastAsia="宋体" w:cs="宋体"/>
          <w:kern w:val="2"/>
          <w:sz w:val="24"/>
          <w:szCs w:val="24"/>
        </w:rPr>
        <w:t>6、服务地点：</w:t>
      </w:r>
      <w:r>
        <w:rPr>
          <w:rFonts w:hint="eastAsia" w:ascii="宋体" w:hAnsi="宋体" w:cs="宋体"/>
          <w:kern w:val="2"/>
          <w:sz w:val="24"/>
          <w:szCs w:val="24"/>
          <w:lang w:val="en-US" w:eastAsia="zh-CN"/>
        </w:rPr>
        <w:t>采购人指定地点</w:t>
      </w:r>
    </w:p>
    <w:p w14:paraId="7A7417EE">
      <w:pPr>
        <w:widowControl w:val="0"/>
        <w:wordWrap w:val="0"/>
        <w:spacing w:line="560" w:lineRule="exact"/>
        <w:ind w:firstLine="480" w:firstLineChars="200"/>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7、服务</w:t>
      </w:r>
      <w:r>
        <w:rPr>
          <w:rFonts w:hint="eastAsia" w:ascii="宋体" w:hAnsi="宋体" w:eastAsia="宋体" w:cs="宋体"/>
          <w:kern w:val="2"/>
          <w:sz w:val="24"/>
          <w:szCs w:val="24"/>
          <w:lang w:eastAsia="zh-CN"/>
        </w:rPr>
        <w:t>期限</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2年（合同1年1签）</w:t>
      </w:r>
    </w:p>
    <w:p w14:paraId="3001DBD9">
      <w:pPr>
        <w:widowControl w:val="0"/>
        <w:wordWrap w:val="0"/>
        <w:spacing w:line="560" w:lineRule="exact"/>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rPr>
        <w:t>8、</w:t>
      </w:r>
      <w:r>
        <w:rPr>
          <w:rFonts w:hint="eastAsia" w:ascii="宋体" w:hAnsi="宋体" w:cs="宋体"/>
          <w:kern w:val="2"/>
          <w:sz w:val="24"/>
          <w:szCs w:val="24"/>
          <w:lang w:val="en-US" w:eastAsia="zh-CN"/>
        </w:rPr>
        <w:t>质量</w:t>
      </w:r>
      <w:r>
        <w:rPr>
          <w:rFonts w:hint="eastAsia" w:ascii="宋体" w:hAnsi="宋体" w:eastAsia="宋体" w:cs="宋体"/>
          <w:kern w:val="2"/>
          <w:sz w:val="24"/>
          <w:szCs w:val="24"/>
          <w:lang w:val="en-US" w:eastAsia="zh-CN"/>
        </w:rPr>
        <w:t>要求</w:t>
      </w:r>
      <w:r>
        <w:rPr>
          <w:rFonts w:hint="eastAsia" w:ascii="宋体" w:hAnsi="宋体" w:eastAsia="宋体" w:cs="宋体"/>
          <w:kern w:val="2"/>
          <w:sz w:val="24"/>
          <w:szCs w:val="24"/>
        </w:rPr>
        <w:t>：产品质量合格，符合国家及行业相关食品卫生安全要求，且符合采购人要求。</w:t>
      </w:r>
    </w:p>
    <w:p w14:paraId="39022939">
      <w:pPr>
        <w:widowControl w:val="0"/>
        <w:wordWrap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9、预算</w:t>
      </w:r>
      <w:r>
        <w:rPr>
          <w:rFonts w:hint="eastAsia" w:ascii="宋体" w:hAnsi="宋体" w:cs="宋体"/>
          <w:kern w:val="2"/>
          <w:sz w:val="24"/>
          <w:szCs w:val="24"/>
          <w:lang w:val="en-US" w:eastAsia="zh-CN"/>
        </w:rPr>
        <w:t>金额</w:t>
      </w:r>
      <w:r>
        <w:rPr>
          <w:rFonts w:hint="eastAsia" w:ascii="宋体" w:hAnsi="宋体" w:eastAsia="宋体" w:cs="宋体"/>
          <w:kern w:val="2"/>
          <w:sz w:val="24"/>
          <w:szCs w:val="24"/>
        </w:rPr>
        <w:t>：</w:t>
      </w:r>
      <w:bookmarkStart w:id="3" w:name="OLE_LINK2"/>
      <w:r>
        <w:rPr>
          <w:rFonts w:hint="eastAsia" w:ascii="宋体" w:hAnsi="宋体" w:cs="宋体"/>
          <w:kern w:val="2"/>
          <w:sz w:val="24"/>
          <w:szCs w:val="24"/>
          <w:lang w:val="en-US" w:eastAsia="zh-CN"/>
        </w:rPr>
        <w:t>约</w:t>
      </w:r>
      <w:r>
        <w:rPr>
          <w:rFonts w:hint="eastAsia" w:ascii="宋体" w:hAnsi="宋体" w:eastAsia="宋体" w:cs="宋体"/>
          <w:kern w:val="2"/>
          <w:sz w:val="24"/>
          <w:szCs w:val="24"/>
          <w:lang w:val="en-US" w:eastAsia="zh-CN"/>
        </w:rPr>
        <w:t>1300000.00</w:t>
      </w:r>
      <w:bookmarkEnd w:id="3"/>
      <w:r>
        <w:rPr>
          <w:rFonts w:hint="eastAsia" w:ascii="宋体" w:hAnsi="宋体" w:eastAsia="宋体" w:cs="宋体"/>
          <w:kern w:val="2"/>
          <w:sz w:val="24"/>
          <w:szCs w:val="24"/>
        </w:rPr>
        <w:t>元</w:t>
      </w:r>
      <w:r>
        <w:rPr>
          <w:rFonts w:hint="eastAsia" w:ascii="宋体" w:hAnsi="宋体" w:eastAsia="宋体" w:cs="宋体"/>
          <w:kern w:val="2"/>
          <w:sz w:val="24"/>
          <w:szCs w:val="24"/>
          <w:lang w:val="en-US" w:eastAsia="zh-CN"/>
        </w:rPr>
        <w:t>（650000.00元/</w:t>
      </w:r>
      <w:r>
        <w:rPr>
          <w:rFonts w:hint="eastAsia" w:ascii="宋体" w:hAnsi="宋体" w:cs="宋体"/>
          <w:kern w:val="2"/>
          <w:sz w:val="24"/>
          <w:szCs w:val="24"/>
          <w:lang w:val="en-US" w:eastAsia="zh-CN"/>
        </w:rPr>
        <w:t>年，</w:t>
      </w:r>
      <w:r>
        <w:rPr>
          <w:rFonts w:hint="eastAsia" w:ascii="宋体" w:hAnsi="宋体" w:eastAsia="宋体" w:cs="宋体"/>
          <w:kern w:val="2"/>
          <w:sz w:val="24"/>
          <w:szCs w:val="24"/>
          <w:lang w:val="en-US" w:eastAsia="zh-CN"/>
        </w:rPr>
        <w:t>本预算为暂定金额，以实际采购数量为准，按照实际供货数量据实结算）</w:t>
      </w:r>
    </w:p>
    <w:p w14:paraId="5E2D5E95">
      <w:pPr>
        <w:widowControl w:val="0"/>
        <w:wordWrap w:val="0"/>
        <w:spacing w:line="560" w:lineRule="exact"/>
        <w:ind w:firstLine="480" w:firstLineChars="200"/>
        <w:rPr>
          <w:rFonts w:hint="default" w:ascii="宋体" w:hAnsi="宋体" w:eastAsia="宋体" w:cs="宋体"/>
          <w:kern w:val="2"/>
          <w:sz w:val="24"/>
          <w:szCs w:val="24"/>
          <w:lang w:val="en-US" w:eastAsia="zh-CN"/>
        </w:rPr>
      </w:pPr>
      <w:r>
        <w:rPr>
          <w:rFonts w:hint="eastAsia" w:ascii="宋体" w:hAnsi="宋体" w:eastAsia="宋体" w:cs="宋体"/>
          <w:kern w:val="2"/>
          <w:sz w:val="24"/>
          <w:szCs w:val="24"/>
        </w:rPr>
        <w:t>10、资金来源：</w:t>
      </w:r>
      <w:r>
        <w:rPr>
          <w:rFonts w:hint="eastAsia" w:ascii="宋体" w:hAnsi="宋体" w:cs="宋体"/>
          <w:kern w:val="2"/>
          <w:sz w:val="24"/>
          <w:szCs w:val="24"/>
          <w:lang w:val="en-US" w:eastAsia="zh-CN"/>
        </w:rPr>
        <w:t>财政资金，且已落实</w:t>
      </w:r>
    </w:p>
    <w:p w14:paraId="4D8EAFCF">
      <w:pPr>
        <w:widowControl w:val="0"/>
        <w:wordWrap w:val="0"/>
        <w:spacing w:line="560" w:lineRule="exact"/>
        <w:ind w:firstLine="480" w:firstLineChars="200"/>
        <w:rPr>
          <w:rFonts w:ascii="宋体" w:hAnsi="宋体" w:cs="宋体"/>
          <w:kern w:val="2"/>
          <w:sz w:val="24"/>
          <w:szCs w:val="24"/>
        </w:rPr>
      </w:pPr>
      <w:bookmarkStart w:id="4" w:name="_Toc32606"/>
      <w:r>
        <w:rPr>
          <w:rFonts w:hint="eastAsia" w:ascii="宋体" w:hAnsi="宋体" w:cs="宋体"/>
          <w:kern w:val="2"/>
          <w:sz w:val="24"/>
          <w:szCs w:val="24"/>
        </w:rPr>
        <w:t>11、是否接受进口产品：否</w:t>
      </w:r>
    </w:p>
    <w:p w14:paraId="01C0B1BC">
      <w:pPr>
        <w:widowControl w:val="0"/>
        <w:wordWrap w:val="0"/>
        <w:spacing w:line="560" w:lineRule="exact"/>
        <w:ind w:firstLine="480" w:firstLineChars="200"/>
        <w:rPr>
          <w:rFonts w:hint="eastAsia" w:ascii="宋体" w:hAnsi="宋体" w:eastAsia="宋体" w:cs="宋体"/>
          <w:kern w:val="2"/>
          <w:sz w:val="24"/>
          <w:szCs w:val="24"/>
          <w:lang w:val="en-US" w:eastAsia="zh-CN"/>
        </w:rPr>
      </w:pPr>
      <w:r>
        <w:rPr>
          <w:rFonts w:hint="eastAsia" w:ascii="宋体" w:hAnsi="宋体" w:cs="宋体"/>
          <w:kern w:val="2"/>
          <w:sz w:val="24"/>
          <w:szCs w:val="24"/>
        </w:rPr>
        <w:t>12、是否专门面向中小企业：</w:t>
      </w:r>
      <w:r>
        <w:rPr>
          <w:rFonts w:hint="eastAsia" w:ascii="宋体" w:hAnsi="宋体" w:cs="宋体"/>
          <w:kern w:val="2"/>
          <w:sz w:val="24"/>
          <w:szCs w:val="24"/>
          <w:lang w:val="en-US" w:eastAsia="zh-CN"/>
        </w:rPr>
        <w:t>是</w:t>
      </w:r>
    </w:p>
    <w:p w14:paraId="1A5AAF8A">
      <w:pPr>
        <w:widowControl w:val="0"/>
        <w:wordWrap w:val="0"/>
        <w:spacing w:line="560" w:lineRule="exact"/>
        <w:ind w:firstLine="480" w:firstLineChars="200"/>
        <w:outlineLvl w:val="0"/>
        <w:rPr>
          <w:rFonts w:hint="eastAsia" w:ascii="宋体" w:hAnsi="宋体" w:eastAsia="宋体" w:cs="宋体"/>
          <w:kern w:val="2"/>
          <w:sz w:val="24"/>
          <w:szCs w:val="24"/>
          <w:lang w:eastAsia="zh-CN"/>
        </w:rPr>
      </w:pPr>
      <w:bookmarkStart w:id="5" w:name="_Toc19529"/>
      <w:r>
        <w:rPr>
          <w:rFonts w:hint="eastAsia" w:ascii="宋体" w:hAnsi="宋体" w:cs="宋体"/>
          <w:kern w:val="2"/>
          <w:sz w:val="24"/>
          <w:szCs w:val="24"/>
        </w:rPr>
        <w:t>二、供应商资格要求</w:t>
      </w:r>
      <w:bookmarkEnd w:id="4"/>
      <w:bookmarkEnd w:id="5"/>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963"/>
      </w:tblGrid>
      <w:tr w14:paraId="2FB45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4BB0FB6">
            <w:pPr>
              <w:widowControl w:val="0"/>
              <w:wordWrap w:val="0"/>
              <w:spacing w:line="560" w:lineRule="exact"/>
              <w:ind w:firstLine="480" w:firstLineChars="200"/>
              <w:outlineLvl w:val="0"/>
              <w:rPr>
                <w:rFonts w:hint="eastAsia" w:ascii="宋体" w:hAnsi="宋体" w:cs="宋体"/>
                <w:kern w:val="2"/>
                <w:sz w:val="24"/>
                <w:szCs w:val="24"/>
                <w:lang w:val="en-US" w:eastAsia="zh-CN"/>
              </w:rPr>
            </w:pPr>
            <w:bookmarkStart w:id="6" w:name="_Toc16513"/>
            <w:bookmarkStart w:id="7" w:name="_Toc25972"/>
            <w:r>
              <w:rPr>
                <w:rFonts w:hint="eastAsia" w:ascii="宋体" w:hAnsi="宋体" w:cs="宋体"/>
                <w:kern w:val="2"/>
                <w:sz w:val="24"/>
                <w:szCs w:val="24"/>
                <w:lang w:val="en-US" w:eastAsia="zh-CN"/>
              </w:rPr>
              <w:t>1、满足《中华人民共和国政府采购法》第二十二条规定；</w:t>
            </w:r>
          </w:p>
        </w:tc>
      </w:tr>
      <w:tr w14:paraId="2F67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26BEE40">
            <w:pPr>
              <w:widowControl w:val="0"/>
              <w:wordWrap w:val="0"/>
              <w:spacing w:line="560" w:lineRule="exact"/>
              <w:ind w:firstLine="480" w:firstLineChars="200"/>
              <w:outlineLvl w:val="0"/>
              <w:rPr>
                <w:rFonts w:hint="eastAsia" w:ascii="宋体" w:hAnsi="宋体" w:cs="宋体"/>
                <w:kern w:val="2"/>
                <w:sz w:val="24"/>
                <w:szCs w:val="24"/>
                <w:lang w:val="en-US" w:eastAsia="zh-CN"/>
              </w:rPr>
            </w:pPr>
            <w:r>
              <w:rPr>
                <w:rFonts w:hint="eastAsia" w:ascii="宋体" w:hAnsi="宋体" w:cs="宋体"/>
                <w:kern w:val="2"/>
                <w:sz w:val="24"/>
                <w:szCs w:val="24"/>
                <w:lang w:val="en-US" w:eastAsia="zh-CN"/>
              </w:rPr>
              <w:t>2、落实政府采购政策满足的资格要求：根据《政府采购促进中小企业发展管理办法》（财库〔2020〕46号）规定，本项目专门面向中小企业采购,同时供应商须提供《中小企业声明函》；</w:t>
            </w:r>
          </w:p>
        </w:tc>
      </w:tr>
      <w:tr w14:paraId="5FB0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3247E90">
            <w:pPr>
              <w:widowControl w:val="0"/>
              <w:wordWrap w:val="0"/>
              <w:spacing w:line="560" w:lineRule="exact"/>
              <w:ind w:firstLine="480" w:firstLineChars="200"/>
              <w:outlineLvl w:val="0"/>
              <w:rPr>
                <w:rFonts w:hint="eastAsia" w:ascii="宋体" w:hAnsi="宋体" w:cs="宋体"/>
                <w:kern w:val="2"/>
                <w:sz w:val="24"/>
                <w:szCs w:val="24"/>
              </w:rPr>
            </w:pPr>
            <w:r>
              <w:rPr>
                <w:rFonts w:hint="eastAsia" w:ascii="宋体" w:hAnsi="宋体" w:cs="宋体"/>
                <w:kern w:val="2"/>
                <w:sz w:val="24"/>
                <w:szCs w:val="24"/>
                <w:lang w:val="en-US" w:eastAsia="zh-CN"/>
              </w:rPr>
              <w:t>3、本项目的特定资格要求：</w:t>
            </w:r>
          </w:p>
        </w:tc>
      </w:tr>
    </w:tbl>
    <w:p w14:paraId="4FB6349E">
      <w:pPr>
        <w:widowControl w:val="0"/>
        <w:wordWrap w:val="0"/>
        <w:spacing w:line="560" w:lineRule="exact"/>
        <w:ind w:firstLine="480" w:firstLineChars="200"/>
        <w:outlineLvl w:val="0"/>
        <w:rPr>
          <w:rFonts w:hint="eastAsia" w:ascii="宋体" w:hAnsi="宋体" w:cs="宋体"/>
          <w:kern w:val="2"/>
          <w:sz w:val="24"/>
          <w:szCs w:val="24"/>
          <w:lang w:eastAsia="zh-CN"/>
        </w:rPr>
      </w:pPr>
      <w:r>
        <w:rPr>
          <w:rFonts w:hint="eastAsia" w:ascii="宋体" w:hAnsi="宋体" w:cs="宋体"/>
          <w:kern w:val="2"/>
          <w:sz w:val="24"/>
          <w:szCs w:val="24"/>
          <w:lang w:val="en-US" w:eastAsia="zh-CN"/>
        </w:rPr>
        <w:t>3.</w:t>
      </w:r>
      <w:r>
        <w:rPr>
          <w:rFonts w:hint="eastAsia" w:ascii="宋体" w:hAnsi="宋体" w:cs="宋体"/>
          <w:kern w:val="2"/>
          <w:sz w:val="24"/>
          <w:szCs w:val="24"/>
        </w:rPr>
        <w:t>1</w:t>
      </w:r>
      <w:r>
        <w:rPr>
          <w:rFonts w:hint="eastAsia" w:ascii="宋体" w:hAnsi="宋体" w:cs="宋体"/>
          <w:kern w:val="2"/>
          <w:sz w:val="24"/>
          <w:szCs w:val="24"/>
          <w:lang w:eastAsia="zh-CN"/>
        </w:rPr>
        <w:t>供应商须具有独立承担民事责任的能力（提供有效的营业执照或其他有效证明材料）；</w:t>
      </w:r>
    </w:p>
    <w:p w14:paraId="180EBACA">
      <w:pPr>
        <w:widowControl w:val="0"/>
        <w:wordWrap w:val="0"/>
        <w:spacing w:line="560" w:lineRule="exact"/>
        <w:ind w:firstLine="480" w:firstLineChars="200"/>
        <w:outlineLvl w:val="0"/>
        <w:rPr>
          <w:rFonts w:hint="eastAsia" w:ascii="宋体" w:hAnsi="宋体" w:cs="宋体"/>
          <w:kern w:val="2"/>
          <w:sz w:val="24"/>
          <w:szCs w:val="24"/>
        </w:rPr>
      </w:pPr>
      <w:r>
        <w:rPr>
          <w:rFonts w:hint="eastAsia" w:ascii="宋体" w:hAnsi="宋体" w:cs="宋体"/>
          <w:kern w:val="2"/>
          <w:sz w:val="24"/>
          <w:szCs w:val="24"/>
          <w:lang w:val="en-US" w:eastAsia="zh-CN"/>
        </w:rPr>
        <w:t>3.</w:t>
      </w:r>
      <w:r>
        <w:rPr>
          <w:rFonts w:hint="eastAsia" w:ascii="宋体" w:hAnsi="宋体" w:cs="宋体"/>
          <w:kern w:val="2"/>
          <w:sz w:val="24"/>
          <w:szCs w:val="24"/>
        </w:rPr>
        <w:t>2</w:t>
      </w:r>
      <w:r>
        <w:rPr>
          <w:rFonts w:hint="eastAsia" w:ascii="宋体" w:hAnsi="宋体" w:cs="宋体"/>
          <w:kern w:val="2"/>
          <w:sz w:val="24"/>
          <w:szCs w:val="24"/>
          <w:lang w:val="en-US" w:eastAsia="zh-CN"/>
        </w:rPr>
        <w:t xml:space="preserve"> 供应商如为生产商须同时具有有效的食品生产许可证和食品经营许可证；如为经销商须具有有效的食品经营许可证</w:t>
      </w:r>
      <w:r>
        <w:rPr>
          <w:rFonts w:hint="eastAsia" w:ascii="宋体" w:hAnsi="宋体" w:cs="宋体"/>
          <w:kern w:val="2"/>
          <w:sz w:val="24"/>
          <w:szCs w:val="24"/>
        </w:rPr>
        <w:t>；</w:t>
      </w:r>
    </w:p>
    <w:p w14:paraId="3A279A1C">
      <w:pPr>
        <w:widowControl w:val="0"/>
        <w:wordWrap w:val="0"/>
        <w:spacing w:line="560" w:lineRule="exact"/>
        <w:ind w:firstLine="480" w:firstLineChars="200"/>
        <w:outlineLvl w:val="0"/>
        <w:rPr>
          <w:rFonts w:hint="eastAsia" w:ascii="宋体" w:hAnsi="宋体" w:cs="宋体"/>
          <w:kern w:val="2"/>
          <w:sz w:val="24"/>
          <w:szCs w:val="24"/>
          <w:lang w:val="en-US" w:eastAsia="zh-CN"/>
        </w:rPr>
      </w:pPr>
      <w:r>
        <w:rPr>
          <w:rFonts w:hint="eastAsia" w:ascii="宋体" w:hAnsi="宋体" w:cs="宋体"/>
          <w:kern w:val="2"/>
          <w:sz w:val="24"/>
          <w:szCs w:val="24"/>
          <w:lang w:val="en-US" w:eastAsia="zh-CN"/>
        </w:rPr>
        <w:t>3.3 具有履行合同所必须的设备和专业技术服务能力(提供承诺书）；</w:t>
      </w:r>
    </w:p>
    <w:p w14:paraId="37653471">
      <w:pPr>
        <w:widowControl w:val="0"/>
        <w:wordWrap w:val="0"/>
        <w:spacing w:line="560" w:lineRule="exact"/>
        <w:ind w:firstLine="480" w:firstLineChars="200"/>
        <w:outlineLvl w:val="0"/>
        <w:rPr>
          <w:rFonts w:hint="eastAsia" w:ascii="宋体" w:hAnsi="宋体" w:cs="宋体"/>
          <w:kern w:val="2"/>
          <w:sz w:val="24"/>
          <w:szCs w:val="24"/>
          <w:lang w:val="en-US" w:eastAsia="zh-CN"/>
        </w:rPr>
      </w:pPr>
      <w:r>
        <w:rPr>
          <w:rFonts w:hint="eastAsia" w:ascii="宋体" w:hAnsi="宋体" w:cs="宋体"/>
          <w:kern w:val="2"/>
          <w:sz w:val="24"/>
          <w:szCs w:val="24"/>
          <w:lang w:val="en-US" w:eastAsia="zh-CN"/>
        </w:rPr>
        <w:t>3.4 拟派项目负责人需在防疫部门办理健康证且已参加社会保险（提供近半年以来任意一个月社保证明）；</w:t>
      </w:r>
    </w:p>
    <w:p w14:paraId="0431C081">
      <w:pPr>
        <w:widowControl w:val="0"/>
        <w:wordWrap w:val="0"/>
        <w:spacing w:line="560" w:lineRule="exact"/>
        <w:ind w:firstLine="480" w:firstLineChars="200"/>
        <w:outlineLvl w:val="0"/>
        <w:rPr>
          <w:rFonts w:hint="eastAsia" w:ascii="宋体" w:hAnsi="宋体" w:cs="宋体"/>
          <w:kern w:val="2"/>
          <w:sz w:val="24"/>
          <w:szCs w:val="24"/>
          <w:lang w:val="en-US" w:eastAsia="zh-CN"/>
        </w:rPr>
      </w:pPr>
      <w:r>
        <w:rPr>
          <w:rFonts w:hint="eastAsia" w:ascii="宋体" w:hAnsi="宋体" w:cs="宋体"/>
          <w:kern w:val="2"/>
          <w:sz w:val="24"/>
          <w:szCs w:val="24"/>
          <w:lang w:val="en-US" w:eastAsia="zh-CN"/>
        </w:rPr>
        <w:t>3.5 具有健全的财务会计制度和良好的财务状况，提供近三年来任意一个年度的财务审计报告或自行承诺；</w:t>
      </w:r>
    </w:p>
    <w:p w14:paraId="100CAC97">
      <w:pPr>
        <w:widowControl w:val="0"/>
        <w:wordWrap w:val="0"/>
        <w:spacing w:line="560" w:lineRule="exact"/>
        <w:ind w:firstLine="480" w:firstLineChars="200"/>
        <w:outlineLvl w:val="0"/>
        <w:rPr>
          <w:rFonts w:hint="eastAsia" w:ascii="宋体" w:hAnsi="宋体" w:cs="宋体"/>
          <w:kern w:val="2"/>
          <w:sz w:val="24"/>
          <w:szCs w:val="24"/>
          <w:lang w:val="en-US" w:eastAsia="zh-CN"/>
        </w:rPr>
      </w:pPr>
      <w:r>
        <w:rPr>
          <w:rFonts w:hint="eastAsia" w:ascii="宋体" w:hAnsi="宋体" w:cs="宋体"/>
          <w:kern w:val="2"/>
          <w:sz w:val="24"/>
          <w:szCs w:val="24"/>
          <w:lang w:val="en-US" w:eastAsia="zh-CN"/>
        </w:rPr>
        <w:t>3.6 参加政府采购活动前3年内无行贿犯罪记录，（开标时提供《中国裁判文书网》查询结果网页截图或企业自行承诺的无行贿犯罪承诺书，查询&lt;承诺&gt;对象为“企业，法定代表人，项目负责人”）；</w:t>
      </w:r>
    </w:p>
    <w:p w14:paraId="4238A2B2">
      <w:pPr>
        <w:widowControl w:val="0"/>
        <w:wordWrap w:val="0"/>
        <w:spacing w:line="560" w:lineRule="exact"/>
        <w:ind w:firstLine="480" w:firstLineChars="200"/>
        <w:outlineLvl w:val="0"/>
        <w:rPr>
          <w:rFonts w:hint="eastAsia" w:ascii="宋体" w:hAnsi="宋体" w:cs="宋体"/>
          <w:kern w:val="2"/>
          <w:sz w:val="24"/>
          <w:szCs w:val="24"/>
          <w:lang w:val="en-US" w:eastAsia="zh-CN"/>
        </w:rPr>
      </w:pPr>
      <w:r>
        <w:rPr>
          <w:rFonts w:hint="eastAsia" w:ascii="宋体" w:hAnsi="宋体" w:cs="宋体"/>
          <w:kern w:val="2"/>
          <w:sz w:val="24"/>
          <w:szCs w:val="24"/>
          <w:lang w:val="en-US" w:eastAsia="zh-CN"/>
        </w:rPr>
        <w:t>3.7 参加政府采购活动前3年内无商业贿赂、不正当竞争行为、骗取中标、严重违约及重大工程质量等问题（供应商须自行出具承诺书）；</w:t>
      </w:r>
    </w:p>
    <w:p w14:paraId="5E61BAB8">
      <w:pPr>
        <w:widowControl w:val="0"/>
        <w:wordWrap w:val="0"/>
        <w:spacing w:line="560" w:lineRule="exact"/>
        <w:ind w:firstLine="480" w:firstLineChars="200"/>
        <w:outlineLvl w:val="0"/>
        <w:rPr>
          <w:rFonts w:hint="eastAsia" w:ascii="宋体" w:hAnsi="宋体" w:cs="宋体"/>
          <w:kern w:val="2"/>
          <w:sz w:val="24"/>
          <w:szCs w:val="24"/>
          <w:lang w:val="en-US" w:eastAsia="zh-CN"/>
        </w:rPr>
      </w:pPr>
      <w:r>
        <w:rPr>
          <w:rFonts w:hint="eastAsia" w:ascii="宋体" w:hAnsi="宋体" w:cs="宋体"/>
          <w:kern w:val="2"/>
          <w:sz w:val="24"/>
          <w:szCs w:val="24"/>
          <w:lang w:val="en-US" w:eastAsia="zh-CN"/>
        </w:rPr>
        <w:t>3.8 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注：査询时间必须是磋商公告发布以后开标时间以前并提供网站查询网页截图，查询结果清晰可见)；</w:t>
      </w:r>
    </w:p>
    <w:p w14:paraId="526B1BEC">
      <w:pPr>
        <w:widowControl w:val="0"/>
        <w:wordWrap w:val="0"/>
        <w:spacing w:line="560" w:lineRule="exact"/>
        <w:ind w:firstLine="480" w:firstLineChars="200"/>
        <w:outlineLvl w:val="0"/>
        <w:rPr>
          <w:rFonts w:hint="eastAsia" w:ascii="宋体" w:hAnsi="宋体" w:cs="宋体"/>
          <w:kern w:val="2"/>
          <w:sz w:val="24"/>
          <w:szCs w:val="24"/>
          <w:lang w:val="en-US" w:eastAsia="zh-CN"/>
        </w:rPr>
      </w:pPr>
      <w:r>
        <w:rPr>
          <w:rFonts w:hint="eastAsia" w:ascii="宋体" w:hAnsi="宋体" w:cs="宋体"/>
          <w:kern w:val="2"/>
          <w:sz w:val="24"/>
          <w:szCs w:val="24"/>
          <w:lang w:val="en-US" w:eastAsia="zh-CN"/>
        </w:rPr>
        <w:t>3.9 单位负责人为同一人或者存在控股、管理关系的不同单位，不得同时参加本项目的投标；（提供“国家企业信用信息公示系统”中公示的公司信息、股东或投资人信息查询截图）；</w:t>
      </w:r>
    </w:p>
    <w:p w14:paraId="26A425B5">
      <w:pPr>
        <w:widowControl w:val="0"/>
        <w:wordWrap w:val="0"/>
        <w:spacing w:line="560" w:lineRule="exact"/>
        <w:ind w:firstLine="480" w:firstLineChars="200"/>
        <w:outlineLvl w:val="0"/>
        <w:rPr>
          <w:rFonts w:hint="eastAsia" w:ascii="宋体" w:hAnsi="宋体" w:cs="宋体"/>
          <w:kern w:val="2"/>
          <w:sz w:val="24"/>
          <w:szCs w:val="24"/>
          <w:lang w:val="en-US" w:eastAsia="zh-CN"/>
        </w:rPr>
      </w:pPr>
      <w:r>
        <w:rPr>
          <w:rFonts w:hint="eastAsia" w:ascii="宋体" w:hAnsi="宋体" w:cs="宋体"/>
          <w:kern w:val="2"/>
          <w:sz w:val="24"/>
          <w:szCs w:val="24"/>
          <w:lang w:val="en-US" w:eastAsia="zh-CN"/>
        </w:rPr>
        <w:t>3.10 本项目实行资格后审；</w:t>
      </w:r>
    </w:p>
    <w:p w14:paraId="3BC2ED6D">
      <w:pPr>
        <w:widowControl w:val="0"/>
        <w:wordWrap w:val="0"/>
        <w:spacing w:line="560" w:lineRule="exact"/>
        <w:ind w:firstLine="480" w:firstLineChars="200"/>
        <w:outlineLvl w:val="0"/>
        <w:rPr>
          <w:rFonts w:hint="eastAsia" w:ascii="宋体" w:hAnsi="宋体" w:cs="宋体"/>
          <w:kern w:val="2"/>
          <w:sz w:val="24"/>
          <w:szCs w:val="24"/>
        </w:rPr>
      </w:pPr>
      <w:r>
        <w:rPr>
          <w:rFonts w:hint="eastAsia" w:ascii="宋体" w:hAnsi="宋体" w:cs="宋体"/>
          <w:kern w:val="2"/>
          <w:sz w:val="24"/>
          <w:szCs w:val="24"/>
          <w:lang w:val="en-US" w:eastAsia="zh-CN"/>
        </w:rPr>
        <w:t>3.11 本项目不接受联合体投标。</w:t>
      </w:r>
    </w:p>
    <w:p w14:paraId="3E09D0B6">
      <w:pPr>
        <w:widowControl w:val="0"/>
        <w:wordWrap w:val="0"/>
        <w:spacing w:line="560" w:lineRule="exact"/>
        <w:ind w:firstLine="480" w:firstLineChars="200"/>
        <w:outlineLvl w:val="0"/>
        <w:rPr>
          <w:rFonts w:hint="eastAsia" w:ascii="宋体" w:hAnsi="宋体" w:cs="宋体"/>
          <w:kern w:val="2"/>
          <w:sz w:val="24"/>
          <w:szCs w:val="24"/>
        </w:rPr>
      </w:pPr>
      <w:r>
        <w:rPr>
          <w:rFonts w:hint="eastAsia" w:ascii="宋体" w:hAnsi="宋体" w:cs="宋体"/>
          <w:kern w:val="2"/>
          <w:sz w:val="24"/>
          <w:szCs w:val="24"/>
        </w:rPr>
        <w:t>注：被列入失信被执行人及重大税收违法失信主体的企业做无效标处理。采购人或采购代理机构有权对</w:t>
      </w:r>
      <w:r>
        <w:rPr>
          <w:rFonts w:hint="eastAsia" w:ascii="宋体" w:hAnsi="宋体" w:cs="宋体"/>
          <w:kern w:val="2"/>
          <w:sz w:val="24"/>
          <w:szCs w:val="24"/>
          <w:lang w:eastAsia="zh-CN"/>
        </w:rPr>
        <w:t>供应商</w:t>
      </w:r>
      <w:r>
        <w:rPr>
          <w:rFonts w:hint="eastAsia" w:ascii="宋体" w:hAnsi="宋体" w:cs="宋体"/>
          <w:kern w:val="2"/>
          <w:sz w:val="24"/>
          <w:szCs w:val="24"/>
        </w:rPr>
        <w:t>信用记录进行甄别和复查。</w:t>
      </w:r>
    </w:p>
    <w:p w14:paraId="7ED0CF9C">
      <w:pPr>
        <w:widowControl w:val="0"/>
        <w:wordWrap w:val="0"/>
        <w:spacing w:line="560" w:lineRule="exact"/>
        <w:ind w:firstLine="480" w:firstLineChars="200"/>
        <w:outlineLvl w:val="0"/>
        <w:rPr>
          <w:rFonts w:hint="eastAsia" w:ascii="宋体" w:hAnsi="宋体" w:eastAsia="宋体" w:cs="宋体"/>
          <w:kern w:val="2"/>
          <w:sz w:val="24"/>
          <w:szCs w:val="24"/>
          <w:lang w:eastAsia="zh-CN"/>
        </w:rPr>
      </w:pPr>
      <w:r>
        <w:rPr>
          <w:rFonts w:hint="eastAsia" w:ascii="宋体" w:hAnsi="宋体" w:cs="宋体"/>
          <w:kern w:val="2"/>
          <w:sz w:val="24"/>
          <w:szCs w:val="24"/>
        </w:rPr>
        <w:t>三、磋商文件获取方式</w:t>
      </w:r>
      <w:bookmarkEnd w:id="6"/>
      <w:bookmarkEnd w:id="7"/>
    </w:p>
    <w:p w14:paraId="724A7463">
      <w:pPr>
        <w:widowControl w:val="0"/>
        <w:wordWrap w:val="0"/>
        <w:spacing w:line="560" w:lineRule="exact"/>
        <w:ind w:firstLine="480" w:firstLineChars="200"/>
        <w:rPr>
          <w:rFonts w:ascii="宋体" w:hAnsi="宋体" w:cs="宋体"/>
          <w:kern w:val="2"/>
          <w:sz w:val="24"/>
          <w:szCs w:val="24"/>
        </w:rPr>
      </w:pPr>
      <w:r>
        <w:rPr>
          <w:rFonts w:hint="eastAsia" w:ascii="宋体" w:hAnsi="宋体" w:cs="宋体"/>
          <w:kern w:val="2"/>
          <w:sz w:val="24"/>
          <w:szCs w:val="24"/>
        </w:rPr>
        <w:t>1、本项目没有报名环节，供应商凭CA数字证书通过三门峡市公共资源交易中心网（网址：http://gzjy.smx.gov.cn/），点击交易平台选择“交易主体登录”，在所参与项目右侧点击参与投标，即可直接下载本项目磋商文件及其相关资料；</w:t>
      </w:r>
    </w:p>
    <w:p w14:paraId="36260C59">
      <w:pPr>
        <w:widowControl w:val="0"/>
        <w:wordWrap w:val="0"/>
        <w:spacing w:line="560" w:lineRule="exact"/>
        <w:ind w:firstLine="480" w:firstLineChars="200"/>
        <w:rPr>
          <w:rFonts w:ascii="宋体" w:hAnsi="宋体" w:cs="宋体"/>
          <w:kern w:val="2"/>
          <w:sz w:val="24"/>
          <w:szCs w:val="24"/>
        </w:rPr>
      </w:pPr>
      <w:r>
        <w:rPr>
          <w:rFonts w:hint="eastAsia" w:ascii="宋体" w:hAnsi="宋体" w:cs="宋体"/>
          <w:kern w:val="2"/>
          <w:sz w:val="24"/>
          <w:szCs w:val="24"/>
        </w:rPr>
        <w:t>办理CA证书：http://gzjy.smx.gov.cn/fwzn/004003/20201019/a8fae6a0-baed-499b-bb50-8ecc8828a2ca.html</w:t>
      </w:r>
    </w:p>
    <w:p w14:paraId="41B3A4DB">
      <w:pPr>
        <w:widowControl w:val="0"/>
        <w:wordWrap w:val="0"/>
        <w:spacing w:line="5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kern w:val="2"/>
          <w:sz w:val="24"/>
          <w:szCs w:val="24"/>
        </w:rPr>
        <w:t>2、</w:t>
      </w:r>
      <w:r>
        <w:rPr>
          <w:rFonts w:hint="eastAsia" w:ascii="宋体" w:hAnsi="宋体" w:cs="宋体"/>
          <w:color w:val="000000" w:themeColor="text1"/>
          <w:kern w:val="2"/>
          <w:sz w:val="24"/>
          <w:szCs w:val="24"/>
          <w14:textFill>
            <w14:solidFill>
              <w14:schemeClr w14:val="tx1"/>
            </w14:solidFill>
          </w14:textFill>
        </w:rPr>
        <w:t>文件下载时间：</w:t>
      </w:r>
      <w:r>
        <w:rPr>
          <w:rFonts w:hint="eastAsia" w:ascii="宋体" w:hAnsi="宋体" w:cs="宋体"/>
          <w:color w:val="000000" w:themeColor="text1"/>
          <w:kern w:val="2"/>
          <w:sz w:val="24"/>
          <w:szCs w:val="24"/>
          <w:lang w:val="en-US" w:eastAsia="zh-CN"/>
          <w14:textFill>
            <w14:solidFill>
              <w14:schemeClr w14:val="tx1"/>
            </w14:solidFill>
          </w14:textFill>
        </w:rPr>
        <w:t>2026</w:t>
      </w:r>
      <w:r>
        <w:rPr>
          <w:rFonts w:hint="eastAsia" w:ascii="宋体" w:hAnsi="宋体" w:cs="宋体"/>
          <w:color w:val="000000" w:themeColor="text1"/>
          <w:kern w:val="2"/>
          <w:sz w:val="24"/>
          <w:szCs w:val="24"/>
          <w14:textFill>
            <w14:solidFill>
              <w14:schemeClr w14:val="tx1"/>
            </w14:solidFill>
          </w14:textFill>
        </w:rPr>
        <w:t>年</w:t>
      </w:r>
      <w:r>
        <w:rPr>
          <w:rFonts w:hint="eastAsia" w:ascii="宋体" w:hAnsi="宋体" w:cs="宋体"/>
          <w:color w:val="000000" w:themeColor="text1"/>
          <w:kern w:val="2"/>
          <w:sz w:val="24"/>
          <w:szCs w:val="24"/>
          <w:lang w:val="en-US" w:eastAsia="zh-CN"/>
          <w14:textFill>
            <w14:solidFill>
              <w14:schemeClr w14:val="tx1"/>
            </w14:solidFill>
          </w14:textFill>
        </w:rPr>
        <w:t>06</w:t>
      </w:r>
      <w:r>
        <w:rPr>
          <w:rFonts w:hint="eastAsia" w:ascii="宋体" w:hAnsi="宋体" w:cs="宋体"/>
          <w:color w:val="000000" w:themeColor="text1"/>
          <w:kern w:val="2"/>
          <w:sz w:val="24"/>
          <w:szCs w:val="24"/>
          <w14:textFill>
            <w14:solidFill>
              <w14:schemeClr w14:val="tx1"/>
            </w14:solidFill>
          </w14:textFill>
        </w:rPr>
        <w:t>月</w:t>
      </w:r>
      <w:r>
        <w:rPr>
          <w:rFonts w:hint="eastAsia" w:ascii="宋体" w:hAnsi="宋体" w:cs="宋体"/>
          <w:color w:val="000000" w:themeColor="text1"/>
          <w:kern w:val="2"/>
          <w:sz w:val="24"/>
          <w:szCs w:val="24"/>
          <w:lang w:val="en-US" w:eastAsia="zh-CN"/>
          <w14:textFill>
            <w14:solidFill>
              <w14:schemeClr w14:val="tx1"/>
            </w14:solidFill>
          </w14:textFill>
        </w:rPr>
        <w:t>25</w:t>
      </w:r>
      <w:r>
        <w:rPr>
          <w:rFonts w:hint="eastAsia" w:ascii="宋体" w:hAnsi="宋体" w:cs="宋体"/>
          <w:color w:val="000000" w:themeColor="text1"/>
          <w:kern w:val="2"/>
          <w:sz w:val="24"/>
          <w:szCs w:val="24"/>
          <w14:textFill>
            <w14:solidFill>
              <w14:schemeClr w14:val="tx1"/>
            </w14:solidFill>
          </w14:textFill>
        </w:rPr>
        <w:t>日至202</w:t>
      </w:r>
      <w:r>
        <w:rPr>
          <w:rFonts w:hint="eastAsia" w:ascii="宋体" w:hAnsi="宋体" w:cs="宋体"/>
          <w:color w:val="000000" w:themeColor="text1"/>
          <w:kern w:val="2"/>
          <w:sz w:val="24"/>
          <w:szCs w:val="24"/>
          <w:lang w:val="en-US" w:eastAsia="zh-CN"/>
          <w14:textFill>
            <w14:solidFill>
              <w14:schemeClr w14:val="tx1"/>
            </w14:solidFill>
          </w14:textFill>
        </w:rPr>
        <w:t>6</w:t>
      </w:r>
      <w:r>
        <w:rPr>
          <w:rFonts w:hint="eastAsia" w:ascii="宋体" w:hAnsi="宋体" w:cs="宋体"/>
          <w:color w:val="000000" w:themeColor="text1"/>
          <w:kern w:val="2"/>
          <w:sz w:val="24"/>
          <w:szCs w:val="24"/>
          <w14:textFill>
            <w14:solidFill>
              <w14:schemeClr w14:val="tx1"/>
            </w14:solidFill>
          </w14:textFill>
        </w:rPr>
        <w:t>年</w:t>
      </w:r>
      <w:r>
        <w:rPr>
          <w:rFonts w:hint="eastAsia" w:ascii="宋体" w:hAnsi="宋体" w:cs="宋体"/>
          <w:color w:val="000000" w:themeColor="text1"/>
          <w:kern w:val="2"/>
          <w:sz w:val="24"/>
          <w:szCs w:val="24"/>
          <w:lang w:val="en-US" w:eastAsia="zh-CN"/>
          <w14:textFill>
            <w14:solidFill>
              <w14:schemeClr w14:val="tx1"/>
            </w14:solidFill>
          </w14:textFill>
        </w:rPr>
        <w:t>07</w:t>
      </w:r>
      <w:r>
        <w:rPr>
          <w:rFonts w:hint="eastAsia" w:ascii="宋体" w:hAnsi="宋体" w:cs="宋体"/>
          <w:color w:val="000000" w:themeColor="text1"/>
          <w:kern w:val="2"/>
          <w:sz w:val="24"/>
          <w:szCs w:val="24"/>
          <w14:textFill>
            <w14:solidFill>
              <w14:schemeClr w14:val="tx1"/>
            </w14:solidFill>
          </w14:textFill>
        </w:rPr>
        <w:t>月</w:t>
      </w:r>
      <w:r>
        <w:rPr>
          <w:rFonts w:hint="eastAsia" w:ascii="宋体" w:hAnsi="宋体" w:cs="宋体"/>
          <w:color w:val="000000" w:themeColor="text1"/>
          <w:kern w:val="2"/>
          <w:sz w:val="24"/>
          <w:szCs w:val="24"/>
          <w:lang w:val="en-US" w:eastAsia="zh-CN"/>
          <w14:textFill>
            <w14:solidFill>
              <w14:schemeClr w14:val="tx1"/>
            </w14:solidFill>
          </w14:textFill>
        </w:rPr>
        <w:t>07</w:t>
      </w:r>
      <w:r>
        <w:rPr>
          <w:rFonts w:hint="eastAsia" w:ascii="宋体" w:hAnsi="宋体" w:cs="宋体"/>
          <w:color w:val="000000" w:themeColor="text1"/>
          <w:kern w:val="2"/>
          <w:sz w:val="24"/>
          <w:szCs w:val="24"/>
          <w14:textFill>
            <w14:solidFill>
              <w14:schemeClr w14:val="tx1"/>
            </w14:solidFill>
          </w14:textFill>
        </w:rPr>
        <w:t>日08时40分；</w:t>
      </w:r>
    </w:p>
    <w:p w14:paraId="5EC81E9C">
      <w:pPr>
        <w:widowControl w:val="0"/>
        <w:wordWrap w:val="0"/>
        <w:spacing w:line="560" w:lineRule="exact"/>
        <w:ind w:firstLine="480" w:firstLineChars="200"/>
        <w:rPr>
          <w:rFonts w:ascii="宋体" w:hAnsi="宋体"/>
          <w:sz w:val="24"/>
          <w:szCs w:val="24"/>
          <w:shd w:val="clear" w:color="auto" w:fill="FFFFFF"/>
        </w:rPr>
      </w:pPr>
      <w:r>
        <w:rPr>
          <w:rFonts w:hint="eastAsia" w:ascii="宋体" w:hAnsi="宋体" w:cs="宋体"/>
          <w:kern w:val="2"/>
          <w:sz w:val="24"/>
          <w:szCs w:val="24"/>
        </w:rPr>
        <w:t>3、本项目为不见面开标项目。开标当日，供应商无需到开标现场参加开标会议，供应商应当在开标截止时间前，登陆不见面开标大厅选择登陆三门峡市公共资源电子招投标系统进行登陆（网址为http://120.194.249.36:10094/BidOpening/bidopening</w:t>
      </w:r>
      <w:r>
        <w:rPr>
          <w:rFonts w:hint="eastAsia" w:ascii="宋体" w:hAnsi="宋体"/>
          <w:sz w:val="24"/>
          <w:szCs w:val="24"/>
          <w:shd w:val="clear" w:color="auto" w:fill="FFFFFF"/>
        </w:rPr>
        <w:t>hallaction/hall/login）,在线准时参加开标活动并进行响应文件解密等。每位供应商的解密时间为开标时间起30分钟内完成。因供应商原因未能解密、解密失败或解密超时的将被拒绝。</w:t>
      </w:r>
    </w:p>
    <w:p w14:paraId="08165F3C">
      <w:pPr>
        <w:wordWrap w:val="0"/>
        <w:topLinePunct/>
        <w:spacing w:line="560" w:lineRule="exact"/>
        <w:ind w:firstLine="480" w:firstLineChars="200"/>
        <w:jc w:val="both"/>
        <w:rPr>
          <w:rFonts w:ascii="宋体" w:hAnsi="宋体"/>
          <w:sz w:val="24"/>
          <w:szCs w:val="24"/>
          <w:shd w:val="clear" w:color="auto" w:fill="FFFFFF"/>
        </w:rPr>
      </w:pPr>
      <w:r>
        <w:rPr>
          <w:rFonts w:hint="eastAsia" w:ascii="宋体" w:hAnsi="宋体"/>
          <w:sz w:val="24"/>
          <w:szCs w:val="24"/>
          <w:shd w:val="clear" w:color="auto" w:fill="FFFFFF"/>
        </w:rPr>
        <w:t>4、本项目为全电子招标，不再收取磋商文件费用。</w:t>
      </w:r>
    </w:p>
    <w:p w14:paraId="5D47EB05">
      <w:pPr>
        <w:wordWrap w:val="0"/>
        <w:spacing w:line="560" w:lineRule="exact"/>
        <w:ind w:firstLine="480" w:firstLineChars="200"/>
        <w:outlineLvl w:val="0"/>
        <w:rPr>
          <w:rFonts w:hint="eastAsia" w:ascii="宋体" w:hAnsi="宋体" w:eastAsia="宋体" w:cs="宋体"/>
          <w:kern w:val="2"/>
          <w:sz w:val="24"/>
          <w:szCs w:val="24"/>
          <w:lang w:eastAsia="zh-CN"/>
        </w:rPr>
      </w:pPr>
      <w:bookmarkStart w:id="8" w:name="_Toc12451"/>
      <w:bookmarkStart w:id="9" w:name="_Toc17604"/>
      <w:r>
        <w:rPr>
          <w:rFonts w:hint="eastAsia" w:ascii="宋体" w:hAnsi="宋体" w:cs="宋体"/>
          <w:kern w:val="2"/>
          <w:sz w:val="24"/>
          <w:szCs w:val="24"/>
        </w:rPr>
        <w:t>四、磋商保证金</w:t>
      </w:r>
      <w:bookmarkEnd w:id="8"/>
      <w:bookmarkEnd w:id="9"/>
    </w:p>
    <w:p w14:paraId="24FC93B0">
      <w:pPr>
        <w:wordWrap w:val="0"/>
        <w:spacing w:line="560" w:lineRule="exact"/>
        <w:ind w:firstLine="480" w:firstLineChars="200"/>
        <w:rPr>
          <w:rFonts w:ascii="宋体" w:hAnsi="宋体" w:cs="宋体"/>
          <w:kern w:val="2"/>
          <w:sz w:val="24"/>
          <w:szCs w:val="24"/>
        </w:rPr>
      </w:pPr>
      <w:r>
        <w:rPr>
          <w:rFonts w:hint="eastAsia" w:ascii="宋体" w:hAnsi="宋体" w:cs="宋体"/>
          <w:kern w:val="2"/>
          <w:sz w:val="24"/>
          <w:szCs w:val="24"/>
        </w:rPr>
        <w:t>按照《河南省财政厅关于优化政府采购营商环境有关问题的通知》（豫财购[2019]4号文）的要求本项目不再收取磋商保证金。</w:t>
      </w:r>
    </w:p>
    <w:p w14:paraId="501557F5">
      <w:pPr>
        <w:wordWrap w:val="0"/>
        <w:spacing w:line="560" w:lineRule="exact"/>
        <w:ind w:firstLine="480" w:firstLineChars="200"/>
        <w:outlineLvl w:val="0"/>
        <w:rPr>
          <w:rFonts w:hint="eastAsia" w:ascii="宋体" w:hAnsi="宋体" w:eastAsia="宋体" w:cs="宋体"/>
          <w:kern w:val="2"/>
          <w:sz w:val="24"/>
          <w:szCs w:val="24"/>
          <w:lang w:eastAsia="zh-CN"/>
        </w:rPr>
      </w:pPr>
      <w:bookmarkStart w:id="10" w:name="_Toc868"/>
      <w:bookmarkStart w:id="11" w:name="_Toc13329"/>
      <w:r>
        <w:rPr>
          <w:rFonts w:hint="eastAsia" w:ascii="宋体" w:hAnsi="宋体" w:cs="宋体"/>
          <w:kern w:val="2"/>
          <w:sz w:val="24"/>
          <w:szCs w:val="24"/>
        </w:rPr>
        <w:t>五、供应商资料的提交</w:t>
      </w:r>
      <w:bookmarkEnd w:id="10"/>
      <w:bookmarkEnd w:id="11"/>
    </w:p>
    <w:p w14:paraId="7BE32B9E">
      <w:pPr>
        <w:wordWrap w:val="0"/>
        <w:spacing w:line="560" w:lineRule="exact"/>
        <w:ind w:firstLine="480" w:firstLineChars="200"/>
        <w:rPr>
          <w:rFonts w:ascii="宋体" w:hAnsi="宋体" w:cs="宋体"/>
          <w:kern w:val="2"/>
          <w:sz w:val="24"/>
          <w:szCs w:val="24"/>
        </w:rPr>
      </w:pPr>
      <w:r>
        <w:rPr>
          <w:rFonts w:hint="eastAsia" w:ascii="宋体" w:hAnsi="宋体" w:cs="宋体"/>
          <w:kern w:val="2"/>
          <w:sz w:val="24"/>
          <w:szCs w:val="24"/>
        </w:rPr>
        <w:t>本项目实行资格后审，审查内容以开标截止时间前在三门峡市公共资源交易系统上传的响应文件的信息为准。其上传资料真实性由供应商自行承担，同时，供应商需要完善主体库信息。否则，由此造成应得分而未得分或资格审查不合格等情况的，由供应商自行承担责任。</w:t>
      </w:r>
    </w:p>
    <w:p w14:paraId="5F850B9C">
      <w:pPr>
        <w:wordWrap w:val="0"/>
        <w:spacing w:line="560" w:lineRule="exact"/>
        <w:ind w:firstLine="480" w:firstLineChars="200"/>
        <w:outlineLvl w:val="0"/>
        <w:rPr>
          <w:rFonts w:hint="eastAsia" w:ascii="宋体" w:hAnsi="宋体" w:eastAsia="宋体" w:cs="宋体"/>
          <w:kern w:val="2"/>
          <w:sz w:val="24"/>
          <w:szCs w:val="24"/>
          <w:lang w:eastAsia="zh-CN"/>
        </w:rPr>
      </w:pPr>
      <w:bookmarkStart w:id="12" w:name="_Toc5062"/>
      <w:r>
        <w:rPr>
          <w:rFonts w:hint="eastAsia" w:ascii="宋体" w:hAnsi="宋体" w:cs="宋体"/>
          <w:kern w:val="2"/>
          <w:sz w:val="24"/>
          <w:szCs w:val="24"/>
        </w:rPr>
        <w:t>六、响应文件递交的截止时间</w:t>
      </w:r>
      <w:r>
        <w:rPr>
          <w:rFonts w:hint="eastAsia" w:ascii="宋体" w:hAnsi="宋体" w:cs="宋体"/>
          <w:kern w:val="2"/>
          <w:sz w:val="24"/>
          <w:szCs w:val="24"/>
          <w:lang w:eastAsia="zh-CN"/>
        </w:rPr>
        <w:t>（</w:t>
      </w:r>
      <w:r>
        <w:rPr>
          <w:rFonts w:hint="eastAsia" w:ascii="宋体" w:hAnsi="宋体" w:cs="宋体"/>
          <w:kern w:val="2"/>
          <w:sz w:val="24"/>
          <w:szCs w:val="24"/>
          <w:lang w:val="en-US" w:eastAsia="zh-CN"/>
        </w:rPr>
        <w:t>开标时间</w:t>
      </w:r>
      <w:r>
        <w:rPr>
          <w:rFonts w:hint="eastAsia" w:ascii="宋体" w:hAnsi="宋体" w:cs="宋体"/>
          <w:kern w:val="2"/>
          <w:sz w:val="24"/>
          <w:szCs w:val="24"/>
          <w:lang w:eastAsia="zh-CN"/>
        </w:rPr>
        <w:t>）</w:t>
      </w:r>
      <w:r>
        <w:rPr>
          <w:rFonts w:hint="eastAsia" w:ascii="宋体" w:hAnsi="宋体" w:cs="宋体"/>
          <w:kern w:val="2"/>
          <w:sz w:val="24"/>
          <w:szCs w:val="24"/>
        </w:rPr>
        <w:t>及开评标地点</w:t>
      </w:r>
      <w:bookmarkEnd w:id="12"/>
    </w:p>
    <w:p w14:paraId="6A70A70A">
      <w:pPr>
        <w:wordWrap w:val="0"/>
        <w:spacing w:line="5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kern w:val="2"/>
          <w:sz w:val="24"/>
          <w:szCs w:val="24"/>
        </w:rPr>
        <w:t>1、响应文件递交</w:t>
      </w:r>
      <w:r>
        <w:rPr>
          <w:rFonts w:hint="eastAsia" w:ascii="宋体" w:hAnsi="宋体" w:cs="宋体"/>
          <w:color w:val="auto"/>
          <w:kern w:val="2"/>
          <w:sz w:val="24"/>
          <w:szCs w:val="24"/>
        </w:rPr>
        <w:t>的截止时间（开标时间）为</w:t>
      </w:r>
      <w:r>
        <w:rPr>
          <w:rFonts w:hint="eastAsia" w:ascii="宋体" w:hAnsi="宋体" w:cs="宋体"/>
          <w:color w:val="000000" w:themeColor="text1"/>
          <w:kern w:val="2"/>
          <w:sz w:val="24"/>
          <w:szCs w:val="24"/>
          <w14:textFill>
            <w14:solidFill>
              <w14:schemeClr w14:val="tx1"/>
            </w14:solidFill>
          </w14:textFill>
        </w:rPr>
        <w:t>202</w:t>
      </w:r>
      <w:r>
        <w:rPr>
          <w:rFonts w:hint="eastAsia" w:ascii="宋体" w:hAnsi="宋体" w:cs="宋体"/>
          <w:color w:val="000000" w:themeColor="text1"/>
          <w:kern w:val="2"/>
          <w:sz w:val="24"/>
          <w:szCs w:val="24"/>
          <w:lang w:val="en-US" w:eastAsia="zh-CN"/>
          <w14:textFill>
            <w14:solidFill>
              <w14:schemeClr w14:val="tx1"/>
            </w14:solidFill>
          </w14:textFill>
        </w:rPr>
        <w:t>6</w:t>
      </w:r>
      <w:r>
        <w:rPr>
          <w:rFonts w:hint="eastAsia" w:ascii="宋体" w:hAnsi="宋体" w:cs="宋体"/>
          <w:color w:val="000000" w:themeColor="text1"/>
          <w:kern w:val="2"/>
          <w:sz w:val="24"/>
          <w:szCs w:val="24"/>
          <w14:textFill>
            <w14:solidFill>
              <w14:schemeClr w14:val="tx1"/>
            </w14:solidFill>
          </w14:textFill>
        </w:rPr>
        <w:t>年</w:t>
      </w:r>
      <w:r>
        <w:rPr>
          <w:rFonts w:hint="eastAsia" w:ascii="宋体" w:hAnsi="宋体" w:cs="宋体"/>
          <w:color w:val="000000" w:themeColor="text1"/>
          <w:kern w:val="2"/>
          <w:sz w:val="24"/>
          <w:szCs w:val="24"/>
          <w:lang w:val="en-US" w:eastAsia="zh-CN"/>
          <w14:textFill>
            <w14:solidFill>
              <w14:schemeClr w14:val="tx1"/>
            </w14:solidFill>
          </w14:textFill>
        </w:rPr>
        <w:t>07</w:t>
      </w:r>
      <w:r>
        <w:rPr>
          <w:rFonts w:hint="eastAsia" w:ascii="宋体" w:hAnsi="宋体" w:cs="宋体"/>
          <w:color w:val="000000" w:themeColor="text1"/>
          <w:kern w:val="2"/>
          <w:sz w:val="24"/>
          <w:szCs w:val="24"/>
          <w14:textFill>
            <w14:solidFill>
              <w14:schemeClr w14:val="tx1"/>
            </w14:solidFill>
          </w14:textFill>
        </w:rPr>
        <w:t>月</w:t>
      </w:r>
      <w:r>
        <w:rPr>
          <w:rFonts w:hint="eastAsia" w:ascii="宋体" w:hAnsi="宋体" w:cs="宋体"/>
          <w:color w:val="000000" w:themeColor="text1"/>
          <w:kern w:val="2"/>
          <w:sz w:val="24"/>
          <w:szCs w:val="24"/>
          <w:lang w:val="en-US" w:eastAsia="zh-CN"/>
          <w14:textFill>
            <w14:solidFill>
              <w14:schemeClr w14:val="tx1"/>
            </w14:solidFill>
          </w14:textFill>
        </w:rPr>
        <w:t>07</w:t>
      </w:r>
      <w:r>
        <w:rPr>
          <w:rFonts w:hint="eastAsia" w:ascii="宋体" w:hAnsi="宋体" w:cs="宋体"/>
          <w:color w:val="000000" w:themeColor="text1"/>
          <w:kern w:val="2"/>
          <w:sz w:val="24"/>
          <w:szCs w:val="24"/>
          <w14:textFill>
            <w14:solidFill>
              <w14:schemeClr w14:val="tx1"/>
            </w14:solidFill>
          </w14:textFill>
        </w:rPr>
        <w:t>日08时40分；</w:t>
      </w:r>
    </w:p>
    <w:p w14:paraId="2311AB85">
      <w:pPr>
        <w:wordWrap w:val="0"/>
        <w:spacing w:line="5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2、开标地点: 卢氏县公共资源交易中心四楼第</w:t>
      </w:r>
      <w:r>
        <w:rPr>
          <w:rFonts w:hint="eastAsia" w:ascii="宋体" w:hAnsi="宋体" w:cs="宋体"/>
          <w:color w:val="000000" w:themeColor="text1"/>
          <w:kern w:val="2"/>
          <w:sz w:val="24"/>
          <w:szCs w:val="24"/>
          <w:lang w:val="en-US" w:eastAsia="zh-CN"/>
          <w14:textFill>
            <w14:solidFill>
              <w14:schemeClr w14:val="tx1"/>
            </w14:solidFill>
          </w14:textFill>
        </w:rPr>
        <w:t>一</w:t>
      </w:r>
      <w:r>
        <w:rPr>
          <w:rFonts w:hint="eastAsia" w:ascii="宋体" w:hAnsi="宋体" w:cs="宋体"/>
          <w:color w:val="000000" w:themeColor="text1"/>
          <w:kern w:val="2"/>
          <w:sz w:val="24"/>
          <w:szCs w:val="24"/>
          <w14:textFill>
            <w14:solidFill>
              <w14:schemeClr w14:val="tx1"/>
            </w14:solidFill>
          </w14:textFill>
        </w:rPr>
        <w:t>开标室；</w:t>
      </w:r>
    </w:p>
    <w:p w14:paraId="40CA6C72">
      <w:pPr>
        <w:wordWrap w:val="0"/>
        <w:spacing w:line="5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3、评标地点：卢氏县公共资源交易中心二楼第</w:t>
      </w:r>
      <w:r>
        <w:rPr>
          <w:rFonts w:hint="eastAsia" w:ascii="宋体" w:hAnsi="宋体" w:cs="宋体"/>
          <w:color w:val="000000" w:themeColor="text1"/>
          <w:kern w:val="2"/>
          <w:sz w:val="24"/>
          <w:szCs w:val="24"/>
          <w:lang w:val="en-US" w:eastAsia="zh-CN"/>
          <w14:textFill>
            <w14:solidFill>
              <w14:schemeClr w14:val="tx1"/>
            </w14:solidFill>
          </w14:textFill>
        </w:rPr>
        <w:t>一</w:t>
      </w:r>
      <w:r>
        <w:rPr>
          <w:rFonts w:hint="eastAsia" w:ascii="宋体" w:hAnsi="宋体" w:cs="宋体"/>
          <w:color w:val="000000" w:themeColor="text1"/>
          <w:kern w:val="2"/>
          <w:sz w:val="24"/>
          <w:szCs w:val="24"/>
          <w14:textFill>
            <w14:solidFill>
              <w14:schemeClr w14:val="tx1"/>
            </w14:solidFill>
          </w14:textFill>
        </w:rPr>
        <w:t>评标室。</w:t>
      </w:r>
    </w:p>
    <w:p w14:paraId="605C7738">
      <w:pPr>
        <w:wordWrap w:val="0"/>
        <w:spacing w:line="560" w:lineRule="exact"/>
        <w:ind w:firstLine="480" w:firstLineChars="200"/>
        <w:outlineLvl w:val="0"/>
        <w:rPr>
          <w:rFonts w:hint="eastAsia" w:ascii="宋体" w:hAnsi="宋体" w:eastAsia="宋体" w:cs="宋体"/>
          <w:kern w:val="2"/>
          <w:sz w:val="24"/>
          <w:szCs w:val="24"/>
          <w:lang w:eastAsia="zh-CN"/>
        </w:rPr>
      </w:pPr>
      <w:bookmarkStart w:id="13" w:name="_Toc19627"/>
      <w:bookmarkStart w:id="14" w:name="_Toc6158"/>
      <w:r>
        <w:rPr>
          <w:rFonts w:hint="eastAsia" w:ascii="宋体" w:hAnsi="宋体" w:cs="宋体"/>
          <w:kern w:val="2"/>
          <w:sz w:val="24"/>
          <w:szCs w:val="24"/>
        </w:rPr>
        <w:t>七、其他事项</w:t>
      </w:r>
      <w:bookmarkEnd w:id="13"/>
      <w:bookmarkEnd w:id="14"/>
    </w:p>
    <w:p w14:paraId="532C45D1">
      <w:pPr>
        <w:wordWrap w:val="0"/>
        <w:spacing w:line="560" w:lineRule="exact"/>
        <w:ind w:firstLine="480" w:firstLineChars="200"/>
        <w:outlineLvl w:val="9"/>
        <w:rPr>
          <w:rFonts w:ascii="宋体" w:hAnsi="宋体" w:cs="宋体"/>
          <w:kern w:val="2"/>
          <w:sz w:val="24"/>
          <w:szCs w:val="24"/>
        </w:rPr>
      </w:pPr>
      <w:r>
        <w:rPr>
          <w:rFonts w:hint="eastAsia" w:ascii="宋体" w:hAnsi="宋体" w:cs="宋体"/>
          <w:kern w:val="2"/>
          <w:sz w:val="24"/>
          <w:szCs w:val="24"/>
        </w:rPr>
        <w:t>1、供应商应仔细阅读操作手册，在本公告中要求的截止时间前完成。并充分考虑人为操作等因素，因供应商操作不当等问题造成的无法报名、无法下载磋商文件、无法开标等一切后果，由供应商自行承担；</w:t>
      </w:r>
    </w:p>
    <w:p w14:paraId="27A5956D">
      <w:pPr>
        <w:wordWrap w:val="0"/>
        <w:spacing w:line="560" w:lineRule="exact"/>
        <w:ind w:firstLine="480" w:firstLineChars="200"/>
        <w:outlineLvl w:val="9"/>
        <w:rPr>
          <w:rFonts w:ascii="宋体" w:hAnsi="宋体" w:cs="宋体"/>
          <w:kern w:val="2"/>
          <w:sz w:val="24"/>
          <w:szCs w:val="24"/>
        </w:rPr>
      </w:pPr>
      <w:r>
        <w:rPr>
          <w:rFonts w:hint="eastAsia" w:ascii="宋体" w:hAnsi="宋体" w:cs="宋体"/>
          <w:kern w:val="2"/>
          <w:sz w:val="24"/>
          <w:szCs w:val="24"/>
        </w:rPr>
        <w:t>2、开标所发生一切费用由各供应商自行承担，并承担相应的风险和责任；</w:t>
      </w:r>
    </w:p>
    <w:p w14:paraId="310243C9">
      <w:pPr>
        <w:wordWrap w:val="0"/>
        <w:spacing w:line="560" w:lineRule="exact"/>
        <w:ind w:firstLine="480" w:firstLineChars="200"/>
        <w:outlineLvl w:val="9"/>
        <w:rPr>
          <w:rFonts w:ascii="宋体" w:hAnsi="宋体" w:cs="宋体"/>
          <w:kern w:val="2"/>
          <w:sz w:val="24"/>
          <w:szCs w:val="24"/>
        </w:rPr>
      </w:pPr>
      <w:r>
        <w:rPr>
          <w:rFonts w:hint="eastAsia" w:ascii="宋体" w:hAnsi="宋体" w:cs="宋体"/>
          <w:kern w:val="2"/>
          <w:sz w:val="24"/>
          <w:szCs w:val="24"/>
        </w:rPr>
        <w:t>3、供应商递交的响应文件不论中标与否均不予退还。</w:t>
      </w:r>
    </w:p>
    <w:p w14:paraId="5674B365">
      <w:pPr>
        <w:wordWrap w:val="0"/>
        <w:spacing w:line="560" w:lineRule="exact"/>
        <w:ind w:firstLine="480" w:firstLineChars="200"/>
        <w:outlineLvl w:val="9"/>
        <w:rPr>
          <w:rFonts w:ascii="宋体" w:hAnsi="宋体" w:cs="宋体"/>
          <w:kern w:val="2"/>
          <w:sz w:val="24"/>
          <w:szCs w:val="24"/>
        </w:rPr>
      </w:pPr>
      <w:r>
        <w:rPr>
          <w:rFonts w:hint="eastAsia" w:ascii="宋体" w:hAnsi="宋体" w:cs="宋体"/>
          <w:kern w:val="2"/>
          <w:sz w:val="24"/>
          <w:szCs w:val="24"/>
        </w:rPr>
        <w:t>温馨提示：本项目为电子化、无纸化交易项目，开标时不再接受任何纸质资料，为保证您能开标成功，请需仔细阅读磋商文件和三门峡市公共资源交易中心官网业务办理指南。</w:t>
      </w:r>
    </w:p>
    <w:p w14:paraId="23D60C23">
      <w:pPr>
        <w:wordWrap w:val="0"/>
        <w:spacing w:line="560" w:lineRule="exact"/>
        <w:ind w:firstLine="480" w:firstLineChars="200"/>
        <w:outlineLvl w:val="0"/>
        <w:rPr>
          <w:rFonts w:hint="eastAsia" w:ascii="宋体" w:hAnsi="宋体" w:eastAsia="宋体" w:cs="宋体"/>
          <w:kern w:val="2"/>
          <w:sz w:val="24"/>
          <w:szCs w:val="24"/>
          <w:lang w:eastAsia="zh-CN"/>
        </w:rPr>
      </w:pPr>
      <w:bookmarkStart w:id="15" w:name="_Toc23645"/>
      <w:r>
        <w:rPr>
          <w:rFonts w:hint="eastAsia" w:ascii="宋体" w:hAnsi="宋体" w:cs="宋体"/>
          <w:kern w:val="2"/>
          <w:sz w:val="24"/>
          <w:szCs w:val="24"/>
        </w:rPr>
        <w:t>八、发布公告的媒介</w:t>
      </w:r>
      <w:bookmarkEnd w:id="15"/>
    </w:p>
    <w:p w14:paraId="433B0281">
      <w:pPr>
        <w:wordWrap w:val="0"/>
        <w:spacing w:line="560" w:lineRule="exact"/>
        <w:ind w:firstLine="480" w:firstLineChars="200"/>
        <w:rPr>
          <w:rFonts w:ascii="宋体" w:hAnsi="宋体" w:cs="宋体"/>
          <w:kern w:val="2"/>
          <w:sz w:val="24"/>
          <w:szCs w:val="24"/>
        </w:rPr>
      </w:pPr>
      <w:r>
        <w:rPr>
          <w:rFonts w:hint="eastAsia" w:ascii="宋体" w:hAnsi="宋体" w:cs="宋体"/>
          <w:kern w:val="2"/>
          <w:sz w:val="24"/>
          <w:szCs w:val="24"/>
        </w:rPr>
        <w:t>本次磋商公告同时在</w:t>
      </w:r>
      <w:r>
        <w:rPr>
          <w:rFonts w:hint="eastAsia" w:ascii="宋体" w:hAnsi="宋体" w:cs="宋体"/>
          <w:kern w:val="2"/>
          <w:sz w:val="24"/>
          <w:szCs w:val="24"/>
          <w:lang w:eastAsia="zh-CN"/>
        </w:rPr>
        <w:t>《三门峡市公共资源交易中心网》、《河南省政府采购网》、《中国招标投标公共服务平台》</w:t>
      </w:r>
      <w:r>
        <w:rPr>
          <w:rFonts w:hint="eastAsia" w:ascii="宋体" w:hAnsi="宋体" w:cs="宋体"/>
          <w:kern w:val="2"/>
          <w:sz w:val="24"/>
          <w:szCs w:val="24"/>
        </w:rPr>
        <w:t>上</w:t>
      </w:r>
      <w:r>
        <w:rPr>
          <w:rFonts w:hint="eastAsia" w:ascii="宋体" w:hAnsi="宋体" w:cs="宋体"/>
          <w:kern w:val="2"/>
          <w:sz w:val="24"/>
          <w:szCs w:val="24"/>
          <w:lang w:val="en-US" w:eastAsia="zh-CN"/>
        </w:rPr>
        <w:t>同时</w:t>
      </w:r>
      <w:r>
        <w:rPr>
          <w:rFonts w:hint="eastAsia" w:ascii="宋体" w:hAnsi="宋体" w:cs="宋体"/>
          <w:kern w:val="2"/>
          <w:sz w:val="24"/>
          <w:szCs w:val="24"/>
        </w:rPr>
        <w:t>发布。</w:t>
      </w:r>
    </w:p>
    <w:p w14:paraId="2010B793">
      <w:pPr>
        <w:wordWrap w:val="0"/>
        <w:spacing w:line="560" w:lineRule="exact"/>
        <w:ind w:firstLine="480" w:firstLineChars="200"/>
        <w:outlineLvl w:val="0"/>
        <w:rPr>
          <w:rFonts w:ascii="宋体" w:hAnsi="宋体" w:cs="宋体"/>
          <w:kern w:val="2"/>
          <w:sz w:val="24"/>
          <w:szCs w:val="24"/>
        </w:rPr>
      </w:pPr>
      <w:bookmarkStart w:id="16" w:name="_Toc1962"/>
      <w:r>
        <w:rPr>
          <w:rFonts w:hint="eastAsia" w:ascii="宋体" w:hAnsi="宋体" w:cs="宋体"/>
          <w:kern w:val="2"/>
          <w:sz w:val="24"/>
          <w:szCs w:val="24"/>
        </w:rPr>
        <w:t>九、联系方式</w:t>
      </w:r>
      <w:bookmarkEnd w:id="16"/>
    </w:p>
    <w:p w14:paraId="57D92C4B">
      <w:pPr>
        <w:wordWrap w:val="0"/>
        <w:spacing w:line="560" w:lineRule="exact"/>
        <w:ind w:firstLine="480" w:firstLineChars="200"/>
        <w:rPr>
          <w:rFonts w:hint="eastAsia" w:ascii="宋体" w:hAnsi="宋体" w:cs="宋体"/>
          <w:kern w:val="2"/>
          <w:sz w:val="24"/>
          <w:szCs w:val="24"/>
        </w:rPr>
      </w:pPr>
      <w:r>
        <w:rPr>
          <w:rFonts w:hint="eastAsia" w:ascii="宋体" w:hAnsi="宋体" w:cs="宋体"/>
          <w:kern w:val="2"/>
          <w:sz w:val="24"/>
          <w:szCs w:val="24"/>
        </w:rPr>
        <w:t>监督单位：卢氏县政府采购办公室</w:t>
      </w:r>
    </w:p>
    <w:p w14:paraId="132DAEB5">
      <w:pPr>
        <w:wordWrap w:val="0"/>
        <w:spacing w:line="560" w:lineRule="exact"/>
        <w:ind w:firstLine="480" w:firstLineChars="200"/>
        <w:rPr>
          <w:rFonts w:hint="eastAsia" w:ascii="宋体" w:hAnsi="宋体" w:cs="宋体"/>
          <w:kern w:val="2"/>
          <w:sz w:val="24"/>
          <w:szCs w:val="24"/>
        </w:rPr>
      </w:pPr>
      <w:r>
        <w:rPr>
          <w:rFonts w:hint="eastAsia" w:ascii="宋体" w:hAnsi="宋体" w:cs="宋体"/>
          <w:kern w:val="2"/>
          <w:sz w:val="24"/>
          <w:szCs w:val="24"/>
        </w:rPr>
        <w:t>联系人：郭亚楠</w:t>
      </w:r>
    </w:p>
    <w:p w14:paraId="70CB6D1A">
      <w:pPr>
        <w:wordWrap w:val="0"/>
        <w:spacing w:line="560" w:lineRule="exact"/>
        <w:ind w:firstLine="480" w:firstLineChars="200"/>
        <w:rPr>
          <w:rFonts w:hint="eastAsia" w:ascii="宋体" w:hAnsi="宋体" w:cs="宋体"/>
          <w:kern w:val="2"/>
          <w:sz w:val="24"/>
          <w:szCs w:val="24"/>
        </w:rPr>
      </w:pPr>
      <w:r>
        <w:rPr>
          <w:rFonts w:hint="eastAsia" w:ascii="宋体" w:hAnsi="宋体" w:cs="宋体"/>
          <w:kern w:val="2"/>
          <w:sz w:val="24"/>
          <w:szCs w:val="24"/>
        </w:rPr>
        <w:t xml:space="preserve">电话：0398-7863556 </w:t>
      </w:r>
    </w:p>
    <w:p w14:paraId="217AAD4C">
      <w:pPr>
        <w:wordWrap w:val="0"/>
        <w:spacing w:line="560" w:lineRule="exact"/>
        <w:ind w:firstLine="480" w:firstLineChars="200"/>
        <w:rPr>
          <w:rFonts w:hint="eastAsia" w:ascii="宋体" w:hAnsi="宋体" w:cs="宋体"/>
          <w:kern w:val="2"/>
          <w:sz w:val="24"/>
          <w:szCs w:val="24"/>
        </w:rPr>
      </w:pPr>
      <w:r>
        <w:rPr>
          <w:rFonts w:hint="eastAsia" w:ascii="宋体" w:hAnsi="宋体" w:cs="宋体"/>
          <w:kern w:val="2"/>
          <w:sz w:val="24"/>
          <w:szCs w:val="24"/>
        </w:rPr>
        <w:t>地址：卢氏县城关镇解放路中段</w:t>
      </w:r>
    </w:p>
    <w:p w14:paraId="3C8503BC">
      <w:pPr>
        <w:wordWrap w:val="0"/>
        <w:spacing w:line="560" w:lineRule="exact"/>
        <w:ind w:firstLine="480" w:firstLineChars="200"/>
        <w:rPr>
          <w:rFonts w:hint="eastAsia" w:ascii="宋体" w:hAnsi="宋体" w:cs="宋体"/>
          <w:kern w:val="2"/>
          <w:sz w:val="24"/>
          <w:szCs w:val="24"/>
          <w:lang w:val="en-US" w:eastAsia="zh-CN"/>
        </w:rPr>
      </w:pPr>
      <w:r>
        <w:rPr>
          <w:rFonts w:hint="eastAsia" w:ascii="宋体" w:hAnsi="宋体" w:cs="宋体"/>
          <w:kern w:val="2"/>
          <w:sz w:val="24"/>
          <w:szCs w:val="24"/>
        </w:rPr>
        <w:t>监督单位：</w:t>
      </w:r>
      <w:r>
        <w:rPr>
          <w:rFonts w:hint="eastAsia" w:ascii="宋体" w:hAnsi="宋体" w:cs="宋体"/>
          <w:kern w:val="2"/>
          <w:sz w:val="24"/>
          <w:szCs w:val="24"/>
          <w:lang w:val="en-US" w:eastAsia="zh-CN"/>
        </w:rPr>
        <w:t>卢氏县公安局督察审计大队</w:t>
      </w:r>
    </w:p>
    <w:p w14:paraId="33E2AFB2">
      <w:pPr>
        <w:wordWrap w:val="0"/>
        <w:spacing w:line="560" w:lineRule="exact"/>
        <w:ind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联系人：牛永帅</w:t>
      </w:r>
    </w:p>
    <w:p w14:paraId="45A9C89B">
      <w:pPr>
        <w:wordWrap w:val="0"/>
        <w:spacing w:line="560" w:lineRule="exact"/>
        <w:ind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电话：18803983710</w:t>
      </w:r>
    </w:p>
    <w:p w14:paraId="10389B40">
      <w:pPr>
        <w:wordWrap w:val="0"/>
        <w:spacing w:line="560" w:lineRule="exact"/>
        <w:ind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地址：河南省三门峡市卢氏县靖华西路</w:t>
      </w:r>
    </w:p>
    <w:p w14:paraId="0F63550E">
      <w:pPr>
        <w:wordWrap w:val="0"/>
        <w:spacing w:line="560" w:lineRule="exact"/>
        <w:ind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采购人：卢氏县公安局</w:t>
      </w:r>
    </w:p>
    <w:p w14:paraId="1AA1A4AA">
      <w:pPr>
        <w:wordWrap w:val="0"/>
        <w:spacing w:line="560" w:lineRule="exact"/>
        <w:ind w:firstLine="480" w:firstLineChars="200"/>
        <w:rPr>
          <w:rFonts w:hint="default" w:ascii="宋体" w:hAnsi="宋体" w:cs="宋体"/>
          <w:kern w:val="2"/>
          <w:sz w:val="24"/>
          <w:szCs w:val="24"/>
          <w:lang w:val="en-US" w:eastAsia="zh-CN"/>
        </w:rPr>
      </w:pPr>
      <w:r>
        <w:rPr>
          <w:rFonts w:hint="eastAsia" w:ascii="宋体" w:hAnsi="宋体" w:cs="宋体"/>
          <w:kern w:val="2"/>
          <w:sz w:val="24"/>
          <w:szCs w:val="24"/>
          <w:lang w:val="en-US" w:eastAsia="zh-CN"/>
        </w:rPr>
        <w:t>联系人：</w:t>
      </w:r>
      <w:bookmarkStart w:id="17" w:name="OLE_LINK1"/>
      <w:r>
        <w:rPr>
          <w:rFonts w:hint="eastAsia" w:ascii="宋体" w:hAnsi="宋体" w:cs="宋体"/>
          <w:kern w:val="2"/>
          <w:sz w:val="24"/>
          <w:szCs w:val="24"/>
          <w:lang w:val="en-US" w:eastAsia="zh-CN"/>
        </w:rPr>
        <w:t>吕佳霖</w:t>
      </w:r>
      <w:bookmarkEnd w:id="17"/>
    </w:p>
    <w:p w14:paraId="092928D3">
      <w:pPr>
        <w:wordWrap w:val="0"/>
        <w:spacing w:line="560" w:lineRule="exact"/>
        <w:ind w:firstLine="480" w:firstLineChars="200"/>
        <w:rPr>
          <w:rFonts w:hint="default" w:ascii="宋体" w:hAnsi="宋体" w:cs="宋体"/>
          <w:kern w:val="2"/>
          <w:sz w:val="24"/>
          <w:szCs w:val="24"/>
          <w:lang w:val="en-US" w:eastAsia="zh-CN"/>
        </w:rPr>
      </w:pPr>
      <w:r>
        <w:rPr>
          <w:rFonts w:hint="eastAsia" w:ascii="宋体" w:hAnsi="宋体" w:cs="宋体"/>
          <w:kern w:val="2"/>
          <w:sz w:val="24"/>
          <w:szCs w:val="24"/>
          <w:lang w:val="en-US" w:eastAsia="zh-CN"/>
        </w:rPr>
        <w:t>电话：</w:t>
      </w:r>
      <w:bookmarkStart w:id="18" w:name="OLE_LINK3"/>
      <w:r>
        <w:rPr>
          <w:rFonts w:hint="eastAsia" w:ascii="宋体" w:hAnsi="宋体" w:cs="宋体"/>
          <w:kern w:val="2"/>
          <w:sz w:val="24"/>
          <w:szCs w:val="24"/>
          <w:lang w:val="en-US" w:eastAsia="zh-CN"/>
        </w:rPr>
        <w:t>17839808880</w:t>
      </w:r>
      <w:bookmarkEnd w:id="18"/>
    </w:p>
    <w:p w14:paraId="54AF30D7">
      <w:pPr>
        <w:wordWrap w:val="0"/>
        <w:spacing w:line="560" w:lineRule="exact"/>
        <w:ind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地址：河南省三门峡市卢氏县靖华西路</w:t>
      </w:r>
    </w:p>
    <w:p w14:paraId="2C06240B">
      <w:pPr>
        <w:wordWrap w:val="0"/>
        <w:spacing w:line="560" w:lineRule="exact"/>
        <w:ind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采购代理机构：中大宇辰项目管理有限公司</w:t>
      </w:r>
    </w:p>
    <w:p w14:paraId="5626959A">
      <w:pPr>
        <w:wordWrap w:val="0"/>
        <w:spacing w:line="560" w:lineRule="exact"/>
        <w:ind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联系人：杨伟</w:t>
      </w:r>
    </w:p>
    <w:p w14:paraId="258CECE6">
      <w:pPr>
        <w:wordWrap w:val="0"/>
        <w:spacing w:line="560" w:lineRule="exact"/>
        <w:ind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电话：13781036331、18239890957</w:t>
      </w:r>
    </w:p>
    <w:p w14:paraId="6BC742B1">
      <w:pPr>
        <w:wordWrap w:val="0"/>
        <w:spacing w:line="560" w:lineRule="exact"/>
        <w:ind w:firstLine="480" w:firstLineChars="200"/>
        <w:rPr>
          <w:rFonts w:hint="eastAsia" w:ascii="宋体" w:hAnsi="宋体" w:eastAsia="宋体" w:cs="宋体"/>
          <w:kern w:val="2"/>
          <w:sz w:val="24"/>
          <w:szCs w:val="24"/>
          <w:lang w:eastAsia="zh-CN"/>
        </w:rPr>
      </w:pPr>
      <w:r>
        <w:rPr>
          <w:rFonts w:hint="eastAsia" w:ascii="宋体" w:hAnsi="宋体" w:cs="宋体"/>
          <w:kern w:val="2"/>
          <w:sz w:val="24"/>
          <w:szCs w:val="24"/>
          <w:lang w:val="en-US" w:eastAsia="zh-CN"/>
        </w:rPr>
        <w:t>地址：河南省郑州市郑东新区祥盛街10号（聚龙城）4号楼1304室</w:t>
      </w:r>
    </w:p>
    <w:p w14:paraId="5CE66259">
      <w:pPr>
        <w:keepNext/>
        <w:widowControl w:val="0"/>
        <w:spacing w:before="100" w:beforeAutospacing="1" w:after="100" w:afterAutospacing="1" w:line="360" w:lineRule="auto"/>
        <w:jc w:val="both"/>
        <w:outlineLvl w:val="9"/>
        <w:rPr>
          <w:rFonts w:ascii="黑体" w:cs="宋体"/>
          <w:b/>
          <w:kern w:val="2"/>
          <w:sz w:val="24"/>
          <w:szCs w:val="24"/>
        </w:rPr>
      </w:pPr>
    </w:p>
    <w:p w14:paraId="1595C558">
      <w:pPr>
        <w:pStyle w:val="16"/>
        <w:ind w:left="400" w:firstLine="400"/>
      </w:pPr>
    </w:p>
    <w:p w14:paraId="379178DA">
      <w:pPr>
        <w:keepNext/>
        <w:widowControl w:val="0"/>
        <w:spacing w:before="100" w:beforeAutospacing="1" w:after="100" w:afterAutospacing="1" w:line="360" w:lineRule="auto"/>
        <w:jc w:val="both"/>
        <w:outlineLvl w:val="9"/>
        <w:rPr>
          <w:rFonts w:ascii="黑体" w:cs="宋体"/>
          <w:b/>
          <w:kern w:val="2"/>
          <w:sz w:val="24"/>
          <w:szCs w:val="24"/>
        </w:rPr>
      </w:pPr>
    </w:p>
    <w:p w14:paraId="34B7672D">
      <w:pPr>
        <w:pStyle w:val="16"/>
        <w:ind w:left="400" w:firstLine="400"/>
      </w:pPr>
    </w:p>
    <w:p w14:paraId="445B6B55">
      <w:pPr>
        <w:keepNext/>
        <w:widowControl w:val="0"/>
        <w:spacing w:before="100" w:beforeAutospacing="1" w:after="100" w:afterAutospacing="1" w:line="360" w:lineRule="auto"/>
        <w:ind w:left="0" w:leftChars="0" w:firstLine="0" w:firstLineChars="0"/>
        <w:jc w:val="center"/>
        <w:outlineLvl w:val="0"/>
        <w:rPr>
          <w:rFonts w:ascii="黑体" w:cs="黑体"/>
          <w:b/>
          <w:sz w:val="28"/>
          <w:szCs w:val="28"/>
        </w:rPr>
      </w:pPr>
      <w:r>
        <w:rPr>
          <w:rFonts w:hint="eastAsia" w:ascii="黑体" w:cs="宋体"/>
          <w:b/>
          <w:kern w:val="2"/>
          <w:sz w:val="24"/>
          <w:szCs w:val="24"/>
        </w:rPr>
        <w:br w:type="page"/>
      </w:r>
      <w:bookmarkStart w:id="19" w:name="_Toc6662"/>
      <w:r>
        <w:rPr>
          <w:rFonts w:hint="eastAsia" w:ascii="黑体" w:cs="宋体"/>
          <w:b/>
          <w:kern w:val="2"/>
          <w:sz w:val="36"/>
          <w:szCs w:val="36"/>
        </w:rPr>
        <w:t>第二章</w:t>
      </w:r>
      <w:r>
        <w:rPr>
          <w:rFonts w:hint="eastAsia" w:ascii="黑体" w:cs="黑体"/>
          <w:b/>
          <w:kern w:val="2"/>
          <w:sz w:val="36"/>
          <w:szCs w:val="36"/>
        </w:rPr>
        <w:t xml:space="preserve">    </w:t>
      </w:r>
      <w:r>
        <w:rPr>
          <w:rFonts w:hint="eastAsia" w:ascii="黑体" w:cs="宋体"/>
          <w:b/>
          <w:kern w:val="2"/>
          <w:sz w:val="36"/>
          <w:szCs w:val="36"/>
        </w:rPr>
        <w:t>供应商须知</w:t>
      </w:r>
      <w:bookmarkEnd w:id="19"/>
    </w:p>
    <w:p w14:paraId="594FC52A">
      <w:pPr>
        <w:keepNext/>
        <w:keepLines/>
        <w:widowControl w:val="0"/>
        <w:spacing w:before="20" w:after="20" w:line="360" w:lineRule="auto"/>
        <w:ind w:left="0" w:leftChars="0" w:firstLine="0" w:firstLineChars="0"/>
        <w:jc w:val="center"/>
        <w:outlineLvl w:val="9"/>
        <w:rPr>
          <w:rFonts w:ascii="宋体" w:hAnsi="宋体"/>
          <w:b/>
          <w:sz w:val="28"/>
          <w:szCs w:val="28"/>
        </w:rPr>
      </w:pPr>
      <w:bookmarkStart w:id="20" w:name="_Toc461977413"/>
      <w:bookmarkEnd w:id="20"/>
      <w:r>
        <w:rPr>
          <w:rFonts w:hint="eastAsia" w:ascii="宋体" w:hAnsi="宋体" w:cs="宋体"/>
          <w:b/>
          <w:kern w:val="2"/>
          <w:sz w:val="28"/>
          <w:szCs w:val="28"/>
        </w:rPr>
        <w:t>供应商须知前附表</w:t>
      </w:r>
    </w:p>
    <w:tbl>
      <w:tblPr>
        <w:tblStyle w:val="17"/>
        <w:tblW w:w="9486" w:type="dxa"/>
        <w:jc w:val="center"/>
        <w:tblLayout w:type="fixed"/>
        <w:tblCellMar>
          <w:top w:w="0" w:type="dxa"/>
          <w:left w:w="108" w:type="dxa"/>
          <w:bottom w:w="0" w:type="dxa"/>
          <w:right w:w="108" w:type="dxa"/>
        </w:tblCellMar>
      </w:tblPr>
      <w:tblGrid>
        <w:gridCol w:w="773"/>
        <w:gridCol w:w="2034"/>
        <w:gridCol w:w="6679"/>
      </w:tblGrid>
      <w:tr w14:paraId="05B619A1">
        <w:tblPrEx>
          <w:tblCellMar>
            <w:top w:w="0" w:type="dxa"/>
            <w:left w:w="108" w:type="dxa"/>
            <w:bottom w:w="0" w:type="dxa"/>
            <w:right w:w="108" w:type="dxa"/>
          </w:tblCellMar>
        </w:tblPrEx>
        <w:trPr>
          <w:cantSplit/>
          <w:trHeight w:val="697" w:hRule="atLeast"/>
          <w:jc w:val="center"/>
        </w:trPr>
        <w:tc>
          <w:tcPr>
            <w:tcW w:w="773" w:type="dxa"/>
            <w:tcBorders>
              <w:top w:val="single" w:color="auto" w:sz="12" w:space="0"/>
              <w:left w:val="single" w:color="auto" w:sz="12" w:space="0"/>
              <w:bottom w:val="single" w:color="auto" w:sz="6" w:space="0"/>
              <w:right w:val="single" w:color="auto" w:sz="6" w:space="0"/>
            </w:tcBorders>
            <w:vAlign w:val="center"/>
          </w:tcPr>
          <w:p w14:paraId="7CFFC426">
            <w:pPr>
              <w:adjustRightInd w:val="0"/>
              <w:spacing w:line="400" w:lineRule="exact"/>
              <w:ind w:left="3" w:hanging="2" w:hangingChars="1"/>
              <w:jc w:val="center"/>
              <w:rPr>
                <w:rFonts w:ascii="宋体" w:hAnsi="宋体" w:cs="宋体"/>
                <w:spacing w:val="6"/>
                <w:kern w:val="2"/>
                <w:sz w:val="24"/>
                <w:szCs w:val="24"/>
              </w:rPr>
            </w:pPr>
            <w:r>
              <w:rPr>
                <w:rFonts w:ascii="宋体" w:hAnsi="宋体" w:cs="宋体"/>
                <w:spacing w:val="6"/>
                <w:kern w:val="2"/>
                <w:sz w:val="24"/>
                <w:szCs w:val="24"/>
              </w:rPr>
              <w:t>条款</w:t>
            </w:r>
          </w:p>
        </w:tc>
        <w:tc>
          <w:tcPr>
            <w:tcW w:w="2034" w:type="dxa"/>
            <w:tcBorders>
              <w:top w:val="single" w:color="auto" w:sz="12" w:space="0"/>
              <w:left w:val="single" w:color="auto" w:sz="6" w:space="0"/>
              <w:bottom w:val="single" w:color="auto" w:sz="6" w:space="0"/>
              <w:right w:val="single" w:color="auto" w:sz="6" w:space="0"/>
            </w:tcBorders>
            <w:vAlign w:val="center"/>
          </w:tcPr>
          <w:p w14:paraId="68DC05EE">
            <w:pPr>
              <w:adjustRightInd w:val="0"/>
              <w:spacing w:line="400" w:lineRule="exact"/>
              <w:ind w:left="3" w:hanging="2" w:hangingChars="1"/>
              <w:jc w:val="center"/>
              <w:rPr>
                <w:rFonts w:ascii="宋体" w:hAnsi="宋体" w:cs="宋体"/>
                <w:spacing w:val="6"/>
                <w:kern w:val="2"/>
                <w:sz w:val="24"/>
                <w:szCs w:val="24"/>
              </w:rPr>
            </w:pPr>
            <w:r>
              <w:rPr>
                <w:rFonts w:ascii="宋体" w:hAnsi="宋体" w:cs="宋体"/>
                <w:spacing w:val="6"/>
                <w:kern w:val="2"/>
                <w:sz w:val="24"/>
                <w:szCs w:val="24"/>
              </w:rPr>
              <w:t>条款号</w:t>
            </w:r>
          </w:p>
        </w:tc>
        <w:tc>
          <w:tcPr>
            <w:tcW w:w="6679" w:type="dxa"/>
            <w:tcBorders>
              <w:top w:val="single" w:color="auto" w:sz="12" w:space="0"/>
              <w:left w:val="single" w:color="auto" w:sz="6" w:space="0"/>
              <w:bottom w:val="single" w:color="auto" w:sz="6" w:space="0"/>
              <w:right w:val="single" w:color="auto" w:sz="12" w:space="0"/>
            </w:tcBorders>
            <w:vAlign w:val="center"/>
          </w:tcPr>
          <w:p w14:paraId="7D3A1181">
            <w:pPr>
              <w:adjustRightInd w:val="0"/>
              <w:spacing w:line="400" w:lineRule="exact"/>
              <w:ind w:left="3" w:hanging="2" w:hangingChars="1"/>
              <w:jc w:val="center"/>
              <w:rPr>
                <w:rFonts w:ascii="宋体" w:hAnsi="宋体" w:cs="宋体"/>
                <w:spacing w:val="6"/>
                <w:kern w:val="2"/>
                <w:sz w:val="24"/>
                <w:szCs w:val="24"/>
              </w:rPr>
            </w:pPr>
            <w:r>
              <w:rPr>
                <w:rFonts w:ascii="宋体" w:hAnsi="宋体" w:cs="宋体"/>
                <w:spacing w:val="6"/>
                <w:kern w:val="2"/>
                <w:sz w:val="24"/>
                <w:szCs w:val="24"/>
              </w:rPr>
              <w:t>编列内容</w:t>
            </w:r>
          </w:p>
        </w:tc>
      </w:tr>
      <w:tr w14:paraId="53290315">
        <w:tblPrEx>
          <w:tblCellMar>
            <w:top w:w="0" w:type="dxa"/>
            <w:left w:w="108" w:type="dxa"/>
            <w:bottom w:w="0" w:type="dxa"/>
            <w:right w:w="108" w:type="dxa"/>
          </w:tblCellMar>
        </w:tblPrEx>
        <w:trPr>
          <w:cantSplit/>
          <w:trHeight w:val="563"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6C6D4DDA">
            <w:pPr>
              <w:widowControl w:val="0"/>
              <w:adjustRightInd w:val="0"/>
              <w:spacing w:line="400" w:lineRule="exact"/>
              <w:ind w:left="0" w:leftChars="0" w:firstLine="0" w:firstLineChars="0"/>
              <w:jc w:val="center"/>
              <w:rPr>
                <w:rFonts w:ascii="宋体" w:hAnsi="宋体" w:cs="宋体"/>
                <w:spacing w:val="6"/>
                <w:kern w:val="2"/>
                <w:sz w:val="24"/>
                <w:szCs w:val="24"/>
              </w:rPr>
            </w:pPr>
            <w:r>
              <w:rPr>
                <w:rFonts w:hint="eastAsia" w:ascii="宋体" w:hAnsi="宋体" w:cs="宋体"/>
                <w:spacing w:val="6"/>
                <w:kern w:val="2"/>
                <w:sz w:val="24"/>
                <w:szCs w:val="24"/>
              </w:rPr>
              <w:t>1</w:t>
            </w:r>
          </w:p>
        </w:tc>
        <w:tc>
          <w:tcPr>
            <w:tcW w:w="2034" w:type="dxa"/>
            <w:tcBorders>
              <w:top w:val="single" w:color="auto" w:sz="6" w:space="0"/>
              <w:left w:val="single" w:color="auto" w:sz="6" w:space="0"/>
              <w:bottom w:val="single" w:color="auto" w:sz="6" w:space="0"/>
              <w:right w:val="single" w:color="auto" w:sz="6" w:space="0"/>
            </w:tcBorders>
            <w:vAlign w:val="center"/>
          </w:tcPr>
          <w:p w14:paraId="4A866512">
            <w:pPr>
              <w:adjustRightInd w:val="0"/>
              <w:spacing w:line="400" w:lineRule="exact"/>
              <w:ind w:left="3" w:hanging="2" w:hangingChars="1"/>
              <w:jc w:val="center"/>
              <w:rPr>
                <w:rFonts w:ascii="宋体" w:hAnsi="宋体" w:cs="宋体"/>
                <w:spacing w:val="6"/>
                <w:kern w:val="2"/>
                <w:sz w:val="24"/>
                <w:szCs w:val="24"/>
              </w:rPr>
            </w:pPr>
            <w:r>
              <w:rPr>
                <w:rFonts w:hint="eastAsia" w:ascii="宋体" w:hAnsi="宋体" w:cs="宋体"/>
                <w:spacing w:val="6"/>
                <w:kern w:val="2"/>
                <w:sz w:val="24"/>
                <w:szCs w:val="24"/>
              </w:rPr>
              <w:t>采购人</w:t>
            </w:r>
          </w:p>
        </w:tc>
        <w:tc>
          <w:tcPr>
            <w:tcW w:w="6679" w:type="dxa"/>
            <w:tcBorders>
              <w:top w:val="single" w:color="auto" w:sz="6" w:space="0"/>
              <w:left w:val="single" w:color="auto" w:sz="6" w:space="0"/>
              <w:bottom w:val="single" w:color="auto" w:sz="6" w:space="0"/>
              <w:right w:val="single" w:color="auto" w:sz="12" w:space="0"/>
            </w:tcBorders>
            <w:vAlign w:val="center"/>
          </w:tcPr>
          <w:p w14:paraId="71E9E0B7">
            <w:pPr>
              <w:spacing w:line="400" w:lineRule="exact"/>
              <w:ind w:left="0" w:leftChars="0" w:firstLine="0" w:firstLineChars="0"/>
              <w:rPr>
                <w:rFonts w:hint="eastAsia" w:ascii="宋体" w:hAnsi="宋体" w:cs="宋体"/>
                <w:spacing w:val="6"/>
                <w:kern w:val="2"/>
                <w:sz w:val="24"/>
                <w:szCs w:val="24"/>
                <w:lang w:val="en-US" w:eastAsia="zh-CN"/>
              </w:rPr>
            </w:pPr>
            <w:r>
              <w:rPr>
                <w:rFonts w:hint="eastAsia" w:ascii="宋体" w:hAnsi="宋体" w:cs="宋体"/>
                <w:spacing w:val="6"/>
                <w:kern w:val="2"/>
                <w:sz w:val="24"/>
                <w:szCs w:val="24"/>
              </w:rPr>
              <w:t>采购人：</w:t>
            </w:r>
            <w:r>
              <w:rPr>
                <w:rFonts w:hint="eastAsia" w:ascii="宋体" w:hAnsi="宋体" w:cs="宋体"/>
                <w:spacing w:val="6"/>
                <w:kern w:val="2"/>
                <w:sz w:val="24"/>
                <w:szCs w:val="24"/>
                <w:lang w:val="en-US" w:eastAsia="zh-CN"/>
              </w:rPr>
              <w:t>卢氏县公安局</w:t>
            </w:r>
          </w:p>
          <w:p w14:paraId="2E8D353F">
            <w:pPr>
              <w:spacing w:line="400" w:lineRule="exact"/>
              <w:ind w:left="0" w:leftChars="0" w:firstLine="0" w:firstLineChars="0"/>
              <w:rPr>
                <w:rFonts w:hint="eastAsia" w:ascii="宋体" w:hAnsi="宋体" w:cs="宋体"/>
                <w:spacing w:val="6"/>
                <w:kern w:val="2"/>
                <w:sz w:val="24"/>
                <w:szCs w:val="24"/>
                <w:lang w:val="en-US" w:eastAsia="zh-CN"/>
              </w:rPr>
            </w:pPr>
            <w:r>
              <w:rPr>
                <w:rFonts w:hint="eastAsia" w:ascii="宋体" w:hAnsi="宋体" w:cs="宋体"/>
                <w:spacing w:val="6"/>
                <w:kern w:val="2"/>
                <w:sz w:val="24"/>
                <w:szCs w:val="24"/>
                <w:lang w:val="en-US" w:eastAsia="zh-CN"/>
              </w:rPr>
              <w:t>联系人：吕佳霖</w:t>
            </w:r>
          </w:p>
          <w:p w14:paraId="47C0592B">
            <w:pPr>
              <w:spacing w:line="400" w:lineRule="exact"/>
              <w:ind w:left="0" w:leftChars="0" w:firstLine="0" w:firstLineChars="0"/>
              <w:rPr>
                <w:rFonts w:hint="eastAsia" w:ascii="宋体" w:hAnsi="宋体" w:cs="宋体"/>
                <w:spacing w:val="6"/>
                <w:kern w:val="2"/>
                <w:sz w:val="24"/>
                <w:szCs w:val="24"/>
                <w:lang w:val="en-US" w:eastAsia="zh-CN"/>
              </w:rPr>
            </w:pPr>
            <w:r>
              <w:rPr>
                <w:rFonts w:hint="eastAsia" w:ascii="宋体" w:hAnsi="宋体" w:cs="宋体"/>
                <w:spacing w:val="6"/>
                <w:kern w:val="2"/>
                <w:sz w:val="24"/>
                <w:szCs w:val="24"/>
                <w:lang w:val="en-US" w:eastAsia="zh-CN"/>
              </w:rPr>
              <w:t>电话：17839808880</w:t>
            </w:r>
          </w:p>
          <w:p w14:paraId="054B17F2">
            <w:pPr>
              <w:spacing w:line="400" w:lineRule="exact"/>
              <w:ind w:left="0" w:leftChars="0" w:firstLine="0" w:firstLineChars="0"/>
              <w:rPr>
                <w:rFonts w:hint="eastAsia" w:ascii="宋体" w:hAnsi="宋体" w:eastAsia="宋体" w:cs="宋体"/>
                <w:spacing w:val="6"/>
                <w:kern w:val="2"/>
                <w:sz w:val="24"/>
                <w:szCs w:val="24"/>
                <w:lang w:eastAsia="zh-CN"/>
              </w:rPr>
            </w:pPr>
            <w:r>
              <w:rPr>
                <w:rFonts w:hint="eastAsia" w:ascii="宋体" w:hAnsi="宋体" w:cs="宋体"/>
                <w:spacing w:val="6"/>
                <w:kern w:val="2"/>
                <w:sz w:val="24"/>
                <w:szCs w:val="24"/>
                <w:lang w:val="en-US" w:eastAsia="zh-CN"/>
              </w:rPr>
              <w:t>地址：河南省三门峡市卢氏县靖华西路</w:t>
            </w:r>
          </w:p>
        </w:tc>
      </w:tr>
      <w:tr w14:paraId="2DB522C0">
        <w:tblPrEx>
          <w:tblCellMar>
            <w:top w:w="0" w:type="dxa"/>
            <w:left w:w="108" w:type="dxa"/>
            <w:bottom w:w="0" w:type="dxa"/>
            <w:right w:w="108" w:type="dxa"/>
          </w:tblCellMar>
        </w:tblPrEx>
        <w:trPr>
          <w:cantSplit/>
          <w:trHeight w:val="563"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7D77AB5B">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2</w:t>
            </w:r>
          </w:p>
        </w:tc>
        <w:tc>
          <w:tcPr>
            <w:tcW w:w="2034" w:type="dxa"/>
            <w:tcBorders>
              <w:top w:val="single" w:color="auto" w:sz="6" w:space="0"/>
              <w:left w:val="single" w:color="auto" w:sz="6" w:space="0"/>
              <w:bottom w:val="single" w:color="auto" w:sz="6" w:space="0"/>
              <w:right w:val="single" w:color="auto" w:sz="6" w:space="0"/>
            </w:tcBorders>
            <w:vAlign w:val="center"/>
          </w:tcPr>
          <w:p w14:paraId="0CA8EE08">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lang w:val="en-US" w:eastAsia="zh-CN"/>
              </w:rPr>
              <w:t>采购</w:t>
            </w:r>
            <w:r>
              <w:rPr>
                <w:rFonts w:hint="eastAsia" w:ascii="宋体" w:hAnsi="宋体" w:cs="宋体"/>
                <w:spacing w:val="6"/>
                <w:kern w:val="2"/>
                <w:sz w:val="24"/>
                <w:szCs w:val="24"/>
              </w:rPr>
              <w:t>代理机构</w:t>
            </w:r>
          </w:p>
        </w:tc>
        <w:tc>
          <w:tcPr>
            <w:tcW w:w="6679" w:type="dxa"/>
            <w:tcBorders>
              <w:top w:val="single" w:color="auto" w:sz="6" w:space="0"/>
              <w:left w:val="single" w:color="auto" w:sz="6" w:space="0"/>
              <w:bottom w:val="single" w:color="auto" w:sz="6" w:space="0"/>
              <w:right w:val="single" w:color="auto" w:sz="12" w:space="0"/>
            </w:tcBorders>
            <w:vAlign w:val="center"/>
          </w:tcPr>
          <w:p w14:paraId="5E4F6658">
            <w:pPr>
              <w:spacing w:line="400" w:lineRule="exact"/>
              <w:ind w:left="3" w:hanging="2" w:hangingChars="1"/>
              <w:rPr>
                <w:rFonts w:hint="eastAsia" w:ascii="宋体" w:hAnsi="宋体" w:cs="宋体"/>
                <w:spacing w:val="6"/>
                <w:kern w:val="2"/>
                <w:sz w:val="24"/>
                <w:szCs w:val="24"/>
                <w:lang w:val="en-US" w:eastAsia="zh-CN"/>
              </w:rPr>
            </w:pPr>
            <w:r>
              <w:rPr>
                <w:rFonts w:hint="eastAsia" w:ascii="宋体" w:hAnsi="宋体" w:cs="宋体"/>
                <w:spacing w:val="6"/>
                <w:kern w:val="2"/>
                <w:sz w:val="24"/>
                <w:szCs w:val="24"/>
                <w:lang w:val="en-US" w:eastAsia="zh-CN"/>
              </w:rPr>
              <w:t>采购</w:t>
            </w:r>
            <w:r>
              <w:rPr>
                <w:rFonts w:hint="eastAsia" w:ascii="宋体" w:hAnsi="宋体" w:cs="宋体"/>
                <w:spacing w:val="6"/>
                <w:kern w:val="2"/>
                <w:sz w:val="24"/>
                <w:szCs w:val="24"/>
              </w:rPr>
              <w:t>代理机构：</w:t>
            </w:r>
            <w:r>
              <w:rPr>
                <w:rFonts w:hint="eastAsia" w:ascii="宋体" w:hAnsi="宋体" w:cs="宋体"/>
                <w:spacing w:val="6"/>
                <w:kern w:val="2"/>
                <w:sz w:val="24"/>
                <w:szCs w:val="24"/>
                <w:lang w:val="en-US" w:eastAsia="zh-CN"/>
              </w:rPr>
              <w:t>中大宇辰项目管理有限公司</w:t>
            </w:r>
          </w:p>
          <w:p w14:paraId="669BCABF">
            <w:pPr>
              <w:spacing w:line="400" w:lineRule="exact"/>
              <w:ind w:left="3" w:hanging="2" w:hangingChars="1"/>
              <w:rPr>
                <w:rFonts w:hint="eastAsia" w:ascii="宋体" w:hAnsi="宋体" w:cs="宋体"/>
                <w:spacing w:val="6"/>
                <w:kern w:val="2"/>
                <w:sz w:val="24"/>
                <w:szCs w:val="24"/>
                <w:lang w:val="en-US" w:eastAsia="zh-CN"/>
              </w:rPr>
            </w:pPr>
            <w:r>
              <w:rPr>
                <w:rFonts w:hint="eastAsia" w:ascii="宋体" w:hAnsi="宋体" w:cs="宋体"/>
                <w:spacing w:val="6"/>
                <w:kern w:val="2"/>
                <w:sz w:val="24"/>
                <w:szCs w:val="24"/>
                <w:lang w:val="en-US" w:eastAsia="zh-CN"/>
              </w:rPr>
              <w:t>联系人：杨伟</w:t>
            </w:r>
          </w:p>
          <w:p w14:paraId="4C271C15">
            <w:pPr>
              <w:spacing w:line="400" w:lineRule="exact"/>
              <w:ind w:left="3" w:hanging="2" w:hangingChars="1"/>
              <w:rPr>
                <w:rFonts w:hint="eastAsia" w:ascii="宋体" w:hAnsi="宋体" w:cs="宋体"/>
                <w:spacing w:val="6"/>
                <w:kern w:val="2"/>
                <w:sz w:val="24"/>
                <w:szCs w:val="24"/>
                <w:lang w:val="en-US" w:eastAsia="zh-CN"/>
              </w:rPr>
            </w:pPr>
            <w:r>
              <w:rPr>
                <w:rFonts w:hint="eastAsia" w:ascii="宋体" w:hAnsi="宋体" w:cs="宋体"/>
                <w:spacing w:val="6"/>
                <w:kern w:val="2"/>
                <w:sz w:val="24"/>
                <w:szCs w:val="24"/>
                <w:lang w:val="en-US" w:eastAsia="zh-CN"/>
              </w:rPr>
              <w:t>电话：13781036331、18239890957</w:t>
            </w:r>
          </w:p>
          <w:p w14:paraId="47508FC6">
            <w:pPr>
              <w:spacing w:line="400" w:lineRule="exact"/>
              <w:ind w:left="3" w:hanging="2" w:hangingChars="1"/>
              <w:rPr>
                <w:rFonts w:hint="eastAsia" w:ascii="宋体" w:hAnsi="宋体" w:eastAsia="宋体" w:cs="宋体"/>
                <w:spacing w:val="6"/>
                <w:kern w:val="2"/>
                <w:sz w:val="24"/>
                <w:szCs w:val="24"/>
                <w:lang w:eastAsia="zh-CN"/>
              </w:rPr>
            </w:pPr>
            <w:r>
              <w:rPr>
                <w:rFonts w:hint="eastAsia" w:ascii="宋体" w:hAnsi="宋体" w:cs="宋体"/>
                <w:spacing w:val="6"/>
                <w:kern w:val="2"/>
                <w:sz w:val="24"/>
                <w:szCs w:val="24"/>
                <w:lang w:val="en-US" w:eastAsia="zh-CN"/>
              </w:rPr>
              <w:t>地址：河南省郑州市郑东新区祥盛街10号（聚龙城）4号楼1304室</w:t>
            </w:r>
          </w:p>
        </w:tc>
      </w:tr>
      <w:tr w14:paraId="772D2AC9">
        <w:tblPrEx>
          <w:tblCellMar>
            <w:top w:w="0" w:type="dxa"/>
            <w:left w:w="108" w:type="dxa"/>
            <w:bottom w:w="0" w:type="dxa"/>
            <w:right w:w="108" w:type="dxa"/>
          </w:tblCellMar>
        </w:tblPrEx>
        <w:trPr>
          <w:cantSplit/>
          <w:trHeight w:val="676"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032DE51A">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3</w:t>
            </w:r>
          </w:p>
        </w:tc>
        <w:tc>
          <w:tcPr>
            <w:tcW w:w="2034" w:type="dxa"/>
            <w:tcBorders>
              <w:top w:val="single" w:color="auto" w:sz="6" w:space="0"/>
              <w:left w:val="single" w:color="auto" w:sz="6" w:space="0"/>
              <w:bottom w:val="single" w:color="auto" w:sz="6" w:space="0"/>
              <w:right w:val="single" w:color="auto" w:sz="6" w:space="0"/>
            </w:tcBorders>
            <w:vAlign w:val="center"/>
          </w:tcPr>
          <w:p w14:paraId="03AAE810">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项目名称</w:t>
            </w:r>
          </w:p>
        </w:tc>
        <w:tc>
          <w:tcPr>
            <w:tcW w:w="6679" w:type="dxa"/>
            <w:tcBorders>
              <w:top w:val="single" w:color="auto" w:sz="6" w:space="0"/>
              <w:left w:val="single" w:color="auto" w:sz="6" w:space="0"/>
              <w:bottom w:val="single" w:color="auto" w:sz="6" w:space="0"/>
              <w:right w:val="single" w:color="auto" w:sz="12" w:space="0"/>
            </w:tcBorders>
            <w:vAlign w:val="center"/>
          </w:tcPr>
          <w:p w14:paraId="172D3391">
            <w:pPr>
              <w:spacing w:line="400" w:lineRule="exact"/>
              <w:ind w:left="3" w:hanging="2" w:hangingChars="1"/>
              <w:rPr>
                <w:rFonts w:hint="eastAsia" w:ascii="宋体" w:hAnsi="宋体" w:eastAsia="宋体" w:cs="宋体"/>
                <w:spacing w:val="6"/>
                <w:kern w:val="2"/>
                <w:sz w:val="24"/>
                <w:szCs w:val="24"/>
                <w:lang w:eastAsia="zh-CN"/>
              </w:rPr>
            </w:pPr>
            <w:r>
              <w:rPr>
                <w:rFonts w:hint="eastAsia" w:ascii="宋体" w:hAnsi="宋体" w:cs="宋体"/>
                <w:spacing w:val="6"/>
                <w:kern w:val="2"/>
                <w:sz w:val="24"/>
                <w:szCs w:val="24"/>
                <w:lang w:eastAsia="zh-CN"/>
              </w:rPr>
              <w:t>卢氏县公安局食堂食材采购项目</w:t>
            </w:r>
          </w:p>
        </w:tc>
      </w:tr>
      <w:tr w14:paraId="14B9EFE4">
        <w:tblPrEx>
          <w:tblCellMar>
            <w:top w:w="0" w:type="dxa"/>
            <w:left w:w="108" w:type="dxa"/>
            <w:bottom w:w="0" w:type="dxa"/>
            <w:right w:w="108" w:type="dxa"/>
          </w:tblCellMar>
        </w:tblPrEx>
        <w:trPr>
          <w:cantSplit/>
          <w:trHeight w:val="543"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23BD460D">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4</w:t>
            </w:r>
          </w:p>
        </w:tc>
        <w:tc>
          <w:tcPr>
            <w:tcW w:w="2034" w:type="dxa"/>
            <w:tcBorders>
              <w:top w:val="single" w:color="auto" w:sz="6" w:space="0"/>
              <w:left w:val="single" w:color="auto" w:sz="6" w:space="0"/>
              <w:bottom w:val="single" w:color="auto" w:sz="6" w:space="0"/>
              <w:right w:val="single" w:color="auto" w:sz="6" w:space="0"/>
            </w:tcBorders>
            <w:vAlign w:val="center"/>
          </w:tcPr>
          <w:p w14:paraId="3B1243BA">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项目编号</w:t>
            </w:r>
          </w:p>
        </w:tc>
        <w:tc>
          <w:tcPr>
            <w:tcW w:w="6679" w:type="dxa"/>
            <w:tcBorders>
              <w:top w:val="single" w:color="auto" w:sz="6" w:space="0"/>
              <w:left w:val="single" w:color="auto" w:sz="6" w:space="0"/>
              <w:bottom w:val="single" w:color="auto" w:sz="6" w:space="0"/>
              <w:right w:val="single" w:color="auto" w:sz="12" w:space="0"/>
            </w:tcBorders>
            <w:vAlign w:val="center"/>
          </w:tcPr>
          <w:p w14:paraId="5118CA54">
            <w:pPr>
              <w:spacing w:line="400" w:lineRule="exact"/>
              <w:ind w:left="3" w:hanging="2" w:hangingChars="1"/>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lang w:val="en-US" w:eastAsia="zh-CN"/>
              </w:rPr>
              <w:t>三卢竞</w:t>
            </w:r>
            <w:r>
              <w:rPr>
                <w:rFonts w:hint="eastAsia" w:ascii="宋体" w:hAnsi="宋体" w:eastAsia="宋体" w:cs="宋体"/>
                <w:spacing w:val="6"/>
                <w:kern w:val="2"/>
                <w:sz w:val="24"/>
                <w:szCs w:val="24"/>
                <w:lang w:eastAsia="zh-CN"/>
              </w:rPr>
              <w:t>磋</w:t>
            </w:r>
            <w:r>
              <w:rPr>
                <w:rFonts w:hint="eastAsia" w:ascii="宋体" w:hAnsi="宋体" w:eastAsia="宋体" w:cs="宋体"/>
                <w:spacing w:val="6"/>
                <w:kern w:val="2"/>
                <w:sz w:val="24"/>
                <w:szCs w:val="24"/>
                <w:lang w:val="en-US" w:eastAsia="zh-CN"/>
              </w:rPr>
              <w:t>采购-2026-48、LSGZ[2026]113-ZC086</w:t>
            </w:r>
          </w:p>
        </w:tc>
      </w:tr>
      <w:tr w14:paraId="2B2BD07E">
        <w:tblPrEx>
          <w:tblCellMar>
            <w:top w:w="0" w:type="dxa"/>
            <w:left w:w="108" w:type="dxa"/>
            <w:bottom w:w="0" w:type="dxa"/>
            <w:right w:w="108" w:type="dxa"/>
          </w:tblCellMar>
        </w:tblPrEx>
        <w:trPr>
          <w:cantSplit/>
          <w:trHeight w:val="490"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3C4771DC">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5</w:t>
            </w:r>
          </w:p>
        </w:tc>
        <w:tc>
          <w:tcPr>
            <w:tcW w:w="2034" w:type="dxa"/>
            <w:tcBorders>
              <w:top w:val="single" w:color="auto" w:sz="6" w:space="0"/>
              <w:left w:val="single" w:color="auto" w:sz="6" w:space="0"/>
              <w:bottom w:val="single" w:color="auto" w:sz="6" w:space="0"/>
              <w:right w:val="single" w:color="auto" w:sz="6" w:space="0"/>
            </w:tcBorders>
            <w:vAlign w:val="center"/>
          </w:tcPr>
          <w:p w14:paraId="0977B0C9">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采购人</w:t>
            </w:r>
          </w:p>
        </w:tc>
        <w:tc>
          <w:tcPr>
            <w:tcW w:w="6679" w:type="dxa"/>
            <w:tcBorders>
              <w:top w:val="single" w:color="auto" w:sz="6" w:space="0"/>
              <w:left w:val="single" w:color="auto" w:sz="6" w:space="0"/>
              <w:bottom w:val="single" w:color="auto" w:sz="6" w:space="0"/>
              <w:right w:val="single" w:color="auto" w:sz="12" w:space="0"/>
            </w:tcBorders>
            <w:vAlign w:val="center"/>
          </w:tcPr>
          <w:p w14:paraId="40649BB9">
            <w:pPr>
              <w:spacing w:line="400" w:lineRule="exact"/>
              <w:ind w:left="3" w:hanging="2" w:hangingChars="1"/>
              <w:rPr>
                <w:rFonts w:hint="eastAsia" w:ascii="宋体" w:hAnsi="宋体" w:eastAsia="宋体" w:cs="宋体"/>
                <w:spacing w:val="6"/>
                <w:kern w:val="2"/>
                <w:sz w:val="24"/>
                <w:szCs w:val="24"/>
                <w:lang w:eastAsia="zh-CN"/>
              </w:rPr>
            </w:pPr>
            <w:r>
              <w:rPr>
                <w:rFonts w:hint="eastAsia" w:ascii="宋体" w:hAnsi="宋体" w:cs="宋体"/>
                <w:spacing w:val="6"/>
                <w:kern w:val="2"/>
                <w:sz w:val="24"/>
                <w:szCs w:val="24"/>
                <w:lang w:eastAsia="zh-CN"/>
              </w:rPr>
              <w:t>卢氏县公安局</w:t>
            </w:r>
          </w:p>
        </w:tc>
      </w:tr>
      <w:tr w14:paraId="4E4AFCF8">
        <w:tblPrEx>
          <w:tblCellMar>
            <w:top w:w="0" w:type="dxa"/>
            <w:left w:w="108" w:type="dxa"/>
            <w:bottom w:w="0" w:type="dxa"/>
            <w:right w:w="108" w:type="dxa"/>
          </w:tblCellMar>
        </w:tblPrEx>
        <w:trPr>
          <w:cantSplit/>
          <w:trHeight w:val="515"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525F970E">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6</w:t>
            </w:r>
          </w:p>
        </w:tc>
        <w:tc>
          <w:tcPr>
            <w:tcW w:w="2034" w:type="dxa"/>
            <w:tcBorders>
              <w:top w:val="single" w:color="auto" w:sz="6" w:space="0"/>
              <w:left w:val="single" w:color="auto" w:sz="6" w:space="0"/>
              <w:bottom w:val="single" w:color="auto" w:sz="6" w:space="0"/>
              <w:right w:val="single" w:color="auto" w:sz="6" w:space="0"/>
            </w:tcBorders>
            <w:vAlign w:val="center"/>
          </w:tcPr>
          <w:p w14:paraId="4D159BD9">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采购内容</w:t>
            </w:r>
          </w:p>
        </w:tc>
        <w:tc>
          <w:tcPr>
            <w:tcW w:w="6679" w:type="dxa"/>
            <w:tcBorders>
              <w:top w:val="single" w:color="auto" w:sz="6" w:space="0"/>
              <w:left w:val="single" w:color="auto" w:sz="6" w:space="0"/>
              <w:bottom w:val="single" w:color="auto" w:sz="6" w:space="0"/>
              <w:right w:val="single" w:color="auto" w:sz="12" w:space="0"/>
            </w:tcBorders>
            <w:vAlign w:val="center"/>
          </w:tcPr>
          <w:p w14:paraId="7A2ADA3A">
            <w:pPr>
              <w:spacing w:line="400" w:lineRule="exact"/>
              <w:ind w:left="3" w:hanging="2" w:hangingChars="1"/>
              <w:rPr>
                <w:rFonts w:ascii="宋体" w:hAnsi="宋体" w:cs="宋体"/>
                <w:spacing w:val="6"/>
                <w:kern w:val="2"/>
                <w:sz w:val="24"/>
                <w:szCs w:val="24"/>
              </w:rPr>
            </w:pPr>
            <w:r>
              <w:rPr>
                <w:rFonts w:hint="eastAsia" w:ascii="宋体" w:hAnsi="宋体" w:cs="宋体"/>
                <w:spacing w:val="6"/>
                <w:kern w:val="2"/>
                <w:sz w:val="24"/>
                <w:szCs w:val="24"/>
              </w:rPr>
              <w:t>详见公告部分</w:t>
            </w:r>
          </w:p>
        </w:tc>
      </w:tr>
      <w:tr w14:paraId="0B250886">
        <w:tblPrEx>
          <w:tblCellMar>
            <w:top w:w="0" w:type="dxa"/>
            <w:left w:w="108" w:type="dxa"/>
            <w:bottom w:w="0" w:type="dxa"/>
            <w:right w:w="108" w:type="dxa"/>
          </w:tblCellMar>
        </w:tblPrEx>
        <w:trPr>
          <w:trHeight w:val="489"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2D70D0B6">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7</w:t>
            </w:r>
          </w:p>
        </w:tc>
        <w:tc>
          <w:tcPr>
            <w:tcW w:w="2034" w:type="dxa"/>
            <w:tcBorders>
              <w:top w:val="single" w:color="auto" w:sz="6" w:space="0"/>
              <w:left w:val="single" w:color="auto" w:sz="6" w:space="0"/>
              <w:bottom w:val="single" w:color="auto" w:sz="6" w:space="0"/>
              <w:right w:val="single" w:color="auto" w:sz="6" w:space="0"/>
            </w:tcBorders>
            <w:vAlign w:val="center"/>
          </w:tcPr>
          <w:p w14:paraId="7EDE5F28">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采购方式</w:t>
            </w:r>
          </w:p>
        </w:tc>
        <w:tc>
          <w:tcPr>
            <w:tcW w:w="6679" w:type="dxa"/>
            <w:tcBorders>
              <w:top w:val="single" w:color="auto" w:sz="6" w:space="0"/>
              <w:left w:val="single" w:color="auto" w:sz="6" w:space="0"/>
              <w:bottom w:val="single" w:color="auto" w:sz="6" w:space="0"/>
              <w:right w:val="single" w:color="auto" w:sz="12" w:space="0"/>
            </w:tcBorders>
            <w:vAlign w:val="center"/>
          </w:tcPr>
          <w:p w14:paraId="786F6204">
            <w:pPr>
              <w:spacing w:line="400" w:lineRule="exact"/>
              <w:ind w:left="3" w:hanging="2" w:hangingChars="1"/>
              <w:rPr>
                <w:rFonts w:ascii="宋体" w:hAnsi="宋体" w:cs="宋体"/>
                <w:spacing w:val="6"/>
                <w:kern w:val="2"/>
                <w:sz w:val="24"/>
                <w:szCs w:val="24"/>
              </w:rPr>
            </w:pPr>
            <w:r>
              <w:rPr>
                <w:rFonts w:hint="eastAsia" w:ascii="宋体" w:hAnsi="宋体" w:cs="宋体"/>
                <w:spacing w:val="6"/>
                <w:kern w:val="2"/>
                <w:sz w:val="24"/>
                <w:szCs w:val="24"/>
              </w:rPr>
              <w:t>竞争性磋商</w:t>
            </w:r>
          </w:p>
        </w:tc>
      </w:tr>
      <w:tr w14:paraId="5BB17CCB">
        <w:tblPrEx>
          <w:tblCellMar>
            <w:top w:w="0" w:type="dxa"/>
            <w:left w:w="108" w:type="dxa"/>
            <w:bottom w:w="0" w:type="dxa"/>
            <w:right w:w="108" w:type="dxa"/>
          </w:tblCellMar>
        </w:tblPrEx>
        <w:trPr>
          <w:trHeight w:val="506"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6EA0D069">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8</w:t>
            </w:r>
          </w:p>
        </w:tc>
        <w:tc>
          <w:tcPr>
            <w:tcW w:w="2034" w:type="dxa"/>
            <w:tcBorders>
              <w:top w:val="single" w:color="auto" w:sz="6" w:space="0"/>
              <w:left w:val="single" w:color="auto" w:sz="6" w:space="0"/>
              <w:bottom w:val="single" w:color="auto" w:sz="6" w:space="0"/>
              <w:right w:val="single" w:color="auto" w:sz="6" w:space="0"/>
            </w:tcBorders>
            <w:vAlign w:val="center"/>
          </w:tcPr>
          <w:p w14:paraId="5760AC99">
            <w:pPr>
              <w:widowControl w:val="0"/>
              <w:adjustRightInd w:val="0"/>
              <w:spacing w:line="400" w:lineRule="exact"/>
              <w:ind w:left="0" w:leftChars="0" w:firstLine="0" w:firstLineChars="0"/>
              <w:jc w:val="center"/>
              <w:rPr>
                <w:rFonts w:hint="eastAsia" w:ascii="宋体" w:hAnsi="宋体" w:eastAsia="宋体" w:cs="宋体"/>
                <w:spacing w:val="6"/>
                <w:kern w:val="2"/>
                <w:sz w:val="24"/>
                <w:szCs w:val="24"/>
                <w:lang w:eastAsia="zh-CN"/>
              </w:rPr>
            </w:pPr>
            <w:r>
              <w:rPr>
                <w:rFonts w:hint="eastAsia" w:ascii="宋体" w:hAnsi="宋体" w:cs="宋体"/>
                <w:spacing w:val="6"/>
                <w:kern w:val="2"/>
                <w:sz w:val="24"/>
                <w:szCs w:val="24"/>
                <w:lang w:val="en-US" w:eastAsia="zh-CN"/>
              </w:rPr>
              <w:t>质量</w:t>
            </w:r>
            <w:r>
              <w:rPr>
                <w:rFonts w:hint="eastAsia" w:ascii="宋体" w:hAnsi="宋体" w:cs="宋体"/>
                <w:spacing w:val="6"/>
                <w:kern w:val="2"/>
                <w:sz w:val="24"/>
                <w:szCs w:val="24"/>
                <w:lang w:eastAsia="zh-CN"/>
              </w:rPr>
              <w:t>要求</w:t>
            </w:r>
          </w:p>
        </w:tc>
        <w:tc>
          <w:tcPr>
            <w:tcW w:w="6679" w:type="dxa"/>
            <w:tcBorders>
              <w:top w:val="single" w:color="auto" w:sz="6" w:space="0"/>
              <w:left w:val="single" w:color="auto" w:sz="6" w:space="0"/>
              <w:bottom w:val="single" w:color="auto" w:sz="6" w:space="0"/>
              <w:right w:val="single" w:color="auto" w:sz="12" w:space="0"/>
            </w:tcBorders>
            <w:vAlign w:val="center"/>
          </w:tcPr>
          <w:p w14:paraId="156988EE">
            <w:pPr>
              <w:spacing w:line="400" w:lineRule="exact"/>
              <w:ind w:left="3" w:hanging="2" w:hangingChars="1"/>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lang w:eastAsia="zh-CN"/>
              </w:rPr>
              <w:t>产品质量合格，符合国家及行业相关食品卫生安全要求，且符合采购人要求。</w:t>
            </w:r>
          </w:p>
        </w:tc>
      </w:tr>
      <w:tr w14:paraId="505720B8">
        <w:tblPrEx>
          <w:tblCellMar>
            <w:top w:w="0" w:type="dxa"/>
            <w:left w:w="108" w:type="dxa"/>
            <w:bottom w:w="0" w:type="dxa"/>
            <w:right w:w="108" w:type="dxa"/>
          </w:tblCellMar>
        </w:tblPrEx>
        <w:trPr>
          <w:trHeight w:val="90"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57FECA31">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9</w:t>
            </w:r>
          </w:p>
        </w:tc>
        <w:tc>
          <w:tcPr>
            <w:tcW w:w="2034" w:type="dxa"/>
            <w:tcBorders>
              <w:top w:val="single" w:color="auto" w:sz="6" w:space="0"/>
              <w:left w:val="single" w:color="auto" w:sz="6" w:space="0"/>
              <w:bottom w:val="single" w:color="auto" w:sz="6" w:space="0"/>
              <w:right w:val="single" w:color="auto" w:sz="6" w:space="0"/>
            </w:tcBorders>
            <w:vAlign w:val="center"/>
          </w:tcPr>
          <w:p w14:paraId="02E735FA">
            <w:pPr>
              <w:widowControl w:val="0"/>
              <w:adjustRightInd w:val="0"/>
              <w:spacing w:line="400" w:lineRule="exact"/>
              <w:ind w:left="0" w:leftChars="0" w:firstLine="0" w:firstLineChars="0"/>
              <w:jc w:val="center"/>
              <w:rPr>
                <w:rFonts w:hint="eastAsia" w:ascii="宋体" w:hAnsi="宋体" w:eastAsia="宋体" w:cs="宋体"/>
                <w:spacing w:val="6"/>
                <w:kern w:val="2"/>
                <w:sz w:val="24"/>
                <w:szCs w:val="24"/>
                <w:lang w:eastAsia="zh-CN"/>
              </w:rPr>
            </w:pPr>
            <w:r>
              <w:rPr>
                <w:rFonts w:hint="eastAsia" w:ascii="宋体" w:hAnsi="宋体" w:cs="宋体"/>
                <w:spacing w:val="6"/>
                <w:kern w:val="2"/>
                <w:sz w:val="24"/>
                <w:szCs w:val="24"/>
                <w:lang w:eastAsia="zh-CN"/>
              </w:rPr>
              <w:t>服务期限</w:t>
            </w:r>
          </w:p>
        </w:tc>
        <w:tc>
          <w:tcPr>
            <w:tcW w:w="6679" w:type="dxa"/>
            <w:tcBorders>
              <w:top w:val="single" w:color="auto" w:sz="6" w:space="0"/>
              <w:left w:val="single" w:color="auto" w:sz="6" w:space="0"/>
              <w:bottom w:val="single" w:color="auto" w:sz="6" w:space="0"/>
              <w:right w:val="single" w:color="auto" w:sz="12" w:space="0"/>
            </w:tcBorders>
            <w:vAlign w:val="center"/>
          </w:tcPr>
          <w:p w14:paraId="21656585">
            <w:pPr>
              <w:spacing w:line="400" w:lineRule="exact"/>
              <w:ind w:left="3" w:hanging="2" w:hangingChars="1"/>
              <w:rPr>
                <w:rFonts w:ascii="宋体" w:hAnsi="宋体" w:cs="宋体"/>
                <w:spacing w:val="6"/>
                <w:kern w:val="2"/>
                <w:sz w:val="24"/>
                <w:szCs w:val="24"/>
              </w:rPr>
            </w:pPr>
            <w:r>
              <w:rPr>
                <w:rFonts w:hint="eastAsia" w:ascii="宋体" w:hAnsi="宋体" w:cs="宋体"/>
                <w:spacing w:val="6"/>
                <w:kern w:val="2"/>
                <w:sz w:val="24"/>
                <w:szCs w:val="24"/>
                <w:lang w:val="en-US" w:eastAsia="zh-CN"/>
              </w:rPr>
              <w:t>2年（合同1年1签）</w:t>
            </w:r>
          </w:p>
        </w:tc>
      </w:tr>
      <w:tr w14:paraId="33C04F4F">
        <w:tblPrEx>
          <w:tblCellMar>
            <w:top w:w="0" w:type="dxa"/>
            <w:left w:w="108" w:type="dxa"/>
            <w:bottom w:w="0" w:type="dxa"/>
            <w:right w:w="108" w:type="dxa"/>
          </w:tblCellMar>
        </w:tblPrEx>
        <w:trPr>
          <w:trHeight w:val="590"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6F5699AD">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10</w:t>
            </w:r>
          </w:p>
        </w:tc>
        <w:tc>
          <w:tcPr>
            <w:tcW w:w="2034" w:type="dxa"/>
            <w:tcBorders>
              <w:top w:val="single" w:color="auto" w:sz="6" w:space="0"/>
              <w:left w:val="single" w:color="auto" w:sz="6" w:space="0"/>
              <w:bottom w:val="single" w:color="auto" w:sz="6" w:space="0"/>
              <w:right w:val="single" w:color="auto" w:sz="6" w:space="0"/>
            </w:tcBorders>
            <w:vAlign w:val="center"/>
          </w:tcPr>
          <w:p w14:paraId="22A835EE">
            <w:pPr>
              <w:widowControl/>
              <w:ind w:left="0" w:leftChars="0" w:firstLine="0" w:firstLineChars="0"/>
              <w:jc w:val="center"/>
              <w:rPr>
                <w:rFonts w:hint="default" w:ascii="宋体" w:hAnsi="宋体" w:eastAsia="宋体" w:cs="宋体"/>
                <w:spacing w:val="6"/>
                <w:kern w:val="2"/>
                <w:sz w:val="24"/>
                <w:szCs w:val="24"/>
                <w:lang w:val="en-US" w:eastAsia="zh-CN"/>
              </w:rPr>
            </w:pPr>
            <w:r>
              <w:rPr>
                <w:rFonts w:hint="eastAsia" w:ascii="宋体" w:hAnsi="宋体" w:cs="宋体"/>
                <w:snapToGrid w:val="0"/>
                <w:color w:val="000000"/>
                <w:spacing w:val="0"/>
                <w:kern w:val="21"/>
                <w:sz w:val="24"/>
                <w:szCs w:val="24"/>
                <w:highlight w:val="none"/>
                <w:lang w:val="en-US" w:eastAsia="zh-CN"/>
              </w:rPr>
              <w:t>采购预算</w:t>
            </w:r>
          </w:p>
        </w:tc>
        <w:tc>
          <w:tcPr>
            <w:tcW w:w="6679" w:type="dxa"/>
            <w:tcBorders>
              <w:top w:val="single" w:color="auto" w:sz="6" w:space="0"/>
              <w:left w:val="single" w:color="auto" w:sz="6" w:space="0"/>
              <w:bottom w:val="single" w:color="auto" w:sz="6" w:space="0"/>
              <w:right w:val="single" w:color="auto" w:sz="12" w:space="0"/>
            </w:tcBorders>
            <w:vAlign w:val="center"/>
          </w:tcPr>
          <w:p w14:paraId="4671535E">
            <w:pPr>
              <w:widowControl/>
              <w:numPr>
                <w:ilvl w:val="0"/>
                <w:numId w:val="0"/>
              </w:numPr>
              <w:ind w:left="0" w:leftChars="0" w:firstLine="0" w:firstLineChars="0"/>
              <w:jc w:val="left"/>
              <w:rPr>
                <w:rFonts w:ascii="宋体" w:hAnsi="宋体" w:cs="宋体"/>
                <w:spacing w:val="6"/>
                <w:kern w:val="2"/>
                <w:sz w:val="24"/>
                <w:szCs w:val="24"/>
              </w:rPr>
            </w:pPr>
            <w:r>
              <w:rPr>
                <w:rFonts w:hint="eastAsia" w:ascii="宋体" w:hAnsi="宋体" w:eastAsia="宋体" w:cs="宋体"/>
                <w:b w:val="0"/>
                <w:bCs w:val="0"/>
                <w:color w:val="auto"/>
                <w:sz w:val="24"/>
                <w:szCs w:val="24"/>
                <w:shd w:val="clear" w:color="auto" w:fill="FFFFFF"/>
                <w:lang w:val="en-US" w:eastAsia="zh-CN" w:bidi="ar"/>
              </w:rPr>
              <w:t>约1300000.00</w:t>
            </w:r>
            <w:r>
              <w:rPr>
                <w:rFonts w:hint="eastAsia" w:ascii="宋体" w:hAnsi="宋体" w:eastAsia="宋体" w:cs="宋体"/>
                <w:b w:val="0"/>
                <w:bCs w:val="0"/>
                <w:color w:val="auto"/>
                <w:sz w:val="24"/>
                <w:szCs w:val="24"/>
                <w:shd w:val="clear" w:color="auto" w:fill="FFFFFF"/>
                <w:lang w:bidi="ar"/>
              </w:rPr>
              <w:t>元</w:t>
            </w:r>
            <w:r>
              <w:rPr>
                <w:rFonts w:hint="eastAsia" w:ascii="宋体" w:hAnsi="宋体" w:eastAsia="宋体" w:cs="宋体"/>
                <w:b w:val="0"/>
                <w:bCs w:val="0"/>
                <w:color w:val="auto"/>
                <w:sz w:val="24"/>
                <w:szCs w:val="24"/>
                <w:shd w:val="clear" w:color="auto" w:fill="FFFFFF"/>
                <w:lang w:val="en-US" w:eastAsia="zh-CN" w:bidi="ar"/>
              </w:rPr>
              <w:t>（650000.00元/年，本预算为暂定金额，以实际采购数量为准，按照实际供货数量据实结算）</w:t>
            </w:r>
          </w:p>
        </w:tc>
      </w:tr>
      <w:tr w14:paraId="1E86C2BF">
        <w:tblPrEx>
          <w:tblCellMar>
            <w:top w:w="0" w:type="dxa"/>
            <w:left w:w="108" w:type="dxa"/>
            <w:bottom w:w="0" w:type="dxa"/>
            <w:right w:w="108" w:type="dxa"/>
          </w:tblCellMar>
        </w:tblPrEx>
        <w:trPr>
          <w:trHeight w:val="607"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5DA1F84A">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11</w:t>
            </w:r>
          </w:p>
        </w:tc>
        <w:tc>
          <w:tcPr>
            <w:tcW w:w="2034" w:type="dxa"/>
            <w:tcBorders>
              <w:top w:val="single" w:color="auto" w:sz="6" w:space="0"/>
              <w:left w:val="single" w:color="auto" w:sz="6" w:space="0"/>
              <w:bottom w:val="single" w:color="auto" w:sz="6" w:space="0"/>
              <w:right w:val="single" w:color="auto" w:sz="6" w:space="0"/>
            </w:tcBorders>
            <w:vAlign w:val="center"/>
          </w:tcPr>
          <w:p w14:paraId="2573A98F">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资金来源</w:t>
            </w:r>
          </w:p>
        </w:tc>
        <w:tc>
          <w:tcPr>
            <w:tcW w:w="6679" w:type="dxa"/>
            <w:tcBorders>
              <w:top w:val="single" w:color="auto" w:sz="6" w:space="0"/>
              <w:left w:val="single" w:color="auto" w:sz="6" w:space="0"/>
              <w:bottom w:val="single" w:color="auto" w:sz="6" w:space="0"/>
              <w:right w:val="single" w:color="auto" w:sz="12" w:space="0"/>
            </w:tcBorders>
            <w:vAlign w:val="center"/>
          </w:tcPr>
          <w:p w14:paraId="2D9E722F">
            <w:pPr>
              <w:spacing w:line="400" w:lineRule="exact"/>
              <w:ind w:left="3" w:hanging="2" w:hangingChars="1"/>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eastAsia="zh-CN"/>
              </w:rPr>
              <w:t>财政</w:t>
            </w:r>
            <w:r>
              <w:rPr>
                <w:rFonts w:hint="eastAsia" w:ascii="宋体" w:hAnsi="宋体" w:cs="宋体"/>
                <w:spacing w:val="6"/>
                <w:kern w:val="2"/>
                <w:sz w:val="24"/>
                <w:szCs w:val="24"/>
              </w:rPr>
              <w:t>资金</w:t>
            </w:r>
            <w:r>
              <w:rPr>
                <w:rFonts w:hint="eastAsia" w:ascii="宋体" w:hAnsi="宋体" w:cs="宋体"/>
                <w:spacing w:val="6"/>
                <w:kern w:val="2"/>
                <w:sz w:val="24"/>
                <w:szCs w:val="24"/>
                <w:lang w:eastAsia="zh-CN"/>
              </w:rPr>
              <w:t>，</w:t>
            </w:r>
            <w:r>
              <w:rPr>
                <w:rFonts w:hint="eastAsia" w:ascii="宋体" w:hAnsi="宋体" w:cs="宋体"/>
                <w:spacing w:val="6"/>
                <w:kern w:val="2"/>
                <w:sz w:val="24"/>
                <w:szCs w:val="24"/>
                <w:lang w:val="en-US" w:eastAsia="zh-CN"/>
              </w:rPr>
              <w:t>且已落实</w:t>
            </w:r>
          </w:p>
        </w:tc>
      </w:tr>
      <w:tr w14:paraId="384C98EC">
        <w:tblPrEx>
          <w:tblCellMar>
            <w:top w:w="0" w:type="dxa"/>
            <w:left w:w="108" w:type="dxa"/>
            <w:bottom w:w="0" w:type="dxa"/>
            <w:right w:w="108" w:type="dxa"/>
          </w:tblCellMar>
        </w:tblPrEx>
        <w:trPr>
          <w:trHeight w:val="90"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36020070">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12</w:t>
            </w:r>
          </w:p>
        </w:tc>
        <w:tc>
          <w:tcPr>
            <w:tcW w:w="2034" w:type="dxa"/>
            <w:tcBorders>
              <w:top w:val="single" w:color="auto" w:sz="6" w:space="0"/>
              <w:left w:val="single" w:color="auto" w:sz="6" w:space="0"/>
              <w:bottom w:val="single" w:color="auto" w:sz="6" w:space="0"/>
              <w:right w:val="single" w:color="auto" w:sz="6" w:space="0"/>
            </w:tcBorders>
            <w:vAlign w:val="center"/>
          </w:tcPr>
          <w:p w14:paraId="70C5DE7A">
            <w:pPr>
              <w:widowControl/>
              <w:ind w:left="0" w:leftChars="0" w:firstLine="0" w:firstLineChars="0"/>
              <w:jc w:val="center"/>
              <w:rPr>
                <w:rFonts w:hint="eastAsia" w:ascii="宋体" w:hAnsi="宋体" w:cs="宋体"/>
                <w:color w:val="0000FF"/>
                <w:spacing w:val="6"/>
                <w:kern w:val="2"/>
                <w:sz w:val="24"/>
                <w:szCs w:val="24"/>
              </w:rPr>
            </w:pPr>
            <w:r>
              <w:rPr>
                <w:rFonts w:hint="eastAsia" w:ascii="宋体" w:hAnsi="宋体" w:eastAsia="宋体" w:cs="宋体"/>
                <w:snapToGrid w:val="0"/>
                <w:color w:val="000000"/>
                <w:spacing w:val="0"/>
                <w:kern w:val="21"/>
                <w:sz w:val="24"/>
                <w:szCs w:val="24"/>
                <w:highlight w:val="none"/>
                <w:lang w:val="en-US" w:eastAsia="zh-CN"/>
              </w:rPr>
              <w:t>磋商报价的其他要求</w:t>
            </w:r>
          </w:p>
        </w:tc>
        <w:tc>
          <w:tcPr>
            <w:tcW w:w="6679" w:type="dxa"/>
            <w:tcBorders>
              <w:top w:val="single" w:color="auto" w:sz="6" w:space="0"/>
              <w:left w:val="single" w:color="auto" w:sz="6" w:space="0"/>
              <w:bottom w:val="single" w:color="auto" w:sz="6" w:space="0"/>
              <w:right w:val="single" w:color="auto" w:sz="12" w:space="0"/>
            </w:tcBorders>
            <w:vAlign w:val="center"/>
          </w:tcPr>
          <w:p w14:paraId="453FE090">
            <w:pPr>
              <w:widowControl/>
              <w:numPr>
                <w:ilvl w:val="0"/>
                <w:numId w:val="0"/>
              </w:numPr>
              <w:jc w:val="left"/>
              <w:rPr>
                <w:rFonts w:hint="eastAsia" w:ascii="宋体" w:hAnsi="宋体" w:eastAsia="宋体" w:cs="宋体"/>
                <w:snapToGrid w:val="0"/>
                <w:color w:val="000000"/>
                <w:spacing w:val="0"/>
                <w:kern w:val="21"/>
                <w:sz w:val="24"/>
                <w:szCs w:val="24"/>
                <w:highlight w:val="none"/>
                <w:lang w:val="en-US" w:eastAsia="zh-CN"/>
              </w:rPr>
            </w:pPr>
            <w:r>
              <w:rPr>
                <w:rFonts w:hint="eastAsia" w:ascii="宋体" w:hAnsi="宋体" w:eastAsia="宋体" w:cs="宋体"/>
                <w:snapToGrid w:val="0"/>
                <w:color w:val="000000"/>
                <w:spacing w:val="0"/>
                <w:kern w:val="21"/>
                <w:sz w:val="24"/>
                <w:szCs w:val="24"/>
                <w:highlight w:val="none"/>
                <w:lang w:val="en-US" w:eastAsia="zh-CN"/>
              </w:rPr>
              <w:t>注：1.本次磋商采用总价形式提交电子报价，项目成交后，按实际配送金额对应折扣率办理结算。</w:t>
            </w:r>
          </w:p>
          <w:p w14:paraId="50AF6E02">
            <w:pPr>
              <w:widowControl/>
              <w:numPr>
                <w:ilvl w:val="0"/>
                <w:numId w:val="0"/>
              </w:numPr>
              <w:ind w:firstLine="480" w:firstLineChars="200"/>
              <w:jc w:val="left"/>
              <w:rPr>
                <w:rFonts w:hint="eastAsia" w:ascii="宋体" w:hAnsi="宋体" w:eastAsia="宋体" w:cs="宋体"/>
                <w:snapToGrid w:val="0"/>
                <w:color w:val="000000"/>
                <w:spacing w:val="0"/>
                <w:kern w:val="21"/>
                <w:sz w:val="24"/>
                <w:szCs w:val="24"/>
                <w:highlight w:val="none"/>
                <w:lang w:val="en-US" w:eastAsia="zh-CN"/>
              </w:rPr>
            </w:pPr>
            <w:r>
              <w:rPr>
                <w:rFonts w:hint="eastAsia" w:ascii="宋体" w:hAnsi="宋体" w:cs="宋体"/>
                <w:snapToGrid w:val="0"/>
                <w:color w:val="000000"/>
                <w:spacing w:val="0"/>
                <w:kern w:val="21"/>
                <w:sz w:val="24"/>
                <w:szCs w:val="24"/>
                <w:highlight w:val="none"/>
                <w:lang w:val="en-US" w:eastAsia="zh-CN"/>
              </w:rPr>
              <w:t>（1）</w:t>
            </w:r>
            <w:r>
              <w:rPr>
                <w:rFonts w:ascii="宋体" w:hAnsi="宋体" w:eastAsia="宋体" w:cs="宋体"/>
                <w:sz w:val="24"/>
                <w:szCs w:val="24"/>
              </w:rPr>
              <w:t>成交折扣计算公式</w:t>
            </w:r>
          </w:p>
          <w:p w14:paraId="7FA3CB62">
            <w:pPr>
              <w:pageBreakBefore w:val="0"/>
              <w:numPr>
                <w:ilvl w:val="0"/>
                <w:numId w:val="0"/>
              </w:numPr>
              <w:kinsoku/>
              <w:overflowPunct/>
              <w:topLinePunct w:val="0"/>
              <w:bidi w:val="0"/>
              <w:spacing w:line="360" w:lineRule="auto"/>
              <w:ind w:firstLine="480" w:firstLineChars="200"/>
              <w:rPr>
                <w:rFonts w:hint="eastAsia" w:ascii="宋体" w:hAnsi="宋体" w:eastAsia="宋体" w:cs="宋体"/>
                <w:b w:val="0"/>
                <w:bCs w:val="0"/>
                <w:color w:val="0000FF"/>
                <w:sz w:val="24"/>
                <w:szCs w:val="24"/>
                <w:highlight w:val="none"/>
              </w:rPr>
            </w:pPr>
            <w:r>
              <w:rPr>
                <w:rFonts w:hint="eastAsia" w:ascii="宋体" w:hAnsi="宋体" w:eastAsia="宋体" w:cs="宋体"/>
                <w:b w:val="0"/>
                <w:bCs w:val="0"/>
                <w:sz w:val="24"/>
                <w:szCs w:val="24"/>
                <w:highlight w:val="none"/>
              </w:rPr>
              <w:t>成交折扣率＝最终报价 ÷ 磋商控制价×100，计算结果四舍五入保留两位小数。 示例：最终报价</w:t>
            </w:r>
            <w:r>
              <w:rPr>
                <w:rFonts w:hint="eastAsia" w:ascii="宋体" w:hAnsi="宋体" w:cs="宋体"/>
                <w:b w:val="0"/>
                <w:bCs w:val="0"/>
                <w:sz w:val="24"/>
                <w:szCs w:val="24"/>
                <w:highlight w:val="none"/>
                <w:lang w:val="en-US" w:eastAsia="zh-CN"/>
              </w:rPr>
              <w:t>1183000.00</w:t>
            </w:r>
            <w:r>
              <w:rPr>
                <w:rFonts w:hint="eastAsia" w:ascii="宋体" w:hAnsi="宋体" w:eastAsia="宋体" w:cs="宋体"/>
                <w:b w:val="0"/>
                <w:bCs w:val="0"/>
                <w:sz w:val="24"/>
                <w:szCs w:val="24"/>
                <w:highlight w:val="none"/>
              </w:rPr>
              <w:t xml:space="preserve"> 元，磋商控制价 </w:t>
            </w:r>
            <w:r>
              <w:rPr>
                <w:rFonts w:hint="eastAsia" w:ascii="宋体" w:hAnsi="宋体" w:cs="宋体"/>
                <w:b w:val="0"/>
                <w:bCs w:val="0"/>
                <w:sz w:val="24"/>
                <w:szCs w:val="24"/>
                <w:highlight w:val="none"/>
                <w:lang w:val="en-US" w:eastAsia="zh-CN"/>
              </w:rPr>
              <w:t>1300000.00</w:t>
            </w:r>
            <w:r>
              <w:rPr>
                <w:rFonts w:hint="eastAsia" w:ascii="宋体" w:hAnsi="宋体" w:eastAsia="宋体" w:cs="宋体"/>
                <w:b w:val="0"/>
                <w:bCs w:val="0"/>
                <w:sz w:val="24"/>
                <w:szCs w:val="24"/>
                <w:highlight w:val="none"/>
              </w:rPr>
              <w:t xml:space="preserve"> 元 成交折扣率＝</w:t>
            </w:r>
            <w:r>
              <w:rPr>
                <w:rFonts w:hint="eastAsia" w:ascii="宋体" w:hAnsi="宋体" w:eastAsia="宋体" w:cs="宋体"/>
                <w:b w:val="0"/>
                <w:bCs w:val="0"/>
                <w:sz w:val="24"/>
                <w:szCs w:val="24"/>
                <w:highlight w:val="none"/>
                <w:lang w:val="en-US" w:eastAsia="zh-CN"/>
              </w:rPr>
              <w:t>1183000</w:t>
            </w:r>
            <w:r>
              <w:rPr>
                <w:rFonts w:hint="eastAsia" w:ascii="宋体" w:hAnsi="宋体" w:eastAsia="宋体" w:cs="宋体"/>
                <w:b w:val="0"/>
                <w:bCs w:val="0"/>
                <w:sz w:val="24"/>
                <w:szCs w:val="24"/>
                <w:highlight w:val="none"/>
              </w:rPr>
              <w:t>÷</w:t>
            </w:r>
            <w:r>
              <w:rPr>
                <w:rFonts w:hint="eastAsia" w:ascii="宋体" w:hAnsi="宋体" w:cs="宋体"/>
                <w:b w:val="0"/>
                <w:bCs w:val="0"/>
                <w:sz w:val="24"/>
                <w:szCs w:val="24"/>
                <w:highlight w:val="none"/>
                <w:lang w:val="en-US" w:eastAsia="zh-CN"/>
              </w:rPr>
              <w:t>1300000</w:t>
            </w:r>
            <w:r>
              <w:rPr>
                <w:rFonts w:hint="eastAsia" w:ascii="宋体" w:hAnsi="宋体" w:eastAsia="宋体" w:cs="宋体"/>
                <w:b w:val="0"/>
                <w:bCs w:val="0"/>
                <w:sz w:val="24"/>
                <w:szCs w:val="24"/>
                <w:highlight w:val="none"/>
              </w:rPr>
              <w:t>×100</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91.00%</w:t>
            </w:r>
          </w:p>
          <w:p w14:paraId="5B3FA08B">
            <w:pPr>
              <w:pageBreakBefore w:val="0"/>
              <w:numPr>
                <w:ilvl w:val="0"/>
                <w:numId w:val="0"/>
              </w:numPr>
              <w:kinsoku/>
              <w:overflowPunct/>
              <w:topLinePunct w:val="0"/>
              <w:bidi w:val="0"/>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月度结算价计算公式</w:t>
            </w:r>
          </w:p>
          <w:p w14:paraId="1E7A3FA9">
            <w:pPr>
              <w:pageBreakBefore w:val="0"/>
              <w:numPr>
                <w:ilvl w:val="0"/>
                <w:numId w:val="0"/>
              </w:numPr>
              <w:kinsoku/>
              <w:overflowPunct/>
              <w:topLinePunct w:val="0"/>
              <w:bidi w:val="0"/>
              <w:spacing w:line="360" w:lineRule="auto"/>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月度结算价款＝市场</w:t>
            </w:r>
            <w:r>
              <w:rPr>
                <w:rFonts w:hint="eastAsia" w:ascii="宋体" w:hAnsi="宋体" w:cs="宋体"/>
                <w:kern w:val="2"/>
                <w:sz w:val="24"/>
                <w:szCs w:val="24"/>
                <w:lang w:val="en-US" w:eastAsia="zh-CN" w:bidi="ar-SA"/>
              </w:rPr>
              <w:t>调查</w:t>
            </w:r>
            <w:r>
              <w:rPr>
                <w:rFonts w:hint="eastAsia" w:ascii="宋体" w:hAnsi="宋体" w:eastAsia="宋体" w:cs="宋体"/>
                <w:kern w:val="2"/>
                <w:sz w:val="24"/>
                <w:szCs w:val="24"/>
                <w:lang w:val="en-US" w:eastAsia="zh-CN" w:bidi="ar-SA"/>
              </w:rPr>
              <w:t xml:space="preserve">价 × 成交折扣率 × 当期实际供货数量 </w:t>
            </w:r>
          </w:p>
          <w:p w14:paraId="56A54BA6">
            <w:pPr>
              <w:widowControl/>
              <w:numPr>
                <w:ilvl w:val="0"/>
                <w:numId w:val="0"/>
              </w:numPr>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市场</w:t>
            </w:r>
            <w:r>
              <w:rPr>
                <w:rFonts w:hint="eastAsia" w:ascii="宋体" w:hAnsi="宋体" w:cs="宋体"/>
                <w:kern w:val="2"/>
                <w:sz w:val="24"/>
                <w:szCs w:val="24"/>
                <w:lang w:val="en-US" w:eastAsia="zh-CN" w:bidi="ar-SA"/>
              </w:rPr>
              <w:t>调查</w:t>
            </w:r>
            <w:r>
              <w:rPr>
                <w:rFonts w:hint="eastAsia" w:ascii="宋体" w:hAnsi="宋体" w:eastAsia="宋体" w:cs="宋体"/>
                <w:kern w:val="2"/>
                <w:sz w:val="24"/>
                <w:szCs w:val="24"/>
                <w:lang w:val="en-US" w:eastAsia="zh-CN" w:bidi="ar-SA"/>
              </w:rPr>
              <w:t>价的定价依据：</w:t>
            </w:r>
            <w:r>
              <w:rPr>
                <w:rFonts w:hint="eastAsia" w:ascii="宋体" w:hAnsi="宋体" w:cs="宋体"/>
                <w:kern w:val="2"/>
                <w:sz w:val="24"/>
                <w:szCs w:val="24"/>
                <w:lang w:val="en-US" w:eastAsia="zh-CN" w:bidi="ar-SA"/>
              </w:rPr>
              <w:t>采购</w:t>
            </w:r>
            <w:r>
              <w:rPr>
                <w:rFonts w:hint="eastAsia" w:ascii="宋体" w:hAnsi="宋体" w:eastAsia="宋体" w:cs="宋体"/>
                <w:kern w:val="2"/>
                <w:sz w:val="24"/>
                <w:szCs w:val="24"/>
                <w:lang w:val="en-US" w:eastAsia="zh-CN" w:bidi="ar-SA"/>
              </w:rPr>
              <w:t>人每月不定时组织市场调查，以</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所在区县大型商超、大型粮油店、农贸市场等任选1-3家同类货品平均价格（非活动价格）标示价为参考，实际以市场浮动作为基准。</w:t>
            </w:r>
          </w:p>
          <w:p w14:paraId="12D71E37">
            <w:pPr>
              <w:widowControl/>
              <w:numPr>
                <w:ilvl w:val="0"/>
                <w:numId w:val="0"/>
              </w:numPr>
              <w:ind w:left="0" w:leftChars="0" w:firstLine="480" w:firstLineChars="200"/>
              <w:jc w:val="left"/>
              <w:rPr>
                <w:rFonts w:ascii="宋体" w:hAnsi="宋体" w:cs="宋体"/>
                <w:color w:val="0000FF"/>
                <w:spacing w:val="6"/>
                <w:kern w:val="2"/>
                <w:sz w:val="24"/>
                <w:szCs w:val="24"/>
              </w:rPr>
            </w:pPr>
            <w:r>
              <w:rPr>
                <w:rFonts w:hint="eastAsia" w:ascii="宋体" w:hAnsi="宋体" w:cs="宋体"/>
                <w:snapToGrid w:val="0"/>
                <w:color w:val="000000"/>
                <w:spacing w:val="0"/>
                <w:kern w:val="21"/>
                <w:sz w:val="24"/>
                <w:szCs w:val="24"/>
                <w:highlight w:val="none"/>
                <w:lang w:val="en-US" w:eastAsia="zh-CN"/>
              </w:rPr>
              <w:t>3</w:t>
            </w:r>
            <w:r>
              <w:rPr>
                <w:rFonts w:hint="eastAsia" w:ascii="宋体" w:hAnsi="宋体" w:eastAsia="宋体" w:cs="宋体"/>
                <w:snapToGrid w:val="0"/>
                <w:color w:val="000000"/>
                <w:spacing w:val="0"/>
                <w:kern w:val="21"/>
                <w:sz w:val="24"/>
                <w:szCs w:val="24"/>
                <w:highlight w:val="none"/>
                <w:lang w:val="en-US" w:eastAsia="zh-CN"/>
              </w:rPr>
              <w:t>.按成交折扣核算的实际支付价款，包含货物本身价款、配送至甲方指定点位的运输费、装卸费、货品调换产生的全部杂费，以及完成供货所需缴纳的全部税费。本项目预算总额仅为预估金额，不作为月度结算上限依据。</w:t>
            </w:r>
          </w:p>
        </w:tc>
      </w:tr>
      <w:tr w14:paraId="053F9268">
        <w:tblPrEx>
          <w:tblCellMar>
            <w:top w:w="0" w:type="dxa"/>
            <w:left w:w="108" w:type="dxa"/>
            <w:bottom w:w="0" w:type="dxa"/>
            <w:right w:w="108" w:type="dxa"/>
          </w:tblCellMar>
        </w:tblPrEx>
        <w:trPr>
          <w:trHeight w:val="536"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59DB57A8">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13</w:t>
            </w:r>
          </w:p>
        </w:tc>
        <w:tc>
          <w:tcPr>
            <w:tcW w:w="2034" w:type="dxa"/>
            <w:tcBorders>
              <w:top w:val="single" w:color="auto" w:sz="6" w:space="0"/>
              <w:left w:val="single" w:color="auto" w:sz="6" w:space="0"/>
              <w:bottom w:val="single" w:color="auto" w:sz="6" w:space="0"/>
              <w:right w:val="single" w:color="auto" w:sz="6" w:space="0"/>
            </w:tcBorders>
            <w:vAlign w:val="center"/>
          </w:tcPr>
          <w:p w14:paraId="5F0CDEF9">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供应商资</w:t>
            </w:r>
            <w:r>
              <w:rPr>
                <w:rFonts w:hint="eastAsia" w:ascii="宋体" w:hAnsi="宋体" w:cs="宋体"/>
                <w:spacing w:val="6"/>
                <w:kern w:val="2"/>
                <w:sz w:val="24"/>
                <w:szCs w:val="24"/>
                <w:lang w:val="en-US" w:eastAsia="zh-CN"/>
              </w:rPr>
              <w:t>格</w:t>
            </w:r>
            <w:r>
              <w:rPr>
                <w:rFonts w:hint="eastAsia" w:ascii="宋体" w:hAnsi="宋体" w:cs="宋体"/>
                <w:spacing w:val="6"/>
                <w:kern w:val="2"/>
                <w:sz w:val="24"/>
                <w:szCs w:val="24"/>
              </w:rPr>
              <w:t>要求</w:t>
            </w:r>
          </w:p>
        </w:tc>
        <w:tc>
          <w:tcPr>
            <w:tcW w:w="6679" w:type="dxa"/>
            <w:tcBorders>
              <w:top w:val="single" w:color="auto" w:sz="6" w:space="0"/>
              <w:left w:val="single" w:color="auto" w:sz="6" w:space="0"/>
              <w:bottom w:val="single" w:color="auto" w:sz="6" w:space="0"/>
              <w:right w:val="single" w:color="auto" w:sz="12" w:space="0"/>
            </w:tcBorders>
            <w:vAlign w:val="center"/>
          </w:tcPr>
          <w:p w14:paraId="2D9ECD2D">
            <w:pPr>
              <w:spacing w:line="400" w:lineRule="exact"/>
              <w:ind w:left="3" w:hanging="2" w:hangingChars="1"/>
              <w:rPr>
                <w:rFonts w:ascii="宋体" w:hAnsi="宋体" w:cs="宋体"/>
                <w:spacing w:val="6"/>
                <w:kern w:val="2"/>
                <w:sz w:val="24"/>
                <w:szCs w:val="24"/>
              </w:rPr>
            </w:pPr>
            <w:r>
              <w:rPr>
                <w:rFonts w:hint="eastAsia" w:ascii="宋体" w:hAnsi="宋体" w:cs="宋体"/>
                <w:spacing w:val="6"/>
                <w:kern w:val="2"/>
                <w:sz w:val="24"/>
                <w:szCs w:val="24"/>
              </w:rPr>
              <w:t>具体详见公告内容</w:t>
            </w:r>
          </w:p>
        </w:tc>
      </w:tr>
      <w:tr w14:paraId="676CE406">
        <w:tblPrEx>
          <w:tblCellMar>
            <w:top w:w="0" w:type="dxa"/>
            <w:left w:w="108" w:type="dxa"/>
            <w:bottom w:w="0" w:type="dxa"/>
            <w:right w:w="108" w:type="dxa"/>
          </w:tblCellMar>
        </w:tblPrEx>
        <w:trPr>
          <w:trHeight w:val="552"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5740CB1C">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14</w:t>
            </w:r>
          </w:p>
        </w:tc>
        <w:tc>
          <w:tcPr>
            <w:tcW w:w="2034" w:type="dxa"/>
            <w:tcBorders>
              <w:top w:val="single" w:color="auto" w:sz="6" w:space="0"/>
              <w:left w:val="single" w:color="auto" w:sz="6" w:space="0"/>
              <w:bottom w:val="single" w:color="auto" w:sz="6" w:space="0"/>
              <w:right w:val="single" w:color="auto" w:sz="6" w:space="0"/>
            </w:tcBorders>
            <w:vAlign w:val="center"/>
          </w:tcPr>
          <w:p w14:paraId="7EA4274D">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磋商有效期</w:t>
            </w:r>
          </w:p>
        </w:tc>
        <w:tc>
          <w:tcPr>
            <w:tcW w:w="6679" w:type="dxa"/>
            <w:tcBorders>
              <w:top w:val="single" w:color="auto" w:sz="6" w:space="0"/>
              <w:left w:val="single" w:color="auto" w:sz="6" w:space="0"/>
              <w:bottom w:val="single" w:color="auto" w:sz="6" w:space="0"/>
              <w:right w:val="single" w:color="auto" w:sz="12" w:space="0"/>
            </w:tcBorders>
            <w:vAlign w:val="center"/>
          </w:tcPr>
          <w:p w14:paraId="598CF94D">
            <w:pPr>
              <w:spacing w:line="400" w:lineRule="exact"/>
              <w:ind w:left="3" w:hanging="2" w:hangingChars="1"/>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60日历天(指本次采购项目递交响应性文件截止之日起</w:t>
            </w:r>
            <w:r>
              <w:rPr>
                <w:rFonts w:hint="eastAsia" w:ascii="宋体" w:hAnsi="宋体" w:cs="宋体"/>
                <w:spacing w:val="6"/>
                <w:kern w:val="2"/>
                <w:sz w:val="24"/>
                <w:szCs w:val="24"/>
                <w:lang w:eastAsia="zh-CN"/>
              </w:rPr>
              <w:t>）</w:t>
            </w:r>
          </w:p>
        </w:tc>
      </w:tr>
      <w:tr w14:paraId="5A6E07B6">
        <w:tblPrEx>
          <w:tblCellMar>
            <w:top w:w="0" w:type="dxa"/>
            <w:left w:w="108" w:type="dxa"/>
            <w:bottom w:w="0" w:type="dxa"/>
            <w:right w:w="108" w:type="dxa"/>
          </w:tblCellMar>
        </w:tblPrEx>
        <w:trPr>
          <w:trHeight w:val="90"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2B5130CB">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15</w:t>
            </w:r>
          </w:p>
        </w:tc>
        <w:tc>
          <w:tcPr>
            <w:tcW w:w="2034" w:type="dxa"/>
            <w:tcBorders>
              <w:top w:val="single" w:color="auto" w:sz="6" w:space="0"/>
              <w:left w:val="single" w:color="auto" w:sz="6" w:space="0"/>
              <w:bottom w:val="single" w:color="auto" w:sz="6" w:space="0"/>
              <w:right w:val="single" w:color="auto" w:sz="6" w:space="0"/>
            </w:tcBorders>
            <w:vAlign w:val="center"/>
          </w:tcPr>
          <w:p w14:paraId="2B15DE2B">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磋商保证金</w:t>
            </w:r>
          </w:p>
        </w:tc>
        <w:tc>
          <w:tcPr>
            <w:tcW w:w="6679" w:type="dxa"/>
            <w:tcBorders>
              <w:top w:val="single" w:color="auto" w:sz="6" w:space="0"/>
              <w:left w:val="single" w:color="auto" w:sz="6" w:space="0"/>
              <w:bottom w:val="single" w:color="auto" w:sz="6" w:space="0"/>
              <w:right w:val="single" w:color="auto" w:sz="12" w:space="0"/>
            </w:tcBorders>
            <w:vAlign w:val="center"/>
          </w:tcPr>
          <w:p w14:paraId="19D4A71E">
            <w:pPr>
              <w:spacing w:line="400" w:lineRule="exact"/>
              <w:ind w:left="3" w:hanging="2" w:hangingChars="1"/>
              <w:rPr>
                <w:rFonts w:ascii="宋体" w:hAnsi="宋体" w:cs="宋体"/>
                <w:spacing w:val="6"/>
                <w:kern w:val="2"/>
                <w:sz w:val="24"/>
                <w:szCs w:val="24"/>
              </w:rPr>
            </w:pPr>
            <w:r>
              <w:rPr>
                <w:rFonts w:hint="eastAsia" w:ascii="宋体" w:hAnsi="宋体" w:cs="宋体"/>
                <w:spacing w:val="6"/>
                <w:kern w:val="2"/>
                <w:sz w:val="24"/>
                <w:szCs w:val="24"/>
              </w:rPr>
              <w:t>按照《河南省财政厅关于优化政府采购营商环境有关问题的通知》（豫财购[2019]4号文）的要求本项目不再收取磋商保证金</w:t>
            </w:r>
          </w:p>
        </w:tc>
      </w:tr>
      <w:tr w14:paraId="7A44ECFE">
        <w:tblPrEx>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5E630420">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16</w:t>
            </w:r>
          </w:p>
        </w:tc>
        <w:tc>
          <w:tcPr>
            <w:tcW w:w="2034" w:type="dxa"/>
            <w:tcBorders>
              <w:top w:val="single" w:color="auto" w:sz="6" w:space="0"/>
              <w:left w:val="single" w:color="auto" w:sz="6" w:space="0"/>
              <w:bottom w:val="single" w:color="auto" w:sz="6" w:space="0"/>
              <w:right w:val="single" w:color="auto" w:sz="6" w:space="0"/>
            </w:tcBorders>
            <w:vAlign w:val="center"/>
          </w:tcPr>
          <w:p w14:paraId="7959A764">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是否接受联合体投标</w:t>
            </w:r>
          </w:p>
        </w:tc>
        <w:tc>
          <w:tcPr>
            <w:tcW w:w="6679" w:type="dxa"/>
            <w:tcBorders>
              <w:top w:val="single" w:color="auto" w:sz="6" w:space="0"/>
              <w:left w:val="single" w:color="auto" w:sz="6" w:space="0"/>
              <w:bottom w:val="single" w:color="auto" w:sz="6" w:space="0"/>
              <w:right w:val="single" w:color="auto" w:sz="12" w:space="0"/>
            </w:tcBorders>
            <w:vAlign w:val="center"/>
          </w:tcPr>
          <w:p w14:paraId="580E062F">
            <w:pPr>
              <w:widowControl w:val="0"/>
              <w:adjustRightInd w:val="0"/>
              <w:spacing w:line="400" w:lineRule="exact"/>
              <w:ind w:left="0" w:leftChars="0" w:firstLine="0" w:firstLineChars="0"/>
              <w:rPr>
                <w:rFonts w:ascii="宋体" w:hAnsi="宋体" w:cs="宋体"/>
                <w:spacing w:val="6"/>
                <w:kern w:val="2"/>
                <w:sz w:val="24"/>
                <w:szCs w:val="24"/>
              </w:rPr>
            </w:pPr>
            <w:r>
              <w:rPr>
                <w:rFonts w:hint="eastAsia" w:ascii="宋体" w:hAnsi="宋体" w:cs="宋体"/>
                <w:spacing w:val="6"/>
                <w:kern w:val="2"/>
                <w:sz w:val="24"/>
                <w:szCs w:val="24"/>
              </w:rPr>
              <w:t>不接受</w:t>
            </w:r>
          </w:p>
        </w:tc>
      </w:tr>
      <w:tr w14:paraId="29AE4472">
        <w:tblPrEx>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36187C34">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17</w:t>
            </w:r>
          </w:p>
        </w:tc>
        <w:tc>
          <w:tcPr>
            <w:tcW w:w="2034" w:type="dxa"/>
            <w:tcBorders>
              <w:top w:val="single" w:color="auto" w:sz="6" w:space="0"/>
              <w:left w:val="single" w:color="auto" w:sz="6" w:space="0"/>
              <w:bottom w:val="single" w:color="auto" w:sz="6" w:space="0"/>
              <w:right w:val="single" w:color="auto" w:sz="6" w:space="0"/>
            </w:tcBorders>
            <w:vAlign w:val="center"/>
          </w:tcPr>
          <w:p w14:paraId="77AB199A">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踏勘现场</w:t>
            </w:r>
          </w:p>
        </w:tc>
        <w:tc>
          <w:tcPr>
            <w:tcW w:w="6679" w:type="dxa"/>
            <w:tcBorders>
              <w:top w:val="single" w:color="auto" w:sz="6" w:space="0"/>
              <w:left w:val="single" w:color="auto" w:sz="6" w:space="0"/>
              <w:bottom w:val="single" w:color="auto" w:sz="6" w:space="0"/>
              <w:right w:val="single" w:color="auto" w:sz="12" w:space="0"/>
            </w:tcBorders>
            <w:vAlign w:val="center"/>
          </w:tcPr>
          <w:p w14:paraId="4B2BF68D">
            <w:pPr>
              <w:widowControl w:val="0"/>
              <w:adjustRightInd w:val="0"/>
              <w:spacing w:line="400" w:lineRule="exact"/>
              <w:ind w:left="0" w:leftChars="0" w:firstLine="0" w:firstLineChars="0"/>
              <w:rPr>
                <w:rFonts w:ascii="宋体" w:hAnsi="宋体" w:cs="宋体"/>
                <w:spacing w:val="6"/>
                <w:kern w:val="2"/>
                <w:sz w:val="24"/>
                <w:szCs w:val="24"/>
              </w:rPr>
            </w:pPr>
            <w:r>
              <w:rPr>
                <w:rFonts w:hint="eastAsia" w:ascii="宋体" w:hAnsi="宋体" w:cs="宋体"/>
                <w:spacing w:val="6"/>
                <w:kern w:val="2"/>
                <w:sz w:val="24"/>
                <w:szCs w:val="24"/>
              </w:rPr>
              <w:t>不组织</w:t>
            </w:r>
          </w:p>
        </w:tc>
      </w:tr>
      <w:tr w14:paraId="44DF10C0">
        <w:tblPrEx>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13B1253E">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18</w:t>
            </w:r>
          </w:p>
        </w:tc>
        <w:tc>
          <w:tcPr>
            <w:tcW w:w="2034" w:type="dxa"/>
            <w:tcBorders>
              <w:top w:val="single" w:color="auto" w:sz="6" w:space="0"/>
              <w:left w:val="single" w:color="auto" w:sz="6" w:space="0"/>
              <w:bottom w:val="single" w:color="auto" w:sz="6" w:space="0"/>
              <w:right w:val="single" w:color="auto" w:sz="6" w:space="0"/>
            </w:tcBorders>
            <w:vAlign w:val="center"/>
          </w:tcPr>
          <w:p w14:paraId="41012BB8">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预备会</w:t>
            </w:r>
          </w:p>
        </w:tc>
        <w:tc>
          <w:tcPr>
            <w:tcW w:w="6679" w:type="dxa"/>
            <w:tcBorders>
              <w:top w:val="single" w:color="auto" w:sz="6" w:space="0"/>
              <w:left w:val="single" w:color="auto" w:sz="6" w:space="0"/>
              <w:bottom w:val="single" w:color="auto" w:sz="6" w:space="0"/>
              <w:right w:val="single" w:color="auto" w:sz="12" w:space="0"/>
            </w:tcBorders>
            <w:vAlign w:val="center"/>
          </w:tcPr>
          <w:p w14:paraId="0B030E24">
            <w:pPr>
              <w:widowControl w:val="0"/>
              <w:adjustRightInd w:val="0"/>
              <w:spacing w:line="400" w:lineRule="exact"/>
              <w:ind w:left="0" w:leftChars="0" w:firstLine="0" w:firstLineChars="0"/>
              <w:rPr>
                <w:rFonts w:ascii="宋体" w:hAnsi="宋体" w:cs="宋体"/>
                <w:spacing w:val="6"/>
                <w:kern w:val="2"/>
                <w:sz w:val="24"/>
                <w:szCs w:val="24"/>
              </w:rPr>
            </w:pPr>
            <w:r>
              <w:rPr>
                <w:rFonts w:hint="eastAsia" w:ascii="宋体" w:hAnsi="宋体" w:cs="宋体"/>
                <w:spacing w:val="6"/>
                <w:kern w:val="2"/>
                <w:sz w:val="24"/>
                <w:szCs w:val="24"/>
              </w:rPr>
              <w:t>不召开</w:t>
            </w:r>
          </w:p>
        </w:tc>
      </w:tr>
      <w:tr w14:paraId="5C40193D">
        <w:tblPrEx>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568C7F9A">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19</w:t>
            </w:r>
          </w:p>
        </w:tc>
        <w:tc>
          <w:tcPr>
            <w:tcW w:w="2034" w:type="dxa"/>
            <w:tcBorders>
              <w:top w:val="single" w:color="auto" w:sz="6" w:space="0"/>
              <w:left w:val="single" w:color="auto" w:sz="6" w:space="0"/>
              <w:bottom w:val="single" w:color="auto" w:sz="6" w:space="0"/>
              <w:right w:val="single" w:color="auto" w:sz="6" w:space="0"/>
            </w:tcBorders>
            <w:vAlign w:val="center"/>
          </w:tcPr>
          <w:p w14:paraId="587A4CE9">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分包</w:t>
            </w:r>
          </w:p>
        </w:tc>
        <w:tc>
          <w:tcPr>
            <w:tcW w:w="6679" w:type="dxa"/>
            <w:tcBorders>
              <w:top w:val="single" w:color="auto" w:sz="6" w:space="0"/>
              <w:left w:val="single" w:color="auto" w:sz="6" w:space="0"/>
              <w:bottom w:val="single" w:color="auto" w:sz="6" w:space="0"/>
              <w:right w:val="single" w:color="auto" w:sz="12" w:space="0"/>
            </w:tcBorders>
            <w:vAlign w:val="center"/>
          </w:tcPr>
          <w:p w14:paraId="25B012EA">
            <w:pPr>
              <w:widowControl w:val="0"/>
              <w:adjustRightInd w:val="0"/>
              <w:spacing w:line="400" w:lineRule="exact"/>
              <w:ind w:left="0" w:leftChars="0" w:firstLine="0" w:firstLineChars="0"/>
              <w:rPr>
                <w:rFonts w:ascii="宋体" w:hAnsi="宋体" w:cs="宋体"/>
                <w:spacing w:val="6"/>
                <w:kern w:val="2"/>
                <w:sz w:val="24"/>
                <w:szCs w:val="24"/>
              </w:rPr>
            </w:pPr>
            <w:r>
              <w:rPr>
                <w:rFonts w:hint="eastAsia" w:ascii="宋体" w:hAnsi="宋体" w:cs="宋体"/>
                <w:spacing w:val="6"/>
                <w:kern w:val="2"/>
                <w:sz w:val="24"/>
                <w:szCs w:val="24"/>
              </w:rPr>
              <w:t>不允许</w:t>
            </w:r>
          </w:p>
        </w:tc>
      </w:tr>
      <w:tr w14:paraId="7E05DDCF">
        <w:tblPrEx>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24548488">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20</w:t>
            </w:r>
          </w:p>
        </w:tc>
        <w:tc>
          <w:tcPr>
            <w:tcW w:w="2034" w:type="dxa"/>
            <w:tcBorders>
              <w:top w:val="single" w:color="auto" w:sz="6" w:space="0"/>
              <w:left w:val="single" w:color="auto" w:sz="6" w:space="0"/>
              <w:bottom w:val="single" w:color="auto" w:sz="6" w:space="0"/>
              <w:right w:val="single" w:color="auto" w:sz="6" w:space="0"/>
            </w:tcBorders>
            <w:vAlign w:val="center"/>
          </w:tcPr>
          <w:p w14:paraId="1CC70141">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偏离</w:t>
            </w:r>
          </w:p>
        </w:tc>
        <w:tc>
          <w:tcPr>
            <w:tcW w:w="6679" w:type="dxa"/>
            <w:tcBorders>
              <w:top w:val="single" w:color="auto" w:sz="6" w:space="0"/>
              <w:left w:val="single" w:color="auto" w:sz="6" w:space="0"/>
              <w:bottom w:val="single" w:color="auto" w:sz="6" w:space="0"/>
              <w:right w:val="single" w:color="auto" w:sz="12" w:space="0"/>
            </w:tcBorders>
            <w:vAlign w:val="center"/>
          </w:tcPr>
          <w:p w14:paraId="7863947A">
            <w:pPr>
              <w:widowControl w:val="0"/>
              <w:adjustRightInd w:val="0"/>
              <w:spacing w:line="400" w:lineRule="exact"/>
              <w:ind w:left="0" w:leftChars="0" w:firstLine="0" w:firstLineChars="0"/>
              <w:rPr>
                <w:rFonts w:ascii="宋体" w:hAnsi="宋体" w:cs="宋体"/>
                <w:spacing w:val="6"/>
                <w:kern w:val="2"/>
                <w:sz w:val="24"/>
                <w:szCs w:val="24"/>
              </w:rPr>
            </w:pPr>
            <w:r>
              <w:rPr>
                <w:rFonts w:hint="eastAsia" w:ascii="宋体" w:hAnsi="宋体" w:cs="宋体"/>
                <w:spacing w:val="6"/>
                <w:kern w:val="2"/>
                <w:sz w:val="24"/>
                <w:szCs w:val="24"/>
              </w:rPr>
              <w:t>不允许</w:t>
            </w:r>
          </w:p>
        </w:tc>
      </w:tr>
      <w:tr w14:paraId="44C1EAE6">
        <w:tblPrEx>
          <w:tblCellMar>
            <w:top w:w="0" w:type="dxa"/>
            <w:left w:w="108" w:type="dxa"/>
            <w:bottom w:w="0" w:type="dxa"/>
            <w:right w:w="108" w:type="dxa"/>
          </w:tblCellMar>
        </w:tblPrEx>
        <w:trPr>
          <w:trHeight w:val="771"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0F3F91D2">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21</w:t>
            </w:r>
          </w:p>
        </w:tc>
        <w:tc>
          <w:tcPr>
            <w:tcW w:w="2034" w:type="dxa"/>
            <w:tcBorders>
              <w:top w:val="single" w:color="auto" w:sz="6" w:space="0"/>
              <w:left w:val="single" w:color="auto" w:sz="6" w:space="0"/>
              <w:bottom w:val="single" w:color="auto" w:sz="6" w:space="0"/>
              <w:right w:val="single" w:color="auto" w:sz="6" w:space="0"/>
            </w:tcBorders>
            <w:vAlign w:val="center"/>
          </w:tcPr>
          <w:p w14:paraId="66C2B953">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是否接受进口产品</w:t>
            </w:r>
          </w:p>
        </w:tc>
        <w:tc>
          <w:tcPr>
            <w:tcW w:w="6679" w:type="dxa"/>
            <w:tcBorders>
              <w:top w:val="single" w:color="auto" w:sz="6" w:space="0"/>
              <w:left w:val="single" w:color="auto" w:sz="6" w:space="0"/>
              <w:bottom w:val="single" w:color="auto" w:sz="6" w:space="0"/>
              <w:right w:val="single" w:color="auto" w:sz="12" w:space="0"/>
            </w:tcBorders>
            <w:vAlign w:val="center"/>
          </w:tcPr>
          <w:p w14:paraId="492C2D75">
            <w:pPr>
              <w:widowControl w:val="0"/>
              <w:adjustRightInd w:val="0"/>
              <w:spacing w:line="400" w:lineRule="exact"/>
              <w:ind w:left="0" w:leftChars="0" w:firstLine="0" w:firstLineChars="0"/>
              <w:rPr>
                <w:rFonts w:ascii="宋体" w:hAnsi="宋体" w:cs="宋体"/>
                <w:spacing w:val="6"/>
                <w:kern w:val="2"/>
                <w:sz w:val="24"/>
                <w:szCs w:val="24"/>
              </w:rPr>
            </w:pPr>
            <w:r>
              <w:rPr>
                <w:rFonts w:hint="eastAsia" w:ascii="宋体" w:hAnsi="宋体" w:cs="宋体"/>
                <w:spacing w:val="6"/>
                <w:kern w:val="2"/>
                <w:sz w:val="24"/>
                <w:szCs w:val="24"/>
              </w:rPr>
              <w:t>否</w:t>
            </w:r>
          </w:p>
        </w:tc>
      </w:tr>
      <w:tr w14:paraId="0D7EAF6E">
        <w:tblPrEx>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04B5A17E">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22</w:t>
            </w:r>
          </w:p>
        </w:tc>
        <w:tc>
          <w:tcPr>
            <w:tcW w:w="2034" w:type="dxa"/>
            <w:tcBorders>
              <w:top w:val="single" w:color="auto" w:sz="6" w:space="0"/>
              <w:left w:val="single" w:color="auto" w:sz="6" w:space="0"/>
              <w:bottom w:val="single" w:color="auto" w:sz="6" w:space="0"/>
              <w:right w:val="single" w:color="auto" w:sz="6" w:space="0"/>
            </w:tcBorders>
            <w:vAlign w:val="center"/>
          </w:tcPr>
          <w:p w14:paraId="05FE41F7">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构成磋商文件的其他材料</w:t>
            </w:r>
          </w:p>
        </w:tc>
        <w:tc>
          <w:tcPr>
            <w:tcW w:w="6679" w:type="dxa"/>
            <w:tcBorders>
              <w:top w:val="single" w:color="auto" w:sz="6" w:space="0"/>
              <w:left w:val="single" w:color="auto" w:sz="6" w:space="0"/>
              <w:bottom w:val="single" w:color="auto" w:sz="6" w:space="0"/>
              <w:right w:val="single" w:color="auto" w:sz="12" w:space="0"/>
            </w:tcBorders>
            <w:vAlign w:val="center"/>
          </w:tcPr>
          <w:p w14:paraId="69037975">
            <w:pPr>
              <w:adjustRightInd w:val="0"/>
              <w:snapToGrid w:val="0"/>
              <w:spacing w:line="400" w:lineRule="exact"/>
              <w:ind w:left="0" w:leftChars="0" w:firstLine="0" w:firstLineChars="0"/>
              <w:rPr>
                <w:rFonts w:ascii="宋体" w:hAnsi="宋体" w:cs="宋体"/>
                <w:spacing w:val="-10"/>
                <w:kern w:val="2"/>
                <w:sz w:val="24"/>
                <w:szCs w:val="24"/>
              </w:rPr>
            </w:pPr>
            <w:r>
              <w:rPr>
                <w:rFonts w:hint="eastAsia" w:ascii="宋体" w:hAnsi="宋体" w:cs="宋体"/>
                <w:kern w:val="2"/>
                <w:sz w:val="24"/>
                <w:szCs w:val="24"/>
              </w:rPr>
              <w:t>对磋商文件所作的澄清（含答疑）、修改，补充构成磋商文件的组成部分</w:t>
            </w:r>
          </w:p>
        </w:tc>
      </w:tr>
      <w:tr w14:paraId="11C526F2">
        <w:tblPrEx>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200A8222">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23</w:t>
            </w:r>
          </w:p>
        </w:tc>
        <w:tc>
          <w:tcPr>
            <w:tcW w:w="2034" w:type="dxa"/>
            <w:tcBorders>
              <w:top w:val="single" w:color="auto" w:sz="6" w:space="0"/>
              <w:left w:val="single" w:color="auto" w:sz="6" w:space="0"/>
              <w:bottom w:val="single" w:color="auto" w:sz="6" w:space="0"/>
              <w:right w:val="single" w:color="auto" w:sz="6" w:space="0"/>
            </w:tcBorders>
            <w:vAlign w:val="center"/>
          </w:tcPr>
          <w:p w14:paraId="397D233A">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lang w:eastAsia="zh-CN"/>
              </w:rPr>
              <w:t>供应商</w:t>
            </w:r>
            <w:r>
              <w:rPr>
                <w:rFonts w:hint="eastAsia" w:ascii="宋体" w:hAnsi="宋体" w:cs="宋体"/>
                <w:spacing w:val="6"/>
                <w:kern w:val="2"/>
                <w:sz w:val="24"/>
                <w:szCs w:val="24"/>
              </w:rPr>
              <w:t>要求澄清竞争性磋商文件的截止时间</w:t>
            </w:r>
          </w:p>
        </w:tc>
        <w:tc>
          <w:tcPr>
            <w:tcW w:w="6679" w:type="dxa"/>
            <w:tcBorders>
              <w:top w:val="single" w:color="auto" w:sz="6" w:space="0"/>
              <w:left w:val="single" w:color="auto" w:sz="6" w:space="0"/>
              <w:bottom w:val="single" w:color="auto" w:sz="6" w:space="0"/>
              <w:right w:val="single" w:color="auto" w:sz="12" w:space="0"/>
            </w:tcBorders>
            <w:vAlign w:val="center"/>
          </w:tcPr>
          <w:p w14:paraId="66CF41B1">
            <w:pPr>
              <w:spacing w:line="400" w:lineRule="exact"/>
              <w:ind w:left="0" w:leftChars="0" w:firstLine="0" w:firstLineChars="0"/>
              <w:rPr>
                <w:rFonts w:ascii="宋体" w:hAnsi="宋体" w:cs="宋体"/>
                <w:spacing w:val="-10"/>
                <w:kern w:val="2"/>
                <w:sz w:val="24"/>
                <w:szCs w:val="24"/>
              </w:rPr>
            </w:pPr>
            <w:r>
              <w:rPr>
                <w:rFonts w:hint="eastAsia" w:ascii="宋体" w:hAnsi="宋体" w:cs="宋体"/>
                <w:kern w:val="2"/>
                <w:sz w:val="24"/>
                <w:szCs w:val="24"/>
              </w:rPr>
              <w:t>响应文件递交截止时间5日前</w:t>
            </w:r>
          </w:p>
        </w:tc>
      </w:tr>
      <w:tr w14:paraId="19558C69">
        <w:tblPrEx>
          <w:tblCellMar>
            <w:top w:w="0" w:type="dxa"/>
            <w:left w:w="108" w:type="dxa"/>
            <w:bottom w:w="0" w:type="dxa"/>
            <w:right w:w="108" w:type="dxa"/>
          </w:tblCellMar>
        </w:tblPrEx>
        <w:trPr>
          <w:trHeight w:val="1031"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2C0FFA60">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24</w:t>
            </w:r>
          </w:p>
        </w:tc>
        <w:tc>
          <w:tcPr>
            <w:tcW w:w="2034" w:type="dxa"/>
            <w:tcBorders>
              <w:top w:val="single" w:color="auto" w:sz="6" w:space="0"/>
              <w:left w:val="single" w:color="auto" w:sz="6" w:space="0"/>
              <w:bottom w:val="single" w:color="auto" w:sz="6" w:space="0"/>
              <w:right w:val="single" w:color="auto" w:sz="6" w:space="0"/>
            </w:tcBorders>
            <w:vAlign w:val="center"/>
          </w:tcPr>
          <w:p w14:paraId="5F3FA1A7">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响应文件递</w:t>
            </w:r>
          </w:p>
          <w:p w14:paraId="2988B273">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交截止时间</w:t>
            </w:r>
          </w:p>
        </w:tc>
        <w:tc>
          <w:tcPr>
            <w:tcW w:w="6679" w:type="dxa"/>
            <w:tcBorders>
              <w:top w:val="single" w:color="auto" w:sz="6" w:space="0"/>
              <w:left w:val="single" w:color="auto" w:sz="6" w:space="0"/>
              <w:bottom w:val="single" w:color="auto" w:sz="6" w:space="0"/>
              <w:right w:val="single" w:color="auto" w:sz="12" w:space="0"/>
            </w:tcBorders>
            <w:vAlign w:val="center"/>
          </w:tcPr>
          <w:p w14:paraId="319DC0B4">
            <w:pPr>
              <w:spacing w:line="400" w:lineRule="exact"/>
              <w:ind w:left="0" w:leftChars="0" w:firstLine="0" w:firstLineChars="0"/>
              <w:rPr>
                <w:rFonts w:ascii="宋体" w:hAnsi="宋体" w:cs="宋体"/>
                <w:spacing w:val="-10"/>
                <w:kern w:val="2"/>
                <w:sz w:val="24"/>
                <w:szCs w:val="24"/>
              </w:rPr>
            </w:pPr>
            <w:r>
              <w:rPr>
                <w:rFonts w:hint="eastAsia" w:ascii="宋体" w:hAnsi="宋体" w:cs="宋体"/>
                <w:spacing w:val="6"/>
                <w:kern w:val="2"/>
                <w:sz w:val="24"/>
                <w:szCs w:val="24"/>
              </w:rPr>
              <w:t>具体详见公告部分</w:t>
            </w:r>
          </w:p>
        </w:tc>
      </w:tr>
      <w:tr w14:paraId="3203DB85">
        <w:tblPrEx>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3D4E8DFF">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25</w:t>
            </w:r>
          </w:p>
        </w:tc>
        <w:tc>
          <w:tcPr>
            <w:tcW w:w="2034" w:type="dxa"/>
            <w:tcBorders>
              <w:top w:val="single" w:color="auto" w:sz="6" w:space="0"/>
              <w:left w:val="single" w:color="auto" w:sz="6" w:space="0"/>
              <w:bottom w:val="single" w:color="auto" w:sz="6" w:space="0"/>
              <w:right w:val="single" w:color="auto" w:sz="6" w:space="0"/>
            </w:tcBorders>
            <w:vAlign w:val="center"/>
          </w:tcPr>
          <w:p w14:paraId="476EED25">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lang w:eastAsia="zh-CN"/>
              </w:rPr>
              <w:t>供应商</w:t>
            </w:r>
            <w:r>
              <w:rPr>
                <w:rFonts w:hint="eastAsia" w:ascii="宋体" w:hAnsi="宋体" w:cs="宋体"/>
                <w:spacing w:val="6"/>
                <w:kern w:val="2"/>
                <w:sz w:val="24"/>
                <w:szCs w:val="24"/>
              </w:rPr>
              <w:t>确认收到竞争性磋商文件澄清的时间</w:t>
            </w:r>
          </w:p>
        </w:tc>
        <w:tc>
          <w:tcPr>
            <w:tcW w:w="6679" w:type="dxa"/>
            <w:tcBorders>
              <w:top w:val="single" w:color="auto" w:sz="6" w:space="0"/>
              <w:left w:val="single" w:color="auto" w:sz="6" w:space="0"/>
              <w:bottom w:val="single" w:color="auto" w:sz="6" w:space="0"/>
              <w:right w:val="single" w:color="auto" w:sz="12" w:space="0"/>
            </w:tcBorders>
            <w:vAlign w:val="center"/>
          </w:tcPr>
          <w:p w14:paraId="5F0BE0BD">
            <w:pPr>
              <w:spacing w:line="400" w:lineRule="exact"/>
              <w:ind w:left="0" w:leftChars="0" w:firstLine="0" w:firstLineChars="0"/>
              <w:rPr>
                <w:rFonts w:ascii="宋体" w:hAnsi="宋体" w:cs="宋体"/>
                <w:spacing w:val="-10"/>
                <w:kern w:val="2"/>
                <w:sz w:val="24"/>
                <w:szCs w:val="24"/>
              </w:rPr>
            </w:pPr>
            <w:r>
              <w:rPr>
                <w:rFonts w:hint="eastAsia" w:ascii="宋体" w:hAnsi="宋体" w:cs="宋体"/>
                <w:kern w:val="2"/>
                <w:sz w:val="24"/>
                <w:szCs w:val="24"/>
              </w:rPr>
              <w:t>在收到相应澄清文件后</w:t>
            </w:r>
            <w:r>
              <w:rPr>
                <w:rFonts w:hint="eastAsia" w:ascii="宋体" w:hAnsi="宋体" w:cs="宋体"/>
                <w:kern w:val="2"/>
                <w:sz w:val="24"/>
                <w:szCs w:val="24"/>
                <w:u w:val="single"/>
              </w:rPr>
              <w:t xml:space="preserve"> 24 </w:t>
            </w:r>
            <w:r>
              <w:rPr>
                <w:rFonts w:hint="eastAsia" w:ascii="宋体" w:hAnsi="宋体" w:cs="宋体"/>
                <w:kern w:val="2"/>
                <w:sz w:val="24"/>
                <w:szCs w:val="24"/>
              </w:rPr>
              <w:t>小时内</w:t>
            </w:r>
          </w:p>
        </w:tc>
      </w:tr>
      <w:tr w14:paraId="73F49181">
        <w:tblPrEx>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009E0C18">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26</w:t>
            </w:r>
          </w:p>
        </w:tc>
        <w:tc>
          <w:tcPr>
            <w:tcW w:w="2034" w:type="dxa"/>
            <w:tcBorders>
              <w:top w:val="single" w:color="auto" w:sz="6" w:space="0"/>
              <w:left w:val="single" w:color="auto" w:sz="6" w:space="0"/>
              <w:bottom w:val="single" w:color="auto" w:sz="6" w:space="0"/>
              <w:right w:val="single" w:color="auto" w:sz="6" w:space="0"/>
            </w:tcBorders>
            <w:vAlign w:val="center"/>
          </w:tcPr>
          <w:p w14:paraId="6D0CA791">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lang w:eastAsia="zh-CN"/>
              </w:rPr>
              <w:t>供应商</w:t>
            </w:r>
            <w:r>
              <w:rPr>
                <w:rFonts w:hint="eastAsia" w:ascii="宋体" w:hAnsi="宋体" w:cs="宋体"/>
                <w:spacing w:val="6"/>
                <w:kern w:val="2"/>
                <w:sz w:val="24"/>
                <w:szCs w:val="24"/>
              </w:rPr>
              <w:t>确认收到竞争性磋商文件修改的时间</w:t>
            </w:r>
          </w:p>
        </w:tc>
        <w:tc>
          <w:tcPr>
            <w:tcW w:w="6679" w:type="dxa"/>
            <w:tcBorders>
              <w:top w:val="single" w:color="auto" w:sz="6" w:space="0"/>
              <w:left w:val="single" w:color="auto" w:sz="6" w:space="0"/>
              <w:bottom w:val="single" w:color="auto" w:sz="6" w:space="0"/>
              <w:right w:val="single" w:color="auto" w:sz="12" w:space="0"/>
            </w:tcBorders>
            <w:vAlign w:val="center"/>
          </w:tcPr>
          <w:p w14:paraId="748A191A">
            <w:pPr>
              <w:spacing w:line="400" w:lineRule="exact"/>
              <w:ind w:left="0" w:leftChars="0" w:firstLine="0" w:firstLineChars="0"/>
              <w:rPr>
                <w:rFonts w:ascii="宋体" w:hAnsi="宋体" w:cs="宋体"/>
                <w:spacing w:val="-10"/>
                <w:kern w:val="2"/>
                <w:sz w:val="24"/>
                <w:szCs w:val="24"/>
              </w:rPr>
            </w:pPr>
            <w:r>
              <w:rPr>
                <w:rFonts w:hint="eastAsia" w:ascii="宋体" w:hAnsi="宋体" w:cs="宋体"/>
                <w:kern w:val="2"/>
                <w:sz w:val="24"/>
                <w:szCs w:val="24"/>
              </w:rPr>
              <w:t>在收到相应修改文件后</w:t>
            </w:r>
            <w:r>
              <w:rPr>
                <w:rFonts w:hint="eastAsia" w:ascii="宋体" w:hAnsi="宋体" w:cs="宋体"/>
                <w:kern w:val="2"/>
                <w:sz w:val="24"/>
                <w:szCs w:val="24"/>
                <w:u w:val="single"/>
              </w:rPr>
              <w:t xml:space="preserve"> 24</w:t>
            </w:r>
            <w:r>
              <w:rPr>
                <w:rFonts w:hint="eastAsia" w:ascii="宋体" w:hAnsi="宋体" w:cs="宋体"/>
                <w:kern w:val="2"/>
                <w:sz w:val="24"/>
                <w:szCs w:val="24"/>
              </w:rPr>
              <w:t>小时内</w:t>
            </w:r>
          </w:p>
        </w:tc>
      </w:tr>
      <w:tr w14:paraId="7A500DC8">
        <w:tblPrEx>
          <w:tblCellMar>
            <w:top w:w="0" w:type="dxa"/>
            <w:left w:w="108" w:type="dxa"/>
            <w:bottom w:w="0" w:type="dxa"/>
            <w:right w:w="108" w:type="dxa"/>
          </w:tblCellMar>
        </w:tblPrEx>
        <w:trPr>
          <w:trHeight w:val="90"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198E42B9">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27</w:t>
            </w:r>
          </w:p>
        </w:tc>
        <w:tc>
          <w:tcPr>
            <w:tcW w:w="2034" w:type="dxa"/>
            <w:tcBorders>
              <w:top w:val="single" w:color="auto" w:sz="6" w:space="0"/>
              <w:left w:val="single" w:color="auto" w:sz="6" w:space="0"/>
              <w:bottom w:val="single" w:color="auto" w:sz="6" w:space="0"/>
              <w:right w:val="single" w:color="auto" w:sz="6" w:space="0"/>
            </w:tcBorders>
            <w:vAlign w:val="center"/>
          </w:tcPr>
          <w:p w14:paraId="44A0D724">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响应文件是否退还</w:t>
            </w:r>
          </w:p>
        </w:tc>
        <w:tc>
          <w:tcPr>
            <w:tcW w:w="6679" w:type="dxa"/>
            <w:tcBorders>
              <w:top w:val="single" w:color="auto" w:sz="6" w:space="0"/>
              <w:left w:val="single" w:color="auto" w:sz="6" w:space="0"/>
              <w:bottom w:val="single" w:color="auto" w:sz="6" w:space="0"/>
              <w:right w:val="single" w:color="auto" w:sz="12" w:space="0"/>
            </w:tcBorders>
            <w:vAlign w:val="center"/>
          </w:tcPr>
          <w:p w14:paraId="483129EB">
            <w:pPr>
              <w:widowControl w:val="0"/>
              <w:adjustRightInd w:val="0"/>
              <w:spacing w:line="400" w:lineRule="exact"/>
              <w:ind w:left="0" w:leftChars="0" w:firstLine="0" w:firstLineChars="0"/>
              <w:jc w:val="both"/>
              <w:rPr>
                <w:rFonts w:ascii="宋体" w:hAnsi="宋体" w:cs="宋体"/>
                <w:spacing w:val="-10"/>
                <w:kern w:val="2"/>
                <w:sz w:val="24"/>
                <w:szCs w:val="24"/>
              </w:rPr>
            </w:pPr>
            <w:r>
              <w:rPr>
                <w:rFonts w:hint="eastAsia" w:ascii="宋体" w:hAnsi="宋体" w:cs="宋体"/>
                <w:spacing w:val="-10"/>
                <w:kern w:val="2"/>
                <w:sz w:val="24"/>
                <w:szCs w:val="24"/>
              </w:rPr>
              <w:t>否</w:t>
            </w:r>
          </w:p>
        </w:tc>
      </w:tr>
      <w:tr w14:paraId="3F497709">
        <w:tblPrEx>
          <w:tblCellMar>
            <w:top w:w="0" w:type="dxa"/>
            <w:left w:w="108" w:type="dxa"/>
            <w:bottom w:w="0" w:type="dxa"/>
            <w:right w:w="108" w:type="dxa"/>
          </w:tblCellMar>
        </w:tblPrEx>
        <w:trPr>
          <w:trHeight w:val="1970"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5C2F4283">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28</w:t>
            </w:r>
          </w:p>
        </w:tc>
        <w:tc>
          <w:tcPr>
            <w:tcW w:w="2034" w:type="dxa"/>
            <w:tcBorders>
              <w:top w:val="single" w:color="auto" w:sz="6" w:space="0"/>
              <w:left w:val="single" w:color="auto" w:sz="6" w:space="0"/>
              <w:bottom w:val="single" w:color="auto" w:sz="6" w:space="0"/>
              <w:right w:val="single" w:color="auto" w:sz="6" w:space="0"/>
            </w:tcBorders>
            <w:vAlign w:val="center"/>
          </w:tcPr>
          <w:p w14:paraId="5C9E2E55">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是否允许递交备选磋商方案</w:t>
            </w:r>
          </w:p>
        </w:tc>
        <w:tc>
          <w:tcPr>
            <w:tcW w:w="6679" w:type="dxa"/>
            <w:tcBorders>
              <w:top w:val="single" w:color="auto" w:sz="6" w:space="0"/>
              <w:left w:val="single" w:color="auto" w:sz="6" w:space="0"/>
              <w:bottom w:val="single" w:color="auto" w:sz="6" w:space="0"/>
              <w:right w:val="single" w:color="auto" w:sz="12" w:space="0"/>
            </w:tcBorders>
            <w:vAlign w:val="center"/>
          </w:tcPr>
          <w:p w14:paraId="56A26840">
            <w:pPr>
              <w:spacing w:line="400" w:lineRule="exact"/>
              <w:ind w:left="0" w:leftChars="0" w:firstLine="0" w:firstLineChars="0"/>
              <w:jc w:val="both"/>
              <w:rPr>
                <w:rFonts w:ascii="宋体" w:hAnsi="宋体" w:cs="宋体"/>
                <w:spacing w:val="6"/>
                <w:kern w:val="2"/>
                <w:sz w:val="24"/>
                <w:szCs w:val="24"/>
              </w:rPr>
            </w:pPr>
            <w:r>
              <w:rPr>
                <w:rFonts w:hint="eastAsia" w:ascii="宋体" w:hAnsi="宋体" w:cs="宋体"/>
                <w:spacing w:val="6"/>
                <w:kern w:val="2"/>
                <w:sz w:val="24"/>
                <w:szCs w:val="24"/>
              </w:rPr>
              <w:t>不允许</w:t>
            </w:r>
          </w:p>
        </w:tc>
      </w:tr>
      <w:tr w14:paraId="7744922F">
        <w:tblPrEx>
          <w:tblCellMar>
            <w:top w:w="0" w:type="dxa"/>
            <w:left w:w="108" w:type="dxa"/>
            <w:bottom w:w="0" w:type="dxa"/>
            <w:right w:w="108" w:type="dxa"/>
          </w:tblCellMar>
        </w:tblPrEx>
        <w:trPr>
          <w:trHeight w:val="90"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0F25FC5C">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29</w:t>
            </w:r>
          </w:p>
        </w:tc>
        <w:tc>
          <w:tcPr>
            <w:tcW w:w="2034" w:type="dxa"/>
            <w:tcBorders>
              <w:top w:val="single" w:color="auto" w:sz="6" w:space="0"/>
              <w:left w:val="single" w:color="auto" w:sz="6" w:space="0"/>
              <w:bottom w:val="single" w:color="auto" w:sz="6" w:space="0"/>
              <w:right w:val="single" w:color="auto" w:sz="6" w:space="0"/>
            </w:tcBorders>
            <w:vAlign w:val="center"/>
          </w:tcPr>
          <w:p w14:paraId="544B7197">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签字和（或）盖章要求</w:t>
            </w:r>
          </w:p>
        </w:tc>
        <w:tc>
          <w:tcPr>
            <w:tcW w:w="6679" w:type="dxa"/>
            <w:tcBorders>
              <w:top w:val="single" w:color="auto" w:sz="6" w:space="0"/>
              <w:left w:val="single" w:color="auto" w:sz="6" w:space="0"/>
              <w:bottom w:val="single" w:color="auto" w:sz="6" w:space="0"/>
              <w:right w:val="single" w:color="auto" w:sz="12" w:space="0"/>
            </w:tcBorders>
            <w:vAlign w:val="center"/>
          </w:tcPr>
          <w:p w14:paraId="3B662346">
            <w:pPr>
              <w:spacing w:line="400" w:lineRule="exact"/>
              <w:ind w:left="0" w:leftChars="0" w:firstLine="0" w:firstLineChars="0"/>
              <w:rPr>
                <w:rFonts w:ascii="宋体" w:hAnsi="宋体" w:cs="宋体"/>
                <w:kern w:val="2"/>
                <w:sz w:val="24"/>
                <w:szCs w:val="24"/>
              </w:rPr>
            </w:pPr>
            <w:r>
              <w:rPr>
                <w:rFonts w:hint="eastAsia" w:ascii="宋体" w:hAnsi="宋体" w:cs="宋体"/>
                <w:kern w:val="2"/>
                <w:sz w:val="24"/>
                <w:szCs w:val="24"/>
              </w:rPr>
              <w:t>电子化响应文件的签章：</w:t>
            </w:r>
          </w:p>
          <w:p w14:paraId="433D0B77">
            <w:pPr>
              <w:spacing w:line="400" w:lineRule="exact"/>
              <w:rPr>
                <w:rFonts w:ascii="宋体" w:hAnsi="宋体" w:cs="宋体"/>
                <w:kern w:val="2"/>
                <w:sz w:val="24"/>
                <w:szCs w:val="24"/>
              </w:rPr>
            </w:pPr>
            <w:r>
              <w:rPr>
                <w:rFonts w:hint="eastAsia" w:ascii="宋体" w:hAnsi="宋体" w:cs="宋体"/>
                <w:kern w:val="2"/>
                <w:sz w:val="24"/>
                <w:szCs w:val="24"/>
              </w:rPr>
              <w:t>1、</w:t>
            </w:r>
            <w:r>
              <w:rPr>
                <w:rFonts w:hint="eastAsia" w:ascii="宋体" w:hAnsi="宋体" w:cs="宋体"/>
                <w:kern w:val="2"/>
                <w:sz w:val="24"/>
                <w:szCs w:val="24"/>
                <w:lang w:eastAsia="zh-CN"/>
              </w:rPr>
              <w:t>供应商</w:t>
            </w:r>
            <w:r>
              <w:rPr>
                <w:rFonts w:hint="eastAsia" w:ascii="宋体" w:hAnsi="宋体" w:cs="宋体"/>
                <w:kern w:val="2"/>
                <w:sz w:val="24"/>
                <w:szCs w:val="24"/>
              </w:rPr>
              <w:t>在生成电子化响应文件后，应对电子化响应文件进行签章，未对电子化响应文件进行签章的视为无效文件。</w:t>
            </w:r>
          </w:p>
          <w:p w14:paraId="10E789A8">
            <w:pPr>
              <w:spacing w:line="400" w:lineRule="exact"/>
              <w:rPr>
                <w:rFonts w:hint="eastAsia" w:ascii="宋体" w:hAnsi="宋体" w:eastAsia="宋体" w:cs="宋体"/>
                <w:kern w:val="2"/>
                <w:sz w:val="24"/>
                <w:szCs w:val="24"/>
              </w:rPr>
            </w:pPr>
            <w:r>
              <w:rPr>
                <w:rFonts w:hint="eastAsia" w:ascii="宋体" w:hAnsi="宋体" w:cs="宋体"/>
                <w:kern w:val="2"/>
                <w:sz w:val="24"/>
                <w:szCs w:val="24"/>
              </w:rPr>
              <w:t>2、竞争性磋商文件中要求法定代表人或授权委托人盖章的，</w:t>
            </w:r>
            <w:r>
              <w:rPr>
                <w:rFonts w:hint="eastAsia" w:ascii="宋体" w:hAnsi="宋体" w:cs="宋体"/>
                <w:kern w:val="2"/>
                <w:sz w:val="24"/>
                <w:szCs w:val="24"/>
                <w:lang w:eastAsia="zh-CN"/>
              </w:rPr>
              <w:t>供</w:t>
            </w:r>
            <w:r>
              <w:rPr>
                <w:rFonts w:hint="eastAsia" w:ascii="宋体" w:hAnsi="宋体" w:eastAsia="宋体" w:cs="宋体"/>
                <w:kern w:val="2"/>
                <w:sz w:val="24"/>
                <w:szCs w:val="24"/>
                <w:lang w:eastAsia="zh-CN"/>
              </w:rPr>
              <w:t>应商</w:t>
            </w:r>
            <w:r>
              <w:rPr>
                <w:rFonts w:hint="eastAsia" w:ascii="宋体" w:hAnsi="宋体" w:eastAsia="宋体" w:cs="宋体"/>
                <w:kern w:val="2"/>
                <w:sz w:val="24"/>
                <w:szCs w:val="24"/>
              </w:rPr>
              <w:t>在进行电子化响应文件签章时，以签盖法定代表人签章为准。</w:t>
            </w:r>
          </w:p>
          <w:p w14:paraId="578B31F3">
            <w:pPr>
              <w:spacing w:line="400" w:lineRule="exact"/>
              <w:rPr>
                <w:rFonts w:ascii="宋体" w:hAnsi="宋体" w:cs="宋体"/>
                <w:kern w:val="2"/>
                <w:sz w:val="24"/>
                <w:szCs w:val="24"/>
              </w:rPr>
            </w:pPr>
            <w:r>
              <w:rPr>
                <w:rFonts w:hint="eastAsia" w:ascii="宋体" w:hAnsi="宋体" w:eastAsia="宋体" w:cs="宋体"/>
                <w:kern w:val="2"/>
                <w:sz w:val="24"/>
                <w:szCs w:val="24"/>
              </w:rPr>
              <w:t>3、电子化响应文件工具请点击https://download.bqpoint.com/download/downloadlist.html?SoftTypeCode=06进行下</w:t>
            </w:r>
            <w:r>
              <w:rPr>
                <w:rFonts w:hint="eastAsia" w:ascii="宋体" w:hAnsi="宋体" w:cs="宋体"/>
                <w:kern w:val="2"/>
                <w:sz w:val="24"/>
                <w:szCs w:val="24"/>
              </w:rPr>
              <w:t>载。</w:t>
            </w:r>
          </w:p>
        </w:tc>
      </w:tr>
      <w:tr w14:paraId="5415DC97">
        <w:tblPrEx>
          <w:tblCellMar>
            <w:top w:w="0" w:type="dxa"/>
            <w:left w:w="108" w:type="dxa"/>
            <w:bottom w:w="0" w:type="dxa"/>
            <w:right w:w="108" w:type="dxa"/>
          </w:tblCellMar>
        </w:tblPrEx>
        <w:trPr>
          <w:trHeight w:val="1021"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13E3467A">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30</w:t>
            </w:r>
          </w:p>
        </w:tc>
        <w:tc>
          <w:tcPr>
            <w:tcW w:w="2034" w:type="dxa"/>
            <w:tcBorders>
              <w:top w:val="single" w:color="auto" w:sz="6" w:space="0"/>
              <w:left w:val="single" w:color="auto" w:sz="6" w:space="0"/>
              <w:bottom w:val="single" w:color="auto" w:sz="6" w:space="0"/>
              <w:right w:val="single" w:color="auto" w:sz="6" w:space="0"/>
            </w:tcBorders>
            <w:vAlign w:val="center"/>
          </w:tcPr>
          <w:p w14:paraId="19F51883">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履约保证金</w:t>
            </w:r>
          </w:p>
        </w:tc>
        <w:tc>
          <w:tcPr>
            <w:tcW w:w="6679" w:type="dxa"/>
            <w:tcBorders>
              <w:top w:val="single" w:color="auto" w:sz="6" w:space="0"/>
              <w:left w:val="single" w:color="auto" w:sz="6" w:space="0"/>
              <w:bottom w:val="single" w:color="auto" w:sz="6" w:space="0"/>
              <w:right w:val="single" w:color="auto" w:sz="12" w:space="0"/>
            </w:tcBorders>
            <w:vAlign w:val="center"/>
          </w:tcPr>
          <w:p w14:paraId="46381401">
            <w:pPr>
              <w:widowControl w:val="0"/>
              <w:spacing w:line="400" w:lineRule="exact"/>
              <w:ind w:left="0" w:leftChars="0" w:firstLine="0" w:firstLineChars="0"/>
              <w:jc w:val="both"/>
              <w:rPr>
                <w:rFonts w:ascii="宋体" w:hAnsi="宋体" w:cs="宋体"/>
                <w:kern w:val="2"/>
                <w:sz w:val="24"/>
                <w:szCs w:val="24"/>
              </w:rPr>
            </w:pPr>
            <w:r>
              <w:rPr>
                <w:rFonts w:hint="eastAsia" w:ascii="宋体" w:hAnsi="宋体" w:cs="宋体"/>
                <w:kern w:val="2"/>
                <w:sz w:val="24"/>
                <w:szCs w:val="24"/>
              </w:rPr>
              <w:t>不收取</w:t>
            </w:r>
          </w:p>
        </w:tc>
      </w:tr>
      <w:tr w14:paraId="6715B58F">
        <w:tblPrEx>
          <w:tblCellMar>
            <w:top w:w="0" w:type="dxa"/>
            <w:left w:w="108" w:type="dxa"/>
            <w:bottom w:w="0" w:type="dxa"/>
            <w:right w:w="108" w:type="dxa"/>
          </w:tblCellMar>
        </w:tblPrEx>
        <w:trPr>
          <w:trHeight w:val="541"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371B16CC">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31</w:t>
            </w:r>
          </w:p>
        </w:tc>
        <w:tc>
          <w:tcPr>
            <w:tcW w:w="2034" w:type="dxa"/>
            <w:tcBorders>
              <w:top w:val="single" w:color="auto" w:sz="6" w:space="0"/>
              <w:left w:val="single" w:color="auto" w:sz="6" w:space="0"/>
              <w:bottom w:val="single" w:color="auto" w:sz="6" w:space="0"/>
              <w:right w:val="single" w:color="auto" w:sz="6" w:space="0"/>
            </w:tcBorders>
            <w:vAlign w:val="center"/>
          </w:tcPr>
          <w:p w14:paraId="2910149C">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近年完成的类似项目的业绩年份要求</w:t>
            </w:r>
          </w:p>
        </w:tc>
        <w:tc>
          <w:tcPr>
            <w:tcW w:w="6679" w:type="dxa"/>
            <w:tcBorders>
              <w:top w:val="single" w:color="auto" w:sz="6" w:space="0"/>
              <w:left w:val="single" w:color="auto" w:sz="6" w:space="0"/>
              <w:bottom w:val="single" w:color="auto" w:sz="6" w:space="0"/>
              <w:right w:val="single" w:color="auto" w:sz="12" w:space="0"/>
            </w:tcBorders>
            <w:vAlign w:val="center"/>
          </w:tcPr>
          <w:p w14:paraId="3C39DAE7">
            <w:pPr>
              <w:widowControl w:val="0"/>
              <w:adjustRightInd w:val="0"/>
              <w:spacing w:line="360" w:lineRule="auto"/>
              <w:ind w:left="0" w:leftChars="0" w:firstLine="0" w:firstLineChars="0"/>
              <w:jc w:val="both"/>
              <w:rPr>
                <w:rFonts w:ascii="宋体" w:hAnsi="宋体" w:cs="宋体"/>
                <w:spacing w:val="-10"/>
                <w:kern w:val="2"/>
                <w:sz w:val="24"/>
                <w:szCs w:val="24"/>
              </w:rPr>
            </w:pPr>
            <w:r>
              <w:rPr>
                <w:rFonts w:hint="eastAsia" w:ascii="宋体" w:hAnsi="宋体" w:cs="宋体"/>
                <w:spacing w:val="-10"/>
                <w:kern w:val="2"/>
                <w:sz w:val="24"/>
                <w:szCs w:val="24"/>
                <w:lang w:val="en-US" w:eastAsia="zh-CN"/>
              </w:rPr>
              <w:t>2023</w:t>
            </w:r>
            <w:r>
              <w:rPr>
                <w:rFonts w:hint="eastAsia" w:ascii="宋体" w:hAnsi="宋体" w:cs="宋体"/>
                <w:spacing w:val="-10"/>
                <w:kern w:val="2"/>
                <w:sz w:val="24"/>
                <w:szCs w:val="24"/>
              </w:rPr>
              <w:t>年01月01日以来完成类似项目</w:t>
            </w:r>
          </w:p>
        </w:tc>
      </w:tr>
      <w:tr w14:paraId="6BC38746">
        <w:tblPrEx>
          <w:tblCellMar>
            <w:top w:w="0" w:type="dxa"/>
            <w:left w:w="108" w:type="dxa"/>
            <w:bottom w:w="0" w:type="dxa"/>
            <w:right w:w="108" w:type="dxa"/>
          </w:tblCellMar>
        </w:tblPrEx>
        <w:trPr>
          <w:trHeight w:val="1021"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37FDD2B8">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32</w:t>
            </w:r>
          </w:p>
        </w:tc>
        <w:tc>
          <w:tcPr>
            <w:tcW w:w="2034" w:type="dxa"/>
            <w:tcBorders>
              <w:top w:val="single" w:color="auto" w:sz="6" w:space="0"/>
              <w:left w:val="single" w:color="auto" w:sz="6" w:space="0"/>
              <w:bottom w:val="single" w:color="auto" w:sz="6" w:space="0"/>
              <w:right w:val="single" w:color="auto" w:sz="6" w:space="0"/>
            </w:tcBorders>
            <w:vAlign w:val="center"/>
          </w:tcPr>
          <w:p w14:paraId="3F3781F1">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竞争性磋商响应文件上传</w:t>
            </w:r>
          </w:p>
        </w:tc>
        <w:tc>
          <w:tcPr>
            <w:tcW w:w="6679" w:type="dxa"/>
            <w:tcBorders>
              <w:top w:val="single" w:color="auto" w:sz="6" w:space="0"/>
              <w:left w:val="single" w:color="auto" w:sz="6" w:space="0"/>
              <w:bottom w:val="single" w:color="auto" w:sz="6" w:space="0"/>
              <w:right w:val="single" w:color="auto" w:sz="12" w:space="0"/>
            </w:tcBorders>
            <w:vAlign w:val="center"/>
          </w:tcPr>
          <w:p w14:paraId="0DE8B701">
            <w:pPr>
              <w:widowControl w:val="0"/>
              <w:spacing w:line="400" w:lineRule="exact"/>
              <w:ind w:left="0" w:leftChars="0" w:firstLine="0" w:firstLineChars="0"/>
              <w:jc w:val="both"/>
              <w:rPr>
                <w:rFonts w:ascii="宋体" w:hAnsi="宋体" w:cs="宋体"/>
                <w:spacing w:val="6"/>
                <w:kern w:val="2"/>
                <w:sz w:val="24"/>
                <w:szCs w:val="24"/>
              </w:rPr>
            </w:pPr>
            <w:r>
              <w:rPr>
                <w:rFonts w:hint="eastAsia" w:ascii="宋体" w:hAnsi="宋体" w:cs="宋体"/>
                <w:spacing w:val="6"/>
                <w:kern w:val="2"/>
                <w:sz w:val="24"/>
                <w:szCs w:val="24"/>
              </w:rPr>
              <w:t>用CA在电子平台上传电子响应文件</w:t>
            </w:r>
          </w:p>
        </w:tc>
      </w:tr>
      <w:tr w14:paraId="57C66D71">
        <w:tblPrEx>
          <w:tblCellMar>
            <w:top w:w="0" w:type="dxa"/>
            <w:left w:w="108" w:type="dxa"/>
            <w:bottom w:w="0" w:type="dxa"/>
            <w:right w:w="108" w:type="dxa"/>
          </w:tblCellMar>
        </w:tblPrEx>
        <w:trPr>
          <w:trHeight w:val="735"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1C1CC07F">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33</w:t>
            </w:r>
          </w:p>
        </w:tc>
        <w:tc>
          <w:tcPr>
            <w:tcW w:w="2034" w:type="dxa"/>
            <w:tcBorders>
              <w:top w:val="single" w:color="auto" w:sz="6" w:space="0"/>
              <w:left w:val="single" w:color="auto" w:sz="6" w:space="0"/>
              <w:bottom w:val="single" w:color="auto" w:sz="6" w:space="0"/>
              <w:right w:val="single" w:color="auto" w:sz="6" w:space="0"/>
            </w:tcBorders>
            <w:vAlign w:val="center"/>
          </w:tcPr>
          <w:p w14:paraId="4A85556B">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磋商小组的组建</w:t>
            </w:r>
          </w:p>
        </w:tc>
        <w:tc>
          <w:tcPr>
            <w:tcW w:w="6679" w:type="dxa"/>
            <w:tcBorders>
              <w:top w:val="single" w:color="auto" w:sz="6" w:space="0"/>
              <w:left w:val="single" w:color="auto" w:sz="6" w:space="0"/>
              <w:bottom w:val="single" w:color="auto" w:sz="6" w:space="0"/>
              <w:right w:val="single" w:color="auto" w:sz="12" w:space="0"/>
            </w:tcBorders>
            <w:vAlign w:val="center"/>
          </w:tcPr>
          <w:p w14:paraId="4A1F2093">
            <w:pPr>
              <w:spacing w:line="400" w:lineRule="exact"/>
              <w:ind w:left="0" w:leftChars="0" w:firstLine="504" w:firstLineChars="200"/>
              <w:jc w:val="both"/>
              <w:rPr>
                <w:rFonts w:ascii="宋体" w:hAnsi="宋体" w:cs="宋体"/>
                <w:spacing w:val="6"/>
                <w:kern w:val="2"/>
                <w:sz w:val="24"/>
                <w:szCs w:val="24"/>
              </w:rPr>
            </w:pPr>
            <w:r>
              <w:rPr>
                <w:rFonts w:ascii="宋体" w:hAnsi="宋体" w:cs="宋体"/>
                <w:color w:val="auto"/>
                <w:spacing w:val="6"/>
                <w:kern w:val="2"/>
                <w:sz w:val="24"/>
                <w:szCs w:val="24"/>
              </w:rPr>
              <w:t>磋商小组成员为3人，</w:t>
            </w:r>
            <w:r>
              <w:rPr>
                <w:rFonts w:hint="eastAsia" w:ascii="宋体" w:hAnsi="宋体" w:cs="宋体"/>
                <w:color w:val="auto"/>
                <w:spacing w:val="6"/>
                <w:kern w:val="2"/>
                <w:sz w:val="24"/>
                <w:szCs w:val="24"/>
                <w:lang w:eastAsia="zh-CN"/>
              </w:rPr>
              <w:t>采购代表</w:t>
            </w:r>
            <w:r>
              <w:rPr>
                <w:rFonts w:hint="eastAsia" w:ascii="宋体" w:hAnsi="宋体" w:cs="宋体"/>
                <w:color w:val="auto"/>
                <w:spacing w:val="6"/>
                <w:kern w:val="2"/>
                <w:sz w:val="24"/>
                <w:szCs w:val="24"/>
                <w:lang w:val="en-US" w:eastAsia="zh-CN"/>
              </w:rPr>
              <w:t>1人，其余技术、经济类专家2人组成</w:t>
            </w:r>
            <w:r>
              <w:rPr>
                <w:rFonts w:hint="eastAsia" w:ascii="宋体" w:hAnsi="宋体" w:cs="宋体"/>
                <w:color w:val="auto"/>
                <w:spacing w:val="6"/>
                <w:kern w:val="2"/>
                <w:sz w:val="24"/>
                <w:szCs w:val="24"/>
              </w:rPr>
              <w:t>；评标专家确定方式：当天开标后通过卢氏县公共资源交易中心抽取终端，从河南省政府采购评审专家库随机抽取。</w:t>
            </w:r>
          </w:p>
        </w:tc>
      </w:tr>
      <w:tr w14:paraId="0EFB2030">
        <w:tblPrEx>
          <w:tblCellMar>
            <w:top w:w="0" w:type="dxa"/>
            <w:left w:w="108" w:type="dxa"/>
            <w:bottom w:w="0" w:type="dxa"/>
            <w:right w:w="108" w:type="dxa"/>
          </w:tblCellMar>
        </w:tblPrEx>
        <w:trPr>
          <w:trHeight w:val="2139"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19414D62">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34</w:t>
            </w:r>
          </w:p>
        </w:tc>
        <w:tc>
          <w:tcPr>
            <w:tcW w:w="2034" w:type="dxa"/>
            <w:tcBorders>
              <w:top w:val="single" w:color="auto" w:sz="6" w:space="0"/>
              <w:left w:val="single" w:color="auto" w:sz="6" w:space="0"/>
              <w:bottom w:val="single" w:color="auto" w:sz="6" w:space="0"/>
              <w:right w:val="single" w:color="auto" w:sz="6" w:space="0"/>
            </w:tcBorders>
            <w:vAlign w:val="center"/>
          </w:tcPr>
          <w:p w14:paraId="22819581">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磋商标</w:t>
            </w:r>
          </w:p>
          <w:p w14:paraId="5DC5F79B">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准及方法</w:t>
            </w:r>
          </w:p>
        </w:tc>
        <w:tc>
          <w:tcPr>
            <w:tcW w:w="6679" w:type="dxa"/>
            <w:tcBorders>
              <w:top w:val="single" w:color="auto" w:sz="6" w:space="0"/>
              <w:left w:val="single" w:color="auto" w:sz="6" w:space="0"/>
              <w:bottom w:val="single" w:color="auto" w:sz="6" w:space="0"/>
              <w:right w:val="single" w:color="auto" w:sz="12" w:space="0"/>
            </w:tcBorders>
            <w:vAlign w:val="center"/>
          </w:tcPr>
          <w:p w14:paraId="3DA25CB5">
            <w:pPr>
              <w:spacing w:line="400" w:lineRule="exact"/>
              <w:jc w:val="both"/>
              <w:rPr>
                <w:rFonts w:ascii="宋体" w:hAnsi="宋体" w:cs="宋体"/>
                <w:spacing w:val="6"/>
                <w:kern w:val="2"/>
                <w:sz w:val="24"/>
                <w:szCs w:val="24"/>
              </w:rPr>
            </w:pPr>
            <w:r>
              <w:rPr>
                <w:rFonts w:ascii="宋体" w:hAnsi="宋体" w:cs="宋体"/>
                <w:spacing w:val="6"/>
                <w:kern w:val="2"/>
                <w:sz w:val="24"/>
                <w:szCs w:val="24"/>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r>
              <w:rPr>
                <w:rFonts w:hint="eastAsia" w:ascii="宋体" w:hAnsi="宋体" w:cs="宋体"/>
                <w:spacing w:val="6"/>
                <w:kern w:val="2"/>
                <w:sz w:val="24"/>
                <w:szCs w:val="24"/>
              </w:rPr>
              <w:t>（且推荐候选人为三名）</w:t>
            </w:r>
          </w:p>
        </w:tc>
      </w:tr>
      <w:tr w14:paraId="5C752263">
        <w:tblPrEx>
          <w:tblCellMar>
            <w:top w:w="0" w:type="dxa"/>
            <w:left w:w="108" w:type="dxa"/>
            <w:bottom w:w="0" w:type="dxa"/>
            <w:right w:w="108" w:type="dxa"/>
          </w:tblCellMar>
        </w:tblPrEx>
        <w:trPr>
          <w:trHeight w:val="489"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6D1C4E88">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35</w:t>
            </w:r>
          </w:p>
        </w:tc>
        <w:tc>
          <w:tcPr>
            <w:tcW w:w="2034" w:type="dxa"/>
            <w:tcBorders>
              <w:top w:val="single" w:color="auto" w:sz="6" w:space="0"/>
              <w:left w:val="single" w:color="auto" w:sz="6" w:space="0"/>
              <w:bottom w:val="single" w:color="auto" w:sz="6" w:space="0"/>
              <w:right w:val="single" w:color="auto" w:sz="6" w:space="0"/>
            </w:tcBorders>
            <w:vAlign w:val="center"/>
          </w:tcPr>
          <w:p w14:paraId="15812F9C">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是否授权磋商小组确定中标人</w:t>
            </w:r>
          </w:p>
        </w:tc>
        <w:tc>
          <w:tcPr>
            <w:tcW w:w="6679" w:type="dxa"/>
            <w:tcBorders>
              <w:top w:val="single" w:color="auto" w:sz="6" w:space="0"/>
              <w:left w:val="single" w:color="auto" w:sz="6" w:space="0"/>
              <w:bottom w:val="single" w:color="auto" w:sz="6" w:space="0"/>
              <w:right w:val="single" w:color="auto" w:sz="12" w:space="0"/>
            </w:tcBorders>
            <w:vAlign w:val="center"/>
          </w:tcPr>
          <w:p w14:paraId="6DE6655C">
            <w:pPr>
              <w:spacing w:line="400" w:lineRule="exact"/>
              <w:ind w:left="0" w:leftChars="0" w:firstLine="0" w:firstLineChars="0"/>
              <w:jc w:val="both"/>
              <w:rPr>
                <w:rFonts w:ascii="宋体" w:hAnsi="宋体" w:cs="宋体"/>
                <w:spacing w:val="6"/>
                <w:kern w:val="2"/>
                <w:sz w:val="24"/>
                <w:szCs w:val="24"/>
              </w:rPr>
            </w:pPr>
            <w:r>
              <w:rPr>
                <w:rFonts w:hint="eastAsia" w:ascii="宋体" w:hAnsi="宋体" w:cs="宋体"/>
                <w:spacing w:val="6"/>
                <w:kern w:val="2"/>
                <w:sz w:val="24"/>
                <w:szCs w:val="24"/>
              </w:rPr>
              <w:t>否，磋商小组推选三名中标候选人</w:t>
            </w:r>
          </w:p>
        </w:tc>
      </w:tr>
      <w:tr w14:paraId="3910F5BC">
        <w:tblPrEx>
          <w:tblCellMar>
            <w:top w:w="0" w:type="dxa"/>
            <w:left w:w="108" w:type="dxa"/>
            <w:bottom w:w="0" w:type="dxa"/>
            <w:right w:w="108" w:type="dxa"/>
          </w:tblCellMar>
        </w:tblPrEx>
        <w:trPr>
          <w:trHeight w:val="2100"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3C317A58">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36</w:t>
            </w:r>
          </w:p>
        </w:tc>
        <w:tc>
          <w:tcPr>
            <w:tcW w:w="2034" w:type="dxa"/>
            <w:tcBorders>
              <w:top w:val="single" w:color="auto" w:sz="6" w:space="0"/>
              <w:left w:val="single" w:color="auto" w:sz="6" w:space="0"/>
              <w:bottom w:val="single" w:color="auto" w:sz="6" w:space="0"/>
              <w:right w:val="single" w:color="auto" w:sz="6" w:space="0"/>
            </w:tcBorders>
            <w:vAlign w:val="center"/>
          </w:tcPr>
          <w:p w14:paraId="3ABD452A">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其他事项</w:t>
            </w:r>
          </w:p>
        </w:tc>
        <w:tc>
          <w:tcPr>
            <w:tcW w:w="6679" w:type="dxa"/>
            <w:tcBorders>
              <w:top w:val="single" w:color="auto" w:sz="6" w:space="0"/>
              <w:left w:val="single" w:color="auto" w:sz="6" w:space="0"/>
              <w:bottom w:val="single" w:color="auto" w:sz="6" w:space="0"/>
              <w:right w:val="single" w:color="auto" w:sz="12" w:space="0"/>
            </w:tcBorders>
            <w:vAlign w:val="center"/>
          </w:tcPr>
          <w:p w14:paraId="0317AF20">
            <w:pPr>
              <w:widowControl w:val="0"/>
              <w:spacing w:line="400" w:lineRule="exact"/>
              <w:jc w:val="both"/>
              <w:rPr>
                <w:rFonts w:ascii="宋体" w:hAnsi="宋体" w:cs="宋体"/>
                <w:kern w:val="2"/>
                <w:sz w:val="24"/>
                <w:szCs w:val="24"/>
              </w:rPr>
            </w:pPr>
            <w:r>
              <w:rPr>
                <w:rFonts w:hint="eastAsia" w:ascii="宋体" w:hAnsi="宋体" w:cs="宋体"/>
                <w:kern w:val="2"/>
                <w:sz w:val="24"/>
                <w:szCs w:val="24"/>
              </w:rPr>
              <w:t>1.电子化投标文件应在投标截止时间前成功上传至三门峡市公共资源电子化交易系统。至投标截止时间止，仍未上传成功的电子化投标文件，将不予接受</w:t>
            </w:r>
          </w:p>
          <w:p w14:paraId="27BB827D">
            <w:pPr>
              <w:widowControl w:val="0"/>
              <w:spacing w:line="400" w:lineRule="exact"/>
              <w:jc w:val="both"/>
              <w:rPr>
                <w:rFonts w:ascii="宋体" w:hAnsi="宋体" w:cs="宋体"/>
                <w:kern w:val="2"/>
                <w:sz w:val="24"/>
                <w:szCs w:val="24"/>
              </w:rPr>
            </w:pPr>
            <w:r>
              <w:rPr>
                <w:rFonts w:hint="eastAsia" w:ascii="宋体" w:hAnsi="宋体" w:cs="宋体"/>
                <w:kern w:val="2"/>
                <w:sz w:val="24"/>
                <w:szCs w:val="24"/>
              </w:rPr>
              <w:t>2.中标方领取通知书时，须提供与上传电子版内容一致的纸质版投标文件一份，不得采用活页夹形式</w:t>
            </w:r>
          </w:p>
        </w:tc>
      </w:tr>
      <w:tr w14:paraId="16600645">
        <w:tblPrEx>
          <w:tblCellMar>
            <w:top w:w="0" w:type="dxa"/>
            <w:left w:w="108" w:type="dxa"/>
            <w:bottom w:w="0" w:type="dxa"/>
            <w:right w:w="108" w:type="dxa"/>
          </w:tblCellMar>
        </w:tblPrEx>
        <w:trPr>
          <w:trHeight w:val="485"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6B004753">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37</w:t>
            </w:r>
          </w:p>
        </w:tc>
        <w:tc>
          <w:tcPr>
            <w:tcW w:w="2034" w:type="dxa"/>
            <w:tcBorders>
              <w:top w:val="single" w:color="auto" w:sz="6" w:space="0"/>
              <w:left w:val="single" w:color="auto" w:sz="6" w:space="0"/>
              <w:bottom w:val="single" w:color="auto" w:sz="6" w:space="0"/>
              <w:right w:val="single" w:color="auto" w:sz="6" w:space="0"/>
            </w:tcBorders>
            <w:vAlign w:val="center"/>
          </w:tcPr>
          <w:p w14:paraId="6EFC7BC2">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付款方式</w:t>
            </w:r>
          </w:p>
        </w:tc>
        <w:tc>
          <w:tcPr>
            <w:tcW w:w="6679" w:type="dxa"/>
            <w:tcBorders>
              <w:top w:val="single" w:color="auto" w:sz="6" w:space="0"/>
              <w:left w:val="single" w:color="auto" w:sz="6" w:space="0"/>
              <w:bottom w:val="single" w:color="auto" w:sz="6" w:space="0"/>
              <w:right w:val="single" w:color="auto" w:sz="12" w:space="0"/>
            </w:tcBorders>
            <w:vAlign w:val="center"/>
          </w:tcPr>
          <w:p w14:paraId="30A14334">
            <w:pPr>
              <w:autoSpaceDE w:val="0"/>
              <w:autoSpaceDN w:val="0"/>
              <w:spacing w:line="360" w:lineRule="auto"/>
              <w:ind w:left="0" w:leftChars="0" w:firstLine="0" w:firstLineChars="0"/>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每月按实际发生供货量据实支付，具体内容以实际签订合同为准</w:t>
            </w:r>
          </w:p>
        </w:tc>
      </w:tr>
      <w:tr w14:paraId="3A3A9E6F">
        <w:tblPrEx>
          <w:tblCellMar>
            <w:top w:w="0" w:type="dxa"/>
            <w:left w:w="108" w:type="dxa"/>
            <w:bottom w:w="0" w:type="dxa"/>
            <w:right w:w="108" w:type="dxa"/>
          </w:tblCellMar>
        </w:tblPrEx>
        <w:trPr>
          <w:trHeight w:val="408"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6487E921">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38</w:t>
            </w:r>
          </w:p>
        </w:tc>
        <w:tc>
          <w:tcPr>
            <w:tcW w:w="2034" w:type="dxa"/>
            <w:tcBorders>
              <w:top w:val="single" w:color="auto" w:sz="6" w:space="0"/>
              <w:left w:val="single" w:color="auto" w:sz="6" w:space="0"/>
              <w:bottom w:val="single" w:color="auto" w:sz="6" w:space="0"/>
              <w:right w:val="single" w:color="auto" w:sz="6" w:space="0"/>
            </w:tcBorders>
            <w:vAlign w:val="center"/>
          </w:tcPr>
          <w:p w14:paraId="56ABAC4A">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代理服务费</w:t>
            </w:r>
          </w:p>
        </w:tc>
        <w:tc>
          <w:tcPr>
            <w:tcW w:w="6679" w:type="dxa"/>
            <w:tcBorders>
              <w:top w:val="single" w:color="auto" w:sz="6" w:space="0"/>
              <w:left w:val="single" w:color="auto" w:sz="6" w:space="0"/>
              <w:bottom w:val="single" w:color="auto" w:sz="6" w:space="0"/>
              <w:right w:val="single" w:color="auto" w:sz="12" w:space="0"/>
            </w:tcBorders>
            <w:vAlign w:val="center"/>
          </w:tcPr>
          <w:p w14:paraId="41E42ED3">
            <w:pPr>
              <w:keepNext/>
              <w:keepLines/>
              <w:widowControl w:val="0"/>
              <w:spacing w:before="20" w:after="20" w:line="360" w:lineRule="auto"/>
              <w:ind w:firstLine="480" w:firstLineChars="200"/>
              <w:outlineLvl w:val="9"/>
              <w:rPr>
                <w:rFonts w:ascii="宋体" w:hAnsi="宋体" w:cs="宋体"/>
                <w:kern w:val="2"/>
                <w:sz w:val="24"/>
                <w:szCs w:val="24"/>
              </w:rPr>
            </w:pPr>
            <w:r>
              <w:rPr>
                <w:rFonts w:hint="eastAsia" w:ascii="宋体" w:hAnsi="宋体" w:cs="宋体"/>
                <w:kern w:val="2"/>
                <w:sz w:val="24"/>
                <w:szCs w:val="24"/>
              </w:rPr>
              <w:t>本次代理服务费参照豫招协[2023]002号河南省招标投标协会关于印发《河南省招标代理服务收费指导意见》规定的收费标准收取中标服务费，该代理服务费在中标人领取中标通知书时向招标代理机构缴纳。</w:t>
            </w:r>
          </w:p>
          <w:p w14:paraId="176F97A8">
            <w:pPr>
              <w:keepNext/>
              <w:keepLines/>
              <w:widowControl w:val="0"/>
              <w:spacing w:before="20" w:after="20" w:line="360" w:lineRule="auto"/>
              <w:ind w:firstLine="480" w:firstLineChars="200"/>
              <w:outlineLvl w:val="9"/>
              <w:rPr>
                <w:rFonts w:ascii="宋体" w:hAnsi="宋体" w:cs="宋体"/>
                <w:kern w:val="2"/>
                <w:sz w:val="24"/>
                <w:szCs w:val="24"/>
              </w:rPr>
            </w:pPr>
            <w:r>
              <w:rPr>
                <w:rFonts w:hint="eastAsia" w:ascii="宋体" w:hAnsi="宋体" w:cs="宋体"/>
                <w:kern w:val="2"/>
                <w:sz w:val="24"/>
                <w:szCs w:val="24"/>
              </w:rPr>
              <w:t>本项目代理服务费按差额定率累进法计算。</w:t>
            </w:r>
          </w:p>
          <w:p w14:paraId="22EFDC1E">
            <w:pPr>
              <w:keepNext/>
              <w:keepLines/>
              <w:widowControl w:val="0"/>
              <w:spacing w:before="20" w:after="20" w:line="360" w:lineRule="auto"/>
              <w:ind w:firstLine="480" w:firstLineChars="200"/>
              <w:outlineLvl w:val="9"/>
              <w:rPr>
                <w:rFonts w:ascii="宋体" w:hAnsi="宋体" w:cs="宋体"/>
                <w:kern w:val="2"/>
                <w:sz w:val="24"/>
                <w:szCs w:val="24"/>
              </w:rPr>
            </w:pPr>
            <w:r>
              <w:rPr>
                <w:rFonts w:hint="eastAsia" w:ascii="宋体" w:hAnsi="宋体" w:cs="宋体"/>
                <w:kern w:val="2"/>
                <w:sz w:val="24"/>
                <w:szCs w:val="24"/>
              </w:rPr>
              <w:t>招标代理服务收费计算如下:</w:t>
            </w:r>
          </w:p>
          <w:p w14:paraId="237EB80F">
            <w:pPr>
              <w:keepNext/>
              <w:keepLines/>
              <w:widowControl w:val="0"/>
              <w:spacing w:before="20" w:after="20" w:line="360" w:lineRule="auto"/>
              <w:ind w:firstLine="480" w:firstLineChars="200"/>
              <w:outlineLvl w:val="9"/>
              <w:rPr>
                <w:rFonts w:ascii="宋体" w:hAnsi="宋体" w:cs="宋体"/>
                <w:kern w:val="2"/>
                <w:sz w:val="24"/>
                <w:szCs w:val="24"/>
              </w:rPr>
            </w:pPr>
            <w:r>
              <w:rPr>
                <w:rFonts w:hint="eastAsia" w:ascii="宋体" w:hAnsi="宋体" w:cs="宋体"/>
                <w:kern w:val="2"/>
                <w:sz w:val="24"/>
                <w:szCs w:val="24"/>
              </w:rPr>
              <w:t>100万元以下（含100万元），服务费按1.7%收取。</w:t>
            </w:r>
          </w:p>
          <w:p w14:paraId="50BBD701">
            <w:pPr>
              <w:keepNext/>
              <w:keepLines/>
              <w:widowControl w:val="0"/>
              <w:spacing w:before="20" w:after="20" w:line="360" w:lineRule="auto"/>
              <w:ind w:firstLine="480" w:firstLineChars="200"/>
              <w:outlineLvl w:val="9"/>
              <w:rPr>
                <w:rFonts w:ascii="宋体" w:hAnsi="宋体" w:cs="宋体"/>
                <w:kern w:val="2"/>
                <w:sz w:val="24"/>
                <w:szCs w:val="24"/>
              </w:rPr>
            </w:pPr>
            <w:r>
              <w:rPr>
                <w:rFonts w:hint="eastAsia" w:ascii="宋体" w:hAnsi="宋体" w:cs="宋体"/>
                <w:kern w:val="2"/>
                <w:sz w:val="24"/>
                <w:szCs w:val="24"/>
              </w:rPr>
              <w:t>100-500万元（含500万元），服务费按1.2%收取。</w:t>
            </w:r>
          </w:p>
          <w:p w14:paraId="3DA6BF98">
            <w:pPr>
              <w:keepNext/>
              <w:keepLines/>
              <w:widowControl w:val="0"/>
              <w:spacing w:before="20" w:after="20" w:line="360" w:lineRule="auto"/>
              <w:ind w:firstLine="480" w:firstLineChars="200"/>
              <w:outlineLvl w:val="9"/>
              <w:rPr>
                <w:sz w:val="24"/>
                <w:szCs w:val="24"/>
              </w:rPr>
            </w:pPr>
            <w:r>
              <w:rPr>
                <w:rFonts w:hint="eastAsia" w:ascii="宋体" w:hAnsi="宋体" w:cs="宋体"/>
                <w:kern w:val="2"/>
                <w:sz w:val="24"/>
                <w:szCs w:val="24"/>
              </w:rPr>
              <w:t>收费标准的计算基数以项目的实际中标金额为计费基数。</w:t>
            </w:r>
          </w:p>
        </w:tc>
      </w:tr>
      <w:tr w14:paraId="59A18E33">
        <w:tblPrEx>
          <w:tblCellMar>
            <w:top w:w="0" w:type="dxa"/>
            <w:left w:w="108" w:type="dxa"/>
            <w:bottom w:w="0" w:type="dxa"/>
            <w:right w:w="108" w:type="dxa"/>
          </w:tblCellMar>
        </w:tblPrEx>
        <w:trPr>
          <w:trHeight w:val="1263"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4FD9E6F9">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39</w:t>
            </w:r>
          </w:p>
        </w:tc>
        <w:tc>
          <w:tcPr>
            <w:tcW w:w="2034" w:type="dxa"/>
            <w:tcBorders>
              <w:top w:val="single" w:color="auto" w:sz="6" w:space="0"/>
              <w:left w:val="single" w:color="auto" w:sz="6" w:space="0"/>
              <w:bottom w:val="single" w:color="auto" w:sz="6" w:space="0"/>
              <w:right w:val="single" w:color="auto" w:sz="6" w:space="0"/>
            </w:tcBorders>
            <w:vAlign w:val="center"/>
          </w:tcPr>
          <w:p w14:paraId="7110E079">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竞争性磋商文件的解释</w:t>
            </w:r>
          </w:p>
        </w:tc>
        <w:tc>
          <w:tcPr>
            <w:tcW w:w="6679" w:type="dxa"/>
            <w:tcBorders>
              <w:top w:val="single" w:color="auto" w:sz="6" w:space="0"/>
              <w:left w:val="single" w:color="auto" w:sz="6" w:space="0"/>
              <w:bottom w:val="single" w:color="auto" w:sz="6" w:space="0"/>
              <w:right w:val="single" w:color="auto" w:sz="12" w:space="0"/>
            </w:tcBorders>
            <w:vAlign w:val="center"/>
          </w:tcPr>
          <w:p w14:paraId="2F1242BD">
            <w:pPr>
              <w:spacing w:line="400" w:lineRule="exact"/>
              <w:rPr>
                <w:rFonts w:ascii="宋体" w:hAnsi="宋体" w:cs="宋体"/>
                <w:spacing w:val="6"/>
                <w:kern w:val="2"/>
                <w:sz w:val="24"/>
                <w:szCs w:val="24"/>
              </w:rPr>
            </w:pPr>
            <w:r>
              <w:rPr>
                <w:rFonts w:hint="eastAsia" w:ascii="宋体" w:hAnsi="宋体" w:cs="宋体"/>
                <w:kern w:val="2"/>
                <w:sz w:val="24"/>
                <w:szCs w:val="24"/>
              </w:rPr>
              <w:t>在符合相关法律法规的前题下，竞争性磋商文件的解释权归采购人所有。本竞争性磋商文件中其他部分内容与</w:t>
            </w:r>
            <w:r>
              <w:rPr>
                <w:rFonts w:hint="eastAsia" w:ascii="宋体" w:hAnsi="宋体" w:cs="宋体"/>
                <w:kern w:val="2"/>
                <w:sz w:val="24"/>
                <w:szCs w:val="24"/>
                <w:lang w:eastAsia="zh-CN"/>
              </w:rPr>
              <w:t>供应商</w:t>
            </w:r>
            <w:r>
              <w:rPr>
                <w:rFonts w:hint="eastAsia" w:ascii="宋体" w:hAnsi="宋体" w:cs="宋体"/>
                <w:kern w:val="2"/>
                <w:sz w:val="24"/>
                <w:szCs w:val="24"/>
              </w:rPr>
              <w:t>须知前附表不一致的，以</w:t>
            </w:r>
            <w:r>
              <w:rPr>
                <w:rFonts w:hint="eastAsia" w:ascii="宋体" w:hAnsi="宋体" w:cs="宋体"/>
                <w:kern w:val="2"/>
                <w:sz w:val="24"/>
                <w:szCs w:val="24"/>
                <w:lang w:eastAsia="zh-CN"/>
              </w:rPr>
              <w:t>供应商</w:t>
            </w:r>
            <w:r>
              <w:rPr>
                <w:rFonts w:hint="eastAsia" w:ascii="宋体" w:hAnsi="宋体" w:cs="宋体"/>
                <w:kern w:val="2"/>
                <w:sz w:val="24"/>
                <w:szCs w:val="24"/>
              </w:rPr>
              <w:t>须知前附表为准。</w:t>
            </w:r>
          </w:p>
        </w:tc>
      </w:tr>
      <w:tr w14:paraId="081FFC0A">
        <w:tblPrEx>
          <w:tblCellMar>
            <w:top w:w="0" w:type="dxa"/>
            <w:left w:w="108" w:type="dxa"/>
            <w:bottom w:w="0" w:type="dxa"/>
            <w:right w:w="108" w:type="dxa"/>
          </w:tblCellMar>
        </w:tblPrEx>
        <w:trPr>
          <w:trHeight w:val="1263"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5C15B2E0">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40</w:t>
            </w:r>
          </w:p>
        </w:tc>
        <w:tc>
          <w:tcPr>
            <w:tcW w:w="2034" w:type="dxa"/>
            <w:tcBorders>
              <w:top w:val="single" w:color="auto" w:sz="6" w:space="0"/>
              <w:left w:val="single" w:color="auto" w:sz="6" w:space="0"/>
              <w:bottom w:val="single" w:color="auto" w:sz="6" w:space="0"/>
              <w:right w:val="single" w:color="auto" w:sz="6" w:space="0"/>
            </w:tcBorders>
            <w:vAlign w:val="center"/>
          </w:tcPr>
          <w:p w14:paraId="7BFE6370">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答疑</w:t>
            </w:r>
          </w:p>
        </w:tc>
        <w:tc>
          <w:tcPr>
            <w:tcW w:w="6679" w:type="dxa"/>
            <w:tcBorders>
              <w:top w:val="single" w:color="auto" w:sz="6" w:space="0"/>
              <w:left w:val="single" w:color="auto" w:sz="6" w:space="0"/>
              <w:bottom w:val="single" w:color="auto" w:sz="6" w:space="0"/>
              <w:right w:val="single" w:color="auto" w:sz="12" w:space="0"/>
            </w:tcBorders>
            <w:vAlign w:val="center"/>
          </w:tcPr>
          <w:p w14:paraId="48CADBBE">
            <w:pPr>
              <w:spacing w:line="400" w:lineRule="exact"/>
              <w:rPr>
                <w:rFonts w:ascii="宋体" w:hAnsi="宋体" w:cs="宋体"/>
                <w:spacing w:val="6"/>
                <w:kern w:val="2"/>
                <w:sz w:val="24"/>
                <w:szCs w:val="24"/>
              </w:rPr>
            </w:pPr>
            <w:r>
              <w:rPr>
                <w:rFonts w:hint="eastAsia" w:ascii="宋体" w:hAnsi="宋体" w:cs="宋体"/>
                <w:kern w:val="2"/>
                <w:sz w:val="24"/>
                <w:szCs w:val="24"/>
              </w:rPr>
              <w:t>需要解答的疑问以书面形式加盖单位公章递交至采购人或代理机构，逾期提交的问题概不做回复。采购人将需要解答的内容以公告形式发至所有潜在</w:t>
            </w:r>
            <w:r>
              <w:rPr>
                <w:rFonts w:hint="eastAsia" w:ascii="宋体" w:hAnsi="宋体" w:cs="宋体"/>
                <w:kern w:val="2"/>
                <w:sz w:val="24"/>
                <w:szCs w:val="24"/>
                <w:lang w:eastAsia="zh-CN"/>
              </w:rPr>
              <w:t>供应商</w:t>
            </w:r>
            <w:r>
              <w:rPr>
                <w:rFonts w:hint="eastAsia" w:ascii="宋体" w:hAnsi="宋体" w:cs="宋体"/>
                <w:kern w:val="2"/>
                <w:sz w:val="24"/>
                <w:szCs w:val="24"/>
              </w:rPr>
              <w:t>。</w:t>
            </w:r>
          </w:p>
        </w:tc>
      </w:tr>
      <w:tr w14:paraId="487C50E5">
        <w:tblPrEx>
          <w:tblCellMar>
            <w:top w:w="0" w:type="dxa"/>
            <w:left w:w="108" w:type="dxa"/>
            <w:bottom w:w="0" w:type="dxa"/>
            <w:right w:w="108" w:type="dxa"/>
          </w:tblCellMar>
        </w:tblPrEx>
        <w:trPr>
          <w:trHeight w:val="933"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7D4D9A8D">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41</w:t>
            </w:r>
          </w:p>
        </w:tc>
        <w:tc>
          <w:tcPr>
            <w:tcW w:w="2034" w:type="dxa"/>
            <w:tcBorders>
              <w:top w:val="single" w:color="auto" w:sz="6" w:space="0"/>
              <w:left w:val="single" w:color="auto" w:sz="6" w:space="0"/>
              <w:bottom w:val="single" w:color="auto" w:sz="6" w:space="0"/>
              <w:right w:val="single" w:color="auto" w:sz="6" w:space="0"/>
            </w:tcBorders>
            <w:vAlign w:val="center"/>
          </w:tcPr>
          <w:p w14:paraId="376171E2">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结果公告</w:t>
            </w:r>
          </w:p>
        </w:tc>
        <w:tc>
          <w:tcPr>
            <w:tcW w:w="6679" w:type="dxa"/>
            <w:tcBorders>
              <w:top w:val="single" w:color="auto" w:sz="6" w:space="0"/>
              <w:left w:val="single" w:color="auto" w:sz="6" w:space="0"/>
              <w:bottom w:val="single" w:color="auto" w:sz="6" w:space="0"/>
              <w:right w:val="single" w:color="auto" w:sz="12" w:space="0"/>
            </w:tcBorders>
            <w:vAlign w:val="center"/>
          </w:tcPr>
          <w:p w14:paraId="5B76C3F4">
            <w:pPr>
              <w:spacing w:line="400" w:lineRule="exact"/>
              <w:rPr>
                <w:rFonts w:ascii="宋体" w:hAnsi="宋体" w:cs="宋体"/>
                <w:spacing w:val="6"/>
                <w:kern w:val="2"/>
                <w:sz w:val="24"/>
                <w:szCs w:val="24"/>
              </w:rPr>
            </w:pPr>
            <w:r>
              <w:rPr>
                <w:rFonts w:hint="eastAsia" w:ascii="宋体" w:hAnsi="宋体" w:cs="宋体"/>
                <w:kern w:val="2"/>
                <w:sz w:val="24"/>
                <w:szCs w:val="24"/>
              </w:rPr>
              <w:t>在</w:t>
            </w:r>
            <w:r>
              <w:rPr>
                <w:rFonts w:hint="eastAsia" w:ascii="宋体" w:hAnsi="宋体" w:cs="宋体"/>
                <w:kern w:val="2"/>
                <w:sz w:val="24"/>
                <w:szCs w:val="24"/>
                <w:lang w:eastAsia="zh-CN"/>
              </w:rPr>
              <w:t>《三门峡市公共资源交易中心网》、《河南省政府采购网》、《中国招标投标公共服务平台》</w:t>
            </w:r>
            <w:r>
              <w:rPr>
                <w:rFonts w:hint="eastAsia" w:ascii="宋体" w:hAnsi="宋体" w:cs="宋体"/>
                <w:kern w:val="2"/>
                <w:sz w:val="24"/>
                <w:szCs w:val="24"/>
              </w:rPr>
              <w:t>同时进行公告，公示期1个工作日。</w:t>
            </w:r>
          </w:p>
        </w:tc>
      </w:tr>
      <w:tr w14:paraId="47FE556B">
        <w:tblPrEx>
          <w:tblCellMar>
            <w:top w:w="0" w:type="dxa"/>
            <w:left w:w="108" w:type="dxa"/>
            <w:bottom w:w="0" w:type="dxa"/>
            <w:right w:w="108" w:type="dxa"/>
          </w:tblCellMar>
        </w:tblPrEx>
        <w:trPr>
          <w:trHeight w:val="448"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587CD158">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42</w:t>
            </w:r>
          </w:p>
        </w:tc>
        <w:tc>
          <w:tcPr>
            <w:tcW w:w="2034" w:type="dxa"/>
            <w:tcBorders>
              <w:top w:val="single" w:color="auto" w:sz="6" w:space="0"/>
              <w:left w:val="single" w:color="auto" w:sz="6" w:space="0"/>
              <w:bottom w:val="single" w:color="auto" w:sz="6" w:space="0"/>
              <w:right w:val="single" w:color="auto" w:sz="6" w:space="0"/>
            </w:tcBorders>
            <w:vAlign w:val="center"/>
          </w:tcPr>
          <w:p w14:paraId="78973C55">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知识产权</w:t>
            </w:r>
          </w:p>
        </w:tc>
        <w:tc>
          <w:tcPr>
            <w:tcW w:w="6679" w:type="dxa"/>
            <w:tcBorders>
              <w:top w:val="single" w:color="auto" w:sz="6" w:space="0"/>
              <w:left w:val="single" w:color="auto" w:sz="6" w:space="0"/>
              <w:bottom w:val="single" w:color="auto" w:sz="6" w:space="0"/>
              <w:right w:val="single" w:color="auto" w:sz="12" w:space="0"/>
            </w:tcBorders>
            <w:vAlign w:val="center"/>
          </w:tcPr>
          <w:p w14:paraId="495C90D6">
            <w:pPr>
              <w:spacing w:line="400" w:lineRule="exact"/>
              <w:rPr>
                <w:rFonts w:ascii="宋体" w:hAnsi="宋体" w:cs="宋体"/>
                <w:spacing w:val="6"/>
                <w:kern w:val="2"/>
                <w:sz w:val="24"/>
                <w:szCs w:val="24"/>
              </w:rPr>
            </w:pPr>
            <w:r>
              <w:rPr>
                <w:rFonts w:hint="eastAsia" w:ascii="宋体" w:hAnsi="宋体" w:cs="宋体"/>
                <w:kern w:val="2"/>
                <w:sz w:val="24"/>
                <w:szCs w:val="24"/>
              </w:rPr>
              <w:t>构成本竞争性磋商文件各个组成部分的文件，未经采购人书面同意，</w:t>
            </w:r>
            <w:r>
              <w:rPr>
                <w:rFonts w:hint="eastAsia" w:ascii="宋体" w:hAnsi="宋体" w:cs="宋体"/>
                <w:kern w:val="2"/>
                <w:sz w:val="24"/>
                <w:szCs w:val="24"/>
                <w:lang w:eastAsia="zh-CN"/>
              </w:rPr>
              <w:t>供应商</w:t>
            </w:r>
            <w:r>
              <w:rPr>
                <w:rFonts w:hint="eastAsia" w:ascii="宋体" w:hAnsi="宋体" w:cs="宋体"/>
                <w:kern w:val="2"/>
                <w:sz w:val="24"/>
                <w:szCs w:val="24"/>
              </w:rPr>
              <w:t>不得擅自复印和用于非本招标项目所需的其他目的。采购人全部或者部分使用未中标人响应文件中的技术成果或技术方案时，需征得其书面同意，并不得擅自复印或提供给第三人。</w:t>
            </w:r>
          </w:p>
        </w:tc>
      </w:tr>
      <w:tr w14:paraId="1468D8FE">
        <w:tblPrEx>
          <w:tblCellMar>
            <w:top w:w="0" w:type="dxa"/>
            <w:left w:w="108" w:type="dxa"/>
            <w:bottom w:w="0" w:type="dxa"/>
            <w:right w:w="108" w:type="dxa"/>
          </w:tblCellMar>
        </w:tblPrEx>
        <w:trPr>
          <w:trHeight w:val="1263"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505C83C8">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43</w:t>
            </w:r>
          </w:p>
        </w:tc>
        <w:tc>
          <w:tcPr>
            <w:tcW w:w="2034" w:type="dxa"/>
            <w:tcBorders>
              <w:top w:val="single" w:color="auto" w:sz="6" w:space="0"/>
              <w:left w:val="single" w:color="auto" w:sz="6" w:space="0"/>
              <w:bottom w:val="single" w:color="auto" w:sz="6" w:space="0"/>
              <w:right w:val="single" w:color="auto" w:sz="6" w:space="0"/>
            </w:tcBorders>
            <w:vAlign w:val="center"/>
          </w:tcPr>
          <w:p w14:paraId="6A41FE26">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重新招标的其他情形</w:t>
            </w:r>
          </w:p>
        </w:tc>
        <w:tc>
          <w:tcPr>
            <w:tcW w:w="6679" w:type="dxa"/>
            <w:tcBorders>
              <w:top w:val="single" w:color="auto" w:sz="6" w:space="0"/>
              <w:left w:val="single" w:color="auto" w:sz="6" w:space="0"/>
              <w:bottom w:val="single" w:color="auto" w:sz="6" w:space="0"/>
              <w:right w:val="single" w:color="auto" w:sz="12" w:space="0"/>
            </w:tcBorders>
            <w:vAlign w:val="center"/>
          </w:tcPr>
          <w:p w14:paraId="5A1D4CEC">
            <w:pPr>
              <w:spacing w:line="400" w:lineRule="exact"/>
              <w:rPr>
                <w:rFonts w:ascii="宋体" w:hAnsi="宋体" w:cs="宋体"/>
                <w:spacing w:val="6"/>
                <w:kern w:val="2"/>
                <w:sz w:val="24"/>
                <w:szCs w:val="24"/>
              </w:rPr>
            </w:pPr>
            <w:r>
              <w:rPr>
                <w:rFonts w:hint="eastAsia" w:ascii="宋体" w:hAnsi="宋体" w:cs="宋体"/>
                <w:kern w:val="2"/>
                <w:sz w:val="24"/>
                <w:szCs w:val="24"/>
              </w:rPr>
              <w:t>除</w:t>
            </w:r>
            <w:r>
              <w:rPr>
                <w:rFonts w:hint="eastAsia" w:ascii="宋体" w:hAnsi="宋体" w:cs="宋体"/>
                <w:kern w:val="2"/>
                <w:sz w:val="24"/>
                <w:szCs w:val="24"/>
                <w:lang w:eastAsia="zh-CN"/>
              </w:rPr>
              <w:t>供应商</w:t>
            </w:r>
            <w:r>
              <w:rPr>
                <w:rFonts w:hint="eastAsia" w:ascii="宋体" w:hAnsi="宋体" w:cs="宋体"/>
                <w:kern w:val="2"/>
                <w:sz w:val="24"/>
                <w:szCs w:val="24"/>
              </w:rPr>
              <w:t>须知正文规定的情形外，除非已经产生中标候选人，在磋商有效期内同意延长磋商有效期的</w:t>
            </w:r>
            <w:r>
              <w:rPr>
                <w:rFonts w:hint="eastAsia" w:ascii="宋体" w:hAnsi="宋体" w:cs="宋体"/>
                <w:kern w:val="2"/>
                <w:sz w:val="24"/>
                <w:szCs w:val="24"/>
                <w:lang w:eastAsia="zh-CN"/>
              </w:rPr>
              <w:t>供应商</w:t>
            </w:r>
            <w:r>
              <w:rPr>
                <w:rFonts w:hint="eastAsia" w:ascii="宋体" w:hAnsi="宋体" w:cs="宋体"/>
                <w:kern w:val="2"/>
                <w:sz w:val="24"/>
                <w:szCs w:val="24"/>
              </w:rPr>
              <w:t>少于三个的，采购人应当依法重新招标。</w:t>
            </w:r>
          </w:p>
        </w:tc>
      </w:tr>
      <w:tr w14:paraId="344C8665">
        <w:tblPrEx>
          <w:tblCellMar>
            <w:top w:w="0" w:type="dxa"/>
            <w:left w:w="108" w:type="dxa"/>
            <w:bottom w:w="0" w:type="dxa"/>
            <w:right w:w="108" w:type="dxa"/>
          </w:tblCellMar>
        </w:tblPrEx>
        <w:trPr>
          <w:trHeight w:val="843"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08951E82">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44</w:t>
            </w:r>
          </w:p>
        </w:tc>
        <w:tc>
          <w:tcPr>
            <w:tcW w:w="2034" w:type="dxa"/>
            <w:tcBorders>
              <w:top w:val="single" w:color="auto" w:sz="6" w:space="0"/>
              <w:left w:val="single" w:color="auto" w:sz="6" w:space="0"/>
              <w:bottom w:val="single" w:color="auto" w:sz="6" w:space="0"/>
              <w:right w:val="single" w:color="auto" w:sz="6" w:space="0"/>
            </w:tcBorders>
            <w:vAlign w:val="center"/>
          </w:tcPr>
          <w:p w14:paraId="6D410509">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监  督</w:t>
            </w:r>
          </w:p>
        </w:tc>
        <w:tc>
          <w:tcPr>
            <w:tcW w:w="6679" w:type="dxa"/>
            <w:tcBorders>
              <w:top w:val="single" w:color="auto" w:sz="6" w:space="0"/>
              <w:left w:val="single" w:color="auto" w:sz="6" w:space="0"/>
              <w:bottom w:val="single" w:color="auto" w:sz="6" w:space="0"/>
              <w:right w:val="single" w:color="auto" w:sz="12" w:space="0"/>
            </w:tcBorders>
            <w:vAlign w:val="center"/>
          </w:tcPr>
          <w:p w14:paraId="707FD4B3">
            <w:pPr>
              <w:spacing w:line="400" w:lineRule="exact"/>
              <w:rPr>
                <w:rFonts w:ascii="宋体" w:hAnsi="宋体" w:cs="宋体"/>
                <w:spacing w:val="6"/>
                <w:kern w:val="2"/>
                <w:sz w:val="24"/>
                <w:szCs w:val="24"/>
              </w:rPr>
            </w:pPr>
            <w:r>
              <w:rPr>
                <w:rFonts w:hint="eastAsia" w:ascii="宋体" w:hAnsi="宋体" w:cs="宋体"/>
                <w:kern w:val="2"/>
                <w:sz w:val="24"/>
                <w:szCs w:val="24"/>
              </w:rPr>
              <w:t>本项目的磋商活动及其相关当事人应当接受有管辖权的招标投标行政监督部门依法实施的监督。</w:t>
            </w:r>
          </w:p>
        </w:tc>
      </w:tr>
      <w:tr w14:paraId="4926A9BC">
        <w:tblPrEx>
          <w:tblCellMar>
            <w:top w:w="0" w:type="dxa"/>
            <w:left w:w="108" w:type="dxa"/>
            <w:bottom w:w="0" w:type="dxa"/>
            <w:right w:w="108" w:type="dxa"/>
          </w:tblCellMar>
        </w:tblPrEx>
        <w:trPr>
          <w:trHeight w:val="1263"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48C0DA0E">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45</w:t>
            </w:r>
          </w:p>
        </w:tc>
        <w:tc>
          <w:tcPr>
            <w:tcW w:w="2034" w:type="dxa"/>
            <w:tcBorders>
              <w:top w:val="single" w:color="auto" w:sz="6" w:space="0"/>
              <w:left w:val="single" w:color="auto" w:sz="6" w:space="0"/>
              <w:bottom w:val="single" w:color="auto" w:sz="12" w:space="0"/>
              <w:right w:val="single" w:color="auto" w:sz="6" w:space="0"/>
            </w:tcBorders>
            <w:vAlign w:val="center"/>
          </w:tcPr>
          <w:p w14:paraId="0AD212DB">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项目行业分类</w:t>
            </w:r>
          </w:p>
        </w:tc>
        <w:tc>
          <w:tcPr>
            <w:tcW w:w="6679" w:type="dxa"/>
            <w:tcBorders>
              <w:top w:val="single" w:color="auto" w:sz="6" w:space="0"/>
              <w:left w:val="single" w:color="auto" w:sz="6" w:space="0"/>
              <w:bottom w:val="single" w:color="auto" w:sz="12" w:space="0"/>
              <w:right w:val="single" w:color="auto" w:sz="12" w:space="0"/>
            </w:tcBorders>
            <w:vAlign w:val="center"/>
          </w:tcPr>
          <w:p w14:paraId="2900E057">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left"/>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本项目为服务类采购项目</w:t>
            </w:r>
          </w:p>
          <w:p w14:paraId="2C286951">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left"/>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采购标的所属行业：</w:t>
            </w:r>
            <w:r>
              <w:rPr>
                <w:rFonts w:hint="eastAsia" w:ascii="宋体" w:hAnsi="宋体" w:eastAsia="宋体" w:cs="宋体"/>
                <w:color w:val="auto"/>
                <w:kern w:val="2"/>
                <w:sz w:val="24"/>
                <w:szCs w:val="24"/>
                <w:lang w:val="en-US" w:eastAsia="zh-CN"/>
              </w:rPr>
              <w:t>批发业</w:t>
            </w:r>
          </w:p>
          <w:p w14:paraId="64EC572B">
            <w:pPr>
              <w:widowControl w:val="0"/>
              <w:snapToGrid w:val="0"/>
              <w:spacing w:line="400" w:lineRule="exact"/>
              <w:jc w:val="both"/>
              <w:rPr>
                <w:rFonts w:ascii="宋体" w:hAnsi="宋体" w:cs="宋体"/>
                <w:spacing w:val="6"/>
                <w:kern w:val="2"/>
                <w:sz w:val="24"/>
                <w:szCs w:val="24"/>
              </w:rPr>
            </w:pPr>
            <w:r>
              <w:rPr>
                <w:rFonts w:hint="eastAsia" w:ascii="宋体" w:hAnsi="宋体" w:eastAsia="宋体" w:cs="宋体"/>
                <w:color w:val="auto"/>
                <w:kern w:val="2"/>
                <w:sz w:val="24"/>
                <w:szCs w:val="24"/>
                <w:lang w:eastAsia="zh-CN"/>
              </w:rPr>
              <w:t>划定标准为：《工业和信息化部、国家统计局、国家发展和改革委员会、财政部关于印发&lt;中小企业划型标准规定的通知&gt;（工信部联企业〔2011〕300号）规定的划分标准为依据。</w:t>
            </w:r>
          </w:p>
        </w:tc>
      </w:tr>
      <w:tr w14:paraId="29CA9E36">
        <w:tblPrEx>
          <w:tblCellMar>
            <w:top w:w="0" w:type="dxa"/>
            <w:left w:w="108" w:type="dxa"/>
            <w:bottom w:w="0" w:type="dxa"/>
            <w:right w:w="108" w:type="dxa"/>
          </w:tblCellMar>
        </w:tblPrEx>
        <w:trPr>
          <w:trHeight w:val="704" w:hRule="atLeast"/>
          <w:jc w:val="center"/>
        </w:trPr>
        <w:tc>
          <w:tcPr>
            <w:tcW w:w="773" w:type="dxa"/>
            <w:tcBorders>
              <w:top w:val="single" w:color="auto" w:sz="6" w:space="0"/>
              <w:left w:val="single" w:color="auto" w:sz="12" w:space="0"/>
              <w:bottom w:val="single" w:color="auto" w:sz="12" w:space="0"/>
              <w:right w:val="single" w:color="auto" w:sz="6" w:space="0"/>
            </w:tcBorders>
            <w:vAlign w:val="center"/>
          </w:tcPr>
          <w:p w14:paraId="2131FC5C">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46</w:t>
            </w:r>
          </w:p>
        </w:tc>
        <w:tc>
          <w:tcPr>
            <w:tcW w:w="2034" w:type="dxa"/>
            <w:tcBorders>
              <w:top w:val="single" w:color="auto" w:sz="6" w:space="0"/>
              <w:left w:val="single" w:color="auto" w:sz="6" w:space="0"/>
              <w:bottom w:val="single" w:color="auto" w:sz="12" w:space="0"/>
              <w:right w:val="single" w:color="auto" w:sz="6" w:space="0"/>
            </w:tcBorders>
            <w:vAlign w:val="center"/>
          </w:tcPr>
          <w:p w14:paraId="1E28C654">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电子化注意事项</w:t>
            </w:r>
          </w:p>
        </w:tc>
        <w:tc>
          <w:tcPr>
            <w:tcW w:w="6679" w:type="dxa"/>
            <w:tcBorders>
              <w:top w:val="single" w:color="auto" w:sz="6" w:space="0"/>
              <w:left w:val="single" w:color="auto" w:sz="6" w:space="0"/>
              <w:bottom w:val="single" w:color="auto" w:sz="12" w:space="0"/>
              <w:right w:val="single" w:color="auto" w:sz="12" w:space="0"/>
            </w:tcBorders>
            <w:vAlign w:val="center"/>
          </w:tcPr>
          <w:p w14:paraId="5FA0143A">
            <w:pPr>
              <w:widowControl w:val="0"/>
              <w:spacing w:line="400" w:lineRule="exact"/>
              <w:jc w:val="both"/>
              <w:rPr>
                <w:rFonts w:ascii="宋体" w:hAnsi="宋体"/>
                <w:b/>
                <w:kern w:val="2"/>
                <w:sz w:val="24"/>
                <w:szCs w:val="24"/>
              </w:rPr>
            </w:pPr>
            <w:r>
              <w:rPr>
                <w:rFonts w:ascii="宋体" w:hAnsi="宋体" w:cs="宋体"/>
                <w:b/>
                <w:kern w:val="2"/>
                <w:sz w:val="24"/>
                <w:szCs w:val="24"/>
              </w:rPr>
              <w:t>电子化交易项目竞争性磋商响应文件</w:t>
            </w:r>
            <w:r>
              <w:rPr>
                <w:rFonts w:hint="eastAsia" w:ascii="宋体" w:hAnsi="宋体" w:cs="宋体"/>
                <w:b/>
                <w:kern w:val="2"/>
                <w:sz w:val="24"/>
                <w:szCs w:val="24"/>
              </w:rPr>
              <w:t>是</w:t>
            </w:r>
            <w:r>
              <w:rPr>
                <w:rFonts w:ascii="宋体" w:hAnsi="宋体" w:cs="宋体"/>
                <w:b/>
                <w:kern w:val="2"/>
                <w:sz w:val="24"/>
                <w:szCs w:val="24"/>
              </w:rPr>
              <w:t>供应商通过中心制作系统制作，并经过签章和加密后生成的电子版响应文件。</w:t>
            </w:r>
            <w:r>
              <w:rPr>
                <w:rFonts w:hint="eastAsia" w:ascii="宋体" w:hAnsi="宋体" w:cs="宋体"/>
                <w:b/>
                <w:kern w:val="2"/>
                <w:sz w:val="24"/>
                <w:szCs w:val="24"/>
              </w:rPr>
              <w:t>开</w:t>
            </w:r>
            <w:r>
              <w:rPr>
                <w:rFonts w:ascii="宋体" w:hAnsi="宋体" w:cs="宋体"/>
                <w:b/>
                <w:kern w:val="2"/>
                <w:sz w:val="24"/>
                <w:szCs w:val="24"/>
              </w:rPr>
              <w:t>标时，将不再接受任何纸质文件资料。</w:t>
            </w:r>
          </w:p>
          <w:p w14:paraId="278991BF">
            <w:pPr>
              <w:widowControl w:val="0"/>
              <w:spacing w:line="400" w:lineRule="exact"/>
              <w:jc w:val="both"/>
              <w:rPr>
                <w:rFonts w:ascii="宋体" w:hAnsi="宋体"/>
                <w:kern w:val="2"/>
                <w:sz w:val="24"/>
                <w:szCs w:val="24"/>
              </w:rPr>
            </w:pPr>
            <w:r>
              <w:rPr>
                <w:rFonts w:ascii="宋体" w:hAnsi="宋体" w:cs="宋体"/>
                <w:kern w:val="2"/>
                <w:sz w:val="24"/>
                <w:szCs w:val="24"/>
              </w:rPr>
              <w:t>电子化响应文件具体制作教材请</w:t>
            </w:r>
            <w:r>
              <w:rPr>
                <w:rFonts w:hint="eastAsia" w:ascii="宋体" w:hAnsi="宋体" w:cs="宋体"/>
                <w:kern w:val="2"/>
                <w:sz w:val="24"/>
                <w:szCs w:val="24"/>
              </w:rPr>
              <w:t>供应商</w:t>
            </w:r>
            <w:r>
              <w:rPr>
                <w:rFonts w:ascii="宋体" w:hAnsi="宋体" w:cs="宋体"/>
                <w:kern w:val="2"/>
                <w:sz w:val="24"/>
                <w:szCs w:val="24"/>
              </w:rPr>
              <w:t>通过</w:t>
            </w:r>
            <w:r>
              <w:rPr>
                <w:rFonts w:ascii="宋体" w:hAnsi="宋体"/>
                <w:kern w:val="2"/>
                <w:sz w:val="24"/>
                <w:szCs w:val="24"/>
              </w:rPr>
              <w:t>CA</w:t>
            </w:r>
            <w:r>
              <w:rPr>
                <w:rFonts w:ascii="宋体" w:hAnsi="宋体" w:cs="宋体"/>
                <w:kern w:val="2"/>
                <w:sz w:val="24"/>
                <w:szCs w:val="24"/>
              </w:rPr>
              <w:t>证书登录三门峡市公共资源电子化交易系统在“组建下载”中查看。</w:t>
            </w:r>
          </w:p>
          <w:p w14:paraId="5710433F">
            <w:pPr>
              <w:widowControl w:val="0"/>
              <w:spacing w:line="400" w:lineRule="exact"/>
              <w:jc w:val="both"/>
              <w:rPr>
                <w:rFonts w:ascii="宋体" w:hAnsi="宋体"/>
                <w:kern w:val="2"/>
                <w:sz w:val="24"/>
                <w:szCs w:val="24"/>
              </w:rPr>
            </w:pPr>
            <w:r>
              <w:rPr>
                <w:rFonts w:ascii="宋体" w:hAnsi="宋体" w:cs="宋体"/>
                <w:b/>
                <w:kern w:val="2"/>
                <w:sz w:val="24"/>
                <w:szCs w:val="24"/>
              </w:rPr>
              <w:t>温馨提示：本项目为电子化、无纸化交易项目，开标时不接受任何纸质资料，为保证您能</w:t>
            </w:r>
            <w:r>
              <w:rPr>
                <w:rFonts w:hint="eastAsia" w:ascii="宋体" w:hAnsi="宋体" w:cs="宋体"/>
                <w:b/>
                <w:kern w:val="2"/>
                <w:sz w:val="24"/>
                <w:szCs w:val="24"/>
              </w:rPr>
              <w:t>开</w:t>
            </w:r>
            <w:r>
              <w:rPr>
                <w:rFonts w:ascii="宋体" w:hAnsi="宋体" w:cs="宋体"/>
                <w:b/>
                <w:kern w:val="2"/>
                <w:sz w:val="24"/>
                <w:szCs w:val="24"/>
              </w:rPr>
              <w:t>标成功，请需仔细阅读以下条款。</w:t>
            </w:r>
          </w:p>
          <w:p w14:paraId="363D72B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一、电子化投标</w:t>
            </w:r>
          </w:p>
          <w:p w14:paraId="755D8D7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（一）电子化磋商响应文件的签章</w:t>
            </w:r>
          </w:p>
          <w:p w14:paraId="43CF8C50">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1、供应商在生成电子化磋商响应文件后，应对电子化磋商响应文件进行签章，未进行签章的视为无效投标。</w:t>
            </w:r>
          </w:p>
          <w:p w14:paraId="2979F271">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2、磋商响应文件中要求法定代表人或授权委托人签字或盖章的，供应商在进行电子化磋商响应文件签章时，以签盖法定代表人签章为准。电子化磋商响应文件具体制作教材请供应商通过CA证书登录三门峡市公共资源电子化交易系统在右上角“交易智库”中查看。电子化磋商响应文件工具请点击http://t.cn/A6ZvtVob进行下载。</w:t>
            </w:r>
          </w:p>
          <w:p w14:paraId="1B5C36F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（二）电子化磋商响应文件的格式及上传投标</w:t>
            </w:r>
          </w:p>
          <w:p w14:paraId="3FAD20F3">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1、供应商所上传的电子化磋商响应文件，应是通过中心磋商响应文件制作系统制作的（磋商响应文件制作工具下载地址：http://t.cn/A6ZvtVob），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w:t>
            </w:r>
          </w:p>
          <w:p w14:paraId="21E93202">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注：供应商投报多个标段的，需要每个标段单独制作电子磋商响应文件。</w:t>
            </w:r>
          </w:p>
          <w:p w14:paraId="2BB10E25">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2、电子化磋商响应文件应在投标截止时间前成功上传至三门峡市公共资源电子化交易系统。至投标截止时间止，仍未上传成功的电子化磋商响应文件将不予接收。</w:t>
            </w:r>
          </w:p>
          <w:p w14:paraId="3929ECE6">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7AF6B15F">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技术联系电话：400-998-0000</w:t>
            </w:r>
          </w:p>
          <w:p w14:paraId="461F00E7">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（三）电子化项目开标、解密、唱标、评标</w:t>
            </w:r>
          </w:p>
          <w:p w14:paraId="2B868E88">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6DF1546F">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2、电子化磋商响应文件采用一次加密方式。开标时，由供应商使用CA 证书，在规定时间内对其电子化磋商响应文件进行解密。每位供应商的解密时间为开标时间起30分钟内，如在规定时间内未完成解密的，其磋商响应文件不予开标、唱标。</w:t>
            </w:r>
          </w:p>
          <w:p w14:paraId="12AB2199">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3、电子化磋商响应文件解密异常的处理</w:t>
            </w:r>
          </w:p>
          <w:p w14:paraId="36D59FCE">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如出现供应商的电子磋商响应文件无法解密等异常情况</w:t>
            </w:r>
            <w:r>
              <w:rPr>
                <w:rFonts w:hint="eastAsia" w:ascii="宋体" w:hAnsi="宋体"/>
                <w:color w:val="auto"/>
                <w:kern w:val="2"/>
                <w:sz w:val="24"/>
                <w:szCs w:val="24"/>
                <w:lang w:eastAsia="zh-CN"/>
              </w:rPr>
              <w:t>，</w:t>
            </w:r>
            <w:r>
              <w:rPr>
                <w:rFonts w:hint="eastAsia" w:ascii="宋体" w:hAnsi="宋体"/>
                <w:color w:val="auto"/>
                <w:kern w:val="2"/>
                <w:sz w:val="24"/>
                <w:szCs w:val="24"/>
              </w:rPr>
              <w:t>磋商响应文件异常，按以下步骤进行处理：</w:t>
            </w:r>
          </w:p>
          <w:p w14:paraId="3444CD53">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（1）首先由技术人员进行问题排查。</w:t>
            </w:r>
          </w:p>
          <w:p w14:paraId="5989FDE0">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（2）经技术人员排查后，是供应商文件自身问题导致磋商响应文件无法解密的，该磋商响应文件将不予接收、解密和唱标。开标会议继续进行。</w:t>
            </w:r>
          </w:p>
          <w:p w14:paraId="1B4D3EE9">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4676AEC3">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4、待所有供应商磋商响应文件解密完成后，由中介服务机构操作，对所有已解密磋商响应文件进行唱标。</w:t>
            </w:r>
          </w:p>
          <w:p w14:paraId="0B1918D3">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供应商应保证在开标期间电话、电脑、网络能够正常工作，供应商因停电、电脑病毒、网络堵塞等原因，未在规定的解密时间内对磋商响应文件进行解密的，其磋商响应文件不予接收、唱标。</w:t>
            </w:r>
          </w:p>
          <w:p w14:paraId="447DA409">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5、开标时</w:t>
            </w:r>
            <w:r>
              <w:rPr>
                <w:rFonts w:hint="eastAsia" w:ascii="宋体" w:hAnsi="宋体"/>
                <w:color w:val="auto"/>
                <w:kern w:val="2"/>
                <w:sz w:val="24"/>
                <w:szCs w:val="24"/>
                <w:lang w:eastAsia="zh-CN"/>
              </w:rPr>
              <w:t>供应商</w:t>
            </w:r>
            <w:r>
              <w:rPr>
                <w:rFonts w:hint="eastAsia" w:ascii="宋体" w:hAnsi="宋体"/>
                <w:color w:val="auto"/>
                <w:kern w:val="2"/>
                <w:sz w:val="24"/>
                <w:szCs w:val="24"/>
              </w:rPr>
              <w:t>可登录到交易系统中在开标解密栏中点击报价一览表查看自己的投标报价。如对自己的唱标内容有异议的，应在</w:t>
            </w:r>
            <w:r>
              <w:rPr>
                <w:rFonts w:hint="eastAsia" w:ascii="宋体" w:hAnsi="宋体"/>
                <w:color w:val="auto"/>
                <w:kern w:val="2"/>
                <w:sz w:val="24"/>
                <w:szCs w:val="24"/>
                <w:lang w:eastAsia="zh-CN"/>
              </w:rPr>
              <w:t>供应商</w:t>
            </w:r>
            <w:r>
              <w:rPr>
                <w:rFonts w:hint="eastAsia" w:ascii="宋体" w:hAnsi="宋体"/>
                <w:color w:val="auto"/>
                <w:kern w:val="2"/>
                <w:sz w:val="24"/>
                <w:szCs w:val="24"/>
              </w:rPr>
              <w:t>解密成功后10分钟内向中服务机构通过开标大厅对话框提出质疑。中介服务机构应在监督人员的监督下接受</w:t>
            </w:r>
            <w:r>
              <w:rPr>
                <w:rFonts w:hint="eastAsia" w:ascii="宋体" w:hAnsi="宋体"/>
                <w:color w:val="auto"/>
                <w:kern w:val="2"/>
                <w:sz w:val="24"/>
                <w:szCs w:val="24"/>
                <w:lang w:eastAsia="zh-CN"/>
              </w:rPr>
              <w:t>供应商</w:t>
            </w:r>
            <w:r>
              <w:rPr>
                <w:rFonts w:hint="eastAsia" w:ascii="宋体" w:hAnsi="宋体"/>
                <w:color w:val="auto"/>
                <w:kern w:val="2"/>
                <w:sz w:val="24"/>
                <w:szCs w:val="24"/>
              </w:rPr>
              <w:t>的质疑通过开标大厅对话框进行答复并做好书面记录。供应商未在规定时间内提出质疑的，视为认可唱标内容。</w:t>
            </w:r>
          </w:p>
          <w:p w14:paraId="2E8EC00D">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6、评标时，</w:t>
            </w:r>
            <w:r>
              <w:rPr>
                <w:rFonts w:hint="eastAsia" w:ascii="宋体" w:hAnsi="宋体"/>
                <w:color w:val="auto"/>
                <w:kern w:val="2"/>
                <w:sz w:val="24"/>
                <w:szCs w:val="24"/>
                <w:lang w:eastAsia="zh-CN"/>
              </w:rPr>
              <w:t>磋商小组</w:t>
            </w:r>
            <w:r>
              <w:rPr>
                <w:rFonts w:hint="eastAsia" w:ascii="宋体" w:hAnsi="宋体"/>
                <w:color w:val="auto"/>
                <w:kern w:val="2"/>
                <w:sz w:val="24"/>
                <w:szCs w:val="24"/>
              </w:rPr>
              <w:t>对电子化磋商响应文件有质疑的，将通过电子化交易系统对供应商发起质疑，供应商的回复文件必须以经过供应商和其法定代表人签章的PDF格式文件为准，并通过电子化交易系统提交至磋商小组。</w:t>
            </w:r>
          </w:p>
          <w:p w14:paraId="0CB98A6A">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7、各供应商在会员系统中收到有关二次报价信息后，必须在规定时间内给出答复，并在签章后提交，采购人及采购代理机构不再电话通知。需要回复的</w:t>
            </w:r>
            <w:r>
              <w:rPr>
                <w:rFonts w:hint="eastAsia" w:ascii="宋体" w:hAnsi="宋体"/>
                <w:color w:val="auto"/>
                <w:kern w:val="2"/>
                <w:sz w:val="24"/>
                <w:szCs w:val="24"/>
                <w:lang w:eastAsia="zh-CN"/>
              </w:rPr>
              <w:t>供应商</w:t>
            </w:r>
            <w:r>
              <w:rPr>
                <w:rFonts w:hint="eastAsia" w:ascii="宋体" w:hAnsi="宋体"/>
                <w:color w:val="auto"/>
                <w:kern w:val="2"/>
                <w:sz w:val="24"/>
                <w:szCs w:val="24"/>
              </w:rPr>
              <w:t>在规定的时间内未回复的，视为</w:t>
            </w:r>
            <w:r>
              <w:rPr>
                <w:rFonts w:hint="eastAsia" w:ascii="宋体" w:hAnsi="宋体"/>
                <w:color w:val="auto"/>
                <w:kern w:val="2"/>
                <w:sz w:val="24"/>
                <w:szCs w:val="24"/>
                <w:lang w:eastAsia="zh-CN"/>
              </w:rPr>
              <w:t>供应商</w:t>
            </w:r>
            <w:r>
              <w:rPr>
                <w:rFonts w:hint="eastAsia" w:ascii="宋体" w:hAnsi="宋体"/>
                <w:color w:val="auto"/>
                <w:kern w:val="2"/>
                <w:sz w:val="24"/>
                <w:szCs w:val="24"/>
              </w:rPr>
              <w:t>放弃回复，</w:t>
            </w:r>
            <w:r>
              <w:rPr>
                <w:rFonts w:hint="eastAsia" w:ascii="宋体" w:hAnsi="宋体"/>
                <w:color w:val="auto"/>
                <w:kern w:val="2"/>
                <w:sz w:val="24"/>
                <w:szCs w:val="24"/>
                <w:lang w:eastAsia="zh-CN"/>
              </w:rPr>
              <w:t>磋商小组</w:t>
            </w:r>
            <w:r>
              <w:rPr>
                <w:rFonts w:hint="eastAsia" w:ascii="宋体" w:hAnsi="宋体"/>
                <w:color w:val="auto"/>
                <w:kern w:val="2"/>
                <w:sz w:val="24"/>
                <w:szCs w:val="24"/>
              </w:rPr>
              <w:t>将自行对需要回复的内容进行认定。</w:t>
            </w:r>
          </w:p>
          <w:p w14:paraId="3C01302A">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二、相关证书原件的提交</w:t>
            </w:r>
          </w:p>
          <w:p w14:paraId="177B71A2">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ascii="宋体" w:hAnsi="宋体"/>
                <w:kern w:val="2"/>
                <w:sz w:val="24"/>
                <w:szCs w:val="24"/>
              </w:rPr>
            </w:pPr>
            <w:r>
              <w:rPr>
                <w:rFonts w:hint="eastAsia" w:ascii="宋体" w:hAnsi="宋体"/>
                <w:color w:val="auto"/>
                <w:kern w:val="2"/>
                <w:sz w:val="24"/>
                <w:szCs w:val="24"/>
              </w:rPr>
              <w:t>本项目实行资格后审，磋商响应文件中要求供应商提交资质、业绩、荣誉及单位人员等相关资料原件的，供应商需将原件扫描件制作到电子磋商响应文件中。供应商应及时完善主体库。</w:t>
            </w:r>
          </w:p>
        </w:tc>
      </w:tr>
    </w:tbl>
    <w:p w14:paraId="4CB82EB0">
      <w:pPr>
        <w:keepNext/>
        <w:keepLines/>
        <w:widowControl w:val="0"/>
        <w:spacing w:before="20" w:after="20" w:line="360" w:lineRule="auto"/>
        <w:ind w:firstLine="482" w:firstLineChars="200"/>
        <w:outlineLvl w:val="0"/>
        <w:rPr>
          <w:rFonts w:ascii="宋体" w:hAnsi="宋体"/>
          <w:b/>
          <w:sz w:val="24"/>
          <w:szCs w:val="24"/>
        </w:rPr>
      </w:pPr>
      <w:bookmarkStart w:id="21" w:name="_Toc28511"/>
      <w:r>
        <w:rPr>
          <w:rFonts w:hint="eastAsia" w:ascii="宋体" w:hAnsi="宋体" w:cs="宋体"/>
          <w:b/>
          <w:sz w:val="24"/>
          <w:szCs w:val="24"/>
        </w:rPr>
        <w:t>一、说明</w:t>
      </w:r>
      <w:bookmarkEnd w:id="21"/>
    </w:p>
    <w:p w14:paraId="54132217">
      <w:pPr>
        <w:widowControl w:val="0"/>
        <w:autoSpaceDE w:val="0"/>
        <w:autoSpaceDN w:val="0"/>
        <w:adjustRightInd w:val="0"/>
        <w:spacing w:before="32" w:line="360" w:lineRule="auto"/>
        <w:ind w:right="-58" w:rightChars="0" w:firstLine="468" w:firstLineChars="200"/>
        <w:jc w:val="both"/>
        <w:outlineLvl w:val="1"/>
        <w:rPr>
          <w:rFonts w:ascii="宋体" w:hAnsi="宋体" w:cs="宋体"/>
          <w:spacing w:val="-3"/>
          <w:sz w:val="24"/>
          <w:szCs w:val="24"/>
        </w:rPr>
      </w:pPr>
      <w:bookmarkStart w:id="22" w:name="_Toc11895"/>
      <w:r>
        <w:rPr>
          <w:rFonts w:hint="eastAsia" w:ascii="宋体" w:hAnsi="宋体" w:cs="宋体"/>
          <w:spacing w:val="-3"/>
          <w:sz w:val="24"/>
          <w:szCs w:val="24"/>
        </w:rPr>
        <w:t>1.适用范围</w:t>
      </w:r>
      <w:bookmarkEnd w:id="22"/>
    </w:p>
    <w:p w14:paraId="78A8EBA1">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本竞争性磋商文件仅适用于竞争性磋商公告中所叙述项目的相关采购。</w:t>
      </w:r>
    </w:p>
    <w:p w14:paraId="77CCFF1B">
      <w:pPr>
        <w:widowControl w:val="0"/>
        <w:autoSpaceDE w:val="0"/>
        <w:autoSpaceDN w:val="0"/>
        <w:adjustRightInd w:val="0"/>
        <w:spacing w:before="32" w:line="360" w:lineRule="auto"/>
        <w:ind w:right="-58" w:rightChars="0" w:firstLine="468" w:firstLineChars="200"/>
        <w:jc w:val="both"/>
        <w:outlineLvl w:val="1"/>
        <w:rPr>
          <w:rFonts w:ascii="宋体" w:hAnsi="宋体" w:cs="宋体"/>
          <w:spacing w:val="-3"/>
          <w:sz w:val="24"/>
          <w:szCs w:val="24"/>
        </w:rPr>
      </w:pPr>
      <w:bookmarkStart w:id="23" w:name="_Toc18034"/>
      <w:r>
        <w:rPr>
          <w:rFonts w:hint="eastAsia" w:ascii="宋体" w:hAnsi="宋体" w:cs="宋体"/>
          <w:spacing w:val="-3"/>
          <w:sz w:val="24"/>
          <w:szCs w:val="24"/>
        </w:rPr>
        <w:t>2.定义</w:t>
      </w:r>
      <w:bookmarkEnd w:id="23"/>
    </w:p>
    <w:p w14:paraId="456295E4">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2.1  “采购人”系指本次项目内容的采购单位。</w:t>
      </w:r>
    </w:p>
    <w:p w14:paraId="7E470552">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2.2  “采购代理机构”系指本次采购项目活动组织方。</w:t>
      </w:r>
    </w:p>
    <w:p w14:paraId="3D480DCD">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2.3 “供应商”系指响应采购、参加磋商竞争的法人或者其他组织。</w:t>
      </w:r>
    </w:p>
    <w:p w14:paraId="7DFB6092">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2.4 “供应商代表”系指代表供应商参加本次磋商活动的供应商的法定代表人或其委托代理人。</w:t>
      </w:r>
    </w:p>
    <w:p w14:paraId="28AF901D">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2.5 “服务”系指供应商按竞争性磋商文件规定提供采购人所要求的一切项目内容。</w:t>
      </w:r>
    </w:p>
    <w:p w14:paraId="312E7627">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2.6 “相关服务”系指竞争性磋商文件规定供应商须承担的与本次采购项目相关的服务、协调工作以及其他类似的义务。</w:t>
      </w:r>
    </w:p>
    <w:p w14:paraId="1E4B1554">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2.7 “磋商有效期”60日历天(指本次采购项目递交响应性文件截止之日起。成交供应商的竞争性磋商文件有效期至合同完全履行止。</w:t>
      </w:r>
    </w:p>
    <w:p w14:paraId="0F634DD7">
      <w:pPr>
        <w:widowControl w:val="0"/>
        <w:autoSpaceDE w:val="0"/>
        <w:autoSpaceDN w:val="0"/>
        <w:adjustRightInd w:val="0"/>
        <w:spacing w:before="32" w:line="360" w:lineRule="auto"/>
        <w:ind w:right="-58" w:rightChars="0" w:firstLine="468" w:firstLineChars="200"/>
        <w:jc w:val="both"/>
        <w:outlineLvl w:val="1"/>
        <w:rPr>
          <w:rFonts w:ascii="宋体" w:hAnsi="宋体" w:cs="宋体"/>
          <w:spacing w:val="-3"/>
          <w:sz w:val="24"/>
          <w:szCs w:val="24"/>
        </w:rPr>
      </w:pPr>
      <w:bookmarkStart w:id="24" w:name="_Toc1710"/>
      <w:r>
        <w:rPr>
          <w:rFonts w:hint="eastAsia" w:ascii="宋体" w:hAnsi="宋体" w:cs="宋体"/>
          <w:spacing w:val="-3"/>
          <w:sz w:val="24"/>
          <w:szCs w:val="24"/>
        </w:rPr>
        <w:t>3.资金来源：财政资金，已落实。</w:t>
      </w:r>
      <w:bookmarkEnd w:id="24"/>
    </w:p>
    <w:p w14:paraId="7E068004">
      <w:pPr>
        <w:widowControl w:val="0"/>
        <w:autoSpaceDE w:val="0"/>
        <w:autoSpaceDN w:val="0"/>
        <w:adjustRightInd w:val="0"/>
        <w:spacing w:before="32" w:line="360" w:lineRule="auto"/>
        <w:ind w:right="-58" w:rightChars="0" w:firstLine="468" w:firstLineChars="200"/>
        <w:jc w:val="both"/>
        <w:outlineLvl w:val="1"/>
        <w:rPr>
          <w:rFonts w:ascii="宋体" w:hAnsi="宋体" w:cs="宋体"/>
          <w:spacing w:val="-3"/>
          <w:sz w:val="24"/>
          <w:szCs w:val="24"/>
        </w:rPr>
      </w:pPr>
      <w:bookmarkStart w:id="25" w:name="_Toc21924"/>
      <w:r>
        <w:rPr>
          <w:rFonts w:hint="eastAsia" w:ascii="宋体" w:hAnsi="宋体" w:cs="宋体"/>
          <w:spacing w:val="-3"/>
          <w:sz w:val="24"/>
          <w:szCs w:val="24"/>
        </w:rPr>
        <w:t>4.供应商应提交的证明文件</w:t>
      </w:r>
      <w:bookmarkEnd w:id="25"/>
    </w:p>
    <w:p w14:paraId="0CBA081A">
      <w:pPr>
        <w:widowControl w:val="0"/>
        <w:autoSpaceDE w:val="0"/>
        <w:autoSpaceDN w:val="0"/>
        <w:adjustRightInd w:val="0"/>
        <w:spacing w:before="32" w:line="360" w:lineRule="auto"/>
        <w:ind w:right="-58"/>
        <w:jc w:val="both"/>
        <w:rPr>
          <w:rFonts w:ascii="宋体" w:hAnsi="宋体" w:cs="宋体"/>
          <w:b/>
          <w:spacing w:val="-3"/>
          <w:sz w:val="24"/>
          <w:szCs w:val="24"/>
        </w:rPr>
      </w:pPr>
      <w:r>
        <w:rPr>
          <w:rFonts w:hint="eastAsia" w:ascii="宋体" w:hAnsi="宋体" w:cs="宋体"/>
          <w:kern w:val="2"/>
          <w:sz w:val="24"/>
          <w:szCs w:val="24"/>
        </w:rPr>
        <w:t>具体详见供应商须知</w:t>
      </w:r>
    </w:p>
    <w:p w14:paraId="35FF1486">
      <w:pPr>
        <w:widowControl w:val="0"/>
        <w:autoSpaceDE w:val="0"/>
        <w:autoSpaceDN w:val="0"/>
        <w:adjustRightInd w:val="0"/>
        <w:spacing w:before="32" w:line="360" w:lineRule="auto"/>
        <w:ind w:right="-58" w:rightChars="0" w:firstLine="468" w:firstLineChars="200"/>
        <w:jc w:val="both"/>
        <w:outlineLvl w:val="1"/>
        <w:rPr>
          <w:rFonts w:ascii="宋体" w:hAnsi="宋体" w:cs="宋体"/>
          <w:spacing w:val="-3"/>
          <w:sz w:val="24"/>
          <w:szCs w:val="24"/>
        </w:rPr>
      </w:pPr>
      <w:bookmarkStart w:id="26" w:name="_Toc305"/>
      <w:r>
        <w:rPr>
          <w:rFonts w:hint="eastAsia" w:ascii="宋体" w:hAnsi="宋体" w:cs="宋体"/>
          <w:spacing w:val="-3"/>
          <w:sz w:val="24"/>
          <w:szCs w:val="24"/>
        </w:rPr>
        <w:t>5.磋商费用</w:t>
      </w:r>
      <w:bookmarkEnd w:id="26"/>
    </w:p>
    <w:p w14:paraId="0CFEAD6B">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不论磋商结果如何，供应商均应自行承担所有与磋商有关的全部费用。</w:t>
      </w:r>
    </w:p>
    <w:p w14:paraId="7D62C516">
      <w:pPr>
        <w:widowControl w:val="0"/>
        <w:autoSpaceDE w:val="0"/>
        <w:autoSpaceDN w:val="0"/>
        <w:adjustRightInd w:val="0"/>
        <w:spacing w:before="32" w:line="360" w:lineRule="auto"/>
        <w:ind w:right="-58" w:rightChars="0" w:firstLine="468" w:firstLineChars="200"/>
        <w:jc w:val="both"/>
        <w:outlineLvl w:val="1"/>
        <w:rPr>
          <w:rFonts w:ascii="宋体" w:hAnsi="宋体" w:cs="宋体"/>
          <w:spacing w:val="-3"/>
          <w:sz w:val="24"/>
          <w:szCs w:val="24"/>
        </w:rPr>
      </w:pPr>
      <w:bookmarkStart w:id="27" w:name="_Toc7919"/>
      <w:r>
        <w:rPr>
          <w:rFonts w:hint="eastAsia" w:ascii="宋体" w:hAnsi="宋体" w:cs="宋体"/>
          <w:spacing w:val="-3"/>
          <w:sz w:val="24"/>
          <w:szCs w:val="24"/>
        </w:rPr>
        <w:t>6.联合体参加磋商</w:t>
      </w:r>
      <w:bookmarkEnd w:id="27"/>
    </w:p>
    <w:p w14:paraId="1FD5765F">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6.1 本项目不接受联合体参加磋商。</w:t>
      </w:r>
    </w:p>
    <w:p w14:paraId="7A49C4F3">
      <w:pPr>
        <w:widowControl w:val="0"/>
        <w:autoSpaceDE w:val="0"/>
        <w:autoSpaceDN w:val="0"/>
        <w:adjustRightInd w:val="0"/>
        <w:spacing w:before="32" w:line="360" w:lineRule="auto"/>
        <w:ind w:right="-58" w:rightChars="0" w:firstLine="468" w:firstLineChars="200"/>
        <w:jc w:val="both"/>
        <w:outlineLvl w:val="1"/>
        <w:rPr>
          <w:rFonts w:ascii="宋体" w:hAnsi="宋体" w:cs="宋体"/>
          <w:spacing w:val="-3"/>
          <w:sz w:val="24"/>
          <w:szCs w:val="24"/>
        </w:rPr>
      </w:pPr>
      <w:bookmarkStart w:id="28" w:name="_Toc26487"/>
      <w:r>
        <w:rPr>
          <w:rFonts w:hint="eastAsia" w:ascii="宋体" w:hAnsi="宋体" w:cs="宋体"/>
          <w:spacing w:val="-3"/>
          <w:sz w:val="24"/>
          <w:szCs w:val="24"/>
        </w:rPr>
        <w:t>7.转包与分包</w:t>
      </w:r>
      <w:bookmarkEnd w:id="28"/>
    </w:p>
    <w:p w14:paraId="2566FACE">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7.1 本项目不允许采取转包方式履行合同。</w:t>
      </w:r>
    </w:p>
    <w:p w14:paraId="0A250D25">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7.2 本项目不允许采取分包方式履行合同。</w:t>
      </w:r>
    </w:p>
    <w:p w14:paraId="23852F52">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7.3 本项目不允许偏离</w:t>
      </w:r>
    </w:p>
    <w:p w14:paraId="5A5D2C8F">
      <w:pPr>
        <w:widowControl w:val="0"/>
        <w:autoSpaceDE w:val="0"/>
        <w:autoSpaceDN w:val="0"/>
        <w:adjustRightInd w:val="0"/>
        <w:spacing w:before="32" w:line="360" w:lineRule="auto"/>
        <w:ind w:right="-58" w:rightChars="0" w:firstLine="468" w:firstLineChars="200"/>
        <w:jc w:val="both"/>
        <w:outlineLvl w:val="1"/>
        <w:rPr>
          <w:rFonts w:ascii="宋体" w:hAnsi="宋体" w:cs="宋体"/>
          <w:spacing w:val="-3"/>
          <w:sz w:val="24"/>
          <w:szCs w:val="24"/>
        </w:rPr>
      </w:pPr>
      <w:bookmarkStart w:id="29" w:name="_Toc24515"/>
      <w:r>
        <w:rPr>
          <w:rFonts w:hint="eastAsia" w:ascii="宋体" w:hAnsi="宋体" w:cs="宋体"/>
          <w:spacing w:val="-3"/>
          <w:sz w:val="24"/>
          <w:szCs w:val="24"/>
        </w:rPr>
        <w:t>8.特别说明：</w:t>
      </w:r>
      <w:bookmarkEnd w:id="29"/>
    </w:p>
    <w:p w14:paraId="49B6653C">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8.1 供应商参加磋商所使用的资格、信誉、荣誉、业绩与企业认证必须为本法人所拥有。</w:t>
      </w:r>
    </w:p>
    <w:p w14:paraId="35B91CB6">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8.2 供应商代表只能接受一个供应商的委托参加磋商。</w:t>
      </w:r>
    </w:p>
    <w:p w14:paraId="6E82AD09">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8.3 供应商在磋商活动中提供虚假材料或从事其他违法活动的,其响应无效，由相关部门查处。</w:t>
      </w:r>
    </w:p>
    <w:p w14:paraId="34B09CBF">
      <w:pPr>
        <w:widowControl w:val="0"/>
        <w:autoSpaceDE w:val="0"/>
        <w:autoSpaceDN w:val="0"/>
        <w:adjustRightInd w:val="0"/>
        <w:spacing w:before="32" w:line="360" w:lineRule="auto"/>
        <w:ind w:right="-58" w:rightChars="0" w:firstLine="468" w:firstLineChars="200"/>
        <w:jc w:val="both"/>
        <w:outlineLvl w:val="1"/>
        <w:rPr>
          <w:rFonts w:ascii="宋体" w:hAnsi="宋体" w:cs="宋体"/>
          <w:spacing w:val="-3"/>
          <w:sz w:val="24"/>
          <w:szCs w:val="24"/>
        </w:rPr>
      </w:pPr>
      <w:bookmarkStart w:id="30" w:name="_Toc7076"/>
      <w:r>
        <w:rPr>
          <w:rFonts w:hint="eastAsia" w:ascii="宋体" w:hAnsi="宋体" w:cs="宋体"/>
          <w:spacing w:val="-3"/>
          <w:sz w:val="24"/>
          <w:szCs w:val="24"/>
        </w:rPr>
        <w:t>9.质疑和投诉</w:t>
      </w:r>
      <w:bookmarkEnd w:id="30"/>
    </w:p>
    <w:p w14:paraId="242F32C0">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72062729">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29C04716">
      <w:pPr>
        <w:widowControl w:val="0"/>
        <w:autoSpaceDE w:val="0"/>
        <w:autoSpaceDN w:val="0"/>
        <w:adjustRightInd w:val="0"/>
        <w:spacing w:before="32" w:line="360" w:lineRule="auto"/>
        <w:ind w:right="-58" w:rightChars="0" w:firstLine="468" w:firstLineChars="200"/>
        <w:jc w:val="both"/>
        <w:outlineLvl w:val="1"/>
        <w:rPr>
          <w:rFonts w:ascii="宋体" w:hAnsi="宋体" w:cs="宋体"/>
          <w:spacing w:val="-3"/>
          <w:sz w:val="24"/>
          <w:szCs w:val="24"/>
        </w:rPr>
      </w:pPr>
      <w:bookmarkStart w:id="31" w:name="_Toc27235"/>
      <w:r>
        <w:rPr>
          <w:rFonts w:hint="eastAsia" w:ascii="宋体" w:hAnsi="宋体" w:cs="宋体"/>
          <w:spacing w:val="-3"/>
          <w:sz w:val="24"/>
          <w:szCs w:val="24"/>
        </w:rPr>
        <w:t>10.供应商的风险</w:t>
      </w:r>
      <w:bookmarkEnd w:id="31"/>
    </w:p>
    <w:p w14:paraId="6E63D381">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供应商没有按照竞争性磋商文件要求提供全部资料，或者供应商没有对响应性文件在各方面都作出实质性响应是供应商的风险，并可能导致其响应被拒绝。</w:t>
      </w:r>
    </w:p>
    <w:p w14:paraId="57E52588">
      <w:pPr>
        <w:keepNext/>
        <w:keepLines/>
        <w:widowControl w:val="0"/>
        <w:spacing w:before="20" w:after="20" w:line="360" w:lineRule="auto"/>
        <w:ind w:firstLine="482" w:firstLineChars="200"/>
        <w:jc w:val="both"/>
        <w:outlineLvl w:val="0"/>
        <w:rPr>
          <w:rFonts w:ascii="宋体" w:hAnsi="宋体"/>
          <w:b/>
          <w:sz w:val="24"/>
          <w:szCs w:val="24"/>
        </w:rPr>
      </w:pPr>
      <w:bookmarkStart w:id="32" w:name="_Toc461977415"/>
      <w:bookmarkEnd w:id="32"/>
      <w:bookmarkStart w:id="33" w:name="_Toc25839"/>
      <w:r>
        <w:rPr>
          <w:rFonts w:hint="eastAsia" w:ascii="宋体" w:hAnsi="宋体" w:cs="宋体"/>
          <w:b/>
          <w:sz w:val="24"/>
          <w:szCs w:val="24"/>
        </w:rPr>
        <w:t>二、竞争性磋商文件</w:t>
      </w:r>
      <w:bookmarkEnd w:id="33"/>
    </w:p>
    <w:p w14:paraId="1A9844A7">
      <w:pPr>
        <w:widowControl w:val="0"/>
        <w:autoSpaceDE w:val="0"/>
        <w:autoSpaceDN w:val="0"/>
        <w:adjustRightInd w:val="0"/>
        <w:spacing w:before="136" w:line="360" w:lineRule="auto"/>
        <w:ind w:firstLine="468" w:firstLineChars="200"/>
        <w:outlineLvl w:val="1"/>
        <w:rPr>
          <w:rFonts w:ascii="宋体" w:hAnsi="宋体" w:cs="宋体"/>
          <w:spacing w:val="-3"/>
          <w:sz w:val="24"/>
          <w:szCs w:val="24"/>
        </w:rPr>
      </w:pPr>
      <w:bookmarkStart w:id="34" w:name="_Toc14115"/>
      <w:r>
        <w:rPr>
          <w:rFonts w:hint="eastAsia" w:ascii="宋体" w:hAnsi="宋体" w:cs="宋体"/>
          <w:spacing w:val="-3"/>
          <w:sz w:val="24"/>
          <w:szCs w:val="24"/>
        </w:rPr>
        <w:t>11.竞争性磋商文件的构成。本竞争性磋商文件由以下部分组成：</w:t>
      </w:r>
      <w:bookmarkEnd w:id="34"/>
    </w:p>
    <w:p w14:paraId="25EFBF4C">
      <w:pPr>
        <w:widowControl w:val="0"/>
        <w:autoSpaceDE w:val="0"/>
        <w:autoSpaceDN w:val="0"/>
        <w:adjustRightInd w:val="0"/>
        <w:spacing w:before="184" w:line="360" w:lineRule="auto"/>
        <w:rPr>
          <w:rFonts w:ascii="宋体" w:hAnsi="宋体" w:cs="宋体"/>
          <w:spacing w:val="-3"/>
          <w:sz w:val="24"/>
          <w:szCs w:val="24"/>
        </w:rPr>
      </w:pPr>
      <w:r>
        <w:rPr>
          <w:rFonts w:hint="eastAsia" w:ascii="宋体" w:hAnsi="宋体" w:cs="宋体"/>
          <w:spacing w:val="-3"/>
          <w:sz w:val="24"/>
          <w:szCs w:val="24"/>
        </w:rPr>
        <w:t>11.1 竞争性磋商公告</w:t>
      </w:r>
    </w:p>
    <w:p w14:paraId="69F2C249">
      <w:pPr>
        <w:widowControl w:val="0"/>
        <w:autoSpaceDE w:val="0"/>
        <w:autoSpaceDN w:val="0"/>
        <w:adjustRightInd w:val="0"/>
        <w:spacing w:before="184" w:line="360" w:lineRule="auto"/>
        <w:rPr>
          <w:rFonts w:ascii="宋体" w:hAnsi="宋体" w:cs="宋体"/>
          <w:spacing w:val="-3"/>
          <w:sz w:val="24"/>
          <w:szCs w:val="24"/>
        </w:rPr>
      </w:pPr>
      <w:r>
        <w:rPr>
          <w:rFonts w:hint="eastAsia" w:ascii="宋体" w:hAnsi="宋体" w:cs="宋体"/>
          <w:spacing w:val="-3"/>
          <w:sz w:val="24"/>
          <w:szCs w:val="24"/>
        </w:rPr>
        <w:t>11.2 供应商须知</w:t>
      </w:r>
    </w:p>
    <w:p w14:paraId="30A74351">
      <w:pPr>
        <w:widowControl w:val="0"/>
        <w:autoSpaceDE w:val="0"/>
        <w:autoSpaceDN w:val="0"/>
        <w:adjustRightInd w:val="0"/>
        <w:spacing w:before="184" w:line="360" w:lineRule="auto"/>
        <w:rPr>
          <w:rFonts w:ascii="宋体" w:hAnsi="宋体" w:cs="宋体"/>
          <w:spacing w:val="-3"/>
          <w:sz w:val="24"/>
          <w:szCs w:val="24"/>
        </w:rPr>
      </w:pPr>
      <w:r>
        <w:rPr>
          <w:rFonts w:hint="eastAsia" w:ascii="宋体" w:hAnsi="宋体" w:cs="宋体"/>
          <w:spacing w:val="-3"/>
          <w:sz w:val="24"/>
          <w:szCs w:val="24"/>
        </w:rPr>
        <w:t>11.3 服务内容及要求</w:t>
      </w:r>
    </w:p>
    <w:p w14:paraId="07762952">
      <w:pPr>
        <w:widowControl w:val="0"/>
        <w:autoSpaceDE w:val="0"/>
        <w:autoSpaceDN w:val="0"/>
        <w:adjustRightInd w:val="0"/>
        <w:spacing w:before="184" w:line="360" w:lineRule="auto"/>
        <w:rPr>
          <w:rFonts w:ascii="宋体" w:hAnsi="宋体" w:cs="宋体"/>
          <w:spacing w:val="-6"/>
          <w:sz w:val="24"/>
          <w:szCs w:val="24"/>
        </w:rPr>
      </w:pPr>
      <w:r>
        <w:rPr>
          <w:rFonts w:hint="eastAsia" w:ascii="宋体" w:hAnsi="宋体" w:cs="宋体"/>
          <w:spacing w:val="-6"/>
          <w:sz w:val="24"/>
          <w:szCs w:val="24"/>
        </w:rPr>
        <w:t xml:space="preserve">11.4 </w:t>
      </w:r>
      <w:r>
        <w:rPr>
          <w:rFonts w:hint="eastAsia" w:ascii="宋体" w:hAnsi="宋体" w:cs="宋体"/>
          <w:spacing w:val="-6"/>
          <w:sz w:val="24"/>
          <w:szCs w:val="24"/>
          <w:lang w:val="en-US" w:eastAsia="zh-CN"/>
        </w:rPr>
        <w:t>合同条款及格式</w:t>
      </w:r>
    </w:p>
    <w:p w14:paraId="59098FCA">
      <w:pPr>
        <w:widowControl w:val="0"/>
        <w:autoSpaceDE w:val="0"/>
        <w:autoSpaceDN w:val="0"/>
        <w:adjustRightInd w:val="0"/>
        <w:spacing w:before="184" w:line="360" w:lineRule="auto"/>
        <w:rPr>
          <w:rFonts w:ascii="宋体" w:hAnsi="宋体" w:cs="宋体"/>
          <w:spacing w:val="-3"/>
          <w:sz w:val="24"/>
          <w:szCs w:val="24"/>
        </w:rPr>
      </w:pPr>
      <w:r>
        <w:rPr>
          <w:rFonts w:hint="eastAsia" w:ascii="宋体" w:hAnsi="宋体" w:cs="宋体"/>
          <w:spacing w:val="-3"/>
          <w:sz w:val="24"/>
          <w:szCs w:val="24"/>
        </w:rPr>
        <w:t>11.5 评审标准</w:t>
      </w:r>
    </w:p>
    <w:p w14:paraId="1F544031">
      <w:pPr>
        <w:widowControl w:val="0"/>
        <w:autoSpaceDE w:val="0"/>
        <w:autoSpaceDN w:val="0"/>
        <w:adjustRightInd w:val="0"/>
        <w:spacing w:before="184" w:line="360" w:lineRule="auto"/>
        <w:rPr>
          <w:rFonts w:ascii="宋体" w:hAnsi="宋体" w:cs="宋体"/>
          <w:spacing w:val="-3"/>
          <w:sz w:val="24"/>
          <w:szCs w:val="24"/>
        </w:rPr>
      </w:pPr>
      <w:r>
        <w:rPr>
          <w:rFonts w:hint="eastAsia" w:ascii="宋体" w:hAnsi="宋体" w:cs="宋体"/>
          <w:spacing w:val="-3"/>
          <w:sz w:val="24"/>
          <w:szCs w:val="24"/>
        </w:rPr>
        <w:t xml:space="preserve">11.6 </w:t>
      </w:r>
      <w:r>
        <w:rPr>
          <w:rFonts w:hint="eastAsia" w:ascii="宋体" w:hAnsi="宋体" w:cs="宋体"/>
          <w:kern w:val="2"/>
          <w:sz w:val="24"/>
          <w:szCs w:val="24"/>
          <w:lang w:val="zh-CN"/>
        </w:rPr>
        <w:t>响应文件内容及格式</w:t>
      </w:r>
    </w:p>
    <w:p w14:paraId="278E4D32">
      <w:pPr>
        <w:widowControl w:val="0"/>
        <w:autoSpaceDE w:val="0"/>
        <w:autoSpaceDN w:val="0"/>
        <w:adjustRightInd w:val="0"/>
        <w:spacing w:before="184" w:line="360" w:lineRule="auto"/>
        <w:ind w:firstLine="468" w:firstLineChars="200"/>
        <w:outlineLvl w:val="1"/>
        <w:rPr>
          <w:rFonts w:ascii="宋体" w:hAnsi="宋体" w:cs="宋体"/>
          <w:spacing w:val="-3"/>
          <w:sz w:val="24"/>
          <w:szCs w:val="24"/>
        </w:rPr>
      </w:pPr>
      <w:bookmarkStart w:id="35" w:name="_Toc22636"/>
      <w:r>
        <w:rPr>
          <w:rFonts w:hint="eastAsia" w:ascii="宋体" w:hAnsi="宋体" w:cs="宋体"/>
          <w:spacing w:val="-3"/>
          <w:sz w:val="24"/>
          <w:szCs w:val="24"/>
        </w:rPr>
        <w:t>12.竞争性磋商文件的澄清与修改</w:t>
      </w:r>
      <w:bookmarkEnd w:id="35"/>
    </w:p>
    <w:p w14:paraId="658110A9">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12.1 采购代理机构对已发出的竞争性磋商文件进行必要澄清、修改或补充</w:t>
      </w:r>
      <w:r>
        <w:rPr>
          <w:rFonts w:hint="eastAsia" w:ascii="宋体" w:hAnsi="宋体" w:cs="宋体"/>
          <w:spacing w:val="-6"/>
          <w:sz w:val="24"/>
          <w:szCs w:val="24"/>
        </w:rPr>
        <w:t>的，应当在竞争性磋商文件要求提交响应性文件截止时间5个工作日（如至原定</w:t>
      </w:r>
      <w:r>
        <w:rPr>
          <w:rFonts w:hint="eastAsia" w:ascii="宋体" w:hAnsi="宋体" w:cs="宋体"/>
          <w:spacing w:val="-4"/>
          <w:sz w:val="24"/>
          <w:szCs w:val="24"/>
        </w:rPr>
        <w:t>截止时间不足5个工作日，则需延长磋商开始时间）前，在发布公告的相关媒体上发布更正公告</w:t>
      </w:r>
      <w:r>
        <w:rPr>
          <w:rFonts w:hint="eastAsia" w:ascii="宋体" w:hAnsi="宋体" w:cs="宋体"/>
          <w:spacing w:val="-3"/>
          <w:sz w:val="24"/>
          <w:szCs w:val="24"/>
        </w:rPr>
        <w:t>。竞争性磋商文件公示期间对竞争性磋商文件进行的澄清、修改或补充不受上述限制。</w:t>
      </w:r>
    </w:p>
    <w:p w14:paraId="5938D602">
      <w:pPr>
        <w:widowControl w:val="0"/>
        <w:autoSpaceDE w:val="0"/>
        <w:autoSpaceDN w:val="0"/>
        <w:adjustRightInd w:val="0"/>
        <w:spacing w:before="163" w:line="360" w:lineRule="auto"/>
        <w:rPr>
          <w:rFonts w:ascii="宋体" w:hAnsi="宋体" w:cs="宋体"/>
          <w:spacing w:val="-3"/>
          <w:sz w:val="24"/>
          <w:szCs w:val="24"/>
        </w:rPr>
      </w:pPr>
      <w:r>
        <w:rPr>
          <w:rFonts w:hint="eastAsia" w:ascii="宋体" w:hAnsi="宋体" w:cs="宋体"/>
          <w:spacing w:val="-3"/>
          <w:sz w:val="24"/>
          <w:szCs w:val="24"/>
        </w:rPr>
        <w:t>12.2 竞争性磋商文件澄清、修改或补充的内容为竞争性磋商文件的组成部分。</w:t>
      </w:r>
    </w:p>
    <w:p w14:paraId="684ED968">
      <w:pPr>
        <w:widowControl w:val="0"/>
        <w:autoSpaceDE w:val="0"/>
        <w:autoSpaceDN w:val="0"/>
        <w:adjustRightInd w:val="0"/>
        <w:spacing w:before="20" w:line="360" w:lineRule="auto"/>
        <w:ind w:right="-58"/>
        <w:jc w:val="both"/>
        <w:rPr>
          <w:rFonts w:ascii="宋体" w:hAnsi="宋体" w:cs="宋体"/>
          <w:spacing w:val="-5"/>
          <w:sz w:val="24"/>
          <w:szCs w:val="24"/>
        </w:rPr>
      </w:pPr>
      <w:r>
        <w:rPr>
          <w:rFonts w:hint="eastAsia" w:ascii="宋体" w:hAnsi="宋体" w:cs="宋体"/>
          <w:spacing w:val="-3"/>
          <w:sz w:val="24"/>
          <w:szCs w:val="24"/>
        </w:rPr>
        <w:t>12.3 竞争性磋商文件的澄清、修改或补充都应通过本采购代理机构以法定形式</w:t>
      </w:r>
      <w:r>
        <w:rPr>
          <w:rFonts w:hint="eastAsia" w:ascii="宋体" w:hAnsi="宋体" w:cs="宋体"/>
          <w:spacing w:val="-5"/>
          <w:sz w:val="24"/>
          <w:szCs w:val="24"/>
        </w:rPr>
        <w:t>发布。采购人未通过本采购代理机构对竞争性磋商文件进行的澄清、修改或补充无效，磋商时不予认可。</w:t>
      </w:r>
    </w:p>
    <w:p w14:paraId="42C0A88D">
      <w:pPr>
        <w:widowControl w:val="0"/>
        <w:autoSpaceDE w:val="0"/>
        <w:autoSpaceDN w:val="0"/>
        <w:adjustRightInd w:val="0"/>
        <w:spacing w:line="360" w:lineRule="auto"/>
        <w:ind w:right="-58"/>
        <w:jc w:val="both"/>
        <w:rPr>
          <w:rFonts w:ascii="宋体" w:hAnsi="宋体" w:cs="宋体"/>
          <w:spacing w:val="-4"/>
          <w:sz w:val="24"/>
          <w:szCs w:val="24"/>
        </w:rPr>
      </w:pPr>
      <w:r>
        <w:rPr>
          <w:rFonts w:hint="eastAsia" w:ascii="宋体" w:hAnsi="宋体" w:cs="宋体"/>
          <w:spacing w:val="-3"/>
          <w:sz w:val="24"/>
          <w:szCs w:val="24"/>
        </w:rPr>
        <w:t>12.4 采购代理机构可以视采购具体情况，延长递交响应性文件截止时间和</w:t>
      </w:r>
      <w:r>
        <w:rPr>
          <w:rFonts w:hint="eastAsia" w:ascii="宋体" w:hAnsi="宋体" w:cs="宋体"/>
          <w:spacing w:val="-4"/>
          <w:sz w:val="24"/>
          <w:szCs w:val="24"/>
        </w:rPr>
        <w:t>开始磋商时间，但至少应当在竞争性磋商文件要求提交响应性文件的截止时间5个工作日前，将变更时间在</w:t>
      </w:r>
      <w:r>
        <w:rPr>
          <w:rFonts w:hint="eastAsia" w:ascii="宋体" w:hAnsi="宋体" w:cs="宋体"/>
          <w:spacing w:val="-4"/>
          <w:sz w:val="24"/>
          <w:szCs w:val="24"/>
          <w:lang w:eastAsia="zh-CN"/>
        </w:rPr>
        <w:t>《三门峡市公共资源交易中心网》、《河南省政府采购网》、《中国招标投标公共服务平台》</w:t>
      </w:r>
      <w:r>
        <w:rPr>
          <w:rFonts w:hint="eastAsia" w:ascii="宋体" w:hAnsi="宋体" w:cs="宋体"/>
          <w:spacing w:val="-4"/>
          <w:sz w:val="24"/>
          <w:szCs w:val="24"/>
        </w:rPr>
        <w:t>等相关媒体上发布更正公告，磋商时间不足应顺延开标时间。</w:t>
      </w:r>
    </w:p>
    <w:p w14:paraId="170A02E6">
      <w:pPr>
        <w:keepNext/>
        <w:keepLines/>
        <w:widowControl w:val="0"/>
        <w:spacing w:before="20" w:after="20" w:line="360" w:lineRule="auto"/>
        <w:ind w:firstLine="482" w:firstLineChars="200"/>
        <w:jc w:val="both"/>
        <w:outlineLvl w:val="0"/>
        <w:rPr>
          <w:rFonts w:ascii="宋体" w:hAnsi="宋体"/>
          <w:b/>
          <w:sz w:val="24"/>
          <w:szCs w:val="24"/>
        </w:rPr>
      </w:pPr>
      <w:bookmarkStart w:id="36" w:name="_Toc461977416"/>
      <w:bookmarkEnd w:id="36"/>
      <w:bookmarkStart w:id="37" w:name="_Toc21648"/>
      <w:r>
        <w:rPr>
          <w:rFonts w:hint="eastAsia" w:ascii="宋体" w:hAnsi="宋体" w:cs="宋体"/>
          <w:b/>
          <w:sz w:val="24"/>
          <w:szCs w:val="24"/>
        </w:rPr>
        <w:t>三、响应性文件的编制</w:t>
      </w:r>
      <w:bookmarkEnd w:id="37"/>
    </w:p>
    <w:p w14:paraId="14B6964F">
      <w:pPr>
        <w:widowControl w:val="0"/>
        <w:autoSpaceDE w:val="0"/>
        <w:autoSpaceDN w:val="0"/>
        <w:adjustRightInd w:val="0"/>
        <w:spacing w:before="32" w:line="360" w:lineRule="auto"/>
        <w:ind w:right="-58" w:rightChars="0" w:firstLine="464" w:firstLineChars="200"/>
        <w:jc w:val="both"/>
        <w:outlineLvl w:val="1"/>
        <w:rPr>
          <w:rFonts w:ascii="宋体" w:hAnsi="宋体" w:cs="宋体"/>
          <w:spacing w:val="-4"/>
          <w:sz w:val="24"/>
          <w:szCs w:val="24"/>
        </w:rPr>
      </w:pPr>
      <w:bookmarkStart w:id="38" w:name="_Toc2332"/>
      <w:r>
        <w:rPr>
          <w:rFonts w:hint="eastAsia" w:ascii="宋体" w:hAnsi="宋体" w:cs="宋体"/>
          <w:spacing w:val="-4"/>
          <w:sz w:val="24"/>
          <w:szCs w:val="24"/>
        </w:rPr>
        <w:t>13.要求</w:t>
      </w:r>
      <w:bookmarkEnd w:id="38"/>
    </w:p>
    <w:p w14:paraId="640FDA80">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13.1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395750EE">
      <w:pPr>
        <w:widowControl w:val="0"/>
        <w:autoSpaceDE w:val="0"/>
        <w:autoSpaceDN w:val="0"/>
        <w:adjustRightInd w:val="0"/>
        <w:spacing w:before="32" w:line="360" w:lineRule="auto"/>
        <w:ind w:right="-58" w:rightChars="0" w:firstLine="464" w:firstLineChars="200"/>
        <w:jc w:val="both"/>
        <w:outlineLvl w:val="1"/>
        <w:rPr>
          <w:rFonts w:ascii="宋体" w:hAnsi="宋体" w:cs="宋体"/>
          <w:spacing w:val="-4"/>
          <w:sz w:val="24"/>
          <w:szCs w:val="24"/>
        </w:rPr>
      </w:pPr>
      <w:bookmarkStart w:id="39" w:name="_Toc21953"/>
      <w:r>
        <w:rPr>
          <w:rFonts w:hint="eastAsia" w:ascii="宋体" w:hAnsi="宋体" w:cs="宋体"/>
          <w:spacing w:val="-4"/>
          <w:sz w:val="24"/>
          <w:szCs w:val="24"/>
        </w:rPr>
        <w:t>14.响应性文件的语言和计量单位</w:t>
      </w:r>
      <w:bookmarkEnd w:id="39"/>
    </w:p>
    <w:p w14:paraId="1A81057F">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14.1 响应性文件以及供应商与采购、代理机构就有关磋商事宜的所有来往函电均应使用简体中文书写。</w:t>
      </w:r>
    </w:p>
    <w:p w14:paraId="271E268B">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14.2 关于计量单位，竞争性磋商文件已有明确规定的，使用竞争性磋商文件规定的计量单位；竞争性磋商文件没有规定的，应采用中华人民共和国法定计量单位。</w:t>
      </w:r>
    </w:p>
    <w:p w14:paraId="0F59523D">
      <w:pPr>
        <w:widowControl w:val="0"/>
        <w:autoSpaceDE w:val="0"/>
        <w:autoSpaceDN w:val="0"/>
        <w:adjustRightInd w:val="0"/>
        <w:spacing w:before="32" w:line="360" w:lineRule="auto"/>
        <w:ind w:right="-58" w:rightChars="0" w:firstLine="464" w:firstLineChars="200"/>
        <w:jc w:val="both"/>
        <w:outlineLvl w:val="1"/>
        <w:rPr>
          <w:rFonts w:ascii="宋体" w:hAnsi="宋体" w:cs="宋体"/>
          <w:spacing w:val="-4"/>
          <w:sz w:val="24"/>
          <w:szCs w:val="24"/>
        </w:rPr>
      </w:pPr>
      <w:bookmarkStart w:id="40" w:name="_Toc16741"/>
      <w:r>
        <w:rPr>
          <w:rFonts w:hint="eastAsia" w:ascii="宋体" w:hAnsi="宋体" w:cs="宋体"/>
          <w:spacing w:val="-4"/>
          <w:sz w:val="24"/>
          <w:szCs w:val="24"/>
        </w:rPr>
        <w:t>15.响应性文件的组成。响应性文件应包括：详见磋商文件</w:t>
      </w:r>
      <w:bookmarkEnd w:id="40"/>
    </w:p>
    <w:p w14:paraId="20A6333B">
      <w:pPr>
        <w:widowControl w:val="0"/>
        <w:autoSpaceDE w:val="0"/>
        <w:autoSpaceDN w:val="0"/>
        <w:adjustRightInd w:val="0"/>
        <w:spacing w:before="32" w:line="360" w:lineRule="auto"/>
        <w:ind w:right="-58" w:rightChars="0" w:firstLine="464" w:firstLineChars="200"/>
        <w:jc w:val="both"/>
        <w:outlineLvl w:val="1"/>
        <w:rPr>
          <w:rFonts w:ascii="宋体" w:hAnsi="宋体" w:cs="宋体"/>
          <w:spacing w:val="-4"/>
          <w:sz w:val="24"/>
          <w:szCs w:val="24"/>
        </w:rPr>
      </w:pPr>
      <w:bookmarkStart w:id="41" w:name="_Toc6255"/>
      <w:r>
        <w:rPr>
          <w:rFonts w:hint="eastAsia" w:ascii="宋体" w:hAnsi="宋体" w:cs="宋体"/>
          <w:spacing w:val="-4"/>
          <w:sz w:val="24"/>
          <w:szCs w:val="24"/>
        </w:rPr>
        <w:t>16.响应性文件有效期</w:t>
      </w:r>
      <w:bookmarkEnd w:id="41"/>
    </w:p>
    <w:p w14:paraId="3737014C">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16.1 响应性文件从所规定的递交响应性文件截止期之后开始生效，有效期不足将导致其响应性文件被拒绝。成交供应商的响应性文件有效期至合同完全履行止。</w:t>
      </w:r>
    </w:p>
    <w:p w14:paraId="0FFF9C2C">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16.2 特殊情况下采购代理机构可于响应性文件有效期满之前要求供应商同意延长有效期，供应商应在采购代理机构规定的期限内予以答复。</w:t>
      </w:r>
    </w:p>
    <w:p w14:paraId="59DF0AF7">
      <w:pPr>
        <w:widowControl w:val="0"/>
        <w:autoSpaceDE w:val="0"/>
        <w:autoSpaceDN w:val="0"/>
        <w:adjustRightInd w:val="0"/>
        <w:spacing w:before="32" w:line="360" w:lineRule="auto"/>
        <w:ind w:right="-58" w:rightChars="0" w:firstLine="464" w:firstLineChars="200"/>
        <w:jc w:val="both"/>
        <w:outlineLvl w:val="1"/>
        <w:rPr>
          <w:rFonts w:ascii="宋体" w:hAnsi="宋体" w:cs="宋体"/>
          <w:spacing w:val="-4"/>
          <w:sz w:val="24"/>
          <w:szCs w:val="24"/>
        </w:rPr>
      </w:pPr>
      <w:bookmarkStart w:id="42" w:name="_Toc22882"/>
      <w:r>
        <w:rPr>
          <w:rFonts w:hint="eastAsia" w:ascii="宋体" w:hAnsi="宋体" w:cs="宋体"/>
          <w:spacing w:val="-4"/>
          <w:sz w:val="24"/>
          <w:szCs w:val="24"/>
        </w:rPr>
        <w:t>17.磋商报价</w:t>
      </w:r>
      <w:bookmarkEnd w:id="42"/>
    </w:p>
    <w:p w14:paraId="42966A6B">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17.1 所有磋商报价均以人民币元为计算单位。</w:t>
      </w:r>
      <w:r>
        <w:rPr>
          <w:rFonts w:hint="eastAsia" w:ascii="宋体" w:hAnsi="宋体" w:cs="宋体"/>
          <w:spacing w:val="-4"/>
          <w:sz w:val="24"/>
          <w:szCs w:val="24"/>
          <w:lang w:val="zh-CN"/>
        </w:rPr>
        <w:t>供应商应报出完成本项目采购内容的总报价。</w:t>
      </w:r>
    </w:p>
    <w:p w14:paraId="56142EB8">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17.2 供应商要按初次报价一览表的内容填写。</w:t>
      </w:r>
    </w:p>
    <w:p w14:paraId="62535238">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17.3本次磋商应以人民币报价，进行二次报价。</w:t>
      </w:r>
    </w:p>
    <w:p w14:paraId="7D7B9292">
      <w:pPr>
        <w:widowControl w:val="0"/>
        <w:autoSpaceDE w:val="0"/>
        <w:autoSpaceDN w:val="0"/>
        <w:adjustRightInd w:val="0"/>
        <w:spacing w:before="32" w:line="360" w:lineRule="auto"/>
        <w:ind w:right="-58" w:rightChars="0" w:firstLine="464" w:firstLineChars="200"/>
        <w:jc w:val="both"/>
        <w:outlineLvl w:val="1"/>
        <w:rPr>
          <w:rFonts w:ascii="宋体" w:hAnsi="宋体" w:cs="宋体"/>
          <w:spacing w:val="-4"/>
          <w:sz w:val="24"/>
          <w:szCs w:val="24"/>
        </w:rPr>
      </w:pPr>
      <w:bookmarkStart w:id="43" w:name="_Toc18561"/>
      <w:r>
        <w:rPr>
          <w:rFonts w:hint="eastAsia" w:ascii="宋体" w:hAnsi="宋体" w:cs="宋体"/>
          <w:spacing w:val="-4"/>
          <w:sz w:val="24"/>
          <w:szCs w:val="24"/>
        </w:rPr>
        <w:t>18.磋商保证金</w:t>
      </w:r>
      <w:bookmarkEnd w:id="43"/>
    </w:p>
    <w:p w14:paraId="1989A801">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18.1.1按照《河南省财政厅关于优化政府采购营商环境有关问题的通知》（豫财购[2019]4号文）的要求本项目不再收取磋商保证金；</w:t>
      </w:r>
    </w:p>
    <w:p w14:paraId="75C4E424">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18.1.2</w:t>
      </w:r>
      <w:r>
        <w:rPr>
          <w:rFonts w:hint="eastAsia" w:ascii="宋体" w:hAnsi="宋体" w:cs="宋体"/>
          <w:spacing w:val="-4"/>
          <w:sz w:val="24"/>
          <w:szCs w:val="24"/>
          <w:lang w:eastAsia="zh-CN"/>
        </w:rPr>
        <w:t>供应商</w:t>
      </w:r>
      <w:r>
        <w:rPr>
          <w:rFonts w:hint="eastAsia" w:ascii="宋体" w:hAnsi="宋体" w:cs="宋体"/>
          <w:spacing w:val="-4"/>
          <w:sz w:val="24"/>
          <w:szCs w:val="24"/>
        </w:rPr>
        <w:t>需提供投标承诺函。（承诺事项及违背承诺的责任追究措施，详见磋商文件第六章响应文件内容及格式）。</w:t>
      </w:r>
    </w:p>
    <w:p w14:paraId="69FF0990">
      <w:pPr>
        <w:widowControl w:val="0"/>
        <w:autoSpaceDE w:val="0"/>
        <w:autoSpaceDN w:val="0"/>
        <w:adjustRightInd w:val="0"/>
        <w:spacing w:before="32" w:line="360" w:lineRule="auto"/>
        <w:ind w:right="-58" w:rightChars="0" w:firstLine="464" w:firstLineChars="200"/>
        <w:jc w:val="both"/>
        <w:outlineLvl w:val="1"/>
        <w:rPr>
          <w:rFonts w:ascii="宋体" w:hAnsi="宋体" w:cs="宋体"/>
          <w:spacing w:val="-4"/>
          <w:sz w:val="24"/>
          <w:szCs w:val="24"/>
        </w:rPr>
      </w:pPr>
      <w:bookmarkStart w:id="44" w:name="_Toc6322"/>
      <w:r>
        <w:rPr>
          <w:rFonts w:hint="eastAsia" w:ascii="宋体" w:hAnsi="宋体" w:cs="宋体"/>
          <w:spacing w:val="-4"/>
          <w:sz w:val="24"/>
          <w:szCs w:val="24"/>
        </w:rPr>
        <w:t>19. 响应性文件的签署</w:t>
      </w:r>
      <w:bookmarkEnd w:id="44"/>
    </w:p>
    <w:p w14:paraId="32FB3B50">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19.1 供应商应按本竞争性磋商文件规定的格式和顺序编制、胶装响应性文件。除了响应性文件封面以外，每个页面都要在明显位置编制页码，按流水顺序填写，字迹必须清晰可认，响应性文件的目录必须编序。响应性文件内容不完整、编排混乱导致被误读、漏读或者查找不到相关内容的，由供应商负责。</w:t>
      </w:r>
    </w:p>
    <w:p w14:paraId="68D0CCBB">
      <w:pPr>
        <w:keepNext/>
        <w:keepLines/>
        <w:widowControl w:val="0"/>
        <w:spacing w:before="20" w:after="20" w:line="360" w:lineRule="auto"/>
        <w:ind w:firstLine="482" w:firstLineChars="200"/>
        <w:jc w:val="both"/>
        <w:outlineLvl w:val="0"/>
        <w:rPr>
          <w:rFonts w:ascii="宋体" w:hAnsi="宋体" w:cs="宋体"/>
          <w:spacing w:val="-4"/>
          <w:sz w:val="24"/>
          <w:szCs w:val="24"/>
        </w:rPr>
      </w:pPr>
      <w:bookmarkStart w:id="45" w:name="_Toc461977417"/>
      <w:bookmarkEnd w:id="45"/>
      <w:bookmarkStart w:id="46" w:name="_Toc29989"/>
      <w:r>
        <w:rPr>
          <w:rFonts w:hint="eastAsia" w:ascii="宋体" w:hAnsi="宋体" w:cs="宋体"/>
          <w:b/>
          <w:sz w:val="24"/>
          <w:szCs w:val="24"/>
        </w:rPr>
        <w:t>四、响应性文件的递交</w:t>
      </w:r>
      <w:bookmarkEnd w:id="46"/>
    </w:p>
    <w:p w14:paraId="407F66D6">
      <w:pPr>
        <w:widowControl w:val="0"/>
        <w:autoSpaceDE w:val="0"/>
        <w:autoSpaceDN w:val="0"/>
        <w:adjustRightInd w:val="0"/>
        <w:spacing w:before="32" w:line="360" w:lineRule="auto"/>
        <w:ind w:right="-58" w:rightChars="0" w:firstLine="464" w:firstLineChars="200"/>
        <w:jc w:val="both"/>
        <w:outlineLvl w:val="1"/>
        <w:rPr>
          <w:rFonts w:ascii="宋体" w:hAnsi="宋体" w:cs="宋体"/>
          <w:spacing w:val="-4"/>
          <w:sz w:val="24"/>
          <w:szCs w:val="24"/>
        </w:rPr>
      </w:pPr>
      <w:bookmarkStart w:id="47" w:name="_Toc18342"/>
      <w:r>
        <w:rPr>
          <w:rFonts w:hint="eastAsia" w:ascii="宋体" w:hAnsi="宋体" w:cs="宋体"/>
          <w:spacing w:val="-4"/>
          <w:sz w:val="24"/>
          <w:szCs w:val="24"/>
        </w:rPr>
        <w:t>20.响应性文件的递交</w:t>
      </w:r>
      <w:bookmarkEnd w:id="47"/>
    </w:p>
    <w:p w14:paraId="316546F3">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在响应文件截止时间前上传至三门峡市公共资源交易中心系统平台。</w:t>
      </w:r>
    </w:p>
    <w:p w14:paraId="01D1D319">
      <w:pPr>
        <w:widowControl w:val="0"/>
        <w:autoSpaceDE w:val="0"/>
        <w:autoSpaceDN w:val="0"/>
        <w:adjustRightInd w:val="0"/>
        <w:spacing w:before="32" w:line="360" w:lineRule="auto"/>
        <w:ind w:right="-58" w:rightChars="0" w:firstLine="464" w:firstLineChars="200"/>
        <w:jc w:val="both"/>
        <w:outlineLvl w:val="1"/>
        <w:rPr>
          <w:rFonts w:ascii="宋体" w:hAnsi="宋体" w:cs="宋体"/>
          <w:spacing w:val="-4"/>
          <w:sz w:val="24"/>
          <w:szCs w:val="24"/>
        </w:rPr>
      </w:pPr>
      <w:bookmarkStart w:id="48" w:name="_Toc27586"/>
      <w:r>
        <w:rPr>
          <w:rFonts w:hint="eastAsia" w:ascii="宋体" w:hAnsi="宋体" w:cs="宋体"/>
          <w:spacing w:val="-4"/>
          <w:sz w:val="24"/>
          <w:szCs w:val="24"/>
        </w:rPr>
        <w:t>21.响应性文件的修改和撤回</w:t>
      </w:r>
      <w:bookmarkEnd w:id="48"/>
    </w:p>
    <w:p w14:paraId="460D6C15">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21.1供应商在递交竞争性磋商文件截止时间前，可以对所提交的响应性文件进行补充、修改或者撤回。</w:t>
      </w:r>
    </w:p>
    <w:p w14:paraId="0315E479">
      <w:pPr>
        <w:widowControl w:val="0"/>
        <w:autoSpaceDE w:val="0"/>
        <w:autoSpaceDN w:val="0"/>
        <w:adjustRightInd w:val="0"/>
        <w:spacing w:before="32" w:line="360" w:lineRule="auto"/>
        <w:ind w:right="-58" w:rightChars="0" w:firstLine="464" w:firstLineChars="200"/>
        <w:jc w:val="both"/>
        <w:outlineLvl w:val="1"/>
        <w:rPr>
          <w:rFonts w:ascii="宋体" w:hAnsi="宋体" w:cs="宋体"/>
          <w:spacing w:val="-4"/>
          <w:sz w:val="24"/>
          <w:szCs w:val="24"/>
        </w:rPr>
      </w:pPr>
      <w:bookmarkStart w:id="49" w:name="_Toc29444"/>
      <w:r>
        <w:rPr>
          <w:rFonts w:hint="eastAsia" w:ascii="宋体" w:hAnsi="宋体" w:cs="宋体"/>
          <w:spacing w:val="-4"/>
          <w:sz w:val="24"/>
          <w:szCs w:val="24"/>
        </w:rPr>
        <w:t>22.供应商有下列情形之一的，采购人或采购代理机构将拒绝接受其响应性文件：</w:t>
      </w:r>
      <w:bookmarkEnd w:id="49"/>
    </w:p>
    <w:p w14:paraId="31334081">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22.1 在竞争性磋商文件规定的递交竞争性磋商文件截止时间之后上传竞争性磋商文件的。</w:t>
      </w:r>
    </w:p>
    <w:p w14:paraId="65F8B819">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22. 2未按竞争性磋商文件参加磋商的。</w:t>
      </w:r>
    </w:p>
    <w:p w14:paraId="479BC144">
      <w:pPr>
        <w:keepNext/>
        <w:keepLines/>
        <w:widowControl w:val="0"/>
        <w:spacing w:before="20" w:after="20" w:line="360" w:lineRule="auto"/>
        <w:ind w:left="0" w:leftChars="0" w:firstLine="0" w:firstLineChars="0"/>
        <w:jc w:val="both"/>
        <w:outlineLvl w:val="0"/>
        <w:rPr>
          <w:rFonts w:ascii="宋体" w:hAnsi="宋体"/>
          <w:b/>
          <w:sz w:val="24"/>
          <w:szCs w:val="24"/>
        </w:rPr>
      </w:pPr>
      <w:bookmarkStart w:id="50" w:name="_Toc461977418"/>
      <w:bookmarkEnd w:id="50"/>
      <w:bookmarkStart w:id="51" w:name="_Toc28467"/>
      <w:r>
        <w:rPr>
          <w:rFonts w:hint="eastAsia" w:ascii="宋体" w:hAnsi="宋体" w:cs="宋体"/>
          <w:b/>
          <w:sz w:val="24"/>
          <w:szCs w:val="24"/>
        </w:rPr>
        <w:t>五、磋商</w:t>
      </w:r>
      <w:bookmarkEnd w:id="51"/>
    </w:p>
    <w:p w14:paraId="02C69A7A">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23、磋商仪式</w:t>
      </w:r>
    </w:p>
    <w:p w14:paraId="04A32594">
      <w:pPr>
        <w:widowControl w:val="0"/>
        <w:autoSpaceDE w:val="0"/>
        <w:autoSpaceDN w:val="0"/>
        <w:adjustRightInd w:val="0"/>
        <w:spacing w:before="32" w:line="360" w:lineRule="auto"/>
        <w:ind w:right="-58"/>
        <w:jc w:val="both"/>
        <w:rPr>
          <w:rFonts w:ascii="宋体" w:hAnsi="宋体"/>
          <w:sz w:val="24"/>
          <w:szCs w:val="24"/>
          <w:shd w:val="clear" w:color="auto" w:fill="FFFFFF"/>
        </w:rPr>
      </w:pPr>
      <w:r>
        <w:rPr>
          <w:rFonts w:hint="eastAsia" w:ascii="宋体" w:hAnsi="宋体" w:cs="宋体"/>
          <w:spacing w:val="-4"/>
          <w:sz w:val="24"/>
          <w:szCs w:val="24"/>
        </w:rPr>
        <w:t>磋商仪式由代理公司主持，竞争性磋商领导小组成员、采购人代表、监督代表以及有关工作人员参加，本项目为不见面开标项目，所有参与交易活动的</w:t>
      </w:r>
      <w:r>
        <w:rPr>
          <w:rFonts w:hint="eastAsia" w:ascii="宋体" w:hAnsi="宋体" w:cs="宋体"/>
          <w:spacing w:val="-4"/>
          <w:sz w:val="24"/>
          <w:szCs w:val="24"/>
          <w:lang w:eastAsia="zh-CN"/>
        </w:rPr>
        <w:t>供应商</w:t>
      </w:r>
      <w:r>
        <w:rPr>
          <w:rFonts w:hint="eastAsia" w:ascii="宋体" w:hAnsi="宋体" w:cs="宋体"/>
          <w:spacing w:val="-4"/>
          <w:sz w:val="24"/>
          <w:szCs w:val="24"/>
        </w:rPr>
        <w:t>无需到现场参加开标，</w:t>
      </w:r>
      <w:r>
        <w:rPr>
          <w:rFonts w:hint="eastAsia" w:ascii="宋体" w:hAnsi="宋体" w:cs="宋体"/>
          <w:spacing w:val="-4"/>
          <w:sz w:val="24"/>
          <w:szCs w:val="24"/>
          <w:lang w:eastAsia="zh-CN"/>
        </w:rPr>
        <w:t>供应商</w:t>
      </w:r>
      <w:r>
        <w:rPr>
          <w:rFonts w:hint="eastAsia" w:ascii="宋体" w:hAnsi="宋体" w:cs="宋体"/>
          <w:spacing w:val="-4"/>
          <w:sz w:val="24"/>
          <w:szCs w:val="24"/>
        </w:rPr>
        <w:t>进行远程开标解密工作，每位</w:t>
      </w:r>
      <w:r>
        <w:rPr>
          <w:rFonts w:hint="eastAsia" w:ascii="宋体" w:hAnsi="宋体" w:cs="宋体"/>
          <w:spacing w:val="-4"/>
          <w:sz w:val="24"/>
          <w:szCs w:val="24"/>
          <w:lang w:eastAsia="zh-CN"/>
        </w:rPr>
        <w:t>供应商</w:t>
      </w:r>
      <w:r>
        <w:rPr>
          <w:rFonts w:hint="eastAsia" w:ascii="宋体" w:hAnsi="宋体" w:cs="宋体"/>
          <w:spacing w:val="-4"/>
          <w:sz w:val="24"/>
          <w:szCs w:val="24"/>
        </w:rPr>
        <w:t>的解密时间为开标时间起30分钟内完成，</w:t>
      </w:r>
      <w:r>
        <w:rPr>
          <w:rFonts w:hint="eastAsia" w:ascii="宋体" w:hAnsi="宋体"/>
          <w:sz w:val="24"/>
          <w:szCs w:val="24"/>
          <w:shd w:val="clear" w:color="auto" w:fill="FFFFFF"/>
        </w:rPr>
        <w:t>因供应商原因未能解密、解密失败或解密超时的将被拒绝</w:t>
      </w:r>
    </w:p>
    <w:p w14:paraId="59CD94FA">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24、磋商小组</w:t>
      </w:r>
      <w:r>
        <w:rPr>
          <w:rFonts w:hint="eastAsia" w:ascii="宋体" w:hAnsi="宋体" w:cs="宋体"/>
          <w:spacing w:val="-4"/>
          <w:sz w:val="24"/>
          <w:szCs w:val="24"/>
        </w:rPr>
        <w:tab/>
      </w:r>
    </w:p>
    <w:p w14:paraId="70AF2A02">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3FA7C505">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25、磋商工作纪律及保密</w:t>
      </w:r>
    </w:p>
    <w:p w14:paraId="3733B0A4">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评审专家应当遵守评审工作纪律，不得泄露评审情况和评审中获悉的商业秘密。</w:t>
      </w:r>
    </w:p>
    <w:p w14:paraId="13050B06">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26、磋商小组工作原则</w:t>
      </w:r>
    </w:p>
    <w:p w14:paraId="3CAA5E39">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7D5E694F">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27、响应文件审查</w:t>
      </w:r>
    </w:p>
    <w:p w14:paraId="72487915">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1466882">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28、供应商澄清</w:t>
      </w:r>
    </w:p>
    <w:p w14:paraId="55FC5CC5">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磋商小组要求供应商澄清、说明或者更正响应文件将在电子系统作出。</w:t>
      </w:r>
    </w:p>
    <w:p w14:paraId="05D2ED3D">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29、磋商程序、最后报价、综合评分</w:t>
      </w:r>
    </w:p>
    <w:p w14:paraId="477C10F4">
      <w:pPr>
        <w:widowControl w:val="0"/>
        <w:autoSpaceDE w:val="0"/>
        <w:autoSpaceDN w:val="0"/>
        <w:adjustRightInd w:val="0"/>
        <w:spacing w:before="32" w:line="360" w:lineRule="auto"/>
        <w:ind w:right="-58" w:firstLine="348" w:firstLineChars="150"/>
        <w:jc w:val="both"/>
        <w:rPr>
          <w:rFonts w:ascii="宋体" w:hAnsi="宋体" w:cs="宋体"/>
          <w:spacing w:val="-4"/>
          <w:sz w:val="24"/>
          <w:szCs w:val="24"/>
        </w:rPr>
      </w:pPr>
      <w:r>
        <w:rPr>
          <w:rFonts w:hint="eastAsia" w:ascii="宋体" w:hAnsi="宋体" w:cs="宋体"/>
          <w:spacing w:val="-4"/>
          <w:sz w:val="24"/>
          <w:szCs w:val="24"/>
        </w:rPr>
        <w:t>磋商小组所有成员应当集中与单一供应商分别进行磋商，并给予所有参加磋商的供应商平等的磋商机会。</w:t>
      </w:r>
    </w:p>
    <w:p w14:paraId="0B8DF983">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5B0AF8E2">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磋商文件能够详细列明采购的技术、服务要求的，磋商结束后，磋商小组将要求所有实质性响应的供应商在规定时间内提交最后报价。最后报价是供应商响应文件的有效组成部分。</w:t>
      </w:r>
    </w:p>
    <w:p w14:paraId="60EBC743">
      <w:pPr>
        <w:widowControl w:val="0"/>
        <w:autoSpaceDE w:val="0"/>
        <w:autoSpaceDN w:val="0"/>
        <w:adjustRightInd w:val="0"/>
        <w:spacing w:before="32" w:line="360" w:lineRule="auto"/>
        <w:ind w:right="-58" w:firstLine="464" w:firstLineChars="200"/>
        <w:jc w:val="both"/>
        <w:rPr>
          <w:rFonts w:hint="eastAsia" w:ascii="宋体" w:hAnsi="宋体" w:cs="宋体"/>
          <w:spacing w:val="-4"/>
          <w:sz w:val="24"/>
          <w:szCs w:val="24"/>
        </w:rPr>
      </w:pPr>
      <w:r>
        <w:rPr>
          <w:rFonts w:hint="eastAsia" w:ascii="宋体" w:hAnsi="宋体" w:cs="宋体"/>
          <w:spacing w:val="-4"/>
          <w:sz w:val="24"/>
          <w:szCs w:val="24"/>
        </w:rPr>
        <w:t>已提交响应文件的供应商，在提交最后报价之前，可以根据情况退出磋商。</w:t>
      </w:r>
    </w:p>
    <w:p w14:paraId="580CBB43">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1F0FFB9F">
      <w:pPr>
        <w:widowControl w:val="0"/>
        <w:autoSpaceDE w:val="0"/>
        <w:autoSpaceDN w:val="0"/>
        <w:adjustRightInd w:val="0"/>
        <w:spacing w:before="32" w:line="360" w:lineRule="auto"/>
        <w:ind w:right="-58" w:firstLine="348" w:firstLineChars="150"/>
        <w:jc w:val="both"/>
        <w:rPr>
          <w:rFonts w:ascii="宋体" w:hAnsi="宋体" w:cs="宋体"/>
          <w:spacing w:val="-4"/>
          <w:sz w:val="24"/>
          <w:szCs w:val="24"/>
        </w:rPr>
      </w:pPr>
      <w:r>
        <w:rPr>
          <w:rFonts w:hint="eastAsia" w:ascii="宋体" w:hAnsi="宋体" w:cs="宋体"/>
          <w:spacing w:val="-4"/>
          <w:sz w:val="24"/>
          <w:szCs w:val="24"/>
        </w:rPr>
        <w:t>评审时，磋商小组各成员独立对每个有效响应的文件进行评价、打分，然后汇总每个供应商每项评分因素的得分。</w:t>
      </w:r>
    </w:p>
    <w:p w14:paraId="42DFAEA7">
      <w:pPr>
        <w:widowControl w:val="0"/>
        <w:autoSpaceDE w:val="0"/>
        <w:autoSpaceDN w:val="0"/>
        <w:adjustRightInd w:val="0"/>
        <w:spacing w:before="32" w:line="360" w:lineRule="auto"/>
        <w:ind w:left="154" w:leftChars="55" w:right="-58" w:firstLine="232" w:firstLineChars="100"/>
        <w:jc w:val="both"/>
        <w:rPr>
          <w:rFonts w:ascii="宋体" w:hAnsi="宋体" w:cs="宋体"/>
          <w:spacing w:val="-4"/>
          <w:sz w:val="24"/>
          <w:szCs w:val="24"/>
        </w:rPr>
      </w:pPr>
      <w:r>
        <w:rPr>
          <w:rFonts w:hint="eastAsia" w:ascii="宋体" w:hAnsi="宋体" w:cs="宋体"/>
          <w:spacing w:val="-4"/>
          <w:sz w:val="24"/>
          <w:szCs w:val="24"/>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62D4E4B0">
      <w:pPr>
        <w:widowControl w:val="0"/>
        <w:autoSpaceDE w:val="0"/>
        <w:autoSpaceDN w:val="0"/>
        <w:adjustRightInd w:val="0"/>
        <w:spacing w:before="32" w:line="360" w:lineRule="auto"/>
        <w:ind w:right="-58" w:firstLine="348" w:firstLineChars="150"/>
        <w:jc w:val="both"/>
        <w:rPr>
          <w:rFonts w:ascii="宋体" w:hAnsi="宋体" w:cs="宋体"/>
          <w:spacing w:val="-4"/>
          <w:sz w:val="24"/>
          <w:szCs w:val="24"/>
        </w:rPr>
      </w:pPr>
      <w:r>
        <w:rPr>
          <w:rFonts w:hint="eastAsia" w:ascii="宋体" w:hAnsi="宋体" w:cs="宋体"/>
          <w:spacing w:val="-4"/>
          <w:sz w:val="24"/>
          <w:szCs w:val="24"/>
        </w:rPr>
        <w:t>出现下列情形之一的，将终止竞争性磋商采购活动，发布项目终止公告并说明原因，重新开展采购活动：</w:t>
      </w:r>
    </w:p>
    <w:p w14:paraId="37039069">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1、不符合法律、法规和竞争性磋商文件中规定的其他实质性要求的；</w:t>
      </w:r>
    </w:p>
    <w:p w14:paraId="025E04EE">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2、其他法律、法规及本竞争性磋商文件规定的属响应无效的情形。终止竞争性磋商采购活动的条款；</w:t>
      </w:r>
    </w:p>
    <w:p w14:paraId="1893D4A9">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3、因情况变化，不再符合规定的竞争性磋商采购方式适用情形的；出现影响采购公正的违法、违规行为的；</w:t>
      </w:r>
    </w:p>
    <w:p w14:paraId="49E21D49">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30、磋商截止时间结束后参加供应商不足3家的，应重新组织采购，评审期间符合专业条件的供应商或者对磋商响应文件作出实质响应的供应商不足3家的，应重新组织采购。</w:t>
      </w:r>
    </w:p>
    <w:p w14:paraId="7CA340B8">
      <w:pPr>
        <w:keepNext/>
        <w:keepLines/>
        <w:widowControl w:val="0"/>
        <w:spacing w:before="20" w:after="20" w:line="360" w:lineRule="auto"/>
        <w:ind w:firstLine="482" w:firstLineChars="200"/>
        <w:jc w:val="both"/>
        <w:outlineLvl w:val="0"/>
        <w:rPr>
          <w:rFonts w:ascii="宋体" w:hAnsi="宋体"/>
          <w:b/>
          <w:sz w:val="24"/>
          <w:szCs w:val="24"/>
        </w:rPr>
      </w:pPr>
      <w:bookmarkStart w:id="52" w:name="_Toc461977419"/>
      <w:bookmarkEnd w:id="52"/>
      <w:bookmarkStart w:id="53" w:name="_Toc16052"/>
      <w:r>
        <w:rPr>
          <w:rFonts w:hint="eastAsia" w:ascii="宋体" w:hAnsi="宋体" w:cs="宋体"/>
          <w:b/>
          <w:sz w:val="24"/>
          <w:szCs w:val="24"/>
        </w:rPr>
        <w:t>六、确定成交</w:t>
      </w:r>
      <w:bookmarkEnd w:id="53"/>
    </w:p>
    <w:p w14:paraId="16C8627D">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 xml:space="preserve"> 评标结束后，采购人和其委托的采购代理机构，在政府采购项目评审结束当日完成评标报告的报送、成交供应商的确定、</w:t>
      </w:r>
      <w:r>
        <w:rPr>
          <w:rFonts w:hint="eastAsia" w:ascii="宋体" w:hAnsi="宋体" w:cs="宋体"/>
          <w:spacing w:val="-4"/>
          <w:sz w:val="24"/>
          <w:szCs w:val="24"/>
          <w:lang w:val="en-US" w:eastAsia="zh-CN"/>
        </w:rPr>
        <w:t>成交</w:t>
      </w:r>
      <w:r>
        <w:rPr>
          <w:rFonts w:hint="eastAsia" w:ascii="宋体" w:hAnsi="宋体" w:cs="宋体"/>
          <w:spacing w:val="-4"/>
          <w:sz w:val="24"/>
          <w:szCs w:val="24"/>
        </w:rPr>
        <w:t>公告的发布、成交通知书发出。</w:t>
      </w:r>
      <w:r>
        <w:rPr>
          <w:rFonts w:hint="eastAsia" w:ascii="宋体" w:hAnsi="宋体" w:cs="宋体"/>
          <w:spacing w:val="-4"/>
          <w:sz w:val="24"/>
          <w:szCs w:val="24"/>
          <w:lang w:val="en-US" w:eastAsia="zh-CN"/>
        </w:rPr>
        <w:t>成交</w:t>
      </w:r>
      <w:r>
        <w:rPr>
          <w:rFonts w:hint="eastAsia" w:ascii="宋体" w:hAnsi="宋体" w:cs="宋体"/>
          <w:spacing w:val="-4"/>
          <w:sz w:val="24"/>
          <w:szCs w:val="24"/>
        </w:rPr>
        <w:t>通知书对采购人和</w:t>
      </w:r>
      <w:r>
        <w:rPr>
          <w:rFonts w:hint="eastAsia" w:ascii="宋体" w:hAnsi="宋体" w:cs="宋体"/>
          <w:spacing w:val="-4"/>
          <w:sz w:val="24"/>
          <w:szCs w:val="24"/>
          <w:lang w:val="en-US" w:eastAsia="zh-CN"/>
        </w:rPr>
        <w:t>成交</w:t>
      </w:r>
      <w:r>
        <w:rPr>
          <w:rFonts w:hint="eastAsia" w:ascii="宋体" w:hAnsi="宋体" w:cs="宋体"/>
          <w:spacing w:val="-4"/>
          <w:sz w:val="24"/>
          <w:szCs w:val="24"/>
        </w:rPr>
        <w:t>供应商具有同等法律效力。</w:t>
      </w:r>
      <w:r>
        <w:rPr>
          <w:rFonts w:hint="eastAsia" w:ascii="宋体" w:hAnsi="宋体" w:cs="宋体"/>
          <w:spacing w:val="-4"/>
          <w:sz w:val="24"/>
          <w:szCs w:val="24"/>
          <w:lang w:val="en-US" w:eastAsia="zh-CN"/>
        </w:rPr>
        <w:t>成交</w:t>
      </w:r>
      <w:r>
        <w:rPr>
          <w:rFonts w:hint="eastAsia" w:ascii="宋体" w:hAnsi="宋体" w:cs="宋体"/>
          <w:spacing w:val="-4"/>
          <w:sz w:val="24"/>
          <w:szCs w:val="24"/>
        </w:rPr>
        <w:t>通知书发出后，采购人改变</w:t>
      </w:r>
      <w:r>
        <w:rPr>
          <w:rFonts w:hint="eastAsia" w:ascii="宋体" w:hAnsi="宋体" w:cs="宋体"/>
          <w:spacing w:val="-4"/>
          <w:sz w:val="24"/>
          <w:szCs w:val="24"/>
          <w:lang w:val="en-US" w:eastAsia="zh-CN"/>
        </w:rPr>
        <w:t>成交</w:t>
      </w:r>
      <w:r>
        <w:rPr>
          <w:rFonts w:hint="eastAsia" w:ascii="宋体" w:hAnsi="宋体" w:cs="宋体"/>
          <w:spacing w:val="-4"/>
          <w:sz w:val="24"/>
          <w:szCs w:val="24"/>
        </w:rPr>
        <w:t>结果，或者</w:t>
      </w:r>
      <w:r>
        <w:rPr>
          <w:rFonts w:hint="eastAsia" w:ascii="宋体" w:hAnsi="宋体" w:cs="宋体"/>
          <w:spacing w:val="-4"/>
          <w:sz w:val="24"/>
          <w:szCs w:val="24"/>
          <w:lang w:val="en-US" w:eastAsia="zh-CN"/>
        </w:rPr>
        <w:t>成交</w:t>
      </w:r>
      <w:r>
        <w:rPr>
          <w:rFonts w:hint="eastAsia" w:ascii="宋体" w:hAnsi="宋体" w:cs="宋体"/>
          <w:spacing w:val="-4"/>
          <w:sz w:val="24"/>
          <w:szCs w:val="24"/>
        </w:rPr>
        <w:t>供应商放弃中标，应按相关法律、规章、规范性文件的要求承担相应的法律责任。未按规定交纳服务费、领取</w:t>
      </w:r>
      <w:r>
        <w:rPr>
          <w:rFonts w:hint="eastAsia" w:ascii="宋体" w:hAnsi="宋体" w:cs="宋体"/>
          <w:spacing w:val="-4"/>
          <w:sz w:val="24"/>
          <w:szCs w:val="24"/>
          <w:lang w:val="en-US" w:eastAsia="zh-CN"/>
        </w:rPr>
        <w:t>成交</w:t>
      </w:r>
      <w:r>
        <w:rPr>
          <w:rFonts w:hint="eastAsia" w:ascii="宋体" w:hAnsi="宋体" w:cs="宋体"/>
          <w:spacing w:val="-4"/>
          <w:sz w:val="24"/>
          <w:szCs w:val="24"/>
        </w:rPr>
        <w:t>通知书的视为自动放弃中标。</w:t>
      </w:r>
    </w:p>
    <w:p w14:paraId="645B4AF3">
      <w:pPr>
        <w:keepNext/>
        <w:keepLines/>
        <w:widowControl w:val="0"/>
        <w:spacing w:before="20" w:after="20" w:line="360" w:lineRule="auto"/>
        <w:ind w:firstLine="482" w:firstLineChars="200"/>
        <w:jc w:val="both"/>
        <w:outlineLvl w:val="0"/>
        <w:rPr>
          <w:rFonts w:ascii="宋体" w:hAnsi="宋体"/>
          <w:b/>
          <w:sz w:val="24"/>
          <w:szCs w:val="24"/>
        </w:rPr>
      </w:pPr>
      <w:bookmarkStart w:id="54" w:name="_Toc461977420"/>
      <w:bookmarkEnd w:id="54"/>
      <w:bookmarkStart w:id="55" w:name="_Toc22068"/>
      <w:r>
        <w:rPr>
          <w:rFonts w:hint="eastAsia" w:ascii="宋体" w:hAnsi="宋体" w:cs="宋体"/>
          <w:b/>
          <w:sz w:val="24"/>
          <w:szCs w:val="24"/>
        </w:rPr>
        <w:t>七、授予合同</w:t>
      </w:r>
      <w:bookmarkEnd w:id="55"/>
    </w:p>
    <w:p w14:paraId="42E63B7E">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签订合同</w:t>
      </w:r>
    </w:p>
    <w:p w14:paraId="0CFE8B61">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采购人、</w:t>
      </w:r>
      <w:r>
        <w:rPr>
          <w:rFonts w:hint="eastAsia" w:ascii="宋体" w:hAnsi="宋体" w:cs="宋体"/>
          <w:spacing w:val="-4"/>
          <w:sz w:val="24"/>
          <w:szCs w:val="24"/>
          <w:lang w:val="en-US" w:eastAsia="zh-CN"/>
        </w:rPr>
        <w:t>成交</w:t>
      </w:r>
      <w:r>
        <w:rPr>
          <w:rFonts w:hint="eastAsia" w:ascii="宋体" w:hAnsi="宋体" w:cs="宋体"/>
          <w:spacing w:val="-4"/>
          <w:sz w:val="24"/>
          <w:szCs w:val="24"/>
        </w:rPr>
        <w:t>供应商在《</w:t>
      </w:r>
      <w:r>
        <w:rPr>
          <w:rFonts w:hint="eastAsia" w:ascii="宋体" w:hAnsi="宋体" w:cs="宋体"/>
          <w:spacing w:val="-4"/>
          <w:sz w:val="24"/>
          <w:szCs w:val="24"/>
          <w:lang w:val="en-US" w:eastAsia="zh-CN"/>
        </w:rPr>
        <w:t>成交</w:t>
      </w:r>
      <w:r>
        <w:rPr>
          <w:rFonts w:hint="eastAsia" w:ascii="宋体" w:hAnsi="宋体" w:cs="宋体"/>
          <w:spacing w:val="-4"/>
          <w:sz w:val="24"/>
          <w:szCs w:val="24"/>
        </w:rPr>
        <w:t>通知书》发出之日起</w:t>
      </w:r>
      <w:r>
        <w:rPr>
          <w:rFonts w:hint="eastAsia" w:ascii="宋体" w:hAnsi="宋体" w:cs="宋体"/>
          <w:spacing w:val="-4"/>
          <w:sz w:val="24"/>
          <w:szCs w:val="24"/>
          <w:lang w:val="en-US" w:eastAsia="zh-CN"/>
        </w:rPr>
        <w:t>30</w:t>
      </w:r>
      <w:r>
        <w:rPr>
          <w:rFonts w:hint="eastAsia" w:ascii="宋体" w:hAnsi="宋体" w:cs="宋体"/>
          <w:spacing w:val="-4"/>
          <w:sz w:val="24"/>
          <w:szCs w:val="24"/>
        </w:rPr>
        <w:t>日</w:t>
      </w:r>
      <w:r>
        <w:rPr>
          <w:rFonts w:hint="eastAsia" w:ascii="宋体" w:hAnsi="宋体" w:cs="宋体"/>
          <w:spacing w:val="-4"/>
          <w:sz w:val="24"/>
          <w:szCs w:val="24"/>
          <w:lang w:val="en-US" w:eastAsia="zh-CN"/>
        </w:rPr>
        <w:t>历天内</w:t>
      </w:r>
      <w:r>
        <w:rPr>
          <w:rFonts w:hint="eastAsia" w:ascii="宋体" w:hAnsi="宋体" w:cs="宋体"/>
          <w:spacing w:val="-4"/>
          <w:sz w:val="24"/>
          <w:szCs w:val="24"/>
        </w:rPr>
        <w:t>，根据竞争性磋商文件确定的事项和</w:t>
      </w:r>
      <w:r>
        <w:rPr>
          <w:rFonts w:hint="eastAsia" w:ascii="宋体" w:hAnsi="宋体" w:cs="宋体"/>
          <w:spacing w:val="-4"/>
          <w:sz w:val="24"/>
          <w:szCs w:val="24"/>
          <w:lang w:val="en-US" w:eastAsia="zh-CN"/>
        </w:rPr>
        <w:t>成交</w:t>
      </w:r>
      <w:r>
        <w:rPr>
          <w:rFonts w:hint="eastAsia" w:ascii="宋体" w:hAnsi="宋体" w:cs="宋体"/>
          <w:spacing w:val="-4"/>
          <w:sz w:val="24"/>
          <w:szCs w:val="24"/>
        </w:rPr>
        <w:t>供应商</w:t>
      </w:r>
      <w:r>
        <w:rPr>
          <w:rFonts w:hint="eastAsia" w:ascii="宋体" w:hAnsi="宋体" w:cs="宋体"/>
          <w:spacing w:val="-4"/>
          <w:sz w:val="24"/>
          <w:szCs w:val="24"/>
          <w:lang w:val="en-US" w:eastAsia="zh-CN"/>
        </w:rPr>
        <w:t>递交的响应</w:t>
      </w:r>
      <w:r>
        <w:rPr>
          <w:rFonts w:hint="eastAsia" w:ascii="宋体" w:hAnsi="宋体" w:cs="宋体"/>
          <w:spacing w:val="-4"/>
          <w:sz w:val="24"/>
          <w:szCs w:val="24"/>
        </w:rPr>
        <w:t>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1C29AABA">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48D79859">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成交供应商放弃成交、因不可抗力不能履行合同、不按照竞争性磋商文件要求提交履约保证金，或者被查实存在影响成交结果的违法行为等情形，不符合成交条件的，采购人可以按照磋商小组提出的成交候选供应商名单排序依次确定其他成交候选供应商为成交</w:t>
      </w:r>
      <w:r>
        <w:rPr>
          <w:rFonts w:hint="eastAsia" w:ascii="宋体" w:hAnsi="宋体" w:cs="宋体"/>
          <w:spacing w:val="-4"/>
          <w:sz w:val="24"/>
          <w:szCs w:val="24"/>
          <w:lang w:val="en-US" w:eastAsia="zh-CN"/>
        </w:rPr>
        <w:t>人</w:t>
      </w:r>
      <w:r>
        <w:rPr>
          <w:rFonts w:hint="eastAsia" w:ascii="宋体" w:hAnsi="宋体" w:cs="宋体"/>
          <w:spacing w:val="-4"/>
          <w:sz w:val="24"/>
          <w:szCs w:val="24"/>
        </w:rPr>
        <w:t>，也可以重新组织采购。</w:t>
      </w:r>
    </w:p>
    <w:p w14:paraId="031554FC">
      <w:pPr>
        <w:pStyle w:val="21"/>
        <w:ind w:left="400" w:firstLine="464"/>
        <w:jc w:val="center"/>
        <w:rPr>
          <w:rFonts w:ascii="宋体" w:hAnsi="宋体" w:cs="宋体"/>
          <w:spacing w:val="-4"/>
          <w:sz w:val="24"/>
          <w:szCs w:val="24"/>
        </w:rPr>
      </w:pPr>
      <w:r>
        <w:rPr>
          <w:rFonts w:hint="eastAsia" w:ascii="宋体" w:hAnsi="宋体" w:cs="宋体"/>
          <w:spacing w:val="-4"/>
          <w:sz w:val="24"/>
          <w:szCs w:val="24"/>
        </w:rPr>
        <w:t xml:space="preserve"> </w:t>
      </w:r>
    </w:p>
    <w:p w14:paraId="1B2E93BC">
      <w:pPr>
        <w:pStyle w:val="21"/>
        <w:ind w:left="0" w:leftChars="0" w:firstLine="0" w:firstLineChars="0"/>
        <w:jc w:val="both"/>
        <w:rPr>
          <w:rFonts w:ascii="宋体" w:hAnsi="宋体" w:cs="宋体"/>
          <w:spacing w:val="-4"/>
          <w:sz w:val="24"/>
          <w:szCs w:val="24"/>
        </w:rPr>
      </w:pPr>
    </w:p>
    <w:p w14:paraId="348D742C">
      <w:pPr>
        <w:pStyle w:val="21"/>
        <w:spacing w:after="0" w:line="360" w:lineRule="auto"/>
        <w:ind w:left="0" w:leftChars="0" w:firstLine="482"/>
        <w:jc w:val="center"/>
        <w:rPr>
          <w:rFonts w:ascii="黑体" w:cs="宋体"/>
          <w:b/>
          <w:kern w:val="2"/>
          <w:sz w:val="24"/>
          <w:szCs w:val="24"/>
        </w:rPr>
        <w:sectPr>
          <w:footerReference r:id="rId6" w:type="default"/>
          <w:pgSz w:w="11906" w:h="16838"/>
          <w:pgMar w:top="1135" w:right="1480" w:bottom="1135" w:left="1463" w:header="720" w:footer="720" w:gutter="0"/>
          <w:pgNumType w:fmt="decimal" w:start="1"/>
          <w:cols w:space="720" w:num="1"/>
          <w:docGrid w:type="lines" w:linePitch="312" w:charSpace="0"/>
        </w:sectPr>
      </w:pPr>
      <w:r>
        <w:rPr>
          <w:rFonts w:hint="eastAsia" w:ascii="黑体" w:cs="宋体"/>
          <w:b/>
          <w:kern w:val="2"/>
          <w:sz w:val="24"/>
          <w:szCs w:val="24"/>
        </w:rPr>
        <w:br w:type="page"/>
      </w:r>
    </w:p>
    <w:p w14:paraId="3618098E">
      <w:pPr>
        <w:widowControl/>
        <w:spacing w:line="500" w:lineRule="exact"/>
        <w:ind w:right="226" w:firstLine="723" w:firstLineChars="200"/>
        <w:jc w:val="center"/>
        <w:rPr>
          <w:rFonts w:hint="eastAsia" w:ascii="宋体" w:hAnsi="宋体" w:cs="仿宋"/>
          <w:b/>
          <w:bCs/>
          <w:color w:val="auto"/>
          <w:sz w:val="36"/>
          <w:szCs w:val="36"/>
          <w:shd w:val="clear" w:color="auto" w:fill="FFFFFF"/>
          <w:lang w:bidi="ar"/>
        </w:rPr>
      </w:pPr>
      <w:bookmarkStart w:id="56" w:name="_Toc18200"/>
      <w:r>
        <w:rPr>
          <w:rFonts w:hint="eastAsia" w:ascii="黑体" w:cs="宋体"/>
          <w:b/>
          <w:kern w:val="2"/>
          <w:sz w:val="36"/>
          <w:szCs w:val="36"/>
        </w:rPr>
        <w:t xml:space="preserve">第三章 </w:t>
      </w:r>
      <w:r>
        <w:rPr>
          <w:rFonts w:hint="eastAsia" w:ascii="黑体" w:cs="宋体"/>
          <w:b/>
          <w:kern w:val="2"/>
          <w:sz w:val="36"/>
          <w:szCs w:val="36"/>
          <w:lang w:val="en-US" w:eastAsia="zh-CN"/>
        </w:rPr>
        <w:t xml:space="preserve"> </w:t>
      </w:r>
      <w:r>
        <w:rPr>
          <w:rFonts w:hint="eastAsia" w:ascii="黑体" w:cs="宋体"/>
          <w:b/>
          <w:kern w:val="2"/>
          <w:sz w:val="28"/>
          <w:szCs w:val="28"/>
          <w:lang w:val="en-US" w:eastAsia="zh-CN"/>
        </w:rPr>
        <w:t xml:space="preserve">  </w:t>
      </w:r>
      <w:bookmarkEnd w:id="56"/>
      <w:r>
        <w:rPr>
          <w:rFonts w:hint="eastAsia" w:ascii="宋体" w:hAnsi="宋体" w:cs="仿宋"/>
          <w:b/>
          <w:bCs/>
          <w:color w:val="auto"/>
          <w:sz w:val="36"/>
          <w:szCs w:val="36"/>
          <w:shd w:val="clear" w:color="auto" w:fill="FFFFFF"/>
          <w:lang w:bidi="ar"/>
        </w:rPr>
        <w:t>服务内容及要求</w:t>
      </w:r>
    </w:p>
    <w:p w14:paraId="278614EE">
      <w:pPr>
        <w:widowControl/>
        <w:numPr>
          <w:ilvl w:val="0"/>
          <w:numId w:val="2"/>
        </w:numPr>
        <w:spacing w:line="500" w:lineRule="exact"/>
        <w:ind w:right="226" w:firstLine="482" w:firstLineChars="200"/>
        <w:jc w:val="left"/>
        <w:rPr>
          <w:rFonts w:hint="eastAsia" w:ascii="宋体" w:hAnsi="宋体" w:eastAsia="宋体" w:cs="宋体"/>
          <w:b/>
          <w:bCs/>
          <w:color w:val="auto"/>
          <w:sz w:val="24"/>
          <w:szCs w:val="24"/>
          <w:shd w:val="clear" w:color="auto" w:fill="FFFFFF"/>
          <w:lang w:val="en-US" w:eastAsia="zh-CN" w:bidi="ar"/>
        </w:rPr>
      </w:pPr>
      <w:r>
        <w:rPr>
          <w:rFonts w:hint="eastAsia" w:ascii="宋体" w:hAnsi="宋体" w:eastAsia="宋体" w:cs="宋体"/>
          <w:b/>
          <w:bCs/>
          <w:color w:val="auto"/>
          <w:sz w:val="24"/>
          <w:szCs w:val="24"/>
          <w:shd w:val="clear" w:color="auto" w:fill="FFFFFF"/>
          <w:lang w:val="en-US" w:eastAsia="zh-CN" w:bidi="ar"/>
        </w:rPr>
        <w:t>项目概况：</w:t>
      </w:r>
    </w:p>
    <w:p w14:paraId="629D9679">
      <w:pPr>
        <w:widowControl/>
        <w:numPr>
          <w:ilvl w:val="0"/>
          <w:numId w:val="0"/>
        </w:numPr>
        <w:spacing w:line="500" w:lineRule="exact"/>
        <w:ind w:right="226" w:rightChars="0" w:firstLine="480" w:firstLineChars="200"/>
        <w:jc w:val="left"/>
        <w:rPr>
          <w:rFonts w:hint="eastAsia" w:ascii="宋体" w:hAnsi="宋体" w:eastAsia="宋体" w:cs="宋体"/>
          <w:b w:val="0"/>
          <w:bCs w:val="0"/>
          <w:color w:val="auto"/>
          <w:sz w:val="24"/>
          <w:szCs w:val="24"/>
          <w:shd w:val="clear" w:color="auto" w:fill="FFFFFF"/>
          <w:lang w:eastAsia="zh-CN" w:bidi="ar"/>
        </w:rPr>
      </w:pPr>
      <w:r>
        <w:rPr>
          <w:rFonts w:hint="eastAsia" w:ascii="宋体" w:hAnsi="宋体" w:eastAsia="宋体" w:cs="宋体"/>
          <w:b w:val="0"/>
          <w:bCs w:val="0"/>
          <w:color w:val="auto"/>
          <w:sz w:val="24"/>
          <w:szCs w:val="24"/>
          <w:shd w:val="clear" w:color="auto" w:fill="FFFFFF"/>
          <w:lang w:bidi="ar"/>
        </w:rPr>
        <w:t>1、项目名称：</w:t>
      </w:r>
      <w:r>
        <w:rPr>
          <w:rFonts w:hint="eastAsia" w:ascii="宋体" w:hAnsi="宋体" w:eastAsia="宋体" w:cs="宋体"/>
          <w:b w:val="0"/>
          <w:bCs w:val="0"/>
          <w:color w:val="auto"/>
          <w:sz w:val="24"/>
          <w:szCs w:val="24"/>
          <w:shd w:val="clear" w:color="auto" w:fill="FFFFFF"/>
          <w:lang w:eastAsia="zh-CN" w:bidi="ar"/>
        </w:rPr>
        <w:t>卢氏县公安局食堂食材采购项目</w:t>
      </w:r>
    </w:p>
    <w:p w14:paraId="5EDE7FC4">
      <w:pPr>
        <w:widowControl/>
        <w:spacing w:line="500" w:lineRule="exact"/>
        <w:ind w:right="226" w:firstLine="480" w:firstLineChars="200"/>
        <w:jc w:val="left"/>
        <w:rPr>
          <w:rFonts w:hint="eastAsia" w:ascii="宋体" w:hAnsi="宋体" w:eastAsia="宋体" w:cs="宋体"/>
          <w:b w:val="0"/>
          <w:bCs w:val="0"/>
          <w:color w:val="auto"/>
          <w:sz w:val="24"/>
          <w:szCs w:val="24"/>
          <w:shd w:val="clear" w:color="auto" w:fill="FFFFFF"/>
          <w:lang w:eastAsia="zh-CN" w:bidi="ar"/>
        </w:rPr>
      </w:pPr>
      <w:r>
        <w:rPr>
          <w:rFonts w:hint="eastAsia" w:ascii="宋体" w:hAnsi="宋体" w:eastAsia="宋体" w:cs="宋体"/>
          <w:b w:val="0"/>
          <w:bCs w:val="0"/>
          <w:color w:val="auto"/>
          <w:sz w:val="24"/>
          <w:szCs w:val="24"/>
          <w:shd w:val="clear" w:color="auto" w:fill="FFFFFF"/>
          <w:lang w:bidi="ar"/>
        </w:rPr>
        <w:t>2、采购人：</w:t>
      </w:r>
      <w:r>
        <w:rPr>
          <w:rFonts w:hint="eastAsia" w:ascii="宋体" w:hAnsi="宋体" w:eastAsia="宋体" w:cs="宋体"/>
          <w:b w:val="0"/>
          <w:bCs w:val="0"/>
          <w:color w:val="auto"/>
          <w:sz w:val="24"/>
          <w:szCs w:val="24"/>
          <w:shd w:val="clear" w:color="auto" w:fill="FFFFFF"/>
          <w:lang w:eastAsia="zh-CN" w:bidi="ar"/>
        </w:rPr>
        <w:t>卢氏县公安局</w:t>
      </w:r>
    </w:p>
    <w:p w14:paraId="73AD809C">
      <w:pPr>
        <w:widowControl/>
        <w:spacing w:line="500" w:lineRule="exact"/>
        <w:ind w:right="226" w:firstLine="480" w:firstLineChars="200"/>
        <w:jc w:val="left"/>
        <w:rPr>
          <w:rFonts w:hint="eastAsia" w:ascii="宋体" w:hAnsi="宋体" w:eastAsia="宋体" w:cs="宋体"/>
          <w:b w:val="0"/>
          <w:bCs w:val="0"/>
          <w:color w:val="auto"/>
          <w:sz w:val="24"/>
          <w:szCs w:val="24"/>
          <w:shd w:val="clear" w:color="auto" w:fill="FFFFFF"/>
          <w:lang w:bidi="ar"/>
        </w:rPr>
      </w:pPr>
      <w:r>
        <w:rPr>
          <w:rFonts w:hint="eastAsia" w:ascii="宋体" w:hAnsi="宋体" w:eastAsia="宋体" w:cs="宋体"/>
          <w:b w:val="0"/>
          <w:bCs w:val="0"/>
          <w:color w:val="auto"/>
          <w:sz w:val="24"/>
          <w:szCs w:val="24"/>
          <w:shd w:val="clear" w:color="auto" w:fill="FFFFFF"/>
          <w:lang w:val="en-US" w:eastAsia="zh-CN" w:bidi="ar"/>
        </w:rPr>
        <w:t>3</w:t>
      </w:r>
      <w:r>
        <w:rPr>
          <w:rFonts w:hint="eastAsia" w:ascii="宋体" w:hAnsi="宋体" w:eastAsia="宋体" w:cs="宋体"/>
          <w:b w:val="0"/>
          <w:bCs w:val="0"/>
          <w:color w:val="auto"/>
          <w:sz w:val="24"/>
          <w:szCs w:val="24"/>
          <w:shd w:val="clear" w:color="auto" w:fill="FFFFFF"/>
          <w:lang w:bidi="ar"/>
        </w:rPr>
        <w:t>、采购内容：</w:t>
      </w:r>
      <w:r>
        <w:rPr>
          <w:rFonts w:hint="eastAsia" w:ascii="宋体" w:hAnsi="宋体" w:eastAsia="宋体" w:cs="宋体"/>
          <w:sz w:val="24"/>
          <w:szCs w:val="24"/>
          <w:highlight w:val="none"/>
          <w:lang w:val="en-US" w:eastAsia="zh-CN"/>
        </w:rPr>
        <w:t>对卢氏县公安局机关及卢氏县公安局交管大队提供（包括但不限于）米、面、油、肉类、干货、蔬菜、水果、调料、副食类等食材</w:t>
      </w:r>
      <w:r>
        <w:rPr>
          <w:rFonts w:hint="eastAsia" w:ascii="宋体" w:hAnsi="宋体" w:eastAsia="宋体" w:cs="宋体"/>
          <w:sz w:val="24"/>
          <w:szCs w:val="24"/>
          <w:highlight w:val="none"/>
        </w:rPr>
        <w:t>供应服务</w:t>
      </w:r>
      <w:r>
        <w:rPr>
          <w:rFonts w:hint="eastAsia" w:ascii="宋体" w:hAnsi="宋体" w:eastAsia="宋体" w:cs="宋体"/>
          <w:b w:val="0"/>
          <w:bCs w:val="0"/>
          <w:color w:val="auto"/>
          <w:sz w:val="24"/>
          <w:szCs w:val="24"/>
          <w:shd w:val="clear" w:color="auto" w:fill="FFFFFF"/>
          <w:lang w:bidi="ar"/>
        </w:rPr>
        <w:t>。</w:t>
      </w:r>
    </w:p>
    <w:p w14:paraId="6E8BE914">
      <w:pPr>
        <w:widowControl/>
        <w:spacing w:line="500" w:lineRule="exact"/>
        <w:ind w:right="226" w:firstLine="480" w:firstLineChars="200"/>
        <w:jc w:val="left"/>
        <w:rPr>
          <w:rFonts w:hint="eastAsia" w:ascii="宋体" w:hAnsi="宋体" w:eastAsia="宋体" w:cs="宋体"/>
          <w:b w:val="0"/>
          <w:bCs w:val="0"/>
          <w:color w:val="auto"/>
          <w:sz w:val="24"/>
          <w:szCs w:val="24"/>
          <w:shd w:val="clear" w:color="auto" w:fill="FFFFFF"/>
          <w:lang w:bidi="ar"/>
        </w:rPr>
      </w:pPr>
      <w:r>
        <w:rPr>
          <w:rFonts w:hint="eastAsia" w:ascii="宋体" w:hAnsi="宋体" w:eastAsia="宋体" w:cs="宋体"/>
          <w:b w:val="0"/>
          <w:bCs w:val="0"/>
          <w:color w:val="auto"/>
          <w:sz w:val="24"/>
          <w:szCs w:val="24"/>
          <w:shd w:val="clear" w:color="auto" w:fill="FFFFFF"/>
          <w:lang w:val="en-US" w:eastAsia="zh-CN" w:bidi="ar"/>
        </w:rPr>
        <w:t>4</w:t>
      </w:r>
      <w:r>
        <w:rPr>
          <w:rFonts w:hint="eastAsia" w:ascii="宋体" w:hAnsi="宋体" w:eastAsia="宋体" w:cs="宋体"/>
          <w:b w:val="0"/>
          <w:bCs w:val="0"/>
          <w:color w:val="auto"/>
          <w:sz w:val="24"/>
          <w:szCs w:val="24"/>
          <w:shd w:val="clear" w:color="auto" w:fill="FFFFFF"/>
          <w:lang w:bidi="ar"/>
        </w:rPr>
        <w:t>、标段划分：本项目</w:t>
      </w:r>
      <w:r>
        <w:rPr>
          <w:rFonts w:hint="eastAsia" w:ascii="宋体" w:hAnsi="宋体" w:eastAsia="宋体" w:cs="宋体"/>
          <w:b w:val="0"/>
          <w:bCs w:val="0"/>
          <w:color w:val="auto"/>
          <w:sz w:val="24"/>
          <w:szCs w:val="24"/>
          <w:shd w:val="clear" w:color="auto" w:fill="FFFFFF"/>
          <w:lang w:val="en-US" w:eastAsia="zh-CN" w:bidi="ar"/>
        </w:rPr>
        <w:t>共一个</w:t>
      </w:r>
      <w:r>
        <w:rPr>
          <w:rFonts w:hint="eastAsia" w:ascii="宋体" w:hAnsi="宋体" w:eastAsia="宋体" w:cs="宋体"/>
          <w:b w:val="0"/>
          <w:bCs w:val="0"/>
          <w:color w:val="auto"/>
          <w:sz w:val="24"/>
          <w:szCs w:val="24"/>
          <w:shd w:val="clear" w:color="auto" w:fill="FFFFFF"/>
          <w:lang w:bidi="ar"/>
        </w:rPr>
        <w:t>标段</w:t>
      </w:r>
    </w:p>
    <w:p w14:paraId="678DE5B2">
      <w:pPr>
        <w:widowControl/>
        <w:spacing w:line="500" w:lineRule="exact"/>
        <w:ind w:right="226" w:firstLine="480" w:firstLineChars="200"/>
        <w:jc w:val="left"/>
        <w:rPr>
          <w:rFonts w:hint="eastAsia" w:ascii="宋体" w:hAnsi="宋体" w:eastAsia="宋体" w:cs="宋体"/>
          <w:b w:val="0"/>
          <w:bCs w:val="0"/>
          <w:color w:val="auto"/>
          <w:sz w:val="24"/>
          <w:szCs w:val="24"/>
          <w:shd w:val="clear" w:color="auto" w:fill="FFFFFF"/>
          <w:lang w:val="en-US" w:eastAsia="zh-CN" w:bidi="ar"/>
        </w:rPr>
      </w:pPr>
      <w:r>
        <w:rPr>
          <w:rFonts w:hint="eastAsia" w:ascii="宋体" w:hAnsi="宋体" w:cs="宋体"/>
          <w:b w:val="0"/>
          <w:bCs w:val="0"/>
          <w:color w:val="auto"/>
          <w:sz w:val="24"/>
          <w:szCs w:val="24"/>
          <w:shd w:val="clear" w:color="auto" w:fill="FFFFFF"/>
          <w:lang w:val="en-US" w:eastAsia="zh-CN" w:bidi="ar"/>
        </w:rPr>
        <w:t>5</w:t>
      </w:r>
      <w:r>
        <w:rPr>
          <w:rFonts w:hint="eastAsia" w:ascii="宋体" w:hAnsi="宋体" w:eastAsia="宋体" w:cs="宋体"/>
          <w:b w:val="0"/>
          <w:bCs w:val="0"/>
          <w:color w:val="auto"/>
          <w:sz w:val="24"/>
          <w:szCs w:val="24"/>
          <w:shd w:val="clear" w:color="auto" w:fill="FFFFFF"/>
          <w:lang w:bidi="ar"/>
        </w:rPr>
        <w:t>、预算金额：</w:t>
      </w:r>
      <w:r>
        <w:rPr>
          <w:rFonts w:hint="eastAsia" w:ascii="宋体" w:hAnsi="宋体" w:eastAsia="宋体" w:cs="宋体"/>
          <w:b w:val="0"/>
          <w:bCs w:val="0"/>
          <w:color w:val="auto"/>
          <w:sz w:val="24"/>
          <w:szCs w:val="24"/>
          <w:shd w:val="clear" w:color="auto" w:fill="FFFFFF"/>
          <w:lang w:val="en-US" w:eastAsia="zh-CN" w:bidi="ar"/>
        </w:rPr>
        <w:t>约￥</w:t>
      </w:r>
      <w:r>
        <w:rPr>
          <w:rFonts w:hint="eastAsia" w:ascii="宋体" w:hAnsi="宋体" w:cs="宋体"/>
          <w:b w:val="0"/>
          <w:bCs w:val="0"/>
          <w:color w:val="auto"/>
          <w:sz w:val="24"/>
          <w:szCs w:val="24"/>
          <w:shd w:val="clear" w:color="auto" w:fill="FFFFFF"/>
          <w:lang w:val="en-US" w:eastAsia="zh-CN" w:bidi="ar"/>
        </w:rPr>
        <w:t>130</w:t>
      </w:r>
      <w:r>
        <w:rPr>
          <w:rFonts w:hint="eastAsia" w:ascii="宋体" w:hAnsi="宋体" w:eastAsia="宋体" w:cs="宋体"/>
          <w:b w:val="0"/>
          <w:bCs w:val="0"/>
          <w:color w:val="auto"/>
          <w:sz w:val="24"/>
          <w:szCs w:val="24"/>
          <w:shd w:val="clear" w:color="auto" w:fill="FFFFFF"/>
          <w:lang w:val="en-US" w:eastAsia="zh-CN" w:bidi="ar"/>
        </w:rPr>
        <w:t>0000.00</w:t>
      </w:r>
      <w:r>
        <w:rPr>
          <w:rFonts w:hint="eastAsia" w:ascii="宋体" w:hAnsi="宋体" w:eastAsia="宋体" w:cs="宋体"/>
          <w:b w:val="0"/>
          <w:bCs w:val="0"/>
          <w:color w:val="auto"/>
          <w:sz w:val="24"/>
          <w:szCs w:val="24"/>
          <w:shd w:val="clear" w:color="auto" w:fill="FFFFFF"/>
          <w:lang w:bidi="ar"/>
        </w:rPr>
        <w:t>元</w:t>
      </w:r>
      <w:r>
        <w:rPr>
          <w:rFonts w:hint="eastAsia" w:ascii="宋体" w:hAnsi="宋体" w:eastAsia="宋体" w:cs="宋体"/>
          <w:b w:val="0"/>
          <w:bCs w:val="0"/>
          <w:color w:val="auto"/>
          <w:sz w:val="24"/>
          <w:szCs w:val="24"/>
          <w:shd w:val="clear" w:color="auto" w:fill="FFFFFF"/>
          <w:lang w:val="en-US" w:eastAsia="zh-CN" w:bidi="ar"/>
        </w:rPr>
        <w:t>（</w:t>
      </w:r>
      <w:r>
        <w:rPr>
          <w:rFonts w:hint="eastAsia" w:ascii="宋体" w:hAnsi="宋体" w:cs="宋体"/>
          <w:b w:val="0"/>
          <w:bCs w:val="0"/>
          <w:color w:val="auto"/>
          <w:sz w:val="24"/>
          <w:szCs w:val="24"/>
          <w:shd w:val="clear" w:color="auto" w:fill="FFFFFF"/>
          <w:lang w:val="en-US" w:eastAsia="zh-CN" w:bidi="ar"/>
        </w:rPr>
        <w:t>650000.00元/年，</w:t>
      </w:r>
      <w:r>
        <w:rPr>
          <w:rFonts w:hint="eastAsia" w:ascii="宋体" w:hAnsi="宋体" w:eastAsia="宋体" w:cs="宋体"/>
          <w:b w:val="0"/>
          <w:bCs w:val="0"/>
          <w:color w:val="auto"/>
          <w:sz w:val="24"/>
          <w:szCs w:val="24"/>
          <w:shd w:val="clear" w:color="auto" w:fill="FFFFFF"/>
          <w:lang w:val="en-US" w:eastAsia="zh-CN" w:bidi="ar"/>
        </w:rPr>
        <w:t>本预算为暂定金额，以实际采购数量为准，按照实际供货数量据实结算）。</w:t>
      </w:r>
    </w:p>
    <w:p w14:paraId="6509FBB3">
      <w:pPr>
        <w:widowControl/>
        <w:spacing w:line="500" w:lineRule="exact"/>
        <w:ind w:right="226" w:firstLine="480" w:firstLineChars="200"/>
        <w:jc w:val="left"/>
        <w:rPr>
          <w:rFonts w:hint="eastAsia" w:ascii="宋体" w:hAnsi="宋体" w:eastAsia="宋体" w:cs="宋体"/>
          <w:b w:val="0"/>
          <w:bCs w:val="0"/>
          <w:color w:val="auto"/>
          <w:sz w:val="24"/>
          <w:szCs w:val="24"/>
          <w:shd w:val="clear" w:color="auto" w:fill="FFFFFF"/>
          <w:lang w:bidi="ar"/>
        </w:rPr>
      </w:pPr>
      <w:r>
        <w:rPr>
          <w:rFonts w:hint="eastAsia" w:ascii="宋体" w:hAnsi="宋体" w:cs="宋体"/>
          <w:b w:val="0"/>
          <w:bCs w:val="0"/>
          <w:color w:val="auto"/>
          <w:sz w:val="24"/>
          <w:szCs w:val="24"/>
          <w:shd w:val="clear" w:color="auto" w:fill="FFFFFF"/>
          <w:lang w:val="en-US" w:eastAsia="zh-CN" w:bidi="ar"/>
        </w:rPr>
        <w:t>6</w:t>
      </w:r>
      <w:r>
        <w:rPr>
          <w:rFonts w:hint="eastAsia" w:ascii="宋体" w:hAnsi="宋体" w:eastAsia="宋体" w:cs="宋体"/>
          <w:b w:val="0"/>
          <w:bCs w:val="0"/>
          <w:color w:val="auto"/>
          <w:sz w:val="24"/>
          <w:szCs w:val="24"/>
          <w:shd w:val="clear" w:color="auto" w:fill="FFFFFF"/>
          <w:lang w:bidi="ar"/>
        </w:rPr>
        <w:t>、服务地点：</w:t>
      </w:r>
      <w:r>
        <w:rPr>
          <w:rFonts w:hint="eastAsia" w:ascii="宋体" w:hAnsi="宋体" w:eastAsia="宋体" w:cs="宋体"/>
          <w:b w:val="0"/>
          <w:bCs w:val="0"/>
          <w:color w:val="auto"/>
          <w:sz w:val="24"/>
          <w:szCs w:val="24"/>
          <w:shd w:val="clear" w:color="auto" w:fill="FFFFFF"/>
          <w:lang w:val="en-US" w:eastAsia="zh-CN" w:bidi="ar"/>
        </w:rPr>
        <w:t>采购人指定地点</w:t>
      </w:r>
    </w:p>
    <w:p w14:paraId="5C833DF5">
      <w:pPr>
        <w:widowControl/>
        <w:spacing w:line="500" w:lineRule="exact"/>
        <w:ind w:right="226" w:firstLine="480" w:firstLineChars="200"/>
        <w:jc w:val="left"/>
        <w:rPr>
          <w:rFonts w:hint="eastAsia" w:ascii="宋体" w:hAnsi="宋体" w:eastAsia="宋体" w:cs="宋体"/>
          <w:b w:val="0"/>
          <w:bCs w:val="0"/>
          <w:color w:val="auto"/>
          <w:sz w:val="24"/>
          <w:szCs w:val="24"/>
          <w:shd w:val="clear" w:color="auto" w:fill="FFFFFF"/>
          <w:lang w:bidi="ar"/>
        </w:rPr>
      </w:pPr>
      <w:r>
        <w:rPr>
          <w:rFonts w:hint="eastAsia" w:ascii="宋体" w:hAnsi="宋体" w:cs="宋体"/>
          <w:b w:val="0"/>
          <w:bCs w:val="0"/>
          <w:color w:val="auto"/>
          <w:sz w:val="24"/>
          <w:szCs w:val="24"/>
          <w:shd w:val="clear" w:color="auto" w:fill="FFFFFF"/>
          <w:lang w:val="en-US" w:eastAsia="zh-CN" w:bidi="ar"/>
        </w:rPr>
        <w:t>7</w:t>
      </w:r>
      <w:r>
        <w:rPr>
          <w:rFonts w:hint="eastAsia" w:ascii="宋体" w:hAnsi="宋体" w:eastAsia="宋体" w:cs="宋体"/>
          <w:b w:val="0"/>
          <w:bCs w:val="0"/>
          <w:color w:val="auto"/>
          <w:sz w:val="24"/>
          <w:szCs w:val="24"/>
          <w:shd w:val="clear" w:color="auto" w:fill="FFFFFF"/>
          <w:lang w:eastAsia="zh-CN" w:bidi="ar"/>
        </w:rPr>
        <w:t>、</w:t>
      </w:r>
      <w:r>
        <w:rPr>
          <w:rFonts w:hint="eastAsia" w:ascii="宋体" w:hAnsi="宋体" w:eastAsia="宋体" w:cs="宋体"/>
          <w:b w:val="0"/>
          <w:bCs w:val="0"/>
          <w:color w:val="auto"/>
          <w:sz w:val="24"/>
          <w:szCs w:val="24"/>
          <w:shd w:val="clear" w:color="auto" w:fill="FFFFFF"/>
          <w:lang w:bidi="ar"/>
        </w:rPr>
        <w:t>质量要求：产品质量合格，符合国家及行业相关食品卫生安全要求，且符合采购人要求。</w:t>
      </w:r>
    </w:p>
    <w:p w14:paraId="45F1D7D8">
      <w:pPr>
        <w:widowControl/>
        <w:spacing w:line="500" w:lineRule="exact"/>
        <w:ind w:right="226" w:firstLine="480" w:firstLineChars="200"/>
        <w:jc w:val="left"/>
        <w:rPr>
          <w:rFonts w:hint="eastAsia" w:ascii="宋体" w:hAnsi="宋体" w:eastAsia="宋体" w:cs="宋体"/>
          <w:b w:val="0"/>
          <w:bCs w:val="0"/>
          <w:color w:val="auto"/>
          <w:sz w:val="24"/>
          <w:szCs w:val="24"/>
          <w:shd w:val="clear" w:color="auto" w:fill="FFFFFF"/>
          <w:lang w:val="en-US" w:eastAsia="zh-CN" w:bidi="ar"/>
        </w:rPr>
      </w:pPr>
      <w:r>
        <w:rPr>
          <w:rFonts w:hint="eastAsia" w:ascii="宋体" w:hAnsi="宋体" w:cs="宋体"/>
          <w:b w:val="0"/>
          <w:bCs w:val="0"/>
          <w:color w:val="auto"/>
          <w:sz w:val="24"/>
          <w:szCs w:val="24"/>
          <w:shd w:val="clear" w:color="auto" w:fill="FFFFFF"/>
          <w:lang w:val="en-US" w:eastAsia="zh-CN" w:bidi="ar"/>
        </w:rPr>
        <w:t>8</w:t>
      </w:r>
      <w:r>
        <w:rPr>
          <w:rFonts w:hint="eastAsia" w:ascii="宋体" w:hAnsi="宋体" w:eastAsia="宋体" w:cs="宋体"/>
          <w:b w:val="0"/>
          <w:bCs w:val="0"/>
          <w:color w:val="auto"/>
          <w:sz w:val="24"/>
          <w:szCs w:val="24"/>
          <w:shd w:val="clear" w:color="auto" w:fill="FFFFFF"/>
          <w:lang w:val="en-US" w:eastAsia="zh-CN" w:bidi="ar"/>
        </w:rPr>
        <w:t>、</w:t>
      </w:r>
      <w:r>
        <w:rPr>
          <w:rFonts w:hint="eastAsia" w:ascii="宋体" w:hAnsi="宋体" w:eastAsia="宋体" w:cs="宋体"/>
          <w:b w:val="0"/>
          <w:bCs w:val="0"/>
          <w:color w:val="auto"/>
          <w:sz w:val="24"/>
          <w:szCs w:val="24"/>
          <w:shd w:val="clear" w:color="auto" w:fill="FFFFFF"/>
          <w:lang w:bidi="ar"/>
        </w:rPr>
        <w:t>服务</w:t>
      </w:r>
      <w:r>
        <w:rPr>
          <w:rFonts w:hint="eastAsia" w:ascii="宋体" w:hAnsi="宋体" w:eastAsia="宋体" w:cs="宋体"/>
          <w:b w:val="0"/>
          <w:bCs w:val="0"/>
          <w:color w:val="auto"/>
          <w:sz w:val="24"/>
          <w:szCs w:val="24"/>
          <w:shd w:val="clear" w:color="auto" w:fill="FFFFFF"/>
          <w:lang w:val="en-US" w:eastAsia="zh-CN" w:bidi="ar"/>
        </w:rPr>
        <w:t>期限</w:t>
      </w:r>
      <w:r>
        <w:rPr>
          <w:rFonts w:hint="eastAsia" w:ascii="宋体" w:hAnsi="宋体" w:eastAsia="宋体" w:cs="宋体"/>
          <w:b w:val="0"/>
          <w:bCs w:val="0"/>
          <w:color w:val="auto"/>
          <w:sz w:val="24"/>
          <w:szCs w:val="24"/>
          <w:shd w:val="clear" w:color="auto" w:fill="FFFFFF"/>
          <w:lang w:bidi="ar"/>
        </w:rPr>
        <w:t>：</w:t>
      </w:r>
      <w:r>
        <w:rPr>
          <w:rFonts w:hint="eastAsia" w:ascii="宋体" w:hAnsi="宋体" w:eastAsia="宋体" w:cs="宋体"/>
          <w:b w:val="0"/>
          <w:bCs w:val="0"/>
          <w:color w:val="auto"/>
          <w:sz w:val="24"/>
          <w:szCs w:val="24"/>
          <w:shd w:val="clear" w:color="auto" w:fill="FFFFFF"/>
          <w:lang w:val="en-US" w:eastAsia="zh-CN" w:bidi="ar"/>
        </w:rPr>
        <w:t>2年（合同1年1签）</w:t>
      </w:r>
    </w:p>
    <w:p w14:paraId="24E19C0C">
      <w:pPr>
        <w:widowControl/>
        <w:spacing w:line="500" w:lineRule="exact"/>
        <w:ind w:right="226"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二、产品质量及验收要求</w:t>
      </w:r>
    </w:p>
    <w:p w14:paraId="1CCDEBC0">
      <w:pPr>
        <w:widowControl/>
        <w:spacing w:line="500" w:lineRule="exact"/>
        <w:ind w:right="226"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中标人所配送的米、面、油应在符合国家或行业规定标准的同时，符合需求单位的具体订货要求：</w:t>
      </w:r>
    </w:p>
    <w:tbl>
      <w:tblPr>
        <w:tblStyle w:val="18"/>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6"/>
        <w:gridCol w:w="7073"/>
      </w:tblGrid>
      <w:tr w14:paraId="5FA1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806" w:type="dxa"/>
            <w:vAlign w:val="center"/>
          </w:tcPr>
          <w:p w14:paraId="15DAF239">
            <w:pPr>
              <w:pStyle w:val="11"/>
              <w:keepNext w:val="0"/>
              <w:keepLines w:val="0"/>
              <w:pageBreakBefore w:val="0"/>
              <w:widowControl w:val="0"/>
              <w:numPr>
                <w:ilvl w:val="0"/>
                <w:numId w:val="0"/>
              </w:numPr>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名称</w:t>
            </w:r>
          </w:p>
        </w:tc>
        <w:tc>
          <w:tcPr>
            <w:tcW w:w="7073" w:type="dxa"/>
            <w:vAlign w:val="center"/>
          </w:tcPr>
          <w:p w14:paraId="4E8F7BB5">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技术规格及质量标准</w:t>
            </w:r>
          </w:p>
        </w:tc>
      </w:tr>
      <w:tr w14:paraId="1E3F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806" w:type="dxa"/>
            <w:vAlign w:val="center"/>
          </w:tcPr>
          <w:p w14:paraId="06E7055C">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米类</w:t>
            </w:r>
          </w:p>
        </w:tc>
        <w:tc>
          <w:tcPr>
            <w:tcW w:w="7073" w:type="dxa"/>
            <w:vAlign w:val="center"/>
          </w:tcPr>
          <w:p w14:paraId="41B26703">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等级：国标一级</w:t>
            </w:r>
          </w:p>
          <w:p w14:paraId="35269505">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执行标准：符合 GB/T 1354-2018《大米》，同时满足 GB 2715-2021《食品安全国家标准 粮食》要求；</w:t>
            </w:r>
          </w:p>
          <w:p w14:paraId="66006327">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2.货品新鲜，到货后剩余保质期不少于 6 个月；</w:t>
            </w:r>
          </w:p>
          <w:p w14:paraId="1251B1A5">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3.品质要求：无霉变、无黄粒米、无异味、无杂质，米粒完整率≥85%；</w:t>
            </w:r>
          </w:p>
          <w:p w14:paraId="686E85E1">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4.随货附带当批次产品质量检验合格证明；</w:t>
            </w:r>
          </w:p>
          <w:p w14:paraId="02D5910B">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5.产品外包装标签完整规范，清晰标注食品名称、配料表、净含量及规格、生产者名称、地址、联系方式、生产日期、保质期、贮存条件、食品生产许可证编号、执行标准、产地、质量等级等法定内容。</w:t>
            </w:r>
          </w:p>
        </w:tc>
      </w:tr>
      <w:tr w14:paraId="23A9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jc w:val="center"/>
        </w:trPr>
        <w:tc>
          <w:tcPr>
            <w:tcW w:w="1806" w:type="dxa"/>
            <w:vAlign w:val="center"/>
          </w:tcPr>
          <w:p w14:paraId="0B594C23">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面 粉（小麦粉）</w:t>
            </w:r>
          </w:p>
        </w:tc>
        <w:tc>
          <w:tcPr>
            <w:tcW w:w="7073" w:type="dxa"/>
            <w:vAlign w:val="center"/>
          </w:tcPr>
          <w:p w14:paraId="777DF330">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等级：国标一级（精制粉）</w:t>
            </w:r>
          </w:p>
          <w:p w14:paraId="7763A9C0">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执行标准：符合 GB/T 1355-2021《小麦粉》，同时满足 GB 2715-2021《食品安全国家标准 粮食》 要求；</w:t>
            </w:r>
          </w:p>
          <w:p w14:paraId="4BA210A0">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2.货品到货后剩余保质期不少于 6 个月；</w:t>
            </w:r>
          </w:p>
          <w:p w14:paraId="44AE69F6">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3.随货附带当批次产品质量检验合格证明；</w:t>
            </w:r>
          </w:p>
          <w:p w14:paraId="7F7A80BE">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4.产品外包装标签完整规范，清晰标注食品名称、配料表、净含量及规格、生产者名称、地址、联系方式、生产日期、保质期、贮存条件、食品生产许可证编号、执行标准、产地、质量等级等法定内容。</w:t>
            </w:r>
          </w:p>
        </w:tc>
      </w:tr>
      <w:tr w14:paraId="59F6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806" w:type="dxa"/>
            <w:vAlign w:val="center"/>
          </w:tcPr>
          <w:p w14:paraId="1B9C8566">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食用油</w:t>
            </w:r>
          </w:p>
        </w:tc>
        <w:tc>
          <w:tcPr>
            <w:tcW w:w="7073" w:type="dxa"/>
            <w:vAlign w:val="center"/>
          </w:tcPr>
          <w:p w14:paraId="4E84684A">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等级：国标一级，非转基因</w:t>
            </w:r>
          </w:p>
          <w:p w14:paraId="55B941E2">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执行标准：大豆油执行GB/T 1535-2017、花生油执行GB/T 1534-2017、葵花籽油执行GB/T 10464-2017，所有油品均符合 GB 2716-2018《食品安全国家标准</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植物油》；</w:t>
            </w:r>
          </w:p>
          <w:p w14:paraId="2CEC282D">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2.到货后剩余保质期不低于产品标注总保质期的三分之二；</w:t>
            </w:r>
          </w:p>
          <w:p w14:paraId="40A1EFD4">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3.随货提供食品生产许可证（SC 认证）及当批次产品检验合格证书；</w:t>
            </w:r>
          </w:p>
          <w:p w14:paraId="5454617B">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4.包装标识齐全，按国标要求标注食品名称、配料表、净含量及规格、生产者信息、生产日期、保质期、贮存条件、食品生产许可证编号、执行标准、产地、质量等级；</w:t>
            </w:r>
          </w:p>
          <w:p w14:paraId="1ACC419F">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5.感官要求：油品色泽为黄色至橙黄色，澄清透明、气味纯正、口感醇和；严禁掺杂其他食用油、非食用油，不得添加香精、香料等食品添加剂。</w:t>
            </w:r>
          </w:p>
        </w:tc>
      </w:tr>
      <w:tr w14:paraId="0B0CB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806" w:type="dxa"/>
            <w:vAlign w:val="center"/>
          </w:tcPr>
          <w:p w14:paraId="33499D38">
            <w:pPr>
              <w:widowControl/>
              <w:spacing w:line="4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color w:val="auto"/>
                <w:kern w:val="0"/>
                <w:sz w:val="24"/>
                <w:szCs w:val="24"/>
                <w:highlight w:val="none"/>
              </w:rPr>
              <w:t>肉类</w:t>
            </w:r>
          </w:p>
        </w:tc>
        <w:tc>
          <w:tcPr>
            <w:tcW w:w="7073" w:type="dxa"/>
            <w:vAlign w:val="center"/>
          </w:tcPr>
          <w:p w14:paraId="7E1EDDCA">
            <w:pPr>
              <w:widowControl/>
              <w:numPr>
                <w:ilvl w:val="0"/>
                <w:numId w:val="0"/>
              </w:numPr>
              <w:spacing w:line="400" w:lineRule="exact"/>
              <w:ind w:left="0" w:lef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整体执行 GB 2707-2016《食品安全国家标准 鲜（冻）畜、禽产品》及国家现行有效标准。</w:t>
            </w:r>
          </w:p>
          <w:p w14:paraId="2D9A0447">
            <w:pPr>
              <w:widowControl/>
              <w:numPr>
                <w:ilvl w:val="0"/>
                <w:numId w:val="3"/>
              </w:numPr>
              <w:spacing w:line="400" w:lineRule="exact"/>
              <w:ind w:left="0" w:lef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猪肉：严禁注水、注胶，不提供病猪、种猪肉；须具备两证两章（动物检疫合格证明、肉品品质检验合格证、检疫验讫章、肉品品质检验合格验讫章），按需求配送。</w:t>
            </w:r>
          </w:p>
          <w:p w14:paraId="6157CC9C">
            <w:pPr>
              <w:widowControl/>
              <w:numPr>
                <w:ilvl w:val="0"/>
                <w:numId w:val="3"/>
              </w:numPr>
              <w:spacing w:line="400" w:lineRule="exact"/>
              <w:ind w:left="0" w:lef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牛羊肉：仅限国产货品，严禁注水；肉质呈鲜红色或深红色，脂肪洁白或淡黄色，肉质紧实富有弹性，指压凹陷可快速复原；表面微干、形成风干膜且不粘手，具备牛羊肉固有风味；配送时提供当批次动物检疫合格证明。</w:t>
            </w:r>
          </w:p>
          <w:p w14:paraId="78D6E194">
            <w:pPr>
              <w:widowControl/>
              <w:numPr>
                <w:ilvl w:val="0"/>
                <w:numId w:val="3"/>
              </w:numPr>
              <w:spacing w:line="400" w:lineRule="exact"/>
              <w:ind w:left="0" w:lef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禽肉类：肉质新鲜无异味，体表洁净、无毛、表皮处理到位，形体大小均匀；严禁配送病死禽肉，符合国家检验检疫要求；配送时提供当批次动物检疫合格证明。</w:t>
            </w:r>
          </w:p>
          <w:p w14:paraId="4B79B414">
            <w:pPr>
              <w:widowControl/>
              <w:numPr>
                <w:ilvl w:val="0"/>
                <w:numId w:val="0"/>
              </w:numPr>
              <w:spacing w:line="400" w:lineRule="exact"/>
              <w:ind w:left="0" w:lef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4.鱼虾类：执行 GB 2733-2015《食品安全国家标准 鲜、冻动物性水产品》及国家现行标准；货品全程鲜活，保持天然色泽，无异味、无有害物质残留。</w:t>
            </w:r>
          </w:p>
        </w:tc>
      </w:tr>
      <w:tr w14:paraId="15B0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806" w:type="dxa"/>
            <w:vAlign w:val="center"/>
          </w:tcPr>
          <w:p w14:paraId="181F1037">
            <w:pPr>
              <w:widowControl/>
              <w:spacing w:line="4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color w:val="auto"/>
                <w:kern w:val="0"/>
                <w:sz w:val="24"/>
                <w:szCs w:val="24"/>
                <w:highlight w:val="none"/>
                <w:lang w:val="en-US" w:eastAsia="zh-CN"/>
              </w:rPr>
              <w:t>蛋类</w:t>
            </w:r>
          </w:p>
        </w:tc>
        <w:tc>
          <w:tcPr>
            <w:tcW w:w="7073" w:type="dxa"/>
            <w:vAlign w:val="center"/>
          </w:tcPr>
          <w:p w14:paraId="0D60ED3C">
            <w:pPr>
              <w:widowControl/>
              <w:spacing w:line="40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执行 GB 2749-2015《食品安全国家标准 蛋与蛋制品》及国家现行有效标准。蛋壳完整无破损、无沙壳、无畸形，外表洁净、色泽自然有光泽；采用木箱、纸箱、塑料箱等合规外包装，内部搭配蛋托、纸格防护，防止破损。</w:t>
            </w:r>
          </w:p>
        </w:tc>
      </w:tr>
      <w:tr w14:paraId="1D5F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806" w:type="dxa"/>
            <w:vAlign w:val="center"/>
          </w:tcPr>
          <w:p w14:paraId="26D4352D">
            <w:pPr>
              <w:widowControl/>
              <w:spacing w:line="4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color w:val="auto"/>
                <w:kern w:val="0"/>
                <w:sz w:val="24"/>
                <w:szCs w:val="24"/>
                <w:highlight w:val="none"/>
              </w:rPr>
              <w:t>调料、干杂</w:t>
            </w:r>
          </w:p>
        </w:tc>
        <w:tc>
          <w:tcPr>
            <w:tcW w:w="7073" w:type="dxa"/>
            <w:vAlign w:val="center"/>
          </w:tcPr>
          <w:p w14:paraId="7638A0CE">
            <w:pPr>
              <w:widowControl/>
              <w:numPr>
                <w:ilvl w:val="0"/>
                <w:numId w:val="4"/>
              </w:numPr>
              <w:spacing w:line="400" w:lineRule="exact"/>
              <w:ind w:left="0" w:lef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调味品包含酱油、食醋、鸡精、味精、食用盐、豆瓣酱、料酒等品类，分项要求如下：</w:t>
            </w:r>
          </w:p>
          <w:p w14:paraId="55199FAF">
            <w:pPr>
              <w:widowControl/>
              <w:numPr>
                <w:ilvl w:val="0"/>
                <w:numId w:val="5"/>
              </w:numPr>
              <w:spacing w:line="40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酱油：酿造一级，瓶装（单瓶≤5L），执行GB/T 18186-2000，非转基因；</w:t>
            </w:r>
          </w:p>
          <w:p w14:paraId="70C86412">
            <w:pPr>
              <w:widowControl/>
              <w:numPr>
                <w:ilvl w:val="0"/>
                <w:numId w:val="5"/>
              </w:numPr>
              <w:spacing w:line="400" w:lineRule="exact"/>
              <w:ind w:left="0" w:lef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食醋：酿造一级，瓶装，执行GB/T 18187-2000；</w:t>
            </w:r>
          </w:p>
          <w:p w14:paraId="5FD82640">
            <w:pPr>
              <w:widowControl/>
              <w:numPr>
                <w:ilvl w:val="0"/>
                <w:numId w:val="5"/>
              </w:numPr>
              <w:spacing w:line="400" w:lineRule="exact"/>
              <w:ind w:left="0" w:lef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鸡精：一级，袋装（单袋净含量≤500g），符合国家现行标准；</w:t>
            </w:r>
          </w:p>
          <w:p w14:paraId="18877A14">
            <w:pPr>
              <w:widowControl/>
              <w:numPr>
                <w:ilvl w:val="0"/>
                <w:numId w:val="5"/>
              </w:numPr>
              <w:spacing w:line="400" w:lineRule="exact"/>
              <w:ind w:left="0" w:lef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味精：袋装（单袋净含量≤500g），执行GB 2720-2015；</w:t>
            </w:r>
          </w:p>
          <w:p w14:paraId="2605787D">
            <w:pPr>
              <w:widowControl/>
              <w:numPr>
                <w:ilvl w:val="0"/>
                <w:numId w:val="5"/>
              </w:numPr>
              <w:spacing w:line="400" w:lineRule="exact"/>
              <w:ind w:left="0" w:lef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食用盐：袋装（单袋净含量≤500g），执行GB/T 5461-2016；   6.豆瓣酱：单件净重≤10kg，非转基因，执行GB/T 20560-2006，包装完好无渗漏；</w:t>
            </w:r>
          </w:p>
          <w:p w14:paraId="17981E3F">
            <w:pPr>
              <w:widowControl/>
              <w:numPr>
                <w:ilvl w:val="0"/>
                <w:numId w:val="5"/>
              </w:numPr>
              <w:spacing w:line="400" w:lineRule="exact"/>
              <w:ind w:left="0" w:lef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料酒：瓶装（单瓶≤2L），执行SB/T 10416-2007。所有调味品包装完好、无破损渗漏，标签标识齐全，具备食品生产相关资质。</w:t>
            </w:r>
          </w:p>
          <w:p w14:paraId="788C6144">
            <w:pPr>
              <w:widowControl/>
              <w:numPr>
                <w:ilvl w:val="0"/>
                <w:numId w:val="4"/>
              </w:numPr>
              <w:spacing w:line="400" w:lineRule="exact"/>
              <w:ind w:left="0" w:lef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干杂制品包含玉米糁、花生仁、干香菇、粉条、黑木耳、虾皮等品类，分项要求如下：</w:t>
            </w:r>
          </w:p>
          <w:p w14:paraId="781CFE70">
            <w:pPr>
              <w:widowControl/>
              <w:numPr>
                <w:ilvl w:val="0"/>
                <w:numId w:val="6"/>
              </w:numPr>
              <w:spacing w:line="40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玉米糁：袋装（单袋≤20kg）；留存 2.00mm 筛网物料占比≤5%，通过 0.71mm 筛网物料占比≤20%；</w:t>
            </w:r>
          </w:p>
          <w:p w14:paraId="0B365CA3">
            <w:pPr>
              <w:widowControl/>
              <w:numPr>
                <w:ilvl w:val="0"/>
                <w:numId w:val="6"/>
              </w:numPr>
              <w:spacing w:line="400" w:lineRule="exact"/>
              <w:ind w:left="0" w:lef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花生仁：三级品，袋装（单袋≤25kg），执行GB/T 1532-2008</w:t>
            </w:r>
          </w:p>
          <w:p w14:paraId="1FCD45D8">
            <w:pPr>
              <w:widowControl/>
              <w:numPr>
                <w:ilvl w:val="0"/>
                <w:numId w:val="6"/>
              </w:numPr>
              <w:spacing w:line="400" w:lineRule="exact"/>
              <w:ind w:left="0" w:lef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干香菇：袋装（单袋≤1kg），菌盖直径≥3cm，残缺菇占比≤2.0%；</w:t>
            </w:r>
          </w:p>
          <w:p w14:paraId="6760F457">
            <w:pPr>
              <w:widowControl/>
              <w:numPr>
                <w:ilvl w:val="0"/>
                <w:numId w:val="6"/>
              </w:numPr>
              <w:spacing w:line="400" w:lineRule="exact"/>
              <w:ind w:left="0" w:lef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粉条：袋装（单袋≤25kg），执行GB/T 23587-2009；</w:t>
            </w:r>
          </w:p>
          <w:p w14:paraId="7FFE2357">
            <w:pPr>
              <w:widowControl/>
              <w:numPr>
                <w:ilvl w:val="0"/>
                <w:numId w:val="6"/>
              </w:numPr>
              <w:spacing w:line="400" w:lineRule="exact"/>
              <w:ind w:left="0" w:lef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黑木耳：袋装（单袋≤2kg），执行GB/T 6192-2019；</w:t>
            </w:r>
          </w:p>
          <w:p w14:paraId="3D34FBC7">
            <w:pPr>
              <w:widowControl/>
              <w:numPr>
                <w:ilvl w:val="0"/>
                <w:numId w:val="6"/>
              </w:numPr>
              <w:spacing w:line="400" w:lineRule="exact"/>
              <w:ind w:left="0" w:lef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虾皮：袋装（单袋≤2kg），执行SC/T 3205-2016。</w:t>
            </w:r>
          </w:p>
          <w:p w14:paraId="271D65C6">
            <w:pPr>
              <w:widowControl/>
              <w:numPr>
                <w:ilvl w:val="0"/>
                <w:numId w:val="0"/>
              </w:numPr>
              <w:spacing w:line="400" w:lineRule="exact"/>
              <w:ind w:left="0" w:lef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通用要求：全部原料符合《中华人民共和国食品安全法》及相关法规，严格把控农残、重金属指标，不得违规使用食品添加剂、不得检出二氧化硫；产品外观正常、无变质、无异味，包装符合食品安全规范。</w:t>
            </w:r>
          </w:p>
        </w:tc>
      </w:tr>
      <w:tr w14:paraId="516A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806" w:type="dxa"/>
            <w:vAlign w:val="center"/>
          </w:tcPr>
          <w:p w14:paraId="59EF25D2">
            <w:pPr>
              <w:widowControl/>
              <w:spacing w:line="4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color w:val="auto"/>
                <w:kern w:val="0"/>
                <w:sz w:val="24"/>
                <w:szCs w:val="24"/>
                <w:highlight w:val="none"/>
              </w:rPr>
              <w:t>水果</w:t>
            </w:r>
          </w:p>
        </w:tc>
        <w:tc>
          <w:tcPr>
            <w:tcW w:w="7073" w:type="dxa"/>
            <w:vAlign w:val="center"/>
          </w:tcPr>
          <w:p w14:paraId="2589D147">
            <w:pPr>
              <w:widowControl/>
              <w:spacing w:line="40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执行 GB 2763-2021《食品安全国家标准 食品中农药最大残留限量》 及国家现行标准。果形完整、大小均匀、新鲜饱满，色泽符合品种固有特征，气味正常；无划伤、裂口、腐烂、虫蛀、霉变、干疤、失水、冻伤及机械损伤。每批次货品随附农药残留检测合格证明。</w:t>
            </w:r>
          </w:p>
        </w:tc>
      </w:tr>
      <w:tr w14:paraId="173C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806" w:type="dxa"/>
            <w:vAlign w:val="center"/>
          </w:tcPr>
          <w:p w14:paraId="2C888860">
            <w:pPr>
              <w:widowControl/>
              <w:spacing w:line="4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color w:val="auto"/>
                <w:kern w:val="0"/>
                <w:sz w:val="24"/>
                <w:szCs w:val="24"/>
                <w:highlight w:val="none"/>
                <w:lang w:eastAsia="zh-CN"/>
              </w:rPr>
              <w:t xml:space="preserve">蔬菜 </w:t>
            </w:r>
          </w:p>
        </w:tc>
        <w:tc>
          <w:tcPr>
            <w:tcW w:w="7073" w:type="dxa"/>
            <w:vAlign w:val="center"/>
          </w:tcPr>
          <w:p w14:paraId="27EC698C">
            <w:pPr>
              <w:widowControl/>
              <w:numPr>
                <w:ilvl w:val="0"/>
                <w:numId w:val="7"/>
              </w:numPr>
              <w:spacing w:line="400" w:lineRule="exact"/>
              <w:ind w:left="0" w:lef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整体要求：执行 GB 2763-2021 及国家现行标准，农药残留指标全部达标；每批次随附农药残留检测合格证明。</w:t>
            </w:r>
          </w:p>
          <w:p w14:paraId="3002480D">
            <w:pPr>
              <w:widowControl/>
              <w:numPr>
                <w:ilvl w:val="0"/>
                <w:numId w:val="7"/>
              </w:numPr>
              <w:spacing w:line="400" w:lineRule="exact"/>
              <w:ind w:left="0" w:lef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叶菜类：鲜嫩无枯黄叶、烂叶、病斑叶，茎叶完整、基部不老化，表面干爽无积水、无泥土杂物；无机械损伤、病虫害、烧心、腐烂、抽薹（菜心除外）；结球菜叶球紧实，花椰菜洁白完整。</w:t>
            </w:r>
          </w:p>
          <w:p w14:paraId="12BDEEC2">
            <w:pPr>
              <w:widowControl/>
              <w:numPr>
                <w:ilvl w:val="0"/>
                <w:numId w:val="7"/>
              </w:numPr>
              <w:spacing w:line="400" w:lineRule="exact"/>
              <w:ind w:left="0" w:lef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根茎类：个头均匀、外形完整，无畸形、虫蛀、腐烂、断裂、萎蔫、发芽、变绿、空心、糠心、黑心等问题，敲击触感坚实。</w:t>
            </w:r>
          </w:p>
          <w:p w14:paraId="579B18D8">
            <w:pPr>
              <w:widowControl/>
              <w:numPr>
                <w:ilvl w:val="0"/>
                <w:numId w:val="7"/>
              </w:numPr>
              <w:spacing w:line="400" w:lineRule="exact"/>
              <w:ind w:left="0" w:lef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芽苗类：鲜嫩无老叶、黄叶，根部切口新鲜，茎叶完整、无腐烂。</w:t>
            </w:r>
          </w:p>
          <w:p w14:paraId="38F35725">
            <w:pPr>
              <w:widowControl/>
              <w:numPr>
                <w:ilvl w:val="0"/>
                <w:numId w:val="7"/>
              </w:numPr>
              <w:spacing w:line="400" w:lineRule="exact"/>
              <w:ind w:left="0" w:lef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菌类：色泽、气味符合品种特征，无腐烂、虫蛀、霉变、失水枯萎，菌朵完整，轻捏无渗水现象。</w:t>
            </w:r>
          </w:p>
          <w:p w14:paraId="15D9BEA8">
            <w:pPr>
              <w:widowControl/>
              <w:numPr>
                <w:ilvl w:val="0"/>
                <w:numId w:val="0"/>
              </w:numPr>
              <w:spacing w:line="400" w:lineRule="exact"/>
              <w:ind w:left="0" w:lef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6.包装要求：选用洁净、无异味、无污染的合规包装材料，保证透气性能，避免蔬菜挤压损伤。</w:t>
            </w:r>
          </w:p>
        </w:tc>
      </w:tr>
    </w:tbl>
    <w:p w14:paraId="4E017FA9">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三、采购要求</w:t>
      </w:r>
    </w:p>
    <w:p w14:paraId="59EA87C0">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中标人确定后，须严格遵守采购人相关规定，及接受采购人关于大宗食材供应相关要求：</w:t>
      </w:r>
    </w:p>
    <w:p w14:paraId="38E848DB">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1、供应过程中，中标人须做到：</w:t>
      </w:r>
    </w:p>
    <w:p w14:paraId="15EFC42E">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①供应的食材质量达到国家卫生食品卫生标准；均为知名品牌，且不得供应假冒伪劣产品；不得供应转基因产品； </w:t>
      </w:r>
    </w:p>
    <w:p w14:paraId="2FC59358">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②无特殊原因，严格按照采购人下达的订单（包括种类、数量）送货； </w:t>
      </w:r>
    </w:p>
    <w:p w14:paraId="22905055">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③如因缺货、天气原因等，无法按照采购人提出的种类、数量等需求将货物送达，须提前告知采购人，确保采购人有足够时间变更货物需求； </w:t>
      </w:r>
    </w:p>
    <w:p w14:paraId="71EE7F78">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④到货后，中标人须积极配合采购人对货物进行清点，包括数量、质量、与订单列明的种类是否相符等，如采购人发现数量、质量与需求不符、货物与订单列明的种类不符等问题，须快速解决，确保不影响炊事工作；</w:t>
      </w:r>
    </w:p>
    <w:p w14:paraId="3D35744E">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⑤中标人应尽量满足采购人提出的临时性货物补充需求。 </w:t>
      </w:r>
    </w:p>
    <w:p w14:paraId="037731C7">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2、每次送货时，中标人须提供供货清单，且供货清单与实际供应货物的数量、质量一致。</w:t>
      </w:r>
    </w:p>
    <w:p w14:paraId="7028FD86">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3、如在供应过程中，出现价格虚高、服务态度恶劣、送货质量低劣等问题，中标人须积极配合监管部门调查，并接受监管部门如下处罚： </w:t>
      </w:r>
    </w:p>
    <w:p w14:paraId="4079B2C9">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①中标人应严格按照不高于市场平均价格乘以报价费率进行供应，如发现中标人未履行价格条款，按合同价格违约条款进行处理； </w:t>
      </w:r>
    </w:p>
    <w:p w14:paraId="65FB4F17">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②采购人接到反映中标人存在服务态度恶劣问题，如无故拖延送货时间、言语恶劣等，并经核实确认，按照合同服务违约条款进行处理； </w:t>
      </w:r>
    </w:p>
    <w:p w14:paraId="0FA546D6">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③中标人供应货物期间，所供货物出现卫生质量问题，采购人有权立即解除合同，因食品安全问题造成的人员生命健康安全等一切后果，中标人须承担全部责任，并按照合同质量违约条款进行处理。</w:t>
      </w:r>
    </w:p>
    <w:p w14:paraId="719C7249">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四、服务要求</w:t>
      </w:r>
    </w:p>
    <w:p w14:paraId="7EC871A3">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1、中标人须有固定的配送服务场所，有足够的人员和车辆满足配送服务。每日按采购人需要的品种及数量，接到配送通知后按指定时间送达指定地点。</w:t>
      </w:r>
    </w:p>
    <w:p w14:paraId="0177536B">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采购人(采购人指定联系人)于至少提前一天以适当方式向中标人确定下周订单，中标人需保证在规定时间前将货物送达到指定地点，待采购人验收、核对后，供货才算完成。售后应在接到采购人反映的质量问题通知后1小时内做出响应，3小时内解决问题。</w:t>
      </w:r>
    </w:p>
    <w:p w14:paraId="3BE08389">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中标人所供货品等级、质量须符合国家质检部门及卫生部门的相关规定，若发现中标人所供货品不符合卫生规定的，采购人有权拒收。若所供货品由于质量问题导致发生食物中毒的，采购人有权向中标人追究法律责任，并赔偿采购人的一切损失。</w:t>
      </w:r>
    </w:p>
    <w:p w14:paraId="78EF2D24">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对于配送的货品，在中标人未按照合同规定的地点交货、验收之前，如发生不可抗力因素导致货品毁坏或灭失，由中标人承担责任。每次送货，中标人须委派一名专门负责人，负责货物的运输、过秤，并协助采购人验收货品，货品的品种和重量以采购人验收的结果为准。</w:t>
      </w:r>
    </w:p>
    <w:p w14:paraId="0D81DF77">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五、管理要求</w:t>
      </w:r>
    </w:p>
    <w:p w14:paraId="632EE337">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1、在合同执行期间，中标人须接受采购人有关部门的监督考核。</w:t>
      </w:r>
    </w:p>
    <w:p w14:paraId="0807FD57">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违规处理：中标人不按所承诺的价格、服务履行合同的，在服务期间无正当理由拒绝提供服务的，在服务期间出现二次不按所承诺的价格、服务、质量履行合同的，以上行为一经核实，采购人有权单方解除合同。</w:t>
      </w:r>
    </w:p>
    <w:p w14:paraId="041CE9DF">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3、中标人需确保投标资料的真实性，采购人将对中标人的实际情况实地考察核实，提供虚假材料者，将被取消中标资格，三年内不得参加采购人的招标采购活动。</w:t>
      </w:r>
    </w:p>
    <w:p w14:paraId="7F3E5F65">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六、违约责任</w:t>
      </w:r>
    </w:p>
    <w:p w14:paraId="4FB23657">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1、中标人存在以下情形的采购人有权解除合同：</w:t>
      </w:r>
    </w:p>
    <w:p w14:paraId="7D703B9F">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（1）中标人多次(2次以上)不能按照合同约定时间按时交货的；</w:t>
      </w:r>
    </w:p>
    <w:p w14:paraId="0A376B51">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（2）中标人未按合同约定，提供的货物在质量、数量、规格等方面不符合采购人条件的；</w:t>
      </w:r>
    </w:p>
    <w:p w14:paraId="2C404443">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（3）采购人将不定时对市场价格进行考察，中标人配送的货物单价高于合同约定的优惠价格，每累计达两次的；</w:t>
      </w:r>
    </w:p>
    <w:p w14:paraId="31B39ACE">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（4）采购人多次发现中标人在运输过程中刻意损耗的；</w:t>
      </w:r>
    </w:p>
    <w:p w14:paraId="7E95D647">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2、中标人在供货期间，如发生下列行为之一的，解除合同，情节严重的追究中标人法律责任并承担相应损失：</w:t>
      </w:r>
    </w:p>
    <w:p w14:paraId="2698006E">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（1）因配送的食品质量问题引发食品安全事故的；</w:t>
      </w:r>
    </w:p>
    <w:p w14:paraId="4CD40514">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（2）中标人配送人员在开展本项目工作中发生违纪、违法行为的；</w:t>
      </w:r>
    </w:p>
    <w:p w14:paraId="3AE1C95B">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（3）有违法违规行为，被有关部门查实的；</w:t>
      </w:r>
    </w:p>
    <w:p w14:paraId="3A0478A0">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（4）所供食品原材料腐败变质、油脂酸败、霉变、生虫、污秽不洁、混有异物或者其他感官性状异常，对人体健康有害的；</w:t>
      </w:r>
    </w:p>
    <w:p w14:paraId="4F6967C2">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（5）所供食品原材料含有毒、有害物质或者被有害物质污染，对人体健康有害的；</w:t>
      </w:r>
    </w:p>
    <w:p w14:paraId="784D9EF2">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（6）所供食品原材料掺假、掺杂、伪造，影响营养、卫生的；</w:t>
      </w:r>
    </w:p>
    <w:p w14:paraId="444E68EA">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（7）所供食品原材料用非食品原材料加工的，加入非食品用化学物质或者将非食品原材料当作食品原材料的；</w:t>
      </w:r>
    </w:p>
    <w:p w14:paraId="4B0F24C1">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（8）所供食品原材料超过保质期限的；</w:t>
      </w:r>
    </w:p>
    <w:p w14:paraId="67DE9862">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（9）所供食品原材料不符合食品安全标准的；</w:t>
      </w:r>
    </w:p>
    <w:p w14:paraId="386DEC77">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（10）违反《中华人民共和国食品安全法》等禁止性其他行为的；</w:t>
      </w:r>
    </w:p>
    <w:p w14:paraId="54AE431E">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（11）配送转基因食材进</w:t>
      </w:r>
      <w:r>
        <w:rPr>
          <w:rFonts w:hint="eastAsia" w:ascii="宋体" w:hAnsi="宋体" w:cs="宋体"/>
          <w:b w:val="0"/>
          <w:bCs w:val="0"/>
          <w:color w:val="auto"/>
          <w:sz w:val="24"/>
          <w:szCs w:val="24"/>
          <w:highlight w:val="none"/>
          <w:lang w:val="en-US" w:eastAsia="zh-CN"/>
        </w:rPr>
        <w:t>单位</w:t>
      </w:r>
      <w:r>
        <w:rPr>
          <w:rFonts w:hint="eastAsia" w:ascii="宋体" w:hAnsi="宋体" w:eastAsia="宋体" w:cs="宋体"/>
          <w:b w:val="0"/>
          <w:bCs w:val="0"/>
          <w:color w:val="auto"/>
          <w:sz w:val="24"/>
          <w:szCs w:val="24"/>
          <w:highlight w:val="none"/>
          <w:lang w:val="en-US" w:eastAsia="zh-CN"/>
        </w:rPr>
        <w:t>的；</w:t>
      </w:r>
    </w:p>
    <w:p w14:paraId="4D634E6A">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（12）被媒体曝光，造成不良影响的；</w:t>
      </w:r>
    </w:p>
    <w:p w14:paraId="28A84EB7">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（13）相关证照被行政主管部门吊销的；</w:t>
      </w:r>
    </w:p>
    <w:p w14:paraId="61D29541">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（14）违反合同相关条款规定，合同相关条款规定要求退出的；</w:t>
      </w:r>
    </w:p>
    <w:p w14:paraId="73E76991">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（15）存在转包发包行为的；</w:t>
      </w:r>
    </w:p>
    <w:p w14:paraId="10699A60">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（16）有拖欠货款行为且被货主向采购人投诉或起诉的。</w:t>
      </w:r>
    </w:p>
    <w:p w14:paraId="0CD452A0">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以上行为经查属实的，在采购人未书面通知解除合同之前，配送公司仍须按要求按质按量给予卢氏县公安局各相关单位配送食品原材料，保证食堂的正常运转。</w:t>
      </w:r>
    </w:p>
    <w:p w14:paraId="51414EF6">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3、因不可抗力因素造成无法继续履行合同的，采购人有权直接中止合同。</w:t>
      </w:r>
    </w:p>
    <w:p w14:paraId="11F52CB3">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七、退出程序</w:t>
      </w:r>
    </w:p>
    <w:p w14:paraId="68EAA1B0">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1、中标人因自身原因无法履行配送的，需提前一个月向各相关单位提出申请。</w:t>
      </w:r>
    </w:p>
    <w:p w14:paraId="79BE7CF8">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2、中标人违约或不遵守有关配送规定被取消配送资格的。</w:t>
      </w:r>
    </w:p>
    <w:p w14:paraId="7A09B8C7">
      <w:pPr>
        <w:keepNext w:val="0"/>
        <w:keepLines w:val="0"/>
        <w:widowControl/>
        <w:suppressLineNumbers w:val="0"/>
        <w:jc w:val="left"/>
        <w:rPr>
          <w:rFonts w:hint="eastAsia" w:ascii="宋体" w:hAnsi="宋体" w:eastAsia="宋体" w:cs="宋体"/>
          <w:sz w:val="24"/>
          <w:szCs w:val="24"/>
        </w:rPr>
      </w:pPr>
    </w:p>
    <w:p w14:paraId="330C4CA5">
      <w:pPr>
        <w:rPr>
          <w:rFonts w:hint="eastAsia" w:ascii="宋体" w:hAnsi="宋体" w:eastAsia="宋体" w:cs="宋体"/>
          <w:b/>
          <w:kern w:val="2"/>
          <w:sz w:val="24"/>
          <w:szCs w:val="24"/>
        </w:rPr>
      </w:pPr>
      <w:r>
        <w:rPr>
          <w:rFonts w:hint="eastAsia" w:ascii="宋体" w:hAnsi="宋体" w:eastAsia="宋体" w:cs="宋体"/>
          <w:b/>
          <w:kern w:val="2"/>
          <w:sz w:val="24"/>
          <w:szCs w:val="24"/>
        </w:rPr>
        <w:br w:type="page"/>
      </w:r>
    </w:p>
    <w:p w14:paraId="00D68846">
      <w:pPr>
        <w:pStyle w:val="2"/>
        <w:numPr>
          <w:ilvl w:val="0"/>
          <w:numId w:val="8"/>
        </w:numPr>
        <w:bidi w:val="0"/>
        <w:jc w:val="center"/>
        <w:rPr>
          <w:rFonts w:hint="eastAsia"/>
          <w:lang w:val="en-US" w:eastAsia="zh-CN"/>
        </w:rPr>
      </w:pPr>
      <w:bookmarkStart w:id="57" w:name="_Toc26911"/>
      <w:r>
        <w:rPr>
          <w:rFonts w:hint="eastAsia" w:ascii="黑体" w:cs="宋体"/>
          <w:b/>
          <w:kern w:val="2"/>
          <w:sz w:val="36"/>
          <w:szCs w:val="36"/>
          <w:lang w:val="en-US" w:eastAsia="zh-CN"/>
        </w:rPr>
        <w:t xml:space="preserve">   </w:t>
      </w:r>
      <w:bookmarkEnd w:id="57"/>
      <w:r>
        <w:rPr>
          <w:rFonts w:hint="eastAsia"/>
          <w:lang w:val="en-US" w:eastAsia="zh-CN"/>
        </w:rPr>
        <w:t xml:space="preserve"> 合同条款及格式（范本）</w:t>
      </w:r>
    </w:p>
    <w:p w14:paraId="4D3DA63A">
      <w:pPr>
        <w:pStyle w:val="2"/>
        <w:numPr>
          <w:ilvl w:val="0"/>
          <w:numId w:val="0"/>
        </w:numPr>
        <w:bidi w:val="0"/>
        <w:jc w:val="center"/>
        <w:rPr>
          <w:rFonts w:hint="eastAsia"/>
          <w:sz w:val="32"/>
          <w:szCs w:val="20"/>
          <w:lang w:val="en-US" w:eastAsia="zh-CN"/>
        </w:rPr>
      </w:pPr>
      <w:r>
        <w:rPr>
          <w:rFonts w:hint="eastAsia"/>
          <w:sz w:val="32"/>
          <w:szCs w:val="20"/>
          <w:lang w:val="en-US" w:eastAsia="zh-CN"/>
        </w:rPr>
        <w:t>（仅供参考）</w:t>
      </w:r>
    </w:p>
    <w:p w14:paraId="2DA072B7">
      <w:pPr>
        <w:spacing w:before="218" w:line="220" w:lineRule="auto"/>
        <w:ind w:left="39"/>
        <w:jc w:val="center"/>
        <w:rPr>
          <w:rFonts w:hint="default" w:ascii="宋体" w:hAnsi="宋体" w:eastAsia="宋体" w:cs="宋体"/>
          <w:b/>
          <w:bCs/>
          <w:spacing w:val="-11"/>
          <w:sz w:val="22"/>
          <w:szCs w:val="22"/>
          <w:lang w:val="en-US"/>
        </w:rPr>
      </w:pPr>
      <w:r>
        <w:rPr>
          <w:rFonts w:hint="eastAsia" w:ascii="宋体" w:hAnsi="宋体" w:eastAsia="宋体" w:cs="宋体"/>
          <w:b/>
          <w:bCs/>
          <w:color w:val="auto"/>
          <w:kern w:val="2"/>
          <w:sz w:val="32"/>
          <w:szCs w:val="32"/>
          <w:lang w:val="en-US" w:eastAsia="zh-CN" w:bidi="ar-SA"/>
        </w:rPr>
        <w:t>卢氏县公安局食堂食材采购项目合同书</w:t>
      </w:r>
    </w:p>
    <w:p w14:paraId="34D44F5F">
      <w:pPr>
        <w:keepNext w:val="0"/>
        <w:keepLines w:val="0"/>
        <w:pageBreakBefore w:val="0"/>
        <w:widowControl w:val="0"/>
        <w:kinsoku/>
        <w:wordWrap/>
        <w:overflowPunct/>
        <w:topLinePunct w:val="0"/>
        <w:autoSpaceDE/>
        <w:autoSpaceDN/>
        <w:bidi w:val="0"/>
        <w:adjustRightInd/>
        <w:snapToGrid w:val="0"/>
        <w:spacing w:before="218" w:line="360" w:lineRule="auto"/>
        <w:ind w:firstLine="438" w:firstLineChars="200"/>
        <w:textAlignment w:val="auto"/>
        <w:rPr>
          <w:rFonts w:hint="eastAsia" w:ascii="宋体" w:hAnsi="宋体" w:eastAsia="宋体" w:cs="宋体"/>
          <w:sz w:val="24"/>
          <w:szCs w:val="24"/>
        </w:rPr>
      </w:pPr>
      <w:r>
        <w:rPr>
          <w:rFonts w:hint="eastAsia" w:ascii="宋体" w:hAnsi="宋体" w:eastAsia="宋体" w:cs="宋体"/>
          <w:b/>
          <w:bCs/>
          <w:spacing w:val="-11"/>
          <w:sz w:val="24"/>
          <w:szCs w:val="24"/>
        </w:rPr>
        <w:t>甲</w:t>
      </w:r>
      <w:r>
        <w:rPr>
          <w:rFonts w:hint="eastAsia" w:ascii="宋体" w:hAnsi="宋体" w:eastAsia="宋体" w:cs="宋体"/>
          <w:spacing w:val="8"/>
          <w:sz w:val="24"/>
          <w:szCs w:val="24"/>
        </w:rPr>
        <w:t xml:space="preserve">  </w:t>
      </w:r>
      <w:r>
        <w:rPr>
          <w:rFonts w:hint="eastAsia" w:ascii="宋体" w:hAnsi="宋体" w:eastAsia="宋体" w:cs="宋体"/>
          <w:b/>
          <w:bCs/>
          <w:spacing w:val="-11"/>
          <w:sz w:val="24"/>
          <w:szCs w:val="24"/>
        </w:rPr>
        <w:t>方（需方</w:t>
      </w:r>
      <w:r>
        <w:rPr>
          <w:rFonts w:hint="eastAsia" w:ascii="宋体" w:hAnsi="宋体" w:eastAsia="宋体" w:cs="宋体"/>
          <w:b/>
          <w:bCs/>
          <w:spacing w:val="-3"/>
          <w:sz w:val="24"/>
          <w:szCs w:val="24"/>
        </w:rPr>
        <w:t>）：</w:t>
      </w:r>
      <w:r>
        <w:rPr>
          <w:rFonts w:hint="eastAsia" w:ascii="宋体" w:hAnsi="宋体" w:eastAsia="宋体" w:cs="宋体"/>
          <w:b/>
          <w:bCs/>
          <w:spacing w:val="-2"/>
          <w:sz w:val="24"/>
          <w:szCs w:val="24"/>
          <w:u w:val="single" w:color="auto"/>
          <w:lang w:val="en-US" w:eastAsia="zh-CN"/>
        </w:rPr>
        <w:t xml:space="preserve">                           </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(以下简称甲方)</w:t>
      </w:r>
    </w:p>
    <w:p w14:paraId="3FE2D464">
      <w:pPr>
        <w:pStyle w:val="7"/>
        <w:keepNext w:val="0"/>
        <w:keepLines w:val="0"/>
        <w:pageBreakBefore w:val="0"/>
        <w:widowControl w:val="0"/>
        <w:kinsoku/>
        <w:wordWrap/>
        <w:overflowPunct/>
        <w:topLinePunct w:val="0"/>
        <w:autoSpaceDE/>
        <w:autoSpaceDN/>
        <w:bidi w:val="0"/>
        <w:adjustRightInd/>
        <w:snapToGrid w:val="0"/>
        <w:spacing w:before="185" w:line="360" w:lineRule="auto"/>
        <w:ind w:firstLine="442" w:firstLineChars="200"/>
        <w:textAlignment w:val="auto"/>
        <w:rPr>
          <w:rFonts w:hint="eastAsia" w:ascii="宋体" w:hAnsi="宋体" w:eastAsia="宋体" w:cs="宋体"/>
          <w:sz w:val="24"/>
          <w:szCs w:val="24"/>
        </w:rPr>
      </w:pPr>
      <w:r>
        <w:rPr>
          <w:rFonts w:hint="eastAsia" w:ascii="宋体" w:hAnsi="宋体" w:eastAsia="宋体" w:cs="宋体"/>
          <w:b/>
          <w:bCs/>
          <w:spacing w:val="-10"/>
          <w:sz w:val="24"/>
          <w:szCs w:val="24"/>
        </w:rPr>
        <w:t>乙</w:t>
      </w:r>
      <w:r>
        <w:rPr>
          <w:rFonts w:hint="eastAsia" w:ascii="宋体" w:hAnsi="宋体" w:eastAsia="宋体" w:cs="宋体"/>
          <w:spacing w:val="8"/>
          <w:sz w:val="24"/>
          <w:szCs w:val="24"/>
        </w:rPr>
        <w:t xml:space="preserve">  </w:t>
      </w:r>
      <w:r>
        <w:rPr>
          <w:rFonts w:hint="eastAsia" w:ascii="宋体" w:hAnsi="宋体" w:eastAsia="宋体" w:cs="宋体"/>
          <w:b/>
          <w:bCs/>
          <w:spacing w:val="-10"/>
          <w:sz w:val="24"/>
          <w:szCs w:val="24"/>
        </w:rPr>
        <w:t>方</w:t>
      </w:r>
      <w:r>
        <w:rPr>
          <w:rFonts w:hint="eastAsia" w:ascii="宋体" w:hAnsi="宋体" w:eastAsia="宋体" w:cs="宋体"/>
          <w:b/>
          <w:bCs/>
          <w:spacing w:val="-10"/>
          <w:sz w:val="24"/>
          <w:szCs w:val="24"/>
          <w:lang w:eastAsia="zh-CN"/>
        </w:rPr>
        <w:t>（</w:t>
      </w:r>
      <w:r>
        <w:rPr>
          <w:rFonts w:hint="eastAsia" w:ascii="宋体" w:hAnsi="宋体" w:eastAsia="宋体" w:cs="宋体"/>
          <w:b/>
          <w:bCs/>
          <w:spacing w:val="-10"/>
          <w:sz w:val="24"/>
          <w:szCs w:val="24"/>
          <w:lang w:val="en-US" w:eastAsia="zh-CN"/>
        </w:rPr>
        <w:t>供方）</w:t>
      </w:r>
      <w:r>
        <w:rPr>
          <w:rFonts w:hint="eastAsia" w:ascii="宋体" w:hAnsi="宋体" w:eastAsia="宋体" w:cs="宋体"/>
          <w:b/>
          <w:bCs/>
          <w:spacing w:val="-2"/>
          <w:sz w:val="24"/>
          <w:szCs w:val="24"/>
        </w:rPr>
        <w:t>：</w:t>
      </w:r>
      <w:r>
        <w:rPr>
          <w:rFonts w:hint="eastAsia" w:ascii="宋体" w:hAnsi="宋体" w:eastAsia="宋体" w:cs="宋体"/>
          <w:b/>
          <w:bCs/>
          <w:spacing w:val="5"/>
          <w:sz w:val="24"/>
          <w:szCs w:val="24"/>
          <w:u w:val="single" w:color="auto"/>
          <w:lang w:val="en-US" w:eastAsia="zh-CN"/>
        </w:rPr>
        <w:t xml:space="preserve">                        </w:t>
      </w:r>
      <w:r>
        <w:rPr>
          <w:rFonts w:hint="eastAsia" w:ascii="宋体" w:hAnsi="宋体" w:eastAsia="宋体" w:cs="宋体"/>
          <w:spacing w:val="5"/>
          <w:sz w:val="24"/>
          <w:szCs w:val="24"/>
        </w:rPr>
        <w:t>(以下简</w:t>
      </w:r>
      <w:r>
        <w:rPr>
          <w:rFonts w:hint="eastAsia" w:ascii="宋体" w:hAnsi="宋体" w:eastAsia="宋体" w:cs="宋体"/>
          <w:spacing w:val="4"/>
          <w:sz w:val="24"/>
          <w:szCs w:val="24"/>
        </w:rPr>
        <w:t>称乙方)</w:t>
      </w:r>
    </w:p>
    <w:p w14:paraId="15C4CA99">
      <w:pPr>
        <w:spacing w:before="78" w:line="359" w:lineRule="auto"/>
        <w:ind w:left="11" w:right="75" w:firstLine="478"/>
        <w:jc w:val="both"/>
        <w:rPr>
          <w:rFonts w:hint="eastAsia" w:ascii="宋体" w:hAnsi="宋体" w:eastAsia="宋体" w:cs="宋体"/>
          <w:b/>
          <w:bCs/>
          <w:spacing w:val="-3"/>
          <w:sz w:val="24"/>
          <w:szCs w:val="24"/>
        </w:rPr>
      </w:pPr>
      <w:r>
        <w:rPr>
          <w:rFonts w:ascii="宋体" w:hAnsi="宋体" w:eastAsia="宋体" w:cs="宋体"/>
          <w:sz w:val="24"/>
          <w:szCs w:val="24"/>
        </w:rPr>
        <w:t>根据《中华人民共和国政府采购法》《中华人民共和国</w:t>
      </w:r>
      <w:r>
        <w:rPr>
          <w:rFonts w:ascii="宋体" w:hAnsi="宋体" w:eastAsia="宋体" w:cs="宋体"/>
          <w:spacing w:val="-1"/>
          <w:sz w:val="24"/>
          <w:szCs w:val="24"/>
        </w:rPr>
        <w:t>民法典》</w:t>
      </w:r>
      <w:r>
        <w:rPr>
          <w:rFonts w:hint="eastAsia" w:ascii="宋体" w:hAnsi="宋体" w:cs="宋体"/>
          <w:spacing w:val="-1"/>
          <w:sz w:val="24"/>
          <w:szCs w:val="24"/>
          <w:lang w:val="en-US" w:eastAsia="zh-CN"/>
        </w:rPr>
        <w:t>等</w:t>
      </w:r>
      <w:r>
        <w:rPr>
          <w:rFonts w:ascii="宋体" w:hAnsi="宋体" w:eastAsia="宋体" w:cs="宋体"/>
          <w:spacing w:val="-1"/>
          <w:sz w:val="24"/>
          <w:szCs w:val="24"/>
        </w:rPr>
        <w:t>与项目行业有关的法律法规，以及</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卢氏县公安局食堂食材采购项目</w:t>
      </w:r>
      <w:r>
        <w:rPr>
          <w:rFonts w:ascii="宋体" w:hAnsi="宋体" w:eastAsia="宋体" w:cs="宋体"/>
          <w:spacing w:val="-1"/>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z w:val="24"/>
          <w:szCs w:val="24"/>
        </w:rPr>
        <w:t>的《</w:t>
      </w:r>
      <w:r>
        <w:rPr>
          <w:rFonts w:hint="eastAsia" w:ascii="宋体" w:hAnsi="宋体" w:eastAsia="宋体" w:cs="宋体"/>
          <w:sz w:val="24"/>
          <w:szCs w:val="24"/>
          <w:lang w:val="en-US" w:eastAsia="zh-CN"/>
        </w:rPr>
        <w:t>磋商</w:t>
      </w:r>
      <w:r>
        <w:rPr>
          <w:rFonts w:ascii="宋体" w:hAnsi="宋体" w:eastAsia="宋体" w:cs="宋体"/>
          <w:sz w:val="24"/>
          <w:szCs w:val="24"/>
        </w:rPr>
        <w:t>文件》，</w:t>
      </w:r>
      <w:r>
        <w:rPr>
          <w:rFonts w:hint="eastAsia" w:ascii="宋体" w:hAnsi="宋体" w:eastAsia="宋体" w:cs="宋体"/>
          <w:sz w:val="24"/>
          <w:szCs w:val="24"/>
          <w:lang w:val="en-US" w:eastAsia="zh-CN"/>
        </w:rPr>
        <w:t>供应商</w:t>
      </w:r>
      <w:r>
        <w:rPr>
          <w:rFonts w:ascii="宋体" w:hAnsi="宋体" w:eastAsia="宋体" w:cs="宋体"/>
          <w:sz w:val="24"/>
          <w:szCs w:val="24"/>
        </w:rPr>
        <w:t>的《响应文件》及《成交通知书》，</w:t>
      </w:r>
      <w:r>
        <w:rPr>
          <w:rFonts w:hint="eastAsia" w:ascii="宋体" w:hAnsi="宋体" w:eastAsia="宋体" w:cs="宋体"/>
          <w:sz w:val="24"/>
          <w:szCs w:val="24"/>
        </w:rPr>
        <w:t>遵循平等、自愿、 公平和诚实信用的原则，甲、乙双方就本采购项目协商一致，同意签订本合同</w:t>
      </w:r>
      <w:r>
        <w:rPr>
          <w:rFonts w:ascii="宋体" w:hAnsi="宋体" w:eastAsia="宋体" w:cs="宋体"/>
          <w:sz w:val="24"/>
          <w:szCs w:val="24"/>
        </w:rPr>
        <w:t>。详细技术说明及其他有关合同项目的特定信息由合同附件予以说明，合同附件及本项目的《</w:t>
      </w:r>
      <w:r>
        <w:rPr>
          <w:rFonts w:hint="eastAsia" w:ascii="宋体" w:hAnsi="宋体" w:eastAsia="宋体" w:cs="宋体"/>
          <w:sz w:val="24"/>
          <w:szCs w:val="24"/>
          <w:lang w:val="en-US" w:eastAsia="zh-CN"/>
        </w:rPr>
        <w:t>磋商</w:t>
      </w:r>
      <w:r>
        <w:rPr>
          <w:rFonts w:ascii="宋体" w:hAnsi="宋体" w:eastAsia="宋体" w:cs="宋体"/>
          <w:spacing w:val="-1"/>
          <w:sz w:val="24"/>
          <w:szCs w:val="24"/>
        </w:rPr>
        <w:t>文件》、《响应文件》、</w:t>
      </w:r>
      <w:r>
        <w:rPr>
          <w:rFonts w:hint="eastAsia" w:ascii="宋体" w:hAnsi="宋体" w:cs="宋体"/>
          <w:spacing w:val="-1"/>
          <w:sz w:val="24"/>
          <w:szCs w:val="24"/>
          <w:lang w:eastAsia="zh-CN"/>
        </w:rPr>
        <w:t>《</w:t>
      </w:r>
      <w:r>
        <w:rPr>
          <w:rFonts w:hint="eastAsia" w:ascii="宋体" w:hAnsi="宋体" w:eastAsia="宋体" w:cs="宋体"/>
          <w:spacing w:val="-1"/>
          <w:sz w:val="24"/>
          <w:szCs w:val="24"/>
          <w:lang w:val="en-US" w:eastAsia="zh-CN"/>
        </w:rPr>
        <w:t>成交</w:t>
      </w:r>
      <w:r>
        <w:rPr>
          <w:rFonts w:ascii="宋体" w:hAnsi="宋体" w:eastAsia="宋体" w:cs="宋体"/>
          <w:spacing w:val="-1"/>
          <w:sz w:val="24"/>
          <w:szCs w:val="24"/>
        </w:rPr>
        <w:t>通知书》等均为本合同的组成部分。</w:t>
      </w:r>
    </w:p>
    <w:p w14:paraId="27664C7E">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spacing w:val="-3"/>
          <w:sz w:val="24"/>
          <w:szCs w:val="24"/>
        </w:rPr>
      </w:pPr>
      <w:r>
        <w:rPr>
          <w:rFonts w:hint="eastAsia" w:ascii="宋体" w:hAnsi="宋体" w:eastAsia="宋体" w:cs="宋体"/>
          <w:b/>
          <w:bCs/>
          <w:spacing w:val="-3"/>
          <w:sz w:val="24"/>
          <w:szCs w:val="24"/>
        </w:rPr>
        <w:t>一、合同标的</w:t>
      </w:r>
    </w:p>
    <w:p w14:paraId="39F2226A">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1.乙方负责在合同有效期内向甲方食堂供应配送食材。(具体配送范围包括但不限于： 米、面、油、肉类、干货、蔬菜、水果、调料、副食类等食材（详见供货明细表），甲方可根据实际需要选择货品。如甲方另有需求，乙方均可供货。</w:t>
      </w:r>
    </w:p>
    <w:p w14:paraId="0D31DEC0">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2.乙方所供货物必须符合下列要求：</w:t>
      </w:r>
    </w:p>
    <w:p w14:paraId="4F2ADC6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（1）所供货物必须符合国家或行业主管部门执行的有关营养、卫生等质量标准、 符合响应文件中响应的技术指标要求。</w:t>
      </w:r>
    </w:p>
    <w:p w14:paraId="6D171BE0">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（2）未经甲方允许，不得提供未经检验或未取得相关部门允许批量生产的新产品或试制品。</w:t>
      </w:r>
    </w:p>
    <w:p w14:paraId="10C775B4">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（3）乙方所供货物必须具有质量检验合格证、产品检验检疫证等。</w:t>
      </w:r>
    </w:p>
    <w:p w14:paraId="683A3C1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（4）所供货物必须严格按照响应文件中所报货物生产厂家、品牌一致的货物。</w:t>
      </w:r>
    </w:p>
    <w:p w14:paraId="5CBBDD61">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spacing w:val="-3"/>
          <w:sz w:val="24"/>
          <w:szCs w:val="24"/>
        </w:rPr>
      </w:pPr>
      <w:r>
        <w:rPr>
          <w:rFonts w:hint="eastAsia" w:ascii="宋体" w:hAnsi="宋体" w:eastAsia="宋体" w:cs="宋体"/>
          <w:b/>
          <w:bCs/>
          <w:spacing w:val="-3"/>
          <w:sz w:val="24"/>
          <w:szCs w:val="24"/>
        </w:rPr>
        <w:t>二、供货期限</w:t>
      </w:r>
    </w:p>
    <w:p w14:paraId="429B98D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自</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年</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日起至</w:t>
      </w:r>
      <w:r>
        <w:rPr>
          <w:rFonts w:hint="eastAsia" w:ascii="宋体" w:hAnsi="宋体" w:eastAsia="宋体" w:cs="宋体"/>
          <w:spacing w:val="-3"/>
          <w:sz w:val="24"/>
          <w:szCs w:val="24"/>
          <w:u w:val="single"/>
        </w:rPr>
        <w:t xml:space="preserve">  </w:t>
      </w:r>
      <w:r>
        <w:rPr>
          <w:rFonts w:hint="eastAsia" w:ascii="宋体" w:hAnsi="宋体" w:cs="宋体"/>
          <w:spacing w:val="-3"/>
          <w:sz w:val="24"/>
          <w:szCs w:val="24"/>
          <w:u w:val="single"/>
          <w:lang w:val="en-US" w:eastAsia="zh-CN"/>
        </w:rPr>
        <w:t xml:space="preserve">  </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年</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日止。</w:t>
      </w:r>
    </w:p>
    <w:p w14:paraId="0D6FFAC0">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spacing w:val="-3"/>
          <w:sz w:val="24"/>
          <w:szCs w:val="24"/>
        </w:rPr>
      </w:pPr>
      <w:r>
        <w:rPr>
          <w:rFonts w:hint="eastAsia" w:ascii="宋体" w:hAnsi="宋体" w:eastAsia="宋体" w:cs="宋体"/>
          <w:b/>
          <w:bCs/>
          <w:spacing w:val="-3"/>
          <w:sz w:val="24"/>
          <w:szCs w:val="24"/>
        </w:rPr>
        <w:t>三、成交折扣</w:t>
      </w:r>
    </w:p>
    <w:p w14:paraId="1709585B">
      <w:pPr>
        <w:widowControl/>
        <w:spacing w:line="440" w:lineRule="exact"/>
        <w:ind w:firstLine="468" w:firstLineChars="200"/>
        <w:jc w:val="left"/>
        <w:rPr>
          <w:rFonts w:hint="eastAsia" w:ascii="宋体" w:hAnsi="宋体" w:cs="宋体"/>
          <w:b/>
          <w:bCs/>
          <w:kern w:val="0"/>
          <w:sz w:val="24"/>
          <w:szCs w:val="22"/>
          <w:highlight w:val="none"/>
          <w:lang w:val="en-US" w:eastAsia="zh-CN"/>
        </w:rPr>
      </w:pPr>
      <w:r>
        <w:rPr>
          <w:rFonts w:hint="eastAsia" w:ascii="宋体" w:hAnsi="宋体" w:eastAsia="宋体" w:cs="宋体"/>
          <w:spacing w:val="-3"/>
          <w:sz w:val="24"/>
          <w:szCs w:val="24"/>
          <w:lang w:val="en-US" w:eastAsia="zh-CN"/>
        </w:rPr>
        <w:t>1.按竞争性磋商文件规定：</w:t>
      </w:r>
      <w:r>
        <w:rPr>
          <w:rFonts w:hint="eastAsia" w:ascii="宋体" w:hAnsi="宋体" w:cs="宋体"/>
          <w:b/>
          <w:bCs/>
          <w:kern w:val="0"/>
          <w:sz w:val="24"/>
          <w:szCs w:val="22"/>
          <w:highlight w:val="none"/>
          <w:lang w:val="en-US" w:eastAsia="zh-CN"/>
        </w:rPr>
        <w:t>项目成交后，按实际配送金额对应折扣率办理结算。</w:t>
      </w:r>
    </w:p>
    <w:p w14:paraId="7F7F59F4">
      <w:pPr>
        <w:widowControl/>
        <w:spacing w:line="440" w:lineRule="exact"/>
        <w:ind w:firstLine="482" w:firstLineChars="200"/>
        <w:jc w:val="left"/>
        <w:rPr>
          <w:rFonts w:hint="default" w:ascii="宋体" w:hAnsi="宋体" w:cs="宋体"/>
          <w:b/>
          <w:bCs/>
          <w:kern w:val="0"/>
          <w:sz w:val="24"/>
          <w:szCs w:val="22"/>
          <w:highlight w:val="cyan"/>
          <w:lang w:val="en-US" w:eastAsia="zh-CN"/>
        </w:rPr>
      </w:pPr>
      <w:r>
        <w:rPr>
          <w:rFonts w:hint="default" w:ascii="宋体" w:hAnsi="宋体" w:cs="宋体"/>
          <w:b/>
          <w:bCs/>
          <w:kern w:val="0"/>
          <w:sz w:val="24"/>
          <w:szCs w:val="22"/>
          <w:highlight w:val="none"/>
          <w:lang w:val="en-US" w:eastAsia="zh-CN"/>
        </w:rPr>
        <w:t>结算计算公式：最终报价÷磋商控制价×100，</w:t>
      </w:r>
      <w:r>
        <w:rPr>
          <w:rFonts w:hint="eastAsia" w:ascii="宋体" w:hAnsi="宋体" w:cs="宋体"/>
          <w:b/>
          <w:bCs/>
          <w:kern w:val="0"/>
          <w:sz w:val="24"/>
          <w:szCs w:val="22"/>
          <w:highlight w:val="none"/>
          <w:lang w:val="en-US" w:eastAsia="zh-CN"/>
        </w:rPr>
        <w:t>计算</w:t>
      </w:r>
      <w:r>
        <w:rPr>
          <w:rFonts w:hint="default" w:ascii="宋体" w:hAnsi="宋体" w:cs="宋体"/>
          <w:b/>
          <w:bCs/>
          <w:kern w:val="0"/>
          <w:sz w:val="24"/>
          <w:szCs w:val="22"/>
          <w:highlight w:val="none"/>
          <w:lang w:val="en-US" w:eastAsia="zh-CN"/>
        </w:rPr>
        <w:t>结果四舍五入保留两位小数。</w:t>
      </w:r>
      <w:r>
        <w:rPr>
          <w:rFonts w:hint="default" w:ascii="宋体" w:hAnsi="宋体" w:cs="宋体"/>
          <w:b/>
          <w:bCs/>
          <w:kern w:val="0"/>
          <w:sz w:val="24"/>
          <w:szCs w:val="22"/>
          <w:highlight w:val="cyan"/>
          <w:lang w:val="en-US" w:eastAsia="zh-CN"/>
        </w:rPr>
        <w:t xml:space="preserve"> </w:t>
      </w:r>
    </w:p>
    <w:p w14:paraId="74A2D9A0">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2</w:t>
      </w:r>
      <w:r>
        <w:rPr>
          <w:rFonts w:hint="eastAsia" w:ascii="宋体" w:hAnsi="宋体" w:eastAsia="宋体" w:cs="宋体"/>
          <w:spacing w:val="-3"/>
          <w:sz w:val="24"/>
          <w:szCs w:val="24"/>
        </w:rPr>
        <w:t>.成交折扣：</w:t>
      </w:r>
    </w:p>
    <w:p w14:paraId="2D36C317">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成交折扣：应支付金额的</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u w:val="single"/>
        </w:rPr>
        <w:t xml:space="preserve"> %</w:t>
      </w:r>
    </w:p>
    <w:p w14:paraId="17766EF5">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根据成交折扣计算出的实际支付金额包含所供货物价格、运送到甲方指定地点所发生的运费、装卸费、调换等环节所发生的费用及其他相关费用和所需缴纳的一切相关税费。</w:t>
      </w:r>
    </w:p>
    <w:p w14:paraId="28F67B42">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spacing w:val="-3"/>
          <w:sz w:val="24"/>
          <w:szCs w:val="24"/>
        </w:rPr>
      </w:pPr>
      <w:r>
        <w:rPr>
          <w:rFonts w:hint="eastAsia" w:ascii="宋体" w:hAnsi="宋体" w:eastAsia="宋体" w:cs="宋体"/>
          <w:b/>
          <w:bCs/>
          <w:spacing w:val="-3"/>
          <w:sz w:val="24"/>
          <w:szCs w:val="24"/>
        </w:rPr>
        <w:t>四、执行单价的确定</w:t>
      </w:r>
    </w:p>
    <w:p w14:paraId="465930E1">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b w:val="0"/>
          <w:bCs w:val="0"/>
          <w:spacing w:val="-3"/>
          <w:sz w:val="24"/>
          <w:szCs w:val="24"/>
          <w:lang w:val="en-US" w:eastAsia="zh-CN"/>
        </w:rPr>
      </w:pPr>
      <w:r>
        <w:rPr>
          <w:rFonts w:hint="eastAsia" w:ascii="宋体" w:hAnsi="宋体" w:eastAsia="宋体" w:cs="宋体"/>
          <w:spacing w:val="-3"/>
          <w:sz w:val="24"/>
          <w:szCs w:val="24"/>
          <w:lang w:val="en-US" w:eastAsia="zh-CN"/>
        </w:rPr>
        <w:t>1.</w:t>
      </w:r>
      <w:r>
        <w:rPr>
          <w:rFonts w:hint="eastAsia" w:ascii="宋体" w:hAnsi="宋体" w:eastAsia="宋体" w:cs="宋体"/>
          <w:b w:val="0"/>
          <w:bCs w:val="0"/>
          <w:spacing w:val="-3"/>
          <w:sz w:val="24"/>
          <w:szCs w:val="24"/>
          <w:lang w:val="en-US" w:eastAsia="zh-CN"/>
        </w:rPr>
        <w:t>月度结算价款＝市场</w:t>
      </w:r>
      <w:r>
        <w:rPr>
          <w:rFonts w:hint="eastAsia" w:ascii="宋体" w:hAnsi="宋体" w:cs="宋体"/>
          <w:b w:val="0"/>
          <w:bCs w:val="0"/>
          <w:spacing w:val="-3"/>
          <w:sz w:val="24"/>
          <w:szCs w:val="24"/>
          <w:lang w:val="en-US" w:eastAsia="zh-CN"/>
        </w:rPr>
        <w:t>调查</w:t>
      </w:r>
      <w:r>
        <w:rPr>
          <w:rFonts w:hint="eastAsia" w:ascii="宋体" w:hAnsi="宋体" w:eastAsia="宋体" w:cs="宋体"/>
          <w:b w:val="0"/>
          <w:bCs w:val="0"/>
          <w:spacing w:val="-3"/>
          <w:sz w:val="24"/>
          <w:szCs w:val="24"/>
          <w:lang w:val="en-US" w:eastAsia="zh-CN"/>
        </w:rPr>
        <w:t xml:space="preserve">价 × 成交折扣率 × 当期实际供货数量 </w:t>
      </w:r>
    </w:p>
    <w:p w14:paraId="21AAE04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b w:val="0"/>
          <w:bCs w:val="0"/>
          <w:spacing w:val="-3"/>
          <w:sz w:val="24"/>
          <w:szCs w:val="24"/>
          <w:lang w:val="en-US" w:eastAsia="zh-CN"/>
        </w:rPr>
      </w:pPr>
      <w:r>
        <w:rPr>
          <w:rFonts w:hint="eastAsia" w:ascii="宋体" w:hAnsi="宋体" w:eastAsia="宋体" w:cs="宋体"/>
          <w:b w:val="0"/>
          <w:bCs w:val="0"/>
          <w:spacing w:val="-3"/>
          <w:sz w:val="24"/>
          <w:szCs w:val="24"/>
          <w:lang w:val="en-US" w:eastAsia="zh-CN"/>
        </w:rPr>
        <w:t>本项目预算总额仅为预估金额，不作为月度结算上限依据。</w:t>
      </w:r>
    </w:p>
    <w:p w14:paraId="5D3D937A">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b w:val="0"/>
          <w:bCs w:val="0"/>
          <w:spacing w:val="-3"/>
          <w:sz w:val="24"/>
          <w:szCs w:val="24"/>
          <w:lang w:val="en-US" w:eastAsia="zh-CN"/>
        </w:rPr>
      </w:pPr>
      <w:r>
        <w:rPr>
          <w:rFonts w:hint="eastAsia" w:ascii="宋体" w:hAnsi="宋体" w:eastAsia="宋体" w:cs="宋体"/>
          <w:b w:val="0"/>
          <w:bCs w:val="0"/>
          <w:spacing w:val="-3"/>
          <w:sz w:val="24"/>
          <w:szCs w:val="24"/>
          <w:lang w:val="en-US" w:eastAsia="zh-CN"/>
        </w:rPr>
        <w:t>2.市场调查价的定价依据：采购人每月不定时组织市场调查，以采购人所在区县大型商超、大型粮油店、农贸市场等任选1-3家同类货品平均价格（非活动价格）标示价为参考，实际以市场浮动作为基准。</w:t>
      </w:r>
    </w:p>
    <w:p w14:paraId="600CD5ED">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b w:val="0"/>
          <w:bCs w:val="0"/>
          <w:color w:val="000000"/>
          <w:spacing w:val="-3"/>
          <w:sz w:val="24"/>
          <w:szCs w:val="24"/>
          <w:lang w:val="en-US" w:eastAsia="zh-CN"/>
        </w:rPr>
        <w:t>3</w:t>
      </w:r>
      <w:r>
        <w:rPr>
          <w:rFonts w:hint="eastAsia" w:ascii="宋体" w:hAnsi="宋体" w:eastAsia="宋体" w:cs="宋体"/>
          <w:color w:val="000000"/>
          <w:spacing w:val="-3"/>
          <w:sz w:val="24"/>
          <w:szCs w:val="24"/>
          <w:lang w:val="en-US" w:eastAsia="zh-CN"/>
        </w:rPr>
        <w:t>.</w:t>
      </w:r>
      <w:r>
        <w:rPr>
          <w:rFonts w:hint="eastAsia" w:ascii="宋体" w:hAnsi="宋体" w:eastAsia="宋体" w:cs="宋体"/>
          <w:color w:val="000000"/>
          <w:spacing w:val="-3"/>
          <w:sz w:val="24"/>
          <w:szCs w:val="24"/>
        </w:rPr>
        <w:t>如遇货物价格上涨幅度较大，</w:t>
      </w:r>
      <w:r>
        <w:rPr>
          <w:rFonts w:hint="eastAsia" w:ascii="宋体" w:hAnsi="宋体" w:eastAsia="宋体" w:cs="宋体"/>
          <w:color w:val="000000"/>
          <w:spacing w:val="-3"/>
          <w:sz w:val="24"/>
          <w:szCs w:val="24"/>
          <w:lang w:val="en-US" w:eastAsia="zh-CN"/>
        </w:rPr>
        <w:t>乙方需要调整货物供应价格</w:t>
      </w:r>
      <w:r>
        <w:rPr>
          <w:rFonts w:hint="eastAsia" w:ascii="宋体" w:hAnsi="宋体" w:eastAsia="宋体" w:cs="宋体"/>
          <w:color w:val="000000"/>
          <w:spacing w:val="-3"/>
          <w:sz w:val="24"/>
          <w:szCs w:val="24"/>
        </w:rPr>
        <w:t>，必须向甲方提交书面申请和相关证明材料。甲方对市场进行询价后，根据询价结果对申请进行审批。如确需调整价格，调整后价格由双方签字确认。</w:t>
      </w:r>
    </w:p>
    <w:p w14:paraId="3095A853">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4.如市场价格下浮低于执行价格，乙方必须立即调整货物供应价格，如甲方询价结果明显低于供应价格，甲方有权对乙方进行处罚，同时按照市场下浮价格进行结算，并有权选择解除合同，要求乙方承担</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lang w:val="en-US" w:eastAsia="zh-CN"/>
        </w:rPr>
        <w:t>元（大写：       ）的违约金，赔偿甲方损失。</w:t>
      </w:r>
    </w:p>
    <w:p w14:paraId="2389A80D">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5.</w:t>
      </w:r>
      <w:r>
        <w:rPr>
          <w:rFonts w:hint="eastAsia" w:ascii="宋体" w:hAnsi="宋体" w:eastAsia="宋体" w:cs="宋体"/>
          <w:spacing w:val="-3"/>
          <w:sz w:val="24"/>
          <w:szCs w:val="24"/>
        </w:rPr>
        <w:t>如遇国家政策变化发生价格调整，按相关规定执行。</w:t>
      </w:r>
    </w:p>
    <w:p w14:paraId="34C98E13">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spacing w:val="-3"/>
          <w:sz w:val="24"/>
          <w:szCs w:val="24"/>
          <w:lang w:val="en-US" w:eastAsia="zh-CN"/>
        </w:rPr>
        <w:t>6.</w:t>
      </w:r>
      <w:r>
        <w:rPr>
          <w:rFonts w:hint="eastAsia" w:ascii="宋体" w:hAnsi="宋体" w:eastAsia="宋体" w:cs="宋体"/>
          <w:spacing w:val="-3"/>
          <w:sz w:val="24"/>
          <w:szCs w:val="24"/>
        </w:rPr>
        <w:t>确定的综合执行单价，包括货物价格、将货物运送至甲方指定地点所发生的运</w:t>
      </w:r>
      <w:r>
        <w:rPr>
          <w:rFonts w:hint="eastAsia" w:ascii="宋体" w:hAnsi="宋体" w:eastAsia="宋体" w:cs="宋体"/>
          <w:color w:val="000000"/>
          <w:spacing w:val="-3"/>
          <w:sz w:val="24"/>
          <w:szCs w:val="24"/>
        </w:rPr>
        <w:t>费、装卸费、货物调换费及所需缴纳的相关税费等费用。</w:t>
      </w:r>
    </w:p>
    <w:p w14:paraId="045964E5">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b/>
          <w:bCs/>
          <w:color w:val="000000"/>
          <w:spacing w:val="-3"/>
          <w:sz w:val="24"/>
          <w:szCs w:val="24"/>
        </w:rPr>
        <w:t>五、款项支付</w:t>
      </w:r>
    </w:p>
    <w:p w14:paraId="43136FCC">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lang w:val="en-US" w:eastAsia="zh-CN"/>
        </w:rPr>
        <w:t>1.</w:t>
      </w:r>
      <w:r>
        <w:rPr>
          <w:rFonts w:hint="eastAsia" w:ascii="宋体" w:hAnsi="宋体" w:eastAsia="宋体" w:cs="宋体"/>
          <w:color w:val="000000"/>
          <w:spacing w:val="-3"/>
          <w:sz w:val="24"/>
          <w:szCs w:val="24"/>
        </w:rPr>
        <w:t>实行月结方式进行结算，经甲方验收，每批所供物资质量均达到相关质量标准，且认真履行服务承诺，乙方根据甲方确定的实</w:t>
      </w:r>
      <w:r>
        <w:rPr>
          <w:rFonts w:hint="eastAsia" w:ascii="宋体" w:hAnsi="宋体" w:eastAsia="宋体" w:cs="宋体"/>
          <w:color w:val="000000"/>
          <w:spacing w:val="-3"/>
          <w:sz w:val="24"/>
          <w:szCs w:val="24"/>
          <w:highlight w:val="none"/>
        </w:rPr>
        <w:t>际结算费用开具</w:t>
      </w:r>
      <w:r>
        <w:rPr>
          <w:rFonts w:hint="eastAsia" w:ascii="宋体" w:hAnsi="宋体" w:eastAsia="宋体" w:cs="宋体"/>
          <w:color w:val="000000"/>
          <w:spacing w:val="-3"/>
          <w:sz w:val="24"/>
          <w:szCs w:val="24"/>
          <w:highlight w:val="none"/>
          <w:lang w:val="en-US" w:eastAsia="zh-CN"/>
        </w:rPr>
        <w:t xml:space="preserve">合法有效的等额发票 </w:t>
      </w:r>
      <w:r>
        <w:rPr>
          <w:rFonts w:hint="eastAsia" w:ascii="宋体" w:hAnsi="宋体" w:eastAsia="宋体" w:cs="宋体"/>
          <w:color w:val="000000"/>
          <w:spacing w:val="-3"/>
          <w:sz w:val="24"/>
          <w:szCs w:val="24"/>
          <w:highlight w:val="none"/>
        </w:rPr>
        <w:t>，甲方在次月内</w:t>
      </w:r>
      <w:r>
        <w:rPr>
          <w:rFonts w:hint="eastAsia" w:ascii="宋体" w:hAnsi="宋体" w:eastAsia="宋体" w:cs="宋体"/>
          <w:color w:val="000000"/>
          <w:spacing w:val="-3"/>
          <w:sz w:val="24"/>
          <w:szCs w:val="24"/>
          <w:highlight w:val="none"/>
          <w:lang w:val="en-US" w:eastAsia="zh-CN"/>
        </w:rPr>
        <w:t>通过银行转账方式支付货款至乙方指定账户</w:t>
      </w:r>
      <w:r>
        <w:rPr>
          <w:rFonts w:hint="eastAsia" w:ascii="宋体" w:hAnsi="宋体" w:eastAsia="宋体" w:cs="宋体"/>
          <w:color w:val="000000"/>
          <w:spacing w:val="-3"/>
          <w:sz w:val="24"/>
          <w:szCs w:val="24"/>
          <w:highlight w:val="none"/>
        </w:rPr>
        <w:t>。</w:t>
      </w:r>
      <w:r>
        <w:rPr>
          <w:rFonts w:hint="eastAsia" w:ascii="宋体" w:hAnsi="宋体" w:eastAsia="宋体" w:cs="宋体"/>
          <w:color w:val="000000"/>
          <w:spacing w:val="-3"/>
          <w:sz w:val="24"/>
          <w:szCs w:val="24"/>
          <w:highlight w:val="none"/>
          <w:lang w:val="en-US" w:eastAsia="zh-CN"/>
        </w:rPr>
        <w:t>若因乙方未及时提供符合要求的发票和文件，导致甲方付款迟延的，甲方不承担逾期付款的违约责任。</w:t>
      </w:r>
      <w:r>
        <w:rPr>
          <w:rFonts w:hint="eastAsia" w:ascii="宋体" w:hAnsi="宋体" w:eastAsia="宋体" w:cs="宋体"/>
          <w:color w:val="000000"/>
          <w:spacing w:val="-3"/>
          <w:sz w:val="24"/>
          <w:szCs w:val="24"/>
          <w:highlight w:val="none"/>
        </w:rPr>
        <w:t>若乙方在此期间存在违约行为，甲方在扣除相应违约金后支付当月剩余费用。</w:t>
      </w:r>
    </w:p>
    <w:p w14:paraId="2FE4959E">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highlight w:val="none"/>
          <w:lang w:val="en-US" w:eastAsia="zh-CN"/>
        </w:rPr>
        <w:t>2.</w:t>
      </w:r>
      <w:r>
        <w:rPr>
          <w:rFonts w:hint="eastAsia" w:ascii="宋体" w:hAnsi="宋体" w:eastAsia="宋体" w:cs="宋体"/>
          <w:color w:val="000000"/>
          <w:spacing w:val="-3"/>
          <w:sz w:val="24"/>
          <w:szCs w:val="24"/>
          <w:highlight w:val="none"/>
        </w:rPr>
        <w:t>乙方账户信息：</w:t>
      </w:r>
    </w:p>
    <w:p w14:paraId="60AC8693">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highlight w:val="none"/>
        </w:rPr>
        <w:t>开户名：</w:t>
      </w:r>
      <w:r>
        <w:rPr>
          <w:rFonts w:hint="eastAsia" w:ascii="宋体" w:hAnsi="宋体" w:eastAsia="宋体" w:cs="宋体"/>
          <w:color w:val="000000"/>
          <w:spacing w:val="-3"/>
          <w:sz w:val="24"/>
          <w:szCs w:val="24"/>
          <w:highlight w:val="none"/>
          <w:u w:val="single"/>
          <w:lang w:val="en-US" w:eastAsia="zh-CN"/>
        </w:rPr>
        <w:t xml:space="preserve">                                       </w:t>
      </w:r>
      <w:r>
        <w:rPr>
          <w:rFonts w:hint="eastAsia" w:ascii="宋体" w:hAnsi="宋体" w:eastAsia="宋体" w:cs="宋体"/>
          <w:color w:val="000000"/>
          <w:spacing w:val="-3"/>
          <w:sz w:val="24"/>
          <w:szCs w:val="24"/>
          <w:highlight w:val="none"/>
        </w:rPr>
        <w:t xml:space="preserve"> </w:t>
      </w:r>
    </w:p>
    <w:p w14:paraId="568EE9D0">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highlight w:val="none"/>
        </w:rPr>
        <w:t xml:space="preserve">开户行： </w:t>
      </w:r>
      <w:r>
        <w:rPr>
          <w:rFonts w:hint="eastAsia" w:ascii="宋体" w:hAnsi="宋体" w:eastAsia="宋体" w:cs="宋体"/>
          <w:color w:val="000000"/>
          <w:spacing w:val="-3"/>
          <w:sz w:val="24"/>
          <w:szCs w:val="24"/>
          <w:highlight w:val="none"/>
          <w:u w:val="single"/>
          <w:lang w:val="en-US" w:eastAsia="zh-CN"/>
        </w:rPr>
        <w:t xml:space="preserve">                                       </w:t>
      </w:r>
    </w:p>
    <w:p w14:paraId="03E7F352">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highlight w:val="none"/>
        </w:rPr>
        <w:t xml:space="preserve">账号： </w:t>
      </w:r>
      <w:r>
        <w:rPr>
          <w:rFonts w:hint="eastAsia" w:ascii="宋体" w:hAnsi="宋体" w:eastAsia="宋体" w:cs="宋体"/>
          <w:color w:val="000000"/>
          <w:spacing w:val="-3"/>
          <w:sz w:val="24"/>
          <w:szCs w:val="24"/>
          <w:highlight w:val="none"/>
          <w:u w:val="single"/>
          <w:lang w:val="en-US" w:eastAsia="zh-CN"/>
        </w:rPr>
        <w:t xml:space="preserve">                                       </w:t>
      </w:r>
    </w:p>
    <w:p w14:paraId="728E8443">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highlight w:val="none"/>
        </w:rPr>
        <w:t>如乙方的上述账户资料发生变更，须提前书面通知甲方，否则由此造成的一切后果由乙方自行承担。</w:t>
      </w:r>
    </w:p>
    <w:p w14:paraId="2F35E995">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color w:val="FF0000"/>
          <w:spacing w:val="-3"/>
          <w:sz w:val="24"/>
          <w:szCs w:val="24"/>
          <w:lang w:eastAsia="zh-CN"/>
        </w:rPr>
      </w:pPr>
      <w:r>
        <w:rPr>
          <w:rFonts w:hint="eastAsia" w:ascii="宋体" w:hAnsi="宋体" w:eastAsia="宋体" w:cs="宋体"/>
          <w:b/>
          <w:bCs/>
          <w:color w:val="000000"/>
          <w:spacing w:val="-3"/>
          <w:sz w:val="24"/>
          <w:szCs w:val="24"/>
        </w:rPr>
        <w:t>六、验收</w:t>
      </w:r>
    </w:p>
    <w:p w14:paraId="7612B776">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1．初验：甲方对所供货物进行初验，初验包括但不限于对所供货物的品牌、数量、包装、生产日期、质量检测合格报告、许可证等证明文件进行验收，并做相应记录。经验收，所供货物品牌、规格、数量、生产厂家等与当批次所供货物清单一致</w:t>
      </w:r>
      <w:r>
        <w:rPr>
          <w:rFonts w:hint="eastAsia" w:ascii="宋体" w:hAnsi="宋体" w:eastAsia="宋体" w:cs="宋体"/>
          <w:color w:val="000000"/>
          <w:spacing w:val="-3"/>
          <w:sz w:val="24"/>
          <w:szCs w:val="24"/>
          <w:lang w:eastAsia="zh-CN"/>
        </w:rPr>
        <w:t>，</w:t>
      </w:r>
      <w:r>
        <w:rPr>
          <w:rFonts w:hint="eastAsia" w:ascii="宋体" w:hAnsi="宋体" w:eastAsia="宋体" w:cs="宋体"/>
          <w:color w:val="000000"/>
          <w:spacing w:val="-3"/>
          <w:sz w:val="24"/>
          <w:szCs w:val="24"/>
        </w:rPr>
        <w:t>证明材料齐全的，即为初验合格。</w:t>
      </w:r>
    </w:p>
    <w:p w14:paraId="7701B81B">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2．技术验收：对所供货物初验合格后，对所供货物通过称量、观色、闻味、品尝等方式进行验收，根据国家相关标准进行验收，并对所供货物各项指标均达到国家质量标准并做相应记录。若全部符合响应文件中的技术指标要求，即为验收合格。</w:t>
      </w:r>
    </w:p>
    <w:p w14:paraId="13FB473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3．抽检：甲方随机抽取所供货物，进行质检，若货物质检报告和乙方提供的货物质检报告一致，即为验收合格。</w:t>
      </w:r>
    </w:p>
    <w:p w14:paraId="4580F596">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4.验收结果：若验收结果完全符合乙方响应文件中技术指标或相关执行标准，经验收组成员签字后，验收结束，并将验收结果通知乙方。否则，以书面形式通知乙方在规定时间内进行整改。</w:t>
      </w:r>
    </w:p>
    <w:p w14:paraId="442E44F1">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default"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5.甲方验收合格的结果仅表明货物在外观、数量、型号、规格上完好无缺失的证明及乙方履行其交货义务的必要证据，验收合格报告的签署不使甲方丧失因质量问题而向乙方索赔或求偿的权利，同时不免除乙方对于货物质量缺陷或瑕疵负有的责任。</w:t>
      </w:r>
    </w:p>
    <w:p w14:paraId="53A761B7">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b/>
          <w:bCs/>
          <w:color w:val="000000"/>
          <w:spacing w:val="-3"/>
          <w:sz w:val="24"/>
          <w:szCs w:val="24"/>
        </w:rPr>
        <w:t>七、甲方的责任与义务</w:t>
      </w:r>
    </w:p>
    <w:p w14:paraId="403B25A4">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1. 甲方根据实际需求，将供货计划提前至少1天通知乙方，供货计划包括货物品种、数量、配送地点、送达时间等信息。</w:t>
      </w:r>
    </w:p>
    <w:p w14:paraId="002C96E3">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2．负责对所送达的货物进行称量，根据采购需求、乙方响应文件承诺和国家相关质量标准进行验收，按类摆放入库，并按照相关储存要求进行储存。</w:t>
      </w:r>
    </w:p>
    <w:p w14:paraId="434B7731">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3．负责对各类货物现行价格进行市场询价、并核定综合单价。</w:t>
      </w:r>
    </w:p>
    <w:p w14:paraId="2D6B14D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4．负责对每批查验货物的相关验收证明文件存档。</w:t>
      </w:r>
    </w:p>
    <w:p w14:paraId="2F2244AC">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5．甲方对乙方所供货物保质期不符合乙方响应文件承诺的或质量不符合乙方响应文件或相关承诺中技术指标的货物有权拒收，并要求乙方在指定的时间内重新提供合格货物，由此造成的损失由乙方承担。</w:t>
      </w:r>
    </w:p>
    <w:p w14:paraId="2107A94D">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6．负责按合同约定的方式支付货款。</w:t>
      </w:r>
    </w:p>
    <w:p w14:paraId="192CB52D">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7．负责对所供货物进行分发。</w:t>
      </w:r>
    </w:p>
    <w:p w14:paraId="47E0E39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8．因乙方供应货物的质量问题或乙方工作中的其它问题，而导致甲方出现食品安全的任何问题或者造成甲方工作人员受到职能部门处罚、被负面报道、引发群体性事件的，</w:t>
      </w:r>
      <w:r>
        <w:rPr>
          <w:rFonts w:hint="eastAsia" w:ascii="宋体" w:hAnsi="宋体" w:eastAsia="宋体" w:cs="宋体"/>
          <w:color w:val="000000"/>
          <w:spacing w:val="-3"/>
          <w:sz w:val="24"/>
          <w:szCs w:val="24"/>
          <w:lang w:val="en-US" w:eastAsia="zh-CN"/>
        </w:rPr>
        <w:t>甲方有权立即解除合同，要求乙方承担</w:t>
      </w:r>
      <w:r>
        <w:rPr>
          <w:rFonts w:hint="eastAsia" w:ascii="宋体" w:hAnsi="宋体" w:eastAsia="宋体" w:cs="宋体"/>
          <w:color w:val="000000"/>
          <w:spacing w:val="-3"/>
          <w:sz w:val="24"/>
          <w:szCs w:val="24"/>
          <w:u w:val="single"/>
          <w:lang w:val="en-US" w:eastAsia="zh-CN"/>
        </w:rPr>
        <w:t xml:space="preserve">      </w:t>
      </w:r>
      <w:r>
        <w:rPr>
          <w:rFonts w:hint="eastAsia" w:ascii="宋体" w:hAnsi="宋体" w:eastAsia="宋体" w:cs="宋体"/>
          <w:color w:val="000000"/>
          <w:spacing w:val="-3"/>
          <w:sz w:val="24"/>
          <w:szCs w:val="24"/>
          <w:lang w:val="en-US" w:eastAsia="zh-CN"/>
        </w:rPr>
        <w:t>元（大写：）的违约金，同时赔偿甲方、甲方人员、受害人因此遭受的全部损失（包括但不限于直接经济损失、可得利益损失、律师费、诉讼费、鉴定费等合理费用）。</w:t>
      </w:r>
    </w:p>
    <w:p w14:paraId="11A9D1E9">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9.对综合执行单价负有解释权和执行权。</w:t>
      </w:r>
    </w:p>
    <w:p w14:paraId="4A51557C">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b/>
          <w:bCs/>
          <w:color w:val="000000"/>
          <w:spacing w:val="-3"/>
          <w:sz w:val="24"/>
          <w:szCs w:val="24"/>
        </w:rPr>
        <w:t>八、乙方的权利与义务</w:t>
      </w:r>
    </w:p>
    <w:p w14:paraId="5073355D">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lang w:eastAsia="zh-CN"/>
        </w:rPr>
      </w:pPr>
      <w:r>
        <w:rPr>
          <w:rFonts w:hint="eastAsia" w:ascii="宋体" w:hAnsi="宋体" w:eastAsia="宋体" w:cs="宋体"/>
          <w:color w:val="000000"/>
          <w:spacing w:val="-3"/>
          <w:sz w:val="24"/>
          <w:szCs w:val="24"/>
        </w:rPr>
        <w:t>1．乙方在接到甲方通知后应及时组织货源，并在指定时间内按甲方要求免费送到指定位置</w:t>
      </w:r>
      <w:r>
        <w:rPr>
          <w:rFonts w:hint="eastAsia" w:ascii="宋体" w:hAnsi="宋体" w:eastAsia="宋体" w:cs="宋体"/>
          <w:color w:val="000000"/>
          <w:spacing w:val="-3"/>
          <w:sz w:val="24"/>
          <w:szCs w:val="24"/>
          <w:lang w:eastAsia="zh-CN"/>
        </w:rPr>
        <w:t>。</w:t>
      </w:r>
    </w:p>
    <w:p w14:paraId="4A9D7A4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2．乙方保证所供货物完全符合《中华人民共和国动物防疫法》、国家食品安全卫生标准和相关质量标准，并按要求提供每批次货物质量检验合格证明文件。</w:t>
      </w:r>
    </w:p>
    <w:p w14:paraId="675E8872">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3. 保证所供货物新鲜、不腐烂、不变质。</w:t>
      </w:r>
    </w:p>
    <w:p w14:paraId="56C5A6D8">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4. 乙方保证使用国家规定的保障运输货物安全的运输工具，包装符合国家食品包装要求，保证运输过程中货物之间不发生交叉污染、不变质。在运送过程中所发生的一切责任事故，均由乙方承担。</w:t>
      </w:r>
    </w:p>
    <w:p w14:paraId="6A087AC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5．乙方保证所供食品原材料保质期不低于原保质期的</w:t>
      </w:r>
      <w:r>
        <w:rPr>
          <w:rFonts w:hint="eastAsia" w:ascii="宋体" w:hAnsi="宋体" w:eastAsia="宋体" w:cs="宋体"/>
          <w:color w:val="000000"/>
          <w:spacing w:val="-3"/>
          <w:sz w:val="24"/>
          <w:szCs w:val="24"/>
          <w:u w:val="single"/>
        </w:rPr>
        <w:t xml:space="preserve">         </w:t>
      </w:r>
      <w:r>
        <w:rPr>
          <w:rFonts w:hint="eastAsia" w:ascii="宋体" w:hAnsi="宋体" w:eastAsia="宋体" w:cs="宋体"/>
          <w:color w:val="000000"/>
          <w:spacing w:val="-3"/>
          <w:sz w:val="24"/>
          <w:szCs w:val="24"/>
        </w:rPr>
        <w:t>。</w:t>
      </w:r>
    </w:p>
    <w:p w14:paraId="23210074">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 xml:space="preserve">6. </w:t>
      </w:r>
      <w:r>
        <w:rPr>
          <w:rFonts w:hint="eastAsia" w:ascii="宋体" w:hAnsi="宋体" w:eastAsia="宋体" w:cs="宋体"/>
          <w:color w:val="000000"/>
          <w:spacing w:val="-3"/>
          <w:sz w:val="24"/>
          <w:szCs w:val="24"/>
          <w:lang w:val="en-US" w:eastAsia="zh-CN"/>
        </w:rPr>
        <w:t>乙方如遇货源紧张或无法提供甲方所需货物时，应在供货期</w:t>
      </w:r>
      <w:r>
        <w:rPr>
          <w:rFonts w:hint="eastAsia" w:ascii="宋体" w:hAnsi="宋体" w:eastAsia="宋体" w:cs="宋体"/>
          <w:color w:val="000000"/>
          <w:spacing w:val="-3"/>
          <w:sz w:val="24"/>
          <w:szCs w:val="24"/>
          <w:u w:val="single"/>
          <w:lang w:val="en-US" w:eastAsia="zh-CN"/>
        </w:rPr>
        <w:t xml:space="preserve">     </w:t>
      </w:r>
      <w:r>
        <w:rPr>
          <w:rFonts w:hint="eastAsia" w:ascii="宋体" w:hAnsi="宋体" w:eastAsia="宋体" w:cs="宋体"/>
          <w:color w:val="000000"/>
          <w:spacing w:val="-3"/>
          <w:sz w:val="24"/>
          <w:szCs w:val="24"/>
          <w:lang w:val="en-US" w:eastAsia="zh-CN"/>
        </w:rPr>
        <w:t>小时前通知甲方</w:t>
      </w:r>
      <w:r>
        <w:rPr>
          <w:rFonts w:hint="eastAsia" w:ascii="宋体" w:hAnsi="宋体" w:eastAsia="宋体" w:cs="宋体"/>
          <w:color w:val="000000"/>
          <w:spacing w:val="-3"/>
          <w:sz w:val="24"/>
          <w:szCs w:val="24"/>
        </w:rPr>
        <w:t>，以便甲方提前备货，避免因不能供货造成的损失。</w:t>
      </w:r>
    </w:p>
    <w:p w14:paraId="07E49A66">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7．乙方按甲方要求，除对现行价格按期进行申报外，有权对综合执行单价提出异议。</w:t>
      </w:r>
    </w:p>
    <w:p w14:paraId="1CE10A9C">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8．因乙方供应货物的质量问题或乙方工作中的其它问题，而导致甲方出现食品安全的任何问题，或者造成甲方工作人员受到职能部门处罚、被负面报道、引发群体性事件的，乙方承担由此造成的一切经济损失与法律责任。</w:t>
      </w:r>
    </w:p>
    <w:p w14:paraId="4260F031">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9．所供货物存在不符合响应文件技术指标要求或不能按合同规定时间供货或出现</w:t>
      </w:r>
      <w:r>
        <w:rPr>
          <w:rFonts w:hint="eastAsia" w:ascii="宋体" w:hAnsi="宋体" w:eastAsia="宋体" w:cs="宋体"/>
          <w:color w:val="000000"/>
          <w:spacing w:val="-3"/>
          <w:sz w:val="24"/>
          <w:szCs w:val="24"/>
          <w:lang w:eastAsia="zh-CN"/>
        </w:rPr>
        <w:t>“三无”产品</w:t>
      </w:r>
      <w:r>
        <w:rPr>
          <w:rFonts w:hint="eastAsia" w:ascii="宋体" w:hAnsi="宋体" w:eastAsia="宋体" w:cs="宋体"/>
          <w:color w:val="000000"/>
          <w:spacing w:val="-3"/>
          <w:sz w:val="24"/>
          <w:szCs w:val="24"/>
        </w:rPr>
        <w:t>等任何问题，</w:t>
      </w:r>
      <w:r>
        <w:rPr>
          <w:rFonts w:hint="eastAsia" w:ascii="宋体" w:hAnsi="宋体" w:eastAsia="宋体" w:cs="宋体"/>
          <w:color w:val="000000"/>
          <w:spacing w:val="-3"/>
          <w:sz w:val="24"/>
          <w:szCs w:val="24"/>
          <w:lang w:val="en-US" w:eastAsia="zh-CN"/>
        </w:rPr>
        <w:t>按本合同相关约定承担相应的违约责任</w:t>
      </w:r>
      <w:r>
        <w:rPr>
          <w:rFonts w:hint="eastAsia" w:ascii="宋体" w:hAnsi="宋体" w:eastAsia="宋体" w:cs="宋体"/>
          <w:color w:val="000000"/>
          <w:spacing w:val="-3"/>
          <w:sz w:val="24"/>
          <w:szCs w:val="24"/>
        </w:rPr>
        <w:t>。</w:t>
      </w:r>
    </w:p>
    <w:p w14:paraId="461888F6">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10．配合甲方完成所供货物的验收。</w:t>
      </w:r>
    </w:p>
    <w:p w14:paraId="1F90AA82">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lang w:val="en-US" w:eastAsia="zh-CN"/>
        </w:rPr>
        <w:t>11</w:t>
      </w:r>
      <w:r>
        <w:rPr>
          <w:rFonts w:hint="eastAsia" w:ascii="宋体" w:hAnsi="宋体" w:eastAsia="宋体" w:cs="宋体"/>
          <w:color w:val="000000"/>
          <w:spacing w:val="-3"/>
          <w:sz w:val="24"/>
          <w:szCs w:val="24"/>
        </w:rPr>
        <w:t>．</w:t>
      </w:r>
      <w:r>
        <w:rPr>
          <w:rFonts w:hint="eastAsia" w:ascii="宋体" w:hAnsi="宋体" w:eastAsia="宋体" w:cs="宋体"/>
          <w:color w:val="000000"/>
          <w:spacing w:val="-3"/>
          <w:sz w:val="24"/>
          <w:szCs w:val="24"/>
          <w:lang w:val="en-US" w:eastAsia="zh-CN"/>
        </w:rPr>
        <w:t>乙方人员（包括受乙方委托提供送货、安装、调试等服务的人员）应提供安全、专业的服务，如在送货、安装、调试过程中造成乙方及乙方服务人员自身、甲方及甲方人员或者任何第三方的人身或财产损害，应由乙方自行承担责任。乙方及乙方人员不得以甲方人员的指示作为减轻或不承担责任的理由；如甲方人员的指示存在安全风险，则乙方及乙方人员应拒绝执行并说明理由。</w:t>
      </w:r>
    </w:p>
    <w:p w14:paraId="2C009BD8">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b/>
          <w:bCs/>
          <w:color w:val="000000"/>
          <w:spacing w:val="-3"/>
          <w:sz w:val="24"/>
          <w:szCs w:val="24"/>
        </w:rPr>
        <w:t>九、甲方违约责任</w:t>
      </w:r>
    </w:p>
    <w:p w14:paraId="0DB6C5F1">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1. 甲方无正当理由拒收合同内货物的，甲方向乙方偿付当次货物金额5%的违约金。</w:t>
      </w:r>
    </w:p>
    <w:p w14:paraId="447C2F95">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2. 因甲方变更到货地点，未及时通知乙方，给乙方造成经济损失的，所增加费用由甲方承担。</w:t>
      </w:r>
    </w:p>
    <w:p w14:paraId="2FE44748">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lang w:eastAsia="zh-CN"/>
        </w:rPr>
      </w:pPr>
      <w:r>
        <w:rPr>
          <w:rFonts w:hint="eastAsia" w:ascii="宋体" w:hAnsi="宋体" w:eastAsia="宋体" w:cs="宋体"/>
          <w:color w:val="000000"/>
          <w:spacing w:val="-3"/>
          <w:sz w:val="24"/>
          <w:szCs w:val="24"/>
        </w:rPr>
        <w:t>3．</w:t>
      </w:r>
      <w:r>
        <w:rPr>
          <w:rFonts w:hint="eastAsia" w:ascii="宋体" w:hAnsi="宋体" w:eastAsia="宋体" w:cs="宋体"/>
          <w:color w:val="000000"/>
          <w:spacing w:val="-3"/>
          <w:sz w:val="24"/>
          <w:szCs w:val="24"/>
          <w:lang w:val="en-US" w:eastAsia="zh-CN"/>
        </w:rPr>
        <w:t>甲方未按合同约定的期限支付乙方货款，应以未付款项为基数，按照全国银行同业拆借中心公布的贷款市场报价利率向乙方支付违约金</w:t>
      </w:r>
      <w:r>
        <w:rPr>
          <w:rFonts w:hint="eastAsia" w:ascii="宋体" w:hAnsi="宋体" w:eastAsia="宋体" w:cs="宋体"/>
          <w:color w:val="000000"/>
          <w:spacing w:val="-3"/>
          <w:sz w:val="24"/>
          <w:szCs w:val="24"/>
        </w:rPr>
        <w:t>。因财政拨付程序或甲方结算内部程序导致的延期付款除外</w:t>
      </w:r>
      <w:r>
        <w:rPr>
          <w:rFonts w:hint="eastAsia" w:ascii="宋体" w:hAnsi="宋体" w:eastAsia="宋体" w:cs="宋体"/>
          <w:color w:val="000000"/>
          <w:spacing w:val="-3"/>
          <w:sz w:val="24"/>
          <w:szCs w:val="24"/>
          <w:lang w:eastAsia="zh-CN"/>
        </w:rPr>
        <w:t>。</w:t>
      </w:r>
    </w:p>
    <w:p w14:paraId="7D4B6DA8">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b/>
          <w:bCs/>
          <w:color w:val="000000"/>
          <w:spacing w:val="-3"/>
          <w:sz w:val="24"/>
          <w:szCs w:val="24"/>
        </w:rPr>
        <w:t>十、乙方违约责任</w:t>
      </w:r>
    </w:p>
    <w:p w14:paraId="072D5A93">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 xml:space="preserve">1. </w:t>
      </w:r>
      <w:r>
        <w:rPr>
          <w:rFonts w:hint="eastAsia" w:ascii="宋体" w:hAnsi="宋体" w:eastAsia="宋体" w:cs="宋体"/>
          <w:color w:val="000000"/>
          <w:spacing w:val="-3"/>
          <w:sz w:val="24"/>
          <w:szCs w:val="24"/>
          <w:lang w:val="en-US" w:eastAsia="zh-CN"/>
        </w:rPr>
        <w:t>乙方无正当理由解除、终止或者明确表示、以自己的行为表示拒不履行本合同的</w:t>
      </w:r>
      <w:r>
        <w:rPr>
          <w:rFonts w:hint="eastAsia" w:ascii="宋体" w:hAnsi="宋体" w:eastAsia="宋体" w:cs="宋体"/>
          <w:color w:val="000000"/>
          <w:spacing w:val="-3"/>
          <w:sz w:val="24"/>
          <w:szCs w:val="24"/>
        </w:rPr>
        <w:t>，乙方承担未履行订单金额5%的违约金，同时赔偿因此给甲方造成的所有经济损失。</w:t>
      </w:r>
    </w:p>
    <w:p w14:paraId="00EC955B">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color w:val="000000"/>
          <w:spacing w:val="-3"/>
          <w:sz w:val="24"/>
          <w:szCs w:val="24"/>
        </w:rPr>
        <w:t>2. 乙方所提供货物与甲方要求、响应文件或国家相关质量标准不符时，甲方有权拒收，乙方承担相关检测费用。</w:t>
      </w:r>
      <w:r>
        <w:rPr>
          <w:rFonts w:hint="eastAsia" w:ascii="宋体" w:hAnsi="宋体" w:eastAsia="宋体" w:cs="宋体"/>
          <w:b/>
          <w:bCs/>
          <w:color w:val="000000"/>
          <w:spacing w:val="-3"/>
          <w:sz w:val="24"/>
          <w:szCs w:val="24"/>
        </w:rPr>
        <w:t>拒收后，乙方在规定时间内，交付合格物质，未能在甲方规定的期限内交付合格货物，每逾 1 日，</w:t>
      </w:r>
      <w:r>
        <w:rPr>
          <w:rFonts w:hint="eastAsia" w:ascii="宋体" w:hAnsi="宋体" w:eastAsia="宋体" w:cs="宋体"/>
          <w:b/>
          <w:bCs/>
          <w:color w:val="000000"/>
          <w:spacing w:val="-3"/>
          <w:sz w:val="24"/>
          <w:szCs w:val="24"/>
          <w:highlight w:val="none"/>
        </w:rPr>
        <w:t>乙方承担该计划订单金额</w:t>
      </w:r>
      <w:r>
        <w:rPr>
          <w:rFonts w:hint="eastAsia" w:ascii="宋体" w:hAnsi="宋体" w:eastAsia="宋体" w:cs="宋体"/>
          <w:b/>
          <w:bCs/>
          <w:color w:val="000000"/>
          <w:spacing w:val="-3"/>
          <w:sz w:val="24"/>
          <w:szCs w:val="24"/>
          <w:highlight w:val="none"/>
          <w:u w:val="single"/>
          <w:lang w:val="en-US" w:eastAsia="zh-CN"/>
        </w:rPr>
        <w:t xml:space="preserve">         </w:t>
      </w:r>
      <w:r>
        <w:rPr>
          <w:rFonts w:hint="eastAsia" w:ascii="宋体" w:hAnsi="宋体" w:eastAsia="宋体" w:cs="宋体"/>
          <w:b/>
          <w:bCs/>
          <w:color w:val="000000"/>
          <w:spacing w:val="-3"/>
          <w:sz w:val="24"/>
          <w:szCs w:val="24"/>
          <w:highlight w:val="none"/>
        </w:rPr>
        <w:t>的违约金，逾期超过 10 次，甲方扣除乙方该计划订单金额</w:t>
      </w:r>
      <w:r>
        <w:rPr>
          <w:rFonts w:hint="eastAsia" w:ascii="宋体" w:hAnsi="宋体" w:eastAsia="宋体" w:cs="宋体"/>
          <w:b/>
          <w:bCs/>
          <w:color w:val="000000"/>
          <w:spacing w:val="-3"/>
          <w:sz w:val="24"/>
          <w:szCs w:val="24"/>
          <w:highlight w:val="none"/>
          <w:u w:val="single"/>
          <w:lang w:val="en-US" w:eastAsia="zh-CN"/>
        </w:rPr>
        <w:t xml:space="preserve">         </w:t>
      </w:r>
      <w:r>
        <w:rPr>
          <w:rFonts w:hint="eastAsia" w:ascii="宋体" w:hAnsi="宋体" w:eastAsia="宋体" w:cs="宋体"/>
          <w:b/>
          <w:bCs/>
          <w:color w:val="000000"/>
          <w:spacing w:val="-3"/>
          <w:sz w:val="24"/>
          <w:szCs w:val="24"/>
          <w:highlight w:val="none"/>
        </w:rPr>
        <w:t>的</w:t>
      </w:r>
      <w:r>
        <w:rPr>
          <w:rFonts w:hint="eastAsia" w:ascii="宋体" w:hAnsi="宋体" w:eastAsia="宋体" w:cs="宋体"/>
          <w:b/>
          <w:bCs/>
          <w:color w:val="000000"/>
          <w:spacing w:val="-3"/>
          <w:sz w:val="24"/>
          <w:szCs w:val="24"/>
          <w:highlight w:val="none"/>
          <w:lang w:val="en-US" w:eastAsia="zh-CN"/>
        </w:rPr>
        <w:t>货款</w:t>
      </w:r>
      <w:r>
        <w:rPr>
          <w:rFonts w:hint="eastAsia" w:ascii="宋体" w:hAnsi="宋体" w:eastAsia="宋体" w:cs="宋体"/>
          <w:b/>
          <w:bCs/>
          <w:color w:val="000000"/>
          <w:spacing w:val="-3"/>
          <w:sz w:val="24"/>
          <w:szCs w:val="24"/>
          <w:highlight w:val="none"/>
        </w:rPr>
        <w:t>，并有权解除合同。</w:t>
      </w:r>
      <w:r>
        <w:rPr>
          <w:rFonts w:hint="eastAsia" w:ascii="宋体" w:hAnsi="宋体" w:eastAsia="宋体" w:cs="宋体"/>
          <w:b/>
          <w:bCs/>
          <w:color w:val="000000"/>
          <w:spacing w:val="-3"/>
          <w:sz w:val="24"/>
          <w:szCs w:val="24"/>
          <w:highlight w:val="none"/>
          <w:lang w:val="en-US" w:eastAsia="zh-CN"/>
        </w:rPr>
        <w:t>对解除合同的，乙方须承担</w:t>
      </w:r>
      <w:r>
        <w:rPr>
          <w:rFonts w:hint="eastAsia" w:ascii="宋体" w:hAnsi="宋体" w:eastAsia="宋体" w:cs="宋体"/>
          <w:b/>
          <w:bCs/>
          <w:color w:val="000000"/>
          <w:spacing w:val="-3"/>
          <w:sz w:val="24"/>
          <w:szCs w:val="24"/>
          <w:highlight w:val="none"/>
          <w:u w:val="single"/>
          <w:lang w:val="en-US" w:eastAsia="zh-CN"/>
        </w:rPr>
        <w:t xml:space="preserve">           </w:t>
      </w:r>
      <w:r>
        <w:rPr>
          <w:rFonts w:hint="eastAsia" w:ascii="宋体" w:hAnsi="宋体" w:eastAsia="宋体" w:cs="宋体"/>
          <w:b/>
          <w:bCs/>
          <w:color w:val="000000"/>
          <w:spacing w:val="-3"/>
          <w:sz w:val="24"/>
          <w:szCs w:val="24"/>
          <w:highlight w:val="none"/>
          <w:lang w:val="en-US" w:eastAsia="zh-CN"/>
        </w:rPr>
        <w:t>元</w:t>
      </w:r>
      <w:r>
        <w:rPr>
          <w:rFonts w:hint="eastAsia" w:ascii="宋体" w:hAnsi="宋体" w:eastAsia="宋体" w:cs="宋体"/>
          <w:b/>
          <w:bCs/>
          <w:color w:val="000000"/>
          <w:spacing w:val="-3"/>
          <w:sz w:val="24"/>
          <w:szCs w:val="24"/>
          <w:lang w:val="en-US" w:eastAsia="zh-CN"/>
        </w:rPr>
        <w:t>（大写：          ）的违约金，并赔偿甲方全部损失。</w:t>
      </w:r>
    </w:p>
    <w:p w14:paraId="6FD06F53">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lang w:eastAsia="zh-CN"/>
        </w:rPr>
      </w:pPr>
      <w:r>
        <w:rPr>
          <w:rFonts w:hint="eastAsia" w:ascii="宋体" w:hAnsi="宋体" w:eastAsia="宋体" w:cs="宋体"/>
          <w:color w:val="000000"/>
          <w:spacing w:val="-3"/>
          <w:sz w:val="24"/>
          <w:szCs w:val="24"/>
        </w:rPr>
        <w:t>3.乙方保证按甲方要求的品种、规格、数量、时间和地点按质按量配送。在供货过程中，</w:t>
      </w:r>
      <w:r>
        <w:rPr>
          <w:rFonts w:hint="eastAsia" w:ascii="宋体" w:hAnsi="宋体" w:eastAsia="宋体" w:cs="宋体"/>
          <w:color w:val="000000"/>
          <w:spacing w:val="-3"/>
          <w:sz w:val="24"/>
          <w:szCs w:val="24"/>
          <w:lang w:val="en-US" w:eastAsia="zh-CN"/>
        </w:rPr>
        <w:t>若乙方以各种理由进行推诿，或因乙方自身原因导致供货不及时的，每发生一次，应承担当批次货物总额</w:t>
      </w:r>
      <w:r>
        <w:rPr>
          <w:rFonts w:hint="eastAsia" w:ascii="宋体" w:hAnsi="宋体" w:eastAsia="宋体" w:cs="宋体"/>
          <w:color w:val="000000"/>
          <w:spacing w:val="-3"/>
          <w:sz w:val="24"/>
          <w:szCs w:val="24"/>
          <w:u w:val="single"/>
          <w:lang w:val="en-US" w:eastAsia="zh-CN"/>
        </w:rPr>
        <w:t xml:space="preserve">      </w:t>
      </w:r>
      <w:r>
        <w:rPr>
          <w:rFonts w:hint="eastAsia" w:ascii="宋体" w:hAnsi="宋体" w:eastAsia="宋体" w:cs="宋体"/>
          <w:color w:val="000000"/>
          <w:spacing w:val="-3"/>
          <w:sz w:val="24"/>
          <w:szCs w:val="24"/>
          <w:lang w:val="en-US" w:eastAsia="zh-CN"/>
        </w:rPr>
        <w:t>%的违约金，累计逾期供货超过</w:t>
      </w:r>
      <w:r>
        <w:rPr>
          <w:rFonts w:hint="eastAsia" w:ascii="宋体" w:hAnsi="宋体" w:eastAsia="宋体" w:cs="宋体"/>
          <w:color w:val="000000"/>
          <w:spacing w:val="-3"/>
          <w:sz w:val="24"/>
          <w:szCs w:val="24"/>
          <w:u w:val="single"/>
          <w:lang w:val="en-US" w:eastAsia="zh-CN"/>
        </w:rPr>
        <w:t xml:space="preserve">     </w:t>
      </w:r>
      <w:r>
        <w:rPr>
          <w:rFonts w:hint="eastAsia" w:ascii="宋体" w:hAnsi="宋体" w:eastAsia="宋体" w:cs="宋体"/>
          <w:color w:val="000000"/>
          <w:spacing w:val="-3"/>
          <w:sz w:val="24"/>
          <w:szCs w:val="24"/>
          <w:lang w:val="en-US" w:eastAsia="zh-CN"/>
        </w:rPr>
        <w:t>次的，甲方有权解除、终止本合同，并要求乙方承担</w:t>
      </w:r>
      <w:r>
        <w:rPr>
          <w:rFonts w:hint="eastAsia" w:ascii="宋体" w:hAnsi="宋体" w:eastAsia="宋体" w:cs="宋体"/>
          <w:color w:val="000000"/>
          <w:spacing w:val="-3"/>
          <w:sz w:val="24"/>
          <w:szCs w:val="24"/>
          <w:u w:val="single"/>
          <w:lang w:val="en-US" w:eastAsia="zh-CN"/>
        </w:rPr>
        <w:t xml:space="preserve">          </w:t>
      </w:r>
      <w:r>
        <w:rPr>
          <w:rFonts w:hint="eastAsia" w:ascii="宋体" w:hAnsi="宋体" w:eastAsia="宋体" w:cs="宋体"/>
          <w:color w:val="000000"/>
          <w:spacing w:val="-3"/>
          <w:sz w:val="24"/>
          <w:szCs w:val="24"/>
          <w:lang w:val="en-US" w:eastAsia="zh-CN"/>
        </w:rPr>
        <w:t>元（大写：     ）的违约金，并赔偿甲方损失。</w:t>
      </w:r>
    </w:p>
    <w:p w14:paraId="7D68541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4．如乙方拒绝接受甲方订单；无法完成甲方合理订单；无故放弃对执行单价的确认，均视为单方解除合同，同时应按本条第 1 款承担相应的违约责任。</w:t>
      </w:r>
    </w:p>
    <w:p w14:paraId="5A486974">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5．乙方因企业重大变动、国家政策因素等原因无法履行合同的，应提前 15 天向甲方提出解除合同申请，甲方确认属实的，不予追究违约责任。</w:t>
      </w:r>
    </w:p>
    <w:p w14:paraId="40DA6441">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6．乙方因食品安全问题被相关单位处罚或造成任何食品安全事故（无论是否涉及甲方所采购的货物），本合同立即解除，同时承担给甲方造成的所有损失。</w:t>
      </w:r>
    </w:p>
    <w:p w14:paraId="3E001E31">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7</w:t>
      </w:r>
      <w:r>
        <w:rPr>
          <w:rFonts w:hint="eastAsia" w:ascii="宋体" w:hAnsi="宋体" w:eastAsia="宋体" w:cs="宋体"/>
          <w:color w:val="000000"/>
          <w:spacing w:val="-3"/>
          <w:sz w:val="24"/>
          <w:szCs w:val="24"/>
        </w:rPr>
        <w:t>．</w:t>
      </w:r>
      <w:r>
        <w:rPr>
          <w:rFonts w:hint="eastAsia" w:ascii="宋体" w:hAnsi="宋体" w:eastAsia="宋体" w:cs="宋体"/>
          <w:color w:val="000000"/>
          <w:spacing w:val="-3"/>
          <w:sz w:val="24"/>
          <w:szCs w:val="24"/>
          <w:lang w:val="en-US" w:eastAsia="zh-CN"/>
        </w:rPr>
        <w:t>乙方将本合同约定的义务全部或者部分转让给第三方的，甲方有权解除或者终止本合同，并要求乙方赔偿甲方损失（本合同或者双方另有约定的，与本条同时适用）。同时，乙方应当对其转让的第三方给甲方造成的损失承担连带责任。</w:t>
      </w:r>
    </w:p>
    <w:p w14:paraId="1420D8FA">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lang w:val="en-US" w:eastAsia="zh-CN"/>
        </w:rPr>
        <w:t>8</w:t>
      </w:r>
      <w:r>
        <w:rPr>
          <w:rFonts w:hint="eastAsia" w:ascii="宋体" w:hAnsi="宋体" w:eastAsia="宋体" w:cs="宋体"/>
          <w:color w:val="000000"/>
          <w:spacing w:val="-3"/>
          <w:sz w:val="24"/>
          <w:szCs w:val="24"/>
        </w:rPr>
        <w:t>．</w:t>
      </w:r>
      <w:r>
        <w:rPr>
          <w:rFonts w:hint="eastAsia" w:ascii="宋体" w:hAnsi="宋体" w:eastAsia="宋体" w:cs="宋体"/>
          <w:color w:val="000000"/>
          <w:spacing w:val="-3"/>
          <w:sz w:val="24"/>
          <w:szCs w:val="24"/>
          <w:lang w:val="en-US" w:eastAsia="zh-CN"/>
        </w:rPr>
        <w:t>因乙方的违约行为给甲方造成的损失包括但不限于直接经济损失、可得利益损失、律师费、诉讼费、鉴定费等合理费用。</w:t>
      </w:r>
    </w:p>
    <w:p w14:paraId="54EBE2A3">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b/>
          <w:bCs/>
          <w:color w:val="000000"/>
          <w:spacing w:val="-3"/>
          <w:sz w:val="24"/>
          <w:szCs w:val="24"/>
        </w:rPr>
        <w:t>十一、不可抗力</w:t>
      </w:r>
    </w:p>
    <w:p w14:paraId="40953C98">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甲乙双方的任何一方由于不可抗力的原因不能履行合同时，应及时以书面形式向对方通报不能履行或不能完全履行合同的理由；在取得有关主管机关证明后，允许延期履行、部分履行或者不履行合同，并根据情况可部分或全部免予承担违约责任。</w:t>
      </w:r>
      <w:r>
        <w:rPr>
          <w:rFonts w:hint="eastAsia" w:ascii="宋体" w:hAnsi="宋体" w:eastAsia="宋体" w:cs="宋体"/>
          <w:color w:val="000000"/>
          <w:spacing w:val="-3"/>
          <w:sz w:val="24"/>
          <w:szCs w:val="24"/>
          <w:lang w:val="en-US" w:eastAsia="zh-CN"/>
        </w:rPr>
        <w:t>迟延履行后发生不可抗力的，不能免除违约责任。</w:t>
      </w:r>
    </w:p>
    <w:p w14:paraId="7A65C194">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b/>
          <w:bCs/>
          <w:color w:val="000000"/>
          <w:spacing w:val="-3"/>
          <w:sz w:val="24"/>
          <w:szCs w:val="24"/>
        </w:rPr>
        <w:t>十二、合同生效及其他</w:t>
      </w:r>
    </w:p>
    <w:p w14:paraId="4C328B29">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1. 本合同自甲乙双方法定代表人（或授权代表）签字（或盖章）并加盖公章之日起生效。</w:t>
      </w:r>
    </w:p>
    <w:p w14:paraId="603A7F00">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lang w:eastAsia="zh-CN"/>
        </w:rPr>
      </w:pPr>
      <w:r>
        <w:rPr>
          <w:rFonts w:hint="eastAsia" w:ascii="宋体" w:hAnsi="宋体" w:eastAsia="宋体" w:cs="宋体"/>
          <w:color w:val="000000"/>
          <w:spacing w:val="-3"/>
          <w:sz w:val="24"/>
          <w:szCs w:val="24"/>
        </w:rPr>
        <w:t>2. 本合同一式</w:t>
      </w:r>
      <w:r>
        <w:rPr>
          <w:rFonts w:hint="eastAsia" w:ascii="宋体" w:hAnsi="宋体" w:eastAsia="宋体" w:cs="宋体"/>
          <w:color w:val="000000"/>
          <w:spacing w:val="-3"/>
          <w:sz w:val="24"/>
          <w:szCs w:val="24"/>
          <w:u w:val="single"/>
        </w:rPr>
        <w:t xml:space="preserve"> 伍 </w:t>
      </w:r>
      <w:r>
        <w:rPr>
          <w:rFonts w:hint="eastAsia" w:ascii="宋体" w:hAnsi="宋体" w:eastAsia="宋体" w:cs="宋体"/>
          <w:color w:val="000000"/>
          <w:spacing w:val="-3"/>
          <w:sz w:val="24"/>
          <w:szCs w:val="24"/>
        </w:rPr>
        <w:t>份，甲方持</w:t>
      </w:r>
      <w:r>
        <w:rPr>
          <w:rFonts w:hint="eastAsia" w:ascii="宋体" w:hAnsi="宋体" w:eastAsia="宋体" w:cs="宋体"/>
          <w:color w:val="000000"/>
          <w:spacing w:val="-3"/>
          <w:sz w:val="24"/>
          <w:szCs w:val="24"/>
          <w:u w:val="single"/>
        </w:rPr>
        <w:t xml:space="preserve"> </w:t>
      </w:r>
      <w:r>
        <w:rPr>
          <w:rFonts w:hint="eastAsia" w:ascii="宋体" w:hAnsi="宋体" w:eastAsia="宋体" w:cs="宋体"/>
          <w:color w:val="000000"/>
          <w:spacing w:val="-3"/>
          <w:sz w:val="24"/>
          <w:szCs w:val="24"/>
          <w:u w:val="single"/>
          <w:lang w:val="en-US" w:eastAsia="zh-CN"/>
        </w:rPr>
        <w:t>贰</w:t>
      </w:r>
      <w:r>
        <w:rPr>
          <w:rFonts w:hint="eastAsia" w:ascii="宋体" w:hAnsi="宋体" w:eastAsia="宋体" w:cs="宋体"/>
          <w:color w:val="000000"/>
          <w:spacing w:val="-3"/>
          <w:sz w:val="24"/>
          <w:szCs w:val="24"/>
          <w:u w:val="single"/>
        </w:rPr>
        <w:t xml:space="preserve"> </w:t>
      </w:r>
      <w:r>
        <w:rPr>
          <w:rFonts w:hint="eastAsia" w:ascii="宋体" w:hAnsi="宋体" w:eastAsia="宋体" w:cs="宋体"/>
          <w:color w:val="000000"/>
          <w:spacing w:val="-3"/>
          <w:sz w:val="24"/>
          <w:szCs w:val="24"/>
        </w:rPr>
        <w:t>份，乙方持</w:t>
      </w:r>
      <w:r>
        <w:rPr>
          <w:rFonts w:hint="eastAsia" w:ascii="宋体" w:hAnsi="宋体" w:eastAsia="宋体" w:cs="宋体"/>
          <w:color w:val="000000"/>
          <w:spacing w:val="-3"/>
          <w:sz w:val="24"/>
          <w:szCs w:val="24"/>
          <w:u w:val="single"/>
        </w:rPr>
        <w:t xml:space="preserve"> </w:t>
      </w:r>
      <w:r>
        <w:rPr>
          <w:rFonts w:hint="eastAsia" w:ascii="宋体" w:hAnsi="宋体" w:eastAsia="宋体" w:cs="宋体"/>
          <w:color w:val="000000"/>
          <w:spacing w:val="-3"/>
          <w:sz w:val="24"/>
          <w:szCs w:val="24"/>
          <w:u w:val="single"/>
          <w:lang w:val="en-US" w:eastAsia="zh-CN"/>
        </w:rPr>
        <w:t>贰</w:t>
      </w:r>
      <w:r>
        <w:rPr>
          <w:rFonts w:hint="eastAsia" w:ascii="宋体" w:hAnsi="宋体" w:eastAsia="宋体" w:cs="宋体"/>
          <w:color w:val="000000"/>
          <w:spacing w:val="-3"/>
          <w:sz w:val="24"/>
          <w:szCs w:val="24"/>
          <w:u w:val="single"/>
        </w:rPr>
        <w:t xml:space="preserve"> </w:t>
      </w:r>
      <w:r>
        <w:rPr>
          <w:rFonts w:hint="eastAsia" w:ascii="宋体" w:hAnsi="宋体" w:eastAsia="宋体" w:cs="宋体"/>
          <w:color w:val="000000"/>
          <w:spacing w:val="-3"/>
          <w:sz w:val="24"/>
          <w:szCs w:val="24"/>
        </w:rPr>
        <w:t>份，招标代理公司备案</w:t>
      </w:r>
      <w:r>
        <w:rPr>
          <w:rFonts w:hint="eastAsia" w:ascii="宋体" w:hAnsi="宋体" w:eastAsia="宋体" w:cs="宋体"/>
          <w:color w:val="000000"/>
          <w:spacing w:val="-3"/>
          <w:sz w:val="24"/>
          <w:szCs w:val="24"/>
          <w:u w:val="single"/>
        </w:rPr>
        <w:t xml:space="preserve"> 壹 </w:t>
      </w:r>
      <w:r>
        <w:rPr>
          <w:rFonts w:hint="eastAsia" w:ascii="宋体" w:hAnsi="宋体" w:eastAsia="宋体" w:cs="宋体"/>
          <w:color w:val="000000"/>
          <w:spacing w:val="-3"/>
          <w:sz w:val="24"/>
          <w:szCs w:val="24"/>
        </w:rPr>
        <w:t>份</w:t>
      </w:r>
      <w:r>
        <w:rPr>
          <w:rFonts w:hint="eastAsia" w:ascii="宋体" w:hAnsi="宋体" w:eastAsia="宋体" w:cs="宋体"/>
          <w:color w:val="000000"/>
          <w:spacing w:val="-3"/>
          <w:sz w:val="24"/>
          <w:szCs w:val="24"/>
          <w:lang w:eastAsia="zh-CN"/>
        </w:rPr>
        <w:t>。</w:t>
      </w:r>
    </w:p>
    <w:p w14:paraId="229159BA">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lang w:val="en-US" w:eastAsia="zh-CN"/>
        </w:rPr>
        <w:t>3</w:t>
      </w:r>
      <w:r>
        <w:rPr>
          <w:rFonts w:hint="eastAsia" w:ascii="宋体" w:hAnsi="宋体" w:eastAsia="宋体" w:cs="宋体"/>
          <w:color w:val="000000"/>
          <w:spacing w:val="-3"/>
          <w:sz w:val="24"/>
          <w:szCs w:val="24"/>
        </w:rPr>
        <w:t>. 本合同不得转包或分包给他人，否则甲方有权拒付本次成交货物的货款，同时没收乙方合同质保金并取消今后的投标资格。</w:t>
      </w:r>
    </w:p>
    <w:p w14:paraId="4F615EE6">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4</w:t>
      </w:r>
      <w:r>
        <w:rPr>
          <w:rFonts w:hint="eastAsia" w:ascii="宋体" w:hAnsi="宋体" w:eastAsia="宋体" w:cs="宋体"/>
          <w:spacing w:val="-3"/>
          <w:sz w:val="24"/>
          <w:szCs w:val="24"/>
        </w:rPr>
        <w:t xml:space="preserve">. </w:t>
      </w:r>
      <w:r>
        <w:rPr>
          <w:rFonts w:hint="eastAsia" w:ascii="宋体" w:hAnsi="宋体" w:eastAsia="宋体" w:cs="宋体"/>
          <w:spacing w:val="-3"/>
          <w:sz w:val="24"/>
          <w:szCs w:val="24"/>
          <w:lang w:val="en-US" w:eastAsia="zh-CN"/>
        </w:rPr>
        <w:t>甲方对履行合同的任何宽限仅表示其同意继续履行本合同，但不表示甲方放弃追究乙方违约责任的权利。除非甲方以书面形式明确声明做出放弃，否则，甲方不应被视为放弃根据本合同中的任何条款所享受的权利或利益。</w:t>
      </w:r>
    </w:p>
    <w:p w14:paraId="285AE1E8">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spacing w:val="-3"/>
          <w:sz w:val="24"/>
          <w:szCs w:val="24"/>
        </w:rPr>
      </w:pPr>
      <w:r>
        <w:rPr>
          <w:rFonts w:hint="eastAsia" w:ascii="宋体" w:hAnsi="宋体" w:eastAsia="宋体" w:cs="宋体"/>
          <w:b/>
          <w:bCs/>
          <w:spacing w:val="-3"/>
          <w:sz w:val="24"/>
          <w:szCs w:val="24"/>
        </w:rPr>
        <w:t>十三、争议解决</w:t>
      </w:r>
    </w:p>
    <w:p w14:paraId="7BFF4192">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t>因产品的质量问题发生争议，由食品药品监督部门或其指定的鉴定机构进行鉴定。鉴定费由乙方承担；</w:t>
      </w:r>
    </w:p>
    <w:p w14:paraId="52DFD6E2">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t>凡执行本合同所发生的或与本合同有关的一切争议，依照《</w:t>
      </w:r>
      <w:r>
        <w:rPr>
          <w:rFonts w:hint="eastAsia" w:ascii="宋体" w:hAnsi="宋体" w:eastAsia="宋体" w:cs="宋体"/>
          <w:spacing w:val="-3"/>
          <w:sz w:val="24"/>
          <w:szCs w:val="24"/>
          <w:lang w:eastAsia="zh-CN"/>
        </w:rPr>
        <w:t>中华人民共和国民法典</w:t>
      </w:r>
      <w:r>
        <w:rPr>
          <w:rFonts w:hint="eastAsia" w:ascii="宋体" w:hAnsi="宋体" w:eastAsia="宋体" w:cs="宋体"/>
          <w:spacing w:val="-3"/>
          <w:sz w:val="24"/>
          <w:szCs w:val="24"/>
        </w:rPr>
        <w:t>》，在不违背本合同和</w:t>
      </w:r>
      <w:r>
        <w:rPr>
          <w:rFonts w:hint="eastAsia" w:ascii="宋体" w:hAnsi="宋体" w:eastAsia="宋体" w:cs="宋体"/>
          <w:spacing w:val="-3"/>
          <w:sz w:val="24"/>
          <w:szCs w:val="24"/>
          <w:lang w:val="en-US" w:eastAsia="zh-CN"/>
        </w:rPr>
        <w:t>磋商</w:t>
      </w:r>
      <w:r>
        <w:rPr>
          <w:rFonts w:hint="eastAsia" w:ascii="宋体" w:hAnsi="宋体" w:eastAsia="宋体" w:cs="宋体"/>
          <w:spacing w:val="-3"/>
          <w:sz w:val="24"/>
          <w:szCs w:val="24"/>
        </w:rPr>
        <w:t>文件的前提下，双方友好协商解决；协商结果以“纪要 ”形式作为合同附件，与合同具有同等效力。否则，双方均有权向向甲方所在地人民法院提请诉讼；</w:t>
      </w:r>
    </w:p>
    <w:p w14:paraId="1003B680">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rPr>
      </w:pPr>
      <w:r>
        <w:rPr>
          <w:rFonts w:hint="eastAsia" w:ascii="宋体" w:hAnsi="宋体" w:eastAsia="宋体" w:cs="宋体"/>
          <w:spacing w:val="-3"/>
          <w:sz w:val="24"/>
          <w:szCs w:val="24"/>
        </w:rPr>
        <w:t>3</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t>在诉讼期间，除正在进行诉讼部分外，合同其他部分继续执行。</w:t>
      </w:r>
    </w:p>
    <w:p w14:paraId="1D04FF46">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spacing w:val="-3"/>
          <w:sz w:val="24"/>
          <w:szCs w:val="24"/>
        </w:rPr>
      </w:pPr>
      <w:r>
        <w:rPr>
          <w:rFonts w:hint="eastAsia" w:ascii="宋体" w:hAnsi="宋体" w:eastAsia="宋体" w:cs="宋体"/>
          <w:b/>
          <w:bCs/>
          <w:spacing w:val="-3"/>
          <w:sz w:val="24"/>
          <w:szCs w:val="24"/>
          <w:lang w:val="en-US" w:eastAsia="zh-CN"/>
        </w:rPr>
        <w:t>十四、</w:t>
      </w:r>
      <w:r>
        <w:rPr>
          <w:rFonts w:hint="eastAsia" w:ascii="宋体" w:hAnsi="宋体" w:eastAsia="宋体" w:cs="宋体"/>
          <w:b/>
          <w:bCs/>
          <w:spacing w:val="-3"/>
          <w:sz w:val="24"/>
          <w:szCs w:val="24"/>
        </w:rPr>
        <w:t>下列文件为本合同不可分割部分</w:t>
      </w:r>
    </w:p>
    <w:p w14:paraId="6754349A">
      <w:pPr>
        <w:keepNext w:val="0"/>
        <w:keepLines w:val="0"/>
        <w:pageBreakBefore w:val="0"/>
        <w:widowControl w:val="0"/>
        <w:numPr>
          <w:ilvl w:val="0"/>
          <w:numId w:val="0"/>
        </w:numPr>
        <w:kinsoku/>
        <w:wordWrap/>
        <w:overflowPunct/>
        <w:topLinePunct w:val="0"/>
        <w:autoSpaceDE/>
        <w:autoSpaceDN/>
        <w:bidi w:val="0"/>
        <w:adjustRightInd/>
        <w:snapToGrid w:val="0"/>
        <w:spacing w:before="109" w:line="360" w:lineRule="auto"/>
        <w:ind w:leftChars="200" w:right="87" w:rightChars="0"/>
        <w:jc w:val="both"/>
        <w:textAlignment w:val="auto"/>
        <w:rPr>
          <w:rFonts w:hint="eastAsia" w:ascii="宋体" w:hAnsi="宋体" w:eastAsia="宋体" w:cs="宋体"/>
          <w:spacing w:val="-3"/>
          <w:sz w:val="24"/>
          <w:szCs w:val="24"/>
        </w:rPr>
      </w:pPr>
      <w:r>
        <w:rPr>
          <w:rFonts w:hint="eastAsia" w:ascii="宋体" w:hAnsi="宋体" w:cs="宋体"/>
          <w:spacing w:val="-1"/>
          <w:sz w:val="24"/>
          <w:szCs w:val="24"/>
          <w:lang w:val="en-US" w:eastAsia="zh-CN"/>
        </w:rPr>
        <w:t>1.</w:t>
      </w:r>
      <w:r>
        <w:rPr>
          <w:rFonts w:ascii="宋体" w:hAnsi="宋体" w:eastAsia="宋体" w:cs="宋体"/>
          <w:spacing w:val="-1"/>
          <w:sz w:val="24"/>
          <w:szCs w:val="24"/>
        </w:rPr>
        <w:t>《</w:t>
      </w:r>
      <w:r>
        <w:rPr>
          <w:rFonts w:hint="eastAsia" w:ascii="宋体" w:hAnsi="宋体" w:eastAsia="宋体" w:cs="宋体"/>
          <w:spacing w:val="-1"/>
          <w:sz w:val="24"/>
          <w:szCs w:val="24"/>
          <w:lang w:val="en-US" w:eastAsia="zh-CN"/>
        </w:rPr>
        <w:t>磋商</w:t>
      </w:r>
      <w:r>
        <w:rPr>
          <w:rFonts w:ascii="宋体" w:hAnsi="宋体" w:eastAsia="宋体" w:cs="宋体"/>
          <w:spacing w:val="-1"/>
          <w:sz w:val="24"/>
          <w:szCs w:val="24"/>
        </w:rPr>
        <w:t>文件》</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2.乙方响应文件</w:t>
      </w:r>
      <w:r>
        <w:rPr>
          <w:rFonts w:hint="eastAsia" w:ascii="宋体" w:hAnsi="宋体" w:eastAsia="宋体" w:cs="宋体"/>
          <w:spacing w:val="-3"/>
          <w:sz w:val="24"/>
          <w:szCs w:val="24"/>
          <w:lang w:val="en-US" w:eastAsia="zh-CN"/>
        </w:rPr>
        <w:t xml:space="preserve"> 3.</w:t>
      </w:r>
      <w:r>
        <w:rPr>
          <w:rFonts w:ascii="宋体" w:hAnsi="宋体" w:eastAsia="宋体" w:cs="宋体"/>
          <w:spacing w:val="-1"/>
          <w:sz w:val="24"/>
          <w:szCs w:val="24"/>
        </w:rPr>
        <w:t>《</w:t>
      </w:r>
      <w:r>
        <w:rPr>
          <w:rFonts w:hint="eastAsia" w:ascii="宋体" w:hAnsi="宋体" w:eastAsia="宋体" w:cs="宋体"/>
          <w:spacing w:val="-1"/>
          <w:sz w:val="24"/>
          <w:szCs w:val="24"/>
          <w:lang w:val="en-US" w:eastAsia="zh-CN"/>
        </w:rPr>
        <w:t>成交</w:t>
      </w:r>
      <w:r>
        <w:rPr>
          <w:rFonts w:ascii="宋体" w:hAnsi="宋体" w:eastAsia="宋体" w:cs="宋体"/>
          <w:spacing w:val="-1"/>
          <w:sz w:val="24"/>
          <w:szCs w:val="24"/>
        </w:rPr>
        <w:t>通知书》</w:t>
      </w:r>
      <w:r>
        <w:rPr>
          <w:rFonts w:hint="eastAsia" w:ascii="宋体" w:hAnsi="宋体" w:cs="宋体"/>
          <w:spacing w:val="-1"/>
          <w:sz w:val="24"/>
          <w:szCs w:val="24"/>
          <w:lang w:val="en-US" w:eastAsia="zh-CN"/>
        </w:rPr>
        <w:t xml:space="preserve"> </w:t>
      </w:r>
      <w:r>
        <w:rPr>
          <w:rFonts w:hint="eastAsia" w:ascii="宋体" w:hAnsi="宋体" w:eastAsia="宋体" w:cs="宋体"/>
          <w:spacing w:val="-3"/>
          <w:sz w:val="24"/>
          <w:szCs w:val="24"/>
          <w:lang w:val="en-US" w:eastAsia="zh-CN"/>
        </w:rPr>
        <w:t>4</w:t>
      </w:r>
      <w:r>
        <w:rPr>
          <w:rFonts w:hint="eastAsia" w:ascii="宋体" w:hAnsi="宋体" w:eastAsia="宋体" w:cs="宋体"/>
          <w:spacing w:val="-3"/>
          <w:sz w:val="24"/>
          <w:szCs w:val="24"/>
        </w:rPr>
        <w:t>.合同附件</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 xml:space="preserve"> </w:t>
      </w:r>
      <w:r>
        <w:rPr>
          <w:rFonts w:hint="eastAsia" w:ascii="宋体" w:hAnsi="宋体" w:eastAsia="宋体" w:cs="宋体"/>
          <w:spacing w:val="-3"/>
          <w:sz w:val="24"/>
          <w:szCs w:val="24"/>
          <w:lang w:val="en-US" w:eastAsia="zh-CN"/>
        </w:rPr>
        <w:t>5.其他</w:t>
      </w:r>
    </w:p>
    <w:p w14:paraId="430E24F8">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甲方（</w:t>
      </w:r>
      <w:r>
        <w:rPr>
          <w:rFonts w:hint="eastAsia" w:ascii="宋体" w:hAnsi="宋体" w:eastAsia="宋体" w:cs="宋体"/>
          <w:spacing w:val="-3"/>
          <w:sz w:val="24"/>
          <w:szCs w:val="24"/>
          <w:lang w:val="en-US" w:eastAsia="zh-CN"/>
        </w:rPr>
        <w:t>签</w:t>
      </w:r>
      <w:r>
        <w:rPr>
          <w:rFonts w:hint="eastAsia" w:ascii="宋体" w:hAnsi="宋体" w:eastAsia="宋体" w:cs="宋体"/>
          <w:spacing w:val="-3"/>
          <w:sz w:val="24"/>
          <w:szCs w:val="24"/>
        </w:rPr>
        <w:t xml:space="preserve">章）：                        </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 xml:space="preserve">  乙方（签章）：</w:t>
      </w:r>
    </w:p>
    <w:p w14:paraId="53F77059">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法人或授权委托人签字：                </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法人或授权委托人签字：</w:t>
      </w:r>
    </w:p>
    <w:p w14:paraId="39F88BD4">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联系电话：                            </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联系电话：</w:t>
      </w:r>
    </w:p>
    <w:p w14:paraId="193415CB">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签订时间： </w:t>
      </w:r>
    </w:p>
    <w:p w14:paraId="62B3125A">
      <w:pPr>
        <w:spacing w:line="360" w:lineRule="auto"/>
        <w:ind w:firstLine="566" w:firstLineChars="236"/>
        <w:rPr>
          <w:rFonts w:hint="eastAsia" w:ascii="宋体" w:hAnsi="宋体" w:eastAsia="宋体" w:cs="宋体"/>
          <w:sz w:val="24"/>
          <w:szCs w:val="24"/>
        </w:rPr>
      </w:pPr>
    </w:p>
    <w:p w14:paraId="7494A24C">
      <w:pPr>
        <w:spacing w:line="360" w:lineRule="auto"/>
        <w:ind w:firstLine="361" w:firstLineChars="150"/>
        <w:rPr>
          <w:rFonts w:hint="eastAsia" w:ascii="宋体" w:hAnsi="宋体" w:eastAsia="宋体" w:cs="宋体"/>
          <w:b/>
          <w:color w:val="auto"/>
          <w:sz w:val="24"/>
          <w:szCs w:val="24"/>
          <w:highlight w:val="none"/>
        </w:rPr>
      </w:pPr>
    </w:p>
    <w:p w14:paraId="122EA0CD">
      <w:pPr>
        <w:spacing w:line="360" w:lineRule="auto"/>
        <w:ind w:firstLine="361" w:firstLineChars="150"/>
        <w:rPr>
          <w:rFonts w:hint="eastAsia" w:ascii="宋体" w:hAnsi="宋体" w:eastAsia="宋体" w:cs="宋体"/>
          <w:b/>
          <w:color w:val="auto"/>
          <w:sz w:val="24"/>
          <w:szCs w:val="24"/>
          <w:highlight w:val="none"/>
        </w:rPr>
      </w:pPr>
    </w:p>
    <w:p w14:paraId="704D1662">
      <w:pPr>
        <w:ind w:left="0" w:leftChars="0" w:firstLine="0" w:firstLineChars="0"/>
        <w:jc w:val="center"/>
        <w:rPr>
          <w:sz w:val="28"/>
          <w:szCs w:val="28"/>
        </w:rPr>
      </w:pPr>
      <w:r>
        <w:rPr>
          <w:rFonts w:hint="eastAsia" w:ascii="黑体" w:cs="宋体"/>
          <w:b/>
          <w:kern w:val="2"/>
          <w:sz w:val="28"/>
          <w:szCs w:val="28"/>
        </w:rPr>
        <w:br w:type="page"/>
      </w:r>
      <w:bookmarkStart w:id="58" w:name="_Toc4085"/>
      <w:r>
        <w:rPr>
          <w:rFonts w:hint="eastAsia" w:ascii="黑体" w:cs="宋体"/>
          <w:b/>
          <w:kern w:val="2"/>
          <w:sz w:val="32"/>
          <w:szCs w:val="32"/>
        </w:rPr>
        <w:t xml:space="preserve">第五章 </w:t>
      </w:r>
      <w:r>
        <w:rPr>
          <w:rFonts w:hint="eastAsia" w:ascii="黑体" w:cs="宋体"/>
          <w:b/>
          <w:kern w:val="2"/>
          <w:sz w:val="32"/>
          <w:szCs w:val="32"/>
          <w:lang w:val="en-US" w:eastAsia="zh-CN"/>
        </w:rPr>
        <w:t xml:space="preserve">   </w:t>
      </w:r>
      <w:r>
        <w:rPr>
          <w:rFonts w:hint="eastAsia" w:ascii="黑体" w:cs="宋体"/>
          <w:b/>
          <w:kern w:val="2"/>
          <w:sz w:val="32"/>
          <w:szCs w:val="32"/>
        </w:rPr>
        <w:t>评审标准</w:t>
      </w:r>
      <w:bookmarkEnd w:id="58"/>
    </w:p>
    <w:p w14:paraId="0E79B819">
      <w:pPr>
        <w:widowControl w:val="0"/>
        <w:spacing w:beforeLines="50" w:afterLines="50" w:line="360" w:lineRule="auto"/>
        <w:ind w:left="0" w:leftChars="0" w:firstLine="0" w:firstLineChars="0"/>
        <w:jc w:val="center"/>
        <w:rPr>
          <w:rFonts w:ascii="宋体" w:hAnsi="宋体" w:cs="宋体"/>
          <w:b/>
          <w:sz w:val="24"/>
          <w:szCs w:val="24"/>
        </w:rPr>
      </w:pPr>
      <w:r>
        <w:rPr>
          <w:rFonts w:hint="eastAsia" w:ascii="宋体" w:hAnsi="宋体" w:cs="宋体"/>
          <w:b/>
          <w:kern w:val="2"/>
          <w:sz w:val="24"/>
          <w:szCs w:val="24"/>
        </w:rPr>
        <w:t>评标办法前附表</w:t>
      </w:r>
    </w:p>
    <w:tbl>
      <w:tblPr>
        <w:tblStyle w:val="17"/>
        <w:tblW w:w="9711" w:type="dxa"/>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699"/>
        <w:gridCol w:w="3014"/>
        <w:gridCol w:w="5182"/>
      </w:tblGrid>
      <w:tr w14:paraId="0305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15" w:type="dxa"/>
            <w:gridSpan w:val="2"/>
            <w:vAlign w:val="center"/>
          </w:tcPr>
          <w:p w14:paraId="2B93C4FD">
            <w:pPr>
              <w:widowControl w:val="0"/>
              <w:spacing w:line="360" w:lineRule="auto"/>
              <w:ind w:left="0" w:leftChars="0" w:firstLine="0" w:firstLineChars="0"/>
              <w:jc w:val="center"/>
              <w:rPr>
                <w:rFonts w:ascii="宋体" w:hAnsi="宋体" w:cs="宋体"/>
                <w:kern w:val="2"/>
                <w:sz w:val="24"/>
                <w:szCs w:val="24"/>
              </w:rPr>
            </w:pPr>
            <w:r>
              <w:rPr>
                <w:rFonts w:ascii="宋体" w:hAnsi="宋体" w:cs="宋体"/>
                <w:kern w:val="2"/>
                <w:sz w:val="24"/>
                <w:szCs w:val="24"/>
              </w:rPr>
              <w:t>2.1初步评审</w:t>
            </w:r>
          </w:p>
        </w:tc>
        <w:tc>
          <w:tcPr>
            <w:tcW w:w="3014" w:type="dxa"/>
            <w:vAlign w:val="center"/>
          </w:tcPr>
          <w:p w14:paraId="0899851E">
            <w:pPr>
              <w:widowControl w:val="0"/>
              <w:spacing w:line="360" w:lineRule="auto"/>
              <w:jc w:val="center"/>
              <w:rPr>
                <w:rFonts w:ascii="宋体" w:hAnsi="宋体" w:cs="宋体"/>
                <w:kern w:val="2"/>
                <w:sz w:val="24"/>
                <w:szCs w:val="24"/>
              </w:rPr>
            </w:pPr>
            <w:r>
              <w:rPr>
                <w:rFonts w:ascii="宋体" w:hAnsi="宋体" w:cs="宋体"/>
                <w:kern w:val="2"/>
                <w:sz w:val="24"/>
                <w:szCs w:val="24"/>
              </w:rPr>
              <w:t>评审因素</w:t>
            </w:r>
          </w:p>
        </w:tc>
        <w:tc>
          <w:tcPr>
            <w:tcW w:w="5182" w:type="dxa"/>
            <w:vAlign w:val="center"/>
          </w:tcPr>
          <w:p w14:paraId="7DA37824">
            <w:pPr>
              <w:widowControl w:val="0"/>
              <w:spacing w:line="360" w:lineRule="auto"/>
              <w:jc w:val="center"/>
              <w:rPr>
                <w:rFonts w:ascii="宋体" w:hAnsi="宋体" w:cs="宋体"/>
                <w:kern w:val="2"/>
                <w:sz w:val="24"/>
                <w:szCs w:val="24"/>
              </w:rPr>
            </w:pPr>
            <w:r>
              <w:rPr>
                <w:rFonts w:ascii="宋体" w:hAnsi="宋体" w:cs="宋体"/>
                <w:kern w:val="2"/>
                <w:sz w:val="24"/>
                <w:szCs w:val="24"/>
              </w:rPr>
              <w:t>评审标准</w:t>
            </w:r>
          </w:p>
        </w:tc>
      </w:tr>
      <w:tr w14:paraId="2E28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6" w:type="dxa"/>
            <w:vMerge w:val="restart"/>
            <w:vAlign w:val="center"/>
          </w:tcPr>
          <w:p w14:paraId="58B0918F">
            <w:pPr>
              <w:widowControl w:val="0"/>
              <w:spacing w:line="360" w:lineRule="auto"/>
              <w:ind w:left="0" w:leftChars="0" w:firstLine="0" w:firstLineChars="0"/>
              <w:jc w:val="both"/>
              <w:rPr>
                <w:rFonts w:ascii="宋体" w:hAnsi="宋体" w:cs="宋体"/>
                <w:kern w:val="2"/>
                <w:sz w:val="24"/>
                <w:szCs w:val="24"/>
              </w:rPr>
            </w:pPr>
            <w:r>
              <w:rPr>
                <w:rFonts w:ascii="宋体" w:hAnsi="宋体" w:cs="宋体"/>
                <w:kern w:val="2"/>
                <w:sz w:val="24"/>
                <w:szCs w:val="24"/>
              </w:rPr>
              <w:t>2.1.1</w:t>
            </w:r>
          </w:p>
        </w:tc>
        <w:tc>
          <w:tcPr>
            <w:tcW w:w="699" w:type="dxa"/>
            <w:vMerge w:val="restart"/>
            <w:vAlign w:val="center"/>
          </w:tcPr>
          <w:p w14:paraId="2AA02F56">
            <w:pPr>
              <w:widowControl w:val="0"/>
              <w:spacing w:line="360" w:lineRule="auto"/>
              <w:ind w:left="0" w:leftChars="0" w:firstLine="0" w:firstLineChars="0"/>
              <w:jc w:val="center"/>
              <w:rPr>
                <w:rFonts w:ascii="宋体" w:hAnsi="宋体" w:cs="宋体"/>
                <w:kern w:val="2"/>
                <w:sz w:val="24"/>
                <w:szCs w:val="24"/>
              </w:rPr>
            </w:pPr>
            <w:r>
              <w:rPr>
                <w:rFonts w:ascii="宋体" w:hAnsi="宋体" w:cs="宋体"/>
                <w:kern w:val="2"/>
                <w:sz w:val="24"/>
                <w:szCs w:val="24"/>
              </w:rPr>
              <w:t>资格评审标准</w:t>
            </w:r>
          </w:p>
        </w:tc>
        <w:tc>
          <w:tcPr>
            <w:tcW w:w="3014" w:type="dxa"/>
            <w:vAlign w:val="center"/>
          </w:tcPr>
          <w:p w14:paraId="4FA2F922">
            <w:pPr>
              <w:widowControl w:val="0"/>
              <w:spacing w:line="360" w:lineRule="auto"/>
              <w:ind w:left="0" w:leftChars="0" w:firstLine="0" w:firstLineChars="0"/>
              <w:jc w:val="center"/>
              <w:rPr>
                <w:rFonts w:ascii="宋体" w:hAnsi="宋体" w:cs="宋体"/>
                <w:kern w:val="2"/>
                <w:sz w:val="24"/>
                <w:szCs w:val="24"/>
              </w:rPr>
            </w:pPr>
            <w:r>
              <w:rPr>
                <w:rFonts w:hint="eastAsia" w:ascii="宋体" w:hAnsi="宋体" w:cs="宋体"/>
                <w:kern w:val="2"/>
                <w:sz w:val="24"/>
                <w:szCs w:val="24"/>
                <w:lang w:val="en-US" w:eastAsia="zh-CN"/>
              </w:rPr>
              <w:t>满足《中华人民共和国政府采购法》第二十二条规定</w:t>
            </w:r>
          </w:p>
        </w:tc>
        <w:tc>
          <w:tcPr>
            <w:tcW w:w="5182" w:type="dxa"/>
            <w:vAlign w:val="center"/>
          </w:tcPr>
          <w:p w14:paraId="3F57EE88">
            <w:pPr>
              <w:widowControl w:val="0"/>
              <w:spacing w:line="360" w:lineRule="auto"/>
              <w:ind w:firstLine="480" w:firstLineChars="200"/>
              <w:jc w:val="both"/>
              <w:rPr>
                <w:rFonts w:hint="default" w:ascii="宋体" w:hAnsi="宋体" w:cs="宋体"/>
                <w:kern w:val="2"/>
                <w:sz w:val="24"/>
                <w:szCs w:val="24"/>
                <w:lang w:val="en-US"/>
              </w:rPr>
            </w:pPr>
            <w:r>
              <w:rPr>
                <w:rFonts w:hint="eastAsia" w:ascii="宋体" w:hAnsi="宋体" w:eastAsia="宋体" w:cs="宋体"/>
                <w:sz w:val="24"/>
                <w:szCs w:val="24"/>
                <w:lang w:val="en-US" w:eastAsia="zh-CN"/>
              </w:rPr>
              <w:t>提供承诺书，格式自拟</w:t>
            </w:r>
          </w:p>
        </w:tc>
      </w:tr>
      <w:tr w14:paraId="3086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6" w:type="dxa"/>
            <w:vMerge w:val="continue"/>
            <w:vAlign w:val="center"/>
          </w:tcPr>
          <w:p w14:paraId="7524691D">
            <w:pPr>
              <w:spacing w:line="360" w:lineRule="auto"/>
              <w:rPr>
                <w:rFonts w:ascii="宋体" w:hAnsi="宋体" w:cs="宋体"/>
                <w:kern w:val="2"/>
                <w:sz w:val="24"/>
                <w:szCs w:val="24"/>
              </w:rPr>
            </w:pPr>
          </w:p>
        </w:tc>
        <w:tc>
          <w:tcPr>
            <w:tcW w:w="699" w:type="dxa"/>
            <w:vMerge w:val="continue"/>
            <w:vAlign w:val="center"/>
          </w:tcPr>
          <w:p w14:paraId="42F833D9">
            <w:pPr>
              <w:spacing w:line="360" w:lineRule="auto"/>
              <w:rPr>
                <w:rFonts w:ascii="宋体" w:hAnsi="宋体" w:cs="宋体"/>
                <w:kern w:val="2"/>
                <w:sz w:val="24"/>
                <w:szCs w:val="24"/>
              </w:rPr>
            </w:pPr>
          </w:p>
        </w:tc>
        <w:tc>
          <w:tcPr>
            <w:tcW w:w="3014" w:type="dxa"/>
            <w:vAlign w:val="center"/>
          </w:tcPr>
          <w:p w14:paraId="0F67C089">
            <w:pPr>
              <w:spacing w:line="360" w:lineRule="auto"/>
              <w:ind w:left="0" w:leftChars="0" w:firstLine="0" w:firstLineChars="0"/>
              <w:jc w:val="center"/>
              <w:rPr>
                <w:rFonts w:hint="eastAsia" w:ascii="宋体" w:hAnsi="宋体" w:eastAsia="宋体" w:cs="宋体"/>
                <w:kern w:val="2"/>
                <w:sz w:val="24"/>
                <w:szCs w:val="24"/>
                <w:lang w:val="en-US" w:eastAsia="zh-CN"/>
              </w:rPr>
            </w:pPr>
            <w:r>
              <w:rPr>
                <w:rFonts w:hint="eastAsia" w:ascii="宋体" w:hAnsi="宋体" w:eastAsia="宋体" w:cs="宋体"/>
                <w:color w:val="000000"/>
                <w:kern w:val="2"/>
                <w:sz w:val="24"/>
                <w:szCs w:val="24"/>
                <w:highlight w:val="none"/>
                <w:lang w:val="en-US" w:eastAsia="zh-CN" w:bidi="ar-SA"/>
              </w:rPr>
              <w:t>落实政府采购政策满足的资格要求</w:t>
            </w:r>
          </w:p>
        </w:tc>
        <w:tc>
          <w:tcPr>
            <w:tcW w:w="5182" w:type="dxa"/>
            <w:vAlign w:val="center"/>
          </w:tcPr>
          <w:p w14:paraId="26BFBDCD">
            <w:pPr>
              <w:spacing w:line="360" w:lineRule="auto"/>
              <w:ind w:left="0" w:leftChars="0" w:firstLine="0" w:firstLineChars="0"/>
              <w:jc w:val="left"/>
              <w:rPr>
                <w:rFonts w:hint="eastAsia" w:ascii="宋体" w:hAnsi="宋体" w:cs="宋体"/>
                <w:kern w:val="2"/>
                <w:sz w:val="24"/>
                <w:szCs w:val="24"/>
                <w:lang w:eastAsia="zh-CN"/>
              </w:rPr>
            </w:pPr>
            <w:r>
              <w:rPr>
                <w:rFonts w:hint="eastAsia" w:ascii="宋体" w:hAnsi="宋体" w:eastAsia="宋体" w:cs="宋体"/>
                <w:sz w:val="24"/>
                <w:szCs w:val="24"/>
                <w:lang w:val="en-US" w:eastAsia="zh-CN"/>
              </w:rPr>
              <w:t>根据《政府采购促进中小企业发展管理办法》（财库〔2020〕46号）规定，本项目专门面向中小企业采购,同时供应商须提供《中小企业声明函》；</w:t>
            </w:r>
          </w:p>
        </w:tc>
      </w:tr>
      <w:tr w14:paraId="2BB3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6" w:type="dxa"/>
            <w:vMerge w:val="continue"/>
            <w:vAlign w:val="center"/>
          </w:tcPr>
          <w:p w14:paraId="5652A619">
            <w:pPr>
              <w:spacing w:line="360" w:lineRule="auto"/>
              <w:rPr>
                <w:rFonts w:ascii="宋体" w:hAnsi="宋体" w:cs="宋体"/>
                <w:kern w:val="2"/>
                <w:sz w:val="24"/>
                <w:szCs w:val="24"/>
              </w:rPr>
            </w:pPr>
          </w:p>
        </w:tc>
        <w:tc>
          <w:tcPr>
            <w:tcW w:w="699" w:type="dxa"/>
            <w:vMerge w:val="continue"/>
            <w:vAlign w:val="center"/>
          </w:tcPr>
          <w:p w14:paraId="06DEA91B">
            <w:pPr>
              <w:spacing w:line="360" w:lineRule="auto"/>
              <w:rPr>
                <w:rFonts w:ascii="宋体" w:hAnsi="宋体" w:cs="宋体"/>
                <w:kern w:val="2"/>
                <w:sz w:val="24"/>
                <w:szCs w:val="24"/>
              </w:rPr>
            </w:pPr>
          </w:p>
        </w:tc>
        <w:tc>
          <w:tcPr>
            <w:tcW w:w="3014" w:type="dxa"/>
            <w:vAlign w:val="center"/>
          </w:tcPr>
          <w:p w14:paraId="25715223">
            <w:pPr>
              <w:spacing w:line="360" w:lineRule="auto"/>
              <w:ind w:left="0" w:leftChars="0" w:firstLine="0" w:firstLineChars="0"/>
              <w:jc w:val="center"/>
              <w:rPr>
                <w:rFonts w:hint="eastAsia" w:ascii="宋体" w:hAnsi="宋体" w:cs="宋体"/>
                <w:kern w:val="2"/>
                <w:sz w:val="24"/>
                <w:szCs w:val="24"/>
                <w:lang w:val="zh-CN"/>
              </w:rPr>
            </w:pPr>
            <w:r>
              <w:rPr>
                <w:rFonts w:hint="eastAsia" w:ascii="宋体" w:hAnsi="宋体" w:cs="宋体"/>
                <w:kern w:val="2"/>
                <w:sz w:val="24"/>
                <w:szCs w:val="24"/>
                <w:lang w:val="zh-CN" w:eastAsia="zh-CN"/>
              </w:rPr>
              <w:t>具有独立承担民事责任的能力</w:t>
            </w:r>
          </w:p>
        </w:tc>
        <w:tc>
          <w:tcPr>
            <w:tcW w:w="5182" w:type="dxa"/>
            <w:vAlign w:val="center"/>
          </w:tcPr>
          <w:p w14:paraId="0BF21968">
            <w:pPr>
              <w:spacing w:line="360" w:lineRule="auto"/>
              <w:ind w:left="0" w:leftChars="0" w:firstLine="0" w:firstLineChars="0"/>
              <w:jc w:val="left"/>
              <w:rPr>
                <w:rFonts w:hint="eastAsia" w:ascii="宋体" w:hAnsi="宋体" w:cs="宋体"/>
                <w:kern w:val="2"/>
                <w:sz w:val="24"/>
                <w:szCs w:val="24"/>
              </w:rPr>
            </w:pPr>
            <w:r>
              <w:rPr>
                <w:rFonts w:hint="eastAsia" w:ascii="宋体" w:hAnsi="宋体" w:cs="宋体"/>
                <w:kern w:val="2"/>
                <w:sz w:val="24"/>
                <w:szCs w:val="24"/>
                <w:lang w:eastAsia="zh-CN"/>
              </w:rPr>
              <w:t>供应商须具有独立承担民事责任的能力（提供有效的营业执照或其他有效证明材料）；</w:t>
            </w:r>
          </w:p>
        </w:tc>
      </w:tr>
      <w:tr w14:paraId="7CE7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816" w:type="dxa"/>
            <w:vMerge w:val="continue"/>
            <w:vAlign w:val="center"/>
          </w:tcPr>
          <w:p w14:paraId="21C9E72E">
            <w:pPr>
              <w:spacing w:line="360" w:lineRule="auto"/>
              <w:rPr>
                <w:rFonts w:ascii="宋体" w:hAnsi="宋体" w:cs="宋体"/>
                <w:kern w:val="2"/>
                <w:sz w:val="24"/>
                <w:szCs w:val="24"/>
              </w:rPr>
            </w:pPr>
          </w:p>
        </w:tc>
        <w:tc>
          <w:tcPr>
            <w:tcW w:w="699" w:type="dxa"/>
            <w:vMerge w:val="continue"/>
            <w:vAlign w:val="center"/>
          </w:tcPr>
          <w:p w14:paraId="2BAAE87E">
            <w:pPr>
              <w:spacing w:line="360" w:lineRule="auto"/>
              <w:rPr>
                <w:rFonts w:ascii="宋体" w:hAnsi="宋体" w:cs="宋体"/>
                <w:kern w:val="2"/>
                <w:sz w:val="24"/>
                <w:szCs w:val="24"/>
              </w:rPr>
            </w:pPr>
          </w:p>
        </w:tc>
        <w:tc>
          <w:tcPr>
            <w:tcW w:w="3014" w:type="dxa"/>
            <w:vAlign w:val="center"/>
          </w:tcPr>
          <w:p w14:paraId="311048F9">
            <w:pPr>
              <w:spacing w:line="360" w:lineRule="auto"/>
              <w:ind w:left="0" w:leftChars="0" w:firstLine="0" w:firstLineChars="0"/>
              <w:jc w:val="center"/>
              <w:rPr>
                <w:rFonts w:hint="eastAsia" w:ascii="宋体" w:hAnsi="宋体" w:eastAsia="宋体" w:cs="宋体"/>
                <w:kern w:val="2"/>
                <w:sz w:val="24"/>
                <w:szCs w:val="24"/>
                <w:lang w:val="zh-CN" w:eastAsia="zh-CN"/>
              </w:rPr>
            </w:pPr>
            <w:r>
              <w:rPr>
                <w:rFonts w:hint="eastAsia" w:ascii="宋体" w:hAnsi="宋体" w:eastAsia="宋体" w:cs="宋体"/>
                <w:color w:val="000000"/>
                <w:sz w:val="24"/>
                <w:szCs w:val="24"/>
                <w:highlight w:val="none"/>
                <w:lang w:val="en-US" w:eastAsia="zh-CN"/>
              </w:rPr>
              <w:t>经营许可资格</w:t>
            </w:r>
          </w:p>
        </w:tc>
        <w:tc>
          <w:tcPr>
            <w:tcW w:w="5182" w:type="dxa"/>
            <w:vAlign w:val="center"/>
          </w:tcPr>
          <w:p w14:paraId="1F1F84B7">
            <w:pPr>
              <w:spacing w:line="360" w:lineRule="auto"/>
              <w:ind w:left="0" w:leftChars="0" w:firstLine="0" w:firstLineChars="0"/>
              <w:jc w:val="left"/>
              <w:rPr>
                <w:rFonts w:hint="eastAsia" w:ascii="宋体" w:hAnsi="宋体" w:cs="宋体"/>
                <w:kern w:val="2"/>
                <w:sz w:val="24"/>
                <w:szCs w:val="24"/>
              </w:rPr>
            </w:pPr>
            <w:r>
              <w:rPr>
                <w:rFonts w:hint="eastAsia" w:ascii="宋体" w:hAnsi="宋体" w:cs="宋体"/>
                <w:kern w:val="2"/>
                <w:sz w:val="24"/>
                <w:szCs w:val="24"/>
                <w:lang w:val="en-US" w:eastAsia="zh-CN"/>
              </w:rPr>
              <w:t>供应商如为生产商须同时具有有效的食品生产许可证和食品经营许可证；如为经销商须具有有效的食品经营许可证</w:t>
            </w:r>
            <w:r>
              <w:rPr>
                <w:rFonts w:hint="eastAsia" w:ascii="宋体" w:hAnsi="宋体" w:cs="宋体"/>
                <w:kern w:val="2"/>
                <w:sz w:val="24"/>
                <w:szCs w:val="24"/>
              </w:rPr>
              <w:t>；</w:t>
            </w:r>
          </w:p>
        </w:tc>
      </w:tr>
      <w:tr w14:paraId="688D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16" w:type="dxa"/>
            <w:vMerge w:val="continue"/>
            <w:vAlign w:val="center"/>
          </w:tcPr>
          <w:p w14:paraId="45557A49">
            <w:pPr>
              <w:spacing w:line="360" w:lineRule="auto"/>
              <w:rPr>
                <w:rFonts w:ascii="宋体" w:hAnsi="宋体" w:cs="宋体"/>
                <w:kern w:val="2"/>
                <w:sz w:val="24"/>
                <w:szCs w:val="24"/>
              </w:rPr>
            </w:pPr>
          </w:p>
        </w:tc>
        <w:tc>
          <w:tcPr>
            <w:tcW w:w="699" w:type="dxa"/>
            <w:vMerge w:val="continue"/>
            <w:vAlign w:val="center"/>
          </w:tcPr>
          <w:p w14:paraId="2F442421">
            <w:pPr>
              <w:spacing w:line="360" w:lineRule="auto"/>
              <w:rPr>
                <w:rFonts w:ascii="宋体" w:hAnsi="宋体" w:cs="宋体"/>
                <w:kern w:val="2"/>
                <w:sz w:val="24"/>
                <w:szCs w:val="24"/>
              </w:rPr>
            </w:pPr>
          </w:p>
        </w:tc>
        <w:tc>
          <w:tcPr>
            <w:tcW w:w="3014" w:type="dxa"/>
            <w:vAlign w:val="center"/>
          </w:tcPr>
          <w:p w14:paraId="257E844A">
            <w:pPr>
              <w:spacing w:line="360" w:lineRule="auto"/>
              <w:ind w:left="0" w:leftChars="0" w:firstLine="0" w:firstLineChars="0"/>
              <w:jc w:val="center"/>
              <w:rPr>
                <w:rFonts w:hint="eastAsia" w:ascii="宋体" w:hAnsi="宋体" w:eastAsia="宋体" w:cs="宋体"/>
                <w:kern w:val="2"/>
                <w:sz w:val="24"/>
                <w:szCs w:val="24"/>
                <w:lang w:val="zh-CN" w:eastAsia="zh-CN"/>
              </w:rPr>
            </w:pPr>
            <w:r>
              <w:rPr>
                <w:rFonts w:hint="eastAsia" w:ascii="宋体" w:hAnsi="宋体" w:eastAsia="宋体" w:cs="宋体"/>
                <w:color w:val="000000"/>
                <w:sz w:val="24"/>
                <w:szCs w:val="24"/>
                <w:highlight w:val="none"/>
                <w:lang w:val="en-US" w:eastAsia="zh-CN"/>
              </w:rPr>
              <w:t>具有履行合同所必须的设备和专业技术服务能力</w:t>
            </w:r>
          </w:p>
        </w:tc>
        <w:tc>
          <w:tcPr>
            <w:tcW w:w="5182" w:type="dxa"/>
            <w:vAlign w:val="center"/>
          </w:tcPr>
          <w:p w14:paraId="5162DC89">
            <w:pPr>
              <w:spacing w:line="360" w:lineRule="auto"/>
              <w:ind w:left="0" w:leftChars="0" w:firstLine="0" w:firstLineChars="0"/>
              <w:jc w:val="left"/>
              <w:rPr>
                <w:rFonts w:hint="eastAsia" w:ascii="宋体" w:hAnsi="宋体" w:eastAsia="宋体" w:cs="宋体"/>
                <w:kern w:val="2"/>
                <w:sz w:val="24"/>
                <w:szCs w:val="24"/>
                <w:lang w:eastAsia="zh-CN"/>
              </w:rPr>
            </w:pPr>
            <w:r>
              <w:rPr>
                <w:rFonts w:hint="eastAsia" w:ascii="宋体" w:hAnsi="宋体" w:eastAsia="宋体" w:cs="宋体"/>
                <w:sz w:val="24"/>
                <w:szCs w:val="24"/>
                <w:highlight w:val="none"/>
                <w:lang w:val="en-US" w:eastAsia="zh-CN"/>
              </w:rPr>
              <w:t>具有履行合同所必须的设备和专业技术服务能力(提供承诺书）</w:t>
            </w:r>
          </w:p>
        </w:tc>
      </w:tr>
      <w:tr w14:paraId="5180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816" w:type="dxa"/>
            <w:vMerge w:val="continue"/>
            <w:vAlign w:val="center"/>
          </w:tcPr>
          <w:p w14:paraId="3B51F29C">
            <w:pPr>
              <w:spacing w:line="360" w:lineRule="auto"/>
              <w:rPr>
                <w:rFonts w:ascii="宋体" w:hAnsi="宋体" w:cs="宋体"/>
                <w:kern w:val="2"/>
                <w:sz w:val="24"/>
                <w:szCs w:val="24"/>
              </w:rPr>
            </w:pPr>
          </w:p>
        </w:tc>
        <w:tc>
          <w:tcPr>
            <w:tcW w:w="699" w:type="dxa"/>
            <w:vMerge w:val="continue"/>
            <w:vAlign w:val="center"/>
          </w:tcPr>
          <w:p w14:paraId="40CB1E5B">
            <w:pPr>
              <w:spacing w:line="360" w:lineRule="auto"/>
              <w:rPr>
                <w:rFonts w:ascii="宋体" w:hAnsi="宋体" w:cs="宋体"/>
                <w:kern w:val="2"/>
                <w:sz w:val="24"/>
                <w:szCs w:val="24"/>
              </w:rPr>
            </w:pPr>
          </w:p>
        </w:tc>
        <w:tc>
          <w:tcPr>
            <w:tcW w:w="3014" w:type="dxa"/>
            <w:vAlign w:val="center"/>
          </w:tcPr>
          <w:p w14:paraId="2EE952B1">
            <w:pPr>
              <w:spacing w:line="360" w:lineRule="auto"/>
              <w:ind w:left="0" w:leftChars="0" w:firstLine="0" w:firstLineChars="0"/>
              <w:jc w:val="center"/>
              <w:rPr>
                <w:rFonts w:hint="eastAsia" w:ascii="宋体" w:hAnsi="宋体" w:eastAsia="宋体" w:cs="宋体"/>
                <w:kern w:val="2"/>
                <w:sz w:val="24"/>
                <w:szCs w:val="24"/>
                <w:lang w:val="zh-CN" w:eastAsia="zh-CN"/>
              </w:rPr>
            </w:pPr>
            <w:r>
              <w:rPr>
                <w:rFonts w:hint="eastAsia" w:ascii="宋体" w:hAnsi="宋体" w:eastAsia="宋体" w:cs="宋体"/>
                <w:color w:val="000000"/>
                <w:sz w:val="24"/>
                <w:szCs w:val="24"/>
                <w:highlight w:val="none"/>
                <w:lang w:val="en-US" w:eastAsia="zh-CN"/>
              </w:rPr>
              <w:t>项目负责人</w:t>
            </w:r>
          </w:p>
        </w:tc>
        <w:tc>
          <w:tcPr>
            <w:tcW w:w="5182" w:type="dxa"/>
            <w:vAlign w:val="center"/>
          </w:tcPr>
          <w:p w14:paraId="3AEF8C82">
            <w:pPr>
              <w:spacing w:line="360" w:lineRule="auto"/>
              <w:ind w:left="0" w:leftChars="0" w:firstLine="0" w:firstLineChars="0"/>
              <w:jc w:val="left"/>
              <w:rPr>
                <w:rFonts w:hint="eastAsia" w:ascii="宋体" w:hAnsi="宋体" w:cs="宋体"/>
                <w:kern w:val="2"/>
                <w:sz w:val="24"/>
                <w:szCs w:val="24"/>
              </w:rPr>
            </w:pPr>
            <w:r>
              <w:rPr>
                <w:rFonts w:hint="eastAsia" w:ascii="宋体" w:hAnsi="宋体" w:eastAsia="宋体" w:cs="宋体"/>
                <w:color w:val="000000"/>
                <w:kern w:val="2"/>
                <w:sz w:val="24"/>
                <w:szCs w:val="24"/>
                <w:highlight w:val="none"/>
                <w:lang w:val="en-US" w:eastAsia="zh-CN" w:bidi="ar-SA"/>
              </w:rPr>
              <w:t>拟派项目负责人</w:t>
            </w:r>
            <w:r>
              <w:rPr>
                <w:rFonts w:hint="eastAsia" w:ascii="宋体" w:hAnsi="宋体" w:cs="宋体"/>
                <w:color w:val="000000"/>
                <w:kern w:val="2"/>
                <w:sz w:val="24"/>
                <w:szCs w:val="24"/>
                <w:highlight w:val="none"/>
                <w:lang w:val="en-US" w:eastAsia="zh-CN" w:bidi="ar-SA"/>
              </w:rPr>
              <w:t>须</w:t>
            </w:r>
            <w:r>
              <w:rPr>
                <w:rFonts w:hint="eastAsia" w:ascii="宋体" w:hAnsi="宋体" w:eastAsia="宋体" w:cs="宋体"/>
                <w:color w:val="000000"/>
                <w:kern w:val="2"/>
                <w:sz w:val="24"/>
                <w:szCs w:val="24"/>
                <w:highlight w:val="none"/>
                <w:lang w:val="en-US" w:eastAsia="zh-CN" w:bidi="ar-SA"/>
              </w:rPr>
              <w:t>在防疫部门办理健康证且已参加社会保险（提供近半年以来任意一个月社保证明）；</w:t>
            </w:r>
          </w:p>
        </w:tc>
      </w:tr>
      <w:tr w14:paraId="311B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6" w:type="dxa"/>
            <w:vMerge w:val="continue"/>
            <w:vAlign w:val="center"/>
          </w:tcPr>
          <w:p w14:paraId="67ECEE79">
            <w:pPr>
              <w:spacing w:line="360" w:lineRule="auto"/>
              <w:rPr>
                <w:rFonts w:ascii="宋体" w:hAnsi="宋体" w:cs="宋体"/>
                <w:kern w:val="2"/>
                <w:sz w:val="24"/>
                <w:szCs w:val="24"/>
              </w:rPr>
            </w:pPr>
          </w:p>
        </w:tc>
        <w:tc>
          <w:tcPr>
            <w:tcW w:w="699" w:type="dxa"/>
            <w:vMerge w:val="continue"/>
            <w:vAlign w:val="center"/>
          </w:tcPr>
          <w:p w14:paraId="584FA1EC">
            <w:pPr>
              <w:spacing w:line="360" w:lineRule="auto"/>
              <w:rPr>
                <w:rFonts w:ascii="宋体" w:hAnsi="宋体" w:cs="宋体"/>
                <w:kern w:val="2"/>
                <w:sz w:val="24"/>
                <w:szCs w:val="24"/>
              </w:rPr>
            </w:pPr>
          </w:p>
        </w:tc>
        <w:tc>
          <w:tcPr>
            <w:tcW w:w="3014" w:type="dxa"/>
            <w:vAlign w:val="center"/>
          </w:tcPr>
          <w:p w14:paraId="2C5599E1">
            <w:pPr>
              <w:spacing w:line="360" w:lineRule="auto"/>
              <w:ind w:left="0" w:leftChars="0" w:firstLine="0" w:firstLineChars="0"/>
              <w:jc w:val="center"/>
              <w:rPr>
                <w:rFonts w:hint="eastAsia" w:ascii="宋体" w:hAnsi="宋体" w:eastAsia="宋体" w:cs="宋体"/>
                <w:kern w:val="2"/>
                <w:sz w:val="24"/>
                <w:szCs w:val="24"/>
                <w:lang w:val="zh-CN" w:eastAsia="zh-CN"/>
              </w:rPr>
            </w:pPr>
            <w:r>
              <w:rPr>
                <w:rFonts w:hint="eastAsia" w:ascii="宋体" w:hAnsi="宋体" w:eastAsia="宋体" w:cs="宋体"/>
                <w:color w:val="000000"/>
                <w:sz w:val="24"/>
                <w:szCs w:val="24"/>
                <w:highlight w:val="none"/>
                <w:lang w:val="en-US" w:eastAsia="zh-CN"/>
              </w:rPr>
              <w:t>具有健全的财务会计制度和良好的财务状况</w:t>
            </w:r>
          </w:p>
        </w:tc>
        <w:tc>
          <w:tcPr>
            <w:tcW w:w="5182" w:type="dxa"/>
            <w:vAlign w:val="center"/>
          </w:tcPr>
          <w:p w14:paraId="5861EF5B">
            <w:pPr>
              <w:spacing w:line="360" w:lineRule="auto"/>
              <w:ind w:left="0" w:leftChars="0" w:firstLine="0" w:firstLineChars="0"/>
              <w:jc w:val="left"/>
              <w:rPr>
                <w:rFonts w:hint="eastAsia" w:ascii="宋体" w:hAnsi="宋体" w:cs="宋体"/>
                <w:kern w:val="2"/>
                <w:sz w:val="24"/>
                <w:szCs w:val="24"/>
              </w:rPr>
            </w:pPr>
            <w:r>
              <w:rPr>
                <w:rFonts w:hint="eastAsia" w:ascii="宋体" w:hAnsi="宋体" w:eastAsia="宋体" w:cs="宋体"/>
                <w:color w:val="000000"/>
                <w:kern w:val="2"/>
                <w:sz w:val="24"/>
                <w:szCs w:val="24"/>
                <w:highlight w:val="none"/>
                <w:lang w:val="en-US" w:eastAsia="zh-CN" w:bidi="ar-SA"/>
              </w:rPr>
              <w:t>具有健全的财务会计制度和良好的财务状况，提供近三年来任意一个年度的财务审计报告或自行承诺；</w:t>
            </w:r>
          </w:p>
        </w:tc>
      </w:tr>
      <w:tr w14:paraId="7488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16" w:type="dxa"/>
            <w:vMerge w:val="continue"/>
            <w:vAlign w:val="center"/>
          </w:tcPr>
          <w:p w14:paraId="25ED47E1">
            <w:pPr>
              <w:widowControl w:val="0"/>
              <w:spacing w:line="360" w:lineRule="auto"/>
              <w:jc w:val="center"/>
              <w:rPr>
                <w:rFonts w:ascii="宋体" w:hAnsi="宋体" w:cs="宋体"/>
                <w:kern w:val="2"/>
                <w:sz w:val="24"/>
                <w:szCs w:val="24"/>
              </w:rPr>
            </w:pPr>
          </w:p>
        </w:tc>
        <w:tc>
          <w:tcPr>
            <w:tcW w:w="699" w:type="dxa"/>
            <w:vMerge w:val="continue"/>
            <w:vAlign w:val="center"/>
          </w:tcPr>
          <w:p w14:paraId="7E77CB3D">
            <w:pPr>
              <w:widowControl w:val="0"/>
              <w:spacing w:line="360" w:lineRule="auto"/>
              <w:jc w:val="center"/>
              <w:rPr>
                <w:rFonts w:ascii="宋体" w:hAnsi="宋体" w:cs="宋体"/>
                <w:kern w:val="2"/>
                <w:sz w:val="24"/>
                <w:szCs w:val="24"/>
              </w:rPr>
            </w:pPr>
          </w:p>
        </w:tc>
        <w:tc>
          <w:tcPr>
            <w:tcW w:w="3014" w:type="dxa"/>
            <w:vAlign w:val="center"/>
          </w:tcPr>
          <w:p w14:paraId="38CBCC97">
            <w:pPr>
              <w:spacing w:line="360" w:lineRule="auto"/>
              <w:ind w:left="0" w:leftChars="0" w:firstLine="0" w:firstLineChars="0"/>
              <w:jc w:val="center"/>
              <w:rPr>
                <w:rFonts w:hint="eastAsia" w:ascii="宋体" w:hAnsi="宋体" w:eastAsia="宋体" w:cs="宋体"/>
                <w:kern w:val="2"/>
                <w:sz w:val="24"/>
                <w:szCs w:val="24"/>
                <w:lang w:val="en-US" w:eastAsia="zh-CN"/>
              </w:rPr>
            </w:pPr>
            <w:r>
              <w:rPr>
                <w:rFonts w:hint="eastAsia" w:ascii="宋体" w:hAnsi="宋体" w:eastAsia="宋体" w:cs="宋体"/>
                <w:color w:val="000000"/>
                <w:kern w:val="2"/>
                <w:sz w:val="24"/>
                <w:szCs w:val="24"/>
                <w:highlight w:val="none"/>
                <w:lang w:val="en-US" w:eastAsia="zh-CN" w:bidi="ar-SA"/>
              </w:rPr>
              <w:t>参加政府采购活动前3年内无行贿犯罪记录</w:t>
            </w:r>
          </w:p>
        </w:tc>
        <w:tc>
          <w:tcPr>
            <w:tcW w:w="5182" w:type="dxa"/>
            <w:vAlign w:val="center"/>
          </w:tcPr>
          <w:p w14:paraId="416716EA">
            <w:pPr>
              <w:spacing w:line="360" w:lineRule="auto"/>
              <w:ind w:left="0" w:leftChars="0" w:firstLine="0" w:firstLineChars="0"/>
              <w:jc w:val="left"/>
              <w:rPr>
                <w:rFonts w:hint="eastAsia" w:ascii="宋体" w:hAnsi="宋体" w:cs="宋体"/>
                <w:kern w:val="2"/>
                <w:sz w:val="24"/>
                <w:szCs w:val="24"/>
              </w:rPr>
            </w:pPr>
            <w:r>
              <w:rPr>
                <w:rFonts w:hint="eastAsia" w:ascii="宋体" w:hAnsi="宋体" w:eastAsia="宋体" w:cs="宋体"/>
                <w:color w:val="000000"/>
                <w:kern w:val="2"/>
                <w:sz w:val="24"/>
                <w:szCs w:val="24"/>
                <w:highlight w:val="none"/>
                <w:lang w:val="en-US" w:eastAsia="zh-CN" w:bidi="ar-SA"/>
              </w:rPr>
              <w:t>参加政府采购活动前3年内无行贿犯罪记录，（开标时提供《中国裁判文书网》查询结果网页截图或企业自行承诺的无行贿犯罪承诺书，查询&lt;承诺&gt;对象为“企业，法定代表人，项目负责人”）；</w:t>
            </w:r>
          </w:p>
        </w:tc>
      </w:tr>
      <w:tr w14:paraId="781A1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16" w:type="dxa"/>
            <w:vMerge w:val="continue"/>
            <w:vAlign w:val="center"/>
          </w:tcPr>
          <w:p w14:paraId="5E9E60E3">
            <w:pPr>
              <w:widowControl w:val="0"/>
              <w:spacing w:line="360" w:lineRule="auto"/>
              <w:jc w:val="center"/>
              <w:rPr>
                <w:rFonts w:ascii="宋体" w:hAnsi="宋体" w:cs="宋体"/>
                <w:kern w:val="2"/>
                <w:sz w:val="24"/>
                <w:szCs w:val="24"/>
              </w:rPr>
            </w:pPr>
          </w:p>
        </w:tc>
        <w:tc>
          <w:tcPr>
            <w:tcW w:w="699" w:type="dxa"/>
            <w:vMerge w:val="continue"/>
            <w:vAlign w:val="center"/>
          </w:tcPr>
          <w:p w14:paraId="04D54C1B">
            <w:pPr>
              <w:widowControl w:val="0"/>
              <w:spacing w:line="360" w:lineRule="auto"/>
              <w:jc w:val="center"/>
              <w:rPr>
                <w:rFonts w:ascii="宋体" w:hAnsi="宋体" w:cs="宋体"/>
                <w:kern w:val="2"/>
                <w:sz w:val="24"/>
                <w:szCs w:val="24"/>
              </w:rPr>
            </w:pPr>
          </w:p>
        </w:tc>
        <w:tc>
          <w:tcPr>
            <w:tcW w:w="3014" w:type="dxa"/>
            <w:vAlign w:val="center"/>
          </w:tcPr>
          <w:p w14:paraId="4874E18E">
            <w:pPr>
              <w:spacing w:line="360" w:lineRule="auto"/>
              <w:ind w:left="0" w:leftChars="0" w:firstLine="0" w:firstLineChars="0"/>
              <w:jc w:val="center"/>
              <w:rPr>
                <w:rFonts w:hint="eastAsia" w:ascii="宋体" w:hAnsi="宋体" w:eastAsia="宋体" w:cs="宋体"/>
                <w:kern w:val="2"/>
                <w:sz w:val="24"/>
                <w:szCs w:val="24"/>
                <w:lang w:val="en-US" w:eastAsia="zh-CN"/>
              </w:rPr>
            </w:pPr>
            <w:r>
              <w:rPr>
                <w:rFonts w:hint="eastAsia" w:ascii="宋体" w:hAnsi="宋体" w:eastAsia="宋体" w:cs="宋体"/>
                <w:sz w:val="24"/>
                <w:szCs w:val="24"/>
                <w:highlight w:val="none"/>
                <w:lang w:val="en-US" w:eastAsia="zh-CN"/>
              </w:rPr>
              <w:t>参加政府采购活动前3年内无商业贿赂、不正当竞争行为、骗取中标、严重违约及重大工程质量等问题</w:t>
            </w:r>
          </w:p>
        </w:tc>
        <w:tc>
          <w:tcPr>
            <w:tcW w:w="5182" w:type="dxa"/>
            <w:vAlign w:val="center"/>
          </w:tcPr>
          <w:p w14:paraId="36BF68FB">
            <w:pPr>
              <w:spacing w:line="360" w:lineRule="auto"/>
              <w:ind w:left="0" w:leftChars="0" w:firstLine="0" w:firstLineChars="0"/>
              <w:jc w:val="left"/>
              <w:rPr>
                <w:rFonts w:hint="eastAsia" w:ascii="宋体" w:hAnsi="宋体" w:cs="宋体"/>
                <w:kern w:val="2"/>
                <w:sz w:val="24"/>
                <w:szCs w:val="24"/>
              </w:rPr>
            </w:pPr>
            <w:r>
              <w:rPr>
                <w:rFonts w:hint="eastAsia" w:ascii="宋体" w:hAnsi="宋体" w:eastAsia="宋体" w:cs="宋体"/>
                <w:sz w:val="24"/>
                <w:szCs w:val="24"/>
                <w:highlight w:val="none"/>
                <w:lang w:val="en-US" w:eastAsia="zh-CN"/>
              </w:rPr>
              <w:t>参加政府采购活动前3年内无商业贿赂、不正当竞争行为、骗取中标、严重违约及重大工程质量等问题（供应商须自行出具承诺书）</w:t>
            </w:r>
          </w:p>
        </w:tc>
      </w:tr>
      <w:tr w14:paraId="010C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16" w:type="dxa"/>
            <w:vMerge w:val="continue"/>
            <w:vAlign w:val="center"/>
          </w:tcPr>
          <w:p w14:paraId="5D144F1A">
            <w:pPr>
              <w:widowControl w:val="0"/>
              <w:spacing w:line="360" w:lineRule="auto"/>
              <w:jc w:val="center"/>
              <w:rPr>
                <w:rFonts w:ascii="宋体" w:hAnsi="宋体" w:cs="宋体"/>
                <w:kern w:val="2"/>
                <w:sz w:val="24"/>
                <w:szCs w:val="24"/>
              </w:rPr>
            </w:pPr>
          </w:p>
        </w:tc>
        <w:tc>
          <w:tcPr>
            <w:tcW w:w="699" w:type="dxa"/>
            <w:vMerge w:val="continue"/>
            <w:vAlign w:val="center"/>
          </w:tcPr>
          <w:p w14:paraId="69B8D489">
            <w:pPr>
              <w:widowControl w:val="0"/>
              <w:spacing w:line="360" w:lineRule="auto"/>
              <w:jc w:val="center"/>
              <w:rPr>
                <w:rFonts w:ascii="宋体" w:hAnsi="宋体" w:cs="宋体"/>
                <w:kern w:val="2"/>
                <w:sz w:val="24"/>
                <w:szCs w:val="24"/>
              </w:rPr>
            </w:pPr>
          </w:p>
        </w:tc>
        <w:tc>
          <w:tcPr>
            <w:tcW w:w="3014" w:type="dxa"/>
            <w:vAlign w:val="center"/>
          </w:tcPr>
          <w:p w14:paraId="6B8D31F5">
            <w:pPr>
              <w:spacing w:line="360" w:lineRule="auto"/>
              <w:ind w:left="0" w:leftChars="0" w:firstLine="0" w:firstLineChars="0"/>
              <w:jc w:val="center"/>
              <w:rPr>
                <w:rFonts w:hint="eastAsia" w:ascii="宋体" w:hAnsi="宋体" w:eastAsia="宋体" w:cs="宋体"/>
                <w:kern w:val="2"/>
                <w:sz w:val="24"/>
                <w:szCs w:val="24"/>
                <w:lang w:val="en-US" w:eastAsia="zh-CN"/>
              </w:rPr>
            </w:pPr>
            <w:r>
              <w:rPr>
                <w:rFonts w:hint="eastAsia" w:ascii="宋体" w:hAnsi="宋体" w:eastAsia="宋体" w:cs="宋体"/>
                <w:color w:val="000000"/>
                <w:sz w:val="24"/>
                <w:szCs w:val="24"/>
                <w:highlight w:val="none"/>
                <w:lang w:val="en-US" w:eastAsia="zh-CN"/>
              </w:rPr>
              <w:t>信用查询</w:t>
            </w:r>
          </w:p>
        </w:tc>
        <w:tc>
          <w:tcPr>
            <w:tcW w:w="5182" w:type="dxa"/>
            <w:vAlign w:val="center"/>
          </w:tcPr>
          <w:p w14:paraId="0143CB4B">
            <w:pPr>
              <w:spacing w:line="360" w:lineRule="auto"/>
              <w:ind w:left="0" w:leftChars="0" w:firstLine="0" w:firstLineChars="0"/>
              <w:jc w:val="left"/>
              <w:rPr>
                <w:rFonts w:hint="eastAsia" w:ascii="宋体" w:hAnsi="宋体" w:cs="宋体"/>
                <w:kern w:val="2"/>
                <w:sz w:val="24"/>
                <w:szCs w:val="24"/>
              </w:rPr>
            </w:pPr>
            <w:r>
              <w:rPr>
                <w:rFonts w:hint="eastAsia" w:ascii="宋体" w:hAnsi="宋体" w:cs="宋体"/>
                <w:kern w:val="2"/>
                <w:sz w:val="24"/>
                <w:szCs w:val="24"/>
                <w:lang w:val="en-US"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注：査询时间必须是磋商公告发布以后开标时间以前并提供网站查询网页截图，查询结果清晰可见)；</w:t>
            </w:r>
          </w:p>
        </w:tc>
      </w:tr>
      <w:tr w14:paraId="2CFB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16" w:type="dxa"/>
            <w:vMerge w:val="continue"/>
            <w:vAlign w:val="center"/>
          </w:tcPr>
          <w:p w14:paraId="62AAB44B">
            <w:pPr>
              <w:widowControl w:val="0"/>
              <w:spacing w:line="360" w:lineRule="auto"/>
              <w:jc w:val="center"/>
              <w:rPr>
                <w:rFonts w:ascii="宋体" w:hAnsi="宋体" w:cs="宋体"/>
                <w:kern w:val="2"/>
                <w:sz w:val="24"/>
                <w:szCs w:val="24"/>
              </w:rPr>
            </w:pPr>
          </w:p>
        </w:tc>
        <w:tc>
          <w:tcPr>
            <w:tcW w:w="699" w:type="dxa"/>
            <w:vMerge w:val="continue"/>
            <w:vAlign w:val="center"/>
          </w:tcPr>
          <w:p w14:paraId="782A8409">
            <w:pPr>
              <w:widowControl w:val="0"/>
              <w:spacing w:line="360" w:lineRule="auto"/>
              <w:jc w:val="center"/>
              <w:rPr>
                <w:rFonts w:ascii="宋体" w:hAnsi="宋体" w:cs="宋体"/>
                <w:kern w:val="2"/>
                <w:sz w:val="24"/>
                <w:szCs w:val="24"/>
              </w:rPr>
            </w:pPr>
          </w:p>
        </w:tc>
        <w:tc>
          <w:tcPr>
            <w:tcW w:w="3014" w:type="dxa"/>
            <w:vAlign w:val="center"/>
          </w:tcPr>
          <w:p w14:paraId="64398A2F">
            <w:pPr>
              <w:spacing w:line="360" w:lineRule="auto"/>
              <w:ind w:left="0" w:leftChars="0" w:firstLine="0" w:firstLineChars="0"/>
              <w:jc w:val="center"/>
              <w:rPr>
                <w:rFonts w:hint="eastAsia" w:ascii="宋体" w:hAnsi="宋体" w:eastAsia="宋体" w:cs="宋体"/>
                <w:kern w:val="2"/>
                <w:sz w:val="24"/>
                <w:szCs w:val="24"/>
                <w:lang w:val="zh-CN" w:eastAsia="zh-CN"/>
              </w:rPr>
            </w:pPr>
            <w:r>
              <w:rPr>
                <w:rFonts w:hint="eastAsia" w:ascii="宋体" w:hAnsi="宋体" w:eastAsia="宋体" w:cs="宋体"/>
                <w:color w:val="000000"/>
                <w:kern w:val="2"/>
                <w:sz w:val="24"/>
                <w:szCs w:val="24"/>
                <w:highlight w:val="none"/>
                <w:lang w:val="en-US" w:eastAsia="zh-CN" w:bidi="ar-SA"/>
              </w:rPr>
              <w:t>单位负责人为同一人或者存在控股、管理关系的不同单位，不得同时参加本项目的投标</w:t>
            </w:r>
          </w:p>
        </w:tc>
        <w:tc>
          <w:tcPr>
            <w:tcW w:w="5182" w:type="dxa"/>
            <w:vAlign w:val="center"/>
          </w:tcPr>
          <w:p w14:paraId="2E6B96D9">
            <w:pPr>
              <w:spacing w:line="360" w:lineRule="auto"/>
              <w:ind w:left="0" w:leftChars="0" w:firstLine="0" w:firstLineChars="0"/>
              <w:jc w:val="left"/>
              <w:rPr>
                <w:rFonts w:hint="eastAsia" w:ascii="宋体" w:hAnsi="宋体" w:cs="宋体"/>
                <w:kern w:val="2"/>
                <w:sz w:val="24"/>
                <w:szCs w:val="24"/>
              </w:rPr>
            </w:pPr>
            <w:r>
              <w:rPr>
                <w:rFonts w:hint="eastAsia" w:ascii="宋体" w:hAnsi="宋体" w:eastAsia="宋体" w:cs="宋体"/>
                <w:sz w:val="24"/>
                <w:szCs w:val="24"/>
                <w:highlight w:val="none"/>
                <w:lang w:val="en-US" w:eastAsia="zh-CN"/>
              </w:rPr>
              <w:t>单位负责人为同一人或者存在控股、管理关系的不同单位，不得同时参加本项目的投标；（提供“国家企业信用信息公示系统”中公示的公司信息、股东或投资人信息查询截图）</w:t>
            </w:r>
          </w:p>
        </w:tc>
      </w:tr>
      <w:tr w14:paraId="3477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816" w:type="dxa"/>
            <w:vMerge w:val="continue"/>
            <w:vAlign w:val="center"/>
          </w:tcPr>
          <w:p w14:paraId="2EB3033E">
            <w:pPr>
              <w:widowControl w:val="0"/>
              <w:spacing w:line="360" w:lineRule="auto"/>
              <w:jc w:val="center"/>
              <w:rPr>
                <w:rFonts w:ascii="宋体" w:hAnsi="宋体" w:cs="宋体"/>
                <w:kern w:val="2"/>
                <w:sz w:val="24"/>
                <w:szCs w:val="24"/>
              </w:rPr>
            </w:pPr>
          </w:p>
        </w:tc>
        <w:tc>
          <w:tcPr>
            <w:tcW w:w="699" w:type="dxa"/>
            <w:vMerge w:val="continue"/>
            <w:vAlign w:val="center"/>
          </w:tcPr>
          <w:p w14:paraId="1B1D90A8">
            <w:pPr>
              <w:widowControl w:val="0"/>
              <w:spacing w:line="360" w:lineRule="auto"/>
              <w:jc w:val="center"/>
              <w:rPr>
                <w:rFonts w:ascii="宋体" w:hAnsi="宋体" w:cs="宋体"/>
                <w:kern w:val="2"/>
                <w:sz w:val="24"/>
                <w:szCs w:val="24"/>
              </w:rPr>
            </w:pPr>
          </w:p>
        </w:tc>
        <w:tc>
          <w:tcPr>
            <w:tcW w:w="3014" w:type="dxa"/>
            <w:vAlign w:val="center"/>
          </w:tcPr>
          <w:p w14:paraId="416AE8FF">
            <w:pPr>
              <w:spacing w:line="360" w:lineRule="auto"/>
              <w:ind w:left="0" w:leftChars="0" w:firstLine="0" w:firstLineChars="0"/>
              <w:jc w:val="center"/>
              <w:rPr>
                <w:rFonts w:hint="eastAsia" w:ascii="宋体" w:hAnsi="宋体" w:eastAsia="宋体" w:cs="宋体"/>
                <w:kern w:val="2"/>
                <w:sz w:val="24"/>
                <w:szCs w:val="24"/>
                <w:lang w:val="zh-CN" w:eastAsia="zh-CN"/>
              </w:rPr>
            </w:pPr>
            <w:r>
              <w:rPr>
                <w:rFonts w:hint="eastAsia" w:ascii="宋体" w:hAnsi="宋体" w:eastAsia="宋体" w:cs="宋体"/>
                <w:color w:val="000000"/>
                <w:sz w:val="24"/>
                <w:szCs w:val="24"/>
                <w:highlight w:val="none"/>
              </w:rPr>
              <w:t>其他要求</w:t>
            </w:r>
          </w:p>
        </w:tc>
        <w:tc>
          <w:tcPr>
            <w:tcW w:w="5182" w:type="dxa"/>
            <w:vAlign w:val="center"/>
          </w:tcPr>
          <w:p w14:paraId="3D660087">
            <w:pPr>
              <w:spacing w:line="360" w:lineRule="auto"/>
              <w:ind w:left="0" w:leftChars="0" w:firstLine="0" w:firstLineChars="0"/>
              <w:jc w:val="left"/>
              <w:rPr>
                <w:rFonts w:hint="eastAsia" w:ascii="宋体" w:hAnsi="宋体" w:cs="宋体"/>
                <w:kern w:val="2"/>
                <w:sz w:val="24"/>
                <w:szCs w:val="24"/>
              </w:rPr>
            </w:pPr>
            <w:r>
              <w:rPr>
                <w:rFonts w:hint="eastAsia" w:ascii="宋体" w:hAnsi="宋体" w:eastAsia="宋体" w:cs="宋体"/>
                <w:color w:val="000000"/>
                <w:sz w:val="24"/>
                <w:szCs w:val="24"/>
                <w:highlight w:val="none"/>
                <w:lang w:val="en-US" w:eastAsia="zh-CN"/>
              </w:rPr>
              <w:t>1、本项目实行资格后审（提供承诺书，格式自拟）2、</w:t>
            </w:r>
            <w:r>
              <w:rPr>
                <w:rFonts w:hint="eastAsia" w:ascii="宋体" w:hAnsi="宋体" w:eastAsia="宋体" w:cs="宋体"/>
                <w:color w:val="000000"/>
                <w:sz w:val="24"/>
                <w:szCs w:val="24"/>
                <w:highlight w:val="none"/>
              </w:rPr>
              <w:t>本项目不接受联合体</w:t>
            </w:r>
            <w:r>
              <w:rPr>
                <w:rFonts w:hint="eastAsia" w:ascii="宋体" w:hAnsi="宋体" w:cs="宋体"/>
                <w:color w:val="000000"/>
                <w:sz w:val="24"/>
                <w:szCs w:val="24"/>
                <w:highlight w:val="none"/>
                <w:lang w:val="en-US" w:eastAsia="zh-CN"/>
              </w:rPr>
              <w:t>投标</w:t>
            </w:r>
            <w:r>
              <w:rPr>
                <w:rFonts w:hint="eastAsia" w:ascii="宋体" w:hAnsi="宋体" w:eastAsia="宋体" w:cs="宋体"/>
                <w:color w:val="000000"/>
                <w:sz w:val="24"/>
                <w:szCs w:val="24"/>
                <w:highlight w:val="none"/>
              </w:rPr>
              <w:t>（提供非联合体声明函）</w:t>
            </w:r>
          </w:p>
        </w:tc>
      </w:tr>
      <w:tr w14:paraId="1F11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16" w:type="dxa"/>
            <w:vMerge w:val="restart"/>
            <w:vAlign w:val="center"/>
          </w:tcPr>
          <w:p w14:paraId="7B89B421">
            <w:pPr>
              <w:widowControl w:val="0"/>
              <w:spacing w:line="360" w:lineRule="auto"/>
              <w:ind w:left="0" w:leftChars="0" w:firstLine="0" w:firstLineChars="0"/>
              <w:jc w:val="both"/>
              <w:rPr>
                <w:rFonts w:ascii="宋体" w:hAnsi="宋体" w:cs="宋体"/>
                <w:kern w:val="2"/>
                <w:sz w:val="24"/>
                <w:szCs w:val="24"/>
              </w:rPr>
            </w:pPr>
            <w:r>
              <w:rPr>
                <w:rFonts w:ascii="宋体" w:hAnsi="宋体" w:cs="宋体"/>
                <w:kern w:val="2"/>
                <w:sz w:val="24"/>
                <w:szCs w:val="24"/>
              </w:rPr>
              <w:t>2.1.2</w:t>
            </w:r>
          </w:p>
        </w:tc>
        <w:tc>
          <w:tcPr>
            <w:tcW w:w="699" w:type="dxa"/>
            <w:vMerge w:val="restart"/>
            <w:vAlign w:val="center"/>
          </w:tcPr>
          <w:p w14:paraId="2948D651">
            <w:pPr>
              <w:widowControl w:val="0"/>
              <w:spacing w:line="360" w:lineRule="auto"/>
              <w:ind w:left="0" w:leftChars="0" w:firstLine="0" w:firstLineChars="0"/>
              <w:jc w:val="center"/>
              <w:rPr>
                <w:rFonts w:ascii="宋体" w:hAnsi="宋体" w:cs="宋体"/>
                <w:kern w:val="2"/>
                <w:sz w:val="24"/>
                <w:szCs w:val="24"/>
              </w:rPr>
            </w:pPr>
            <w:r>
              <w:rPr>
                <w:rFonts w:hint="eastAsia" w:ascii="宋体" w:hAnsi="宋体" w:cs="宋体"/>
                <w:kern w:val="2"/>
                <w:sz w:val="24"/>
                <w:szCs w:val="24"/>
              </w:rPr>
              <w:t>实质</w:t>
            </w:r>
            <w:r>
              <w:rPr>
                <w:rFonts w:ascii="宋体" w:hAnsi="宋体" w:cs="宋体"/>
                <w:kern w:val="2"/>
                <w:sz w:val="24"/>
                <w:szCs w:val="24"/>
              </w:rPr>
              <w:t>性</w:t>
            </w:r>
            <w:r>
              <w:rPr>
                <w:rFonts w:hint="eastAsia" w:ascii="宋体" w:hAnsi="宋体" w:cs="宋体"/>
                <w:kern w:val="2"/>
                <w:sz w:val="24"/>
                <w:szCs w:val="24"/>
              </w:rPr>
              <w:t>响应</w:t>
            </w:r>
            <w:r>
              <w:rPr>
                <w:rFonts w:ascii="宋体" w:hAnsi="宋体" w:cs="宋体"/>
                <w:kern w:val="2"/>
                <w:sz w:val="24"/>
                <w:szCs w:val="24"/>
              </w:rPr>
              <w:t>审查</w:t>
            </w:r>
          </w:p>
        </w:tc>
        <w:tc>
          <w:tcPr>
            <w:tcW w:w="3014" w:type="dxa"/>
            <w:vAlign w:val="center"/>
          </w:tcPr>
          <w:p w14:paraId="068C69D2">
            <w:pPr>
              <w:widowControl w:val="0"/>
              <w:spacing w:line="360" w:lineRule="auto"/>
              <w:ind w:left="0" w:leftChars="0" w:firstLine="0" w:firstLineChars="0"/>
              <w:jc w:val="center"/>
              <w:rPr>
                <w:rFonts w:hint="eastAsia" w:ascii="宋体" w:hAnsi="宋体" w:cs="宋体"/>
                <w:kern w:val="2"/>
                <w:sz w:val="24"/>
                <w:szCs w:val="24"/>
                <w:lang w:val="zh-CN"/>
              </w:rPr>
            </w:pPr>
            <w:r>
              <w:rPr>
                <w:rFonts w:hint="eastAsia" w:ascii="宋体" w:hAnsi="宋体" w:cs="宋体"/>
                <w:kern w:val="2"/>
                <w:sz w:val="24"/>
                <w:szCs w:val="24"/>
                <w:lang w:val="zh-CN"/>
              </w:rPr>
              <w:t>服务地点</w:t>
            </w:r>
          </w:p>
        </w:tc>
        <w:tc>
          <w:tcPr>
            <w:tcW w:w="5182" w:type="dxa"/>
            <w:vAlign w:val="center"/>
          </w:tcPr>
          <w:p w14:paraId="7658AFF5">
            <w:pPr>
              <w:widowControl w:val="0"/>
              <w:spacing w:line="360" w:lineRule="auto"/>
              <w:ind w:left="0" w:leftChars="0" w:firstLine="0" w:firstLineChars="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采购人指定地点</w:t>
            </w:r>
          </w:p>
        </w:tc>
      </w:tr>
      <w:tr w14:paraId="6165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16" w:type="dxa"/>
            <w:vMerge w:val="continue"/>
            <w:vAlign w:val="center"/>
          </w:tcPr>
          <w:p w14:paraId="615107E4">
            <w:pPr>
              <w:spacing w:line="360" w:lineRule="auto"/>
              <w:rPr>
                <w:rFonts w:ascii="宋体" w:hAnsi="宋体" w:cs="宋体"/>
                <w:kern w:val="2"/>
                <w:sz w:val="24"/>
                <w:szCs w:val="24"/>
              </w:rPr>
            </w:pPr>
          </w:p>
        </w:tc>
        <w:tc>
          <w:tcPr>
            <w:tcW w:w="699" w:type="dxa"/>
            <w:vMerge w:val="continue"/>
            <w:vAlign w:val="center"/>
          </w:tcPr>
          <w:p w14:paraId="3B94D6DE">
            <w:pPr>
              <w:spacing w:line="360" w:lineRule="auto"/>
              <w:rPr>
                <w:rFonts w:ascii="宋体" w:hAnsi="宋体" w:cs="宋体"/>
                <w:kern w:val="2"/>
                <w:sz w:val="24"/>
                <w:szCs w:val="24"/>
              </w:rPr>
            </w:pPr>
          </w:p>
        </w:tc>
        <w:tc>
          <w:tcPr>
            <w:tcW w:w="3014" w:type="dxa"/>
            <w:vAlign w:val="center"/>
          </w:tcPr>
          <w:p w14:paraId="43A401F0">
            <w:pPr>
              <w:widowControl w:val="0"/>
              <w:spacing w:line="360" w:lineRule="auto"/>
              <w:ind w:left="0" w:leftChars="0" w:firstLine="0" w:firstLineChars="0"/>
              <w:jc w:val="center"/>
              <w:rPr>
                <w:rFonts w:hint="eastAsia" w:ascii="宋体" w:hAnsi="宋体" w:cs="宋体"/>
                <w:kern w:val="2"/>
                <w:sz w:val="24"/>
                <w:szCs w:val="24"/>
                <w:lang w:val="zh-CN"/>
              </w:rPr>
            </w:pPr>
            <w:r>
              <w:rPr>
                <w:rFonts w:hint="eastAsia" w:ascii="宋体" w:hAnsi="宋体" w:cs="宋体"/>
                <w:kern w:val="2"/>
                <w:sz w:val="24"/>
                <w:szCs w:val="24"/>
                <w:lang w:val="zh-CN"/>
              </w:rPr>
              <w:t>服务期限</w:t>
            </w:r>
          </w:p>
        </w:tc>
        <w:tc>
          <w:tcPr>
            <w:tcW w:w="5182" w:type="dxa"/>
            <w:vAlign w:val="center"/>
          </w:tcPr>
          <w:p w14:paraId="7E03E120">
            <w:pPr>
              <w:widowControl w:val="0"/>
              <w:spacing w:line="360" w:lineRule="auto"/>
              <w:ind w:left="0" w:leftChars="0" w:firstLine="0" w:firstLineChars="0"/>
              <w:jc w:val="both"/>
              <w:rPr>
                <w:rFonts w:hint="eastAsia" w:ascii="宋体" w:hAnsi="宋体" w:cs="宋体"/>
                <w:kern w:val="2"/>
                <w:sz w:val="24"/>
                <w:szCs w:val="24"/>
              </w:rPr>
            </w:pPr>
            <w:r>
              <w:rPr>
                <w:rFonts w:hint="eastAsia" w:ascii="宋体" w:hAnsi="宋体" w:cs="宋体"/>
                <w:kern w:val="2"/>
                <w:sz w:val="24"/>
                <w:szCs w:val="24"/>
                <w:lang w:val="en-US" w:eastAsia="zh-CN"/>
              </w:rPr>
              <w:t>2年（合同1年1签）</w:t>
            </w:r>
          </w:p>
        </w:tc>
      </w:tr>
      <w:tr w14:paraId="67C7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16" w:type="dxa"/>
            <w:vMerge w:val="continue"/>
            <w:vAlign w:val="center"/>
          </w:tcPr>
          <w:p w14:paraId="6D33DB9B">
            <w:pPr>
              <w:spacing w:line="360" w:lineRule="auto"/>
              <w:rPr>
                <w:rFonts w:ascii="宋体" w:hAnsi="宋体" w:cs="宋体"/>
                <w:kern w:val="2"/>
                <w:sz w:val="24"/>
                <w:szCs w:val="24"/>
              </w:rPr>
            </w:pPr>
          </w:p>
        </w:tc>
        <w:tc>
          <w:tcPr>
            <w:tcW w:w="699" w:type="dxa"/>
            <w:vMerge w:val="continue"/>
            <w:vAlign w:val="center"/>
          </w:tcPr>
          <w:p w14:paraId="36DF6AD7">
            <w:pPr>
              <w:spacing w:line="360" w:lineRule="auto"/>
              <w:rPr>
                <w:rFonts w:ascii="宋体" w:hAnsi="宋体" w:cs="宋体"/>
                <w:kern w:val="2"/>
                <w:sz w:val="24"/>
                <w:szCs w:val="24"/>
              </w:rPr>
            </w:pPr>
          </w:p>
        </w:tc>
        <w:tc>
          <w:tcPr>
            <w:tcW w:w="3014" w:type="dxa"/>
            <w:vAlign w:val="center"/>
          </w:tcPr>
          <w:p w14:paraId="305E2A8D">
            <w:pPr>
              <w:widowControl w:val="0"/>
              <w:spacing w:line="360" w:lineRule="auto"/>
              <w:ind w:left="0" w:leftChars="0" w:firstLine="0" w:firstLineChars="0"/>
              <w:jc w:val="center"/>
              <w:rPr>
                <w:rFonts w:hint="eastAsia" w:ascii="宋体" w:hAnsi="宋体" w:eastAsia="宋体" w:cs="宋体"/>
                <w:kern w:val="2"/>
                <w:sz w:val="24"/>
                <w:szCs w:val="24"/>
                <w:lang w:val="zh-CN" w:eastAsia="zh-CN"/>
              </w:rPr>
            </w:pPr>
            <w:r>
              <w:rPr>
                <w:rFonts w:hint="eastAsia" w:ascii="宋体" w:hAnsi="宋体" w:cs="宋体"/>
                <w:kern w:val="2"/>
                <w:sz w:val="24"/>
                <w:szCs w:val="24"/>
                <w:lang w:val="en-US" w:eastAsia="zh-CN"/>
              </w:rPr>
              <w:t>质量</w:t>
            </w:r>
            <w:r>
              <w:rPr>
                <w:rFonts w:hint="eastAsia" w:ascii="宋体" w:hAnsi="宋体" w:eastAsia="宋体" w:cs="宋体"/>
                <w:kern w:val="2"/>
                <w:sz w:val="24"/>
                <w:szCs w:val="24"/>
                <w:lang w:val="zh-CN" w:eastAsia="zh-CN"/>
              </w:rPr>
              <w:t>要求</w:t>
            </w:r>
          </w:p>
        </w:tc>
        <w:tc>
          <w:tcPr>
            <w:tcW w:w="5182" w:type="dxa"/>
            <w:vAlign w:val="center"/>
          </w:tcPr>
          <w:p w14:paraId="693BE378">
            <w:pPr>
              <w:widowControl w:val="0"/>
              <w:spacing w:line="360" w:lineRule="auto"/>
              <w:ind w:left="0" w:leftChars="0" w:firstLine="0" w:firstLineChars="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产品质量合格，符合国家及行业相关食品卫生安全要求，且符合采购人要求。</w:t>
            </w:r>
          </w:p>
        </w:tc>
      </w:tr>
      <w:tr w14:paraId="4025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16" w:type="dxa"/>
            <w:vMerge w:val="continue"/>
            <w:vAlign w:val="center"/>
          </w:tcPr>
          <w:p w14:paraId="1CB5F7C9">
            <w:pPr>
              <w:spacing w:line="360" w:lineRule="auto"/>
              <w:rPr>
                <w:rFonts w:ascii="宋体" w:hAnsi="宋体" w:cs="宋体"/>
                <w:kern w:val="2"/>
                <w:sz w:val="24"/>
                <w:szCs w:val="24"/>
              </w:rPr>
            </w:pPr>
          </w:p>
        </w:tc>
        <w:tc>
          <w:tcPr>
            <w:tcW w:w="699" w:type="dxa"/>
            <w:vMerge w:val="continue"/>
            <w:vAlign w:val="center"/>
          </w:tcPr>
          <w:p w14:paraId="5A98DF0F">
            <w:pPr>
              <w:spacing w:line="360" w:lineRule="auto"/>
              <w:rPr>
                <w:rFonts w:ascii="宋体" w:hAnsi="宋体" w:cs="宋体"/>
                <w:kern w:val="2"/>
                <w:sz w:val="24"/>
                <w:szCs w:val="24"/>
              </w:rPr>
            </w:pPr>
          </w:p>
        </w:tc>
        <w:tc>
          <w:tcPr>
            <w:tcW w:w="3014" w:type="dxa"/>
            <w:vAlign w:val="center"/>
          </w:tcPr>
          <w:p w14:paraId="3CD7E133">
            <w:pPr>
              <w:widowControl w:val="0"/>
              <w:spacing w:line="360" w:lineRule="auto"/>
              <w:ind w:left="0" w:leftChars="0" w:firstLine="0" w:firstLineChars="0"/>
              <w:jc w:val="center"/>
              <w:rPr>
                <w:rFonts w:hint="eastAsia" w:ascii="宋体" w:hAnsi="宋体" w:cs="宋体"/>
                <w:kern w:val="2"/>
                <w:sz w:val="24"/>
                <w:szCs w:val="24"/>
                <w:lang w:val="zh-CN"/>
              </w:rPr>
            </w:pPr>
            <w:r>
              <w:rPr>
                <w:rFonts w:hint="eastAsia" w:ascii="宋体" w:hAnsi="宋体" w:cs="宋体"/>
                <w:kern w:val="2"/>
                <w:sz w:val="24"/>
                <w:szCs w:val="24"/>
                <w:lang w:val="zh-CN"/>
              </w:rPr>
              <w:t>磋商有效期</w:t>
            </w:r>
          </w:p>
        </w:tc>
        <w:tc>
          <w:tcPr>
            <w:tcW w:w="5182" w:type="dxa"/>
            <w:vAlign w:val="center"/>
          </w:tcPr>
          <w:p w14:paraId="17E82BF8">
            <w:pPr>
              <w:widowControl w:val="0"/>
              <w:spacing w:line="360" w:lineRule="auto"/>
              <w:ind w:left="0" w:leftChars="0" w:firstLine="0" w:firstLineChars="0"/>
              <w:jc w:val="both"/>
              <w:rPr>
                <w:rFonts w:hint="eastAsia" w:ascii="宋体" w:hAnsi="宋体" w:cs="宋体"/>
                <w:kern w:val="2"/>
                <w:sz w:val="24"/>
                <w:szCs w:val="24"/>
              </w:rPr>
            </w:pPr>
            <w:r>
              <w:rPr>
                <w:rFonts w:hint="eastAsia" w:ascii="宋体" w:hAnsi="宋体" w:cs="宋体"/>
                <w:spacing w:val="6"/>
                <w:kern w:val="2"/>
                <w:sz w:val="24"/>
                <w:szCs w:val="24"/>
              </w:rPr>
              <w:t>60日历天(指本次采购项目递交响应性文件截止之日起</w:t>
            </w:r>
            <w:r>
              <w:rPr>
                <w:rFonts w:hint="eastAsia" w:ascii="宋体" w:hAnsi="宋体" w:cs="宋体"/>
                <w:spacing w:val="6"/>
                <w:kern w:val="2"/>
                <w:sz w:val="24"/>
                <w:szCs w:val="24"/>
                <w:lang w:eastAsia="zh-CN"/>
              </w:rPr>
              <w:t>）</w:t>
            </w:r>
          </w:p>
        </w:tc>
      </w:tr>
      <w:tr w14:paraId="6929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16" w:type="dxa"/>
            <w:vMerge w:val="continue"/>
            <w:vAlign w:val="center"/>
          </w:tcPr>
          <w:p w14:paraId="6B2FE121">
            <w:pPr>
              <w:spacing w:line="360" w:lineRule="auto"/>
              <w:rPr>
                <w:rFonts w:ascii="宋体" w:hAnsi="宋体" w:cs="宋体"/>
                <w:kern w:val="2"/>
                <w:sz w:val="24"/>
                <w:szCs w:val="24"/>
              </w:rPr>
            </w:pPr>
          </w:p>
        </w:tc>
        <w:tc>
          <w:tcPr>
            <w:tcW w:w="699" w:type="dxa"/>
            <w:vMerge w:val="continue"/>
            <w:vAlign w:val="center"/>
          </w:tcPr>
          <w:p w14:paraId="513F0CCF">
            <w:pPr>
              <w:spacing w:line="360" w:lineRule="auto"/>
              <w:rPr>
                <w:rFonts w:ascii="宋体" w:hAnsi="宋体" w:cs="宋体"/>
                <w:kern w:val="2"/>
                <w:sz w:val="24"/>
                <w:szCs w:val="24"/>
              </w:rPr>
            </w:pPr>
          </w:p>
        </w:tc>
        <w:tc>
          <w:tcPr>
            <w:tcW w:w="3014" w:type="dxa"/>
            <w:vAlign w:val="center"/>
          </w:tcPr>
          <w:p w14:paraId="54F811C9">
            <w:pPr>
              <w:widowControl w:val="0"/>
              <w:spacing w:line="360" w:lineRule="auto"/>
              <w:ind w:left="0" w:leftChars="0" w:firstLine="0" w:firstLineChars="0"/>
              <w:jc w:val="center"/>
              <w:rPr>
                <w:rFonts w:hint="eastAsia" w:ascii="宋体" w:hAnsi="宋体" w:cs="宋体"/>
                <w:kern w:val="2"/>
                <w:sz w:val="24"/>
                <w:szCs w:val="24"/>
                <w:lang w:val="zh-CN"/>
              </w:rPr>
            </w:pPr>
            <w:r>
              <w:rPr>
                <w:rFonts w:hint="eastAsia" w:ascii="宋体" w:hAnsi="宋体" w:cs="宋体"/>
                <w:kern w:val="2"/>
                <w:sz w:val="24"/>
                <w:szCs w:val="24"/>
                <w:lang w:val="zh-CN"/>
              </w:rPr>
              <w:t>磋商报价</w:t>
            </w:r>
          </w:p>
        </w:tc>
        <w:tc>
          <w:tcPr>
            <w:tcW w:w="5182" w:type="dxa"/>
            <w:vAlign w:val="center"/>
          </w:tcPr>
          <w:p w14:paraId="308A37EC">
            <w:pPr>
              <w:widowControl w:val="0"/>
              <w:spacing w:line="360" w:lineRule="auto"/>
              <w:ind w:left="0" w:leftChars="0" w:firstLine="0" w:firstLineChars="0"/>
              <w:jc w:val="both"/>
              <w:rPr>
                <w:rFonts w:hint="eastAsia" w:ascii="宋体" w:hAnsi="宋体" w:cs="宋体"/>
                <w:kern w:val="2"/>
                <w:sz w:val="24"/>
                <w:szCs w:val="24"/>
              </w:rPr>
            </w:pPr>
            <w:r>
              <w:rPr>
                <w:rFonts w:hint="eastAsia" w:ascii="宋体" w:hAnsi="宋体" w:cs="宋体"/>
                <w:kern w:val="2"/>
                <w:sz w:val="24"/>
                <w:szCs w:val="24"/>
              </w:rPr>
              <w:t>供应商的报价不能超出磋商预算价（超出按废标处理）</w:t>
            </w:r>
          </w:p>
        </w:tc>
      </w:tr>
      <w:tr w14:paraId="1ED8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16" w:type="dxa"/>
            <w:vMerge w:val="restart"/>
            <w:vAlign w:val="center"/>
          </w:tcPr>
          <w:p w14:paraId="32B5CEFA">
            <w:pPr>
              <w:spacing w:line="360" w:lineRule="auto"/>
              <w:ind w:left="0" w:leftChars="0" w:firstLine="0" w:firstLineChars="0"/>
              <w:rPr>
                <w:rFonts w:ascii="宋体" w:hAnsi="宋体" w:cs="宋体"/>
                <w:kern w:val="2"/>
                <w:sz w:val="24"/>
                <w:szCs w:val="24"/>
              </w:rPr>
            </w:pPr>
            <w:r>
              <w:rPr>
                <w:rFonts w:hint="eastAsia" w:ascii="宋体" w:hAnsi="宋体" w:cs="宋体"/>
                <w:kern w:val="2"/>
                <w:sz w:val="24"/>
                <w:szCs w:val="24"/>
              </w:rPr>
              <w:t>2.1.3</w:t>
            </w:r>
          </w:p>
        </w:tc>
        <w:tc>
          <w:tcPr>
            <w:tcW w:w="699" w:type="dxa"/>
            <w:vMerge w:val="restart"/>
            <w:vAlign w:val="center"/>
          </w:tcPr>
          <w:p w14:paraId="269EB813">
            <w:pPr>
              <w:widowControl w:val="0"/>
              <w:spacing w:line="360" w:lineRule="auto"/>
              <w:ind w:left="0" w:leftChars="0" w:firstLine="0" w:firstLineChars="0"/>
              <w:jc w:val="center"/>
              <w:rPr>
                <w:rFonts w:ascii="宋体" w:hAnsi="宋体" w:cs="宋体"/>
                <w:kern w:val="2"/>
                <w:sz w:val="24"/>
                <w:szCs w:val="24"/>
              </w:rPr>
            </w:pPr>
            <w:r>
              <w:rPr>
                <w:rFonts w:hint="eastAsia" w:ascii="宋体" w:hAnsi="宋体" w:cs="宋体"/>
                <w:kern w:val="2"/>
                <w:sz w:val="24"/>
                <w:szCs w:val="24"/>
              </w:rPr>
              <w:t>符合性</w:t>
            </w:r>
            <w:r>
              <w:rPr>
                <w:rFonts w:hint="eastAsia" w:ascii="宋体" w:hAnsi="宋体" w:cs="宋体"/>
                <w:kern w:val="2"/>
                <w:sz w:val="24"/>
                <w:szCs w:val="24"/>
                <w:lang w:val="zh-CN"/>
              </w:rPr>
              <w:t>评审标准</w:t>
            </w:r>
          </w:p>
        </w:tc>
        <w:tc>
          <w:tcPr>
            <w:tcW w:w="3014" w:type="dxa"/>
            <w:vAlign w:val="center"/>
          </w:tcPr>
          <w:p w14:paraId="5138A0E5">
            <w:pPr>
              <w:widowControl w:val="0"/>
              <w:spacing w:line="360" w:lineRule="auto"/>
              <w:ind w:left="0" w:leftChars="0" w:firstLine="0" w:firstLineChars="0"/>
              <w:jc w:val="center"/>
              <w:rPr>
                <w:rFonts w:hint="eastAsia" w:ascii="宋体" w:hAnsi="宋体" w:cs="宋体"/>
                <w:kern w:val="2"/>
                <w:sz w:val="24"/>
                <w:szCs w:val="24"/>
                <w:lang w:val="zh-CN"/>
              </w:rPr>
            </w:pPr>
            <w:r>
              <w:rPr>
                <w:rFonts w:hint="eastAsia" w:ascii="宋体" w:hAnsi="宋体" w:cs="宋体"/>
                <w:kern w:val="2"/>
                <w:sz w:val="24"/>
                <w:szCs w:val="24"/>
                <w:lang w:val="zh-CN"/>
              </w:rPr>
              <w:t>供应商名称</w:t>
            </w:r>
          </w:p>
        </w:tc>
        <w:tc>
          <w:tcPr>
            <w:tcW w:w="5182" w:type="dxa"/>
            <w:vAlign w:val="center"/>
          </w:tcPr>
          <w:p w14:paraId="26D1E9E0">
            <w:pPr>
              <w:widowControl w:val="0"/>
              <w:spacing w:line="360" w:lineRule="auto"/>
              <w:ind w:left="0" w:leftChars="0" w:firstLine="0" w:firstLineChars="0"/>
              <w:jc w:val="both"/>
              <w:rPr>
                <w:rFonts w:hint="eastAsia" w:ascii="宋体" w:hAnsi="宋体" w:cs="宋体"/>
                <w:kern w:val="2"/>
                <w:sz w:val="24"/>
                <w:szCs w:val="24"/>
                <w:lang w:val="zh-CN"/>
              </w:rPr>
            </w:pPr>
            <w:r>
              <w:rPr>
                <w:rFonts w:hint="eastAsia" w:ascii="宋体" w:hAnsi="宋体" w:cs="宋体"/>
                <w:kern w:val="2"/>
                <w:sz w:val="24"/>
                <w:szCs w:val="24"/>
                <w:lang w:val="zh-CN"/>
              </w:rPr>
              <w:t>与营业执照</w:t>
            </w:r>
            <w:r>
              <w:rPr>
                <w:rFonts w:hint="eastAsia" w:ascii="宋体" w:hAnsi="宋体" w:cs="宋体"/>
                <w:kern w:val="2"/>
                <w:sz w:val="24"/>
                <w:szCs w:val="24"/>
                <w:lang w:val="en-US" w:eastAsia="zh-CN"/>
              </w:rPr>
              <w:t>及相关证书</w:t>
            </w:r>
            <w:r>
              <w:rPr>
                <w:rFonts w:hint="eastAsia" w:ascii="宋体" w:hAnsi="宋体" w:cs="宋体"/>
                <w:kern w:val="2"/>
                <w:sz w:val="24"/>
                <w:szCs w:val="24"/>
                <w:lang w:val="zh-CN"/>
              </w:rPr>
              <w:t>等一致</w:t>
            </w:r>
          </w:p>
        </w:tc>
      </w:tr>
      <w:tr w14:paraId="1DA5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16" w:type="dxa"/>
            <w:vMerge w:val="continue"/>
            <w:vAlign w:val="center"/>
          </w:tcPr>
          <w:p w14:paraId="36AF2CAD">
            <w:pPr>
              <w:spacing w:line="360" w:lineRule="auto"/>
              <w:rPr>
                <w:rFonts w:ascii="宋体" w:hAnsi="宋体" w:cs="宋体"/>
                <w:kern w:val="2"/>
                <w:sz w:val="24"/>
                <w:szCs w:val="24"/>
              </w:rPr>
            </w:pPr>
          </w:p>
        </w:tc>
        <w:tc>
          <w:tcPr>
            <w:tcW w:w="699" w:type="dxa"/>
            <w:vMerge w:val="continue"/>
            <w:vAlign w:val="center"/>
          </w:tcPr>
          <w:p w14:paraId="59D35F27">
            <w:pPr>
              <w:widowControl w:val="0"/>
              <w:spacing w:line="360" w:lineRule="auto"/>
              <w:jc w:val="both"/>
              <w:rPr>
                <w:rFonts w:ascii="宋体" w:hAnsi="宋体" w:cs="宋体"/>
                <w:kern w:val="2"/>
                <w:sz w:val="24"/>
                <w:szCs w:val="24"/>
              </w:rPr>
            </w:pPr>
          </w:p>
        </w:tc>
        <w:tc>
          <w:tcPr>
            <w:tcW w:w="3014" w:type="dxa"/>
            <w:vAlign w:val="center"/>
          </w:tcPr>
          <w:p w14:paraId="2CF623AA">
            <w:pPr>
              <w:widowControl w:val="0"/>
              <w:spacing w:line="360" w:lineRule="auto"/>
              <w:ind w:left="0" w:leftChars="0" w:firstLine="0" w:firstLineChars="0"/>
              <w:jc w:val="center"/>
              <w:rPr>
                <w:rFonts w:hint="eastAsia" w:ascii="宋体" w:hAnsi="宋体" w:cs="宋体"/>
                <w:kern w:val="2"/>
                <w:sz w:val="24"/>
                <w:szCs w:val="24"/>
                <w:lang w:val="zh-CN"/>
              </w:rPr>
            </w:pPr>
            <w:r>
              <w:rPr>
                <w:rFonts w:hint="eastAsia" w:ascii="宋体" w:hAnsi="宋体" w:cs="宋体"/>
                <w:kern w:val="2"/>
                <w:sz w:val="24"/>
                <w:szCs w:val="24"/>
                <w:lang w:val="zh-CN"/>
              </w:rPr>
              <w:t>签字盖章</w:t>
            </w:r>
          </w:p>
        </w:tc>
        <w:tc>
          <w:tcPr>
            <w:tcW w:w="5182" w:type="dxa"/>
            <w:vAlign w:val="center"/>
          </w:tcPr>
          <w:p w14:paraId="3BF0E7E4">
            <w:pPr>
              <w:widowControl w:val="0"/>
              <w:spacing w:line="360" w:lineRule="auto"/>
              <w:ind w:left="0" w:leftChars="0" w:firstLine="0" w:firstLineChars="0"/>
              <w:jc w:val="both"/>
              <w:rPr>
                <w:rFonts w:hint="eastAsia" w:ascii="宋体" w:hAnsi="宋体" w:cs="宋体"/>
                <w:kern w:val="2"/>
                <w:sz w:val="24"/>
                <w:szCs w:val="24"/>
                <w:lang w:val="zh-CN"/>
              </w:rPr>
            </w:pPr>
            <w:r>
              <w:rPr>
                <w:rFonts w:hint="eastAsia" w:ascii="宋体" w:hAnsi="宋体" w:cs="宋体"/>
                <w:kern w:val="2"/>
                <w:sz w:val="24"/>
                <w:szCs w:val="24"/>
                <w:lang w:val="zh-CN"/>
              </w:rPr>
              <w:t>符合竞争性磋商文件要求的签字、盖章或标注的要求</w:t>
            </w:r>
          </w:p>
        </w:tc>
      </w:tr>
      <w:tr w14:paraId="0074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16" w:type="dxa"/>
            <w:vMerge w:val="continue"/>
            <w:vAlign w:val="center"/>
          </w:tcPr>
          <w:p w14:paraId="796495FD">
            <w:pPr>
              <w:spacing w:line="360" w:lineRule="auto"/>
              <w:rPr>
                <w:rFonts w:ascii="宋体" w:hAnsi="宋体" w:cs="宋体"/>
                <w:kern w:val="2"/>
                <w:sz w:val="24"/>
                <w:szCs w:val="24"/>
              </w:rPr>
            </w:pPr>
          </w:p>
        </w:tc>
        <w:tc>
          <w:tcPr>
            <w:tcW w:w="699" w:type="dxa"/>
            <w:vMerge w:val="continue"/>
            <w:vAlign w:val="center"/>
          </w:tcPr>
          <w:p w14:paraId="319D9AA5">
            <w:pPr>
              <w:widowControl w:val="0"/>
              <w:spacing w:line="360" w:lineRule="auto"/>
              <w:jc w:val="both"/>
              <w:rPr>
                <w:rFonts w:ascii="宋体" w:hAnsi="宋体" w:cs="宋体"/>
                <w:kern w:val="2"/>
                <w:sz w:val="24"/>
                <w:szCs w:val="24"/>
              </w:rPr>
            </w:pPr>
          </w:p>
        </w:tc>
        <w:tc>
          <w:tcPr>
            <w:tcW w:w="3014" w:type="dxa"/>
            <w:vAlign w:val="center"/>
          </w:tcPr>
          <w:p w14:paraId="1694BF69">
            <w:pPr>
              <w:widowControl w:val="0"/>
              <w:spacing w:line="360" w:lineRule="auto"/>
              <w:ind w:left="0" w:leftChars="0" w:firstLine="0" w:firstLineChars="0"/>
              <w:jc w:val="center"/>
              <w:rPr>
                <w:rFonts w:hint="eastAsia" w:ascii="宋体" w:hAnsi="宋体" w:cs="宋体"/>
                <w:kern w:val="2"/>
                <w:sz w:val="24"/>
                <w:szCs w:val="24"/>
                <w:lang w:val="zh-CN"/>
              </w:rPr>
            </w:pPr>
            <w:r>
              <w:rPr>
                <w:rFonts w:hint="eastAsia" w:ascii="宋体" w:hAnsi="宋体" w:cs="宋体"/>
                <w:kern w:val="2"/>
                <w:sz w:val="24"/>
                <w:szCs w:val="24"/>
                <w:lang w:val="zh-CN"/>
              </w:rPr>
              <w:t>响应文件格式</w:t>
            </w:r>
          </w:p>
        </w:tc>
        <w:tc>
          <w:tcPr>
            <w:tcW w:w="5182" w:type="dxa"/>
            <w:vAlign w:val="center"/>
          </w:tcPr>
          <w:p w14:paraId="60D311E8">
            <w:pPr>
              <w:widowControl w:val="0"/>
              <w:spacing w:line="360" w:lineRule="auto"/>
              <w:ind w:left="0" w:leftChars="0" w:firstLine="0" w:firstLineChars="0"/>
              <w:jc w:val="both"/>
              <w:rPr>
                <w:rFonts w:hint="eastAsia" w:ascii="宋体" w:hAnsi="宋体" w:cs="宋体"/>
                <w:kern w:val="2"/>
                <w:sz w:val="24"/>
                <w:szCs w:val="24"/>
              </w:rPr>
            </w:pPr>
            <w:r>
              <w:rPr>
                <w:rFonts w:hint="eastAsia" w:ascii="宋体" w:hAnsi="宋体" w:cs="宋体"/>
                <w:kern w:val="2"/>
                <w:sz w:val="24"/>
                <w:szCs w:val="24"/>
                <w:lang w:val="zh-CN"/>
              </w:rPr>
              <w:t>符合第六章“响应文件内容及格式”的要求</w:t>
            </w:r>
          </w:p>
        </w:tc>
      </w:tr>
      <w:tr w14:paraId="6BDE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16" w:type="dxa"/>
            <w:vMerge w:val="continue"/>
            <w:vAlign w:val="center"/>
          </w:tcPr>
          <w:p w14:paraId="2DF6F99D">
            <w:pPr>
              <w:spacing w:line="360" w:lineRule="auto"/>
              <w:rPr>
                <w:rFonts w:ascii="宋体" w:hAnsi="宋体" w:cs="宋体"/>
                <w:kern w:val="2"/>
                <w:sz w:val="24"/>
                <w:szCs w:val="24"/>
              </w:rPr>
            </w:pPr>
          </w:p>
        </w:tc>
        <w:tc>
          <w:tcPr>
            <w:tcW w:w="699" w:type="dxa"/>
            <w:vMerge w:val="continue"/>
            <w:vAlign w:val="center"/>
          </w:tcPr>
          <w:p w14:paraId="444150DC">
            <w:pPr>
              <w:widowControl w:val="0"/>
              <w:spacing w:line="360" w:lineRule="auto"/>
              <w:jc w:val="both"/>
              <w:rPr>
                <w:rFonts w:ascii="宋体" w:hAnsi="宋体" w:cs="宋体"/>
                <w:kern w:val="2"/>
                <w:sz w:val="24"/>
                <w:szCs w:val="24"/>
              </w:rPr>
            </w:pPr>
          </w:p>
        </w:tc>
        <w:tc>
          <w:tcPr>
            <w:tcW w:w="3014" w:type="dxa"/>
            <w:vAlign w:val="center"/>
          </w:tcPr>
          <w:p w14:paraId="6B717295">
            <w:pPr>
              <w:widowControl w:val="0"/>
              <w:spacing w:line="360" w:lineRule="auto"/>
              <w:ind w:left="0" w:leftChars="0" w:firstLine="0" w:firstLineChars="0"/>
              <w:jc w:val="center"/>
              <w:rPr>
                <w:rFonts w:hint="eastAsia" w:ascii="宋体" w:hAnsi="宋体" w:cs="宋体"/>
                <w:kern w:val="2"/>
                <w:sz w:val="24"/>
                <w:szCs w:val="24"/>
                <w:lang w:val="zh-CN"/>
              </w:rPr>
            </w:pPr>
            <w:r>
              <w:rPr>
                <w:rFonts w:hint="eastAsia" w:ascii="宋体" w:hAnsi="宋体" w:cs="宋体"/>
                <w:kern w:val="2"/>
                <w:sz w:val="24"/>
                <w:szCs w:val="24"/>
                <w:lang w:val="zh-CN"/>
              </w:rPr>
              <w:t>报价唯一</w:t>
            </w:r>
          </w:p>
        </w:tc>
        <w:tc>
          <w:tcPr>
            <w:tcW w:w="5182" w:type="dxa"/>
            <w:vAlign w:val="center"/>
          </w:tcPr>
          <w:p w14:paraId="310D7937">
            <w:pPr>
              <w:widowControl w:val="0"/>
              <w:spacing w:line="360" w:lineRule="auto"/>
              <w:ind w:left="0" w:leftChars="0" w:firstLine="0" w:firstLineChars="0"/>
              <w:jc w:val="both"/>
              <w:rPr>
                <w:rFonts w:hint="eastAsia" w:ascii="宋体" w:hAnsi="宋体" w:cs="宋体"/>
                <w:kern w:val="2"/>
                <w:sz w:val="24"/>
                <w:szCs w:val="24"/>
              </w:rPr>
            </w:pPr>
            <w:r>
              <w:rPr>
                <w:rFonts w:hint="eastAsia" w:ascii="宋体" w:hAnsi="宋体" w:cs="宋体"/>
                <w:kern w:val="2"/>
                <w:sz w:val="24"/>
                <w:szCs w:val="24"/>
                <w:lang w:val="zh-CN"/>
              </w:rPr>
              <w:t>只能有一个有效报价</w:t>
            </w:r>
          </w:p>
        </w:tc>
      </w:tr>
    </w:tbl>
    <w:p w14:paraId="2A75E929">
      <w:pPr>
        <w:widowControl w:val="0"/>
        <w:spacing w:line="360" w:lineRule="auto"/>
        <w:jc w:val="both"/>
        <w:rPr>
          <w:sz w:val="24"/>
          <w:szCs w:val="24"/>
        </w:rPr>
      </w:pPr>
      <w:r>
        <w:rPr>
          <w:rFonts w:hint="eastAsia"/>
          <w:kern w:val="2"/>
          <w:sz w:val="24"/>
          <w:szCs w:val="24"/>
        </w:rPr>
        <w:t xml:space="preserve"> </w:t>
      </w:r>
    </w:p>
    <w:p w14:paraId="7D53B2CB">
      <w:pPr>
        <w:spacing w:line="360" w:lineRule="auto"/>
        <w:ind w:firstLine="482" w:firstLineChars="200"/>
        <w:jc w:val="both"/>
        <w:outlineLvl w:val="0"/>
        <w:rPr>
          <w:sz w:val="24"/>
          <w:szCs w:val="24"/>
        </w:rPr>
      </w:pPr>
      <w:bookmarkStart w:id="59" w:name="_Toc29705"/>
      <w:r>
        <w:rPr>
          <w:rFonts w:hint="eastAsia" w:ascii="宋体" w:hAnsi="宋体" w:cs="宋体"/>
          <w:b/>
          <w:sz w:val="24"/>
          <w:szCs w:val="24"/>
        </w:rPr>
        <w:t>1. 磋商文件的评审、比较和否决</w:t>
      </w:r>
      <w:bookmarkEnd w:id="59"/>
    </w:p>
    <w:p w14:paraId="662B8F3D">
      <w:pPr>
        <w:spacing w:line="360" w:lineRule="auto"/>
        <w:ind w:firstLine="480"/>
        <w:jc w:val="both"/>
        <w:rPr>
          <w:sz w:val="24"/>
          <w:szCs w:val="24"/>
        </w:rPr>
      </w:pPr>
      <w:r>
        <w:rPr>
          <w:rFonts w:hint="eastAsia" w:ascii="宋体" w:hAnsi="宋体" w:cs="宋体"/>
          <w:b/>
          <w:sz w:val="24"/>
          <w:szCs w:val="24"/>
        </w:rPr>
        <w:t>1.1</w:t>
      </w:r>
      <w:r>
        <w:rPr>
          <w:rFonts w:hint="eastAsia" w:ascii="宋体" w:hAnsi="宋体" w:cs="宋体"/>
          <w:sz w:val="24"/>
          <w:szCs w:val="24"/>
        </w:rPr>
        <w:t>磋商小组将按照竞争性磋商文件的规定，仅对在实质上响应竞争性磋商文件要求的磋商文件进行评估和比较。</w:t>
      </w:r>
    </w:p>
    <w:p w14:paraId="481A22F5">
      <w:pPr>
        <w:spacing w:line="360" w:lineRule="auto"/>
        <w:ind w:firstLine="480"/>
        <w:jc w:val="both"/>
        <w:rPr>
          <w:sz w:val="24"/>
          <w:szCs w:val="24"/>
        </w:rPr>
      </w:pPr>
      <w:r>
        <w:rPr>
          <w:rFonts w:hint="eastAsia" w:ascii="宋体" w:hAnsi="宋体" w:cs="宋体"/>
          <w:b/>
          <w:sz w:val="24"/>
          <w:szCs w:val="24"/>
        </w:rPr>
        <w:t>1.2</w:t>
      </w:r>
      <w:r>
        <w:rPr>
          <w:rFonts w:hint="eastAsia" w:ascii="宋体" w:hAnsi="宋体" w:cs="宋体"/>
          <w:sz w:val="24"/>
          <w:szCs w:val="24"/>
        </w:rPr>
        <w:t>根据相关法律法规及有关磋商文件规定，结合本项目具体情况，制定本次采购评标办法。并按照“公平、公正、科学、择优”的原则进行评标。采用百分制综合评估法进行评比。</w:t>
      </w:r>
    </w:p>
    <w:p w14:paraId="78A8BD72">
      <w:pPr>
        <w:spacing w:line="360" w:lineRule="auto"/>
        <w:ind w:firstLine="480"/>
        <w:jc w:val="both"/>
        <w:rPr>
          <w:sz w:val="24"/>
          <w:szCs w:val="24"/>
        </w:rPr>
      </w:pPr>
      <w:r>
        <w:rPr>
          <w:rFonts w:hint="eastAsia" w:ascii="宋体" w:hAnsi="宋体" w:cs="宋体"/>
          <w:b/>
          <w:sz w:val="24"/>
          <w:szCs w:val="24"/>
        </w:rPr>
        <w:t>1.3</w:t>
      </w:r>
      <w:r>
        <w:rPr>
          <w:rFonts w:hint="eastAsia" w:ascii="宋体" w:hAnsi="宋体" w:cs="宋体"/>
          <w:sz w:val="24"/>
          <w:szCs w:val="24"/>
        </w:rPr>
        <w:t>在评审过程中，磋商小组可以以书面形式要求供应商就磋商文件中含义不明确的内容进行书面说明并提供相关材料；</w:t>
      </w:r>
      <w:r>
        <w:rPr>
          <w:rFonts w:hint="eastAsia" w:ascii="宋体" w:hAnsi="宋体" w:cs="宋体"/>
          <w:spacing w:val="-12"/>
          <w:sz w:val="24"/>
          <w:szCs w:val="24"/>
        </w:rPr>
        <w:t>凡遇到竞争性磋商文件中无界定或界定不清、前后不一致使</w:t>
      </w:r>
      <w:r>
        <w:rPr>
          <w:rFonts w:hint="eastAsia" w:ascii="宋体" w:hAnsi="宋体" w:cs="宋体"/>
          <w:spacing w:val="-12"/>
          <w:sz w:val="24"/>
          <w:szCs w:val="24"/>
          <w:lang w:val="en-US" w:eastAsia="zh-CN"/>
        </w:rPr>
        <w:t>磋商小组</w:t>
      </w:r>
      <w:r>
        <w:rPr>
          <w:rFonts w:hint="eastAsia" w:ascii="宋体" w:hAnsi="宋体" w:cs="宋体"/>
          <w:sz w:val="24"/>
          <w:szCs w:val="24"/>
        </w:rPr>
        <w:t>意见</w:t>
      </w:r>
      <w:r>
        <w:rPr>
          <w:rFonts w:hint="eastAsia" w:ascii="宋体" w:hAnsi="宋体" w:cs="宋体"/>
          <w:spacing w:val="-12"/>
          <w:sz w:val="24"/>
          <w:szCs w:val="24"/>
        </w:rPr>
        <w:t>有分歧且又难于协商一致的问题，均由</w:t>
      </w:r>
      <w:r>
        <w:rPr>
          <w:rFonts w:hint="eastAsia" w:ascii="宋体" w:hAnsi="宋体" w:cs="宋体"/>
          <w:spacing w:val="-12"/>
          <w:sz w:val="24"/>
          <w:szCs w:val="24"/>
          <w:lang w:val="en-US" w:eastAsia="zh-CN"/>
        </w:rPr>
        <w:t>磋商小组</w:t>
      </w:r>
      <w:r>
        <w:rPr>
          <w:rFonts w:hint="eastAsia" w:ascii="宋体" w:hAnsi="宋体" w:cs="宋体"/>
          <w:spacing w:val="-12"/>
          <w:sz w:val="24"/>
          <w:szCs w:val="24"/>
        </w:rPr>
        <w:t>予以表决，获半数以上同意的即为通过，未获半数同意的即为否决</w:t>
      </w:r>
      <w:r>
        <w:rPr>
          <w:rFonts w:hint="eastAsia" w:ascii="宋体" w:hAnsi="宋体" w:cs="宋体"/>
          <w:sz w:val="24"/>
          <w:szCs w:val="24"/>
        </w:rPr>
        <w:t>。</w:t>
      </w:r>
    </w:p>
    <w:p w14:paraId="0B6217C9">
      <w:pPr>
        <w:spacing w:line="360" w:lineRule="auto"/>
        <w:ind w:firstLine="480"/>
        <w:jc w:val="both"/>
        <w:rPr>
          <w:sz w:val="24"/>
          <w:szCs w:val="24"/>
        </w:rPr>
      </w:pPr>
      <w:r>
        <w:rPr>
          <w:rFonts w:hint="eastAsia" w:ascii="宋体" w:hAnsi="宋体" w:cs="宋体"/>
          <w:b/>
          <w:sz w:val="24"/>
          <w:szCs w:val="24"/>
        </w:rPr>
        <w:t>1.4</w:t>
      </w:r>
      <w:r>
        <w:rPr>
          <w:rFonts w:hint="eastAsia" w:ascii="宋体" w:hAnsi="宋体" w:cs="宋体"/>
          <w:sz w:val="24"/>
          <w:szCs w:val="24"/>
        </w:rPr>
        <w:t>评标时，磋商报价是评标的重要依据，但不是唯一依据，采购人不承诺将合同授予报价最低或最高的供应商。</w:t>
      </w:r>
    </w:p>
    <w:p w14:paraId="274ED9C5">
      <w:pPr>
        <w:spacing w:line="360" w:lineRule="auto"/>
        <w:ind w:firstLine="480"/>
        <w:jc w:val="both"/>
        <w:rPr>
          <w:sz w:val="24"/>
          <w:szCs w:val="24"/>
        </w:rPr>
      </w:pPr>
      <w:r>
        <w:rPr>
          <w:rFonts w:hint="eastAsia" w:ascii="宋体" w:hAnsi="宋体" w:cs="宋体"/>
          <w:b/>
          <w:sz w:val="24"/>
          <w:szCs w:val="24"/>
        </w:rPr>
        <w:t>1.5</w:t>
      </w:r>
      <w:r>
        <w:rPr>
          <w:rFonts w:hint="eastAsia" w:ascii="宋体" w:hAnsi="宋体" w:cs="宋体"/>
          <w:sz w:val="24"/>
          <w:szCs w:val="24"/>
        </w:rPr>
        <w:t>磋商小组依据竞争性磋商文件中规定的评标标准和方法，对磋商文件进行评审和比较，向采购人提出书面评标报告，并推荐合格的</w:t>
      </w:r>
      <w:r>
        <w:rPr>
          <w:rFonts w:hint="eastAsia" w:ascii="宋体" w:hAnsi="宋体" w:cs="宋体"/>
          <w:sz w:val="24"/>
          <w:szCs w:val="24"/>
          <w:lang w:val="en-US" w:eastAsia="zh-CN"/>
        </w:rPr>
        <w:t>成交</w:t>
      </w:r>
      <w:r>
        <w:rPr>
          <w:rFonts w:hint="eastAsia" w:ascii="宋体" w:hAnsi="宋体" w:cs="宋体"/>
          <w:sz w:val="24"/>
          <w:szCs w:val="24"/>
        </w:rPr>
        <w:t>候选人。采购人根据磋商小组提出的书面评标报告和推荐的</w:t>
      </w:r>
      <w:r>
        <w:rPr>
          <w:rFonts w:hint="eastAsia" w:ascii="宋体" w:hAnsi="宋体" w:cs="宋体"/>
          <w:sz w:val="24"/>
          <w:szCs w:val="24"/>
          <w:lang w:val="en-US" w:eastAsia="zh-CN"/>
        </w:rPr>
        <w:t>成交</w:t>
      </w:r>
      <w:r>
        <w:rPr>
          <w:rFonts w:hint="eastAsia" w:ascii="宋体" w:hAnsi="宋体" w:cs="宋体"/>
          <w:sz w:val="24"/>
          <w:szCs w:val="24"/>
        </w:rPr>
        <w:t>候选人按序确定</w:t>
      </w:r>
      <w:r>
        <w:rPr>
          <w:rFonts w:hint="eastAsia" w:ascii="宋体" w:hAnsi="宋体" w:cs="宋体"/>
          <w:sz w:val="24"/>
          <w:szCs w:val="24"/>
          <w:lang w:val="en-US" w:eastAsia="zh-CN"/>
        </w:rPr>
        <w:t>成交</w:t>
      </w:r>
      <w:r>
        <w:rPr>
          <w:rFonts w:hint="eastAsia" w:ascii="宋体" w:hAnsi="宋体" w:cs="宋体"/>
          <w:sz w:val="24"/>
          <w:szCs w:val="24"/>
        </w:rPr>
        <w:t>人。</w:t>
      </w:r>
    </w:p>
    <w:p w14:paraId="136F0B0E">
      <w:pPr>
        <w:spacing w:line="360" w:lineRule="auto"/>
        <w:ind w:firstLine="482" w:firstLineChars="200"/>
        <w:jc w:val="both"/>
        <w:outlineLvl w:val="0"/>
        <w:rPr>
          <w:sz w:val="24"/>
          <w:szCs w:val="24"/>
        </w:rPr>
      </w:pPr>
      <w:bookmarkStart w:id="60" w:name="_Toc23075"/>
      <w:r>
        <w:rPr>
          <w:rFonts w:hint="eastAsia" w:ascii="宋体" w:hAnsi="宋体" w:cs="宋体"/>
          <w:b/>
          <w:sz w:val="24"/>
          <w:szCs w:val="24"/>
        </w:rPr>
        <w:t>2. 评审程序</w:t>
      </w:r>
      <w:bookmarkEnd w:id="60"/>
    </w:p>
    <w:p w14:paraId="773CECCF">
      <w:pPr>
        <w:spacing w:line="360" w:lineRule="auto"/>
        <w:ind w:firstLine="480" w:firstLineChars="200"/>
        <w:jc w:val="both"/>
        <w:outlineLvl w:val="1"/>
        <w:rPr>
          <w:sz w:val="24"/>
          <w:szCs w:val="24"/>
        </w:rPr>
      </w:pPr>
      <w:bookmarkStart w:id="61" w:name="_Toc3909"/>
      <w:r>
        <w:rPr>
          <w:rFonts w:hint="eastAsia" w:ascii="宋体" w:hAnsi="宋体" w:cs="宋体"/>
          <w:sz w:val="24"/>
          <w:szCs w:val="24"/>
        </w:rPr>
        <w:t>2.1 资格审查</w:t>
      </w:r>
      <w:bookmarkEnd w:id="61"/>
    </w:p>
    <w:p w14:paraId="498047EA">
      <w:pPr>
        <w:spacing w:line="360" w:lineRule="auto"/>
        <w:ind w:firstLine="480"/>
        <w:jc w:val="both"/>
        <w:rPr>
          <w:sz w:val="24"/>
          <w:szCs w:val="24"/>
        </w:rPr>
      </w:pPr>
      <w:r>
        <w:rPr>
          <w:rFonts w:hint="eastAsia" w:ascii="宋体" w:hAnsi="宋体" w:cs="宋体"/>
          <w:sz w:val="24"/>
          <w:szCs w:val="24"/>
        </w:rPr>
        <w:t>本项目采用资格后审</w:t>
      </w:r>
    </w:p>
    <w:p w14:paraId="02F2BA60">
      <w:pPr>
        <w:spacing w:line="360" w:lineRule="auto"/>
        <w:ind w:firstLine="480"/>
        <w:jc w:val="both"/>
        <w:rPr>
          <w:sz w:val="24"/>
          <w:szCs w:val="24"/>
        </w:rPr>
      </w:pPr>
      <w:r>
        <w:rPr>
          <w:rFonts w:hint="eastAsia" w:ascii="宋体" w:hAnsi="宋体" w:cs="宋体"/>
          <w:sz w:val="24"/>
          <w:szCs w:val="24"/>
        </w:rPr>
        <w:t>磋商小组按照竞争性磋商文件供应商资格要求，对供应商的磋商文件进行初步评审，有一项不符合的，视为未通过初步审查，按废标处理，符合的进入下一评标程序。</w:t>
      </w:r>
    </w:p>
    <w:p w14:paraId="1CD36F8D">
      <w:pPr>
        <w:spacing w:line="360" w:lineRule="auto"/>
        <w:ind w:firstLine="472" w:firstLineChars="196"/>
        <w:outlineLvl w:val="0"/>
        <w:rPr>
          <w:rFonts w:ascii="宋体" w:hAnsi="宋体" w:cs="宋体"/>
          <w:b/>
          <w:sz w:val="24"/>
          <w:szCs w:val="24"/>
        </w:rPr>
      </w:pPr>
      <w:bookmarkStart w:id="62" w:name="_Toc7739"/>
      <w:r>
        <w:rPr>
          <w:rFonts w:hint="eastAsia" w:ascii="宋体" w:hAnsi="宋体" w:cs="宋体"/>
          <w:b/>
          <w:sz w:val="24"/>
          <w:szCs w:val="24"/>
        </w:rPr>
        <w:t>3.评标具体方法和标准</w:t>
      </w:r>
      <w:bookmarkEnd w:id="62"/>
    </w:p>
    <w:p w14:paraId="5C27D9CA">
      <w:pPr>
        <w:widowControl w:val="0"/>
        <w:spacing w:line="360" w:lineRule="auto"/>
        <w:jc w:val="both"/>
        <w:rPr>
          <w:rFonts w:ascii="宋体" w:hAnsi="宋体" w:cs="宋体"/>
          <w:sz w:val="24"/>
          <w:szCs w:val="24"/>
        </w:rPr>
      </w:pPr>
      <w:r>
        <w:rPr>
          <w:rFonts w:hint="eastAsia" w:ascii="宋体" w:hAnsi="宋体" w:cs="宋体"/>
          <w:sz w:val="24"/>
          <w:szCs w:val="24"/>
        </w:rPr>
        <w:t>磋商小组根据评标原则和办法对所有磋商文件进行集中审核，分别评价。</w:t>
      </w:r>
    </w:p>
    <w:p w14:paraId="1B8C9F8F">
      <w:pPr>
        <w:adjustRightInd w:val="0"/>
        <w:spacing w:line="360" w:lineRule="auto"/>
        <w:textAlignment w:val="baseline"/>
        <w:rPr>
          <w:rFonts w:ascii="宋体" w:cs="宋体"/>
          <w:spacing w:val="-4"/>
          <w:sz w:val="24"/>
          <w:szCs w:val="24"/>
        </w:rPr>
      </w:pPr>
      <w:r>
        <w:rPr>
          <w:rFonts w:hint="eastAsia" w:ascii="宋体" w:cs="宋体"/>
          <w:spacing w:val="-4"/>
          <w:sz w:val="24"/>
          <w:szCs w:val="24"/>
        </w:rPr>
        <w:t>评审因素：首先应对投标</w:t>
      </w:r>
      <w:r>
        <w:rPr>
          <w:rFonts w:hint="eastAsia" w:ascii="宋体" w:cs="宋体"/>
          <w:spacing w:val="-4"/>
          <w:sz w:val="24"/>
          <w:szCs w:val="24"/>
          <w:lang w:val="en-US" w:eastAsia="zh-CN"/>
        </w:rPr>
        <w:t>供应商</w:t>
      </w:r>
      <w:r>
        <w:rPr>
          <w:rFonts w:hint="eastAsia" w:ascii="宋体" w:cs="宋体"/>
          <w:spacing w:val="-4"/>
          <w:sz w:val="24"/>
          <w:szCs w:val="24"/>
        </w:rPr>
        <w:t>的资格文件进行审查，不能通过初步审查的，其</w:t>
      </w:r>
      <w:r>
        <w:rPr>
          <w:rFonts w:hint="eastAsia" w:ascii="宋体" w:cs="宋体"/>
          <w:spacing w:val="-4"/>
          <w:sz w:val="24"/>
          <w:szCs w:val="24"/>
          <w:lang w:val="en-US" w:eastAsia="zh-CN"/>
        </w:rPr>
        <w:t>响应</w:t>
      </w:r>
      <w:r>
        <w:rPr>
          <w:rFonts w:hint="eastAsia" w:ascii="宋体" w:cs="宋体"/>
          <w:spacing w:val="-4"/>
          <w:sz w:val="24"/>
          <w:szCs w:val="24"/>
        </w:rPr>
        <w:t>文件不再评审，通过初步审查的，其投标进入以下评标程序。</w:t>
      </w:r>
    </w:p>
    <w:p w14:paraId="78A4652A">
      <w:pPr>
        <w:rPr>
          <w:rFonts w:hint="eastAsia" w:ascii="宋体" w:hAnsi="宋体" w:cs="宋体"/>
          <w:b/>
          <w:bCs/>
          <w:sz w:val="28"/>
          <w:szCs w:val="28"/>
        </w:rPr>
      </w:pPr>
      <w:r>
        <w:rPr>
          <w:rFonts w:hint="eastAsia" w:ascii="宋体" w:hAnsi="宋体" w:cs="宋体"/>
          <w:b/>
          <w:bCs/>
          <w:sz w:val="28"/>
          <w:szCs w:val="28"/>
        </w:rPr>
        <w:br w:type="page"/>
      </w:r>
    </w:p>
    <w:p w14:paraId="33075D46">
      <w:pPr>
        <w:pStyle w:val="16"/>
        <w:spacing w:line="360" w:lineRule="auto"/>
        <w:ind w:left="0" w:leftChars="0" w:firstLine="0" w:firstLineChars="0"/>
        <w:jc w:val="center"/>
        <w:outlineLvl w:val="1"/>
        <w:rPr>
          <w:rFonts w:ascii="宋体" w:hAnsi="宋体" w:cs="宋体"/>
          <w:b/>
          <w:bCs/>
          <w:sz w:val="28"/>
          <w:szCs w:val="28"/>
        </w:rPr>
      </w:pPr>
      <w:bookmarkStart w:id="63" w:name="_Toc30775"/>
      <w:r>
        <w:rPr>
          <w:rFonts w:hint="eastAsia" w:ascii="宋体" w:hAnsi="宋体" w:cs="宋体"/>
          <w:b/>
          <w:bCs/>
          <w:sz w:val="28"/>
          <w:szCs w:val="28"/>
        </w:rPr>
        <w:t>综合评分法评标办法</w:t>
      </w:r>
      <w:bookmarkEnd w:id="63"/>
    </w:p>
    <w:p w14:paraId="59F1ECB7">
      <w:pPr>
        <w:ind w:left="0" w:leftChars="0" w:firstLine="0" w:firstLineChars="0"/>
        <w:jc w:val="center"/>
        <w:outlineLvl w:val="1"/>
        <w:rPr>
          <w:sz w:val="28"/>
          <w:szCs w:val="28"/>
        </w:rPr>
      </w:pPr>
      <w:bookmarkStart w:id="64" w:name="_Toc24540"/>
      <w:r>
        <w:rPr>
          <w:rFonts w:hint="eastAsia"/>
          <w:sz w:val="28"/>
          <w:szCs w:val="28"/>
        </w:rPr>
        <w:t>评分细则</w:t>
      </w:r>
      <w:bookmarkEnd w:id="64"/>
    </w:p>
    <w:tbl>
      <w:tblPr>
        <w:tblStyle w:val="17"/>
        <w:tblW w:w="9945" w:type="dxa"/>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185"/>
        <w:gridCol w:w="1314"/>
        <w:gridCol w:w="6591"/>
      </w:tblGrid>
      <w:tr w14:paraId="2B5E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55" w:type="dxa"/>
            <w:tcBorders>
              <w:top w:val="single" w:color="auto" w:sz="4" w:space="0"/>
              <w:left w:val="single" w:color="auto" w:sz="4" w:space="0"/>
              <w:bottom w:val="single" w:color="auto" w:sz="4" w:space="0"/>
              <w:right w:val="single" w:color="auto" w:sz="4" w:space="0"/>
            </w:tcBorders>
            <w:vAlign w:val="center"/>
          </w:tcPr>
          <w:p w14:paraId="13FB3E14">
            <w:pPr>
              <w:ind w:left="0" w:leftChars="0" w:firstLine="0" w:firstLineChars="0"/>
              <w:jc w:val="center"/>
              <w:rPr>
                <w:rFonts w:ascii="宋体" w:hAnsi="宋体"/>
                <w:b/>
                <w:bCs/>
                <w:sz w:val="24"/>
                <w:szCs w:val="28"/>
                <w:lang w:val="zh-CN"/>
              </w:rPr>
            </w:pPr>
            <w:r>
              <w:rPr>
                <w:rFonts w:hint="eastAsia" w:ascii="宋体" w:hAnsi="宋体"/>
                <w:b/>
                <w:bCs/>
                <w:sz w:val="24"/>
                <w:szCs w:val="24"/>
                <w:lang w:val="en-US" w:eastAsia="zh-CN"/>
              </w:rPr>
              <w:t>条款号</w:t>
            </w:r>
          </w:p>
        </w:tc>
        <w:tc>
          <w:tcPr>
            <w:tcW w:w="2499" w:type="dxa"/>
            <w:gridSpan w:val="2"/>
            <w:tcBorders>
              <w:top w:val="single" w:color="auto" w:sz="4" w:space="0"/>
              <w:left w:val="single" w:color="auto" w:sz="4" w:space="0"/>
              <w:bottom w:val="single" w:color="auto" w:sz="4" w:space="0"/>
              <w:right w:val="single" w:color="auto" w:sz="4" w:space="0"/>
            </w:tcBorders>
            <w:vAlign w:val="center"/>
          </w:tcPr>
          <w:p w14:paraId="2983A215">
            <w:pPr>
              <w:ind w:left="0" w:leftChars="0" w:firstLine="0" w:firstLineChars="0"/>
              <w:jc w:val="center"/>
              <w:rPr>
                <w:rFonts w:hint="default" w:ascii="宋体" w:hAnsi="宋体" w:eastAsia="宋体"/>
                <w:b/>
                <w:bCs/>
                <w:sz w:val="24"/>
                <w:szCs w:val="24"/>
                <w:lang w:val="en-US" w:eastAsia="zh-CN"/>
              </w:rPr>
            </w:pPr>
            <w:r>
              <w:rPr>
                <w:rFonts w:hint="eastAsia" w:ascii="宋体" w:hAnsi="宋体"/>
                <w:b/>
                <w:bCs/>
                <w:sz w:val="24"/>
                <w:szCs w:val="24"/>
                <w:lang w:val="en-US" w:eastAsia="zh-CN"/>
              </w:rPr>
              <w:t>评审因素</w:t>
            </w:r>
          </w:p>
        </w:tc>
        <w:tc>
          <w:tcPr>
            <w:tcW w:w="6591" w:type="dxa"/>
            <w:tcBorders>
              <w:top w:val="single" w:color="auto" w:sz="4" w:space="0"/>
              <w:left w:val="single" w:color="auto" w:sz="4" w:space="0"/>
              <w:bottom w:val="single" w:color="auto" w:sz="4" w:space="0"/>
              <w:right w:val="single" w:color="auto" w:sz="4" w:space="0"/>
            </w:tcBorders>
            <w:vAlign w:val="center"/>
          </w:tcPr>
          <w:p w14:paraId="0D217D44">
            <w:pPr>
              <w:ind w:firstLine="2530" w:firstLineChars="1050"/>
              <w:rPr>
                <w:rFonts w:ascii="宋体" w:hAnsi="宋体"/>
                <w:b/>
                <w:bCs/>
                <w:sz w:val="24"/>
                <w:szCs w:val="24"/>
                <w:lang w:val="zh-CN"/>
              </w:rPr>
            </w:pPr>
            <w:r>
              <w:rPr>
                <w:rFonts w:hint="eastAsia" w:ascii="宋体" w:hAnsi="宋体"/>
                <w:b/>
                <w:bCs/>
                <w:sz w:val="24"/>
                <w:szCs w:val="24"/>
                <w:lang w:val="zh-CN"/>
              </w:rPr>
              <w:t>计分标准</w:t>
            </w:r>
          </w:p>
        </w:tc>
      </w:tr>
      <w:tr w14:paraId="5556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855" w:type="dxa"/>
            <w:tcBorders>
              <w:top w:val="single" w:color="auto" w:sz="4" w:space="0"/>
              <w:left w:val="single" w:color="auto" w:sz="4" w:space="0"/>
              <w:bottom w:val="single" w:color="auto" w:sz="4" w:space="0"/>
              <w:right w:val="single" w:color="auto" w:sz="4" w:space="0"/>
            </w:tcBorders>
            <w:vAlign w:val="center"/>
          </w:tcPr>
          <w:p w14:paraId="3E723B24">
            <w:pPr>
              <w:spacing w:line="300" w:lineRule="exact"/>
              <w:ind w:left="0" w:leftChars="0" w:firstLine="0" w:firstLineChars="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2.2.1</w:t>
            </w:r>
          </w:p>
        </w:tc>
        <w:tc>
          <w:tcPr>
            <w:tcW w:w="1185" w:type="dxa"/>
            <w:tcBorders>
              <w:top w:val="single" w:color="auto" w:sz="4" w:space="0"/>
              <w:left w:val="single" w:color="auto" w:sz="4" w:space="0"/>
              <w:bottom w:val="single" w:color="auto" w:sz="4" w:space="0"/>
              <w:right w:val="single" w:color="auto" w:sz="4" w:space="0"/>
            </w:tcBorders>
            <w:vAlign w:val="center"/>
          </w:tcPr>
          <w:p w14:paraId="245E8D5F">
            <w:pPr>
              <w:spacing w:line="300" w:lineRule="exact"/>
              <w:ind w:left="0" w:leftChars="0" w:firstLine="0" w:firstLineChars="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 w:val="0"/>
                <w:bCs/>
                <w:sz w:val="24"/>
                <w:szCs w:val="24"/>
                <w:lang w:val="zh-CN"/>
              </w:rPr>
              <w:t>价格部分（</w:t>
            </w:r>
            <w:r>
              <w:rPr>
                <w:rFonts w:hint="eastAsia" w:asciiTheme="minorEastAsia" w:hAnsiTheme="minorEastAsia" w:eastAsiaTheme="minorEastAsia" w:cstheme="minorEastAsia"/>
                <w:bCs/>
                <w:sz w:val="24"/>
                <w:szCs w:val="24"/>
                <w:lang w:val="en-US" w:eastAsia="zh-CN"/>
              </w:rPr>
              <w:t>20分）</w:t>
            </w:r>
          </w:p>
        </w:tc>
        <w:tc>
          <w:tcPr>
            <w:tcW w:w="1314" w:type="dxa"/>
            <w:tcBorders>
              <w:top w:val="single" w:color="auto" w:sz="4" w:space="0"/>
              <w:left w:val="single" w:color="auto" w:sz="4" w:space="0"/>
              <w:bottom w:val="single" w:color="auto" w:sz="4" w:space="0"/>
              <w:right w:val="single" w:color="auto" w:sz="4" w:space="0"/>
            </w:tcBorders>
            <w:vAlign w:val="center"/>
          </w:tcPr>
          <w:p w14:paraId="1A9E0F81">
            <w:pPr>
              <w:spacing w:line="300" w:lineRule="exact"/>
              <w:ind w:left="0" w:leftChars="0" w:firstLine="0" w:firstLineChars="0"/>
              <w:jc w:val="center"/>
              <w:rPr>
                <w:rFonts w:hint="default"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报价得分（20分）</w:t>
            </w:r>
          </w:p>
        </w:tc>
        <w:tc>
          <w:tcPr>
            <w:tcW w:w="6591" w:type="dxa"/>
            <w:tcBorders>
              <w:top w:val="single" w:color="auto" w:sz="4" w:space="0"/>
              <w:left w:val="single" w:color="auto" w:sz="4" w:space="0"/>
              <w:bottom w:val="single" w:color="auto" w:sz="4" w:space="0"/>
              <w:right w:val="single" w:color="auto" w:sz="4" w:space="0"/>
            </w:tcBorders>
            <w:vAlign w:val="center"/>
          </w:tcPr>
          <w:p w14:paraId="60085715">
            <w:pPr>
              <w:spacing w:line="400" w:lineRule="exact"/>
              <w:rPr>
                <w:rFonts w:hint="eastAsia" w:ascii="宋体" w:hAnsi="宋体" w:eastAsia="宋体" w:cs="宋体"/>
                <w:sz w:val="24"/>
                <w:highlight w:val="none"/>
              </w:rPr>
            </w:pPr>
            <w:r>
              <w:rPr>
                <w:rFonts w:hint="eastAsia" w:ascii="宋体" w:hAnsi="宋体" w:eastAsia="宋体" w:cs="宋体"/>
                <w:sz w:val="24"/>
                <w:highlight w:val="none"/>
              </w:rPr>
              <w:t>1、价格分采用低价优先法计算，即满足</w:t>
            </w:r>
            <w:r>
              <w:rPr>
                <w:rFonts w:hint="eastAsia" w:ascii="宋体" w:hAnsi="宋体" w:eastAsia="宋体" w:cs="宋体"/>
                <w:sz w:val="24"/>
                <w:highlight w:val="none"/>
                <w:lang w:eastAsia="zh-CN"/>
              </w:rPr>
              <w:t>竞争性磋商</w:t>
            </w:r>
            <w:r>
              <w:rPr>
                <w:rFonts w:hint="eastAsia" w:ascii="宋体" w:hAnsi="宋体" w:eastAsia="宋体" w:cs="宋体"/>
                <w:sz w:val="24"/>
                <w:highlight w:val="none"/>
              </w:rPr>
              <w:t>文件通过</w:t>
            </w:r>
            <w:r>
              <w:rPr>
                <w:rFonts w:hint="eastAsia" w:ascii="宋体" w:hAnsi="宋体" w:eastAsia="宋体" w:cs="宋体"/>
                <w:sz w:val="24"/>
                <w:highlight w:val="none"/>
                <w:lang w:eastAsia="zh-CN"/>
              </w:rPr>
              <w:t>初步评审</w:t>
            </w:r>
            <w:r>
              <w:rPr>
                <w:rFonts w:hint="eastAsia" w:ascii="宋体" w:hAnsi="宋体" w:eastAsia="宋体" w:cs="宋体"/>
                <w:sz w:val="24"/>
                <w:highlight w:val="none"/>
              </w:rPr>
              <w:t>且</w:t>
            </w:r>
            <w:r>
              <w:rPr>
                <w:rFonts w:hint="eastAsia" w:ascii="宋体" w:hAnsi="宋体" w:eastAsia="宋体" w:cs="宋体"/>
                <w:sz w:val="24"/>
                <w:highlight w:val="none"/>
                <w:lang w:val="en-US" w:eastAsia="zh-CN"/>
              </w:rPr>
              <w:t>最终报价</w:t>
            </w:r>
            <w:r>
              <w:rPr>
                <w:rFonts w:hint="eastAsia" w:ascii="宋体" w:hAnsi="宋体" w:eastAsia="宋体" w:cs="宋体"/>
                <w:sz w:val="24"/>
                <w:highlight w:val="none"/>
              </w:rPr>
              <w:t>最低的投标报价为评标基准价，其价格得分为满分</w:t>
            </w:r>
            <w:r>
              <w:rPr>
                <w:rFonts w:hint="eastAsia" w:ascii="宋体" w:hAnsi="宋体" w:cs="宋体"/>
                <w:sz w:val="24"/>
                <w:highlight w:val="none"/>
                <w:lang w:val="en-US" w:eastAsia="zh-CN"/>
              </w:rPr>
              <w:t>2</w:t>
            </w:r>
            <w:r>
              <w:rPr>
                <w:rFonts w:hint="eastAsia" w:ascii="宋体" w:hAnsi="宋体" w:eastAsia="宋体" w:cs="宋体"/>
                <w:sz w:val="24"/>
                <w:highlight w:val="none"/>
              </w:rPr>
              <w:t>0分。</w:t>
            </w:r>
          </w:p>
          <w:p w14:paraId="160EC42B">
            <w:pPr>
              <w:spacing w:line="400" w:lineRule="exact"/>
              <w:rPr>
                <w:rFonts w:hint="eastAsia" w:ascii="宋体" w:hAnsi="宋体" w:eastAsia="宋体" w:cs="宋体"/>
                <w:sz w:val="24"/>
                <w:highlight w:val="none"/>
              </w:rPr>
            </w:pPr>
            <w:r>
              <w:rPr>
                <w:rFonts w:hint="eastAsia" w:ascii="宋体" w:hAnsi="宋体" w:eastAsia="宋体" w:cs="宋体"/>
                <w:sz w:val="24"/>
                <w:highlight w:val="none"/>
              </w:rPr>
              <w:t>2、其他</w:t>
            </w:r>
            <w:r>
              <w:rPr>
                <w:rFonts w:hint="eastAsia" w:ascii="宋体" w:hAnsi="宋体" w:cs="宋体"/>
                <w:sz w:val="24"/>
                <w:highlight w:val="none"/>
                <w:lang w:val="en-US" w:eastAsia="zh-CN"/>
              </w:rPr>
              <w:t>供应商</w:t>
            </w:r>
            <w:r>
              <w:rPr>
                <w:rFonts w:hint="eastAsia" w:ascii="宋体" w:hAnsi="宋体" w:eastAsia="宋体" w:cs="宋体"/>
                <w:sz w:val="24"/>
                <w:highlight w:val="none"/>
              </w:rPr>
              <w:t>的价格分统一按照下列公式计算：</w:t>
            </w:r>
          </w:p>
          <w:p w14:paraId="5E4CF8CC">
            <w:pPr>
              <w:spacing w:line="400" w:lineRule="exact"/>
              <w:rPr>
                <w:rFonts w:hint="eastAsia" w:ascii="宋体" w:hAnsi="宋体" w:eastAsia="宋体" w:cs="宋体"/>
                <w:sz w:val="24"/>
                <w:highlight w:val="none"/>
              </w:rPr>
            </w:pPr>
            <w:r>
              <w:rPr>
                <w:rFonts w:hint="eastAsia" w:ascii="宋体" w:hAnsi="宋体" w:eastAsia="宋体" w:cs="宋体"/>
                <w:sz w:val="24"/>
                <w:highlight w:val="none"/>
              </w:rPr>
              <w:t>投标报价得分=(评标基准价／投标报价)×</w:t>
            </w:r>
            <w:r>
              <w:rPr>
                <w:rFonts w:hint="eastAsia" w:ascii="宋体" w:hAnsi="宋体" w:cs="宋体"/>
                <w:sz w:val="24"/>
                <w:highlight w:val="none"/>
                <w:lang w:val="en-US" w:eastAsia="zh-CN"/>
              </w:rPr>
              <w:t>2</w:t>
            </w:r>
            <w:r>
              <w:rPr>
                <w:rFonts w:hint="eastAsia" w:ascii="宋体" w:hAnsi="宋体" w:eastAsia="宋体" w:cs="宋体"/>
                <w:sz w:val="24"/>
                <w:highlight w:val="none"/>
              </w:rPr>
              <w:t>0</w:t>
            </w:r>
          </w:p>
          <w:p w14:paraId="78FE25FF">
            <w:pPr>
              <w:spacing w:line="360" w:lineRule="auto"/>
              <w:rPr>
                <w:rFonts w:hint="eastAsia"/>
                <w:lang w:val="zh-CN"/>
              </w:rPr>
            </w:pPr>
            <w:r>
              <w:rPr>
                <w:rFonts w:hint="eastAsia" w:ascii="宋体" w:hAnsi="宋体" w:eastAsia="宋体" w:cs="宋体"/>
                <w:sz w:val="24"/>
                <w:highlight w:val="none"/>
              </w:rPr>
              <w:t>注：价格分计算保留小数点后二位。在评标过程中，</w:t>
            </w:r>
            <w:r>
              <w:rPr>
                <w:rFonts w:hint="eastAsia" w:ascii="宋体" w:hAnsi="宋体" w:cs="宋体"/>
                <w:sz w:val="24"/>
                <w:highlight w:val="none"/>
                <w:lang w:val="en-US" w:eastAsia="zh-CN"/>
              </w:rPr>
              <w:t>磋商</w:t>
            </w:r>
            <w:r>
              <w:rPr>
                <w:rFonts w:hint="eastAsia" w:ascii="宋体" w:hAnsi="宋体" w:eastAsia="宋体" w:cs="宋体"/>
                <w:sz w:val="24"/>
                <w:highlight w:val="none"/>
              </w:rPr>
              <w:t>小组发现</w:t>
            </w:r>
            <w:r>
              <w:rPr>
                <w:rFonts w:hint="eastAsia" w:ascii="宋体" w:hAnsi="宋体" w:cs="宋体"/>
                <w:sz w:val="24"/>
                <w:highlight w:val="none"/>
                <w:lang w:val="en-US" w:eastAsia="zh-CN"/>
              </w:rPr>
              <w:t>供应商</w:t>
            </w:r>
            <w:r>
              <w:rPr>
                <w:rFonts w:hint="eastAsia" w:ascii="宋体" w:hAnsi="宋体" w:eastAsia="宋体" w:cs="宋体"/>
                <w:sz w:val="24"/>
                <w:highlight w:val="none"/>
              </w:rPr>
              <w:t>的报价明显低于成本价时或明显低于其他通过初步审查</w:t>
            </w:r>
            <w:r>
              <w:rPr>
                <w:rFonts w:hint="eastAsia" w:ascii="宋体" w:hAnsi="宋体" w:cs="宋体"/>
                <w:sz w:val="24"/>
                <w:highlight w:val="none"/>
                <w:lang w:eastAsia="zh-CN"/>
              </w:rPr>
              <w:t>供应商</w:t>
            </w:r>
            <w:r>
              <w:rPr>
                <w:rFonts w:hint="eastAsia" w:ascii="宋体" w:hAnsi="宋体" w:eastAsia="宋体" w:cs="宋体"/>
                <w:sz w:val="24"/>
                <w:highlight w:val="none"/>
              </w:rPr>
              <w:t>的报价，有可能影响产品质量或者不能诚信履约的，</w:t>
            </w:r>
            <w:r>
              <w:rPr>
                <w:rFonts w:hint="eastAsia" w:ascii="宋体" w:hAnsi="宋体" w:cs="宋体"/>
                <w:sz w:val="24"/>
                <w:highlight w:val="none"/>
                <w:lang w:val="en-US" w:eastAsia="zh-CN"/>
              </w:rPr>
              <w:t>磋商</w:t>
            </w:r>
            <w:r>
              <w:rPr>
                <w:rFonts w:hint="eastAsia" w:ascii="宋体" w:hAnsi="宋体" w:eastAsia="宋体" w:cs="宋体"/>
                <w:sz w:val="24"/>
                <w:highlight w:val="none"/>
              </w:rPr>
              <w:t>小组可向该</w:t>
            </w:r>
            <w:r>
              <w:rPr>
                <w:rFonts w:hint="eastAsia" w:ascii="宋体" w:hAnsi="宋体" w:cs="宋体"/>
                <w:sz w:val="24"/>
                <w:highlight w:val="none"/>
                <w:lang w:val="en-US" w:eastAsia="zh-CN"/>
              </w:rPr>
              <w:t>供应商</w:t>
            </w:r>
            <w:r>
              <w:rPr>
                <w:rFonts w:hint="eastAsia" w:ascii="宋体" w:hAnsi="宋体" w:eastAsia="宋体" w:cs="宋体"/>
                <w:sz w:val="24"/>
                <w:highlight w:val="none"/>
              </w:rPr>
              <w:t>提出询问</w:t>
            </w:r>
            <w:r>
              <w:rPr>
                <w:rFonts w:hint="eastAsia" w:ascii="宋体" w:hAnsi="宋体" w:eastAsia="宋体" w:cs="宋体"/>
                <w:sz w:val="24"/>
                <w:highlight w:val="none"/>
                <w:lang w:eastAsia="zh-CN"/>
              </w:rPr>
              <w:t>，</w:t>
            </w:r>
            <w:r>
              <w:rPr>
                <w:rFonts w:hint="eastAsia" w:ascii="宋体" w:hAnsi="宋体" w:eastAsia="宋体" w:cs="宋体"/>
                <w:sz w:val="24"/>
                <w:highlight w:val="none"/>
              </w:rPr>
              <w:t>要求该</w:t>
            </w:r>
            <w:r>
              <w:rPr>
                <w:rFonts w:hint="eastAsia" w:ascii="宋体" w:hAnsi="宋体" w:cs="宋体"/>
                <w:sz w:val="24"/>
                <w:highlight w:val="none"/>
                <w:lang w:val="en-US" w:eastAsia="zh-CN"/>
              </w:rPr>
              <w:t>供应商</w:t>
            </w:r>
            <w:r>
              <w:rPr>
                <w:rFonts w:hint="eastAsia" w:ascii="宋体" w:hAnsi="宋体" w:eastAsia="宋体" w:cs="宋体"/>
                <w:sz w:val="24"/>
                <w:highlight w:val="none"/>
              </w:rPr>
              <w:t>作出书面说明并提供相关证明材料。</w:t>
            </w:r>
            <w:r>
              <w:rPr>
                <w:rFonts w:hint="eastAsia" w:ascii="宋体" w:hAnsi="宋体" w:cs="宋体"/>
                <w:sz w:val="24"/>
                <w:highlight w:val="none"/>
                <w:lang w:val="en-US" w:eastAsia="zh-CN"/>
              </w:rPr>
              <w:t>供应商</w:t>
            </w:r>
            <w:r>
              <w:rPr>
                <w:rFonts w:hint="eastAsia" w:ascii="宋体" w:hAnsi="宋体" w:eastAsia="宋体" w:cs="宋体"/>
                <w:sz w:val="24"/>
                <w:highlight w:val="none"/>
              </w:rPr>
              <w:t>不能合理说明及不能提供相关证明材料的，</w:t>
            </w:r>
            <w:r>
              <w:rPr>
                <w:rFonts w:hint="eastAsia" w:ascii="宋体" w:hAnsi="宋体" w:cs="宋体"/>
                <w:sz w:val="24"/>
                <w:highlight w:val="none"/>
                <w:lang w:eastAsia="zh-CN"/>
              </w:rPr>
              <w:t>磋商小组</w:t>
            </w:r>
            <w:r>
              <w:rPr>
                <w:rFonts w:hint="eastAsia" w:ascii="宋体" w:hAnsi="宋体" w:eastAsia="宋体" w:cs="宋体"/>
                <w:sz w:val="24"/>
                <w:highlight w:val="none"/>
              </w:rPr>
              <w:t>认定该</w:t>
            </w:r>
            <w:r>
              <w:rPr>
                <w:rFonts w:hint="eastAsia" w:ascii="宋体" w:hAnsi="宋体" w:cs="宋体"/>
                <w:sz w:val="24"/>
                <w:highlight w:val="none"/>
                <w:lang w:val="en-US" w:eastAsia="zh-CN"/>
              </w:rPr>
              <w:t>供应商</w:t>
            </w:r>
            <w:r>
              <w:rPr>
                <w:rFonts w:hint="eastAsia" w:ascii="宋体" w:hAnsi="宋体" w:eastAsia="宋体" w:cs="宋体"/>
                <w:sz w:val="24"/>
                <w:highlight w:val="none"/>
              </w:rPr>
              <w:t>以低于成本价恶意竞标，其投标作废标处理</w:t>
            </w:r>
            <w:r>
              <w:rPr>
                <w:rFonts w:hint="eastAsia" w:ascii="宋体" w:hAnsi="宋体" w:cs="宋体"/>
                <w:sz w:val="24"/>
                <w:highlight w:val="none"/>
                <w:lang w:eastAsia="zh-CN"/>
              </w:rPr>
              <w:t>。</w:t>
            </w:r>
          </w:p>
        </w:tc>
      </w:tr>
      <w:tr w14:paraId="01D1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Merge w:val="restart"/>
            <w:tcBorders>
              <w:top w:val="single" w:color="auto" w:sz="4" w:space="0"/>
              <w:left w:val="single" w:color="auto" w:sz="4" w:space="0"/>
              <w:bottom w:val="single" w:color="auto" w:sz="4" w:space="0"/>
              <w:right w:val="single" w:color="auto" w:sz="4" w:space="0"/>
            </w:tcBorders>
            <w:vAlign w:val="center"/>
          </w:tcPr>
          <w:p w14:paraId="54E9CAA9">
            <w:pPr>
              <w:spacing w:line="300" w:lineRule="exact"/>
              <w:ind w:left="0" w:leftChars="0" w:firstLine="0" w:firstLineChars="0"/>
              <w:jc w:val="both"/>
              <w:rPr>
                <w:rFonts w:hint="default" w:asciiTheme="minorEastAsia" w:hAnsiTheme="minorEastAsia" w:eastAsiaTheme="minorEastAsia" w:cstheme="minorEastAsia"/>
                <w:bCs/>
                <w:spacing w:val="-24"/>
                <w:sz w:val="24"/>
                <w:szCs w:val="24"/>
                <w:lang w:val="en-US" w:eastAsia="zh-CN"/>
              </w:rPr>
            </w:pPr>
            <w:r>
              <w:rPr>
                <w:rFonts w:hint="eastAsia" w:asciiTheme="minorEastAsia" w:hAnsiTheme="minorEastAsia" w:eastAsiaTheme="minorEastAsia" w:cstheme="minorEastAsia"/>
                <w:bCs/>
                <w:spacing w:val="-24"/>
                <w:sz w:val="24"/>
                <w:szCs w:val="24"/>
                <w:lang w:val="en-US" w:eastAsia="zh-CN"/>
              </w:rPr>
              <w:t>2.2.2</w:t>
            </w:r>
          </w:p>
        </w:tc>
        <w:tc>
          <w:tcPr>
            <w:tcW w:w="1185" w:type="dxa"/>
            <w:vMerge w:val="restart"/>
            <w:tcBorders>
              <w:top w:val="single" w:color="auto" w:sz="4" w:space="0"/>
              <w:left w:val="single" w:color="auto" w:sz="4" w:space="0"/>
              <w:right w:val="single" w:color="auto" w:sz="4" w:space="0"/>
            </w:tcBorders>
            <w:vAlign w:val="center"/>
          </w:tcPr>
          <w:p w14:paraId="5FA9B5B1">
            <w:pPr>
              <w:autoSpaceDE w:val="0"/>
              <w:autoSpaceDN w:val="0"/>
              <w:spacing w:line="360" w:lineRule="auto"/>
              <w:ind w:left="0" w:leftChars="0" w:firstLine="0" w:firstLineChars="0"/>
              <w:jc w:val="center"/>
              <w:rPr>
                <w:rFonts w:hint="eastAsia"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sz w:val="24"/>
                <w:szCs w:val="24"/>
                <w:lang w:val="zh-CN"/>
              </w:rPr>
              <w:t>技术部分（</w:t>
            </w:r>
            <w:r>
              <w:rPr>
                <w:rFonts w:hint="eastAsia" w:asciiTheme="minorEastAsia" w:hAnsiTheme="minorEastAsia" w:eastAsiaTheme="minorEastAsia" w:cstheme="minorEastAsia"/>
                <w:sz w:val="24"/>
                <w:szCs w:val="24"/>
                <w:lang w:val="en-US" w:eastAsia="zh-CN"/>
              </w:rPr>
              <w:t>50</w:t>
            </w:r>
            <w:r>
              <w:rPr>
                <w:rFonts w:hint="eastAsia" w:asciiTheme="minorEastAsia" w:hAnsiTheme="minorEastAsia" w:eastAsiaTheme="minorEastAsia" w:cstheme="minorEastAsia"/>
                <w:sz w:val="24"/>
                <w:szCs w:val="24"/>
                <w:lang w:val="zh-CN"/>
              </w:rPr>
              <w:t>分）</w:t>
            </w:r>
          </w:p>
        </w:tc>
        <w:tc>
          <w:tcPr>
            <w:tcW w:w="1314" w:type="dxa"/>
            <w:tcBorders>
              <w:top w:val="single" w:color="auto" w:sz="4" w:space="0"/>
              <w:left w:val="single" w:color="auto" w:sz="4" w:space="0"/>
              <w:bottom w:val="single" w:color="auto" w:sz="4" w:space="0"/>
              <w:right w:val="single" w:color="auto" w:sz="4" w:space="0"/>
            </w:tcBorders>
            <w:vAlign w:val="center"/>
          </w:tcPr>
          <w:p w14:paraId="545C8E6C">
            <w:pPr>
              <w:spacing w:line="300" w:lineRule="exact"/>
              <w:ind w:left="0" w:leftChars="0" w:firstLine="0" w:firstLineChars="0"/>
              <w:jc w:val="center"/>
              <w:rPr>
                <w:rFonts w:hint="eastAsia" w:asciiTheme="minorEastAsia" w:hAnsiTheme="minorEastAsia" w:eastAsiaTheme="minorEastAsia" w:cstheme="minorEastAsia"/>
                <w:bCs/>
                <w:sz w:val="24"/>
                <w:szCs w:val="24"/>
                <w:lang w:val="en-US" w:eastAsia="zh-CN"/>
              </w:rPr>
            </w:pPr>
            <w:r>
              <w:rPr>
                <w:rFonts w:hint="eastAsia" w:ascii="宋体" w:hAnsi="宋体" w:eastAsia="宋体" w:cs="宋体"/>
                <w:kern w:val="2"/>
                <w:sz w:val="24"/>
                <w:szCs w:val="24"/>
                <w:highlight w:val="none"/>
                <w:lang w:val="en-US" w:eastAsia="zh-CN" w:bidi="ar-SA"/>
              </w:rPr>
              <w:t>管理体系制度</w:t>
            </w:r>
            <w:r>
              <w:rPr>
                <w:rFonts w:hint="eastAsia" w:ascii="宋体" w:hAnsi="宋体" w:cs="宋体"/>
                <w:kern w:val="2"/>
                <w:sz w:val="24"/>
                <w:szCs w:val="24"/>
                <w:highlight w:val="none"/>
                <w:lang w:val="en-US" w:eastAsia="zh-CN" w:bidi="ar-SA"/>
              </w:rPr>
              <w:t>（</w:t>
            </w:r>
            <w:r>
              <w:rPr>
                <w:rFonts w:hint="eastAsia" w:asciiTheme="minorEastAsia" w:hAnsiTheme="minorEastAsia" w:eastAsiaTheme="minorEastAsia" w:cstheme="minorEastAsia"/>
                <w:bCs/>
                <w:sz w:val="24"/>
                <w:szCs w:val="24"/>
                <w:lang w:val="en-US" w:eastAsia="zh-CN"/>
              </w:rPr>
              <w:t>10分</w:t>
            </w:r>
            <w:r>
              <w:rPr>
                <w:rFonts w:hint="eastAsia" w:ascii="宋体" w:hAnsi="宋体" w:cs="宋体"/>
                <w:kern w:val="2"/>
                <w:sz w:val="24"/>
                <w:szCs w:val="24"/>
                <w:highlight w:val="none"/>
                <w:lang w:val="en-US" w:eastAsia="zh-CN" w:bidi="ar-SA"/>
              </w:rPr>
              <w:t>）</w:t>
            </w:r>
          </w:p>
        </w:tc>
        <w:tc>
          <w:tcPr>
            <w:tcW w:w="6591" w:type="dxa"/>
            <w:tcBorders>
              <w:top w:val="single" w:color="auto" w:sz="4" w:space="0"/>
              <w:left w:val="single" w:color="auto" w:sz="4" w:space="0"/>
              <w:bottom w:val="single" w:color="auto" w:sz="4" w:space="0"/>
              <w:right w:val="single" w:color="auto" w:sz="4" w:space="0"/>
            </w:tcBorders>
            <w:vAlign w:val="center"/>
          </w:tcPr>
          <w:p w14:paraId="5B8FE865">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1.针对本项目</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提供完善的食材来源制度、食材采购管理制度、验收管理制度、食品储藏、操作规范、卫生管理控制或管理方案（食品卫生，人员卫生，环境卫生，垃圾处理方案等），出入库管理工作防范措施：与采购人建立沟通机制，定期了解采购人对食材质量、品种的意见建议，及时改进服务机制等内容。</w:t>
            </w:r>
          </w:p>
          <w:p w14:paraId="341E59CB">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（1）方案内容全面详实，针对性强，整体科学合理，可操作性强的得10分；</w:t>
            </w:r>
          </w:p>
          <w:p w14:paraId="66D426EA">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（2）方案包含要求内容，针对性较好，整体较为合理，具有一定的可操作性的得7分；</w:t>
            </w:r>
          </w:p>
          <w:p w14:paraId="200BD251">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（3）提供有方案，但内容不全面，针对性不强的得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14:paraId="25703F49">
            <w:pPr>
              <w:numPr>
                <w:ilvl w:val="0"/>
                <w:numId w:val="0"/>
              </w:numPr>
              <w:spacing w:line="360" w:lineRule="auto"/>
              <w:ind w:left="0" w:leftChars="0" w:firstLine="0" w:firstLineChars="0"/>
              <w:rPr>
                <w:rFonts w:hint="eastAsia" w:asciiTheme="minorEastAsia" w:hAnsiTheme="minorEastAsia" w:eastAsiaTheme="minorEastAsia" w:cstheme="minorEastAsia"/>
                <w:color w:val="000000"/>
                <w:sz w:val="24"/>
                <w:szCs w:val="24"/>
              </w:rPr>
            </w:pPr>
            <w:r>
              <w:rPr>
                <w:rFonts w:hint="eastAsia" w:ascii="宋体" w:hAnsi="宋体" w:eastAsia="宋体" w:cs="宋体"/>
                <w:color w:val="auto"/>
                <w:sz w:val="24"/>
                <w:szCs w:val="24"/>
                <w:highlight w:val="none"/>
                <w:lang w:val="en-US" w:eastAsia="zh-CN"/>
              </w:rPr>
              <w:t>（4）未提供不得分。</w:t>
            </w:r>
          </w:p>
        </w:tc>
      </w:tr>
      <w:tr w14:paraId="6DF8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3BD0D2CA">
            <w:pPr>
              <w:rPr>
                <w:rFonts w:hint="eastAsia" w:asciiTheme="minorEastAsia" w:hAnsiTheme="minorEastAsia" w:eastAsiaTheme="minorEastAsia" w:cstheme="minorEastAsia"/>
                <w:bCs/>
                <w:spacing w:val="-24"/>
                <w:sz w:val="24"/>
                <w:szCs w:val="24"/>
                <w:lang w:val="zh-CN"/>
              </w:rPr>
            </w:pPr>
          </w:p>
        </w:tc>
        <w:tc>
          <w:tcPr>
            <w:tcW w:w="1185" w:type="dxa"/>
            <w:vMerge w:val="continue"/>
            <w:tcBorders>
              <w:left w:val="single" w:color="auto" w:sz="4" w:space="0"/>
              <w:right w:val="single" w:color="auto" w:sz="4" w:space="0"/>
            </w:tcBorders>
            <w:vAlign w:val="center"/>
          </w:tcPr>
          <w:p w14:paraId="17CD75CE">
            <w:pPr>
              <w:widowControl/>
              <w:ind w:left="0" w:leftChars="0" w:firstLine="0" w:firstLineChars="0"/>
              <w:jc w:val="center"/>
              <w:rPr>
                <w:rFonts w:hint="eastAsia" w:asciiTheme="minorEastAsia" w:hAnsiTheme="minorEastAsia" w:eastAsiaTheme="minorEastAsia" w:cstheme="minorEastAsia"/>
                <w:sz w:val="24"/>
                <w:szCs w:val="24"/>
              </w:rPr>
            </w:pPr>
          </w:p>
        </w:tc>
        <w:tc>
          <w:tcPr>
            <w:tcW w:w="1314" w:type="dxa"/>
            <w:tcBorders>
              <w:top w:val="single" w:color="auto" w:sz="4" w:space="0"/>
              <w:left w:val="single" w:color="auto" w:sz="4" w:space="0"/>
              <w:bottom w:val="single" w:color="auto" w:sz="4" w:space="0"/>
              <w:right w:val="single" w:color="auto" w:sz="4" w:space="0"/>
            </w:tcBorders>
            <w:vAlign w:val="center"/>
          </w:tcPr>
          <w:p w14:paraId="163D33F1">
            <w:pPr>
              <w:spacing w:line="300" w:lineRule="exact"/>
              <w:ind w:left="0" w:leftChars="0" w:firstLine="0" w:firstLineChars="0"/>
              <w:jc w:val="center"/>
              <w:rPr>
                <w:rFonts w:hint="eastAsia" w:asciiTheme="minorEastAsia" w:hAnsiTheme="minorEastAsia" w:eastAsiaTheme="minorEastAsia" w:cstheme="minorEastAsia"/>
                <w:bCs/>
                <w:sz w:val="24"/>
                <w:szCs w:val="24"/>
                <w:lang w:val="en-US" w:eastAsia="zh-CN"/>
              </w:rPr>
            </w:pPr>
            <w:r>
              <w:rPr>
                <w:rFonts w:hint="eastAsia" w:ascii="宋体" w:hAnsi="宋体" w:eastAsia="宋体" w:cs="宋体"/>
                <w:kern w:val="2"/>
                <w:sz w:val="24"/>
                <w:szCs w:val="24"/>
                <w:highlight w:val="none"/>
                <w:lang w:val="en-US" w:eastAsia="zh-CN" w:bidi="ar-SA"/>
              </w:rPr>
              <w:t>配送运输方案及措施</w:t>
            </w:r>
            <w:r>
              <w:rPr>
                <w:rFonts w:hint="eastAsia" w:ascii="宋体" w:hAnsi="宋体" w:cs="宋体"/>
                <w:kern w:val="2"/>
                <w:sz w:val="24"/>
                <w:szCs w:val="24"/>
                <w:highlight w:val="none"/>
                <w:lang w:val="en-US" w:eastAsia="zh-CN" w:bidi="ar-SA"/>
              </w:rPr>
              <w:t>（</w:t>
            </w:r>
            <w:r>
              <w:rPr>
                <w:rFonts w:hint="eastAsia" w:asciiTheme="minorEastAsia" w:hAnsiTheme="minorEastAsia" w:eastAsiaTheme="minorEastAsia" w:cstheme="minorEastAsia"/>
                <w:bCs/>
                <w:sz w:val="24"/>
                <w:szCs w:val="24"/>
                <w:lang w:val="en-US" w:eastAsia="zh-CN"/>
              </w:rPr>
              <w:t>5分</w:t>
            </w:r>
            <w:r>
              <w:rPr>
                <w:rFonts w:hint="eastAsia" w:ascii="宋体" w:hAnsi="宋体" w:cs="宋体"/>
                <w:kern w:val="2"/>
                <w:sz w:val="24"/>
                <w:szCs w:val="24"/>
                <w:highlight w:val="none"/>
                <w:lang w:val="en-US" w:eastAsia="zh-CN" w:bidi="ar-SA"/>
              </w:rPr>
              <w:t>）</w:t>
            </w:r>
          </w:p>
        </w:tc>
        <w:tc>
          <w:tcPr>
            <w:tcW w:w="6591" w:type="dxa"/>
            <w:tcBorders>
              <w:top w:val="single" w:color="auto" w:sz="4" w:space="0"/>
              <w:left w:val="single" w:color="auto" w:sz="4" w:space="0"/>
              <w:bottom w:val="single" w:color="auto" w:sz="4" w:space="0"/>
              <w:right w:val="single" w:color="auto" w:sz="4" w:space="0"/>
            </w:tcBorders>
            <w:vAlign w:val="center"/>
          </w:tcPr>
          <w:p w14:paraId="5A4DFB0F">
            <w:pPr>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根据各相关单位位置，提前规划好路线图，提供配送方案，保证配送的时间按时到达保证在规定的时间前，将食材送到位包合运送制度、车辆配备安排、线路安排、全流程时间安排、储存条件；</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在配送过程中，遇到紧急、突发问题时候的解决措施方案，反应时间、应急配送人员技术能力、服务保障现场与各部门的协调方案等内容：</w:t>
            </w:r>
          </w:p>
          <w:p w14:paraId="116C71C4">
            <w:pPr>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（1）方案内容全面详实，针对性强，整体科学合理，可操作性强的得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14:paraId="5A60F5F3">
            <w:pPr>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（2）方案包含要求内容，针对性较好，整体较为合理，具有一定的可操作性的得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14:paraId="5C8C0DA6">
            <w:pPr>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（3）提供有方案，但内容不全面，针对性不强的得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p>
          <w:p w14:paraId="36BFABBA">
            <w:pPr>
              <w:spacing w:line="360" w:lineRule="auto"/>
              <w:ind w:left="0" w:leftChars="0" w:firstLine="0" w:firstLineChars="0"/>
              <w:rPr>
                <w:rFonts w:hint="eastAsia" w:asciiTheme="minorEastAsia" w:hAnsiTheme="minorEastAsia" w:eastAsiaTheme="minorEastAsia" w:cstheme="minorEastAsia"/>
                <w:bCs/>
                <w:sz w:val="24"/>
                <w:szCs w:val="24"/>
              </w:rPr>
            </w:pPr>
            <w:r>
              <w:rPr>
                <w:rFonts w:hint="eastAsia" w:ascii="宋体" w:hAnsi="宋体" w:eastAsia="宋体" w:cs="宋体"/>
                <w:color w:val="auto"/>
                <w:sz w:val="24"/>
                <w:szCs w:val="24"/>
                <w:highlight w:val="none"/>
                <w:lang w:val="en-US" w:eastAsia="zh-CN"/>
              </w:rPr>
              <w:t>（4）未提供不得分。</w:t>
            </w:r>
          </w:p>
        </w:tc>
      </w:tr>
      <w:tr w14:paraId="3862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45B7D8F5">
            <w:pPr>
              <w:rPr>
                <w:rFonts w:hint="eastAsia" w:asciiTheme="minorEastAsia" w:hAnsiTheme="minorEastAsia" w:eastAsiaTheme="minorEastAsia" w:cstheme="minorEastAsia"/>
                <w:bCs/>
                <w:spacing w:val="-24"/>
                <w:sz w:val="24"/>
                <w:szCs w:val="24"/>
                <w:lang w:val="zh-CN"/>
              </w:rPr>
            </w:pPr>
          </w:p>
        </w:tc>
        <w:tc>
          <w:tcPr>
            <w:tcW w:w="1185" w:type="dxa"/>
            <w:vMerge w:val="continue"/>
            <w:tcBorders>
              <w:left w:val="single" w:color="auto" w:sz="4" w:space="0"/>
              <w:right w:val="single" w:color="auto" w:sz="4" w:space="0"/>
            </w:tcBorders>
            <w:shd w:val="clear" w:color="auto" w:fill="auto"/>
            <w:vAlign w:val="center"/>
          </w:tcPr>
          <w:p w14:paraId="3423A375">
            <w:pPr>
              <w:autoSpaceDE w:val="0"/>
              <w:autoSpaceDN w:val="0"/>
              <w:spacing w:line="360" w:lineRule="auto"/>
              <w:ind w:left="0" w:leftChars="0" w:firstLine="0" w:firstLineChars="0"/>
              <w:jc w:val="center"/>
              <w:rPr>
                <w:rFonts w:hint="default" w:asciiTheme="minorEastAsia" w:hAnsiTheme="minorEastAsia" w:eastAsiaTheme="minorEastAsia" w:cstheme="minorEastAsia"/>
                <w:sz w:val="24"/>
                <w:szCs w:val="24"/>
                <w:lang w:val="en-US"/>
              </w:rPr>
            </w:pP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63DAB74B">
            <w:pPr>
              <w:spacing w:line="300" w:lineRule="exact"/>
              <w:ind w:left="0" w:leftChars="0" w:firstLine="0" w:firstLineChars="0"/>
              <w:jc w:val="center"/>
              <w:rPr>
                <w:rFonts w:hint="eastAsia" w:asciiTheme="minorEastAsia" w:hAnsiTheme="minorEastAsia" w:eastAsiaTheme="minorEastAsia" w:cstheme="minorEastAsia"/>
                <w:bCs/>
                <w:sz w:val="24"/>
                <w:szCs w:val="24"/>
                <w:lang w:val="en-US" w:eastAsia="zh-CN"/>
              </w:rPr>
            </w:pPr>
            <w:r>
              <w:rPr>
                <w:rFonts w:hint="eastAsia" w:ascii="宋体" w:hAnsi="宋体" w:eastAsia="宋体" w:cs="宋体"/>
                <w:color w:val="auto"/>
                <w:kern w:val="2"/>
                <w:sz w:val="24"/>
                <w:szCs w:val="24"/>
                <w:highlight w:val="none"/>
                <w:lang w:val="en-US" w:eastAsia="zh-CN" w:bidi="ar-SA"/>
              </w:rPr>
              <w:t>食材的质量、安全管理制度保障措施及方案</w:t>
            </w:r>
            <w:r>
              <w:rPr>
                <w:rFonts w:hint="eastAsia" w:ascii="宋体" w:hAnsi="宋体" w:cs="宋体"/>
                <w:color w:val="auto"/>
                <w:kern w:val="2"/>
                <w:sz w:val="24"/>
                <w:szCs w:val="24"/>
                <w:highlight w:val="none"/>
                <w:lang w:val="en-US" w:eastAsia="zh-CN" w:bidi="ar-SA"/>
              </w:rPr>
              <w:t>（</w:t>
            </w:r>
            <w:r>
              <w:rPr>
                <w:rFonts w:hint="eastAsia" w:asciiTheme="minorEastAsia" w:hAnsiTheme="minorEastAsia" w:eastAsiaTheme="minorEastAsia" w:cstheme="minorEastAsia"/>
                <w:bCs/>
                <w:sz w:val="24"/>
                <w:szCs w:val="24"/>
                <w:lang w:val="en-US" w:eastAsia="zh-CN"/>
              </w:rPr>
              <w:t>10分</w:t>
            </w:r>
            <w:r>
              <w:rPr>
                <w:rFonts w:hint="eastAsia" w:ascii="宋体" w:hAnsi="宋体" w:cs="宋体"/>
                <w:color w:val="auto"/>
                <w:kern w:val="2"/>
                <w:sz w:val="24"/>
                <w:szCs w:val="24"/>
                <w:highlight w:val="none"/>
                <w:lang w:val="en-US" w:eastAsia="zh-CN" w:bidi="ar-SA"/>
              </w:rPr>
              <w:t>）</w:t>
            </w:r>
          </w:p>
        </w:tc>
        <w:tc>
          <w:tcPr>
            <w:tcW w:w="6591" w:type="dxa"/>
            <w:tcBorders>
              <w:top w:val="single" w:color="auto" w:sz="4" w:space="0"/>
              <w:left w:val="single" w:color="auto" w:sz="4" w:space="0"/>
              <w:bottom w:val="single" w:color="auto" w:sz="4" w:space="0"/>
              <w:right w:val="single" w:color="auto" w:sz="4" w:space="0"/>
            </w:tcBorders>
            <w:shd w:val="clear" w:color="auto" w:fill="auto"/>
            <w:vAlign w:val="center"/>
          </w:tcPr>
          <w:p w14:paraId="2FB0B60B">
            <w:pPr>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3.食材的质量、安全的保证措施及方案包括食品质量保障新鲜与调换措施等内容。</w:t>
            </w:r>
          </w:p>
          <w:p w14:paraId="42E00E13">
            <w:pPr>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（1）方案内容全面详实，针对性强，整体科学合理，可操作性强的得10分；</w:t>
            </w:r>
          </w:p>
          <w:p w14:paraId="1F4F1D89">
            <w:pPr>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（2）方案包含要求内容，针对性较好，整体较为合理，具有一定的可操作性的得7分；</w:t>
            </w:r>
          </w:p>
          <w:p w14:paraId="1C912F0F">
            <w:pPr>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（3）提供有方案，但内容不全面，针对性不强的得</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分；</w:t>
            </w:r>
          </w:p>
          <w:p w14:paraId="7EA0395F">
            <w:pPr>
              <w:spacing w:line="360" w:lineRule="auto"/>
              <w:ind w:left="0" w:leftChars="0" w:firstLine="0" w:firstLineChars="0"/>
              <w:rPr>
                <w:rFonts w:hint="eastAsia" w:asciiTheme="minorEastAsia" w:hAnsiTheme="minorEastAsia" w:eastAsiaTheme="minorEastAsia" w:cstheme="minorEastAsia"/>
                <w:sz w:val="24"/>
                <w:szCs w:val="24"/>
                <w:lang w:val="zh-CN"/>
              </w:rPr>
            </w:pPr>
            <w:r>
              <w:rPr>
                <w:rFonts w:hint="eastAsia" w:ascii="宋体" w:hAnsi="宋体" w:eastAsia="宋体" w:cs="宋体"/>
                <w:color w:val="auto"/>
                <w:kern w:val="2"/>
                <w:sz w:val="24"/>
                <w:szCs w:val="24"/>
                <w:highlight w:val="none"/>
                <w:lang w:val="en-US" w:eastAsia="zh-CN" w:bidi="ar-SA"/>
              </w:rPr>
              <w:t>（4）未提供不得分。</w:t>
            </w:r>
          </w:p>
        </w:tc>
      </w:tr>
      <w:tr w14:paraId="708E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5EC5440A">
            <w:pPr>
              <w:rPr>
                <w:rFonts w:hint="eastAsia" w:asciiTheme="minorEastAsia" w:hAnsiTheme="minorEastAsia" w:eastAsiaTheme="minorEastAsia" w:cstheme="minorEastAsia"/>
                <w:bCs/>
                <w:spacing w:val="-24"/>
                <w:sz w:val="24"/>
                <w:szCs w:val="24"/>
                <w:lang w:val="zh-CN"/>
              </w:rPr>
            </w:pPr>
          </w:p>
        </w:tc>
        <w:tc>
          <w:tcPr>
            <w:tcW w:w="1185" w:type="dxa"/>
            <w:vMerge w:val="continue"/>
            <w:tcBorders>
              <w:left w:val="single" w:color="auto" w:sz="4" w:space="0"/>
              <w:right w:val="single" w:color="auto" w:sz="4" w:space="0"/>
            </w:tcBorders>
            <w:shd w:val="clear" w:color="auto" w:fill="auto"/>
            <w:vAlign w:val="center"/>
          </w:tcPr>
          <w:p w14:paraId="4F6886E5">
            <w:pPr>
              <w:autoSpaceDE w:val="0"/>
              <w:autoSpaceDN w:val="0"/>
              <w:spacing w:line="360" w:lineRule="auto"/>
              <w:ind w:left="0" w:leftChars="0" w:firstLine="0" w:firstLineChars="0"/>
              <w:jc w:val="center"/>
              <w:rPr>
                <w:rFonts w:hint="eastAsia" w:asciiTheme="minorEastAsia" w:hAnsiTheme="minorEastAsia" w:eastAsiaTheme="minorEastAsia" w:cstheme="minorEastAsia"/>
                <w:kern w:val="2"/>
                <w:sz w:val="24"/>
                <w:szCs w:val="24"/>
                <w:lang w:val="en-US" w:eastAsia="zh-CN" w:bidi="ar-SA"/>
              </w:rPr>
            </w:pP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57848A0B">
            <w:pPr>
              <w:spacing w:line="300" w:lineRule="exact"/>
              <w:ind w:left="0" w:leftChars="0" w:firstLine="0" w:firstLineChars="0"/>
              <w:jc w:val="center"/>
              <w:rPr>
                <w:rFonts w:hint="eastAsia" w:asciiTheme="minorEastAsia" w:hAnsiTheme="minorEastAsia" w:eastAsiaTheme="minorEastAsia" w:cstheme="minorEastAsia"/>
                <w:bCs/>
                <w:kern w:val="2"/>
                <w:sz w:val="24"/>
                <w:szCs w:val="24"/>
                <w:lang w:val="en-US" w:eastAsia="zh-CN" w:bidi="ar-SA"/>
              </w:rPr>
            </w:pPr>
            <w:r>
              <w:rPr>
                <w:rFonts w:hint="eastAsia" w:ascii="宋体" w:hAnsi="宋体" w:eastAsia="宋体" w:cs="宋体"/>
                <w:color w:val="auto"/>
                <w:kern w:val="2"/>
                <w:sz w:val="24"/>
                <w:szCs w:val="24"/>
                <w:highlight w:val="none"/>
                <w:lang w:val="en-US" w:eastAsia="zh-CN" w:bidi="ar-SA"/>
              </w:rPr>
              <w:t>食品安全事故的预防措施及方案和可能事故后的应急预案</w:t>
            </w:r>
            <w:r>
              <w:rPr>
                <w:rFonts w:hint="eastAsia" w:ascii="宋体" w:hAnsi="宋体" w:cs="宋体"/>
                <w:color w:val="auto"/>
                <w:kern w:val="2"/>
                <w:sz w:val="24"/>
                <w:szCs w:val="24"/>
                <w:highlight w:val="none"/>
                <w:lang w:val="en-US" w:eastAsia="zh-CN" w:bidi="ar-SA"/>
              </w:rPr>
              <w:t>（</w:t>
            </w:r>
            <w:r>
              <w:rPr>
                <w:rFonts w:hint="eastAsia" w:asciiTheme="minorEastAsia" w:hAnsiTheme="minorEastAsia" w:eastAsiaTheme="minorEastAsia" w:cstheme="minorEastAsia"/>
                <w:bCs/>
                <w:sz w:val="24"/>
                <w:szCs w:val="24"/>
                <w:lang w:val="en-US" w:eastAsia="zh-CN"/>
              </w:rPr>
              <w:t>10分</w:t>
            </w:r>
            <w:r>
              <w:rPr>
                <w:rFonts w:hint="eastAsia" w:ascii="宋体" w:hAnsi="宋体" w:cs="宋体"/>
                <w:color w:val="auto"/>
                <w:kern w:val="2"/>
                <w:sz w:val="24"/>
                <w:szCs w:val="24"/>
                <w:highlight w:val="none"/>
                <w:lang w:val="en-US" w:eastAsia="zh-CN" w:bidi="ar-SA"/>
              </w:rPr>
              <w:t>）</w:t>
            </w:r>
          </w:p>
        </w:tc>
        <w:tc>
          <w:tcPr>
            <w:tcW w:w="6591" w:type="dxa"/>
            <w:tcBorders>
              <w:top w:val="single" w:color="auto" w:sz="4" w:space="0"/>
              <w:left w:val="single" w:color="auto" w:sz="4" w:space="0"/>
              <w:bottom w:val="single" w:color="auto" w:sz="4" w:space="0"/>
              <w:right w:val="single" w:color="auto" w:sz="4" w:space="0"/>
            </w:tcBorders>
            <w:shd w:val="clear" w:color="auto" w:fill="auto"/>
            <w:vAlign w:val="center"/>
          </w:tcPr>
          <w:p w14:paraId="52358775">
            <w:pPr>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4.为防止食品安全事故的预防措施及可能事故应急预案等，从人员救治、危害控制、事故调查、善后处理等的全面性、预见性综合分析。</w:t>
            </w:r>
          </w:p>
          <w:p w14:paraId="4CAA2237">
            <w:pPr>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（1）方案内容全面详实，针对性强，整体科学合理，可操作性强的得</w:t>
            </w: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分；</w:t>
            </w:r>
          </w:p>
          <w:p w14:paraId="2D18EA40">
            <w:pPr>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（2）方案包含要求内容，针对性较好，整体较为合理，具有一定的可操作性的得</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分；</w:t>
            </w:r>
          </w:p>
          <w:p w14:paraId="4B771501">
            <w:pPr>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（3）提供有方案，但内容不全面，针对性不强的得</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分；</w:t>
            </w:r>
          </w:p>
          <w:p w14:paraId="4E4BB021">
            <w:pPr>
              <w:spacing w:line="360" w:lineRule="auto"/>
              <w:ind w:left="0" w:leftChars="0" w:firstLine="0" w:firstLineChars="0"/>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color w:val="auto"/>
                <w:kern w:val="2"/>
                <w:sz w:val="24"/>
                <w:szCs w:val="24"/>
                <w:highlight w:val="none"/>
                <w:lang w:val="en-US" w:eastAsia="zh-CN" w:bidi="ar-SA"/>
              </w:rPr>
              <w:t>（4）未提供不得分。</w:t>
            </w:r>
          </w:p>
        </w:tc>
      </w:tr>
      <w:tr w14:paraId="50B2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2837ED7A">
            <w:pPr>
              <w:rPr>
                <w:rFonts w:hint="eastAsia" w:asciiTheme="minorEastAsia" w:hAnsiTheme="minorEastAsia" w:eastAsiaTheme="minorEastAsia" w:cstheme="minorEastAsia"/>
                <w:bCs/>
                <w:spacing w:val="-24"/>
                <w:sz w:val="24"/>
                <w:szCs w:val="24"/>
                <w:lang w:val="zh-CN"/>
              </w:rPr>
            </w:pPr>
          </w:p>
        </w:tc>
        <w:tc>
          <w:tcPr>
            <w:tcW w:w="1185" w:type="dxa"/>
            <w:vMerge w:val="continue"/>
            <w:tcBorders>
              <w:left w:val="single" w:color="auto" w:sz="4" w:space="0"/>
              <w:right w:val="single" w:color="auto" w:sz="4" w:space="0"/>
            </w:tcBorders>
            <w:shd w:val="clear" w:color="auto" w:fill="auto"/>
            <w:vAlign w:val="center"/>
          </w:tcPr>
          <w:p w14:paraId="2AFDDCA6">
            <w:pPr>
              <w:autoSpaceDE w:val="0"/>
              <w:autoSpaceDN w:val="0"/>
              <w:spacing w:line="360" w:lineRule="auto"/>
              <w:ind w:left="0" w:leftChars="0" w:firstLine="0" w:firstLineChars="0"/>
              <w:jc w:val="center"/>
              <w:rPr>
                <w:rFonts w:ascii="宋体" w:hAnsi="宋体" w:eastAsia="宋体" w:cs="宋体"/>
                <w:sz w:val="24"/>
                <w:szCs w:val="24"/>
              </w:rPr>
            </w:pP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667FC29B">
            <w:pPr>
              <w:spacing w:line="300" w:lineRule="exact"/>
              <w:ind w:left="0" w:leftChars="0" w:firstLine="0" w:firstLineChars="0"/>
              <w:jc w:val="center"/>
              <w:rPr>
                <w:rFonts w:hint="default" w:asciiTheme="minorEastAsia" w:hAnsiTheme="minorEastAsia" w:eastAsiaTheme="minorEastAsia" w:cstheme="minorEastAsia"/>
                <w:bCs/>
                <w:sz w:val="24"/>
                <w:szCs w:val="24"/>
                <w:lang w:val="en-US" w:eastAsia="zh-CN"/>
              </w:rPr>
            </w:pPr>
            <w:r>
              <w:rPr>
                <w:rFonts w:hint="eastAsia" w:ascii="宋体" w:hAnsi="宋体" w:eastAsia="宋体" w:cs="宋体"/>
                <w:kern w:val="2"/>
                <w:sz w:val="24"/>
                <w:szCs w:val="24"/>
                <w:highlight w:val="none"/>
                <w:lang w:val="zh-TW" w:eastAsia="zh-CN" w:bidi="ar-SA"/>
              </w:rPr>
              <w:t>食材选购人员职责体系和管理措施</w:t>
            </w:r>
            <w:r>
              <w:rPr>
                <w:rFonts w:hint="eastAsia" w:ascii="宋体" w:hAnsi="宋体" w:cs="宋体"/>
                <w:kern w:val="2"/>
                <w:sz w:val="24"/>
                <w:szCs w:val="24"/>
                <w:highlight w:val="none"/>
                <w:lang w:val="zh-TW" w:eastAsia="zh-CN" w:bidi="ar-SA"/>
              </w:rPr>
              <w:t>（</w:t>
            </w:r>
            <w:r>
              <w:rPr>
                <w:rFonts w:hint="eastAsia" w:asciiTheme="minorEastAsia" w:hAnsiTheme="minorEastAsia" w:eastAsiaTheme="minorEastAsia" w:cstheme="minorEastAsia"/>
                <w:bCs/>
                <w:sz w:val="24"/>
                <w:szCs w:val="24"/>
                <w:lang w:val="en-US" w:eastAsia="zh-CN"/>
              </w:rPr>
              <w:t>5分</w:t>
            </w:r>
            <w:r>
              <w:rPr>
                <w:rFonts w:hint="eastAsia" w:ascii="宋体" w:hAnsi="宋体" w:cs="宋体"/>
                <w:kern w:val="2"/>
                <w:sz w:val="24"/>
                <w:szCs w:val="24"/>
                <w:highlight w:val="none"/>
                <w:lang w:val="zh-TW" w:eastAsia="zh-CN" w:bidi="ar-SA"/>
              </w:rPr>
              <w:t>）</w:t>
            </w:r>
          </w:p>
        </w:tc>
        <w:tc>
          <w:tcPr>
            <w:tcW w:w="6591" w:type="dxa"/>
            <w:tcBorders>
              <w:top w:val="single" w:color="auto" w:sz="4" w:space="0"/>
              <w:left w:val="single" w:color="auto" w:sz="4" w:space="0"/>
              <w:bottom w:val="single" w:color="auto" w:sz="4" w:space="0"/>
              <w:right w:val="single" w:color="auto" w:sz="4" w:space="0"/>
            </w:tcBorders>
            <w:shd w:val="clear" w:color="auto" w:fill="auto"/>
            <w:vAlign w:val="center"/>
          </w:tcPr>
          <w:p w14:paraId="45313E81">
            <w:pPr>
              <w:autoSpaceDE w:val="0"/>
              <w:autoSpaceDN w:val="0"/>
              <w:adjustRightInd w:val="0"/>
              <w:spacing w:line="360" w:lineRule="auto"/>
              <w:ind w:left="0" w:leftChars="0" w:firstLine="0" w:firstLineChars="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5.食材选购人员职责体系、考核办法、分工安排与人员的管理方案内容；</w:t>
            </w:r>
          </w:p>
          <w:p w14:paraId="6C56305E">
            <w:pPr>
              <w:autoSpaceDE w:val="0"/>
              <w:autoSpaceDN w:val="0"/>
              <w:adjustRightInd w:val="0"/>
              <w:spacing w:line="360" w:lineRule="auto"/>
              <w:ind w:left="0" w:leftChars="0" w:firstLine="0" w:firstLineChars="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（1）方案内容全面详实，针对性强，整体科学合理，可操作性强的得5分；</w:t>
            </w:r>
          </w:p>
          <w:p w14:paraId="56B5E64C">
            <w:pPr>
              <w:autoSpaceDE w:val="0"/>
              <w:autoSpaceDN w:val="0"/>
              <w:adjustRightInd w:val="0"/>
              <w:spacing w:line="360" w:lineRule="auto"/>
              <w:ind w:left="0" w:leftChars="0" w:firstLine="0" w:firstLineChars="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（2）方案包含要求内容，针对性较好，整体较为合理，具有一定的可操作性的得3分；</w:t>
            </w:r>
          </w:p>
          <w:p w14:paraId="5BBA4B82">
            <w:pPr>
              <w:autoSpaceDE w:val="0"/>
              <w:autoSpaceDN w:val="0"/>
              <w:adjustRightInd w:val="0"/>
              <w:spacing w:line="360" w:lineRule="auto"/>
              <w:ind w:left="0" w:leftChars="0" w:firstLine="0" w:firstLineChars="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（3）提供有方案，但内容不全面，针对性不强的得1分；</w:t>
            </w:r>
          </w:p>
          <w:p w14:paraId="35E9CB68">
            <w:pPr>
              <w:autoSpaceDE w:val="0"/>
              <w:autoSpaceDN w:val="0"/>
              <w:adjustRightInd w:val="0"/>
              <w:spacing w:line="360" w:lineRule="auto"/>
              <w:ind w:left="0" w:leftChars="0" w:firstLine="0" w:firstLineChars="0"/>
              <w:textAlignment w:val="baseline"/>
              <w:rPr>
                <w:rFonts w:ascii="宋体" w:hAnsi="宋体" w:eastAsia="宋体" w:cs="宋体"/>
                <w:kern w:val="0"/>
                <w:sz w:val="24"/>
                <w:szCs w:val="24"/>
                <w:lang w:val="en-US" w:eastAsia="zh-CN" w:bidi="ar"/>
              </w:rPr>
            </w:pPr>
            <w:r>
              <w:rPr>
                <w:rFonts w:hint="eastAsia" w:ascii="宋体" w:hAnsi="宋体" w:eastAsia="宋体" w:cs="宋体"/>
                <w:kern w:val="2"/>
                <w:sz w:val="24"/>
                <w:szCs w:val="24"/>
                <w:highlight w:val="none"/>
                <w:lang w:val="en-US" w:eastAsia="zh-CN" w:bidi="ar-SA"/>
              </w:rPr>
              <w:t>（4）未提供不得分。</w:t>
            </w:r>
          </w:p>
        </w:tc>
      </w:tr>
      <w:tr w14:paraId="6BB9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34DA996E">
            <w:pPr>
              <w:rPr>
                <w:rFonts w:hint="eastAsia" w:asciiTheme="minorEastAsia" w:hAnsiTheme="minorEastAsia" w:eastAsiaTheme="minorEastAsia" w:cstheme="minorEastAsia"/>
                <w:bCs/>
                <w:spacing w:val="-24"/>
                <w:sz w:val="24"/>
                <w:szCs w:val="24"/>
                <w:lang w:val="zh-CN"/>
              </w:rPr>
            </w:pPr>
          </w:p>
        </w:tc>
        <w:tc>
          <w:tcPr>
            <w:tcW w:w="1185" w:type="dxa"/>
            <w:vMerge w:val="continue"/>
            <w:tcBorders>
              <w:left w:val="single" w:color="auto" w:sz="4" w:space="0"/>
              <w:right w:val="single" w:color="auto" w:sz="4" w:space="0"/>
            </w:tcBorders>
            <w:shd w:val="clear" w:color="auto" w:fill="auto"/>
            <w:vAlign w:val="center"/>
          </w:tcPr>
          <w:p w14:paraId="127DABF7">
            <w:pPr>
              <w:autoSpaceDE w:val="0"/>
              <w:autoSpaceDN w:val="0"/>
              <w:spacing w:line="360" w:lineRule="auto"/>
              <w:ind w:left="0" w:leftChars="0" w:firstLine="0" w:firstLineChars="0"/>
              <w:jc w:val="center"/>
              <w:rPr>
                <w:rFonts w:hint="default" w:ascii="宋体" w:hAnsi="宋体" w:eastAsia="宋体" w:cs="宋体"/>
                <w:kern w:val="2"/>
                <w:sz w:val="24"/>
                <w:szCs w:val="24"/>
                <w:highlight w:val="none"/>
                <w:lang w:val="en-US" w:eastAsia="zh-CN" w:bidi="ar-SA"/>
              </w:rPr>
            </w:pP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4A8EE67D">
            <w:pPr>
              <w:spacing w:line="300" w:lineRule="exact"/>
              <w:ind w:left="0" w:leftChars="0" w:firstLine="0" w:firstLineChars="0"/>
              <w:jc w:val="center"/>
              <w:rPr>
                <w:rFonts w:hint="default" w:asciiTheme="minorEastAsia" w:hAnsiTheme="minorEastAsia" w:eastAsiaTheme="minorEastAsia" w:cstheme="minorEastAsia"/>
                <w:bCs/>
                <w:sz w:val="24"/>
                <w:szCs w:val="24"/>
                <w:lang w:val="en-US" w:eastAsia="zh-CN"/>
              </w:rPr>
            </w:pPr>
            <w:r>
              <w:rPr>
                <w:rFonts w:hint="eastAsia" w:ascii="宋体" w:hAnsi="宋体" w:eastAsia="宋体" w:cs="宋体"/>
                <w:kern w:val="2"/>
                <w:sz w:val="24"/>
                <w:szCs w:val="24"/>
                <w:highlight w:val="none"/>
                <w:lang w:val="en-US" w:eastAsia="zh-CN" w:bidi="ar-SA"/>
              </w:rPr>
              <w:t>食材溯源方案</w:t>
            </w:r>
            <w:r>
              <w:rPr>
                <w:rFonts w:hint="eastAsia" w:ascii="宋体" w:hAnsi="宋体" w:cs="宋体"/>
                <w:kern w:val="2"/>
                <w:sz w:val="24"/>
                <w:szCs w:val="24"/>
                <w:highlight w:val="none"/>
                <w:lang w:val="zh-TW" w:eastAsia="zh-CN" w:bidi="ar-SA"/>
              </w:rPr>
              <w:t>（</w:t>
            </w:r>
            <w:r>
              <w:rPr>
                <w:rFonts w:hint="eastAsia" w:asciiTheme="minorEastAsia" w:hAnsiTheme="minorEastAsia" w:eastAsiaTheme="minorEastAsia" w:cstheme="minorEastAsia"/>
                <w:bCs/>
                <w:sz w:val="24"/>
                <w:szCs w:val="24"/>
                <w:lang w:val="en-US" w:eastAsia="zh-CN"/>
              </w:rPr>
              <w:t>5分</w:t>
            </w:r>
            <w:r>
              <w:rPr>
                <w:rFonts w:hint="eastAsia" w:ascii="宋体" w:hAnsi="宋体" w:cs="宋体"/>
                <w:kern w:val="2"/>
                <w:sz w:val="24"/>
                <w:szCs w:val="24"/>
                <w:highlight w:val="none"/>
                <w:lang w:val="zh-TW" w:eastAsia="zh-CN" w:bidi="ar-SA"/>
              </w:rPr>
              <w:t>）</w:t>
            </w:r>
          </w:p>
        </w:tc>
        <w:tc>
          <w:tcPr>
            <w:tcW w:w="6591" w:type="dxa"/>
            <w:tcBorders>
              <w:top w:val="single" w:color="auto" w:sz="4" w:space="0"/>
              <w:left w:val="single" w:color="auto" w:sz="4" w:space="0"/>
              <w:bottom w:val="single" w:color="auto" w:sz="4" w:space="0"/>
              <w:right w:val="single" w:color="auto" w:sz="4" w:space="0"/>
            </w:tcBorders>
            <w:shd w:val="clear" w:color="auto" w:fill="auto"/>
            <w:vAlign w:val="center"/>
          </w:tcPr>
          <w:p w14:paraId="721CBA07">
            <w:pPr>
              <w:spacing w:line="360" w:lineRule="auto"/>
              <w:ind w:left="0" w:leftChars="0"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6.提供食材溯源服务，确保食材来源可追溯方案：</w:t>
            </w:r>
          </w:p>
          <w:p w14:paraId="25746E25">
            <w:pPr>
              <w:spacing w:line="360" w:lineRule="auto"/>
              <w:ind w:left="0" w:leftChars="0"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（1）方案内容全面详实，针对性强，整体科学合理，可操作性强的得5分；</w:t>
            </w:r>
          </w:p>
          <w:p w14:paraId="64B160ED">
            <w:pPr>
              <w:spacing w:line="360" w:lineRule="auto"/>
              <w:ind w:left="0" w:leftChars="0"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（2）方案包含要求内容，针对性较好，整体较为合理，具有一定的可操作性的得3分；</w:t>
            </w:r>
          </w:p>
          <w:p w14:paraId="5D0CE522">
            <w:pPr>
              <w:spacing w:line="360" w:lineRule="auto"/>
              <w:ind w:left="0" w:leftChars="0"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（3）提供有方案，但内容不全面，针对性不强的得1分；</w:t>
            </w:r>
          </w:p>
          <w:p w14:paraId="13287F93">
            <w:pPr>
              <w:autoSpaceDE w:val="0"/>
              <w:autoSpaceDN w:val="0"/>
              <w:adjustRightInd w:val="0"/>
              <w:spacing w:line="360" w:lineRule="auto"/>
              <w:ind w:left="0" w:leftChars="0" w:firstLine="0" w:firstLineChars="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（4）未提供不得分。</w:t>
            </w:r>
          </w:p>
        </w:tc>
      </w:tr>
      <w:tr w14:paraId="0AE0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7324B15D">
            <w:pPr>
              <w:rPr>
                <w:rFonts w:hint="eastAsia" w:asciiTheme="minorEastAsia" w:hAnsiTheme="minorEastAsia" w:eastAsiaTheme="minorEastAsia" w:cstheme="minorEastAsia"/>
                <w:bCs/>
                <w:spacing w:val="-24"/>
                <w:sz w:val="24"/>
                <w:szCs w:val="24"/>
                <w:lang w:val="zh-CN"/>
              </w:rPr>
            </w:pPr>
          </w:p>
        </w:tc>
        <w:tc>
          <w:tcPr>
            <w:tcW w:w="1185" w:type="dxa"/>
            <w:vMerge w:val="continue"/>
            <w:tcBorders>
              <w:left w:val="single" w:color="auto" w:sz="4" w:space="0"/>
              <w:right w:val="single" w:color="auto" w:sz="4" w:space="0"/>
            </w:tcBorders>
            <w:shd w:val="clear" w:color="auto" w:fill="auto"/>
            <w:vAlign w:val="center"/>
          </w:tcPr>
          <w:p w14:paraId="09C5C6F6">
            <w:pPr>
              <w:spacing w:line="360" w:lineRule="auto"/>
              <w:ind w:left="0" w:leftChars="0" w:firstLine="0" w:firstLineChars="0"/>
              <w:jc w:val="center"/>
              <w:rPr>
                <w:rFonts w:ascii="宋体" w:hAnsi="宋体" w:eastAsia="宋体" w:cs="宋体"/>
                <w:sz w:val="24"/>
                <w:szCs w:val="24"/>
              </w:rPr>
            </w:pP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4172399E">
            <w:pPr>
              <w:spacing w:line="300" w:lineRule="exact"/>
              <w:ind w:left="0" w:leftChars="0" w:firstLine="0" w:firstLineChars="0"/>
              <w:jc w:val="center"/>
              <w:rPr>
                <w:rFonts w:hint="default" w:asciiTheme="minorEastAsia" w:hAnsiTheme="minorEastAsia" w:eastAsiaTheme="minorEastAsia" w:cstheme="minorEastAsia"/>
                <w:bCs/>
                <w:sz w:val="24"/>
                <w:szCs w:val="24"/>
                <w:lang w:val="en-US" w:eastAsia="zh-CN"/>
              </w:rPr>
            </w:pPr>
            <w:r>
              <w:rPr>
                <w:rFonts w:hint="eastAsia" w:ascii="宋体" w:hAnsi="宋体" w:cs="宋体"/>
                <w:kern w:val="2"/>
                <w:sz w:val="24"/>
                <w:szCs w:val="24"/>
                <w:highlight w:val="none"/>
                <w:lang w:val="en-US" w:eastAsia="zh-CN" w:bidi="ar-SA"/>
              </w:rPr>
              <w:t>检测能力</w:t>
            </w:r>
            <w:r>
              <w:rPr>
                <w:rFonts w:hint="eastAsia" w:ascii="宋体" w:hAnsi="宋体" w:cs="宋体"/>
                <w:kern w:val="2"/>
                <w:sz w:val="24"/>
                <w:szCs w:val="24"/>
                <w:highlight w:val="none"/>
                <w:lang w:val="zh-TW" w:eastAsia="zh-CN" w:bidi="ar-SA"/>
              </w:rPr>
              <w:t>（</w:t>
            </w:r>
            <w:r>
              <w:rPr>
                <w:rFonts w:hint="eastAsia" w:asciiTheme="minorEastAsia" w:hAnsiTheme="minorEastAsia" w:eastAsiaTheme="minorEastAsia" w:cstheme="minorEastAsia"/>
                <w:bCs/>
                <w:sz w:val="24"/>
                <w:szCs w:val="24"/>
                <w:lang w:val="en-US" w:eastAsia="zh-CN"/>
              </w:rPr>
              <w:t>5分</w:t>
            </w:r>
            <w:r>
              <w:rPr>
                <w:rFonts w:hint="eastAsia" w:ascii="宋体" w:hAnsi="宋体" w:cs="宋体"/>
                <w:kern w:val="2"/>
                <w:sz w:val="24"/>
                <w:szCs w:val="24"/>
                <w:highlight w:val="none"/>
                <w:lang w:val="zh-TW" w:eastAsia="zh-CN" w:bidi="ar-SA"/>
              </w:rPr>
              <w:t>）</w:t>
            </w:r>
          </w:p>
        </w:tc>
        <w:tc>
          <w:tcPr>
            <w:tcW w:w="6591" w:type="dxa"/>
            <w:tcBorders>
              <w:top w:val="single" w:color="auto" w:sz="4" w:space="0"/>
              <w:left w:val="single" w:color="auto" w:sz="4" w:space="0"/>
              <w:bottom w:val="single" w:color="auto" w:sz="4" w:space="0"/>
              <w:right w:val="single" w:color="auto" w:sz="4" w:space="0"/>
            </w:tcBorders>
            <w:shd w:val="clear" w:color="auto" w:fill="auto"/>
            <w:vAlign w:val="center"/>
          </w:tcPr>
          <w:p w14:paraId="371FEE62">
            <w:pPr>
              <w:autoSpaceDE w:val="0"/>
              <w:autoSpaceDN w:val="0"/>
              <w:adjustRightInd w:val="0"/>
              <w:spacing w:line="360" w:lineRule="auto"/>
              <w:ind w:left="0" w:leftChars="0" w:firstLine="0" w:firstLineChars="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1、供应商具备独立的农残检测室得1分，没有不得分。</w:t>
            </w:r>
          </w:p>
          <w:p w14:paraId="3A182CA6">
            <w:pPr>
              <w:autoSpaceDE w:val="0"/>
              <w:autoSpaceDN w:val="0"/>
              <w:adjustRightInd w:val="0"/>
              <w:spacing w:line="360" w:lineRule="auto"/>
              <w:ind w:left="0" w:leftChars="0" w:firstLine="0" w:firstLineChars="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2、供应商具备食品安全检测仪、农药残留检测仪、肉类水分检测仪、ATP 荧光检测仪，每有一项得0.5分，最高得2分。</w:t>
            </w:r>
          </w:p>
          <w:p w14:paraId="0AD67A79">
            <w:pPr>
              <w:autoSpaceDE w:val="0"/>
              <w:autoSpaceDN w:val="0"/>
              <w:adjustRightInd w:val="0"/>
              <w:spacing w:line="360" w:lineRule="auto"/>
              <w:ind w:left="0" w:leftChars="0" w:firstLine="0" w:firstLineChars="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根据检测试验台是否满足操作要求，是否有检测记录，物品摆放等情况进行打分：试验台满足操作要求，检测记录齐全，物品摆放有序得2分；试验台基本满足操作要求，检测记录不齐全，物品摆放乱得1分；其他得0分。</w:t>
            </w:r>
          </w:p>
          <w:p w14:paraId="04D162C4">
            <w:pPr>
              <w:spacing w:line="360" w:lineRule="auto"/>
              <w:ind w:left="0" w:leftChars="0" w:firstLine="0" w:firstLineChars="0"/>
              <w:rPr>
                <w:rFonts w:ascii="宋体" w:hAnsi="宋体" w:eastAsia="宋体" w:cs="宋体"/>
                <w:kern w:val="0"/>
                <w:sz w:val="24"/>
                <w:szCs w:val="24"/>
                <w:lang w:val="en-US" w:eastAsia="zh-CN" w:bidi="ar"/>
              </w:rPr>
            </w:pPr>
            <w:r>
              <w:rPr>
                <w:rFonts w:hint="eastAsia" w:ascii="宋体" w:hAnsi="宋体" w:eastAsia="宋体" w:cs="宋体"/>
                <w:kern w:val="2"/>
                <w:sz w:val="24"/>
                <w:szCs w:val="24"/>
                <w:highlight w:val="none"/>
                <w:lang w:val="en-US" w:eastAsia="zh-CN" w:bidi="ar-SA"/>
              </w:rPr>
              <w:t>注：响应文件中须提供检测室（含已有设备的）磋商公告发布之后的现场实景照片（显示拍摄时间），设备需要在图片上标注（备注）清楚，未能提供此项不得分</w:t>
            </w:r>
          </w:p>
        </w:tc>
      </w:tr>
      <w:tr w14:paraId="413B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55" w:type="dxa"/>
            <w:vMerge w:val="restart"/>
            <w:tcBorders>
              <w:top w:val="single" w:color="auto" w:sz="4" w:space="0"/>
              <w:left w:val="single" w:color="auto" w:sz="4" w:space="0"/>
              <w:bottom w:val="single" w:color="auto" w:sz="4" w:space="0"/>
              <w:right w:val="single" w:color="auto" w:sz="4" w:space="0"/>
            </w:tcBorders>
            <w:vAlign w:val="center"/>
          </w:tcPr>
          <w:p w14:paraId="63251862">
            <w:pPr>
              <w:spacing w:line="300" w:lineRule="exact"/>
              <w:ind w:left="0" w:leftChars="0" w:firstLine="0" w:firstLineChars="0"/>
              <w:jc w:val="both"/>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2.2.3</w:t>
            </w:r>
          </w:p>
        </w:tc>
        <w:tc>
          <w:tcPr>
            <w:tcW w:w="1185" w:type="dxa"/>
            <w:vMerge w:val="restart"/>
            <w:tcBorders>
              <w:top w:val="single" w:color="auto" w:sz="4" w:space="0"/>
              <w:left w:val="single" w:color="auto" w:sz="4" w:space="0"/>
              <w:right w:val="single" w:color="auto" w:sz="4" w:space="0"/>
            </w:tcBorders>
            <w:vAlign w:val="center"/>
          </w:tcPr>
          <w:p w14:paraId="2500456F">
            <w:pPr>
              <w:spacing w:line="360" w:lineRule="auto"/>
              <w:ind w:left="0" w:leftChars="0" w:firstLine="0" w:firstLineChars="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商务部分（</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lang w:val="zh-CN"/>
              </w:rPr>
              <w:t>分）</w:t>
            </w:r>
          </w:p>
        </w:tc>
        <w:tc>
          <w:tcPr>
            <w:tcW w:w="1314" w:type="dxa"/>
            <w:tcBorders>
              <w:top w:val="single" w:color="auto" w:sz="4" w:space="0"/>
              <w:left w:val="single" w:color="auto" w:sz="4" w:space="0"/>
              <w:bottom w:val="single" w:color="auto" w:sz="4" w:space="0"/>
              <w:right w:val="single" w:color="auto" w:sz="4" w:space="0"/>
            </w:tcBorders>
            <w:vAlign w:val="center"/>
          </w:tcPr>
          <w:p w14:paraId="0EDEBDFB">
            <w:pPr>
              <w:spacing w:line="300" w:lineRule="exact"/>
              <w:ind w:left="0" w:leftChars="0" w:firstLine="0" w:firstLineChars="0"/>
              <w:jc w:val="center"/>
              <w:rPr>
                <w:rFonts w:hint="eastAsia" w:asciiTheme="minorEastAsia" w:hAnsiTheme="minorEastAsia" w:eastAsiaTheme="minorEastAsia" w:cstheme="minorEastAsia"/>
                <w:bCs/>
                <w:sz w:val="24"/>
                <w:szCs w:val="24"/>
                <w:lang w:val="en-US" w:eastAsia="zh-CN"/>
              </w:rPr>
            </w:pPr>
            <w:r>
              <w:rPr>
                <w:rFonts w:hint="eastAsia" w:ascii="宋体" w:hAnsi="宋体" w:eastAsia="宋体" w:cs="宋体"/>
                <w:kern w:val="0"/>
                <w:sz w:val="24"/>
                <w:szCs w:val="24"/>
                <w:highlight w:val="none"/>
              </w:rPr>
              <w:t>业绩</w:t>
            </w:r>
            <w:r>
              <w:rPr>
                <w:rFonts w:hint="eastAsia" w:ascii="宋体" w:hAnsi="宋体" w:cs="宋体"/>
                <w:kern w:val="0"/>
                <w:sz w:val="24"/>
                <w:szCs w:val="24"/>
                <w:highlight w:val="none"/>
                <w:lang w:eastAsia="zh-CN"/>
              </w:rPr>
              <w:t>（</w:t>
            </w:r>
            <w:r>
              <w:rPr>
                <w:rFonts w:hint="eastAsia" w:asciiTheme="minorEastAsia" w:hAnsiTheme="minorEastAsia" w:eastAsiaTheme="minorEastAsia" w:cstheme="minorEastAsia"/>
                <w:bCs/>
                <w:sz w:val="24"/>
                <w:szCs w:val="24"/>
                <w:lang w:val="en-US" w:eastAsia="zh-CN"/>
              </w:rPr>
              <w:t>9分</w:t>
            </w:r>
            <w:r>
              <w:rPr>
                <w:rFonts w:hint="eastAsia" w:ascii="宋体" w:hAnsi="宋体" w:cs="宋体"/>
                <w:kern w:val="0"/>
                <w:sz w:val="24"/>
                <w:szCs w:val="24"/>
                <w:highlight w:val="none"/>
                <w:lang w:eastAsia="zh-CN"/>
              </w:rPr>
              <w:t>）</w:t>
            </w:r>
          </w:p>
        </w:tc>
        <w:tc>
          <w:tcPr>
            <w:tcW w:w="6591" w:type="dxa"/>
            <w:tcBorders>
              <w:top w:val="single" w:color="auto" w:sz="4" w:space="0"/>
              <w:left w:val="single" w:color="auto" w:sz="4" w:space="0"/>
              <w:bottom w:val="single" w:color="auto" w:sz="4" w:space="0"/>
              <w:right w:val="single" w:color="auto" w:sz="4" w:space="0"/>
            </w:tcBorders>
            <w:vAlign w:val="center"/>
          </w:tcPr>
          <w:p w14:paraId="2FCF896E">
            <w:pPr>
              <w:wordWrap w:val="0"/>
              <w:topLinePunct/>
              <w:adjustRightInd w:val="0"/>
              <w:spacing w:line="360" w:lineRule="auto"/>
              <w:ind w:firstLine="480" w:firstLineChars="200"/>
              <w:rPr>
                <w:rFonts w:hint="eastAsia" w:asciiTheme="minorEastAsia" w:hAnsiTheme="minorEastAsia" w:eastAsiaTheme="minorEastAsia" w:cstheme="minorEastAsia"/>
                <w:bCs/>
                <w:color w:val="000000" w:themeColor="text1"/>
                <w:sz w:val="24"/>
                <w:szCs w:val="24"/>
                <w:lang w:val="zh-CN"/>
                <w14:textFill>
                  <w14:solidFill>
                    <w14:schemeClr w14:val="tx1"/>
                  </w14:solidFill>
                </w14:textFill>
              </w:rPr>
            </w:pPr>
            <w:r>
              <w:rPr>
                <w:rFonts w:hint="eastAsia" w:ascii="宋体" w:hAnsi="宋体" w:cs="宋体"/>
                <w:kern w:val="0"/>
                <w:sz w:val="24"/>
                <w:szCs w:val="24"/>
                <w:highlight w:val="none"/>
                <w:lang w:eastAsia="zh-CN"/>
              </w:rPr>
              <w:t>供应商</w:t>
            </w:r>
            <w:r>
              <w:rPr>
                <w:rFonts w:hint="eastAsia" w:ascii="宋体" w:hAnsi="宋体" w:eastAsia="宋体" w:cs="宋体"/>
                <w:kern w:val="0"/>
                <w:sz w:val="24"/>
                <w:szCs w:val="24"/>
                <w:highlight w:val="none"/>
              </w:rPr>
              <w:t>202</w:t>
            </w:r>
            <w:r>
              <w:rPr>
                <w:rFonts w:hint="eastAsia" w:ascii="宋体" w:hAnsi="宋体" w:cs="宋体"/>
                <w:kern w:val="0"/>
                <w:sz w:val="24"/>
                <w:szCs w:val="24"/>
                <w:highlight w:val="none"/>
                <w:lang w:val="en-US" w:eastAsia="zh-CN"/>
              </w:rPr>
              <w:t>3</w:t>
            </w:r>
            <w:r>
              <w:rPr>
                <w:rFonts w:hint="eastAsia" w:ascii="宋体" w:hAnsi="宋体" w:eastAsia="宋体" w:cs="宋体"/>
                <w:kern w:val="0"/>
                <w:sz w:val="24"/>
                <w:szCs w:val="24"/>
                <w:highlight w:val="none"/>
              </w:rPr>
              <w:t>年1月1日</w:t>
            </w:r>
            <w:r>
              <w:rPr>
                <w:rFonts w:hint="eastAsia" w:ascii="宋体" w:hAnsi="宋体" w:eastAsia="宋体" w:cs="宋体"/>
                <w:kern w:val="0"/>
                <w:sz w:val="24"/>
                <w:szCs w:val="24"/>
                <w:highlight w:val="none"/>
                <w:lang w:val="en-US" w:eastAsia="zh-CN"/>
              </w:rPr>
              <w:t>以来具有类似项目</w:t>
            </w:r>
            <w:r>
              <w:rPr>
                <w:rFonts w:hint="eastAsia" w:ascii="宋体" w:hAnsi="宋体" w:eastAsia="宋体" w:cs="宋体"/>
                <w:kern w:val="0"/>
                <w:sz w:val="24"/>
                <w:szCs w:val="24"/>
                <w:highlight w:val="none"/>
              </w:rPr>
              <w:t>业绩</w:t>
            </w:r>
            <w:r>
              <w:rPr>
                <w:rFonts w:hint="eastAsia" w:ascii="宋体" w:hAnsi="宋体" w:eastAsia="宋体" w:cs="宋体"/>
                <w:kern w:val="0"/>
                <w:sz w:val="24"/>
                <w:szCs w:val="24"/>
                <w:highlight w:val="none"/>
                <w:lang w:val="en-US" w:eastAsia="zh-CN"/>
              </w:rPr>
              <w:t>的</w:t>
            </w:r>
            <w:r>
              <w:rPr>
                <w:rFonts w:hint="eastAsia" w:ascii="宋体" w:hAnsi="宋体" w:eastAsia="宋体" w:cs="宋体"/>
                <w:kern w:val="0"/>
                <w:sz w:val="24"/>
                <w:szCs w:val="24"/>
                <w:highlight w:val="none"/>
              </w:rPr>
              <w:t>，每个得3分，最高得9分</w:t>
            </w:r>
            <w:r>
              <w:rPr>
                <w:rFonts w:hint="eastAsia" w:ascii="宋体" w:hAnsi="宋体" w:eastAsia="宋体" w:cs="宋体"/>
                <w:kern w:val="0"/>
                <w:sz w:val="24"/>
                <w:szCs w:val="24"/>
                <w:highlight w:val="none"/>
                <w:lang w:eastAsia="zh-CN"/>
              </w:rPr>
              <w:t>。</w:t>
            </w:r>
            <w:r>
              <w:rPr>
                <w:rFonts w:hint="eastAsia" w:ascii="宋体" w:hAnsi="宋体" w:cs="宋体"/>
                <w:kern w:val="0"/>
                <w:sz w:val="24"/>
                <w:szCs w:val="24"/>
                <w:highlight w:val="none"/>
                <w:lang w:val="en-US" w:eastAsia="zh-CN"/>
              </w:rPr>
              <w:t>响应</w:t>
            </w:r>
            <w:r>
              <w:rPr>
                <w:rFonts w:hint="eastAsia" w:ascii="宋体" w:hAnsi="宋体" w:eastAsia="宋体" w:cs="宋体"/>
                <w:kern w:val="0"/>
                <w:sz w:val="24"/>
                <w:szCs w:val="24"/>
                <w:highlight w:val="none"/>
                <w:lang w:val="en-US" w:eastAsia="zh-CN"/>
              </w:rPr>
              <w:t>文件中需提供中标通知书或</w:t>
            </w:r>
            <w:r>
              <w:rPr>
                <w:rFonts w:hint="eastAsia" w:ascii="宋体" w:hAnsi="宋体" w:eastAsia="宋体" w:cs="宋体"/>
                <w:kern w:val="0"/>
                <w:sz w:val="24"/>
                <w:szCs w:val="24"/>
                <w:highlight w:val="none"/>
                <w:lang w:eastAsia="zh-CN"/>
              </w:rPr>
              <w:t>供货合同</w:t>
            </w:r>
            <w:r>
              <w:rPr>
                <w:rFonts w:hint="eastAsia" w:ascii="宋体" w:hAnsi="宋体" w:eastAsia="宋体" w:cs="宋体"/>
                <w:kern w:val="0"/>
                <w:sz w:val="24"/>
                <w:szCs w:val="24"/>
                <w:highlight w:val="none"/>
                <w:lang w:val="en-US" w:eastAsia="zh-CN"/>
              </w:rPr>
              <w:t>的</w:t>
            </w:r>
            <w:r>
              <w:rPr>
                <w:rFonts w:hint="eastAsia" w:ascii="宋体" w:hAnsi="宋体" w:cs="宋体"/>
                <w:kern w:val="0"/>
                <w:sz w:val="24"/>
                <w:szCs w:val="24"/>
                <w:highlight w:val="none"/>
                <w:lang w:val="en-US" w:eastAsia="zh-CN"/>
              </w:rPr>
              <w:t>原件</w:t>
            </w:r>
            <w:r>
              <w:rPr>
                <w:rFonts w:hint="eastAsia" w:ascii="宋体" w:hAnsi="宋体" w:eastAsia="宋体" w:cs="宋体"/>
                <w:kern w:val="0"/>
                <w:sz w:val="24"/>
                <w:szCs w:val="24"/>
                <w:highlight w:val="none"/>
                <w:lang w:val="en-US" w:eastAsia="zh-CN"/>
              </w:rPr>
              <w:t>扫描件，否则业绩不予认可。</w:t>
            </w:r>
          </w:p>
        </w:tc>
      </w:tr>
      <w:tr w14:paraId="17BE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53CA2FAC">
            <w:pPr>
              <w:rPr>
                <w:rFonts w:hint="eastAsia" w:asciiTheme="minorEastAsia" w:hAnsiTheme="minorEastAsia" w:eastAsiaTheme="minorEastAsia" w:cstheme="minorEastAsia"/>
                <w:bCs/>
                <w:sz w:val="24"/>
                <w:szCs w:val="24"/>
                <w:lang w:val="zh-CN"/>
              </w:rPr>
            </w:pPr>
          </w:p>
        </w:tc>
        <w:tc>
          <w:tcPr>
            <w:tcW w:w="1185" w:type="dxa"/>
            <w:vMerge w:val="continue"/>
            <w:tcBorders>
              <w:left w:val="single" w:color="auto" w:sz="4" w:space="0"/>
              <w:right w:val="single" w:color="auto" w:sz="4" w:space="0"/>
            </w:tcBorders>
            <w:shd w:val="clear" w:color="auto" w:fill="auto"/>
            <w:vAlign w:val="center"/>
          </w:tcPr>
          <w:p w14:paraId="35D00D5F">
            <w:pPr>
              <w:autoSpaceDE w:val="0"/>
              <w:autoSpaceDN w:val="0"/>
              <w:spacing w:line="360" w:lineRule="auto"/>
              <w:ind w:left="135" w:leftChars="28" w:right="97" w:rightChars="0" w:hanging="57" w:hangingChars="24"/>
              <w:jc w:val="center"/>
              <w:rPr>
                <w:rFonts w:hint="eastAsia" w:asciiTheme="minorEastAsia" w:hAnsiTheme="minorEastAsia" w:eastAsiaTheme="minorEastAsia" w:cstheme="minorEastAsia"/>
                <w:kern w:val="2"/>
                <w:sz w:val="24"/>
                <w:szCs w:val="24"/>
                <w:lang w:val="en-US" w:eastAsia="zh-CN" w:bidi="ar-SA"/>
              </w:rPr>
            </w:pP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24179686">
            <w:pPr>
              <w:spacing w:line="300" w:lineRule="exact"/>
              <w:ind w:left="0" w:leftChars="0" w:firstLine="0" w:firstLineChars="0"/>
              <w:jc w:val="center"/>
              <w:rPr>
                <w:rFonts w:hint="eastAsia" w:asciiTheme="minorEastAsia" w:hAnsiTheme="minorEastAsia" w:eastAsiaTheme="minorEastAsia" w:cstheme="minorEastAsia"/>
                <w:bCs/>
                <w:kern w:val="2"/>
                <w:sz w:val="24"/>
                <w:szCs w:val="24"/>
                <w:lang w:val="en-US" w:eastAsia="zh-CN" w:bidi="ar-SA"/>
              </w:rPr>
            </w:pPr>
            <w:r>
              <w:rPr>
                <w:rFonts w:hint="eastAsia" w:ascii="宋体" w:hAnsi="宋体" w:eastAsia="宋体" w:cs="宋体"/>
                <w:spacing w:val="1"/>
                <w:kern w:val="0"/>
                <w:sz w:val="24"/>
                <w:szCs w:val="24"/>
                <w:highlight w:val="none"/>
                <w:lang w:val="en-US" w:eastAsia="zh-CN"/>
              </w:rPr>
              <w:t>仓储基地</w:t>
            </w:r>
            <w:r>
              <w:rPr>
                <w:rFonts w:hint="eastAsia" w:ascii="宋体" w:hAnsi="宋体" w:cs="宋体"/>
                <w:spacing w:val="1"/>
                <w:kern w:val="0"/>
                <w:sz w:val="24"/>
                <w:szCs w:val="24"/>
                <w:highlight w:val="none"/>
                <w:lang w:val="en-US" w:eastAsia="zh-CN"/>
              </w:rPr>
              <w:t>（</w:t>
            </w:r>
            <w:r>
              <w:rPr>
                <w:rFonts w:hint="eastAsia" w:asciiTheme="minorEastAsia" w:hAnsiTheme="minorEastAsia" w:eastAsiaTheme="minorEastAsia" w:cstheme="minorEastAsia"/>
                <w:bCs/>
                <w:sz w:val="24"/>
                <w:szCs w:val="24"/>
                <w:lang w:val="en-US" w:eastAsia="zh-CN"/>
              </w:rPr>
              <w:t>2分</w:t>
            </w:r>
            <w:r>
              <w:rPr>
                <w:rFonts w:hint="eastAsia" w:ascii="宋体" w:hAnsi="宋体" w:cs="宋体"/>
                <w:spacing w:val="1"/>
                <w:kern w:val="0"/>
                <w:sz w:val="24"/>
                <w:szCs w:val="24"/>
                <w:highlight w:val="none"/>
                <w:lang w:val="en-US" w:eastAsia="zh-CN"/>
              </w:rPr>
              <w:t>）</w:t>
            </w:r>
          </w:p>
        </w:tc>
        <w:tc>
          <w:tcPr>
            <w:tcW w:w="6591" w:type="dxa"/>
            <w:tcBorders>
              <w:top w:val="single" w:color="auto" w:sz="4" w:space="0"/>
              <w:left w:val="single" w:color="auto" w:sz="4" w:space="0"/>
              <w:bottom w:val="single" w:color="auto" w:sz="4" w:space="0"/>
              <w:right w:val="single" w:color="auto" w:sz="4" w:space="0"/>
            </w:tcBorders>
            <w:shd w:val="clear" w:color="auto" w:fill="auto"/>
            <w:vAlign w:val="center"/>
          </w:tcPr>
          <w:p w14:paraId="1AD61C42">
            <w:pPr>
              <w:autoSpaceDE w:val="0"/>
              <w:autoSpaceDN w:val="0"/>
              <w:spacing w:line="360" w:lineRule="auto"/>
              <w:ind w:left="0" w:leftChars="0" w:firstLine="0" w:firstLineChars="0"/>
              <w:rPr>
                <w:rFonts w:hint="eastAsia" w:asciiTheme="minorEastAsia" w:hAnsiTheme="minorEastAsia" w:eastAsiaTheme="minorEastAsia" w:cstheme="minorEastAsia"/>
                <w:color w:val="000000" w:themeColor="text1"/>
                <w:spacing w:val="-8"/>
                <w:kern w:val="2"/>
                <w:sz w:val="24"/>
                <w:szCs w:val="24"/>
                <w:lang w:val="en-US" w:eastAsia="zh-CN" w:bidi="ar-SA"/>
                <w14:textFill>
                  <w14:solidFill>
                    <w14:schemeClr w14:val="tx1"/>
                  </w14:solidFill>
                </w14:textFill>
              </w:rPr>
            </w:pPr>
            <w:r>
              <w:rPr>
                <w:rFonts w:hint="eastAsia" w:ascii="宋体" w:hAnsi="宋体" w:eastAsia="宋体" w:cs="宋体"/>
                <w:sz w:val="24"/>
                <w:szCs w:val="24"/>
                <w:lang w:val="en-US" w:eastAsia="zh-CN"/>
              </w:rPr>
              <w:t>具有食材配送仓储基地（如冷库等）的，面积500㎡及以上的得</w:t>
            </w:r>
            <w:r>
              <w:rPr>
                <w:rFonts w:hint="eastAsia" w:ascii="宋体" w:hAnsi="宋体" w:cs="宋体"/>
                <w:sz w:val="24"/>
                <w:szCs w:val="24"/>
                <w:lang w:val="en-US" w:eastAsia="zh-CN"/>
              </w:rPr>
              <w:t>0.5</w:t>
            </w:r>
            <w:r>
              <w:rPr>
                <w:rFonts w:hint="eastAsia" w:ascii="宋体" w:hAnsi="宋体" w:eastAsia="宋体" w:cs="宋体"/>
                <w:sz w:val="24"/>
                <w:szCs w:val="24"/>
                <w:lang w:val="en-US" w:eastAsia="zh-CN"/>
              </w:rPr>
              <w:t>分；面积1000㎡及以上的得</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分；面积1500㎡及以上的得</w:t>
            </w:r>
            <w:r>
              <w:rPr>
                <w:rFonts w:hint="eastAsia" w:ascii="宋体" w:hAnsi="宋体" w:cs="宋体"/>
                <w:sz w:val="24"/>
                <w:szCs w:val="24"/>
                <w:lang w:val="en-US" w:eastAsia="zh-CN"/>
              </w:rPr>
              <w:t>1.5</w:t>
            </w:r>
            <w:r>
              <w:rPr>
                <w:rFonts w:hint="eastAsia" w:ascii="宋体" w:hAnsi="宋体" w:eastAsia="宋体" w:cs="宋体"/>
                <w:sz w:val="24"/>
                <w:szCs w:val="24"/>
                <w:lang w:val="en-US" w:eastAsia="zh-CN"/>
              </w:rPr>
              <w:t>分；面积2000㎡及以上的得</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分。（</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自有的，提供房屋产权证书扫描件；</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租赁的，提供租赁协议扫描件。场地面积以房屋产权证明文件</w:t>
            </w:r>
            <w:r>
              <w:rPr>
                <w:rFonts w:hint="eastAsia" w:ascii="宋体" w:hAnsi="宋体" w:cs="宋体"/>
                <w:sz w:val="24"/>
                <w:szCs w:val="24"/>
                <w:lang w:val="en-US" w:eastAsia="zh-CN"/>
              </w:rPr>
              <w:t>或</w:t>
            </w:r>
            <w:r>
              <w:rPr>
                <w:rFonts w:hint="eastAsia" w:ascii="宋体" w:hAnsi="宋体" w:eastAsia="宋体" w:cs="宋体"/>
                <w:sz w:val="24"/>
                <w:szCs w:val="24"/>
                <w:lang w:val="en-US" w:eastAsia="zh-CN"/>
              </w:rPr>
              <w:t>租赁协议</w:t>
            </w:r>
            <w:r>
              <w:rPr>
                <w:rFonts w:hint="eastAsia" w:ascii="宋体" w:hAnsi="宋体" w:cs="宋体"/>
                <w:sz w:val="24"/>
                <w:szCs w:val="24"/>
                <w:lang w:val="en-US" w:eastAsia="zh-CN"/>
              </w:rPr>
              <w:t>中</w:t>
            </w:r>
            <w:r>
              <w:rPr>
                <w:rFonts w:hint="eastAsia" w:ascii="宋体" w:hAnsi="宋体" w:eastAsia="宋体" w:cs="宋体"/>
                <w:sz w:val="24"/>
                <w:szCs w:val="24"/>
                <w:lang w:val="en-US" w:eastAsia="zh-CN"/>
              </w:rPr>
              <w:t>的建筑面积为准。未提供不得分</w:t>
            </w:r>
          </w:p>
        </w:tc>
      </w:tr>
      <w:tr w14:paraId="0723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0507381C">
            <w:pPr>
              <w:rPr>
                <w:rFonts w:hint="eastAsia" w:asciiTheme="minorEastAsia" w:hAnsiTheme="minorEastAsia" w:eastAsiaTheme="minorEastAsia" w:cstheme="minorEastAsia"/>
                <w:bCs/>
                <w:sz w:val="24"/>
                <w:szCs w:val="24"/>
                <w:lang w:val="zh-CN"/>
              </w:rPr>
            </w:pPr>
          </w:p>
        </w:tc>
        <w:tc>
          <w:tcPr>
            <w:tcW w:w="1185" w:type="dxa"/>
            <w:vMerge w:val="continue"/>
            <w:tcBorders>
              <w:left w:val="single" w:color="auto" w:sz="4" w:space="0"/>
              <w:right w:val="single" w:color="auto" w:sz="4" w:space="0"/>
            </w:tcBorders>
            <w:shd w:val="clear" w:color="auto" w:fill="auto"/>
            <w:vAlign w:val="center"/>
          </w:tcPr>
          <w:p w14:paraId="7D2C9F89">
            <w:pPr>
              <w:autoSpaceDE w:val="0"/>
              <w:autoSpaceDN w:val="0"/>
              <w:spacing w:line="360" w:lineRule="auto"/>
              <w:ind w:left="135" w:leftChars="28" w:right="97" w:rightChars="0" w:hanging="57" w:hangingChars="24"/>
              <w:jc w:val="center"/>
              <w:rPr>
                <w:rFonts w:hint="eastAsia" w:asciiTheme="minorEastAsia" w:hAnsiTheme="minorEastAsia" w:eastAsiaTheme="minorEastAsia" w:cstheme="minorEastAsia"/>
                <w:sz w:val="24"/>
                <w:szCs w:val="24"/>
              </w:rPr>
            </w:pP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63F9C1B3">
            <w:pPr>
              <w:spacing w:line="300" w:lineRule="exact"/>
              <w:ind w:left="0" w:leftChars="0" w:firstLine="0" w:firstLineChars="0"/>
              <w:jc w:val="center"/>
              <w:rPr>
                <w:rFonts w:hint="eastAsia" w:asciiTheme="minorEastAsia" w:hAnsiTheme="minorEastAsia" w:eastAsiaTheme="minorEastAsia" w:cstheme="minorEastAsia"/>
                <w:bCs/>
                <w:sz w:val="24"/>
                <w:szCs w:val="24"/>
                <w:lang w:val="en-US" w:eastAsia="zh-CN"/>
              </w:rPr>
            </w:pPr>
            <w:r>
              <w:rPr>
                <w:rFonts w:hint="eastAsia" w:ascii="宋体" w:hAnsi="宋体" w:eastAsia="宋体" w:cs="宋体"/>
                <w:spacing w:val="1"/>
                <w:kern w:val="0"/>
                <w:sz w:val="24"/>
                <w:szCs w:val="24"/>
                <w:highlight w:val="none"/>
                <w:lang w:val="en-US" w:eastAsia="zh-CN"/>
              </w:rPr>
              <w:t>人员配备</w:t>
            </w:r>
            <w:r>
              <w:rPr>
                <w:rFonts w:hint="eastAsia" w:ascii="宋体" w:hAnsi="宋体" w:cs="宋体"/>
                <w:spacing w:val="1"/>
                <w:kern w:val="0"/>
                <w:sz w:val="24"/>
                <w:szCs w:val="24"/>
                <w:highlight w:val="none"/>
                <w:lang w:val="en-US" w:eastAsia="zh-CN"/>
              </w:rPr>
              <w:t>（</w:t>
            </w:r>
            <w:r>
              <w:rPr>
                <w:rFonts w:hint="eastAsia" w:asciiTheme="minorEastAsia" w:hAnsiTheme="minorEastAsia" w:eastAsiaTheme="minorEastAsia" w:cstheme="minorEastAsia"/>
                <w:bCs/>
                <w:sz w:val="24"/>
                <w:szCs w:val="24"/>
                <w:lang w:val="en-US" w:eastAsia="zh-CN"/>
              </w:rPr>
              <w:t>5分</w:t>
            </w:r>
            <w:r>
              <w:rPr>
                <w:rFonts w:hint="eastAsia" w:ascii="宋体" w:hAnsi="宋体" w:cs="宋体"/>
                <w:spacing w:val="1"/>
                <w:kern w:val="0"/>
                <w:sz w:val="24"/>
                <w:szCs w:val="24"/>
                <w:highlight w:val="none"/>
                <w:lang w:val="en-US" w:eastAsia="zh-CN"/>
              </w:rPr>
              <w:t>）</w:t>
            </w:r>
          </w:p>
        </w:tc>
        <w:tc>
          <w:tcPr>
            <w:tcW w:w="6591" w:type="dxa"/>
            <w:tcBorders>
              <w:top w:val="single" w:color="auto" w:sz="4" w:space="0"/>
              <w:left w:val="single" w:color="auto" w:sz="4" w:space="0"/>
              <w:bottom w:val="single" w:color="auto" w:sz="4" w:space="0"/>
              <w:right w:val="single" w:color="auto" w:sz="4" w:space="0"/>
            </w:tcBorders>
            <w:shd w:val="clear" w:color="auto" w:fill="auto"/>
            <w:vAlign w:val="center"/>
          </w:tcPr>
          <w:p w14:paraId="23B0BD42">
            <w:pPr>
              <w:wordWrap w:val="0"/>
              <w:topLinePunct/>
              <w:adjustRightInd w:val="0"/>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供应商为本项目配备专职配送人员，每有1人得</w:t>
            </w:r>
            <w:r>
              <w:rPr>
                <w:rFonts w:hint="eastAsia" w:ascii="宋体" w:hAnsi="宋体" w:cs="宋体"/>
                <w:kern w:val="0"/>
                <w:sz w:val="24"/>
                <w:szCs w:val="24"/>
                <w:highlight w:val="none"/>
                <w:lang w:val="en-US" w:eastAsia="zh-CN"/>
              </w:rPr>
              <w:t>0.5</w:t>
            </w:r>
            <w:r>
              <w:rPr>
                <w:rFonts w:hint="eastAsia" w:ascii="宋体" w:hAnsi="宋体" w:eastAsia="宋体" w:cs="宋体"/>
                <w:kern w:val="0"/>
                <w:sz w:val="24"/>
                <w:szCs w:val="24"/>
                <w:highlight w:val="none"/>
                <w:lang w:val="en-US" w:eastAsia="zh-CN"/>
              </w:rPr>
              <w:t>分，最多得5分。（响应文件中须附人员健康证及劳动合同原件扫描件，否则不得分）</w:t>
            </w:r>
          </w:p>
        </w:tc>
      </w:tr>
      <w:tr w14:paraId="2A06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4F7DA89B">
            <w:pPr>
              <w:rPr>
                <w:rFonts w:hint="eastAsia" w:asciiTheme="minorEastAsia" w:hAnsiTheme="minorEastAsia" w:eastAsiaTheme="minorEastAsia" w:cstheme="minorEastAsia"/>
                <w:bCs/>
                <w:sz w:val="24"/>
                <w:szCs w:val="24"/>
                <w:lang w:val="zh-CN"/>
              </w:rPr>
            </w:pPr>
          </w:p>
        </w:tc>
        <w:tc>
          <w:tcPr>
            <w:tcW w:w="1185" w:type="dxa"/>
            <w:vMerge w:val="continue"/>
            <w:tcBorders>
              <w:left w:val="single" w:color="auto" w:sz="4" w:space="0"/>
              <w:right w:val="single" w:color="auto" w:sz="4" w:space="0"/>
            </w:tcBorders>
            <w:shd w:val="clear" w:color="auto" w:fill="auto"/>
            <w:vAlign w:val="center"/>
          </w:tcPr>
          <w:p w14:paraId="76D64B6D">
            <w:pPr>
              <w:autoSpaceDE w:val="0"/>
              <w:autoSpaceDN w:val="0"/>
              <w:spacing w:line="360" w:lineRule="auto"/>
              <w:ind w:left="0" w:leftChars="0" w:firstLine="0" w:firstLineChars="0"/>
              <w:jc w:val="center"/>
              <w:rPr>
                <w:rFonts w:hint="eastAsia" w:ascii="宋体" w:hAnsi="宋体" w:cs="宋体"/>
                <w:sz w:val="24"/>
                <w:szCs w:val="24"/>
                <w:lang w:eastAsia="zh-CN"/>
              </w:rPr>
            </w:pP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7BCB68A7">
            <w:pPr>
              <w:spacing w:line="300" w:lineRule="exact"/>
              <w:ind w:left="0" w:leftChars="0" w:firstLine="0" w:firstLineChars="0"/>
              <w:jc w:val="center"/>
              <w:rPr>
                <w:rFonts w:hint="default" w:asciiTheme="minorEastAsia" w:hAnsiTheme="minorEastAsia" w:eastAsiaTheme="minorEastAsia" w:cstheme="minorEastAsia"/>
                <w:bCs/>
                <w:sz w:val="24"/>
                <w:szCs w:val="24"/>
                <w:lang w:val="en-US" w:eastAsia="zh-CN"/>
              </w:rPr>
            </w:pPr>
            <w:r>
              <w:rPr>
                <w:rFonts w:hint="eastAsia" w:ascii="宋体" w:hAnsi="宋体" w:eastAsia="宋体" w:cs="宋体"/>
                <w:kern w:val="0"/>
                <w:sz w:val="24"/>
                <w:szCs w:val="24"/>
                <w:highlight w:val="none"/>
                <w:lang w:val="en-US" w:eastAsia="zh-CN" w:bidi="ar-SA"/>
              </w:rPr>
              <w:t>配送能力</w:t>
            </w:r>
            <w:r>
              <w:rPr>
                <w:rFonts w:hint="eastAsia" w:ascii="宋体" w:hAnsi="宋体" w:cs="宋体"/>
                <w:kern w:val="0"/>
                <w:sz w:val="24"/>
                <w:szCs w:val="24"/>
                <w:highlight w:val="none"/>
                <w:lang w:val="en-US" w:eastAsia="zh-CN" w:bidi="ar-SA"/>
              </w:rPr>
              <w:t>（</w:t>
            </w:r>
            <w:r>
              <w:rPr>
                <w:rFonts w:hint="eastAsia" w:asciiTheme="minorEastAsia" w:hAnsiTheme="minorEastAsia" w:eastAsiaTheme="minorEastAsia" w:cstheme="minorEastAsia"/>
                <w:bCs/>
                <w:sz w:val="24"/>
                <w:szCs w:val="24"/>
                <w:lang w:val="en-US" w:eastAsia="zh-CN"/>
              </w:rPr>
              <w:t>3分</w:t>
            </w:r>
            <w:r>
              <w:rPr>
                <w:rFonts w:hint="eastAsia" w:ascii="宋体" w:hAnsi="宋体" w:cs="宋体"/>
                <w:kern w:val="0"/>
                <w:sz w:val="24"/>
                <w:szCs w:val="24"/>
                <w:highlight w:val="none"/>
                <w:lang w:val="en-US" w:eastAsia="zh-CN" w:bidi="ar-SA"/>
              </w:rPr>
              <w:t>）</w:t>
            </w:r>
          </w:p>
        </w:tc>
        <w:tc>
          <w:tcPr>
            <w:tcW w:w="6591" w:type="dxa"/>
            <w:tcBorders>
              <w:top w:val="single" w:color="auto" w:sz="4" w:space="0"/>
              <w:left w:val="single" w:color="auto" w:sz="4" w:space="0"/>
              <w:bottom w:val="single" w:color="auto" w:sz="4" w:space="0"/>
              <w:right w:val="single" w:color="auto" w:sz="4" w:space="0"/>
            </w:tcBorders>
            <w:shd w:val="clear" w:color="auto" w:fill="auto"/>
            <w:vAlign w:val="center"/>
          </w:tcPr>
          <w:p w14:paraId="644A9F5D">
            <w:pPr>
              <w:wordWrap w:val="0"/>
              <w:topLinePunct/>
              <w:adjustRightInd w:val="0"/>
              <w:spacing w:line="360" w:lineRule="auto"/>
              <w:ind w:left="0" w:leftChars="0" w:firstLine="0" w:firstLineChars="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供应商配送车辆</w:t>
            </w:r>
            <w:r>
              <w:rPr>
                <w:rFonts w:hint="eastAsia" w:ascii="宋体" w:hAnsi="宋体" w:cs="宋体"/>
                <w:kern w:val="0"/>
                <w:sz w:val="24"/>
                <w:szCs w:val="24"/>
                <w:highlight w:val="none"/>
                <w:lang w:val="en-US" w:eastAsia="zh-CN"/>
              </w:rPr>
              <w:t>（自有或租赁），</w:t>
            </w:r>
            <w:r>
              <w:rPr>
                <w:rFonts w:hint="eastAsia" w:ascii="宋体" w:hAnsi="宋体" w:eastAsia="宋体" w:cs="宋体"/>
                <w:kern w:val="0"/>
                <w:sz w:val="24"/>
                <w:szCs w:val="24"/>
                <w:highlight w:val="none"/>
                <w:lang w:val="en-US" w:eastAsia="zh-CN"/>
              </w:rPr>
              <w:t>自有</w:t>
            </w:r>
            <w:r>
              <w:rPr>
                <w:rFonts w:hint="eastAsia" w:ascii="宋体" w:hAnsi="宋体" w:cs="宋体"/>
                <w:kern w:val="0"/>
                <w:sz w:val="24"/>
                <w:szCs w:val="24"/>
                <w:highlight w:val="none"/>
                <w:lang w:val="en-US" w:eastAsia="zh-CN"/>
              </w:rPr>
              <w:t>的</w:t>
            </w:r>
            <w:r>
              <w:rPr>
                <w:rFonts w:hint="eastAsia" w:ascii="宋体" w:hAnsi="宋体" w:eastAsia="宋体" w:cs="宋体"/>
                <w:kern w:val="0"/>
                <w:sz w:val="24"/>
                <w:szCs w:val="24"/>
                <w:highlight w:val="none"/>
                <w:lang w:val="en-US" w:eastAsia="zh-CN"/>
              </w:rPr>
              <w:t>需提供车辆照片、车辆行驶证、有效期内的机动车交通事故责任强制保险凭证，车辆为供应商租赁的需提供车辆照片、车辆行驶证、有效期内的机动车交通事故责任强制保险凭证</w:t>
            </w:r>
            <w:r>
              <w:rPr>
                <w:rFonts w:hint="eastAsia" w:ascii="宋体" w:hAnsi="宋体" w:cs="宋体"/>
                <w:kern w:val="0"/>
                <w:sz w:val="24"/>
                <w:szCs w:val="24"/>
                <w:highlight w:val="none"/>
                <w:lang w:val="en-US" w:eastAsia="zh-CN"/>
              </w:rPr>
              <w:t>及</w:t>
            </w:r>
            <w:r>
              <w:rPr>
                <w:rFonts w:hint="eastAsia" w:ascii="宋体" w:hAnsi="宋体" w:eastAsia="宋体" w:cs="宋体"/>
                <w:kern w:val="0"/>
                <w:sz w:val="24"/>
                <w:szCs w:val="24"/>
                <w:highlight w:val="none"/>
                <w:lang w:val="en-US" w:eastAsia="zh-CN"/>
              </w:rPr>
              <w:t>租赁合同。提供全面的得 3 分，</w:t>
            </w:r>
            <w:r>
              <w:rPr>
                <w:rFonts w:hint="eastAsia" w:ascii="宋体" w:hAnsi="宋体" w:cs="宋体"/>
                <w:kern w:val="0"/>
                <w:sz w:val="24"/>
                <w:szCs w:val="24"/>
                <w:highlight w:val="none"/>
                <w:lang w:val="en-US" w:eastAsia="zh-CN"/>
              </w:rPr>
              <w:t>缺项或</w:t>
            </w:r>
            <w:bookmarkStart w:id="114" w:name="_GoBack"/>
            <w:bookmarkEnd w:id="114"/>
            <w:r>
              <w:rPr>
                <w:rFonts w:hint="eastAsia" w:ascii="宋体" w:hAnsi="宋体" w:eastAsia="宋体" w:cs="宋体"/>
                <w:kern w:val="0"/>
                <w:sz w:val="24"/>
                <w:szCs w:val="24"/>
                <w:highlight w:val="none"/>
                <w:lang w:val="en-US" w:eastAsia="zh-CN"/>
              </w:rPr>
              <w:t>不提供不得分。</w:t>
            </w:r>
          </w:p>
        </w:tc>
      </w:tr>
      <w:tr w14:paraId="2371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03A70CCA">
            <w:pPr>
              <w:rPr>
                <w:rFonts w:hint="eastAsia" w:asciiTheme="minorEastAsia" w:hAnsiTheme="minorEastAsia" w:eastAsiaTheme="minorEastAsia" w:cstheme="minorEastAsia"/>
                <w:bCs/>
                <w:sz w:val="24"/>
                <w:szCs w:val="24"/>
                <w:lang w:val="zh-CN"/>
              </w:rPr>
            </w:pPr>
          </w:p>
        </w:tc>
        <w:tc>
          <w:tcPr>
            <w:tcW w:w="1185" w:type="dxa"/>
            <w:vMerge w:val="continue"/>
            <w:tcBorders>
              <w:left w:val="single" w:color="auto" w:sz="4" w:space="0"/>
              <w:bottom w:val="single" w:color="auto" w:sz="4" w:space="0"/>
              <w:right w:val="single" w:color="auto" w:sz="4" w:space="0"/>
            </w:tcBorders>
            <w:shd w:val="clear" w:color="auto" w:fill="auto"/>
            <w:vAlign w:val="center"/>
          </w:tcPr>
          <w:p w14:paraId="3AA4CA5C">
            <w:pPr>
              <w:autoSpaceDE w:val="0"/>
              <w:autoSpaceDN w:val="0"/>
              <w:spacing w:line="360" w:lineRule="auto"/>
              <w:ind w:left="0" w:leftChars="0" w:firstLine="0" w:firstLineChars="0"/>
              <w:jc w:val="center"/>
              <w:rPr>
                <w:rFonts w:hint="eastAsia" w:asciiTheme="minorEastAsia" w:hAnsiTheme="minorEastAsia" w:eastAsiaTheme="minorEastAsia" w:cstheme="minorEastAsia"/>
                <w:sz w:val="24"/>
                <w:szCs w:val="24"/>
                <w:lang w:val="zh-CN"/>
              </w:rPr>
            </w:pP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7B76187D">
            <w:pPr>
              <w:spacing w:line="300" w:lineRule="exact"/>
              <w:ind w:left="0" w:leftChars="0" w:firstLine="0" w:firstLineChars="0"/>
              <w:jc w:val="center"/>
              <w:rPr>
                <w:rFonts w:hint="eastAsia" w:asciiTheme="minorEastAsia" w:hAnsiTheme="minorEastAsia" w:eastAsiaTheme="minorEastAsia" w:cstheme="minorEastAsia"/>
                <w:bCs/>
                <w:sz w:val="24"/>
                <w:szCs w:val="24"/>
                <w:lang w:val="en-US" w:eastAsia="zh-CN"/>
              </w:rPr>
            </w:pPr>
            <w:r>
              <w:rPr>
                <w:rFonts w:hint="eastAsia" w:ascii="宋体" w:hAnsi="宋体" w:eastAsia="宋体" w:cs="宋体"/>
                <w:kern w:val="0"/>
                <w:sz w:val="24"/>
                <w:szCs w:val="24"/>
                <w:highlight w:val="none"/>
                <w:lang w:val="en-US" w:eastAsia="zh-CN" w:bidi="ar-SA"/>
              </w:rPr>
              <w:t>服务承诺</w:t>
            </w:r>
            <w:r>
              <w:rPr>
                <w:rFonts w:hint="eastAsia" w:ascii="宋体" w:hAnsi="宋体" w:cs="宋体"/>
                <w:kern w:val="0"/>
                <w:sz w:val="24"/>
                <w:szCs w:val="24"/>
                <w:highlight w:val="none"/>
                <w:lang w:val="en-US" w:eastAsia="zh-CN" w:bidi="ar-SA"/>
              </w:rPr>
              <w:t>（</w:t>
            </w:r>
            <w:r>
              <w:rPr>
                <w:rFonts w:hint="eastAsia" w:asciiTheme="minorEastAsia" w:hAnsiTheme="minorEastAsia" w:eastAsiaTheme="minorEastAsia" w:cstheme="minorEastAsia"/>
                <w:bCs/>
                <w:sz w:val="24"/>
                <w:szCs w:val="24"/>
                <w:lang w:val="en-US" w:eastAsia="zh-CN"/>
              </w:rPr>
              <w:t>11分</w:t>
            </w:r>
            <w:r>
              <w:rPr>
                <w:rFonts w:hint="eastAsia" w:ascii="宋体" w:hAnsi="宋体" w:cs="宋体"/>
                <w:kern w:val="0"/>
                <w:sz w:val="24"/>
                <w:szCs w:val="24"/>
                <w:highlight w:val="none"/>
                <w:lang w:val="en-US" w:eastAsia="zh-CN" w:bidi="ar-SA"/>
              </w:rPr>
              <w:t>）</w:t>
            </w:r>
          </w:p>
        </w:tc>
        <w:tc>
          <w:tcPr>
            <w:tcW w:w="6591" w:type="dxa"/>
            <w:tcBorders>
              <w:top w:val="single" w:color="auto" w:sz="4" w:space="0"/>
              <w:left w:val="single" w:color="auto" w:sz="4" w:space="0"/>
              <w:bottom w:val="single" w:color="auto" w:sz="4" w:space="0"/>
              <w:right w:val="single" w:color="auto" w:sz="4" w:space="0"/>
            </w:tcBorders>
            <w:shd w:val="clear" w:color="auto" w:fill="auto"/>
            <w:vAlign w:val="center"/>
          </w:tcPr>
          <w:p w14:paraId="5D698018">
            <w:pPr>
              <w:autoSpaceDE w:val="0"/>
              <w:autoSpaceDN w:val="0"/>
              <w:adjustRightInd w:val="0"/>
              <w:spacing w:line="360" w:lineRule="auto"/>
              <w:ind w:left="0" w:leftChars="0" w:firstLine="0" w:firstLineChars="0"/>
              <w:textAlignment w:val="baseline"/>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根据供应商提供的服务承诺情况、服务响应情况、对货物出现质量问题的调换、退货等服务方案进行打分：</w:t>
            </w:r>
          </w:p>
          <w:p w14:paraId="4079CB83">
            <w:pPr>
              <w:autoSpaceDE w:val="0"/>
              <w:autoSpaceDN w:val="0"/>
              <w:adjustRightInd w:val="0"/>
              <w:spacing w:line="360" w:lineRule="auto"/>
              <w:ind w:left="0" w:leftChars="0" w:firstLine="0" w:firstLineChars="0"/>
              <w:textAlignment w:val="baseline"/>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1.服务承诺详细、完善、切实可行，优于采购要求的得</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lang w:val="zh-CN" w:eastAsia="zh-CN"/>
              </w:rPr>
              <w:t>分；</w:t>
            </w:r>
          </w:p>
          <w:p w14:paraId="5BF55A25">
            <w:pPr>
              <w:autoSpaceDE w:val="0"/>
              <w:autoSpaceDN w:val="0"/>
              <w:adjustRightInd w:val="0"/>
              <w:spacing w:line="360" w:lineRule="auto"/>
              <w:ind w:left="0" w:leftChars="0" w:firstLine="0" w:firstLineChars="0"/>
              <w:textAlignment w:val="baseline"/>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2.服务承诺基本详细、完善、切实可行，基本满足采购要求的得</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val="zh-CN" w:eastAsia="zh-CN"/>
              </w:rPr>
              <w:t>分；</w:t>
            </w:r>
          </w:p>
          <w:p w14:paraId="01146F1E">
            <w:pPr>
              <w:autoSpaceDE w:val="0"/>
              <w:autoSpaceDN w:val="0"/>
              <w:adjustRightInd w:val="0"/>
              <w:spacing w:line="360" w:lineRule="auto"/>
              <w:ind w:left="0" w:leftChars="0" w:firstLine="0" w:firstLineChars="0"/>
              <w:textAlignment w:val="baseline"/>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3.服务承诺不详细、不完善的得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zh-CN" w:eastAsia="zh-CN"/>
              </w:rPr>
              <w:t>分；</w:t>
            </w:r>
          </w:p>
          <w:p w14:paraId="3AFB612C">
            <w:pPr>
              <w:autoSpaceDE w:val="0"/>
              <w:autoSpaceDN w:val="0"/>
              <w:adjustRightInd w:val="0"/>
              <w:spacing w:line="360" w:lineRule="auto"/>
              <w:ind w:left="0" w:leftChars="0" w:firstLine="0" w:firstLineChars="0"/>
              <w:textAlignment w:val="baseline"/>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4.缺项或未提供不得分</w:t>
            </w:r>
          </w:p>
        </w:tc>
      </w:tr>
    </w:tbl>
    <w:p w14:paraId="3FE3F245">
      <w:pPr>
        <w:rPr>
          <w:rFonts w:hint="eastAsia" w:asciiTheme="minorEastAsia" w:hAnsiTheme="minorEastAsia" w:eastAsiaTheme="minorEastAsia" w:cstheme="minorEastAsia"/>
          <w:sz w:val="24"/>
          <w:szCs w:val="24"/>
        </w:rPr>
      </w:pPr>
    </w:p>
    <w:p w14:paraId="0FC2B7C6">
      <w:pPr>
        <w:snapToGrid w:val="0"/>
        <w:spacing w:line="440" w:lineRule="exact"/>
        <w:ind w:right="42" w:rightChars="15" w:firstLine="482" w:firstLineChars="200"/>
        <w:outlineLvl w:val="1"/>
        <w:rPr>
          <w:rFonts w:ascii="宋体" w:hAnsi="宋体" w:cs="宋体"/>
          <w:b/>
          <w:sz w:val="24"/>
          <w:szCs w:val="24"/>
        </w:rPr>
      </w:pPr>
      <w:bookmarkStart w:id="65" w:name="_Toc27023"/>
      <w:r>
        <w:rPr>
          <w:rFonts w:hint="eastAsia" w:ascii="宋体" w:hAnsi="宋体" w:cs="宋体"/>
          <w:b/>
          <w:sz w:val="24"/>
          <w:szCs w:val="24"/>
        </w:rPr>
        <w:t>1.评标方法</w:t>
      </w:r>
      <w:bookmarkEnd w:id="65"/>
    </w:p>
    <w:p w14:paraId="2107FF63">
      <w:pPr>
        <w:snapToGrid w:val="0"/>
        <w:spacing w:line="440" w:lineRule="exact"/>
        <w:ind w:right="42" w:rightChars="15" w:firstLine="480" w:firstLineChars="200"/>
        <w:rPr>
          <w:rFonts w:ascii="宋体" w:hAnsi="宋体" w:cs="宋体"/>
          <w:bCs/>
          <w:sz w:val="24"/>
          <w:szCs w:val="24"/>
        </w:rPr>
      </w:pPr>
      <w:r>
        <w:rPr>
          <w:rFonts w:hint="eastAsia" w:ascii="宋体" w:hAnsi="宋体" w:cs="宋体"/>
          <w:sz w:val="24"/>
          <w:szCs w:val="24"/>
        </w:rPr>
        <w:t>本次评标采用综合评估法。竞争性磋商小组对满足磋商文件实质性要求的响应文件，按照本章第 2.2款规定的评分标准进行打分，并按得分由高到低顺序推荐成交候选人，或根据采购人授权直接确定成交</w:t>
      </w:r>
      <w:r>
        <w:rPr>
          <w:rFonts w:hint="eastAsia" w:ascii="宋体" w:hAnsi="宋体" w:cs="宋体"/>
          <w:sz w:val="24"/>
          <w:szCs w:val="24"/>
          <w:lang w:eastAsia="zh-CN"/>
        </w:rPr>
        <w:t>供应商</w:t>
      </w:r>
      <w:r>
        <w:rPr>
          <w:rFonts w:hint="eastAsia" w:ascii="宋体" w:hAnsi="宋体" w:cs="宋体"/>
          <w:sz w:val="24"/>
          <w:szCs w:val="24"/>
        </w:rPr>
        <w:t>，但报价低于国家规定的除外。</w:t>
      </w:r>
      <w:r>
        <w:rPr>
          <w:rFonts w:hint="eastAsia" w:ascii="宋体" w:hAnsi="宋体" w:cs="宋体"/>
          <w:bCs/>
          <w:sz w:val="24"/>
          <w:szCs w:val="24"/>
        </w:rPr>
        <w:t xml:space="preserve">最终评分相等时，以最终报价低的优先；最终报价也相等的，由采购人自行确定。 </w:t>
      </w:r>
    </w:p>
    <w:p w14:paraId="0518855C">
      <w:pPr>
        <w:snapToGrid w:val="0"/>
        <w:spacing w:line="440" w:lineRule="exact"/>
        <w:ind w:right="42" w:rightChars="15" w:firstLine="482" w:firstLineChars="200"/>
        <w:outlineLvl w:val="1"/>
        <w:rPr>
          <w:rFonts w:ascii="宋体" w:hAnsi="宋体" w:cs="宋体"/>
          <w:b/>
          <w:sz w:val="24"/>
          <w:szCs w:val="24"/>
        </w:rPr>
      </w:pPr>
      <w:bookmarkStart w:id="66" w:name="_Toc26174"/>
      <w:bookmarkStart w:id="67" w:name="_Toc449367501"/>
      <w:r>
        <w:rPr>
          <w:rFonts w:hint="eastAsia" w:ascii="宋体" w:hAnsi="宋体" w:cs="宋体"/>
          <w:b/>
          <w:sz w:val="24"/>
          <w:szCs w:val="24"/>
        </w:rPr>
        <w:t>2. 评审标准</w:t>
      </w:r>
      <w:bookmarkEnd w:id="66"/>
      <w:bookmarkEnd w:id="67"/>
    </w:p>
    <w:p w14:paraId="3CA02E19">
      <w:pPr>
        <w:snapToGrid w:val="0"/>
        <w:spacing w:line="440" w:lineRule="exact"/>
        <w:ind w:right="42" w:rightChars="15" w:firstLine="482" w:firstLineChars="200"/>
        <w:rPr>
          <w:rFonts w:ascii="宋体" w:hAnsi="宋体" w:cs="宋体"/>
          <w:b/>
          <w:sz w:val="24"/>
          <w:szCs w:val="24"/>
        </w:rPr>
      </w:pPr>
      <w:r>
        <w:rPr>
          <w:rFonts w:hint="eastAsia" w:ascii="宋体" w:hAnsi="宋体" w:cs="宋体"/>
          <w:b/>
          <w:sz w:val="24"/>
          <w:szCs w:val="24"/>
        </w:rPr>
        <w:t xml:space="preserve">2.1 初步评审标准 </w:t>
      </w:r>
    </w:p>
    <w:p w14:paraId="60CE6A40">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2.1.1 资格评审标准：见评标办法前附表。</w:t>
      </w:r>
    </w:p>
    <w:p w14:paraId="61C748E6">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2.1.2 响应性评审标准：见评标办法前附表。</w:t>
      </w:r>
    </w:p>
    <w:p w14:paraId="73AAA0CD">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 xml:space="preserve">2.1.3 符合性评审标准：见评标办法前附表。 </w:t>
      </w:r>
    </w:p>
    <w:p w14:paraId="4E367DC9">
      <w:pPr>
        <w:snapToGrid w:val="0"/>
        <w:spacing w:line="440" w:lineRule="exact"/>
        <w:ind w:right="42" w:rightChars="15" w:firstLine="482" w:firstLineChars="200"/>
        <w:rPr>
          <w:rFonts w:ascii="宋体" w:hAnsi="宋体" w:cs="宋体"/>
          <w:b/>
          <w:sz w:val="24"/>
          <w:szCs w:val="24"/>
        </w:rPr>
      </w:pPr>
      <w:r>
        <w:rPr>
          <w:rFonts w:hint="eastAsia" w:ascii="宋体" w:hAnsi="宋体" w:cs="宋体"/>
          <w:b/>
          <w:sz w:val="24"/>
          <w:szCs w:val="24"/>
        </w:rPr>
        <w:t xml:space="preserve">2.2 分值构成与评分标准 </w:t>
      </w:r>
    </w:p>
    <w:p w14:paraId="05CD60F3">
      <w:pPr>
        <w:snapToGrid w:val="0"/>
        <w:spacing w:line="440" w:lineRule="exact"/>
        <w:ind w:right="42" w:rightChars="15" w:firstLine="482" w:firstLineChars="200"/>
        <w:rPr>
          <w:rFonts w:ascii="宋体" w:hAnsi="宋体" w:cs="宋体"/>
          <w:b/>
          <w:sz w:val="24"/>
          <w:szCs w:val="24"/>
        </w:rPr>
      </w:pPr>
      <w:r>
        <w:rPr>
          <w:rFonts w:hint="eastAsia" w:ascii="宋体" w:hAnsi="宋体" w:cs="宋体"/>
          <w:b/>
          <w:sz w:val="24"/>
          <w:szCs w:val="24"/>
        </w:rPr>
        <w:t>2.2.1 分值构成</w:t>
      </w:r>
    </w:p>
    <w:p w14:paraId="3D6594FE">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（1）报价部分：见评标</w:t>
      </w:r>
      <w:r>
        <w:rPr>
          <w:rFonts w:hint="eastAsia" w:ascii="宋体" w:hAnsi="宋体" w:cs="宋体"/>
          <w:sz w:val="24"/>
          <w:szCs w:val="24"/>
          <w:lang w:val="en-US" w:eastAsia="zh-CN"/>
        </w:rPr>
        <w:t>细则</w:t>
      </w:r>
      <w:r>
        <w:rPr>
          <w:rFonts w:hint="eastAsia" w:ascii="宋体" w:hAnsi="宋体" w:cs="宋体"/>
          <w:sz w:val="24"/>
          <w:szCs w:val="24"/>
        </w:rPr>
        <w:t>；</w:t>
      </w:r>
    </w:p>
    <w:p w14:paraId="684E53A7">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（2）技术部分：见评标</w:t>
      </w:r>
      <w:r>
        <w:rPr>
          <w:rFonts w:hint="eastAsia" w:ascii="宋体" w:hAnsi="宋体" w:cs="宋体"/>
          <w:sz w:val="24"/>
          <w:szCs w:val="24"/>
          <w:lang w:val="en-US" w:eastAsia="zh-CN"/>
        </w:rPr>
        <w:t>细则</w:t>
      </w:r>
      <w:r>
        <w:rPr>
          <w:rFonts w:hint="eastAsia" w:ascii="宋体" w:hAnsi="宋体" w:cs="宋体"/>
          <w:sz w:val="24"/>
          <w:szCs w:val="24"/>
        </w:rPr>
        <w:t>；</w:t>
      </w:r>
    </w:p>
    <w:p w14:paraId="4F473E2D">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商务</w:t>
      </w:r>
      <w:r>
        <w:rPr>
          <w:rFonts w:hint="eastAsia" w:ascii="宋体" w:hAnsi="宋体" w:cs="宋体"/>
          <w:sz w:val="24"/>
          <w:szCs w:val="24"/>
        </w:rPr>
        <w:t>部分：见评标</w:t>
      </w:r>
      <w:r>
        <w:rPr>
          <w:rFonts w:hint="eastAsia" w:ascii="宋体" w:hAnsi="宋体" w:cs="宋体"/>
          <w:sz w:val="24"/>
          <w:szCs w:val="24"/>
          <w:lang w:val="en-US" w:eastAsia="zh-CN"/>
        </w:rPr>
        <w:t>细则</w:t>
      </w:r>
      <w:r>
        <w:rPr>
          <w:rFonts w:hint="eastAsia" w:ascii="宋体" w:hAnsi="宋体" w:cs="宋体"/>
          <w:sz w:val="24"/>
          <w:szCs w:val="24"/>
        </w:rPr>
        <w:t>；</w:t>
      </w:r>
    </w:p>
    <w:p w14:paraId="3AE87425">
      <w:pPr>
        <w:snapToGrid w:val="0"/>
        <w:spacing w:line="440" w:lineRule="exact"/>
        <w:ind w:right="42" w:rightChars="15" w:firstLine="482" w:firstLineChars="200"/>
        <w:rPr>
          <w:rFonts w:ascii="宋体" w:hAnsi="宋体" w:cs="宋体"/>
          <w:b/>
          <w:sz w:val="24"/>
          <w:szCs w:val="24"/>
        </w:rPr>
      </w:pPr>
      <w:r>
        <w:rPr>
          <w:rFonts w:hint="eastAsia" w:ascii="宋体" w:hAnsi="宋体" w:cs="宋体"/>
          <w:b/>
          <w:sz w:val="24"/>
          <w:szCs w:val="24"/>
        </w:rPr>
        <w:t>2.2.4评分标准</w:t>
      </w:r>
    </w:p>
    <w:p w14:paraId="4A7764E3">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（1）报价部分：见评标</w:t>
      </w:r>
      <w:r>
        <w:rPr>
          <w:rFonts w:hint="eastAsia" w:ascii="宋体" w:hAnsi="宋体" w:cs="宋体"/>
          <w:sz w:val="24"/>
          <w:szCs w:val="24"/>
          <w:lang w:val="en-US" w:eastAsia="zh-CN"/>
        </w:rPr>
        <w:t>细则</w:t>
      </w:r>
      <w:r>
        <w:rPr>
          <w:rFonts w:hint="eastAsia" w:ascii="宋体" w:hAnsi="宋体" w:cs="宋体"/>
          <w:sz w:val="24"/>
          <w:szCs w:val="24"/>
        </w:rPr>
        <w:t>；</w:t>
      </w:r>
    </w:p>
    <w:p w14:paraId="2CCCBEB7">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（2）技术部分：见评标</w:t>
      </w:r>
      <w:r>
        <w:rPr>
          <w:rFonts w:hint="eastAsia" w:ascii="宋体" w:hAnsi="宋体" w:cs="宋体"/>
          <w:sz w:val="24"/>
          <w:szCs w:val="24"/>
          <w:lang w:val="en-US" w:eastAsia="zh-CN"/>
        </w:rPr>
        <w:t>细则</w:t>
      </w:r>
      <w:r>
        <w:rPr>
          <w:rFonts w:hint="eastAsia" w:ascii="宋体" w:hAnsi="宋体" w:cs="宋体"/>
          <w:sz w:val="24"/>
          <w:szCs w:val="24"/>
        </w:rPr>
        <w:t>；</w:t>
      </w:r>
    </w:p>
    <w:p w14:paraId="3BAB1607">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商务</w:t>
      </w:r>
      <w:r>
        <w:rPr>
          <w:rFonts w:hint="eastAsia" w:ascii="宋体" w:hAnsi="宋体" w:cs="宋体"/>
          <w:sz w:val="24"/>
          <w:szCs w:val="24"/>
        </w:rPr>
        <w:t>部分：见评标</w:t>
      </w:r>
      <w:r>
        <w:rPr>
          <w:rFonts w:hint="eastAsia" w:ascii="宋体" w:hAnsi="宋体" w:cs="宋体"/>
          <w:sz w:val="24"/>
          <w:szCs w:val="24"/>
          <w:lang w:val="en-US" w:eastAsia="zh-CN"/>
        </w:rPr>
        <w:t>细则</w:t>
      </w:r>
      <w:r>
        <w:rPr>
          <w:rFonts w:hint="eastAsia" w:ascii="宋体" w:hAnsi="宋体" w:cs="宋体"/>
          <w:sz w:val="24"/>
          <w:szCs w:val="24"/>
        </w:rPr>
        <w:t>；</w:t>
      </w:r>
    </w:p>
    <w:p w14:paraId="37435B06">
      <w:pPr>
        <w:snapToGrid w:val="0"/>
        <w:spacing w:line="440" w:lineRule="exact"/>
        <w:ind w:right="42" w:rightChars="15" w:firstLine="482" w:firstLineChars="200"/>
        <w:outlineLvl w:val="1"/>
        <w:rPr>
          <w:rFonts w:ascii="宋体" w:hAnsi="宋体" w:cs="宋体"/>
          <w:b/>
          <w:sz w:val="24"/>
          <w:szCs w:val="24"/>
        </w:rPr>
      </w:pPr>
      <w:bookmarkStart w:id="68" w:name="_Toc20429"/>
      <w:bookmarkStart w:id="69" w:name="_Toc449367502"/>
      <w:r>
        <w:rPr>
          <w:rFonts w:hint="eastAsia" w:ascii="宋体" w:hAnsi="宋体" w:cs="宋体"/>
          <w:b/>
          <w:sz w:val="24"/>
          <w:szCs w:val="24"/>
        </w:rPr>
        <w:t>3.评标程序</w:t>
      </w:r>
      <w:bookmarkEnd w:id="68"/>
      <w:bookmarkEnd w:id="69"/>
    </w:p>
    <w:p w14:paraId="0078FA62">
      <w:pPr>
        <w:snapToGrid w:val="0"/>
        <w:spacing w:line="440" w:lineRule="exact"/>
        <w:ind w:right="42" w:rightChars="15" w:firstLine="482" w:firstLineChars="200"/>
        <w:rPr>
          <w:rFonts w:ascii="宋体" w:hAnsi="宋体" w:cs="宋体"/>
          <w:b/>
          <w:sz w:val="24"/>
          <w:szCs w:val="24"/>
        </w:rPr>
      </w:pPr>
      <w:r>
        <w:rPr>
          <w:rFonts w:hint="eastAsia" w:ascii="宋体" w:hAnsi="宋体" w:cs="宋体"/>
          <w:b/>
          <w:sz w:val="24"/>
          <w:szCs w:val="24"/>
        </w:rPr>
        <w:t xml:space="preserve">3.1 初步评审 </w:t>
      </w:r>
    </w:p>
    <w:p w14:paraId="38ABC746">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3.1.1竞争性磋商小组依据本章第 2.1项规定的评审标准对响应文件进行初步评审。有一项不符合评审标准的，作废标处理。</w:t>
      </w:r>
    </w:p>
    <w:p w14:paraId="0463568D">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 xml:space="preserve">3.1.2 </w:t>
      </w:r>
      <w:r>
        <w:rPr>
          <w:rFonts w:hint="eastAsia" w:ascii="宋体" w:hAnsi="宋体" w:cs="宋体"/>
          <w:sz w:val="24"/>
          <w:szCs w:val="24"/>
          <w:lang w:eastAsia="zh-CN"/>
        </w:rPr>
        <w:t>供应商</w:t>
      </w:r>
      <w:r>
        <w:rPr>
          <w:rFonts w:hint="eastAsia" w:ascii="宋体" w:hAnsi="宋体" w:cs="宋体"/>
          <w:sz w:val="24"/>
          <w:szCs w:val="24"/>
        </w:rPr>
        <w:t>有以下情形之一的，其投标作废标处理：</w:t>
      </w:r>
    </w:p>
    <w:p w14:paraId="3A8A983D">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（1）串通投标或弄虚作假或有其他违法行为的；</w:t>
      </w:r>
    </w:p>
    <w:p w14:paraId="33D46726">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（2）不按竞争性磋商小组要求澄清、说明或补正的。</w:t>
      </w:r>
    </w:p>
    <w:p w14:paraId="6CE2717D">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3.1.3</w:t>
      </w:r>
      <w:r>
        <w:rPr>
          <w:rFonts w:hint="eastAsia" w:ascii="宋体" w:hAnsi="宋体" w:cs="宋体"/>
          <w:sz w:val="24"/>
          <w:szCs w:val="24"/>
          <w:lang w:val="en-US" w:eastAsia="zh-CN"/>
        </w:rPr>
        <w:t>磋商</w:t>
      </w:r>
      <w:r>
        <w:rPr>
          <w:rFonts w:hint="eastAsia" w:ascii="宋体" w:hAnsi="宋体" w:cs="宋体"/>
          <w:sz w:val="24"/>
          <w:szCs w:val="24"/>
        </w:rPr>
        <w:t>报价有算术错误的，竞争性磋商小组按以下原则对报价进行修正，修正的价格经</w:t>
      </w:r>
      <w:r>
        <w:rPr>
          <w:rFonts w:hint="eastAsia" w:ascii="宋体" w:hAnsi="宋体" w:cs="宋体"/>
          <w:sz w:val="24"/>
          <w:szCs w:val="24"/>
          <w:lang w:eastAsia="zh-CN"/>
        </w:rPr>
        <w:t>供应商</w:t>
      </w:r>
      <w:r>
        <w:rPr>
          <w:rFonts w:hint="eastAsia" w:ascii="宋体" w:hAnsi="宋体" w:cs="宋体"/>
          <w:sz w:val="24"/>
          <w:szCs w:val="24"/>
        </w:rPr>
        <w:t>书面确认后具有约束力。</w:t>
      </w:r>
      <w:r>
        <w:rPr>
          <w:rFonts w:hint="eastAsia" w:ascii="宋体" w:hAnsi="宋体" w:cs="宋体"/>
          <w:sz w:val="24"/>
          <w:szCs w:val="24"/>
          <w:lang w:eastAsia="zh-CN"/>
        </w:rPr>
        <w:t>供应商</w:t>
      </w:r>
      <w:r>
        <w:rPr>
          <w:rFonts w:hint="eastAsia" w:ascii="宋体" w:hAnsi="宋体" w:cs="宋体"/>
          <w:sz w:val="24"/>
          <w:szCs w:val="24"/>
        </w:rPr>
        <w:t>不接受修正价格的，其投标作废标处理。响应文件中填报的投标报价、服务</w:t>
      </w:r>
      <w:r>
        <w:rPr>
          <w:rFonts w:hint="eastAsia" w:ascii="宋体" w:hAnsi="宋体" w:cs="宋体"/>
          <w:sz w:val="24"/>
          <w:szCs w:val="24"/>
          <w:lang w:val="en-US" w:eastAsia="zh-CN"/>
        </w:rPr>
        <w:t>期限</w:t>
      </w:r>
      <w:r>
        <w:rPr>
          <w:rFonts w:hint="eastAsia" w:ascii="宋体" w:hAnsi="宋体" w:cs="宋体"/>
          <w:sz w:val="24"/>
          <w:szCs w:val="24"/>
        </w:rPr>
        <w:t>、质量目标前后不一致时，以磋商响应书中填报的相应内容为准。</w:t>
      </w:r>
    </w:p>
    <w:p w14:paraId="44B6FF12">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(1）响应文件中的大写金额与小写金额不一致的，以大写金额为准；</w:t>
      </w:r>
    </w:p>
    <w:p w14:paraId="4D09E19D">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65ED68A3">
      <w:pPr>
        <w:snapToGrid w:val="0"/>
        <w:spacing w:line="440" w:lineRule="exact"/>
        <w:ind w:right="42" w:rightChars="15" w:firstLine="482" w:firstLineChars="200"/>
        <w:rPr>
          <w:rFonts w:ascii="宋体" w:hAnsi="宋体" w:cs="宋体"/>
          <w:b/>
          <w:sz w:val="24"/>
          <w:szCs w:val="24"/>
        </w:rPr>
      </w:pPr>
      <w:r>
        <w:rPr>
          <w:rFonts w:hint="eastAsia" w:ascii="宋体" w:hAnsi="宋体" w:cs="宋体"/>
          <w:b/>
          <w:sz w:val="24"/>
          <w:szCs w:val="24"/>
        </w:rPr>
        <w:t xml:space="preserve">3.2 详细评审 </w:t>
      </w:r>
    </w:p>
    <w:p w14:paraId="034D8009">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3.2.1 竞争性磋商小组按本章第 2.2款规定的量化因素和分值进行打分，并计算出综合评估得分。</w:t>
      </w:r>
      <w:r>
        <w:rPr>
          <w:rFonts w:hint="eastAsia" w:ascii="宋体" w:hAnsi="宋体" w:cs="宋体"/>
          <w:b/>
          <w:sz w:val="24"/>
          <w:szCs w:val="24"/>
        </w:rPr>
        <w:t>每个</w:t>
      </w:r>
      <w:r>
        <w:rPr>
          <w:rFonts w:hint="eastAsia" w:ascii="宋体" w:hAnsi="宋体" w:cs="宋体"/>
          <w:b/>
          <w:sz w:val="24"/>
          <w:szCs w:val="24"/>
          <w:lang w:eastAsia="zh-CN"/>
        </w:rPr>
        <w:t>供应商</w:t>
      </w:r>
      <w:r>
        <w:rPr>
          <w:rFonts w:hint="eastAsia" w:ascii="宋体" w:hAnsi="宋体" w:cs="宋体"/>
          <w:b/>
          <w:sz w:val="24"/>
          <w:szCs w:val="24"/>
        </w:rPr>
        <w:t>最终得分为各评委打分的算术平均值。</w:t>
      </w:r>
    </w:p>
    <w:p w14:paraId="0E3DA896">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(1）按本章第2.2.</w:t>
      </w:r>
      <w:r>
        <w:rPr>
          <w:rFonts w:hint="eastAsia" w:ascii="宋体" w:hAnsi="宋体" w:cs="宋体"/>
          <w:sz w:val="24"/>
          <w:szCs w:val="24"/>
          <w:lang w:val="en-US" w:eastAsia="zh-CN"/>
        </w:rPr>
        <w:t>1</w:t>
      </w:r>
      <w:r>
        <w:rPr>
          <w:rFonts w:hint="eastAsia" w:ascii="宋体" w:hAnsi="宋体" w:cs="宋体"/>
          <w:sz w:val="24"/>
          <w:szCs w:val="24"/>
        </w:rPr>
        <w:t>规定的评审因素和分值对报价部分计算出得分A；</w:t>
      </w:r>
    </w:p>
    <w:p w14:paraId="156DE247">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(2）按本章第2.2.</w:t>
      </w:r>
      <w:r>
        <w:rPr>
          <w:rFonts w:hint="eastAsia" w:ascii="宋体" w:hAnsi="宋体" w:cs="宋体"/>
          <w:sz w:val="24"/>
          <w:szCs w:val="24"/>
          <w:lang w:val="en-US" w:eastAsia="zh-CN"/>
        </w:rPr>
        <w:t>2</w:t>
      </w:r>
      <w:r>
        <w:rPr>
          <w:rFonts w:hint="eastAsia" w:ascii="宋体" w:hAnsi="宋体" w:cs="宋体"/>
          <w:sz w:val="24"/>
          <w:szCs w:val="24"/>
        </w:rPr>
        <w:t>规定的评审因素和分值对技术部分计算出得分B；</w:t>
      </w:r>
    </w:p>
    <w:p w14:paraId="1B175348">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(3）按本章第2.2.</w:t>
      </w:r>
      <w:r>
        <w:rPr>
          <w:rFonts w:hint="eastAsia" w:ascii="宋体" w:hAnsi="宋体" w:cs="宋体"/>
          <w:sz w:val="24"/>
          <w:szCs w:val="24"/>
          <w:lang w:val="en-US" w:eastAsia="zh-CN"/>
        </w:rPr>
        <w:t>3</w:t>
      </w:r>
      <w:r>
        <w:rPr>
          <w:rFonts w:hint="eastAsia" w:ascii="宋体" w:hAnsi="宋体" w:cs="宋体"/>
          <w:sz w:val="24"/>
          <w:szCs w:val="24"/>
        </w:rPr>
        <w:t>规定的评审因素和分值对</w:t>
      </w:r>
      <w:r>
        <w:rPr>
          <w:rFonts w:hint="eastAsia" w:ascii="宋体" w:hAnsi="宋体" w:cs="宋体"/>
          <w:sz w:val="24"/>
          <w:szCs w:val="24"/>
          <w:lang w:val="en-US" w:eastAsia="zh-CN"/>
        </w:rPr>
        <w:t>商务</w:t>
      </w:r>
      <w:r>
        <w:rPr>
          <w:rFonts w:hint="eastAsia" w:ascii="宋体" w:hAnsi="宋体" w:cs="宋体"/>
          <w:sz w:val="24"/>
          <w:szCs w:val="24"/>
        </w:rPr>
        <w:t>部分计算出得分C；</w:t>
      </w:r>
    </w:p>
    <w:p w14:paraId="68153A47">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3.2.2 评分分值计算保留小数点后两位，小数点后第三位“四舍五入”。</w:t>
      </w:r>
    </w:p>
    <w:p w14:paraId="79AE94E5">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 xml:space="preserve">3.2.3 </w:t>
      </w:r>
      <w:r>
        <w:rPr>
          <w:rFonts w:hint="eastAsia" w:ascii="宋体" w:hAnsi="宋体" w:cs="宋体"/>
          <w:sz w:val="24"/>
          <w:szCs w:val="24"/>
          <w:lang w:eastAsia="zh-CN"/>
        </w:rPr>
        <w:t>供应商</w:t>
      </w:r>
      <w:r>
        <w:rPr>
          <w:rFonts w:hint="eastAsia" w:ascii="宋体" w:hAnsi="宋体" w:cs="宋体"/>
          <w:sz w:val="24"/>
          <w:szCs w:val="24"/>
        </w:rPr>
        <w:t>得分=A 十B 十C 。</w:t>
      </w:r>
    </w:p>
    <w:p w14:paraId="374B50F6">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3.2.4 磋商小组发现</w:t>
      </w:r>
      <w:r>
        <w:rPr>
          <w:rFonts w:hint="eastAsia" w:ascii="宋体" w:hAnsi="宋体" w:cs="宋体"/>
          <w:sz w:val="24"/>
          <w:szCs w:val="24"/>
          <w:lang w:eastAsia="zh-CN"/>
        </w:rPr>
        <w:t>供应商</w:t>
      </w:r>
      <w:r>
        <w:rPr>
          <w:rFonts w:hint="eastAsia" w:ascii="宋体" w:hAnsi="宋体" w:cs="宋体"/>
          <w:sz w:val="24"/>
          <w:szCs w:val="24"/>
        </w:rPr>
        <w:t>的报价明显低于其他投标报价，或者在设有拦标价时明显低于拦标价，使得其投标报价可能低于其个别成本的，应当要求该</w:t>
      </w:r>
      <w:r>
        <w:rPr>
          <w:rFonts w:hint="eastAsia" w:ascii="宋体" w:hAnsi="宋体" w:cs="宋体"/>
          <w:sz w:val="24"/>
          <w:szCs w:val="24"/>
          <w:lang w:eastAsia="zh-CN"/>
        </w:rPr>
        <w:t>供应商</w:t>
      </w:r>
      <w:r>
        <w:rPr>
          <w:rFonts w:hint="eastAsia" w:ascii="宋体" w:hAnsi="宋体" w:cs="宋体"/>
          <w:sz w:val="24"/>
          <w:szCs w:val="24"/>
        </w:rPr>
        <w:t>作出书面说明并提供相应的证明材料。</w:t>
      </w:r>
      <w:r>
        <w:rPr>
          <w:rFonts w:hint="eastAsia" w:ascii="宋体" w:hAnsi="宋体" w:cs="宋体"/>
          <w:sz w:val="24"/>
          <w:szCs w:val="24"/>
          <w:lang w:eastAsia="zh-CN"/>
        </w:rPr>
        <w:t>供应商</w:t>
      </w:r>
      <w:r>
        <w:rPr>
          <w:rFonts w:hint="eastAsia" w:ascii="宋体" w:hAnsi="宋体" w:cs="宋体"/>
          <w:sz w:val="24"/>
          <w:szCs w:val="24"/>
        </w:rPr>
        <w:t>不能合理说明或者不能提供相应证明材料的，由竞争性磋商小组认定该</w:t>
      </w:r>
      <w:r>
        <w:rPr>
          <w:rFonts w:hint="eastAsia" w:ascii="宋体" w:hAnsi="宋体" w:cs="宋体"/>
          <w:sz w:val="24"/>
          <w:szCs w:val="24"/>
          <w:lang w:eastAsia="zh-CN"/>
        </w:rPr>
        <w:t>供应商</w:t>
      </w:r>
      <w:r>
        <w:rPr>
          <w:rFonts w:hint="eastAsia" w:ascii="宋体" w:hAnsi="宋体" w:cs="宋体"/>
          <w:sz w:val="24"/>
          <w:szCs w:val="24"/>
        </w:rPr>
        <w:t xml:space="preserve">以低于成本报价竞标，其投标作废标处理。 </w:t>
      </w:r>
    </w:p>
    <w:p w14:paraId="70716842">
      <w:pPr>
        <w:snapToGrid w:val="0"/>
        <w:spacing w:line="440" w:lineRule="exact"/>
        <w:ind w:right="42" w:rightChars="15" w:firstLine="482" w:firstLineChars="200"/>
        <w:rPr>
          <w:rFonts w:ascii="宋体" w:hAnsi="宋体" w:cs="宋体"/>
          <w:b/>
          <w:sz w:val="24"/>
          <w:szCs w:val="24"/>
        </w:rPr>
      </w:pPr>
      <w:r>
        <w:rPr>
          <w:rFonts w:hint="eastAsia" w:ascii="宋体" w:hAnsi="宋体" w:cs="宋体"/>
          <w:b/>
          <w:sz w:val="24"/>
          <w:szCs w:val="24"/>
        </w:rPr>
        <w:t xml:space="preserve">3.3 响应文件的澄清和补正 </w:t>
      </w:r>
    </w:p>
    <w:p w14:paraId="1EFDA359">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3.3.1 在评标过程中，磋商小组可以书面形式要求</w:t>
      </w:r>
      <w:r>
        <w:rPr>
          <w:rFonts w:hint="eastAsia" w:ascii="宋体" w:hAnsi="宋体" w:cs="宋体"/>
          <w:sz w:val="24"/>
          <w:szCs w:val="24"/>
          <w:lang w:eastAsia="zh-CN"/>
        </w:rPr>
        <w:t>供应商</w:t>
      </w:r>
      <w:r>
        <w:rPr>
          <w:rFonts w:hint="eastAsia" w:ascii="宋体" w:hAnsi="宋体" w:cs="宋体"/>
          <w:sz w:val="24"/>
          <w:szCs w:val="24"/>
        </w:rPr>
        <w:t>对所提交响应文件中不明确的内容进行书面澄清或说明，或者对细微偏差进行补正。竞争性磋商小组不接受</w:t>
      </w:r>
      <w:r>
        <w:rPr>
          <w:rFonts w:hint="eastAsia" w:ascii="宋体" w:hAnsi="宋体" w:cs="宋体"/>
          <w:sz w:val="24"/>
          <w:szCs w:val="24"/>
          <w:lang w:eastAsia="zh-CN"/>
        </w:rPr>
        <w:t>供应商</w:t>
      </w:r>
      <w:r>
        <w:rPr>
          <w:rFonts w:hint="eastAsia" w:ascii="宋体" w:hAnsi="宋体" w:cs="宋体"/>
          <w:sz w:val="24"/>
          <w:szCs w:val="24"/>
        </w:rPr>
        <w:t>主动提出的澄清、说明或补正。</w:t>
      </w:r>
    </w:p>
    <w:p w14:paraId="481B9B1C">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3.3.2澄清、说明和补正不得改变响应文件的实质性内容（算术性错误修正的除外）。</w:t>
      </w:r>
      <w:r>
        <w:rPr>
          <w:rFonts w:hint="eastAsia" w:ascii="宋体" w:hAnsi="宋体" w:cs="宋体"/>
          <w:sz w:val="24"/>
          <w:szCs w:val="24"/>
          <w:lang w:eastAsia="zh-CN"/>
        </w:rPr>
        <w:t>供应商</w:t>
      </w:r>
      <w:r>
        <w:rPr>
          <w:rFonts w:hint="eastAsia" w:ascii="宋体" w:hAnsi="宋体" w:cs="宋体"/>
          <w:sz w:val="24"/>
          <w:szCs w:val="24"/>
        </w:rPr>
        <w:t xml:space="preserve">的书面澄清、说明和补正属于响应文件的组成部分。 </w:t>
      </w:r>
    </w:p>
    <w:p w14:paraId="12040975">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3.3.3 竞争性磋商小组对</w:t>
      </w:r>
      <w:r>
        <w:rPr>
          <w:rFonts w:hint="eastAsia" w:ascii="宋体" w:hAnsi="宋体" w:cs="宋体"/>
          <w:sz w:val="24"/>
          <w:szCs w:val="24"/>
          <w:lang w:eastAsia="zh-CN"/>
        </w:rPr>
        <w:t>供应商</w:t>
      </w:r>
      <w:r>
        <w:rPr>
          <w:rFonts w:hint="eastAsia" w:ascii="宋体" w:hAnsi="宋体" w:cs="宋体"/>
          <w:sz w:val="24"/>
          <w:szCs w:val="24"/>
        </w:rPr>
        <w:t>提交的澄清、说明或补正有疑问的，可以要求</w:t>
      </w:r>
      <w:r>
        <w:rPr>
          <w:rFonts w:hint="eastAsia" w:ascii="宋体" w:hAnsi="宋体" w:cs="宋体"/>
          <w:sz w:val="24"/>
          <w:szCs w:val="24"/>
          <w:lang w:eastAsia="zh-CN"/>
        </w:rPr>
        <w:t>供应商</w:t>
      </w:r>
      <w:r>
        <w:rPr>
          <w:rFonts w:hint="eastAsia" w:ascii="宋体" w:hAnsi="宋体" w:cs="宋体"/>
          <w:sz w:val="24"/>
          <w:szCs w:val="24"/>
        </w:rPr>
        <w:t>进一步澄清、说明或补正，直至满足磋商小组的要求。</w:t>
      </w:r>
    </w:p>
    <w:p w14:paraId="5C8C5B31">
      <w:pPr>
        <w:snapToGrid w:val="0"/>
        <w:spacing w:line="440" w:lineRule="exact"/>
        <w:ind w:right="42" w:rightChars="15" w:firstLine="482" w:firstLineChars="200"/>
        <w:rPr>
          <w:rFonts w:ascii="宋体" w:hAnsi="宋体" w:cs="宋体"/>
          <w:b/>
          <w:sz w:val="24"/>
          <w:szCs w:val="24"/>
        </w:rPr>
      </w:pPr>
      <w:r>
        <w:rPr>
          <w:rFonts w:hint="eastAsia" w:ascii="宋体" w:hAnsi="宋体" w:cs="宋体"/>
          <w:b/>
          <w:sz w:val="24"/>
          <w:szCs w:val="24"/>
        </w:rPr>
        <w:t>3.4定标办法</w:t>
      </w:r>
    </w:p>
    <w:p w14:paraId="51F07B64">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3.4.1 磋商小组按照上述办法打分，最后按照各</w:t>
      </w:r>
      <w:r>
        <w:rPr>
          <w:rFonts w:hint="eastAsia" w:ascii="宋体" w:hAnsi="宋体" w:cs="宋体"/>
          <w:sz w:val="24"/>
          <w:szCs w:val="24"/>
          <w:lang w:eastAsia="zh-CN"/>
        </w:rPr>
        <w:t>供应商</w:t>
      </w:r>
      <w:r>
        <w:rPr>
          <w:rFonts w:hint="eastAsia" w:ascii="宋体" w:hAnsi="宋体" w:cs="宋体"/>
          <w:sz w:val="24"/>
          <w:szCs w:val="24"/>
        </w:rPr>
        <w:t>最终得分从高到低排序。</w:t>
      </w:r>
    </w:p>
    <w:p w14:paraId="7A6F5E03">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3.4.2竞争性磋商小组完成评标后，应当向采购人提交书面评标报告。向采购人推荐3名成交候选人，得分最高的</w:t>
      </w:r>
      <w:r>
        <w:rPr>
          <w:rFonts w:hint="eastAsia" w:ascii="宋体" w:hAnsi="宋体" w:cs="宋体"/>
          <w:sz w:val="24"/>
          <w:szCs w:val="24"/>
          <w:lang w:eastAsia="zh-CN"/>
        </w:rPr>
        <w:t>供应商</w:t>
      </w:r>
      <w:r>
        <w:rPr>
          <w:rFonts w:hint="eastAsia" w:ascii="宋体" w:hAnsi="宋体" w:cs="宋体"/>
          <w:sz w:val="24"/>
          <w:szCs w:val="24"/>
        </w:rPr>
        <w:t>为第一成交候选人，得分第二的</w:t>
      </w:r>
      <w:r>
        <w:rPr>
          <w:rFonts w:hint="eastAsia" w:ascii="宋体" w:hAnsi="宋体" w:cs="宋体"/>
          <w:sz w:val="24"/>
          <w:szCs w:val="24"/>
          <w:lang w:eastAsia="zh-CN"/>
        </w:rPr>
        <w:t>供应商</w:t>
      </w:r>
      <w:r>
        <w:rPr>
          <w:rFonts w:hint="eastAsia" w:ascii="宋体" w:hAnsi="宋体" w:cs="宋体"/>
          <w:sz w:val="24"/>
          <w:szCs w:val="24"/>
        </w:rPr>
        <w:t>为第二成交候选人，得分第三的</w:t>
      </w:r>
      <w:r>
        <w:rPr>
          <w:rFonts w:hint="eastAsia" w:ascii="宋体" w:hAnsi="宋体" w:cs="宋体"/>
          <w:sz w:val="24"/>
          <w:szCs w:val="24"/>
          <w:lang w:eastAsia="zh-CN"/>
        </w:rPr>
        <w:t>供应商</w:t>
      </w:r>
      <w:r>
        <w:rPr>
          <w:rFonts w:hint="eastAsia" w:ascii="宋体" w:hAnsi="宋体" w:cs="宋体"/>
          <w:sz w:val="24"/>
          <w:szCs w:val="24"/>
        </w:rPr>
        <w:t>为第三成交候选人。</w:t>
      </w:r>
    </w:p>
    <w:p w14:paraId="7760A357">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3.4.3按</w:t>
      </w:r>
      <w:r>
        <w:rPr>
          <w:rFonts w:hint="eastAsia" w:ascii="宋体" w:hAnsi="宋体" w:cs="宋体"/>
          <w:sz w:val="24"/>
          <w:szCs w:val="24"/>
          <w:lang w:eastAsia="zh-CN"/>
        </w:rPr>
        <w:t>供应商</w:t>
      </w:r>
      <w:r>
        <w:rPr>
          <w:rFonts w:hint="eastAsia" w:ascii="宋体" w:hAnsi="宋体" w:cs="宋体"/>
          <w:sz w:val="24"/>
          <w:szCs w:val="24"/>
        </w:rPr>
        <w:t>得分由高到低排序，采购人应当确定排名第一的成交候选人为成交人。排名第一的成交候选人放弃中标、因不可抗力提出不能履行合同或者磋商文件规定应当提交履约</w:t>
      </w:r>
      <w:r>
        <w:rPr>
          <w:rFonts w:hint="eastAsia" w:ascii="宋体" w:hAnsi="宋体" w:cs="宋体"/>
          <w:sz w:val="24"/>
          <w:szCs w:val="24"/>
          <w:lang w:eastAsia="zh-CN"/>
        </w:rPr>
        <w:t>供应商</w:t>
      </w:r>
      <w:r>
        <w:rPr>
          <w:rFonts w:hint="eastAsia" w:ascii="宋体" w:hAnsi="宋体" w:cs="宋体"/>
          <w:sz w:val="24"/>
          <w:szCs w:val="24"/>
        </w:rPr>
        <w:t>而在规定的期限内未能提交的，采购人可按照推荐顺序依次确定另一名成交候选人为成交人。</w:t>
      </w:r>
    </w:p>
    <w:p w14:paraId="6F66FC65">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3.4.4 成交人确定后，面向社会公示，公示期为1个工作日，采购人向成交</w:t>
      </w:r>
      <w:r>
        <w:rPr>
          <w:rFonts w:hint="eastAsia" w:ascii="宋体" w:hAnsi="宋体" w:cs="宋体"/>
          <w:sz w:val="24"/>
          <w:szCs w:val="24"/>
          <w:lang w:eastAsia="zh-CN"/>
        </w:rPr>
        <w:t>供应商</w:t>
      </w:r>
      <w:r>
        <w:rPr>
          <w:rFonts w:hint="eastAsia" w:ascii="宋体" w:hAnsi="宋体" w:cs="宋体"/>
          <w:sz w:val="24"/>
          <w:szCs w:val="24"/>
        </w:rPr>
        <w:t>签发成交通知书，采购人与成交</w:t>
      </w:r>
      <w:r>
        <w:rPr>
          <w:rFonts w:hint="eastAsia" w:ascii="宋体" w:hAnsi="宋体" w:cs="宋体"/>
          <w:sz w:val="24"/>
          <w:szCs w:val="24"/>
          <w:lang w:eastAsia="zh-CN"/>
        </w:rPr>
        <w:t>供应商</w:t>
      </w:r>
      <w:r>
        <w:rPr>
          <w:rFonts w:hint="eastAsia" w:ascii="宋体" w:hAnsi="宋体" w:cs="宋体"/>
          <w:sz w:val="24"/>
          <w:szCs w:val="24"/>
        </w:rPr>
        <w:t>应自成交通知书签发之日起</w:t>
      </w:r>
      <w:r>
        <w:rPr>
          <w:rFonts w:hint="eastAsia" w:ascii="宋体" w:hAnsi="宋体" w:cs="宋体"/>
          <w:sz w:val="24"/>
          <w:szCs w:val="24"/>
          <w:lang w:val="en-US" w:eastAsia="zh-CN"/>
        </w:rPr>
        <w:t>30日历天</w:t>
      </w:r>
      <w:r>
        <w:rPr>
          <w:rFonts w:hint="eastAsia" w:ascii="宋体" w:hAnsi="宋体" w:cs="宋体"/>
          <w:sz w:val="24"/>
          <w:szCs w:val="24"/>
        </w:rPr>
        <w:t>内签定合同。</w:t>
      </w:r>
    </w:p>
    <w:p w14:paraId="0815C7A6">
      <w:pPr>
        <w:snapToGrid w:val="0"/>
        <w:spacing w:line="440" w:lineRule="exact"/>
        <w:ind w:right="42" w:rightChars="15" w:firstLine="482" w:firstLineChars="200"/>
        <w:outlineLvl w:val="1"/>
        <w:rPr>
          <w:rFonts w:ascii="宋体" w:hAnsi="宋体" w:cs="宋体"/>
          <w:b/>
          <w:sz w:val="24"/>
          <w:szCs w:val="24"/>
        </w:rPr>
      </w:pPr>
      <w:bookmarkStart w:id="70" w:name="_Toc11643"/>
      <w:bookmarkStart w:id="71" w:name="_Toc449367503"/>
      <w:r>
        <w:rPr>
          <w:rFonts w:hint="eastAsia" w:ascii="宋体" w:hAnsi="宋体" w:cs="宋体"/>
          <w:b/>
          <w:sz w:val="24"/>
          <w:szCs w:val="24"/>
        </w:rPr>
        <w:t>4. 评标注意事项</w:t>
      </w:r>
      <w:bookmarkEnd w:id="70"/>
      <w:bookmarkEnd w:id="71"/>
    </w:p>
    <w:p w14:paraId="5B553EDF">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磋商小组应按下列原则进行评分汇总统计：</w:t>
      </w:r>
    </w:p>
    <w:p w14:paraId="457DFF5B">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1、分数计算过程中，保留两位小数，小数点后第三位四舍五入。</w:t>
      </w:r>
    </w:p>
    <w:p w14:paraId="00BD775C">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2、分数汇总时，将所有</w:t>
      </w:r>
      <w:r>
        <w:rPr>
          <w:rFonts w:hint="eastAsia" w:ascii="宋体" w:hAnsi="宋体" w:cs="宋体"/>
          <w:sz w:val="24"/>
          <w:szCs w:val="24"/>
          <w:lang w:val="en-US" w:eastAsia="zh-CN"/>
        </w:rPr>
        <w:t>磋商小组人员</w:t>
      </w:r>
      <w:r>
        <w:rPr>
          <w:rFonts w:hint="eastAsia" w:ascii="宋体" w:hAnsi="宋体" w:cs="宋体"/>
          <w:sz w:val="24"/>
          <w:szCs w:val="24"/>
        </w:rPr>
        <w:t>打分取算术平均值作为该</w:t>
      </w:r>
      <w:r>
        <w:rPr>
          <w:rFonts w:hint="eastAsia" w:ascii="宋体" w:hAnsi="宋体" w:cs="宋体"/>
          <w:sz w:val="24"/>
          <w:szCs w:val="24"/>
          <w:lang w:eastAsia="zh-CN"/>
        </w:rPr>
        <w:t>供应商</w:t>
      </w:r>
      <w:r>
        <w:rPr>
          <w:rFonts w:hint="eastAsia" w:ascii="宋体" w:hAnsi="宋体" w:cs="宋体"/>
          <w:sz w:val="24"/>
          <w:szCs w:val="24"/>
        </w:rPr>
        <w:t>的最终得分。</w:t>
      </w:r>
    </w:p>
    <w:p w14:paraId="33705211">
      <w:pPr>
        <w:snapToGrid w:val="0"/>
        <w:spacing w:line="420" w:lineRule="exact"/>
        <w:ind w:right="42" w:rightChars="15" w:firstLine="482" w:firstLineChars="200"/>
        <w:outlineLvl w:val="1"/>
        <w:rPr>
          <w:rFonts w:ascii="宋体" w:hAnsi="宋体" w:cs="宋体"/>
          <w:b/>
          <w:sz w:val="24"/>
          <w:szCs w:val="24"/>
        </w:rPr>
      </w:pPr>
      <w:bookmarkStart w:id="72" w:name="_Toc22993"/>
      <w:bookmarkStart w:id="73" w:name="_Toc449367504"/>
      <w:r>
        <w:rPr>
          <w:rFonts w:hint="eastAsia" w:ascii="宋体" w:hAnsi="宋体" w:cs="宋体"/>
          <w:b/>
          <w:sz w:val="24"/>
          <w:szCs w:val="24"/>
        </w:rPr>
        <w:t>5.评标报告</w:t>
      </w:r>
      <w:bookmarkEnd w:id="72"/>
      <w:bookmarkEnd w:id="73"/>
    </w:p>
    <w:p w14:paraId="46571AE9">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磋商小组根据</w:t>
      </w:r>
      <w:r>
        <w:rPr>
          <w:rFonts w:hint="eastAsia" w:ascii="宋体" w:hAnsi="宋体" w:cs="宋体"/>
          <w:sz w:val="24"/>
          <w:szCs w:val="24"/>
          <w:lang w:eastAsia="zh-CN"/>
        </w:rPr>
        <w:t>供应商</w:t>
      </w:r>
      <w:r>
        <w:rPr>
          <w:rFonts w:hint="eastAsia" w:ascii="宋体" w:hAnsi="宋体" w:cs="宋体"/>
          <w:sz w:val="24"/>
          <w:szCs w:val="24"/>
        </w:rPr>
        <w:t>须知前附表的规定向采购人提交评标报告。评标报告应当由全体竞争性磋商小组成员签字。</w:t>
      </w:r>
    </w:p>
    <w:p w14:paraId="105AA9DC">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 xml:space="preserve"> 对评标结论具有异议的，磋商小组成员可以书面方式阐述其不同意见和理由。磋商小组成员拒绝在评标报告上签字且不陈述其不同意见和理由的，视为同意评标结论。磋商小组应当对此作出书面说明并记录在案。</w:t>
      </w:r>
    </w:p>
    <w:p w14:paraId="024C8CED">
      <w:pPr>
        <w:keepNext/>
        <w:widowControl w:val="0"/>
        <w:spacing w:before="100" w:beforeAutospacing="1" w:after="100" w:afterAutospacing="1" w:line="360" w:lineRule="auto"/>
        <w:ind w:left="0" w:leftChars="0" w:firstLine="0" w:firstLineChars="0"/>
        <w:jc w:val="center"/>
        <w:outlineLvl w:val="0"/>
        <w:rPr>
          <w:rFonts w:ascii="宋体" w:hAnsi="宋体" w:cs="黑体"/>
          <w:b/>
          <w:sz w:val="28"/>
          <w:szCs w:val="28"/>
        </w:rPr>
      </w:pPr>
      <w:r>
        <w:rPr>
          <w:rFonts w:hint="eastAsia" w:ascii="宋体" w:hAnsi="宋体" w:cs="宋体"/>
          <w:b/>
          <w:kern w:val="2"/>
          <w:sz w:val="24"/>
          <w:szCs w:val="24"/>
        </w:rPr>
        <w:br w:type="page"/>
      </w:r>
      <w:bookmarkStart w:id="74" w:name="_Toc1883"/>
      <w:r>
        <w:rPr>
          <w:rFonts w:hint="eastAsia" w:ascii="宋体" w:hAnsi="宋体" w:cs="宋体"/>
          <w:b/>
          <w:kern w:val="2"/>
          <w:sz w:val="36"/>
          <w:szCs w:val="36"/>
        </w:rPr>
        <w:t xml:space="preserve">第六章  </w:t>
      </w:r>
      <w:r>
        <w:rPr>
          <w:rFonts w:hint="eastAsia" w:ascii="宋体" w:hAnsi="宋体" w:cs="宋体"/>
          <w:b/>
          <w:kern w:val="2"/>
          <w:sz w:val="36"/>
          <w:szCs w:val="36"/>
          <w:lang w:val="en-US" w:eastAsia="zh-CN"/>
        </w:rPr>
        <w:t xml:space="preserve">  </w:t>
      </w:r>
      <w:bookmarkEnd w:id="74"/>
      <w:r>
        <w:rPr>
          <w:rFonts w:hint="eastAsia" w:ascii="宋体" w:hAnsi="宋体" w:cs="宋体"/>
          <w:b/>
          <w:kern w:val="2"/>
          <w:sz w:val="36"/>
          <w:szCs w:val="36"/>
          <w:lang w:val="en-US" w:eastAsia="zh-CN"/>
        </w:rPr>
        <w:t>响应文件内容及格式</w:t>
      </w:r>
    </w:p>
    <w:p w14:paraId="46C26DE4">
      <w:pPr>
        <w:widowControl w:val="0"/>
        <w:spacing w:line="360" w:lineRule="auto"/>
        <w:ind w:firstLine="952" w:firstLineChars="395"/>
        <w:jc w:val="center"/>
        <w:rPr>
          <w:rFonts w:ascii="宋体" w:hAnsi="宋体" w:cs="宋体"/>
          <w:b/>
          <w:kern w:val="2"/>
          <w:sz w:val="24"/>
          <w:szCs w:val="24"/>
          <w:u w:val="single"/>
        </w:rPr>
      </w:pPr>
    </w:p>
    <w:p w14:paraId="1EF2ADF6">
      <w:pPr>
        <w:widowControl w:val="0"/>
        <w:spacing w:line="360" w:lineRule="auto"/>
        <w:ind w:firstLine="952" w:firstLineChars="395"/>
        <w:jc w:val="center"/>
        <w:outlineLvl w:val="0"/>
        <w:rPr>
          <w:rFonts w:ascii="宋体" w:hAnsi="宋体"/>
          <w:b/>
          <w:sz w:val="24"/>
          <w:szCs w:val="24"/>
        </w:rPr>
      </w:pPr>
      <w:r>
        <w:rPr>
          <w:rFonts w:hint="eastAsia" w:ascii="宋体" w:hAnsi="宋体" w:cs="宋体"/>
          <w:b/>
          <w:kern w:val="2"/>
          <w:sz w:val="24"/>
          <w:szCs w:val="24"/>
          <w:u w:val="single"/>
        </w:rPr>
        <w:t xml:space="preserve">         </w:t>
      </w:r>
      <w:bookmarkStart w:id="75" w:name="_Toc7942"/>
      <w:r>
        <w:rPr>
          <w:rFonts w:hint="eastAsia" w:ascii="宋体" w:hAnsi="宋体" w:cs="宋体"/>
          <w:b/>
          <w:kern w:val="2"/>
          <w:sz w:val="24"/>
          <w:szCs w:val="24"/>
        </w:rPr>
        <w:t>项目名称</w:t>
      </w:r>
      <w:bookmarkEnd w:id="75"/>
    </w:p>
    <w:p w14:paraId="11BE81F2">
      <w:pPr>
        <w:widowControl w:val="0"/>
        <w:spacing w:line="360" w:lineRule="auto"/>
        <w:ind w:firstLine="952" w:firstLineChars="395"/>
        <w:jc w:val="both"/>
        <w:rPr>
          <w:rFonts w:ascii="宋体" w:hAnsi="宋体"/>
          <w:b/>
          <w:sz w:val="24"/>
          <w:szCs w:val="24"/>
        </w:rPr>
      </w:pPr>
      <w:r>
        <w:rPr>
          <w:rFonts w:hint="eastAsia" w:ascii="宋体" w:hAnsi="宋体"/>
          <w:b/>
          <w:kern w:val="2"/>
          <w:sz w:val="24"/>
          <w:szCs w:val="24"/>
        </w:rPr>
        <w:t xml:space="preserve"> </w:t>
      </w:r>
    </w:p>
    <w:p w14:paraId="63768C2B">
      <w:pPr>
        <w:widowControl w:val="0"/>
        <w:spacing w:line="360" w:lineRule="auto"/>
        <w:ind w:firstLine="1193" w:firstLineChars="495"/>
        <w:jc w:val="both"/>
        <w:rPr>
          <w:rFonts w:ascii="宋体" w:hAnsi="宋体" w:cs="宋体"/>
          <w:b/>
          <w:kern w:val="2"/>
          <w:sz w:val="24"/>
          <w:szCs w:val="24"/>
        </w:rPr>
      </w:pPr>
      <w:bookmarkStart w:id="76" w:name="_Toc453139657"/>
      <w:bookmarkEnd w:id="76"/>
    </w:p>
    <w:p w14:paraId="6788B06E">
      <w:pPr>
        <w:widowControl w:val="0"/>
        <w:spacing w:line="360" w:lineRule="auto"/>
        <w:ind w:firstLine="1193" w:firstLineChars="495"/>
        <w:jc w:val="center"/>
        <w:rPr>
          <w:rFonts w:ascii="宋体" w:hAnsi="宋体"/>
          <w:b/>
          <w:sz w:val="24"/>
          <w:szCs w:val="24"/>
        </w:rPr>
      </w:pPr>
      <w:r>
        <w:rPr>
          <w:rFonts w:hint="eastAsia" w:ascii="宋体" w:hAnsi="宋体" w:cs="宋体"/>
          <w:b/>
          <w:kern w:val="2"/>
          <w:sz w:val="24"/>
          <w:szCs w:val="24"/>
        </w:rPr>
        <w:t>响应文件</w:t>
      </w:r>
    </w:p>
    <w:p w14:paraId="7296E9A4">
      <w:pPr>
        <w:widowControl w:val="0"/>
        <w:spacing w:line="360" w:lineRule="auto"/>
        <w:ind w:firstLine="1072" w:firstLineChars="445"/>
        <w:jc w:val="both"/>
        <w:rPr>
          <w:rFonts w:ascii="宋体" w:hAnsi="宋体"/>
          <w:b/>
          <w:sz w:val="24"/>
          <w:szCs w:val="24"/>
        </w:rPr>
      </w:pPr>
      <w:r>
        <w:rPr>
          <w:rFonts w:hint="eastAsia" w:ascii="宋体" w:hAnsi="宋体"/>
          <w:b/>
          <w:kern w:val="2"/>
          <w:sz w:val="24"/>
          <w:szCs w:val="24"/>
        </w:rPr>
        <w:t xml:space="preserve"> </w:t>
      </w:r>
    </w:p>
    <w:p w14:paraId="61078C6B">
      <w:pPr>
        <w:widowControl w:val="0"/>
        <w:spacing w:line="360" w:lineRule="auto"/>
        <w:ind w:firstLine="1072" w:firstLineChars="445"/>
        <w:jc w:val="both"/>
        <w:rPr>
          <w:rFonts w:ascii="宋体" w:hAnsi="宋体"/>
          <w:b/>
          <w:sz w:val="24"/>
          <w:szCs w:val="24"/>
        </w:rPr>
      </w:pPr>
      <w:r>
        <w:rPr>
          <w:rFonts w:hint="eastAsia" w:ascii="宋体" w:hAnsi="宋体"/>
          <w:b/>
          <w:kern w:val="2"/>
          <w:sz w:val="24"/>
          <w:szCs w:val="24"/>
        </w:rPr>
        <w:t xml:space="preserve"> </w:t>
      </w:r>
    </w:p>
    <w:p w14:paraId="403291F0">
      <w:pPr>
        <w:widowControl w:val="0"/>
        <w:spacing w:line="360" w:lineRule="auto"/>
        <w:ind w:firstLine="1554" w:firstLineChars="645"/>
        <w:jc w:val="center"/>
        <w:rPr>
          <w:rFonts w:ascii="宋体" w:hAnsi="宋体"/>
          <w:b/>
          <w:sz w:val="24"/>
          <w:szCs w:val="24"/>
        </w:rPr>
      </w:pPr>
      <w:r>
        <w:rPr>
          <w:rFonts w:hint="eastAsia" w:ascii="宋体" w:hAnsi="宋体" w:cs="宋体"/>
          <w:b/>
          <w:kern w:val="2"/>
          <w:sz w:val="24"/>
          <w:szCs w:val="24"/>
        </w:rPr>
        <w:t>项目编号：</w:t>
      </w:r>
    </w:p>
    <w:p w14:paraId="4CF6DD17">
      <w:pPr>
        <w:widowControl w:val="0"/>
        <w:spacing w:line="360" w:lineRule="auto"/>
        <w:jc w:val="both"/>
        <w:rPr>
          <w:rFonts w:ascii="宋体" w:hAnsi="宋体"/>
          <w:sz w:val="24"/>
          <w:szCs w:val="24"/>
        </w:rPr>
      </w:pPr>
      <w:r>
        <w:rPr>
          <w:rFonts w:hint="eastAsia" w:ascii="宋体" w:hAnsi="宋体"/>
          <w:kern w:val="2"/>
          <w:sz w:val="24"/>
          <w:szCs w:val="24"/>
        </w:rPr>
        <w:t xml:space="preserve"> </w:t>
      </w:r>
    </w:p>
    <w:p w14:paraId="29871267">
      <w:pPr>
        <w:widowControl w:val="0"/>
        <w:spacing w:line="360" w:lineRule="auto"/>
        <w:jc w:val="both"/>
        <w:rPr>
          <w:rFonts w:ascii="宋体" w:hAnsi="宋体"/>
          <w:sz w:val="24"/>
          <w:szCs w:val="24"/>
        </w:rPr>
      </w:pPr>
      <w:r>
        <w:rPr>
          <w:rFonts w:hint="eastAsia" w:ascii="宋体" w:hAnsi="宋体"/>
          <w:kern w:val="2"/>
          <w:sz w:val="24"/>
          <w:szCs w:val="24"/>
        </w:rPr>
        <w:t xml:space="preserve"> </w:t>
      </w:r>
    </w:p>
    <w:p w14:paraId="699E6D20">
      <w:pPr>
        <w:widowControl w:val="0"/>
        <w:spacing w:line="360" w:lineRule="auto"/>
        <w:jc w:val="both"/>
        <w:rPr>
          <w:rFonts w:ascii="宋体" w:hAnsi="宋体"/>
          <w:kern w:val="2"/>
          <w:sz w:val="24"/>
          <w:szCs w:val="24"/>
        </w:rPr>
      </w:pPr>
      <w:r>
        <w:rPr>
          <w:rFonts w:hint="eastAsia" w:ascii="宋体" w:hAnsi="宋体"/>
          <w:kern w:val="2"/>
          <w:sz w:val="24"/>
          <w:szCs w:val="24"/>
        </w:rPr>
        <w:t xml:space="preserve"> </w:t>
      </w:r>
    </w:p>
    <w:p w14:paraId="4A127D30">
      <w:pPr>
        <w:pStyle w:val="16"/>
        <w:ind w:left="400" w:firstLine="480"/>
        <w:rPr>
          <w:rFonts w:ascii="宋体" w:hAnsi="宋体"/>
          <w:kern w:val="2"/>
          <w:sz w:val="24"/>
          <w:szCs w:val="24"/>
        </w:rPr>
      </w:pPr>
    </w:p>
    <w:p w14:paraId="4B216A7D">
      <w:pPr>
        <w:pStyle w:val="15"/>
        <w:rPr>
          <w:rFonts w:ascii="宋体" w:hAnsi="宋体"/>
          <w:sz w:val="24"/>
          <w:szCs w:val="24"/>
        </w:rPr>
      </w:pPr>
    </w:p>
    <w:p w14:paraId="29F12989">
      <w:pPr>
        <w:pStyle w:val="16"/>
        <w:ind w:left="400" w:firstLine="480"/>
        <w:rPr>
          <w:rFonts w:ascii="宋体" w:hAnsi="宋体"/>
          <w:kern w:val="2"/>
          <w:sz w:val="24"/>
          <w:szCs w:val="24"/>
        </w:rPr>
      </w:pPr>
    </w:p>
    <w:p w14:paraId="1164550D">
      <w:pPr>
        <w:pStyle w:val="15"/>
        <w:rPr>
          <w:rFonts w:ascii="宋体" w:hAnsi="宋体"/>
          <w:sz w:val="24"/>
          <w:szCs w:val="24"/>
        </w:rPr>
      </w:pPr>
    </w:p>
    <w:p w14:paraId="387678B9">
      <w:pPr>
        <w:pStyle w:val="16"/>
        <w:ind w:left="400" w:firstLine="400"/>
      </w:pPr>
    </w:p>
    <w:p w14:paraId="71F7E3B1">
      <w:pPr>
        <w:widowControl w:val="0"/>
        <w:spacing w:line="360" w:lineRule="auto"/>
        <w:jc w:val="both"/>
        <w:rPr>
          <w:rFonts w:ascii="宋体" w:hAnsi="宋体"/>
          <w:kern w:val="2"/>
          <w:sz w:val="24"/>
          <w:szCs w:val="24"/>
        </w:rPr>
      </w:pPr>
      <w:r>
        <w:rPr>
          <w:rFonts w:hint="eastAsia" w:ascii="宋体" w:hAnsi="宋体"/>
          <w:kern w:val="2"/>
          <w:sz w:val="24"/>
          <w:szCs w:val="24"/>
        </w:rPr>
        <w:t xml:space="preserve"> </w:t>
      </w:r>
    </w:p>
    <w:p w14:paraId="01232CA7">
      <w:pPr>
        <w:pStyle w:val="16"/>
        <w:ind w:left="400" w:firstLine="480"/>
        <w:rPr>
          <w:rFonts w:ascii="宋体" w:hAnsi="宋体"/>
          <w:kern w:val="2"/>
          <w:sz w:val="24"/>
          <w:szCs w:val="24"/>
        </w:rPr>
      </w:pPr>
    </w:p>
    <w:p w14:paraId="7BAA6041">
      <w:pPr>
        <w:pStyle w:val="15"/>
      </w:pPr>
    </w:p>
    <w:p w14:paraId="6C76CAAB">
      <w:pPr>
        <w:widowControl w:val="0"/>
        <w:spacing w:line="360" w:lineRule="auto"/>
        <w:jc w:val="both"/>
        <w:rPr>
          <w:rFonts w:ascii="宋体" w:hAnsi="宋体"/>
          <w:sz w:val="24"/>
          <w:szCs w:val="24"/>
        </w:rPr>
      </w:pPr>
      <w:r>
        <w:rPr>
          <w:rFonts w:hint="eastAsia" w:ascii="宋体" w:hAnsi="宋体"/>
          <w:kern w:val="2"/>
          <w:sz w:val="24"/>
          <w:szCs w:val="24"/>
        </w:rPr>
        <w:t xml:space="preserve"> </w:t>
      </w:r>
    </w:p>
    <w:p w14:paraId="0F2B7CBD">
      <w:pPr>
        <w:widowControl w:val="0"/>
        <w:spacing w:line="360" w:lineRule="auto"/>
        <w:jc w:val="center"/>
        <w:rPr>
          <w:rFonts w:ascii="宋体" w:hAnsi="宋体"/>
          <w:sz w:val="24"/>
          <w:szCs w:val="24"/>
        </w:rPr>
      </w:pPr>
      <w:bookmarkStart w:id="77" w:name="_Toc453139658"/>
      <w:bookmarkEnd w:id="77"/>
      <w:r>
        <w:rPr>
          <w:rFonts w:hint="eastAsia" w:ascii="宋体" w:hAnsi="宋体" w:cs="宋体"/>
          <w:kern w:val="2"/>
          <w:sz w:val="24"/>
          <w:szCs w:val="24"/>
        </w:rPr>
        <w:t>供应商名称：</w:t>
      </w:r>
      <w:r>
        <w:rPr>
          <w:rFonts w:hint="eastAsia" w:ascii="宋体" w:hAnsi="宋体"/>
          <w:kern w:val="2"/>
          <w:sz w:val="24"/>
          <w:szCs w:val="24"/>
        </w:rPr>
        <w:t xml:space="preserve">                </w:t>
      </w:r>
      <w:r>
        <w:rPr>
          <w:rFonts w:hint="eastAsia" w:ascii="宋体" w:hAnsi="宋体" w:cs="宋体"/>
          <w:kern w:val="2"/>
          <w:sz w:val="24"/>
          <w:szCs w:val="24"/>
        </w:rPr>
        <w:t>（公章签章）</w:t>
      </w:r>
    </w:p>
    <w:p w14:paraId="1700721B">
      <w:pPr>
        <w:widowControl w:val="0"/>
        <w:spacing w:line="360" w:lineRule="auto"/>
        <w:jc w:val="center"/>
        <w:rPr>
          <w:rFonts w:ascii="宋体" w:hAnsi="宋体"/>
          <w:sz w:val="24"/>
          <w:szCs w:val="24"/>
        </w:rPr>
      </w:pPr>
      <w:bookmarkStart w:id="78" w:name="_Toc453139660"/>
      <w:bookmarkEnd w:id="78"/>
      <w:r>
        <w:rPr>
          <w:rFonts w:hint="eastAsia" w:ascii="宋体" w:hAnsi="宋体" w:cs="宋体"/>
          <w:kern w:val="2"/>
          <w:sz w:val="24"/>
          <w:szCs w:val="24"/>
        </w:rPr>
        <w:t>法定代表人：</w:t>
      </w:r>
      <w:r>
        <w:rPr>
          <w:rFonts w:hint="eastAsia" w:ascii="宋体" w:hAnsi="宋体"/>
          <w:kern w:val="2"/>
          <w:sz w:val="24"/>
          <w:szCs w:val="24"/>
        </w:rPr>
        <w:t xml:space="preserve">                （签章</w:t>
      </w:r>
      <w:r>
        <w:rPr>
          <w:rFonts w:hint="eastAsia" w:ascii="宋体" w:hAnsi="宋体" w:cs="宋体"/>
          <w:kern w:val="2"/>
          <w:sz w:val="24"/>
          <w:szCs w:val="24"/>
        </w:rPr>
        <w:t>）</w:t>
      </w:r>
    </w:p>
    <w:p w14:paraId="7B7A5BA8">
      <w:pPr>
        <w:widowControl w:val="0"/>
        <w:spacing w:line="360" w:lineRule="auto"/>
        <w:jc w:val="center"/>
        <w:rPr>
          <w:rFonts w:ascii="宋体" w:hAnsi="宋体"/>
          <w:sz w:val="24"/>
          <w:szCs w:val="24"/>
        </w:rPr>
      </w:pPr>
      <w:bookmarkStart w:id="79" w:name="_Toc453139662"/>
      <w:bookmarkEnd w:id="79"/>
      <w:r>
        <w:rPr>
          <w:rFonts w:hint="eastAsia" w:ascii="宋体" w:hAnsi="宋体" w:cs="宋体"/>
          <w:kern w:val="2"/>
          <w:sz w:val="24"/>
          <w:szCs w:val="24"/>
        </w:rPr>
        <w:t>日</w:t>
      </w:r>
      <w:r>
        <w:rPr>
          <w:rFonts w:hint="eastAsia" w:ascii="宋体" w:hAnsi="宋体"/>
          <w:kern w:val="2"/>
          <w:sz w:val="24"/>
          <w:szCs w:val="24"/>
        </w:rPr>
        <w:t xml:space="preserve">      </w:t>
      </w:r>
      <w:r>
        <w:rPr>
          <w:rFonts w:hint="eastAsia" w:ascii="宋体" w:hAnsi="宋体" w:cs="宋体"/>
          <w:kern w:val="2"/>
          <w:sz w:val="24"/>
          <w:szCs w:val="24"/>
        </w:rPr>
        <w:t>期：</w:t>
      </w:r>
    </w:p>
    <w:p w14:paraId="363042AD">
      <w:pPr>
        <w:widowControl w:val="0"/>
        <w:spacing w:line="360" w:lineRule="auto"/>
        <w:jc w:val="both"/>
        <w:rPr>
          <w:rFonts w:ascii="宋体" w:hAnsi="宋体"/>
          <w:kern w:val="2"/>
          <w:sz w:val="24"/>
          <w:szCs w:val="24"/>
        </w:rPr>
      </w:pPr>
      <w:r>
        <w:rPr>
          <w:rFonts w:hint="eastAsia" w:ascii="宋体" w:hAnsi="宋体"/>
          <w:kern w:val="2"/>
          <w:sz w:val="24"/>
          <w:szCs w:val="24"/>
        </w:rPr>
        <w:t xml:space="preserve"> </w:t>
      </w:r>
    </w:p>
    <w:p w14:paraId="4B1FF7B0">
      <w:pPr>
        <w:widowControl w:val="0"/>
        <w:spacing w:line="360" w:lineRule="auto"/>
        <w:jc w:val="both"/>
        <w:rPr>
          <w:rFonts w:ascii="宋体" w:hAnsi="宋体"/>
          <w:kern w:val="2"/>
          <w:sz w:val="24"/>
          <w:szCs w:val="24"/>
        </w:rPr>
      </w:pPr>
    </w:p>
    <w:p w14:paraId="5C3F6188">
      <w:pPr>
        <w:widowControl w:val="0"/>
        <w:spacing w:line="360" w:lineRule="auto"/>
        <w:jc w:val="both"/>
        <w:rPr>
          <w:rFonts w:ascii="宋体" w:hAnsi="宋体"/>
          <w:kern w:val="2"/>
          <w:sz w:val="24"/>
          <w:szCs w:val="24"/>
        </w:rPr>
      </w:pPr>
    </w:p>
    <w:p w14:paraId="7235F84E">
      <w:pPr>
        <w:widowControl w:val="0"/>
        <w:spacing w:line="360" w:lineRule="auto"/>
        <w:jc w:val="both"/>
        <w:rPr>
          <w:rFonts w:ascii="宋体" w:hAnsi="宋体"/>
          <w:kern w:val="2"/>
          <w:sz w:val="24"/>
          <w:szCs w:val="24"/>
        </w:rPr>
      </w:pPr>
    </w:p>
    <w:p w14:paraId="1EF67002">
      <w:pPr>
        <w:spacing w:line="360" w:lineRule="auto"/>
        <w:ind w:firstLine="482" w:firstLineChars="200"/>
        <w:jc w:val="center"/>
        <w:outlineLvl w:val="0"/>
        <w:rPr>
          <w:rFonts w:ascii="宋体" w:hAnsi="宋体" w:cs="宋体"/>
          <w:b/>
          <w:sz w:val="24"/>
          <w:szCs w:val="24"/>
        </w:rPr>
      </w:pPr>
      <w:bookmarkStart w:id="80" w:name="_Toc3934"/>
      <w:r>
        <w:rPr>
          <w:rFonts w:hint="eastAsia" w:ascii="宋体" w:hAnsi="宋体" w:cs="宋体"/>
          <w:b/>
          <w:sz w:val="24"/>
          <w:szCs w:val="24"/>
        </w:rPr>
        <w:t>目录</w:t>
      </w:r>
      <w:bookmarkEnd w:id="80"/>
    </w:p>
    <w:p w14:paraId="6EE39A96">
      <w:pPr>
        <w:pStyle w:val="16"/>
        <w:ind w:left="400" w:firstLine="482"/>
        <w:rPr>
          <w:rFonts w:ascii="宋体" w:hAnsi="宋体" w:cs="宋体"/>
          <w:b/>
          <w:sz w:val="24"/>
          <w:szCs w:val="24"/>
        </w:rPr>
      </w:pPr>
    </w:p>
    <w:p w14:paraId="6DB0D334">
      <w:pPr>
        <w:jc w:val="center"/>
        <w:rPr>
          <w:rFonts w:ascii="宋体" w:hAnsi="宋体" w:cs="宋体"/>
          <w:b/>
          <w:sz w:val="24"/>
          <w:szCs w:val="24"/>
        </w:rPr>
      </w:pPr>
      <w:r>
        <w:rPr>
          <w:rFonts w:hint="eastAsia" w:ascii="宋体" w:hAnsi="宋体" w:cs="宋体"/>
          <w:b/>
          <w:sz w:val="24"/>
          <w:szCs w:val="24"/>
        </w:rPr>
        <w:t>（格式自拟）</w:t>
      </w:r>
    </w:p>
    <w:p w14:paraId="4DBBD7FA">
      <w:pPr>
        <w:pStyle w:val="16"/>
        <w:ind w:left="400" w:firstLine="482"/>
        <w:rPr>
          <w:rFonts w:ascii="宋体" w:hAnsi="宋体" w:cs="宋体"/>
          <w:b/>
          <w:sz w:val="24"/>
          <w:szCs w:val="24"/>
        </w:rPr>
      </w:pPr>
    </w:p>
    <w:p w14:paraId="0C99CBBF">
      <w:pPr>
        <w:rPr>
          <w:rFonts w:ascii="宋体" w:hAnsi="宋体" w:cs="宋体"/>
          <w:b/>
          <w:sz w:val="24"/>
          <w:szCs w:val="24"/>
        </w:rPr>
      </w:pPr>
    </w:p>
    <w:p w14:paraId="584E76A0">
      <w:pPr>
        <w:pStyle w:val="16"/>
        <w:ind w:left="400" w:firstLine="482"/>
        <w:rPr>
          <w:rFonts w:ascii="宋体" w:hAnsi="宋体" w:cs="宋体"/>
          <w:b/>
          <w:sz w:val="24"/>
          <w:szCs w:val="24"/>
        </w:rPr>
      </w:pPr>
    </w:p>
    <w:p w14:paraId="4FC25FA7">
      <w:pPr>
        <w:rPr>
          <w:rFonts w:ascii="宋体" w:hAnsi="宋体" w:cs="宋体"/>
          <w:b/>
          <w:sz w:val="24"/>
          <w:szCs w:val="24"/>
        </w:rPr>
      </w:pPr>
    </w:p>
    <w:p w14:paraId="392CDD9A">
      <w:pPr>
        <w:pStyle w:val="16"/>
        <w:ind w:left="400" w:firstLine="400"/>
      </w:pPr>
    </w:p>
    <w:p w14:paraId="391502F0">
      <w:pPr>
        <w:rPr>
          <w:rFonts w:ascii="宋体" w:hAnsi="宋体" w:cs="宋体"/>
          <w:b/>
          <w:sz w:val="24"/>
          <w:szCs w:val="24"/>
        </w:rPr>
      </w:pPr>
    </w:p>
    <w:p w14:paraId="2A5C261F">
      <w:pPr>
        <w:pStyle w:val="16"/>
        <w:ind w:left="400" w:firstLine="482"/>
        <w:rPr>
          <w:rFonts w:ascii="宋体" w:hAnsi="宋体" w:cs="宋体"/>
          <w:b/>
          <w:sz w:val="24"/>
          <w:szCs w:val="24"/>
        </w:rPr>
      </w:pPr>
    </w:p>
    <w:p w14:paraId="16FA3F21">
      <w:pPr>
        <w:rPr>
          <w:rFonts w:ascii="宋体" w:hAnsi="宋体" w:cs="宋体"/>
          <w:b/>
          <w:sz w:val="24"/>
          <w:szCs w:val="24"/>
        </w:rPr>
      </w:pPr>
    </w:p>
    <w:p w14:paraId="0FBE16E9">
      <w:pPr>
        <w:pStyle w:val="16"/>
        <w:ind w:left="400" w:firstLine="482"/>
        <w:rPr>
          <w:rFonts w:ascii="宋体" w:hAnsi="宋体" w:cs="宋体"/>
          <w:b/>
          <w:sz w:val="24"/>
          <w:szCs w:val="24"/>
        </w:rPr>
      </w:pPr>
    </w:p>
    <w:p w14:paraId="2AC8248A">
      <w:pPr>
        <w:rPr>
          <w:rFonts w:ascii="宋体" w:hAnsi="宋体" w:cs="宋体"/>
          <w:b/>
          <w:sz w:val="24"/>
          <w:szCs w:val="24"/>
        </w:rPr>
      </w:pPr>
    </w:p>
    <w:p w14:paraId="39D52F11">
      <w:pPr>
        <w:pStyle w:val="16"/>
        <w:ind w:left="400" w:firstLine="400"/>
      </w:pPr>
    </w:p>
    <w:p w14:paraId="5CFA7436">
      <w:pPr>
        <w:spacing w:line="360" w:lineRule="auto"/>
        <w:jc w:val="center"/>
        <w:rPr>
          <w:rFonts w:ascii="宋体" w:hAnsi="宋体" w:cs="宋体"/>
          <w:b/>
          <w:sz w:val="24"/>
          <w:szCs w:val="24"/>
        </w:rPr>
      </w:pPr>
    </w:p>
    <w:p w14:paraId="400C0CB0">
      <w:pPr>
        <w:spacing w:line="360" w:lineRule="auto"/>
        <w:jc w:val="center"/>
        <w:rPr>
          <w:rFonts w:ascii="宋体" w:hAnsi="宋体" w:cs="宋体"/>
          <w:b/>
          <w:sz w:val="24"/>
          <w:szCs w:val="24"/>
        </w:rPr>
      </w:pPr>
    </w:p>
    <w:p w14:paraId="3D296C49">
      <w:pPr>
        <w:spacing w:line="360" w:lineRule="auto"/>
        <w:jc w:val="center"/>
        <w:rPr>
          <w:rFonts w:ascii="宋体" w:hAnsi="宋体" w:cs="宋体"/>
          <w:b/>
          <w:sz w:val="24"/>
          <w:szCs w:val="24"/>
        </w:rPr>
      </w:pPr>
    </w:p>
    <w:p w14:paraId="6F7329B3">
      <w:pPr>
        <w:spacing w:line="360" w:lineRule="auto"/>
        <w:jc w:val="center"/>
        <w:rPr>
          <w:rFonts w:ascii="宋体" w:hAnsi="宋体" w:cs="宋体"/>
          <w:b/>
          <w:sz w:val="24"/>
          <w:szCs w:val="24"/>
        </w:rPr>
      </w:pPr>
    </w:p>
    <w:p w14:paraId="77DC93E6">
      <w:pPr>
        <w:spacing w:line="360" w:lineRule="auto"/>
        <w:jc w:val="center"/>
        <w:rPr>
          <w:rFonts w:ascii="宋体" w:hAnsi="宋体" w:cs="宋体"/>
          <w:b/>
          <w:sz w:val="24"/>
          <w:szCs w:val="24"/>
        </w:rPr>
      </w:pPr>
    </w:p>
    <w:p w14:paraId="23405B6F">
      <w:pPr>
        <w:spacing w:line="360" w:lineRule="auto"/>
        <w:jc w:val="center"/>
        <w:rPr>
          <w:rFonts w:ascii="宋体" w:hAnsi="宋体" w:cs="宋体"/>
          <w:b/>
          <w:sz w:val="24"/>
          <w:szCs w:val="24"/>
        </w:rPr>
      </w:pPr>
    </w:p>
    <w:p w14:paraId="3E68E784">
      <w:pPr>
        <w:spacing w:line="360" w:lineRule="auto"/>
        <w:jc w:val="center"/>
        <w:rPr>
          <w:rFonts w:ascii="宋体" w:hAnsi="宋体" w:cs="宋体"/>
          <w:b/>
          <w:sz w:val="24"/>
          <w:szCs w:val="24"/>
        </w:rPr>
      </w:pPr>
    </w:p>
    <w:p w14:paraId="5F42DF94">
      <w:pPr>
        <w:spacing w:line="360" w:lineRule="auto"/>
        <w:jc w:val="center"/>
        <w:rPr>
          <w:rFonts w:ascii="宋体" w:hAnsi="宋体" w:cs="宋体"/>
          <w:b/>
          <w:sz w:val="24"/>
          <w:szCs w:val="24"/>
        </w:rPr>
      </w:pPr>
    </w:p>
    <w:p w14:paraId="0A946C85">
      <w:pPr>
        <w:spacing w:line="360" w:lineRule="auto"/>
        <w:jc w:val="center"/>
        <w:rPr>
          <w:rFonts w:ascii="宋体" w:hAnsi="宋体" w:cs="宋体"/>
          <w:b/>
          <w:sz w:val="24"/>
          <w:szCs w:val="24"/>
        </w:rPr>
      </w:pPr>
    </w:p>
    <w:p w14:paraId="54312F53">
      <w:pPr>
        <w:spacing w:line="360" w:lineRule="auto"/>
        <w:jc w:val="center"/>
        <w:rPr>
          <w:rFonts w:ascii="宋体" w:hAnsi="宋体" w:cs="宋体"/>
          <w:b/>
          <w:sz w:val="24"/>
          <w:szCs w:val="24"/>
        </w:rPr>
      </w:pPr>
    </w:p>
    <w:p w14:paraId="79B1B484">
      <w:pPr>
        <w:pStyle w:val="15"/>
      </w:pPr>
    </w:p>
    <w:p w14:paraId="3ED555F6">
      <w:pPr>
        <w:rPr>
          <w:rFonts w:hint="eastAsia" w:ascii="宋体" w:hAnsi="宋体" w:cs="宋体"/>
          <w:b/>
          <w:sz w:val="24"/>
          <w:szCs w:val="24"/>
        </w:rPr>
      </w:pPr>
      <w:r>
        <w:rPr>
          <w:rFonts w:hint="eastAsia" w:ascii="宋体" w:hAnsi="宋体" w:cs="宋体"/>
          <w:b/>
          <w:sz w:val="24"/>
          <w:szCs w:val="24"/>
        </w:rPr>
        <w:br w:type="page"/>
      </w:r>
    </w:p>
    <w:p w14:paraId="7670597A">
      <w:pPr>
        <w:spacing w:line="360" w:lineRule="auto"/>
        <w:ind w:firstLine="482" w:firstLineChars="200"/>
        <w:jc w:val="center"/>
        <w:outlineLvl w:val="0"/>
        <w:rPr>
          <w:rFonts w:ascii="宋体" w:hAnsi="宋体"/>
          <w:sz w:val="24"/>
          <w:szCs w:val="24"/>
        </w:rPr>
      </w:pPr>
      <w:bookmarkStart w:id="81" w:name="_Toc4032"/>
      <w:r>
        <w:rPr>
          <w:rFonts w:hint="eastAsia" w:ascii="宋体" w:hAnsi="宋体" w:cs="宋体"/>
          <w:b/>
          <w:sz w:val="24"/>
          <w:szCs w:val="24"/>
        </w:rPr>
        <w:t>一、 磋 商 函</w:t>
      </w:r>
      <w:bookmarkEnd w:id="81"/>
    </w:p>
    <w:p w14:paraId="71EB989D">
      <w:pPr>
        <w:spacing w:line="360" w:lineRule="auto"/>
        <w:rPr>
          <w:rFonts w:ascii="宋体" w:hAnsi="宋体" w:cs="宋体"/>
          <w:sz w:val="24"/>
          <w:szCs w:val="24"/>
          <w:u w:val="single"/>
        </w:rPr>
      </w:pPr>
      <w:bookmarkStart w:id="82" w:name="OLE_LINK11"/>
      <w:bookmarkEnd w:id="82"/>
      <w:r>
        <w:rPr>
          <w:rFonts w:hint="eastAsia" w:ascii="宋体" w:hAnsi="宋体" w:cs="宋体"/>
          <w:sz w:val="24"/>
          <w:szCs w:val="24"/>
          <w:u w:val="single"/>
        </w:rPr>
        <w:t>致：（采购人）</w:t>
      </w:r>
    </w:p>
    <w:p w14:paraId="670A747E">
      <w:pPr>
        <w:spacing w:line="360" w:lineRule="auto"/>
        <w:ind w:firstLine="480" w:firstLineChars="200"/>
        <w:rPr>
          <w:rFonts w:ascii="宋体" w:hAnsi="宋体" w:cs="宋体"/>
          <w:sz w:val="24"/>
          <w:szCs w:val="24"/>
        </w:rPr>
      </w:pPr>
      <w:r>
        <w:rPr>
          <w:rFonts w:hint="eastAsia" w:ascii="宋体" w:hAnsi="宋体" w:cs="宋体"/>
          <w:sz w:val="24"/>
          <w:szCs w:val="24"/>
        </w:rPr>
        <w:t>我们收到了</w:t>
      </w:r>
      <w:r>
        <w:rPr>
          <w:rFonts w:hint="eastAsia" w:ascii="宋体" w:hAnsi="宋体" w:cs="宋体"/>
          <w:sz w:val="24"/>
          <w:szCs w:val="24"/>
          <w:u w:val="single"/>
        </w:rPr>
        <w:t xml:space="preserve">     （项目名称）  </w:t>
      </w:r>
      <w:r>
        <w:rPr>
          <w:rFonts w:hint="eastAsia" w:ascii="宋体" w:hAnsi="宋体" w:cs="宋体"/>
          <w:sz w:val="24"/>
          <w:szCs w:val="24"/>
        </w:rPr>
        <w:t xml:space="preserve"> 的磋商文件，经详细研究，我们郑重声明以下诸点并负法律责任。</w:t>
      </w:r>
    </w:p>
    <w:p w14:paraId="4F948145">
      <w:pPr>
        <w:spacing w:line="360" w:lineRule="auto"/>
        <w:ind w:firstLine="480" w:firstLineChars="200"/>
        <w:rPr>
          <w:rFonts w:ascii="宋体" w:hAnsi="宋体" w:cs="宋体"/>
          <w:sz w:val="24"/>
          <w:szCs w:val="24"/>
        </w:rPr>
      </w:pPr>
      <w:r>
        <w:rPr>
          <w:rFonts w:hint="eastAsia" w:ascii="宋体" w:hAnsi="宋体" w:cs="宋体"/>
          <w:sz w:val="24"/>
          <w:szCs w:val="24"/>
        </w:rPr>
        <w:t>（1）愿按照磋商文件中的条款和要求，提供服务，报价为人民币（小写）</w:t>
      </w:r>
      <w:r>
        <w:rPr>
          <w:rFonts w:hint="eastAsia" w:ascii="宋体" w:hAnsi="宋体" w:cs="宋体"/>
          <w:sz w:val="24"/>
          <w:szCs w:val="24"/>
          <w:u w:val="single"/>
        </w:rPr>
        <w:t xml:space="preserve">：        元，（大写）：        </w:t>
      </w:r>
      <w:r>
        <w:rPr>
          <w:rFonts w:hint="eastAsia" w:ascii="宋体" w:hAnsi="宋体" w:cs="宋体"/>
          <w:sz w:val="24"/>
          <w:szCs w:val="24"/>
        </w:rPr>
        <w:t>，</w:t>
      </w:r>
      <w:r>
        <w:rPr>
          <w:rFonts w:hint="eastAsia" w:ascii="宋体" w:hAnsi="宋体" w:cs="宋体"/>
          <w:sz w:val="24"/>
          <w:szCs w:val="24"/>
          <w:lang w:val="en-US" w:eastAsia="zh-CN"/>
        </w:rPr>
        <w:t>质量要求</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kern w:val="2"/>
          <w:sz w:val="24"/>
          <w:szCs w:val="24"/>
          <w:lang w:eastAsia="zh-CN"/>
        </w:rPr>
        <w:t>服务期限</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u w:val="single"/>
          <w:lang w:eastAsia="zh-CN"/>
        </w:rPr>
        <w:t>，</w:t>
      </w:r>
      <w:r>
        <w:rPr>
          <w:rFonts w:hint="eastAsia" w:ascii="宋体" w:hAnsi="宋体" w:cs="宋体"/>
          <w:sz w:val="24"/>
          <w:szCs w:val="24"/>
          <w:u w:val="none"/>
          <w:lang w:val="en-US" w:eastAsia="zh-CN"/>
        </w:rPr>
        <w:t xml:space="preserve">服务地点： </w:t>
      </w:r>
      <w:r>
        <w:rPr>
          <w:rFonts w:hint="eastAsia" w:ascii="宋体" w:hAnsi="宋体" w:cs="宋体"/>
          <w:sz w:val="24"/>
          <w:szCs w:val="24"/>
          <w:u w:val="single"/>
          <w:lang w:val="en-US" w:eastAsia="zh-CN"/>
        </w:rPr>
        <w:t xml:space="preserve">      </w:t>
      </w:r>
      <w:r>
        <w:rPr>
          <w:rFonts w:hint="eastAsia" w:ascii="宋体" w:hAnsi="宋体" w:cs="宋体"/>
          <w:sz w:val="24"/>
          <w:szCs w:val="24"/>
        </w:rPr>
        <w:t>。</w:t>
      </w:r>
    </w:p>
    <w:p w14:paraId="63082600">
      <w:pPr>
        <w:spacing w:line="360" w:lineRule="auto"/>
        <w:ind w:firstLine="480" w:firstLineChars="200"/>
        <w:rPr>
          <w:rFonts w:ascii="宋体" w:hAnsi="宋体" w:cs="宋体"/>
          <w:sz w:val="24"/>
          <w:szCs w:val="24"/>
        </w:rPr>
      </w:pPr>
      <w:r>
        <w:rPr>
          <w:rFonts w:hint="eastAsia" w:ascii="宋体" w:hAnsi="宋体" w:cs="宋体"/>
          <w:sz w:val="24"/>
          <w:szCs w:val="24"/>
        </w:rPr>
        <w:t>(2) 如果我们的响应文件被接受，我们将履行磋商文件中规定的各项要求。</w:t>
      </w:r>
    </w:p>
    <w:p w14:paraId="037E9248">
      <w:pPr>
        <w:spacing w:line="360" w:lineRule="auto"/>
        <w:ind w:firstLine="480" w:firstLineChars="200"/>
        <w:rPr>
          <w:rFonts w:ascii="宋体" w:hAnsi="宋体" w:cs="宋体"/>
          <w:sz w:val="24"/>
          <w:szCs w:val="24"/>
        </w:rPr>
      </w:pPr>
      <w:r>
        <w:rPr>
          <w:rFonts w:hint="eastAsia" w:ascii="宋体" w:hAnsi="宋体" w:cs="宋体"/>
          <w:sz w:val="24"/>
          <w:szCs w:val="24"/>
        </w:rPr>
        <w:t>(3) 我们同意按磋商文件中的规定，本响应文件的磋商有效期为</w:t>
      </w:r>
      <w:r>
        <w:rPr>
          <w:rFonts w:hint="eastAsia" w:ascii="宋体" w:hAnsi="宋体" w:cs="宋体"/>
          <w:spacing w:val="6"/>
          <w:kern w:val="2"/>
          <w:sz w:val="24"/>
          <w:szCs w:val="24"/>
        </w:rPr>
        <w:t>60日历天(指本次采购项目递交响应性文件截止之日起)</w:t>
      </w:r>
      <w:r>
        <w:rPr>
          <w:rFonts w:hint="eastAsia" w:ascii="宋体" w:hAnsi="宋体" w:cs="宋体"/>
          <w:sz w:val="24"/>
          <w:szCs w:val="24"/>
        </w:rPr>
        <w:t>。如果中标，有效期延长至合同终止日止。</w:t>
      </w:r>
    </w:p>
    <w:p w14:paraId="50F1478B">
      <w:pPr>
        <w:spacing w:line="360" w:lineRule="auto"/>
        <w:ind w:firstLine="480" w:firstLineChars="200"/>
        <w:rPr>
          <w:rFonts w:ascii="宋体" w:hAnsi="宋体" w:cs="宋体"/>
          <w:sz w:val="24"/>
          <w:szCs w:val="24"/>
        </w:rPr>
      </w:pPr>
      <w:r>
        <w:rPr>
          <w:rFonts w:hint="eastAsia" w:ascii="宋体" w:hAnsi="宋体" w:cs="宋体"/>
          <w:sz w:val="24"/>
          <w:szCs w:val="24"/>
        </w:rPr>
        <w:t>(4) 我们愿提供磋商文件中要求的所有文件资料。</w:t>
      </w:r>
    </w:p>
    <w:p w14:paraId="4D4A5447">
      <w:pPr>
        <w:spacing w:line="360" w:lineRule="auto"/>
        <w:ind w:firstLine="480" w:firstLineChars="200"/>
        <w:rPr>
          <w:rFonts w:ascii="宋体" w:hAnsi="宋体" w:cs="宋体"/>
          <w:sz w:val="24"/>
          <w:szCs w:val="24"/>
        </w:rPr>
      </w:pPr>
      <w:r>
        <w:rPr>
          <w:rFonts w:hint="eastAsia" w:ascii="宋体" w:hAnsi="宋体" w:cs="宋体"/>
          <w:sz w:val="24"/>
          <w:szCs w:val="24"/>
        </w:rPr>
        <w:t>(5) 我们已经详细审核了全部磋商文件，包括修改、补充的文件(如果有的话)和参考资料及有关附件，我们完全理解并同意放弃对这方面有不明及误解的权利。</w:t>
      </w:r>
    </w:p>
    <w:p w14:paraId="0A93A42C">
      <w:pPr>
        <w:spacing w:line="360" w:lineRule="auto"/>
        <w:ind w:firstLine="480" w:firstLineChars="200"/>
        <w:rPr>
          <w:rFonts w:ascii="宋体" w:hAnsi="宋体" w:cs="宋体"/>
          <w:sz w:val="24"/>
          <w:szCs w:val="24"/>
        </w:rPr>
      </w:pPr>
      <w:r>
        <w:rPr>
          <w:rFonts w:hint="eastAsia" w:ascii="宋体" w:hAnsi="宋体" w:cs="宋体"/>
          <w:sz w:val="24"/>
          <w:szCs w:val="24"/>
        </w:rPr>
        <w:t>(6) 我们愿按《中华人民共和国民法典》履行自己的全部责任。</w:t>
      </w:r>
    </w:p>
    <w:p w14:paraId="45A10DE5">
      <w:pPr>
        <w:spacing w:line="360" w:lineRule="auto"/>
        <w:ind w:firstLine="480" w:firstLineChars="200"/>
        <w:rPr>
          <w:rFonts w:ascii="宋体" w:hAnsi="宋体" w:cs="宋体"/>
          <w:sz w:val="24"/>
          <w:szCs w:val="24"/>
        </w:rPr>
      </w:pPr>
      <w:r>
        <w:rPr>
          <w:rFonts w:hint="eastAsia" w:ascii="宋体" w:hAnsi="宋体" w:cs="宋体"/>
          <w:sz w:val="24"/>
          <w:szCs w:val="24"/>
        </w:rPr>
        <w:t>（7）随同本磋商函递交的磋商函附录属于合同文件的组成部分。</w:t>
      </w:r>
    </w:p>
    <w:p w14:paraId="1FD132BA">
      <w:pPr>
        <w:spacing w:line="360" w:lineRule="auto"/>
        <w:ind w:firstLine="480" w:firstLineChars="200"/>
        <w:rPr>
          <w:rFonts w:ascii="宋体" w:hAnsi="宋体" w:cs="宋体"/>
          <w:sz w:val="24"/>
          <w:szCs w:val="24"/>
        </w:rPr>
      </w:pPr>
      <w:r>
        <w:rPr>
          <w:rFonts w:hint="eastAsia" w:ascii="宋体" w:hAnsi="宋体" w:cs="宋体"/>
          <w:sz w:val="24"/>
          <w:szCs w:val="24"/>
        </w:rPr>
        <w:t>（8）如果我方中标，愿履行磋商文件中的各项条款和规定，并按国家有关标准向采购代理机构交纳中标服务费。</w:t>
      </w:r>
    </w:p>
    <w:p w14:paraId="5E1AEDC1">
      <w:pPr>
        <w:spacing w:line="360" w:lineRule="auto"/>
        <w:jc w:val="right"/>
        <w:rPr>
          <w:rFonts w:ascii="宋体" w:hAnsi="宋体" w:cs="宋体"/>
          <w:sz w:val="24"/>
          <w:szCs w:val="24"/>
        </w:rPr>
      </w:pPr>
      <w:r>
        <w:rPr>
          <w:rFonts w:hint="eastAsia" w:ascii="宋体" w:hAnsi="宋体" w:cs="宋体"/>
          <w:sz w:val="24"/>
          <w:szCs w:val="24"/>
        </w:rPr>
        <w:t xml:space="preserve">供应商：（公章签章） </w:t>
      </w:r>
    </w:p>
    <w:p w14:paraId="7A9B0F4C">
      <w:pPr>
        <w:spacing w:line="360" w:lineRule="auto"/>
        <w:jc w:val="right"/>
        <w:rPr>
          <w:rFonts w:ascii="宋体" w:hAnsi="宋体" w:cs="宋体"/>
          <w:sz w:val="24"/>
          <w:szCs w:val="24"/>
        </w:rPr>
      </w:pPr>
      <w:r>
        <w:rPr>
          <w:rFonts w:hint="eastAsia" w:ascii="宋体" w:hAnsi="宋体" w:cs="宋体"/>
          <w:sz w:val="24"/>
          <w:szCs w:val="24"/>
        </w:rPr>
        <w:t>法定代表人：（签章）</w:t>
      </w:r>
    </w:p>
    <w:p w14:paraId="141EE965">
      <w:pPr>
        <w:wordWrap w:val="0"/>
        <w:spacing w:line="360" w:lineRule="auto"/>
        <w:ind w:right="420"/>
        <w:jc w:val="right"/>
        <w:rPr>
          <w:rFonts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 xml:space="preserve">   </w:t>
      </w:r>
    </w:p>
    <w:p w14:paraId="17309C05">
      <w:pPr>
        <w:pStyle w:val="7"/>
      </w:pPr>
    </w:p>
    <w:p w14:paraId="530E36E5">
      <w:pPr>
        <w:pStyle w:val="7"/>
      </w:pPr>
    </w:p>
    <w:p w14:paraId="6FA06740">
      <w:pPr>
        <w:rPr>
          <w:rFonts w:hint="eastAsia" w:ascii="宋体" w:hAnsi="宋体" w:cs="宋体"/>
          <w:b/>
          <w:sz w:val="24"/>
          <w:szCs w:val="24"/>
        </w:rPr>
      </w:pPr>
      <w:r>
        <w:rPr>
          <w:rFonts w:hint="eastAsia" w:ascii="宋体" w:hAnsi="宋体" w:cs="宋体"/>
          <w:b/>
          <w:sz w:val="24"/>
          <w:szCs w:val="24"/>
        </w:rPr>
        <w:br w:type="page"/>
      </w:r>
    </w:p>
    <w:p w14:paraId="1C8E23F2">
      <w:pPr>
        <w:spacing w:afterLines="50" w:line="360" w:lineRule="auto"/>
        <w:ind w:firstLine="482" w:firstLineChars="200"/>
        <w:jc w:val="center"/>
        <w:outlineLvl w:val="0"/>
        <w:rPr>
          <w:rFonts w:ascii="宋体" w:hAnsi="宋体" w:cs="宋体"/>
          <w:sz w:val="24"/>
          <w:szCs w:val="24"/>
        </w:rPr>
      </w:pPr>
      <w:bookmarkStart w:id="83" w:name="_Toc18894"/>
      <w:r>
        <w:rPr>
          <w:rFonts w:hint="eastAsia" w:ascii="宋体" w:hAnsi="宋体" w:cs="宋体"/>
          <w:b/>
          <w:sz w:val="24"/>
          <w:szCs w:val="24"/>
        </w:rPr>
        <w:t>二、磋商函附录</w:t>
      </w:r>
      <w:bookmarkEnd w:id="83"/>
      <w:r>
        <w:rPr>
          <w:rFonts w:hint="eastAsia" w:ascii="宋体" w:hAnsi="宋体" w:cs="宋体"/>
          <w:b/>
          <w:sz w:val="24"/>
          <w:szCs w:val="24"/>
        </w:rPr>
        <w:t xml:space="preserve">    </w:t>
      </w:r>
      <w:r>
        <w:rPr>
          <w:rFonts w:hint="eastAsia" w:ascii="宋体" w:hAnsi="宋体" w:cs="宋体"/>
          <w:sz w:val="24"/>
          <w:szCs w:val="24"/>
        </w:rPr>
        <w:t xml:space="preserve">                               </w:t>
      </w:r>
    </w:p>
    <w:tbl>
      <w:tblPr>
        <w:tblStyle w:val="17"/>
        <w:tblW w:w="9150" w:type="dxa"/>
        <w:tblInd w:w="-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160"/>
        <w:gridCol w:w="6195"/>
      </w:tblGrid>
      <w:tr w14:paraId="1DBF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95" w:type="dxa"/>
            <w:vAlign w:val="center"/>
          </w:tcPr>
          <w:p w14:paraId="2AFFBF3D">
            <w:pPr>
              <w:widowControl w:val="0"/>
              <w:autoSpaceDE w:val="0"/>
              <w:autoSpaceDN w:val="0"/>
              <w:adjustRightInd w:val="0"/>
              <w:spacing w:line="360" w:lineRule="auto"/>
              <w:ind w:firstLine="260" w:firstLineChars="100"/>
              <w:jc w:val="both"/>
              <w:rPr>
                <w:rFonts w:ascii="宋体" w:hAnsi="宋体" w:cs="宋体"/>
                <w:spacing w:val="10"/>
                <w:kern w:val="2"/>
                <w:sz w:val="24"/>
                <w:szCs w:val="24"/>
              </w:rPr>
            </w:pPr>
            <w:r>
              <w:rPr>
                <w:rFonts w:hint="eastAsia" w:ascii="宋体" w:hAnsi="宋体" w:cs="宋体"/>
                <w:spacing w:val="10"/>
                <w:kern w:val="2"/>
                <w:sz w:val="24"/>
                <w:szCs w:val="24"/>
              </w:rPr>
              <w:t>1</w:t>
            </w:r>
          </w:p>
        </w:tc>
        <w:tc>
          <w:tcPr>
            <w:tcW w:w="2160" w:type="dxa"/>
            <w:vAlign w:val="center"/>
          </w:tcPr>
          <w:p w14:paraId="5C4686E4">
            <w:pPr>
              <w:widowControl w:val="0"/>
              <w:autoSpaceDE w:val="0"/>
              <w:autoSpaceDN w:val="0"/>
              <w:adjustRightInd w:val="0"/>
              <w:spacing w:line="360" w:lineRule="auto"/>
              <w:ind w:left="0" w:leftChars="0" w:firstLine="0" w:firstLineChars="0"/>
              <w:jc w:val="center"/>
              <w:rPr>
                <w:rFonts w:ascii="宋体" w:hAnsi="宋体" w:cs="宋体"/>
                <w:spacing w:val="10"/>
                <w:kern w:val="2"/>
                <w:sz w:val="24"/>
                <w:szCs w:val="24"/>
              </w:rPr>
            </w:pPr>
            <w:r>
              <w:rPr>
                <w:rFonts w:hint="eastAsia" w:ascii="宋体" w:hAnsi="宋体" w:cs="宋体"/>
                <w:spacing w:val="10"/>
                <w:kern w:val="2"/>
                <w:sz w:val="24"/>
                <w:szCs w:val="24"/>
              </w:rPr>
              <w:t>项目名称</w:t>
            </w:r>
          </w:p>
        </w:tc>
        <w:tc>
          <w:tcPr>
            <w:tcW w:w="6195" w:type="dxa"/>
            <w:vAlign w:val="center"/>
          </w:tcPr>
          <w:p w14:paraId="6D5F466A">
            <w:pPr>
              <w:widowControl w:val="0"/>
              <w:autoSpaceDE w:val="0"/>
              <w:autoSpaceDN w:val="0"/>
              <w:adjustRightInd w:val="0"/>
              <w:spacing w:line="360" w:lineRule="auto"/>
              <w:ind w:firstLine="520" w:firstLineChars="200"/>
              <w:rPr>
                <w:rFonts w:ascii="宋体" w:hAnsi="宋体" w:cs="宋体"/>
                <w:spacing w:val="10"/>
                <w:kern w:val="2"/>
                <w:sz w:val="24"/>
                <w:szCs w:val="24"/>
              </w:rPr>
            </w:pPr>
          </w:p>
        </w:tc>
      </w:tr>
      <w:tr w14:paraId="2A16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95" w:type="dxa"/>
            <w:vAlign w:val="center"/>
          </w:tcPr>
          <w:p w14:paraId="417CCD75">
            <w:pPr>
              <w:widowControl w:val="0"/>
              <w:autoSpaceDE w:val="0"/>
              <w:autoSpaceDN w:val="0"/>
              <w:adjustRightInd w:val="0"/>
              <w:spacing w:line="360" w:lineRule="auto"/>
              <w:ind w:firstLine="260" w:firstLineChars="100"/>
              <w:jc w:val="center"/>
              <w:rPr>
                <w:rFonts w:ascii="宋体" w:hAnsi="宋体" w:cs="宋体"/>
                <w:spacing w:val="10"/>
                <w:kern w:val="2"/>
                <w:sz w:val="24"/>
                <w:szCs w:val="24"/>
              </w:rPr>
            </w:pPr>
            <w:r>
              <w:rPr>
                <w:rFonts w:hint="eastAsia" w:ascii="宋体" w:hAnsi="宋体" w:cs="宋体"/>
                <w:spacing w:val="10"/>
                <w:kern w:val="2"/>
                <w:sz w:val="24"/>
                <w:szCs w:val="24"/>
              </w:rPr>
              <w:t>2</w:t>
            </w:r>
          </w:p>
        </w:tc>
        <w:tc>
          <w:tcPr>
            <w:tcW w:w="2160" w:type="dxa"/>
            <w:vAlign w:val="center"/>
          </w:tcPr>
          <w:p w14:paraId="57CBBD5B">
            <w:pPr>
              <w:widowControl w:val="0"/>
              <w:autoSpaceDE w:val="0"/>
              <w:autoSpaceDN w:val="0"/>
              <w:adjustRightInd w:val="0"/>
              <w:spacing w:line="360" w:lineRule="auto"/>
              <w:ind w:left="0" w:leftChars="0" w:firstLine="0" w:firstLineChars="0"/>
              <w:jc w:val="center"/>
              <w:rPr>
                <w:rFonts w:ascii="宋体" w:hAnsi="宋体" w:cs="宋体"/>
                <w:spacing w:val="10"/>
                <w:kern w:val="2"/>
                <w:sz w:val="24"/>
                <w:szCs w:val="24"/>
              </w:rPr>
            </w:pPr>
            <w:r>
              <w:rPr>
                <w:rFonts w:hint="eastAsia" w:ascii="宋体" w:hAnsi="宋体" w:cs="宋体"/>
                <w:kern w:val="2"/>
                <w:sz w:val="24"/>
                <w:szCs w:val="24"/>
              </w:rPr>
              <w:t>项目编号</w:t>
            </w:r>
          </w:p>
        </w:tc>
        <w:tc>
          <w:tcPr>
            <w:tcW w:w="6195" w:type="dxa"/>
            <w:vAlign w:val="center"/>
          </w:tcPr>
          <w:p w14:paraId="7999F44C">
            <w:pPr>
              <w:widowControl w:val="0"/>
              <w:autoSpaceDE w:val="0"/>
              <w:autoSpaceDN w:val="0"/>
              <w:adjustRightInd w:val="0"/>
              <w:spacing w:line="360" w:lineRule="auto"/>
              <w:ind w:firstLine="520" w:firstLineChars="200"/>
              <w:rPr>
                <w:rFonts w:ascii="宋体" w:hAnsi="宋体" w:cs="宋体"/>
                <w:spacing w:val="10"/>
                <w:kern w:val="2"/>
                <w:sz w:val="24"/>
                <w:szCs w:val="24"/>
              </w:rPr>
            </w:pPr>
          </w:p>
        </w:tc>
      </w:tr>
      <w:tr w14:paraId="44F0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95" w:type="dxa"/>
            <w:vAlign w:val="center"/>
          </w:tcPr>
          <w:p w14:paraId="7D93E5DA">
            <w:pPr>
              <w:widowControl w:val="0"/>
              <w:autoSpaceDE w:val="0"/>
              <w:autoSpaceDN w:val="0"/>
              <w:adjustRightInd w:val="0"/>
              <w:spacing w:line="360" w:lineRule="auto"/>
              <w:ind w:firstLine="260" w:firstLineChars="100"/>
              <w:jc w:val="center"/>
              <w:rPr>
                <w:rFonts w:ascii="宋体" w:hAnsi="宋体" w:cs="宋体"/>
                <w:spacing w:val="10"/>
                <w:kern w:val="2"/>
                <w:sz w:val="24"/>
                <w:szCs w:val="24"/>
              </w:rPr>
            </w:pPr>
            <w:r>
              <w:rPr>
                <w:rFonts w:hint="eastAsia" w:ascii="宋体" w:hAnsi="宋体" w:cs="宋体"/>
                <w:spacing w:val="10"/>
                <w:kern w:val="2"/>
                <w:sz w:val="24"/>
                <w:szCs w:val="24"/>
              </w:rPr>
              <w:t>3</w:t>
            </w:r>
          </w:p>
        </w:tc>
        <w:tc>
          <w:tcPr>
            <w:tcW w:w="2160" w:type="dxa"/>
            <w:vAlign w:val="center"/>
          </w:tcPr>
          <w:p w14:paraId="66A606DA">
            <w:pPr>
              <w:widowControl w:val="0"/>
              <w:autoSpaceDE w:val="0"/>
              <w:autoSpaceDN w:val="0"/>
              <w:adjustRightInd w:val="0"/>
              <w:spacing w:line="360" w:lineRule="auto"/>
              <w:ind w:left="0" w:leftChars="0" w:firstLine="0" w:firstLineChars="0"/>
              <w:jc w:val="center"/>
              <w:rPr>
                <w:rFonts w:ascii="宋体" w:hAnsi="宋体" w:cs="宋体"/>
                <w:spacing w:val="10"/>
                <w:kern w:val="2"/>
                <w:sz w:val="24"/>
                <w:szCs w:val="24"/>
              </w:rPr>
            </w:pPr>
            <w:r>
              <w:rPr>
                <w:rFonts w:hint="eastAsia" w:ascii="宋体" w:hAnsi="宋体" w:cs="宋体"/>
                <w:spacing w:val="10"/>
                <w:kern w:val="2"/>
                <w:sz w:val="24"/>
                <w:szCs w:val="24"/>
              </w:rPr>
              <w:t>供应商名称</w:t>
            </w:r>
          </w:p>
        </w:tc>
        <w:tc>
          <w:tcPr>
            <w:tcW w:w="6195" w:type="dxa"/>
            <w:vAlign w:val="center"/>
          </w:tcPr>
          <w:p w14:paraId="7D5A9E03">
            <w:pPr>
              <w:widowControl w:val="0"/>
              <w:autoSpaceDE w:val="0"/>
              <w:autoSpaceDN w:val="0"/>
              <w:adjustRightInd w:val="0"/>
              <w:spacing w:line="360" w:lineRule="auto"/>
              <w:ind w:firstLine="520" w:firstLineChars="200"/>
              <w:rPr>
                <w:rFonts w:ascii="宋体" w:hAnsi="宋体" w:cs="宋体"/>
                <w:spacing w:val="10"/>
                <w:kern w:val="2"/>
                <w:sz w:val="24"/>
                <w:szCs w:val="24"/>
              </w:rPr>
            </w:pPr>
          </w:p>
        </w:tc>
      </w:tr>
      <w:tr w14:paraId="6C2C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95" w:type="dxa"/>
            <w:vAlign w:val="center"/>
          </w:tcPr>
          <w:p w14:paraId="374D673A">
            <w:pPr>
              <w:widowControl w:val="0"/>
              <w:autoSpaceDE w:val="0"/>
              <w:autoSpaceDN w:val="0"/>
              <w:adjustRightInd w:val="0"/>
              <w:spacing w:line="360" w:lineRule="auto"/>
              <w:ind w:firstLine="260" w:firstLineChars="100"/>
              <w:jc w:val="center"/>
              <w:rPr>
                <w:rFonts w:ascii="宋体" w:hAnsi="宋体" w:cs="宋体"/>
                <w:spacing w:val="10"/>
                <w:kern w:val="2"/>
                <w:sz w:val="24"/>
                <w:szCs w:val="24"/>
              </w:rPr>
            </w:pPr>
            <w:r>
              <w:rPr>
                <w:rFonts w:hint="eastAsia" w:ascii="宋体" w:hAnsi="宋体" w:cs="宋体"/>
                <w:spacing w:val="10"/>
                <w:kern w:val="2"/>
                <w:sz w:val="24"/>
                <w:szCs w:val="24"/>
              </w:rPr>
              <w:t>4</w:t>
            </w:r>
          </w:p>
        </w:tc>
        <w:tc>
          <w:tcPr>
            <w:tcW w:w="2160" w:type="dxa"/>
            <w:vAlign w:val="center"/>
          </w:tcPr>
          <w:p w14:paraId="1C0159FB">
            <w:pPr>
              <w:widowControl w:val="0"/>
              <w:autoSpaceDE w:val="0"/>
              <w:autoSpaceDN w:val="0"/>
              <w:adjustRightInd w:val="0"/>
              <w:spacing w:line="360" w:lineRule="auto"/>
              <w:ind w:left="0" w:leftChars="0" w:firstLine="0" w:firstLineChars="0"/>
              <w:jc w:val="center"/>
              <w:rPr>
                <w:rFonts w:ascii="宋体" w:hAnsi="宋体" w:cs="宋体"/>
                <w:spacing w:val="10"/>
                <w:kern w:val="2"/>
                <w:sz w:val="24"/>
                <w:szCs w:val="24"/>
              </w:rPr>
            </w:pPr>
            <w:r>
              <w:rPr>
                <w:rFonts w:hint="eastAsia" w:ascii="宋体" w:hAnsi="宋体" w:cs="宋体"/>
                <w:spacing w:val="10"/>
                <w:kern w:val="2"/>
                <w:sz w:val="24"/>
                <w:szCs w:val="24"/>
              </w:rPr>
              <w:t>法定代表人</w:t>
            </w:r>
          </w:p>
        </w:tc>
        <w:tc>
          <w:tcPr>
            <w:tcW w:w="6195" w:type="dxa"/>
            <w:vAlign w:val="center"/>
          </w:tcPr>
          <w:p w14:paraId="14521E32">
            <w:pPr>
              <w:widowControl w:val="0"/>
              <w:autoSpaceDE w:val="0"/>
              <w:autoSpaceDN w:val="0"/>
              <w:adjustRightInd w:val="0"/>
              <w:spacing w:line="360" w:lineRule="auto"/>
              <w:ind w:firstLine="520" w:firstLineChars="200"/>
              <w:rPr>
                <w:rFonts w:ascii="宋体" w:hAnsi="宋体" w:cs="宋体"/>
                <w:spacing w:val="10"/>
                <w:kern w:val="2"/>
                <w:sz w:val="24"/>
                <w:szCs w:val="24"/>
              </w:rPr>
            </w:pPr>
          </w:p>
        </w:tc>
      </w:tr>
      <w:tr w14:paraId="6CE2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95" w:type="dxa"/>
            <w:vAlign w:val="center"/>
          </w:tcPr>
          <w:p w14:paraId="656D7E95">
            <w:pPr>
              <w:widowControl w:val="0"/>
              <w:autoSpaceDE w:val="0"/>
              <w:autoSpaceDN w:val="0"/>
              <w:adjustRightInd w:val="0"/>
              <w:spacing w:line="360" w:lineRule="auto"/>
              <w:ind w:firstLine="260" w:firstLineChars="100"/>
              <w:jc w:val="center"/>
              <w:rPr>
                <w:rFonts w:ascii="宋体" w:hAnsi="宋体" w:cs="宋体"/>
                <w:spacing w:val="10"/>
                <w:kern w:val="2"/>
                <w:sz w:val="24"/>
                <w:szCs w:val="24"/>
              </w:rPr>
            </w:pPr>
            <w:r>
              <w:rPr>
                <w:rFonts w:hint="eastAsia" w:ascii="宋体" w:hAnsi="宋体" w:cs="宋体"/>
                <w:spacing w:val="10"/>
                <w:kern w:val="2"/>
                <w:sz w:val="24"/>
                <w:szCs w:val="24"/>
              </w:rPr>
              <w:t>5</w:t>
            </w:r>
          </w:p>
        </w:tc>
        <w:tc>
          <w:tcPr>
            <w:tcW w:w="2160" w:type="dxa"/>
            <w:vAlign w:val="center"/>
          </w:tcPr>
          <w:p w14:paraId="75C2DF24">
            <w:pPr>
              <w:widowControl w:val="0"/>
              <w:autoSpaceDE w:val="0"/>
              <w:autoSpaceDN w:val="0"/>
              <w:adjustRightInd w:val="0"/>
              <w:spacing w:line="360" w:lineRule="auto"/>
              <w:ind w:left="0" w:leftChars="0" w:firstLine="0" w:firstLineChars="0"/>
              <w:jc w:val="center"/>
              <w:rPr>
                <w:rFonts w:ascii="宋体" w:hAnsi="宋体" w:cs="宋体"/>
                <w:spacing w:val="10"/>
                <w:kern w:val="2"/>
                <w:sz w:val="24"/>
                <w:szCs w:val="24"/>
              </w:rPr>
            </w:pPr>
            <w:r>
              <w:rPr>
                <w:rFonts w:hint="eastAsia" w:ascii="宋体" w:hAnsi="宋体" w:cs="宋体"/>
                <w:spacing w:val="10"/>
                <w:kern w:val="2"/>
                <w:sz w:val="24"/>
                <w:szCs w:val="24"/>
              </w:rPr>
              <w:t>供应商地址</w:t>
            </w:r>
          </w:p>
        </w:tc>
        <w:tc>
          <w:tcPr>
            <w:tcW w:w="6195" w:type="dxa"/>
            <w:vAlign w:val="center"/>
          </w:tcPr>
          <w:p w14:paraId="45307A42">
            <w:pPr>
              <w:widowControl w:val="0"/>
              <w:autoSpaceDE w:val="0"/>
              <w:autoSpaceDN w:val="0"/>
              <w:adjustRightInd w:val="0"/>
              <w:spacing w:line="360" w:lineRule="auto"/>
              <w:ind w:firstLine="520" w:firstLineChars="200"/>
              <w:rPr>
                <w:rFonts w:ascii="宋体" w:hAnsi="宋体" w:cs="宋体"/>
                <w:spacing w:val="10"/>
                <w:kern w:val="2"/>
                <w:sz w:val="24"/>
                <w:szCs w:val="24"/>
              </w:rPr>
            </w:pPr>
          </w:p>
        </w:tc>
      </w:tr>
      <w:tr w14:paraId="3074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95" w:type="dxa"/>
            <w:vAlign w:val="center"/>
          </w:tcPr>
          <w:p w14:paraId="6AE1BF38">
            <w:pPr>
              <w:widowControl w:val="0"/>
              <w:autoSpaceDE w:val="0"/>
              <w:autoSpaceDN w:val="0"/>
              <w:adjustRightInd w:val="0"/>
              <w:spacing w:line="360" w:lineRule="auto"/>
              <w:ind w:firstLine="260" w:firstLineChars="100"/>
              <w:jc w:val="center"/>
              <w:rPr>
                <w:rFonts w:ascii="宋体" w:hAnsi="宋体" w:cs="宋体"/>
                <w:spacing w:val="10"/>
                <w:kern w:val="2"/>
                <w:sz w:val="24"/>
                <w:szCs w:val="24"/>
              </w:rPr>
            </w:pPr>
            <w:r>
              <w:rPr>
                <w:rFonts w:hint="eastAsia" w:ascii="宋体" w:hAnsi="宋体" w:cs="宋体"/>
                <w:spacing w:val="10"/>
                <w:kern w:val="2"/>
                <w:sz w:val="24"/>
                <w:szCs w:val="24"/>
              </w:rPr>
              <w:t>6</w:t>
            </w:r>
          </w:p>
        </w:tc>
        <w:tc>
          <w:tcPr>
            <w:tcW w:w="2160" w:type="dxa"/>
            <w:vAlign w:val="center"/>
          </w:tcPr>
          <w:p w14:paraId="6DA176EF">
            <w:pPr>
              <w:widowControl w:val="0"/>
              <w:autoSpaceDE w:val="0"/>
              <w:autoSpaceDN w:val="0"/>
              <w:adjustRightInd w:val="0"/>
              <w:spacing w:line="360" w:lineRule="auto"/>
              <w:ind w:left="0" w:leftChars="0" w:firstLine="0" w:firstLineChars="0"/>
              <w:jc w:val="center"/>
              <w:rPr>
                <w:rFonts w:ascii="宋体" w:hAnsi="宋体" w:cs="宋体"/>
                <w:spacing w:val="10"/>
                <w:kern w:val="2"/>
                <w:sz w:val="24"/>
                <w:szCs w:val="24"/>
              </w:rPr>
            </w:pPr>
            <w:r>
              <w:rPr>
                <w:rFonts w:hint="eastAsia" w:ascii="宋体" w:hAnsi="宋体" w:cs="宋体"/>
                <w:spacing w:val="-1"/>
                <w:kern w:val="2"/>
                <w:sz w:val="24"/>
                <w:szCs w:val="22"/>
              </w:rPr>
              <w:t>统一机构代码</w:t>
            </w:r>
          </w:p>
        </w:tc>
        <w:tc>
          <w:tcPr>
            <w:tcW w:w="6195" w:type="dxa"/>
            <w:vAlign w:val="center"/>
          </w:tcPr>
          <w:p w14:paraId="0FBF5117">
            <w:pPr>
              <w:widowControl w:val="0"/>
              <w:autoSpaceDE w:val="0"/>
              <w:autoSpaceDN w:val="0"/>
              <w:adjustRightInd w:val="0"/>
              <w:spacing w:line="360" w:lineRule="auto"/>
              <w:ind w:firstLine="520" w:firstLineChars="200"/>
              <w:rPr>
                <w:rFonts w:ascii="宋体" w:hAnsi="宋体" w:cs="宋体"/>
                <w:spacing w:val="10"/>
                <w:kern w:val="2"/>
                <w:sz w:val="24"/>
                <w:szCs w:val="24"/>
              </w:rPr>
            </w:pPr>
          </w:p>
        </w:tc>
      </w:tr>
      <w:tr w14:paraId="6F65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95" w:type="dxa"/>
            <w:vMerge w:val="restart"/>
            <w:vAlign w:val="center"/>
          </w:tcPr>
          <w:p w14:paraId="7D54275E">
            <w:pPr>
              <w:widowControl w:val="0"/>
              <w:autoSpaceDE w:val="0"/>
              <w:autoSpaceDN w:val="0"/>
              <w:adjustRightInd w:val="0"/>
              <w:spacing w:line="360" w:lineRule="auto"/>
              <w:ind w:firstLine="260" w:firstLineChars="100"/>
              <w:jc w:val="center"/>
              <w:rPr>
                <w:rFonts w:ascii="宋体" w:hAnsi="宋体" w:cs="宋体"/>
                <w:spacing w:val="10"/>
                <w:kern w:val="2"/>
                <w:sz w:val="24"/>
                <w:szCs w:val="24"/>
              </w:rPr>
            </w:pPr>
            <w:r>
              <w:rPr>
                <w:rFonts w:hint="eastAsia" w:ascii="宋体" w:hAnsi="宋体" w:cs="宋体"/>
                <w:spacing w:val="10"/>
                <w:kern w:val="2"/>
                <w:sz w:val="24"/>
                <w:szCs w:val="24"/>
              </w:rPr>
              <w:t>7</w:t>
            </w:r>
          </w:p>
        </w:tc>
        <w:tc>
          <w:tcPr>
            <w:tcW w:w="2160" w:type="dxa"/>
            <w:vMerge w:val="restart"/>
            <w:vAlign w:val="center"/>
          </w:tcPr>
          <w:p w14:paraId="1AE36874">
            <w:pPr>
              <w:widowControl w:val="0"/>
              <w:autoSpaceDE w:val="0"/>
              <w:autoSpaceDN w:val="0"/>
              <w:adjustRightInd w:val="0"/>
              <w:spacing w:line="360" w:lineRule="auto"/>
              <w:ind w:left="0" w:leftChars="0" w:firstLine="0" w:firstLineChars="0"/>
              <w:jc w:val="center"/>
              <w:rPr>
                <w:rFonts w:ascii="宋体" w:hAnsi="宋体" w:cs="宋体"/>
                <w:spacing w:val="10"/>
                <w:kern w:val="2"/>
                <w:sz w:val="24"/>
                <w:szCs w:val="24"/>
              </w:rPr>
            </w:pPr>
            <w:r>
              <w:rPr>
                <w:rFonts w:hint="eastAsia" w:ascii="宋体" w:hAnsi="宋体" w:cs="宋体"/>
                <w:spacing w:val="10"/>
                <w:kern w:val="2"/>
                <w:sz w:val="24"/>
                <w:szCs w:val="24"/>
              </w:rPr>
              <w:t>磋商报价（元）</w:t>
            </w:r>
          </w:p>
        </w:tc>
        <w:tc>
          <w:tcPr>
            <w:tcW w:w="6195" w:type="dxa"/>
            <w:vAlign w:val="center"/>
          </w:tcPr>
          <w:p w14:paraId="26847857">
            <w:pPr>
              <w:widowControl w:val="0"/>
              <w:autoSpaceDE w:val="0"/>
              <w:autoSpaceDN w:val="0"/>
              <w:adjustRightInd w:val="0"/>
              <w:spacing w:line="360" w:lineRule="auto"/>
              <w:ind w:firstLine="520" w:firstLineChars="200"/>
              <w:rPr>
                <w:rFonts w:ascii="宋体" w:hAnsi="宋体" w:cs="宋体"/>
                <w:spacing w:val="10"/>
                <w:kern w:val="2"/>
                <w:sz w:val="24"/>
                <w:szCs w:val="24"/>
              </w:rPr>
            </w:pPr>
            <w:r>
              <w:rPr>
                <w:rFonts w:hint="eastAsia" w:ascii="宋体" w:hAnsi="宋体" w:cs="宋体"/>
                <w:spacing w:val="10"/>
                <w:kern w:val="2"/>
                <w:sz w:val="24"/>
                <w:szCs w:val="24"/>
              </w:rPr>
              <w:t>小写：</w:t>
            </w:r>
          </w:p>
        </w:tc>
      </w:tr>
      <w:tr w14:paraId="7B62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95" w:type="dxa"/>
            <w:vMerge w:val="continue"/>
            <w:vAlign w:val="center"/>
          </w:tcPr>
          <w:p w14:paraId="51CC1B06">
            <w:pPr>
              <w:widowControl w:val="0"/>
              <w:autoSpaceDE w:val="0"/>
              <w:autoSpaceDN w:val="0"/>
              <w:adjustRightInd w:val="0"/>
              <w:spacing w:line="360" w:lineRule="auto"/>
              <w:ind w:firstLine="520" w:firstLineChars="200"/>
              <w:jc w:val="center"/>
              <w:rPr>
                <w:rFonts w:ascii="宋体" w:hAnsi="宋体" w:cs="宋体"/>
                <w:spacing w:val="10"/>
                <w:kern w:val="2"/>
                <w:sz w:val="24"/>
                <w:szCs w:val="24"/>
              </w:rPr>
            </w:pPr>
          </w:p>
        </w:tc>
        <w:tc>
          <w:tcPr>
            <w:tcW w:w="2160" w:type="dxa"/>
            <w:vMerge w:val="continue"/>
            <w:vAlign w:val="center"/>
          </w:tcPr>
          <w:p w14:paraId="2FDD31A9">
            <w:pPr>
              <w:widowControl w:val="0"/>
              <w:autoSpaceDE w:val="0"/>
              <w:autoSpaceDN w:val="0"/>
              <w:adjustRightInd w:val="0"/>
              <w:spacing w:line="360" w:lineRule="auto"/>
              <w:ind w:firstLine="520" w:firstLineChars="200"/>
              <w:jc w:val="center"/>
              <w:rPr>
                <w:rFonts w:ascii="宋体" w:hAnsi="宋体" w:cs="宋体"/>
                <w:spacing w:val="10"/>
                <w:kern w:val="2"/>
                <w:sz w:val="24"/>
                <w:szCs w:val="24"/>
              </w:rPr>
            </w:pPr>
          </w:p>
        </w:tc>
        <w:tc>
          <w:tcPr>
            <w:tcW w:w="6195" w:type="dxa"/>
            <w:vAlign w:val="center"/>
          </w:tcPr>
          <w:p w14:paraId="28F30BB2">
            <w:pPr>
              <w:widowControl w:val="0"/>
              <w:autoSpaceDE w:val="0"/>
              <w:autoSpaceDN w:val="0"/>
              <w:adjustRightInd w:val="0"/>
              <w:spacing w:line="360" w:lineRule="auto"/>
              <w:ind w:firstLine="520" w:firstLineChars="200"/>
              <w:rPr>
                <w:rFonts w:ascii="宋体" w:hAnsi="宋体" w:cs="宋体"/>
                <w:spacing w:val="10"/>
                <w:kern w:val="2"/>
                <w:sz w:val="24"/>
                <w:szCs w:val="24"/>
              </w:rPr>
            </w:pPr>
            <w:r>
              <w:rPr>
                <w:rFonts w:hint="eastAsia" w:ascii="宋体" w:hAnsi="宋体" w:cs="宋体"/>
                <w:spacing w:val="10"/>
                <w:kern w:val="2"/>
                <w:sz w:val="24"/>
                <w:szCs w:val="24"/>
              </w:rPr>
              <w:t>大写：</w:t>
            </w:r>
          </w:p>
        </w:tc>
      </w:tr>
      <w:tr w14:paraId="0456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95" w:type="dxa"/>
            <w:vAlign w:val="center"/>
          </w:tcPr>
          <w:p w14:paraId="491C726F">
            <w:pPr>
              <w:widowControl w:val="0"/>
              <w:autoSpaceDE w:val="0"/>
              <w:autoSpaceDN w:val="0"/>
              <w:adjustRightInd w:val="0"/>
              <w:spacing w:line="360" w:lineRule="auto"/>
              <w:ind w:firstLine="260" w:firstLineChars="100"/>
              <w:jc w:val="center"/>
              <w:rPr>
                <w:rFonts w:hint="eastAsia" w:ascii="宋体" w:hAnsi="宋体" w:eastAsia="宋体" w:cs="宋体"/>
                <w:spacing w:val="10"/>
                <w:kern w:val="2"/>
                <w:sz w:val="24"/>
                <w:szCs w:val="24"/>
                <w:lang w:eastAsia="zh-CN"/>
              </w:rPr>
            </w:pPr>
            <w:r>
              <w:rPr>
                <w:rFonts w:hint="eastAsia" w:ascii="宋体" w:hAnsi="宋体" w:cs="宋体"/>
                <w:spacing w:val="10"/>
                <w:kern w:val="2"/>
                <w:sz w:val="24"/>
                <w:szCs w:val="24"/>
                <w:lang w:val="en-US" w:eastAsia="zh-CN"/>
              </w:rPr>
              <w:t>8</w:t>
            </w:r>
          </w:p>
        </w:tc>
        <w:tc>
          <w:tcPr>
            <w:tcW w:w="2160" w:type="dxa"/>
            <w:vAlign w:val="center"/>
          </w:tcPr>
          <w:p w14:paraId="3DBEF984">
            <w:pPr>
              <w:widowControl w:val="0"/>
              <w:autoSpaceDE w:val="0"/>
              <w:autoSpaceDN w:val="0"/>
              <w:adjustRightInd w:val="0"/>
              <w:spacing w:line="360" w:lineRule="auto"/>
              <w:ind w:left="0" w:leftChars="0" w:firstLine="0" w:firstLineChars="0"/>
              <w:jc w:val="center"/>
              <w:rPr>
                <w:rFonts w:hint="eastAsia" w:ascii="宋体" w:hAnsi="宋体" w:eastAsia="宋体" w:cs="宋体"/>
                <w:kern w:val="2"/>
                <w:sz w:val="24"/>
                <w:szCs w:val="24"/>
                <w:lang w:eastAsia="zh-CN"/>
              </w:rPr>
            </w:pPr>
            <w:r>
              <w:rPr>
                <w:rFonts w:hint="eastAsia" w:ascii="宋体" w:hAnsi="宋体" w:cs="宋体"/>
                <w:kern w:val="2"/>
                <w:sz w:val="24"/>
                <w:szCs w:val="24"/>
              </w:rPr>
              <w:t>服务</w:t>
            </w:r>
            <w:r>
              <w:rPr>
                <w:rFonts w:hint="eastAsia" w:ascii="宋体" w:hAnsi="宋体" w:cs="宋体"/>
                <w:kern w:val="2"/>
                <w:sz w:val="24"/>
                <w:szCs w:val="24"/>
                <w:lang w:eastAsia="zh-CN"/>
              </w:rPr>
              <w:t>期限</w:t>
            </w:r>
          </w:p>
        </w:tc>
        <w:tc>
          <w:tcPr>
            <w:tcW w:w="6195" w:type="dxa"/>
            <w:vAlign w:val="center"/>
          </w:tcPr>
          <w:p w14:paraId="7F405629">
            <w:pPr>
              <w:widowControl w:val="0"/>
              <w:autoSpaceDE w:val="0"/>
              <w:autoSpaceDN w:val="0"/>
              <w:adjustRightInd w:val="0"/>
              <w:spacing w:line="360" w:lineRule="auto"/>
              <w:ind w:firstLine="520" w:firstLineChars="200"/>
              <w:rPr>
                <w:rFonts w:ascii="宋体" w:hAnsi="宋体" w:cs="宋体"/>
                <w:spacing w:val="10"/>
                <w:kern w:val="2"/>
                <w:sz w:val="24"/>
                <w:szCs w:val="24"/>
              </w:rPr>
            </w:pPr>
          </w:p>
        </w:tc>
      </w:tr>
      <w:tr w14:paraId="3390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95" w:type="dxa"/>
            <w:vAlign w:val="center"/>
          </w:tcPr>
          <w:p w14:paraId="7EFCECC5">
            <w:pPr>
              <w:widowControl w:val="0"/>
              <w:autoSpaceDE w:val="0"/>
              <w:autoSpaceDN w:val="0"/>
              <w:adjustRightInd w:val="0"/>
              <w:spacing w:line="360" w:lineRule="auto"/>
              <w:ind w:firstLine="260" w:firstLineChars="100"/>
              <w:jc w:val="center"/>
              <w:rPr>
                <w:rFonts w:hint="eastAsia" w:ascii="宋体" w:hAnsi="宋体" w:eastAsia="宋体" w:cs="宋体"/>
                <w:spacing w:val="10"/>
                <w:kern w:val="2"/>
                <w:sz w:val="24"/>
                <w:szCs w:val="24"/>
                <w:lang w:eastAsia="zh-CN"/>
              </w:rPr>
            </w:pPr>
            <w:r>
              <w:rPr>
                <w:rFonts w:hint="eastAsia" w:ascii="宋体" w:hAnsi="宋体" w:cs="宋体"/>
                <w:spacing w:val="10"/>
                <w:kern w:val="2"/>
                <w:sz w:val="24"/>
                <w:szCs w:val="24"/>
                <w:lang w:val="en-US" w:eastAsia="zh-CN"/>
              </w:rPr>
              <w:t>9</w:t>
            </w:r>
          </w:p>
        </w:tc>
        <w:tc>
          <w:tcPr>
            <w:tcW w:w="2160" w:type="dxa"/>
            <w:vAlign w:val="center"/>
          </w:tcPr>
          <w:p w14:paraId="0F1F1092">
            <w:pPr>
              <w:widowControl w:val="0"/>
              <w:autoSpaceDE w:val="0"/>
              <w:autoSpaceDN w:val="0"/>
              <w:adjustRightInd w:val="0"/>
              <w:spacing w:line="360" w:lineRule="auto"/>
              <w:ind w:left="0" w:leftChars="0" w:firstLine="0" w:firstLineChars="0"/>
              <w:jc w:val="center"/>
              <w:rPr>
                <w:rFonts w:hint="default" w:ascii="宋体" w:hAnsi="宋体" w:eastAsia="宋体" w:cs="宋体"/>
                <w:spacing w:val="10"/>
                <w:kern w:val="2"/>
                <w:sz w:val="24"/>
                <w:szCs w:val="24"/>
                <w:lang w:val="en-US" w:eastAsia="zh-CN"/>
              </w:rPr>
            </w:pPr>
            <w:r>
              <w:rPr>
                <w:rFonts w:hint="eastAsia" w:ascii="宋体" w:hAnsi="宋体" w:cs="宋体"/>
                <w:kern w:val="2"/>
                <w:sz w:val="24"/>
                <w:szCs w:val="24"/>
                <w:lang w:val="en-US" w:eastAsia="zh-CN"/>
              </w:rPr>
              <w:t>质量要求</w:t>
            </w:r>
          </w:p>
        </w:tc>
        <w:tc>
          <w:tcPr>
            <w:tcW w:w="6195" w:type="dxa"/>
            <w:vAlign w:val="center"/>
          </w:tcPr>
          <w:p w14:paraId="3232638F">
            <w:pPr>
              <w:widowControl w:val="0"/>
              <w:autoSpaceDE w:val="0"/>
              <w:autoSpaceDN w:val="0"/>
              <w:adjustRightInd w:val="0"/>
              <w:spacing w:line="360" w:lineRule="auto"/>
              <w:ind w:firstLine="520" w:firstLineChars="200"/>
              <w:rPr>
                <w:rFonts w:ascii="宋体" w:hAnsi="宋体" w:cs="宋体"/>
                <w:spacing w:val="10"/>
                <w:kern w:val="2"/>
                <w:sz w:val="24"/>
                <w:szCs w:val="24"/>
              </w:rPr>
            </w:pPr>
          </w:p>
        </w:tc>
      </w:tr>
      <w:tr w14:paraId="7E25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95" w:type="dxa"/>
            <w:vAlign w:val="center"/>
          </w:tcPr>
          <w:p w14:paraId="6FFF1A9B">
            <w:pPr>
              <w:widowControl w:val="0"/>
              <w:autoSpaceDE w:val="0"/>
              <w:autoSpaceDN w:val="0"/>
              <w:adjustRightInd w:val="0"/>
              <w:spacing w:line="360" w:lineRule="auto"/>
              <w:ind w:firstLine="260" w:firstLineChars="100"/>
              <w:jc w:val="both"/>
              <w:rPr>
                <w:rFonts w:hint="default" w:ascii="宋体" w:hAnsi="宋体" w:eastAsia="宋体" w:cs="宋体"/>
                <w:spacing w:val="10"/>
                <w:kern w:val="2"/>
                <w:sz w:val="24"/>
                <w:szCs w:val="24"/>
                <w:lang w:val="en-US" w:eastAsia="zh-CN"/>
              </w:rPr>
            </w:pPr>
            <w:r>
              <w:rPr>
                <w:rFonts w:hint="eastAsia" w:ascii="宋体" w:hAnsi="宋体" w:cs="宋体"/>
                <w:spacing w:val="10"/>
                <w:kern w:val="2"/>
                <w:sz w:val="24"/>
                <w:szCs w:val="24"/>
                <w:lang w:val="en-US" w:eastAsia="zh-CN"/>
              </w:rPr>
              <w:t>10</w:t>
            </w:r>
          </w:p>
        </w:tc>
        <w:tc>
          <w:tcPr>
            <w:tcW w:w="2160" w:type="dxa"/>
            <w:vAlign w:val="center"/>
          </w:tcPr>
          <w:p w14:paraId="39060939">
            <w:pPr>
              <w:widowControl w:val="0"/>
              <w:autoSpaceDE w:val="0"/>
              <w:autoSpaceDN w:val="0"/>
              <w:adjustRightInd w:val="0"/>
              <w:spacing w:line="360" w:lineRule="auto"/>
              <w:ind w:left="0" w:leftChars="0" w:firstLine="0" w:firstLineChars="0"/>
              <w:jc w:val="center"/>
              <w:rPr>
                <w:rFonts w:ascii="宋体" w:hAnsi="宋体" w:cs="宋体"/>
                <w:spacing w:val="10"/>
                <w:kern w:val="2"/>
                <w:sz w:val="24"/>
                <w:szCs w:val="24"/>
              </w:rPr>
            </w:pPr>
            <w:r>
              <w:rPr>
                <w:rFonts w:hint="eastAsia" w:ascii="宋体" w:hAnsi="宋体" w:cs="宋体"/>
                <w:spacing w:val="10"/>
                <w:kern w:val="2"/>
                <w:sz w:val="24"/>
                <w:szCs w:val="24"/>
              </w:rPr>
              <w:t>项目负责人</w:t>
            </w:r>
          </w:p>
        </w:tc>
        <w:tc>
          <w:tcPr>
            <w:tcW w:w="6195" w:type="dxa"/>
            <w:vAlign w:val="center"/>
          </w:tcPr>
          <w:p w14:paraId="721F93C6">
            <w:pPr>
              <w:widowControl w:val="0"/>
              <w:autoSpaceDE w:val="0"/>
              <w:autoSpaceDN w:val="0"/>
              <w:adjustRightInd w:val="0"/>
              <w:spacing w:line="360" w:lineRule="auto"/>
              <w:ind w:firstLine="520" w:firstLineChars="200"/>
              <w:rPr>
                <w:rFonts w:ascii="宋体" w:hAnsi="宋体" w:cs="宋体"/>
                <w:spacing w:val="10"/>
                <w:kern w:val="2"/>
                <w:sz w:val="24"/>
                <w:szCs w:val="24"/>
              </w:rPr>
            </w:pPr>
          </w:p>
        </w:tc>
      </w:tr>
      <w:tr w14:paraId="4111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95" w:type="dxa"/>
            <w:vAlign w:val="center"/>
          </w:tcPr>
          <w:p w14:paraId="4E38C2BF">
            <w:pPr>
              <w:widowControl w:val="0"/>
              <w:autoSpaceDE w:val="0"/>
              <w:autoSpaceDN w:val="0"/>
              <w:adjustRightInd w:val="0"/>
              <w:spacing w:line="360" w:lineRule="auto"/>
              <w:ind w:firstLine="260" w:firstLineChars="100"/>
              <w:jc w:val="center"/>
              <w:rPr>
                <w:rFonts w:hint="default" w:ascii="宋体" w:hAnsi="宋体" w:eastAsia="宋体" w:cs="宋体"/>
                <w:spacing w:val="10"/>
                <w:kern w:val="2"/>
                <w:sz w:val="24"/>
                <w:szCs w:val="24"/>
                <w:lang w:val="en-US" w:eastAsia="zh-CN"/>
              </w:rPr>
            </w:pPr>
            <w:r>
              <w:rPr>
                <w:rFonts w:hint="eastAsia" w:ascii="宋体" w:hAnsi="宋体" w:cs="宋体"/>
                <w:spacing w:val="10"/>
                <w:kern w:val="2"/>
                <w:sz w:val="24"/>
                <w:szCs w:val="24"/>
                <w:lang w:val="en-US" w:eastAsia="zh-CN"/>
              </w:rPr>
              <w:t>11</w:t>
            </w:r>
          </w:p>
        </w:tc>
        <w:tc>
          <w:tcPr>
            <w:tcW w:w="2160" w:type="dxa"/>
            <w:vAlign w:val="center"/>
          </w:tcPr>
          <w:p w14:paraId="11F87B6F">
            <w:pPr>
              <w:widowControl w:val="0"/>
              <w:autoSpaceDE w:val="0"/>
              <w:autoSpaceDN w:val="0"/>
              <w:adjustRightInd w:val="0"/>
              <w:spacing w:line="360" w:lineRule="auto"/>
              <w:ind w:left="0" w:leftChars="0" w:firstLine="0" w:firstLineChars="0"/>
              <w:jc w:val="center"/>
              <w:rPr>
                <w:rFonts w:hint="eastAsia" w:ascii="宋体" w:hAnsi="宋体" w:eastAsia="宋体" w:cs="宋体"/>
                <w:spacing w:val="10"/>
                <w:kern w:val="2"/>
                <w:sz w:val="24"/>
                <w:szCs w:val="24"/>
                <w:lang w:eastAsia="zh-CN"/>
              </w:rPr>
            </w:pPr>
            <w:r>
              <w:rPr>
                <w:rFonts w:hint="eastAsia" w:ascii="宋体" w:hAnsi="宋体" w:cs="宋体"/>
                <w:spacing w:val="10"/>
                <w:kern w:val="2"/>
                <w:sz w:val="24"/>
                <w:szCs w:val="24"/>
              </w:rPr>
              <w:t>联系</w:t>
            </w:r>
            <w:r>
              <w:rPr>
                <w:rFonts w:hint="eastAsia" w:ascii="宋体" w:hAnsi="宋体" w:cs="宋体"/>
                <w:spacing w:val="10"/>
                <w:kern w:val="2"/>
                <w:sz w:val="24"/>
                <w:szCs w:val="24"/>
                <w:lang w:val="en-US" w:eastAsia="zh-CN"/>
              </w:rPr>
              <w:t>方式</w:t>
            </w:r>
            <w:r>
              <w:rPr>
                <w:rFonts w:hint="eastAsia" w:ascii="宋体" w:hAnsi="宋体" w:cs="宋体"/>
                <w:spacing w:val="10"/>
                <w:kern w:val="2"/>
                <w:sz w:val="24"/>
                <w:szCs w:val="24"/>
                <w:lang w:eastAsia="zh-CN"/>
              </w:rPr>
              <w:t>（</w:t>
            </w:r>
            <w:r>
              <w:rPr>
                <w:rFonts w:hint="eastAsia" w:ascii="宋体" w:hAnsi="宋体" w:cs="宋体"/>
                <w:spacing w:val="10"/>
                <w:kern w:val="2"/>
                <w:sz w:val="24"/>
                <w:szCs w:val="24"/>
                <w:lang w:val="en-US" w:eastAsia="zh-CN"/>
              </w:rPr>
              <w:t>手机号</w:t>
            </w:r>
            <w:r>
              <w:rPr>
                <w:rFonts w:hint="eastAsia" w:ascii="宋体" w:hAnsi="宋体" w:cs="宋体"/>
                <w:spacing w:val="10"/>
                <w:kern w:val="2"/>
                <w:sz w:val="24"/>
                <w:szCs w:val="24"/>
                <w:lang w:eastAsia="zh-CN"/>
              </w:rPr>
              <w:t>）</w:t>
            </w:r>
          </w:p>
        </w:tc>
        <w:tc>
          <w:tcPr>
            <w:tcW w:w="6195" w:type="dxa"/>
            <w:vAlign w:val="center"/>
          </w:tcPr>
          <w:p w14:paraId="5BC10166">
            <w:pPr>
              <w:widowControl w:val="0"/>
              <w:autoSpaceDE w:val="0"/>
              <w:autoSpaceDN w:val="0"/>
              <w:adjustRightInd w:val="0"/>
              <w:spacing w:line="360" w:lineRule="auto"/>
              <w:ind w:firstLine="520" w:firstLineChars="200"/>
              <w:rPr>
                <w:rFonts w:ascii="宋体" w:hAnsi="宋体" w:cs="宋体"/>
                <w:spacing w:val="10"/>
                <w:kern w:val="2"/>
                <w:sz w:val="24"/>
                <w:szCs w:val="24"/>
              </w:rPr>
            </w:pPr>
          </w:p>
        </w:tc>
      </w:tr>
      <w:tr w14:paraId="1214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95" w:type="dxa"/>
            <w:vAlign w:val="center"/>
          </w:tcPr>
          <w:p w14:paraId="4928B7BE">
            <w:pPr>
              <w:widowControl w:val="0"/>
              <w:autoSpaceDE w:val="0"/>
              <w:autoSpaceDN w:val="0"/>
              <w:adjustRightInd w:val="0"/>
              <w:spacing w:line="360" w:lineRule="auto"/>
              <w:ind w:left="0" w:leftChars="0" w:firstLine="260" w:firstLineChars="100"/>
              <w:jc w:val="both"/>
              <w:rPr>
                <w:rFonts w:ascii="宋体" w:hAnsi="宋体" w:cs="宋体"/>
                <w:spacing w:val="10"/>
                <w:kern w:val="2"/>
                <w:sz w:val="24"/>
                <w:szCs w:val="24"/>
              </w:rPr>
            </w:pPr>
            <w:r>
              <w:rPr>
                <w:rFonts w:hint="eastAsia" w:ascii="宋体" w:hAnsi="宋体" w:cs="宋体"/>
                <w:spacing w:val="10"/>
                <w:kern w:val="2"/>
                <w:sz w:val="24"/>
                <w:szCs w:val="24"/>
              </w:rPr>
              <w:t>13</w:t>
            </w:r>
          </w:p>
        </w:tc>
        <w:tc>
          <w:tcPr>
            <w:tcW w:w="2160" w:type="dxa"/>
            <w:vAlign w:val="center"/>
          </w:tcPr>
          <w:p w14:paraId="3A8621D6">
            <w:pPr>
              <w:widowControl w:val="0"/>
              <w:autoSpaceDE w:val="0"/>
              <w:autoSpaceDN w:val="0"/>
              <w:adjustRightInd w:val="0"/>
              <w:spacing w:line="360" w:lineRule="auto"/>
              <w:ind w:left="0" w:leftChars="0" w:firstLine="0" w:firstLineChars="0"/>
              <w:jc w:val="center"/>
              <w:rPr>
                <w:rFonts w:ascii="宋体" w:hAnsi="宋体" w:cs="宋体"/>
                <w:spacing w:val="10"/>
                <w:kern w:val="2"/>
                <w:sz w:val="24"/>
                <w:szCs w:val="24"/>
              </w:rPr>
            </w:pPr>
            <w:r>
              <w:rPr>
                <w:rFonts w:hint="eastAsia" w:ascii="宋体" w:hAnsi="宋体" w:cs="宋体"/>
                <w:spacing w:val="10"/>
                <w:kern w:val="2"/>
                <w:sz w:val="24"/>
                <w:szCs w:val="24"/>
              </w:rPr>
              <w:t>备注</w:t>
            </w:r>
          </w:p>
        </w:tc>
        <w:tc>
          <w:tcPr>
            <w:tcW w:w="6195" w:type="dxa"/>
            <w:vAlign w:val="center"/>
          </w:tcPr>
          <w:p w14:paraId="04479018">
            <w:pPr>
              <w:widowControl/>
              <w:numPr>
                <w:ilvl w:val="0"/>
                <w:numId w:val="0"/>
              </w:numPr>
              <w:jc w:val="left"/>
              <w:rPr>
                <w:rFonts w:hint="eastAsia" w:ascii="宋体" w:hAnsi="宋体" w:eastAsia="宋体" w:cs="宋体"/>
                <w:snapToGrid w:val="0"/>
                <w:color w:val="000000"/>
                <w:spacing w:val="0"/>
                <w:kern w:val="21"/>
                <w:sz w:val="24"/>
                <w:szCs w:val="24"/>
                <w:highlight w:val="none"/>
                <w:lang w:val="en-US" w:eastAsia="zh-CN"/>
              </w:rPr>
            </w:pPr>
            <w:r>
              <w:rPr>
                <w:rFonts w:hint="eastAsia" w:ascii="宋体" w:hAnsi="宋体" w:eastAsia="宋体" w:cs="宋体"/>
                <w:snapToGrid w:val="0"/>
                <w:color w:val="000000"/>
                <w:spacing w:val="0"/>
                <w:kern w:val="21"/>
                <w:sz w:val="24"/>
                <w:szCs w:val="24"/>
                <w:highlight w:val="none"/>
                <w:lang w:val="en-US" w:eastAsia="zh-CN"/>
              </w:rPr>
              <w:t>1.本次磋商采用总价形式提交电子报价，项目成交后，按实际配送金额对应折扣率办理结算。</w:t>
            </w:r>
          </w:p>
          <w:p w14:paraId="65C88A05">
            <w:pPr>
              <w:widowControl/>
              <w:numPr>
                <w:ilvl w:val="0"/>
                <w:numId w:val="0"/>
              </w:numPr>
              <w:ind w:firstLine="480" w:firstLineChars="200"/>
              <w:jc w:val="left"/>
              <w:rPr>
                <w:rFonts w:hint="eastAsia" w:ascii="宋体" w:hAnsi="宋体" w:eastAsia="宋体" w:cs="宋体"/>
                <w:snapToGrid w:val="0"/>
                <w:color w:val="000000"/>
                <w:spacing w:val="0"/>
                <w:kern w:val="21"/>
                <w:sz w:val="24"/>
                <w:szCs w:val="24"/>
                <w:highlight w:val="none"/>
                <w:lang w:val="en-US" w:eastAsia="zh-CN"/>
              </w:rPr>
            </w:pPr>
            <w:r>
              <w:rPr>
                <w:rFonts w:hint="eastAsia" w:ascii="宋体" w:hAnsi="宋体" w:cs="宋体"/>
                <w:snapToGrid w:val="0"/>
                <w:color w:val="000000"/>
                <w:spacing w:val="0"/>
                <w:kern w:val="21"/>
                <w:sz w:val="24"/>
                <w:szCs w:val="24"/>
                <w:highlight w:val="none"/>
                <w:lang w:val="en-US" w:eastAsia="zh-CN"/>
              </w:rPr>
              <w:t>（1）</w:t>
            </w:r>
            <w:r>
              <w:rPr>
                <w:rFonts w:ascii="宋体" w:hAnsi="宋体" w:eastAsia="宋体" w:cs="宋体"/>
                <w:sz w:val="24"/>
                <w:szCs w:val="24"/>
              </w:rPr>
              <w:t>成交折扣计算公式</w:t>
            </w:r>
          </w:p>
          <w:p w14:paraId="29C26D48">
            <w:pPr>
              <w:pageBreakBefore w:val="0"/>
              <w:numPr>
                <w:ilvl w:val="0"/>
                <w:numId w:val="0"/>
              </w:numPr>
              <w:kinsoku/>
              <w:overflowPunct/>
              <w:topLinePunct w:val="0"/>
              <w:bidi w:val="0"/>
              <w:spacing w:line="360" w:lineRule="auto"/>
              <w:ind w:firstLine="480" w:firstLineChars="200"/>
              <w:rPr>
                <w:rFonts w:hint="eastAsia" w:ascii="宋体" w:hAnsi="宋体" w:eastAsia="宋体" w:cs="宋体"/>
                <w:b w:val="0"/>
                <w:bCs w:val="0"/>
                <w:color w:val="0000FF"/>
                <w:sz w:val="24"/>
                <w:szCs w:val="24"/>
                <w:highlight w:val="none"/>
              </w:rPr>
            </w:pPr>
            <w:r>
              <w:rPr>
                <w:rFonts w:hint="eastAsia" w:ascii="宋体" w:hAnsi="宋体" w:eastAsia="宋体" w:cs="宋体"/>
                <w:b w:val="0"/>
                <w:bCs w:val="0"/>
                <w:sz w:val="24"/>
                <w:szCs w:val="24"/>
                <w:highlight w:val="none"/>
              </w:rPr>
              <w:t>成交折扣率＝最终报价 ÷ 磋商控制价×100，计算结果四舍五入保留两位小数。 示例：最终报价</w:t>
            </w:r>
            <w:r>
              <w:rPr>
                <w:rFonts w:hint="eastAsia" w:ascii="宋体" w:hAnsi="宋体" w:cs="宋体"/>
                <w:b w:val="0"/>
                <w:bCs w:val="0"/>
                <w:sz w:val="24"/>
                <w:szCs w:val="24"/>
                <w:highlight w:val="none"/>
                <w:lang w:val="en-US" w:eastAsia="zh-CN"/>
              </w:rPr>
              <w:t>1183000.00</w:t>
            </w:r>
            <w:r>
              <w:rPr>
                <w:rFonts w:hint="eastAsia" w:ascii="宋体" w:hAnsi="宋体" w:eastAsia="宋体" w:cs="宋体"/>
                <w:b w:val="0"/>
                <w:bCs w:val="0"/>
                <w:sz w:val="24"/>
                <w:szCs w:val="24"/>
                <w:highlight w:val="none"/>
              </w:rPr>
              <w:t xml:space="preserve"> 元，磋商控制价 </w:t>
            </w:r>
            <w:r>
              <w:rPr>
                <w:rFonts w:hint="eastAsia" w:ascii="宋体" w:hAnsi="宋体" w:cs="宋体"/>
                <w:b w:val="0"/>
                <w:bCs w:val="0"/>
                <w:sz w:val="24"/>
                <w:szCs w:val="24"/>
                <w:highlight w:val="none"/>
                <w:lang w:val="en-US" w:eastAsia="zh-CN"/>
              </w:rPr>
              <w:t>1300000.00</w:t>
            </w:r>
            <w:r>
              <w:rPr>
                <w:rFonts w:hint="eastAsia" w:ascii="宋体" w:hAnsi="宋体" w:eastAsia="宋体" w:cs="宋体"/>
                <w:b w:val="0"/>
                <w:bCs w:val="0"/>
                <w:sz w:val="24"/>
                <w:szCs w:val="24"/>
                <w:highlight w:val="none"/>
              </w:rPr>
              <w:t xml:space="preserve"> 元 成交折扣率＝</w:t>
            </w:r>
            <w:r>
              <w:rPr>
                <w:rFonts w:hint="eastAsia" w:ascii="宋体" w:hAnsi="宋体" w:eastAsia="宋体" w:cs="宋体"/>
                <w:b w:val="0"/>
                <w:bCs w:val="0"/>
                <w:sz w:val="24"/>
                <w:szCs w:val="24"/>
                <w:highlight w:val="none"/>
                <w:lang w:val="en-US" w:eastAsia="zh-CN"/>
              </w:rPr>
              <w:t>1183000</w:t>
            </w:r>
            <w:r>
              <w:rPr>
                <w:rFonts w:hint="eastAsia" w:ascii="宋体" w:hAnsi="宋体" w:eastAsia="宋体" w:cs="宋体"/>
                <w:b w:val="0"/>
                <w:bCs w:val="0"/>
                <w:sz w:val="24"/>
                <w:szCs w:val="24"/>
                <w:highlight w:val="none"/>
              </w:rPr>
              <w:t>÷</w:t>
            </w:r>
            <w:r>
              <w:rPr>
                <w:rFonts w:hint="eastAsia" w:ascii="宋体" w:hAnsi="宋体" w:cs="宋体"/>
                <w:b w:val="0"/>
                <w:bCs w:val="0"/>
                <w:sz w:val="24"/>
                <w:szCs w:val="24"/>
                <w:highlight w:val="none"/>
                <w:lang w:val="en-US" w:eastAsia="zh-CN"/>
              </w:rPr>
              <w:t>1300000</w:t>
            </w:r>
            <w:r>
              <w:rPr>
                <w:rFonts w:hint="eastAsia" w:ascii="宋体" w:hAnsi="宋体" w:eastAsia="宋体" w:cs="宋体"/>
                <w:b w:val="0"/>
                <w:bCs w:val="0"/>
                <w:sz w:val="24"/>
                <w:szCs w:val="24"/>
                <w:highlight w:val="none"/>
              </w:rPr>
              <w:t>×100</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91.00%</w:t>
            </w:r>
          </w:p>
          <w:p w14:paraId="59806EDB">
            <w:pPr>
              <w:pageBreakBefore w:val="0"/>
              <w:numPr>
                <w:ilvl w:val="0"/>
                <w:numId w:val="0"/>
              </w:numPr>
              <w:kinsoku/>
              <w:overflowPunct/>
              <w:topLinePunct w:val="0"/>
              <w:bidi w:val="0"/>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月度结算价计算公式</w:t>
            </w:r>
          </w:p>
          <w:p w14:paraId="5CC5ED85">
            <w:pPr>
              <w:pageBreakBefore w:val="0"/>
              <w:numPr>
                <w:ilvl w:val="0"/>
                <w:numId w:val="0"/>
              </w:numPr>
              <w:kinsoku/>
              <w:overflowPunct/>
              <w:topLinePunct w:val="0"/>
              <w:bidi w:val="0"/>
              <w:spacing w:line="360" w:lineRule="auto"/>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月度结算价款＝市场</w:t>
            </w:r>
            <w:r>
              <w:rPr>
                <w:rFonts w:hint="eastAsia" w:ascii="宋体" w:hAnsi="宋体" w:cs="宋体"/>
                <w:kern w:val="2"/>
                <w:sz w:val="24"/>
                <w:szCs w:val="24"/>
                <w:lang w:val="en-US" w:eastAsia="zh-CN" w:bidi="ar-SA"/>
              </w:rPr>
              <w:t>调查</w:t>
            </w:r>
            <w:r>
              <w:rPr>
                <w:rFonts w:hint="eastAsia" w:ascii="宋体" w:hAnsi="宋体" w:eastAsia="宋体" w:cs="宋体"/>
                <w:kern w:val="2"/>
                <w:sz w:val="24"/>
                <w:szCs w:val="24"/>
                <w:lang w:val="en-US" w:eastAsia="zh-CN" w:bidi="ar-SA"/>
              </w:rPr>
              <w:t xml:space="preserve">价 × 成交折扣率 × 当期实际供货数量 </w:t>
            </w:r>
          </w:p>
          <w:p w14:paraId="56AB5519">
            <w:pPr>
              <w:widowControl/>
              <w:numPr>
                <w:ilvl w:val="0"/>
                <w:numId w:val="0"/>
              </w:numPr>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市场</w:t>
            </w:r>
            <w:r>
              <w:rPr>
                <w:rFonts w:hint="eastAsia" w:ascii="宋体" w:hAnsi="宋体" w:cs="宋体"/>
                <w:kern w:val="2"/>
                <w:sz w:val="24"/>
                <w:szCs w:val="24"/>
                <w:lang w:val="en-US" w:eastAsia="zh-CN" w:bidi="ar-SA"/>
              </w:rPr>
              <w:t>调查</w:t>
            </w:r>
            <w:r>
              <w:rPr>
                <w:rFonts w:hint="eastAsia" w:ascii="宋体" w:hAnsi="宋体" w:eastAsia="宋体" w:cs="宋体"/>
                <w:kern w:val="2"/>
                <w:sz w:val="24"/>
                <w:szCs w:val="24"/>
                <w:lang w:val="en-US" w:eastAsia="zh-CN" w:bidi="ar-SA"/>
              </w:rPr>
              <w:t>价的定价依据：</w:t>
            </w:r>
            <w:r>
              <w:rPr>
                <w:rFonts w:hint="eastAsia" w:ascii="宋体" w:hAnsi="宋体" w:cs="宋体"/>
                <w:kern w:val="2"/>
                <w:sz w:val="24"/>
                <w:szCs w:val="24"/>
                <w:lang w:val="en-US" w:eastAsia="zh-CN" w:bidi="ar-SA"/>
              </w:rPr>
              <w:t>采购</w:t>
            </w:r>
            <w:r>
              <w:rPr>
                <w:rFonts w:hint="eastAsia" w:ascii="宋体" w:hAnsi="宋体" w:eastAsia="宋体" w:cs="宋体"/>
                <w:kern w:val="2"/>
                <w:sz w:val="24"/>
                <w:szCs w:val="24"/>
                <w:lang w:val="en-US" w:eastAsia="zh-CN" w:bidi="ar-SA"/>
              </w:rPr>
              <w:t>人每月不定时组织市场调查，以</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所在区县大型商超、大型粮油店、农贸市场等任选1-3家同类货品平均价格（非活动价格）标示价为参考，实际以市场浮动作为基准。</w:t>
            </w:r>
          </w:p>
          <w:p w14:paraId="1C93732F">
            <w:pPr>
              <w:widowControl w:val="0"/>
              <w:autoSpaceDE w:val="0"/>
              <w:autoSpaceDN w:val="0"/>
              <w:adjustRightInd w:val="0"/>
              <w:spacing w:line="360" w:lineRule="auto"/>
              <w:ind w:firstLine="480" w:firstLineChars="200"/>
              <w:rPr>
                <w:rFonts w:ascii="宋体" w:hAnsi="宋体" w:cs="宋体"/>
                <w:spacing w:val="10"/>
                <w:kern w:val="2"/>
                <w:sz w:val="24"/>
                <w:szCs w:val="24"/>
              </w:rPr>
            </w:pPr>
            <w:r>
              <w:rPr>
                <w:rFonts w:hint="eastAsia" w:ascii="宋体" w:hAnsi="宋体" w:cs="宋体"/>
                <w:snapToGrid w:val="0"/>
                <w:color w:val="000000"/>
                <w:spacing w:val="0"/>
                <w:kern w:val="21"/>
                <w:sz w:val="24"/>
                <w:szCs w:val="24"/>
                <w:highlight w:val="none"/>
                <w:lang w:val="en-US" w:eastAsia="zh-CN"/>
              </w:rPr>
              <w:t>3</w:t>
            </w:r>
            <w:r>
              <w:rPr>
                <w:rFonts w:hint="eastAsia" w:ascii="宋体" w:hAnsi="宋体" w:eastAsia="宋体" w:cs="宋体"/>
                <w:snapToGrid w:val="0"/>
                <w:color w:val="000000"/>
                <w:spacing w:val="0"/>
                <w:kern w:val="21"/>
                <w:sz w:val="24"/>
                <w:szCs w:val="24"/>
                <w:highlight w:val="none"/>
                <w:lang w:val="en-US" w:eastAsia="zh-CN"/>
              </w:rPr>
              <w:t>.按成交折扣核算的实际支付价款，包含货物本身价款、配送至甲方指定点位的运输费、装卸费、货品调换产生的全部杂费，以及完成供货所需缴纳的全部税费。本项目预算总额仅为预估金额，不作为月度结算上限依据。</w:t>
            </w:r>
          </w:p>
        </w:tc>
      </w:tr>
    </w:tbl>
    <w:p w14:paraId="3D7D6E39">
      <w:pPr>
        <w:pStyle w:val="3"/>
        <w:spacing w:line="480" w:lineRule="auto"/>
        <w:rPr>
          <w:rFonts w:ascii="宋体" w:hAnsi="宋体" w:cs="宋体"/>
          <w:spacing w:val="10"/>
          <w:sz w:val="24"/>
          <w:szCs w:val="24"/>
        </w:rPr>
      </w:pPr>
      <w:r>
        <w:rPr>
          <w:rFonts w:hint="eastAsia" w:ascii="宋体" w:hAnsi="宋体" w:cs="宋体"/>
          <w:spacing w:val="10"/>
          <w:sz w:val="24"/>
          <w:szCs w:val="24"/>
        </w:rPr>
        <w:t>表中内容不允许缺项。</w:t>
      </w:r>
    </w:p>
    <w:p w14:paraId="47AA08AC">
      <w:pPr>
        <w:pStyle w:val="3"/>
        <w:ind w:firstLine="460" w:firstLineChars="200"/>
        <w:rPr>
          <w:rFonts w:ascii="宋体" w:hAnsi="宋体" w:cs="宋体"/>
          <w:spacing w:val="10"/>
          <w:szCs w:val="21"/>
        </w:rPr>
      </w:pPr>
      <w:r>
        <w:rPr>
          <w:rFonts w:hint="eastAsia" w:ascii="宋体" w:hAnsi="宋体" w:cs="宋体"/>
          <w:spacing w:val="10"/>
          <w:szCs w:val="21"/>
        </w:rPr>
        <w:t>说明：1、本表投标总价应与磋商文件中报价表的总报价一致。</w:t>
      </w:r>
    </w:p>
    <w:p w14:paraId="5A4566F0">
      <w:pPr>
        <w:pStyle w:val="3"/>
        <w:ind w:firstLine="460" w:firstLineChars="200"/>
        <w:rPr>
          <w:rFonts w:ascii="宋体" w:hAnsi="宋体" w:cs="宋体"/>
          <w:spacing w:val="10"/>
          <w:szCs w:val="21"/>
        </w:rPr>
      </w:pPr>
      <w:r>
        <w:rPr>
          <w:rFonts w:hint="eastAsia" w:ascii="宋体" w:hAnsi="宋体" w:cs="宋体"/>
          <w:spacing w:val="10"/>
          <w:szCs w:val="21"/>
        </w:rPr>
        <w:t>2、开标一览表中每个包只允许有一个磋商总报价。</w:t>
      </w:r>
    </w:p>
    <w:p w14:paraId="5EE1A4F2">
      <w:pPr>
        <w:widowControl w:val="0"/>
        <w:autoSpaceDE w:val="0"/>
        <w:autoSpaceDN w:val="0"/>
        <w:adjustRightInd w:val="0"/>
        <w:spacing w:line="360" w:lineRule="auto"/>
        <w:ind w:firstLine="420" w:firstLineChars="200"/>
        <w:rPr>
          <w:rFonts w:ascii="宋体" w:hAnsi="宋体" w:cs="宋体"/>
          <w:sz w:val="21"/>
          <w:szCs w:val="21"/>
        </w:rPr>
      </w:pPr>
      <w:r>
        <w:rPr>
          <w:rFonts w:hint="eastAsia" w:ascii="宋体" w:hAnsi="宋体" w:cs="宋体"/>
          <w:sz w:val="21"/>
          <w:szCs w:val="21"/>
        </w:rPr>
        <w:t xml:space="preserve">              </w:t>
      </w:r>
    </w:p>
    <w:p w14:paraId="7C6D8178">
      <w:pPr>
        <w:autoSpaceDE w:val="0"/>
        <w:autoSpaceDN w:val="0"/>
        <w:adjustRightInd w:val="0"/>
        <w:snapToGrid w:val="0"/>
        <w:spacing w:after="200" w:line="360" w:lineRule="auto"/>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（公章签章）</w:t>
      </w:r>
    </w:p>
    <w:p w14:paraId="0552939A">
      <w:pPr>
        <w:autoSpaceDE w:val="0"/>
        <w:autoSpaceDN w:val="0"/>
        <w:adjustRightInd w:val="0"/>
        <w:snapToGrid w:val="0"/>
        <w:spacing w:after="200" w:line="360" w:lineRule="auto"/>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rPr>
        <w:t>（签章）</w:t>
      </w:r>
    </w:p>
    <w:p w14:paraId="75E04963">
      <w:pPr>
        <w:autoSpaceDE w:val="0"/>
        <w:autoSpaceDN w:val="0"/>
        <w:adjustRightInd w:val="0"/>
        <w:snapToGrid w:val="0"/>
        <w:spacing w:after="200" w:line="360" w:lineRule="auto"/>
        <w:rPr>
          <w:rFonts w:ascii="宋体" w:hAnsi="宋体" w:cs="宋体"/>
          <w:b/>
          <w:bCs/>
          <w:sz w:val="28"/>
          <w:szCs w:val="28"/>
        </w:rPr>
      </w:pPr>
      <w:r>
        <w:rPr>
          <w:rFonts w:hint="eastAsia" w:ascii="宋体" w:hAnsi="宋体" w:cs="宋体"/>
          <w:sz w:val="24"/>
          <w:szCs w:val="24"/>
        </w:rPr>
        <w:t xml:space="preserve"> 日期：</w:t>
      </w:r>
    </w:p>
    <w:p w14:paraId="73B5B22C">
      <w:pPr>
        <w:rPr>
          <w:rFonts w:hint="eastAsia" w:ascii="宋体" w:hAnsi="宋体" w:cs="宋体"/>
          <w:b/>
          <w:sz w:val="24"/>
          <w:szCs w:val="24"/>
        </w:rPr>
      </w:pPr>
      <w:r>
        <w:rPr>
          <w:rFonts w:hint="eastAsia" w:ascii="宋体" w:hAnsi="宋体" w:cs="宋体"/>
          <w:b/>
          <w:sz w:val="24"/>
          <w:szCs w:val="24"/>
        </w:rPr>
        <w:br w:type="page"/>
      </w:r>
    </w:p>
    <w:p w14:paraId="3934E817">
      <w:pPr>
        <w:spacing w:line="360" w:lineRule="auto"/>
        <w:ind w:firstLine="2891" w:firstLineChars="1200"/>
        <w:jc w:val="both"/>
        <w:outlineLvl w:val="0"/>
        <w:rPr>
          <w:rFonts w:ascii="宋体" w:hAnsi="宋体" w:cs="宋体"/>
          <w:b/>
          <w:sz w:val="24"/>
          <w:szCs w:val="24"/>
        </w:rPr>
      </w:pPr>
      <w:bookmarkStart w:id="84" w:name="_Toc26576"/>
      <w:r>
        <w:rPr>
          <w:rFonts w:hint="eastAsia" w:ascii="宋体" w:hAnsi="宋体" w:cs="宋体"/>
          <w:b/>
          <w:sz w:val="24"/>
          <w:szCs w:val="24"/>
        </w:rPr>
        <w:t>三、法定代表人证明及授权书</w:t>
      </w:r>
      <w:bookmarkEnd w:id="84"/>
    </w:p>
    <w:p w14:paraId="4A95DE00">
      <w:pPr>
        <w:spacing w:line="360" w:lineRule="auto"/>
        <w:jc w:val="center"/>
        <w:rPr>
          <w:rFonts w:ascii="宋体" w:hAnsi="宋体" w:cs="宋体"/>
          <w:b/>
          <w:sz w:val="24"/>
          <w:szCs w:val="24"/>
        </w:rPr>
      </w:pPr>
      <w:r>
        <w:rPr>
          <w:rFonts w:hint="eastAsia" w:ascii="宋体" w:hAnsi="宋体" w:cs="宋体"/>
          <w:b/>
          <w:sz w:val="24"/>
          <w:szCs w:val="24"/>
        </w:rPr>
        <w:t>（一）法定代表人身份证明书</w:t>
      </w:r>
    </w:p>
    <w:p w14:paraId="43B394CB">
      <w:pPr>
        <w:spacing w:line="360" w:lineRule="auto"/>
        <w:jc w:val="both"/>
        <w:rPr>
          <w:rFonts w:ascii="宋体" w:hAnsi="宋体"/>
          <w:sz w:val="24"/>
          <w:szCs w:val="24"/>
        </w:rPr>
      </w:pPr>
      <w:r>
        <w:rPr>
          <w:rFonts w:hint="eastAsia" w:ascii="宋体" w:hAnsi="宋体" w:cs="宋体"/>
          <w:b/>
          <w:sz w:val="24"/>
          <w:szCs w:val="24"/>
        </w:rPr>
        <w:t xml:space="preserve"> </w:t>
      </w:r>
    </w:p>
    <w:p w14:paraId="197360B7">
      <w:pPr>
        <w:spacing w:line="360" w:lineRule="auto"/>
        <w:ind w:firstLine="610"/>
        <w:jc w:val="both"/>
        <w:rPr>
          <w:rFonts w:ascii="宋体" w:hAnsi="宋体"/>
          <w:sz w:val="24"/>
          <w:szCs w:val="24"/>
        </w:rPr>
      </w:pPr>
      <w:r>
        <w:rPr>
          <w:rFonts w:hint="eastAsia" w:ascii="宋体" w:hAnsi="宋体" w:cs="宋体"/>
          <w:sz w:val="24"/>
          <w:szCs w:val="24"/>
        </w:rPr>
        <w:t>单位名称：</w:t>
      </w:r>
      <w:r>
        <w:rPr>
          <w:rFonts w:hint="eastAsia" w:ascii="宋体" w:hAnsi="宋体" w:cs="宋体"/>
          <w:sz w:val="24"/>
          <w:szCs w:val="24"/>
          <w:u w:val="single"/>
        </w:rPr>
        <w:t xml:space="preserve">                     </w:t>
      </w:r>
    </w:p>
    <w:p w14:paraId="4B3D18AC">
      <w:pPr>
        <w:spacing w:line="360" w:lineRule="auto"/>
        <w:ind w:firstLine="610"/>
        <w:jc w:val="both"/>
        <w:rPr>
          <w:rFonts w:ascii="宋体" w:hAnsi="宋体"/>
          <w:sz w:val="24"/>
          <w:szCs w:val="24"/>
        </w:rPr>
      </w:pPr>
      <w:r>
        <w:rPr>
          <w:rFonts w:hint="eastAsia" w:ascii="宋体" w:hAnsi="宋体" w:cs="宋体"/>
          <w:sz w:val="24"/>
          <w:szCs w:val="24"/>
        </w:rPr>
        <w:t>单位性质：</w:t>
      </w:r>
      <w:r>
        <w:rPr>
          <w:rFonts w:hint="eastAsia" w:ascii="宋体" w:hAnsi="宋体" w:cs="宋体"/>
          <w:sz w:val="24"/>
          <w:szCs w:val="24"/>
          <w:u w:val="single"/>
        </w:rPr>
        <w:t xml:space="preserve">                       </w:t>
      </w:r>
    </w:p>
    <w:p w14:paraId="0941C7D9">
      <w:pPr>
        <w:spacing w:line="360" w:lineRule="auto"/>
        <w:ind w:firstLine="610"/>
        <w:jc w:val="both"/>
        <w:rPr>
          <w:rFonts w:ascii="宋体" w:hAnsi="宋体"/>
          <w:sz w:val="24"/>
          <w:szCs w:val="24"/>
        </w:rPr>
      </w:pPr>
      <w:r>
        <w:rPr>
          <w:rFonts w:hint="eastAsia" w:ascii="宋体" w:hAnsi="宋体" w:cs="宋体"/>
          <w:sz w:val="24"/>
          <w:szCs w:val="24"/>
        </w:rPr>
        <w:t>地 址：</w:t>
      </w:r>
      <w:r>
        <w:rPr>
          <w:rFonts w:hint="eastAsia" w:ascii="宋体" w:hAnsi="宋体" w:cs="宋体"/>
          <w:sz w:val="24"/>
          <w:szCs w:val="24"/>
          <w:u w:val="single"/>
        </w:rPr>
        <w:t xml:space="preserve">                         </w:t>
      </w:r>
    </w:p>
    <w:p w14:paraId="7C5CE9F6">
      <w:pPr>
        <w:spacing w:line="360" w:lineRule="auto"/>
        <w:ind w:firstLine="610"/>
        <w:jc w:val="both"/>
        <w:rPr>
          <w:rFonts w:ascii="宋体" w:hAnsi="宋体"/>
          <w:sz w:val="24"/>
          <w:szCs w:val="24"/>
        </w:rPr>
      </w:pPr>
      <w:r>
        <w:rPr>
          <w:rFonts w:hint="eastAsia" w:ascii="宋体" w:hAnsi="宋体" w:cs="宋体"/>
          <w:sz w:val="24"/>
          <w:szCs w:val="24"/>
        </w:rPr>
        <w:t>成立时间：年月日</w:t>
      </w:r>
    </w:p>
    <w:p w14:paraId="0888E835">
      <w:pPr>
        <w:spacing w:line="360" w:lineRule="auto"/>
        <w:ind w:firstLine="610"/>
        <w:jc w:val="both"/>
        <w:rPr>
          <w:rFonts w:ascii="宋体" w:hAnsi="宋体"/>
          <w:sz w:val="24"/>
          <w:szCs w:val="24"/>
        </w:rPr>
      </w:pPr>
      <w:r>
        <w:rPr>
          <w:rFonts w:hint="eastAsia" w:ascii="宋体" w:hAnsi="宋体" w:cs="宋体"/>
          <w:sz w:val="24"/>
          <w:szCs w:val="24"/>
        </w:rPr>
        <w:t>经营期限：</w:t>
      </w:r>
      <w:r>
        <w:rPr>
          <w:rFonts w:hint="eastAsia" w:ascii="宋体" w:hAnsi="宋体" w:cs="宋体"/>
          <w:sz w:val="24"/>
          <w:szCs w:val="24"/>
          <w:u w:val="single"/>
        </w:rPr>
        <w:t xml:space="preserve">       </w:t>
      </w:r>
    </w:p>
    <w:p w14:paraId="29D16778">
      <w:pPr>
        <w:spacing w:line="360" w:lineRule="auto"/>
        <w:ind w:firstLine="610"/>
        <w:jc w:val="both"/>
        <w:rPr>
          <w:rFonts w:ascii="宋体" w:hAnsi="宋体"/>
          <w:sz w:val="24"/>
          <w:szCs w:val="24"/>
        </w:rPr>
      </w:pPr>
      <w:r>
        <w:rPr>
          <w:rFonts w:hint="eastAsia" w:ascii="宋体" w:hAnsi="宋体" w:cs="宋体"/>
          <w:sz w:val="24"/>
          <w:szCs w:val="24"/>
        </w:rPr>
        <w:t>姓 名：性别：年龄：职务：</w:t>
      </w:r>
      <w:r>
        <w:rPr>
          <w:rFonts w:hint="eastAsia" w:ascii="宋体" w:hAnsi="宋体" w:cs="宋体"/>
          <w:sz w:val="24"/>
          <w:szCs w:val="24"/>
          <w:u w:val="single"/>
        </w:rPr>
        <w:t xml:space="preserve">       </w:t>
      </w:r>
    </w:p>
    <w:p w14:paraId="5D4B0A6B">
      <w:pPr>
        <w:spacing w:line="360" w:lineRule="auto"/>
        <w:ind w:firstLine="610"/>
        <w:jc w:val="both"/>
        <w:rPr>
          <w:rFonts w:ascii="宋体" w:hAnsi="宋体"/>
          <w:sz w:val="24"/>
          <w:szCs w:val="24"/>
        </w:rPr>
      </w:pPr>
      <w:r>
        <w:rPr>
          <w:rFonts w:hint="eastAsia" w:ascii="宋体" w:hAnsi="宋体" w:cs="宋体"/>
          <w:sz w:val="24"/>
          <w:szCs w:val="24"/>
        </w:rPr>
        <w:t>系</w:t>
      </w:r>
      <w:r>
        <w:rPr>
          <w:rFonts w:hint="eastAsia" w:ascii="宋体" w:hAnsi="宋体" w:cs="宋体"/>
          <w:sz w:val="24"/>
          <w:szCs w:val="24"/>
          <w:u w:val="single"/>
        </w:rPr>
        <w:t xml:space="preserve"> （供应商单位名称） </w:t>
      </w:r>
      <w:r>
        <w:rPr>
          <w:rFonts w:hint="eastAsia" w:ascii="宋体" w:hAnsi="宋体" w:cs="宋体"/>
          <w:sz w:val="24"/>
          <w:szCs w:val="24"/>
        </w:rPr>
        <w:t>的法定代表人。</w:t>
      </w:r>
    </w:p>
    <w:p w14:paraId="1CCE33F8">
      <w:pPr>
        <w:spacing w:line="360" w:lineRule="auto"/>
        <w:ind w:firstLine="610"/>
        <w:jc w:val="both"/>
        <w:rPr>
          <w:rFonts w:ascii="宋体" w:hAnsi="宋体"/>
          <w:sz w:val="24"/>
          <w:szCs w:val="24"/>
        </w:rPr>
      </w:pPr>
      <w:r>
        <w:rPr>
          <w:rFonts w:hint="eastAsia" w:ascii="宋体" w:hAnsi="宋体" w:cs="宋体"/>
          <w:sz w:val="24"/>
          <w:szCs w:val="24"/>
        </w:rPr>
        <w:t xml:space="preserve"> </w:t>
      </w:r>
    </w:p>
    <w:p w14:paraId="349B706F">
      <w:pPr>
        <w:spacing w:line="360" w:lineRule="auto"/>
        <w:ind w:firstLine="1090"/>
        <w:jc w:val="both"/>
        <w:rPr>
          <w:rFonts w:ascii="宋体" w:hAnsi="宋体"/>
          <w:sz w:val="24"/>
          <w:szCs w:val="24"/>
        </w:rPr>
      </w:pPr>
      <w:r>
        <w:rPr>
          <w:rFonts w:hint="eastAsia" w:ascii="宋体" w:hAnsi="宋体" w:cs="宋体"/>
          <w:sz w:val="24"/>
          <w:szCs w:val="24"/>
        </w:rPr>
        <w:t>特此证明。</w:t>
      </w:r>
    </w:p>
    <w:p w14:paraId="767742F2">
      <w:pPr>
        <w:spacing w:line="360" w:lineRule="auto"/>
        <w:ind w:firstLine="5040"/>
        <w:jc w:val="both"/>
        <w:rPr>
          <w:rFonts w:ascii="宋体" w:hAnsi="宋体" w:cs="宋体"/>
          <w:sz w:val="24"/>
          <w:szCs w:val="24"/>
        </w:rPr>
      </w:pPr>
    </w:p>
    <w:p w14:paraId="7519E8CA">
      <w:pPr>
        <w:spacing w:line="360" w:lineRule="auto"/>
        <w:ind w:firstLine="5040"/>
        <w:jc w:val="both"/>
        <w:rPr>
          <w:rFonts w:ascii="宋体" w:hAnsi="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（公章签章）</w:t>
      </w:r>
      <w:r>
        <w:rPr>
          <w:rFonts w:hint="eastAsia" w:ascii="宋体" w:hAnsi="宋体" w:cs="宋体"/>
          <w:sz w:val="24"/>
          <w:szCs w:val="24"/>
        </w:rPr>
        <w:t xml:space="preserve"> </w:t>
      </w:r>
    </w:p>
    <w:p w14:paraId="3CDBFCA0">
      <w:pPr>
        <w:spacing w:line="360" w:lineRule="auto"/>
        <w:ind w:firstLine="5040"/>
        <w:jc w:val="both"/>
        <w:rPr>
          <w:rFonts w:ascii="宋体" w:hAnsi="宋体"/>
          <w:sz w:val="24"/>
          <w:szCs w:val="24"/>
        </w:rPr>
      </w:pPr>
    </w:p>
    <w:p w14:paraId="2F2BC5F6">
      <w:pPr>
        <w:spacing w:line="360" w:lineRule="auto"/>
        <w:jc w:val="center"/>
        <w:rPr>
          <w:rFonts w:ascii="宋体" w:hAnsi="宋体" w:cs="宋体"/>
          <w:sz w:val="24"/>
          <w:szCs w:val="24"/>
        </w:rPr>
      </w:pPr>
      <w:r>
        <w:rPr>
          <w:rFonts w:hint="eastAsia" w:ascii="宋体" w:hAnsi="宋体" w:cs="宋体"/>
          <w:sz w:val="24"/>
          <w:szCs w:val="24"/>
        </w:rPr>
        <w:t xml:space="preserve">                       日 期：年月日</w:t>
      </w:r>
    </w:p>
    <w:p w14:paraId="7ED9A544">
      <w:pPr>
        <w:spacing w:line="360" w:lineRule="auto"/>
        <w:jc w:val="center"/>
        <w:rPr>
          <w:rFonts w:ascii="宋体" w:hAnsi="宋体" w:cs="宋体"/>
          <w:sz w:val="24"/>
          <w:szCs w:val="24"/>
        </w:rPr>
      </w:pPr>
      <w:r>
        <w:rPr>
          <w:rFonts w:hint="eastAsia" w:ascii="宋体" w:hAnsi="宋体" w:cs="宋体"/>
          <w:sz w:val="24"/>
          <w:szCs w:val="24"/>
        </w:rPr>
        <w:t xml:space="preserve"> </w:t>
      </w:r>
    </w:p>
    <w:p w14:paraId="21F989E1">
      <w:pPr>
        <w:rPr>
          <w:rFonts w:hint="eastAsia" w:ascii="宋体" w:hAnsi="宋体" w:cs="宋体"/>
          <w:b/>
          <w:sz w:val="24"/>
          <w:szCs w:val="24"/>
        </w:rPr>
      </w:pPr>
      <w:r>
        <w:rPr>
          <w:rFonts w:hint="eastAsia" w:ascii="宋体" w:hAnsi="宋体" w:cs="宋体"/>
          <w:b/>
          <w:sz w:val="24"/>
          <w:szCs w:val="24"/>
        </w:rPr>
        <w:br w:type="page"/>
      </w:r>
    </w:p>
    <w:p w14:paraId="0D5A90B7">
      <w:pPr>
        <w:spacing w:line="360" w:lineRule="auto"/>
        <w:jc w:val="center"/>
        <w:rPr>
          <w:rFonts w:ascii="宋体" w:hAnsi="宋体"/>
          <w:sz w:val="24"/>
          <w:szCs w:val="24"/>
        </w:rPr>
      </w:pPr>
      <w:r>
        <w:rPr>
          <w:rFonts w:hint="eastAsia" w:ascii="宋体" w:hAnsi="宋体" w:cs="宋体"/>
          <w:b/>
          <w:sz w:val="24"/>
          <w:szCs w:val="24"/>
        </w:rPr>
        <w:t>（二） 法定代表人授权书</w:t>
      </w:r>
    </w:p>
    <w:p w14:paraId="57FEA6DB">
      <w:pPr>
        <w:snapToGrid w:val="0"/>
        <w:spacing w:line="360" w:lineRule="auto"/>
        <w:ind w:firstLine="480" w:firstLineChars="200"/>
        <w:rPr>
          <w:rFonts w:ascii="宋体" w:hAnsi="宋体"/>
          <w:sz w:val="24"/>
          <w:szCs w:val="24"/>
        </w:rPr>
      </w:pPr>
      <w:r>
        <w:rPr>
          <w:rFonts w:hint="eastAsia" w:ascii="宋体" w:hAnsi="宋体"/>
          <w:sz w:val="24"/>
          <w:szCs w:val="24"/>
        </w:rPr>
        <w:t>本授权书声明：注册于</w:t>
      </w:r>
      <w:r>
        <w:rPr>
          <w:rFonts w:hint="eastAsia" w:ascii="宋体" w:hAnsi="宋体"/>
          <w:sz w:val="24"/>
          <w:szCs w:val="24"/>
          <w:u w:val="single"/>
        </w:rPr>
        <w:t xml:space="preserve">     注册地址      </w:t>
      </w:r>
      <w:r>
        <w:rPr>
          <w:rFonts w:hint="eastAsia" w:ascii="宋体" w:hAnsi="宋体"/>
          <w:sz w:val="24"/>
          <w:szCs w:val="24"/>
        </w:rPr>
        <w:t xml:space="preserve"> 的</w:t>
      </w:r>
      <w:r>
        <w:rPr>
          <w:rFonts w:hint="eastAsia" w:ascii="宋体" w:hAnsi="宋体"/>
          <w:sz w:val="24"/>
          <w:szCs w:val="24"/>
          <w:u w:val="single"/>
        </w:rPr>
        <w:t xml:space="preserve">     公司名称     </w:t>
      </w:r>
      <w:r>
        <w:rPr>
          <w:rFonts w:hint="eastAsia" w:ascii="宋体" w:hAnsi="宋体"/>
          <w:sz w:val="24"/>
          <w:szCs w:val="24"/>
        </w:rPr>
        <w:t>的在下面签字的</w:t>
      </w:r>
      <w:r>
        <w:rPr>
          <w:rFonts w:hint="eastAsia" w:ascii="宋体" w:hAnsi="宋体"/>
          <w:sz w:val="24"/>
          <w:szCs w:val="24"/>
          <w:u w:val="single"/>
        </w:rPr>
        <w:t xml:space="preserve"> 法人姓名  </w:t>
      </w:r>
      <w:r>
        <w:rPr>
          <w:rFonts w:hint="eastAsia" w:ascii="宋体" w:hAnsi="宋体"/>
          <w:sz w:val="24"/>
          <w:szCs w:val="24"/>
        </w:rPr>
        <w:t>代表本公司授权</w:t>
      </w:r>
      <w:r>
        <w:rPr>
          <w:rFonts w:hint="eastAsia" w:ascii="宋体" w:hAnsi="宋体"/>
          <w:sz w:val="24"/>
          <w:szCs w:val="24"/>
          <w:u w:val="single"/>
        </w:rPr>
        <w:t xml:space="preserve">  公司名称   </w:t>
      </w:r>
      <w:r>
        <w:rPr>
          <w:rFonts w:hint="eastAsia" w:ascii="宋体" w:hAnsi="宋体"/>
          <w:sz w:val="24"/>
          <w:szCs w:val="24"/>
        </w:rPr>
        <w:t>的在下面签字的</w:t>
      </w:r>
      <w:r>
        <w:rPr>
          <w:rFonts w:hint="eastAsia" w:ascii="宋体" w:hAnsi="宋体"/>
          <w:sz w:val="24"/>
          <w:szCs w:val="24"/>
          <w:u w:val="single"/>
        </w:rPr>
        <w:t xml:space="preserve">   受权人姓名称  </w:t>
      </w:r>
      <w:r>
        <w:rPr>
          <w:rFonts w:hint="eastAsia" w:ascii="宋体" w:hAnsi="宋体"/>
          <w:sz w:val="24"/>
          <w:szCs w:val="24"/>
        </w:rPr>
        <w:t>为本公司的合法代理人，就</w:t>
      </w:r>
      <w:r>
        <w:rPr>
          <w:rFonts w:hint="eastAsia" w:ascii="宋体" w:hAnsi="宋体"/>
          <w:sz w:val="24"/>
          <w:szCs w:val="24"/>
          <w:u w:val="single"/>
        </w:rPr>
        <w:t xml:space="preserve"> 项目名称  </w:t>
      </w:r>
      <w:r>
        <w:rPr>
          <w:rFonts w:hint="eastAsia" w:ascii="宋体" w:hAnsi="宋体"/>
          <w:sz w:val="24"/>
          <w:szCs w:val="24"/>
        </w:rPr>
        <w:t xml:space="preserve">的投标，以本公司名义处理一切与之有关的事务。 </w:t>
      </w:r>
    </w:p>
    <w:p w14:paraId="760B97FF">
      <w:pPr>
        <w:spacing w:line="360" w:lineRule="auto"/>
        <w:ind w:firstLine="480" w:firstLineChars="200"/>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月 </w:t>
      </w:r>
      <w:r>
        <w:rPr>
          <w:rFonts w:hint="eastAsia" w:ascii="宋体" w:hAnsi="宋体"/>
          <w:sz w:val="24"/>
          <w:szCs w:val="24"/>
          <w:u w:val="single"/>
        </w:rPr>
        <w:t xml:space="preserve">  </w:t>
      </w:r>
      <w:r>
        <w:rPr>
          <w:rFonts w:hint="eastAsia" w:ascii="宋体" w:hAnsi="宋体"/>
          <w:sz w:val="24"/>
          <w:szCs w:val="24"/>
        </w:rPr>
        <w:t>日签字生效， 特此声明。</w:t>
      </w:r>
    </w:p>
    <w:p w14:paraId="4E1AA26B">
      <w:pPr>
        <w:spacing w:line="360" w:lineRule="auto"/>
        <w:ind w:firstLine="480" w:firstLineChars="200"/>
        <w:rPr>
          <w:rFonts w:ascii="宋体" w:hAnsi="宋体"/>
          <w:sz w:val="24"/>
          <w:szCs w:val="24"/>
        </w:rPr>
      </w:pPr>
      <w:r>
        <w:rPr>
          <w:rFonts w:hint="eastAsia" w:ascii="宋体" w:hAnsi="宋体"/>
          <w:sz w:val="24"/>
          <w:szCs w:val="24"/>
        </w:rPr>
        <w:t>附：法定代表人身份证明和委托人身份证明</w:t>
      </w:r>
    </w:p>
    <w:p w14:paraId="7695CB3D">
      <w:pPr>
        <w:spacing w:line="360" w:lineRule="auto"/>
        <w:ind w:firstLine="480" w:firstLineChars="200"/>
        <w:rPr>
          <w:rFonts w:ascii="宋体" w:hAnsi="宋体"/>
          <w:sz w:val="24"/>
          <w:szCs w:val="24"/>
        </w:rPr>
      </w:pPr>
      <w:r>
        <w:rPr>
          <w:rFonts w:hint="eastAsia" w:ascii="宋体" w:hAnsi="宋体"/>
          <w:sz w:val="24"/>
          <w:szCs w:val="24"/>
        </w:rPr>
        <w:t xml:space="preserve"> </w:t>
      </w:r>
    </w:p>
    <w:p w14:paraId="2A205B58">
      <w:pPr>
        <w:spacing w:line="360" w:lineRule="auto"/>
        <w:rPr>
          <w:rFonts w:ascii="宋体" w:hAnsi="宋体"/>
          <w:sz w:val="24"/>
          <w:szCs w:val="24"/>
        </w:rPr>
      </w:pPr>
      <w:r>
        <w:rPr>
          <w:rFonts w:hint="eastAsia" w:ascii="宋体" w:hAnsi="宋体"/>
          <w:sz w:val="24"/>
          <w:szCs w:val="24"/>
        </w:rPr>
        <w:t>供应商：（公章签章）</w:t>
      </w:r>
    </w:p>
    <w:p w14:paraId="2B8C0C7E">
      <w:pPr>
        <w:spacing w:line="360" w:lineRule="auto"/>
        <w:rPr>
          <w:rFonts w:ascii="宋体" w:hAnsi="宋体"/>
          <w:sz w:val="24"/>
          <w:szCs w:val="24"/>
          <w:u w:val="single"/>
        </w:rPr>
      </w:pPr>
      <w:r>
        <w:rPr>
          <w:rFonts w:hint="eastAsia" w:ascii="宋体" w:hAnsi="宋体"/>
          <w:sz w:val="24"/>
          <w:szCs w:val="24"/>
        </w:rPr>
        <w:t>法定代表人：（签章）                        　　　　</w:t>
      </w:r>
    </w:p>
    <w:p w14:paraId="0BCEA3E0">
      <w:pPr>
        <w:spacing w:line="360" w:lineRule="auto"/>
        <w:rPr>
          <w:rFonts w:ascii="宋体" w:hAnsi="宋体"/>
          <w:sz w:val="24"/>
          <w:szCs w:val="24"/>
        </w:rPr>
      </w:pPr>
      <w:r>
        <w:rPr>
          <w:rFonts w:hint="eastAsia" w:ascii="宋体" w:hAnsi="宋体"/>
          <w:sz w:val="24"/>
          <w:szCs w:val="24"/>
        </w:rPr>
        <w:t xml:space="preserve">身份证号码：  </w:t>
      </w:r>
      <w:r>
        <w:rPr>
          <w:rFonts w:hint="eastAsia" w:ascii="宋体" w:hAnsi="宋体"/>
          <w:sz w:val="24"/>
          <w:szCs w:val="24"/>
          <w:u w:val="single"/>
        </w:rPr>
        <w:t xml:space="preserve">                            </w:t>
      </w:r>
      <w:r>
        <w:rPr>
          <w:rFonts w:hint="eastAsia" w:ascii="宋体" w:hAnsi="宋体"/>
          <w:sz w:val="24"/>
          <w:szCs w:val="24"/>
        </w:rPr>
        <w:t xml:space="preserve"> </w:t>
      </w:r>
    </w:p>
    <w:p w14:paraId="7B9A007E">
      <w:pPr>
        <w:spacing w:line="360" w:lineRule="auto"/>
        <w:rPr>
          <w:rFonts w:ascii="宋体" w:hAnsi="宋体"/>
          <w:sz w:val="24"/>
          <w:szCs w:val="24"/>
          <w:u w:val="single"/>
        </w:rPr>
      </w:pPr>
      <w:r>
        <w:rPr>
          <w:rFonts w:hint="eastAsia" w:ascii="宋体" w:hAnsi="宋体"/>
          <w:sz w:val="24"/>
          <w:szCs w:val="24"/>
        </w:rPr>
        <w:t>委托代理人：</w:t>
      </w:r>
      <w:r>
        <w:rPr>
          <w:rFonts w:hint="eastAsia" w:ascii="宋体" w:hAnsi="宋体"/>
          <w:sz w:val="24"/>
          <w:szCs w:val="24"/>
          <w:u w:val="single"/>
        </w:rPr>
        <w:t xml:space="preserve">                           </w:t>
      </w:r>
    </w:p>
    <w:p w14:paraId="561FFC36">
      <w:pPr>
        <w:spacing w:line="360" w:lineRule="auto"/>
        <w:jc w:val="both"/>
        <w:rPr>
          <w:rFonts w:ascii="宋体" w:hAnsi="宋体" w:cs="宋体"/>
          <w:b/>
          <w:sz w:val="24"/>
          <w:szCs w:val="24"/>
        </w:rPr>
      </w:pPr>
      <w:r>
        <w:rPr>
          <w:rFonts w:hint="eastAsia" w:ascii="宋体" w:hAnsi="宋体"/>
          <w:sz w:val="24"/>
          <w:szCs w:val="24"/>
        </w:rPr>
        <w:t xml:space="preserve">身份证号码：   </w:t>
      </w:r>
    </w:p>
    <w:p w14:paraId="1268D6A9">
      <w:pPr>
        <w:spacing w:line="360" w:lineRule="auto"/>
        <w:jc w:val="both"/>
        <w:rPr>
          <w:rFonts w:ascii="宋体" w:hAnsi="宋体" w:cs="宋体"/>
          <w:bCs/>
          <w:sz w:val="24"/>
          <w:szCs w:val="24"/>
        </w:rPr>
      </w:pPr>
      <w:r>
        <w:rPr>
          <w:rFonts w:hint="eastAsia" w:ascii="宋体" w:hAnsi="宋体" w:cs="宋体"/>
          <w:bCs/>
          <w:sz w:val="24"/>
          <w:szCs w:val="24"/>
        </w:rPr>
        <w:t>联系方式：</w:t>
      </w:r>
    </w:p>
    <w:p w14:paraId="07D1B384">
      <w:pPr>
        <w:spacing w:line="360" w:lineRule="auto"/>
        <w:jc w:val="both"/>
        <w:rPr>
          <w:rFonts w:ascii="宋体" w:hAnsi="宋体" w:cs="宋体"/>
          <w:b/>
          <w:sz w:val="24"/>
          <w:szCs w:val="24"/>
        </w:rPr>
      </w:pPr>
      <w:r>
        <w:rPr>
          <w:rFonts w:hint="eastAsia" w:ascii="宋体" w:hAnsi="宋体" w:cs="宋体"/>
          <w:b/>
          <w:sz w:val="24"/>
          <w:szCs w:val="24"/>
        </w:rPr>
        <w:t xml:space="preserve">                                       年  月  日</w:t>
      </w:r>
    </w:p>
    <w:p w14:paraId="328BCE5A">
      <w:pPr>
        <w:widowControl w:val="0"/>
        <w:spacing w:line="360" w:lineRule="auto"/>
        <w:ind w:firstLine="3410" w:firstLineChars="1421"/>
        <w:jc w:val="both"/>
        <w:rPr>
          <w:rFonts w:ascii="宋体" w:hAnsi="宋体"/>
          <w:sz w:val="24"/>
          <w:szCs w:val="24"/>
        </w:rPr>
      </w:pPr>
      <w:bookmarkStart w:id="85" w:name="_Toc90712554"/>
      <w:bookmarkEnd w:id="85"/>
      <w:bookmarkStart w:id="86" w:name="_Toc90713373"/>
      <w:bookmarkEnd w:id="86"/>
      <w:bookmarkStart w:id="87" w:name="_Hlk450185103"/>
      <w:bookmarkEnd w:id="87"/>
      <w:bookmarkStart w:id="88" w:name="_Toc269219203"/>
      <w:bookmarkEnd w:id="88"/>
      <w:bookmarkStart w:id="89" w:name="_Toc87621074"/>
      <w:bookmarkEnd w:id="89"/>
      <w:bookmarkStart w:id="90" w:name="_Toc461977433"/>
      <w:r>
        <w:rPr>
          <w:rFonts w:hint="eastAsia" w:ascii="宋体" w:hAnsi="宋体"/>
          <w:kern w:val="2"/>
          <w:sz w:val="24"/>
          <w:szCs w:val="24"/>
        </w:rPr>
        <w:t xml:space="preserve"> </w:t>
      </w:r>
      <w:bookmarkEnd w:id="90"/>
    </w:p>
    <w:p w14:paraId="7C21F1DC">
      <w:pPr>
        <w:widowControl w:val="0"/>
        <w:spacing w:line="360" w:lineRule="auto"/>
        <w:ind w:firstLine="3410" w:firstLineChars="1421"/>
        <w:jc w:val="both"/>
        <w:rPr>
          <w:rFonts w:ascii="宋体" w:hAnsi="宋体"/>
          <w:sz w:val="24"/>
          <w:szCs w:val="24"/>
        </w:rPr>
      </w:pPr>
      <w:r>
        <w:rPr>
          <w:rFonts w:hint="eastAsia" w:ascii="宋体" w:hAnsi="宋体"/>
          <w:kern w:val="2"/>
          <w:sz w:val="24"/>
          <w:szCs w:val="24"/>
        </w:rPr>
        <w:t xml:space="preserve"> </w:t>
      </w:r>
    </w:p>
    <w:p w14:paraId="2FDADB8B">
      <w:pPr>
        <w:widowControl w:val="0"/>
        <w:spacing w:line="360" w:lineRule="auto"/>
        <w:ind w:firstLine="3410" w:firstLineChars="1421"/>
        <w:jc w:val="both"/>
        <w:rPr>
          <w:rFonts w:ascii="宋体" w:hAnsi="宋体" w:cs="宋体"/>
          <w:kern w:val="2"/>
          <w:sz w:val="24"/>
          <w:szCs w:val="24"/>
        </w:rPr>
      </w:pPr>
    </w:p>
    <w:p w14:paraId="163CB7BD">
      <w:pPr>
        <w:widowControl w:val="0"/>
        <w:spacing w:line="360" w:lineRule="auto"/>
        <w:ind w:firstLine="3410" w:firstLineChars="1421"/>
        <w:jc w:val="both"/>
        <w:rPr>
          <w:rFonts w:ascii="宋体" w:hAnsi="宋体" w:cs="宋体"/>
          <w:kern w:val="2"/>
          <w:sz w:val="24"/>
          <w:szCs w:val="24"/>
        </w:rPr>
      </w:pPr>
    </w:p>
    <w:p w14:paraId="61EB1179">
      <w:pPr>
        <w:widowControl w:val="0"/>
        <w:spacing w:line="360" w:lineRule="auto"/>
        <w:ind w:firstLine="3424" w:firstLineChars="1421"/>
        <w:jc w:val="center"/>
        <w:rPr>
          <w:rFonts w:ascii="宋体" w:hAnsi="宋体" w:cs="宋体"/>
          <w:b/>
          <w:sz w:val="24"/>
          <w:szCs w:val="24"/>
        </w:rPr>
      </w:pPr>
    </w:p>
    <w:p w14:paraId="0C4A7E38">
      <w:pPr>
        <w:widowControl w:val="0"/>
        <w:spacing w:line="360" w:lineRule="auto"/>
        <w:jc w:val="center"/>
        <w:outlineLvl w:val="9"/>
        <w:rPr>
          <w:rFonts w:ascii="宋体" w:hAnsi="宋体" w:cs="宋体"/>
          <w:b/>
          <w:sz w:val="24"/>
          <w:szCs w:val="24"/>
        </w:rPr>
      </w:pPr>
      <w:bookmarkStart w:id="91" w:name="_Toc269219204"/>
      <w:bookmarkEnd w:id="91"/>
      <w:bookmarkStart w:id="92" w:name="_Toc461977434"/>
    </w:p>
    <w:p w14:paraId="60CAFDE4">
      <w:pPr>
        <w:widowControl w:val="0"/>
        <w:spacing w:line="360" w:lineRule="auto"/>
        <w:jc w:val="center"/>
        <w:outlineLvl w:val="9"/>
        <w:rPr>
          <w:rFonts w:ascii="宋体" w:hAnsi="宋体" w:cs="宋体"/>
          <w:b/>
          <w:sz w:val="24"/>
          <w:szCs w:val="24"/>
        </w:rPr>
      </w:pPr>
    </w:p>
    <w:p w14:paraId="5A575ADE">
      <w:pPr>
        <w:widowControl w:val="0"/>
        <w:spacing w:line="360" w:lineRule="auto"/>
        <w:jc w:val="both"/>
        <w:outlineLvl w:val="9"/>
        <w:rPr>
          <w:rFonts w:ascii="宋体" w:hAnsi="宋体" w:cs="宋体"/>
          <w:b/>
          <w:sz w:val="24"/>
          <w:szCs w:val="24"/>
        </w:rPr>
      </w:pPr>
    </w:p>
    <w:p w14:paraId="44F05D52">
      <w:pPr>
        <w:pStyle w:val="7"/>
        <w:rPr>
          <w:rFonts w:ascii="宋体" w:hAnsi="宋体" w:cs="宋体"/>
          <w:b/>
          <w:sz w:val="24"/>
        </w:rPr>
      </w:pPr>
    </w:p>
    <w:p w14:paraId="2E21CE3A">
      <w:pPr>
        <w:pStyle w:val="2"/>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ascii="宋体" w:hAnsi="宋体" w:cs="宋体"/>
          <w:b w:val="0"/>
          <w:bCs/>
          <w:sz w:val="28"/>
          <w:szCs w:val="22"/>
        </w:rPr>
      </w:pPr>
      <w:r>
        <w:rPr>
          <w:rFonts w:hint="eastAsia" w:ascii="宋体" w:hAnsi="宋体" w:cs="宋体"/>
          <w:b/>
          <w:sz w:val="24"/>
          <w:szCs w:val="24"/>
        </w:rPr>
        <w:br w:type="page"/>
      </w:r>
      <w:bookmarkEnd w:id="92"/>
      <w:r>
        <w:rPr>
          <w:rFonts w:hint="eastAsia" w:ascii="宋体" w:hAnsi="宋体" w:cs="宋体"/>
          <w:b/>
          <w:sz w:val="32"/>
          <w:szCs w:val="32"/>
          <w:lang w:val="en-US" w:eastAsia="zh-CN"/>
        </w:rPr>
        <w:t>四、</w:t>
      </w:r>
      <w:r>
        <w:rPr>
          <w:rFonts w:hint="eastAsia"/>
          <w:sz w:val="32"/>
          <w:szCs w:val="32"/>
        </w:rPr>
        <w:t>资格审查资料</w:t>
      </w:r>
    </w:p>
    <w:p w14:paraId="763EBA07">
      <w:pPr>
        <w:pStyle w:val="2"/>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ascii="宋体" w:hAnsi="宋体" w:cs="宋体"/>
          <w:b w:val="0"/>
          <w:bCs/>
          <w:sz w:val="28"/>
          <w:szCs w:val="22"/>
        </w:rPr>
      </w:pPr>
      <w:r>
        <w:rPr>
          <w:rFonts w:hint="eastAsia" w:ascii="宋体" w:hAnsi="宋体" w:cs="宋体"/>
          <w:b w:val="0"/>
          <w:bCs/>
          <w:sz w:val="28"/>
          <w:szCs w:val="22"/>
        </w:rPr>
        <w:t>（一）</w:t>
      </w:r>
      <w:r>
        <w:rPr>
          <w:rFonts w:hint="eastAsia" w:ascii="宋体" w:hAnsi="宋体" w:cs="宋体"/>
          <w:b w:val="0"/>
          <w:bCs/>
          <w:sz w:val="28"/>
          <w:szCs w:val="22"/>
          <w:lang w:val="en-US" w:eastAsia="zh-CN"/>
        </w:rPr>
        <w:t>供应商</w:t>
      </w:r>
      <w:r>
        <w:rPr>
          <w:rFonts w:hint="eastAsia" w:ascii="宋体" w:hAnsi="宋体" w:cs="宋体"/>
          <w:b w:val="0"/>
          <w:bCs/>
          <w:sz w:val="28"/>
          <w:szCs w:val="22"/>
        </w:rPr>
        <w:t>基本情况表</w:t>
      </w:r>
    </w:p>
    <w:tbl>
      <w:tblPr>
        <w:tblStyle w:val="17"/>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61"/>
        <w:gridCol w:w="1117"/>
        <w:gridCol w:w="1428"/>
        <w:gridCol w:w="1625"/>
        <w:gridCol w:w="1247"/>
        <w:gridCol w:w="2033"/>
      </w:tblGrid>
      <w:tr w14:paraId="2D09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7E634510">
            <w:pPr>
              <w:spacing w:line="500" w:lineRule="exact"/>
              <w:ind w:left="0" w:leftChars="0" w:firstLine="0" w:firstLineChars="0"/>
              <w:jc w:val="center"/>
              <w:rPr>
                <w:rFonts w:ascii="宋体" w:hAnsi="宋体" w:cs="宋体"/>
                <w:sz w:val="24"/>
                <w:szCs w:val="21"/>
              </w:rPr>
            </w:pPr>
            <w:r>
              <w:rPr>
                <w:rFonts w:hint="eastAsia" w:ascii="宋体" w:hAnsi="宋体" w:cs="宋体"/>
                <w:sz w:val="24"/>
                <w:szCs w:val="21"/>
              </w:rPr>
              <w:t>供应商名称</w:t>
            </w:r>
          </w:p>
        </w:tc>
        <w:tc>
          <w:tcPr>
            <w:tcW w:w="7450" w:type="dxa"/>
            <w:gridSpan w:val="5"/>
            <w:noWrap/>
            <w:vAlign w:val="center"/>
          </w:tcPr>
          <w:p w14:paraId="13EC1A46">
            <w:pPr>
              <w:spacing w:line="500" w:lineRule="exact"/>
              <w:jc w:val="center"/>
              <w:rPr>
                <w:rFonts w:ascii="宋体" w:hAnsi="宋体" w:cs="宋体"/>
                <w:sz w:val="24"/>
                <w:szCs w:val="21"/>
              </w:rPr>
            </w:pPr>
          </w:p>
        </w:tc>
      </w:tr>
      <w:tr w14:paraId="0D60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69DF522A">
            <w:pPr>
              <w:spacing w:line="500" w:lineRule="exact"/>
              <w:ind w:left="0" w:leftChars="0" w:firstLine="0" w:firstLineChars="0"/>
              <w:jc w:val="center"/>
              <w:rPr>
                <w:rFonts w:ascii="宋体" w:hAnsi="宋体" w:cs="宋体"/>
                <w:sz w:val="24"/>
                <w:szCs w:val="21"/>
              </w:rPr>
            </w:pPr>
            <w:r>
              <w:rPr>
                <w:rFonts w:hint="eastAsia" w:ascii="宋体" w:hAnsi="宋体" w:cs="宋体"/>
                <w:sz w:val="24"/>
                <w:szCs w:val="21"/>
              </w:rPr>
              <w:t>注册地址</w:t>
            </w:r>
          </w:p>
        </w:tc>
        <w:tc>
          <w:tcPr>
            <w:tcW w:w="4170" w:type="dxa"/>
            <w:gridSpan w:val="3"/>
            <w:noWrap/>
            <w:vAlign w:val="center"/>
          </w:tcPr>
          <w:p w14:paraId="09DF51CC">
            <w:pPr>
              <w:spacing w:line="500" w:lineRule="exact"/>
              <w:jc w:val="center"/>
              <w:rPr>
                <w:rFonts w:ascii="宋体" w:hAnsi="宋体" w:cs="宋体"/>
                <w:sz w:val="24"/>
                <w:szCs w:val="21"/>
              </w:rPr>
            </w:pPr>
          </w:p>
        </w:tc>
        <w:tc>
          <w:tcPr>
            <w:tcW w:w="1247" w:type="dxa"/>
            <w:noWrap/>
            <w:vAlign w:val="center"/>
          </w:tcPr>
          <w:p w14:paraId="23198E15">
            <w:pPr>
              <w:spacing w:line="500" w:lineRule="exact"/>
              <w:ind w:left="0" w:leftChars="0" w:firstLine="0" w:firstLineChars="0"/>
              <w:jc w:val="center"/>
              <w:rPr>
                <w:rFonts w:ascii="宋体" w:hAnsi="宋体" w:cs="宋体"/>
                <w:sz w:val="24"/>
                <w:szCs w:val="21"/>
              </w:rPr>
            </w:pPr>
            <w:r>
              <w:rPr>
                <w:rFonts w:hint="eastAsia" w:ascii="宋体" w:hAnsi="宋体" w:cs="宋体"/>
                <w:sz w:val="24"/>
                <w:szCs w:val="21"/>
              </w:rPr>
              <w:t>邮政编码</w:t>
            </w:r>
          </w:p>
        </w:tc>
        <w:tc>
          <w:tcPr>
            <w:tcW w:w="2033" w:type="dxa"/>
            <w:noWrap/>
            <w:vAlign w:val="center"/>
          </w:tcPr>
          <w:p w14:paraId="368DFC3A">
            <w:pPr>
              <w:spacing w:line="500" w:lineRule="exact"/>
              <w:jc w:val="center"/>
              <w:rPr>
                <w:rFonts w:ascii="宋体" w:hAnsi="宋体" w:cs="宋体"/>
                <w:sz w:val="24"/>
                <w:szCs w:val="21"/>
              </w:rPr>
            </w:pPr>
          </w:p>
        </w:tc>
      </w:tr>
      <w:tr w14:paraId="2288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5" w:hRule="atLeast"/>
          <w:jc w:val="center"/>
        </w:trPr>
        <w:tc>
          <w:tcPr>
            <w:tcW w:w="1761" w:type="dxa"/>
            <w:vMerge w:val="restart"/>
            <w:noWrap/>
            <w:vAlign w:val="center"/>
          </w:tcPr>
          <w:p w14:paraId="4E8D6360">
            <w:pPr>
              <w:spacing w:line="500" w:lineRule="exact"/>
              <w:ind w:left="0" w:leftChars="0" w:firstLine="0" w:firstLineChars="0"/>
              <w:jc w:val="center"/>
              <w:rPr>
                <w:rFonts w:ascii="宋体" w:hAnsi="宋体" w:cs="宋体"/>
                <w:sz w:val="24"/>
                <w:szCs w:val="21"/>
              </w:rPr>
            </w:pPr>
            <w:r>
              <w:rPr>
                <w:rFonts w:hint="eastAsia" w:ascii="宋体" w:hAnsi="宋体" w:cs="宋体"/>
                <w:sz w:val="24"/>
                <w:szCs w:val="21"/>
              </w:rPr>
              <w:t>联系方式</w:t>
            </w:r>
          </w:p>
        </w:tc>
        <w:tc>
          <w:tcPr>
            <w:tcW w:w="1117" w:type="dxa"/>
            <w:noWrap/>
            <w:vAlign w:val="center"/>
          </w:tcPr>
          <w:p w14:paraId="61A655C9">
            <w:pPr>
              <w:spacing w:line="500" w:lineRule="exact"/>
              <w:ind w:left="0" w:leftChars="0" w:firstLine="0" w:firstLineChars="0"/>
              <w:jc w:val="center"/>
              <w:rPr>
                <w:rFonts w:ascii="宋体" w:hAnsi="宋体" w:cs="宋体"/>
                <w:sz w:val="24"/>
                <w:szCs w:val="21"/>
              </w:rPr>
            </w:pPr>
            <w:r>
              <w:rPr>
                <w:rFonts w:hint="eastAsia" w:ascii="宋体" w:hAnsi="宋体" w:cs="宋体"/>
                <w:sz w:val="24"/>
                <w:szCs w:val="21"/>
              </w:rPr>
              <w:t>联系人</w:t>
            </w:r>
          </w:p>
        </w:tc>
        <w:tc>
          <w:tcPr>
            <w:tcW w:w="3053" w:type="dxa"/>
            <w:gridSpan w:val="2"/>
            <w:noWrap/>
            <w:vAlign w:val="center"/>
          </w:tcPr>
          <w:p w14:paraId="2AE27609">
            <w:pPr>
              <w:spacing w:line="500" w:lineRule="exact"/>
              <w:jc w:val="center"/>
              <w:rPr>
                <w:rFonts w:ascii="宋体" w:hAnsi="宋体" w:cs="宋体"/>
                <w:sz w:val="24"/>
                <w:szCs w:val="21"/>
              </w:rPr>
            </w:pPr>
          </w:p>
        </w:tc>
        <w:tc>
          <w:tcPr>
            <w:tcW w:w="1247" w:type="dxa"/>
            <w:noWrap/>
            <w:vAlign w:val="center"/>
          </w:tcPr>
          <w:p w14:paraId="41ED7634">
            <w:pPr>
              <w:spacing w:line="500" w:lineRule="exact"/>
              <w:ind w:left="0" w:leftChars="0" w:firstLine="0" w:firstLineChars="0"/>
              <w:jc w:val="center"/>
              <w:rPr>
                <w:rFonts w:ascii="宋体" w:hAnsi="宋体" w:cs="宋体"/>
                <w:sz w:val="24"/>
                <w:szCs w:val="21"/>
              </w:rPr>
            </w:pPr>
            <w:r>
              <w:rPr>
                <w:rFonts w:hint="eastAsia" w:ascii="宋体" w:hAnsi="宋体" w:cs="宋体"/>
                <w:sz w:val="24"/>
                <w:szCs w:val="21"/>
              </w:rPr>
              <w:t>电话</w:t>
            </w:r>
          </w:p>
        </w:tc>
        <w:tc>
          <w:tcPr>
            <w:tcW w:w="2033" w:type="dxa"/>
            <w:noWrap/>
            <w:vAlign w:val="center"/>
          </w:tcPr>
          <w:p w14:paraId="229F9313">
            <w:pPr>
              <w:spacing w:line="500" w:lineRule="exact"/>
              <w:jc w:val="center"/>
              <w:rPr>
                <w:rFonts w:ascii="宋体" w:hAnsi="宋体" w:cs="宋体"/>
                <w:sz w:val="24"/>
                <w:szCs w:val="21"/>
              </w:rPr>
            </w:pPr>
          </w:p>
        </w:tc>
      </w:tr>
      <w:tr w14:paraId="472C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vMerge w:val="continue"/>
            <w:noWrap/>
            <w:vAlign w:val="center"/>
          </w:tcPr>
          <w:p w14:paraId="6E546541">
            <w:pPr>
              <w:spacing w:line="500" w:lineRule="exact"/>
              <w:jc w:val="center"/>
              <w:rPr>
                <w:rFonts w:ascii="宋体" w:hAnsi="宋体" w:cs="宋体"/>
                <w:sz w:val="24"/>
                <w:szCs w:val="21"/>
              </w:rPr>
            </w:pPr>
          </w:p>
        </w:tc>
        <w:tc>
          <w:tcPr>
            <w:tcW w:w="1117" w:type="dxa"/>
            <w:noWrap/>
            <w:vAlign w:val="center"/>
          </w:tcPr>
          <w:p w14:paraId="208B14B6">
            <w:pPr>
              <w:spacing w:line="500" w:lineRule="exact"/>
              <w:ind w:left="0" w:leftChars="0" w:firstLine="0" w:firstLineChars="0"/>
              <w:jc w:val="center"/>
              <w:rPr>
                <w:rFonts w:ascii="宋体" w:hAnsi="宋体" w:cs="宋体"/>
                <w:sz w:val="24"/>
                <w:szCs w:val="21"/>
              </w:rPr>
            </w:pPr>
            <w:r>
              <w:rPr>
                <w:rFonts w:hint="eastAsia" w:ascii="宋体" w:hAnsi="宋体" w:cs="宋体"/>
                <w:sz w:val="24"/>
                <w:szCs w:val="21"/>
              </w:rPr>
              <w:t>传真</w:t>
            </w:r>
          </w:p>
        </w:tc>
        <w:tc>
          <w:tcPr>
            <w:tcW w:w="3053" w:type="dxa"/>
            <w:gridSpan w:val="2"/>
            <w:noWrap/>
            <w:vAlign w:val="center"/>
          </w:tcPr>
          <w:p w14:paraId="191CB9FC">
            <w:pPr>
              <w:spacing w:line="500" w:lineRule="exact"/>
              <w:jc w:val="both"/>
              <w:rPr>
                <w:rFonts w:ascii="宋体" w:hAnsi="宋体" w:cs="宋体"/>
                <w:sz w:val="24"/>
                <w:szCs w:val="21"/>
              </w:rPr>
            </w:pPr>
          </w:p>
        </w:tc>
        <w:tc>
          <w:tcPr>
            <w:tcW w:w="1247" w:type="dxa"/>
            <w:noWrap/>
            <w:vAlign w:val="center"/>
          </w:tcPr>
          <w:p w14:paraId="41939881">
            <w:pPr>
              <w:spacing w:line="500" w:lineRule="exact"/>
              <w:ind w:left="0" w:leftChars="0" w:firstLine="0" w:firstLineChars="0"/>
              <w:jc w:val="center"/>
              <w:rPr>
                <w:rFonts w:ascii="宋体" w:hAnsi="宋体" w:cs="宋体"/>
                <w:sz w:val="24"/>
                <w:szCs w:val="21"/>
              </w:rPr>
            </w:pPr>
            <w:r>
              <w:rPr>
                <w:rFonts w:hint="eastAsia" w:ascii="宋体" w:hAnsi="宋体" w:cs="宋体"/>
                <w:sz w:val="24"/>
                <w:szCs w:val="21"/>
              </w:rPr>
              <w:t>网址</w:t>
            </w:r>
          </w:p>
        </w:tc>
        <w:tc>
          <w:tcPr>
            <w:tcW w:w="2033" w:type="dxa"/>
            <w:noWrap/>
            <w:vAlign w:val="center"/>
          </w:tcPr>
          <w:p w14:paraId="2250180F">
            <w:pPr>
              <w:spacing w:line="500" w:lineRule="exact"/>
              <w:jc w:val="both"/>
              <w:rPr>
                <w:rFonts w:ascii="宋体" w:hAnsi="宋体" w:cs="宋体"/>
                <w:sz w:val="24"/>
                <w:szCs w:val="21"/>
              </w:rPr>
            </w:pPr>
          </w:p>
        </w:tc>
      </w:tr>
      <w:tr w14:paraId="056A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26A6E1AE">
            <w:pPr>
              <w:spacing w:line="500" w:lineRule="exact"/>
              <w:ind w:left="0" w:leftChars="0" w:firstLine="0" w:firstLineChars="0"/>
              <w:jc w:val="center"/>
              <w:rPr>
                <w:rFonts w:ascii="宋体" w:hAnsi="宋体" w:cs="宋体"/>
                <w:sz w:val="24"/>
                <w:szCs w:val="21"/>
              </w:rPr>
            </w:pPr>
            <w:r>
              <w:rPr>
                <w:rFonts w:hint="eastAsia" w:ascii="宋体" w:hAnsi="宋体" w:cs="宋体"/>
                <w:sz w:val="24"/>
                <w:szCs w:val="21"/>
              </w:rPr>
              <w:t>法定代表人</w:t>
            </w:r>
          </w:p>
        </w:tc>
        <w:tc>
          <w:tcPr>
            <w:tcW w:w="1117" w:type="dxa"/>
            <w:noWrap/>
            <w:vAlign w:val="center"/>
          </w:tcPr>
          <w:p w14:paraId="2DCAD367">
            <w:pPr>
              <w:spacing w:line="500" w:lineRule="exact"/>
              <w:ind w:left="0" w:leftChars="0" w:firstLine="0" w:firstLineChars="0"/>
              <w:jc w:val="center"/>
              <w:rPr>
                <w:rFonts w:ascii="宋体" w:hAnsi="宋体" w:cs="宋体"/>
                <w:sz w:val="24"/>
                <w:szCs w:val="21"/>
              </w:rPr>
            </w:pPr>
            <w:r>
              <w:rPr>
                <w:rFonts w:hint="eastAsia" w:ascii="宋体" w:hAnsi="宋体" w:cs="宋体"/>
                <w:sz w:val="24"/>
                <w:szCs w:val="21"/>
              </w:rPr>
              <w:t>姓名</w:t>
            </w:r>
          </w:p>
        </w:tc>
        <w:tc>
          <w:tcPr>
            <w:tcW w:w="3053" w:type="dxa"/>
            <w:gridSpan w:val="2"/>
            <w:noWrap/>
            <w:vAlign w:val="center"/>
          </w:tcPr>
          <w:p w14:paraId="1080973C">
            <w:pPr>
              <w:spacing w:line="500" w:lineRule="exact"/>
              <w:jc w:val="both"/>
              <w:rPr>
                <w:rFonts w:ascii="宋体" w:hAnsi="宋体" w:cs="宋体"/>
                <w:sz w:val="24"/>
                <w:szCs w:val="21"/>
              </w:rPr>
            </w:pPr>
          </w:p>
        </w:tc>
        <w:tc>
          <w:tcPr>
            <w:tcW w:w="1247" w:type="dxa"/>
            <w:noWrap/>
            <w:vAlign w:val="center"/>
          </w:tcPr>
          <w:p w14:paraId="67E901E2">
            <w:pPr>
              <w:spacing w:line="500" w:lineRule="exact"/>
              <w:ind w:left="0" w:leftChars="0" w:firstLine="0" w:firstLineChars="0"/>
              <w:jc w:val="center"/>
              <w:rPr>
                <w:rFonts w:ascii="宋体" w:hAnsi="宋体" w:cs="宋体"/>
                <w:sz w:val="24"/>
                <w:szCs w:val="21"/>
              </w:rPr>
            </w:pPr>
            <w:r>
              <w:rPr>
                <w:rFonts w:hint="eastAsia" w:ascii="宋体" w:hAnsi="宋体" w:cs="宋体"/>
                <w:sz w:val="24"/>
                <w:szCs w:val="21"/>
              </w:rPr>
              <w:t>电话</w:t>
            </w:r>
          </w:p>
        </w:tc>
        <w:tc>
          <w:tcPr>
            <w:tcW w:w="2033" w:type="dxa"/>
            <w:noWrap/>
            <w:vAlign w:val="center"/>
          </w:tcPr>
          <w:p w14:paraId="1B394F86">
            <w:pPr>
              <w:spacing w:line="500" w:lineRule="exact"/>
              <w:jc w:val="center"/>
              <w:rPr>
                <w:rFonts w:ascii="宋体" w:hAnsi="宋体" w:cs="宋体"/>
                <w:sz w:val="24"/>
                <w:szCs w:val="21"/>
              </w:rPr>
            </w:pPr>
          </w:p>
        </w:tc>
      </w:tr>
      <w:tr w14:paraId="563E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1D9323D0">
            <w:pPr>
              <w:spacing w:line="500" w:lineRule="exact"/>
              <w:ind w:left="0" w:leftChars="0" w:firstLine="0" w:firstLineChars="0"/>
              <w:jc w:val="center"/>
              <w:rPr>
                <w:rFonts w:ascii="宋体" w:hAnsi="宋体" w:cs="宋体"/>
                <w:sz w:val="24"/>
                <w:szCs w:val="21"/>
              </w:rPr>
            </w:pPr>
            <w:r>
              <w:rPr>
                <w:rFonts w:hint="eastAsia" w:ascii="宋体" w:hAnsi="宋体" w:cs="宋体"/>
                <w:sz w:val="24"/>
                <w:szCs w:val="21"/>
              </w:rPr>
              <w:t>项目负责人</w:t>
            </w:r>
          </w:p>
        </w:tc>
        <w:tc>
          <w:tcPr>
            <w:tcW w:w="1117" w:type="dxa"/>
            <w:noWrap/>
            <w:vAlign w:val="center"/>
          </w:tcPr>
          <w:p w14:paraId="5C4FD3DF">
            <w:pPr>
              <w:spacing w:line="500" w:lineRule="exact"/>
              <w:ind w:left="0" w:leftChars="0" w:firstLine="0" w:firstLineChars="0"/>
              <w:jc w:val="center"/>
              <w:rPr>
                <w:rFonts w:ascii="宋体" w:hAnsi="宋体" w:cs="宋体"/>
                <w:sz w:val="24"/>
                <w:szCs w:val="21"/>
              </w:rPr>
            </w:pPr>
            <w:r>
              <w:rPr>
                <w:rFonts w:hint="eastAsia" w:ascii="宋体" w:hAnsi="宋体" w:cs="宋体"/>
                <w:sz w:val="24"/>
                <w:szCs w:val="21"/>
              </w:rPr>
              <w:t>姓名</w:t>
            </w:r>
          </w:p>
        </w:tc>
        <w:tc>
          <w:tcPr>
            <w:tcW w:w="3053" w:type="dxa"/>
            <w:gridSpan w:val="2"/>
            <w:noWrap/>
            <w:vAlign w:val="center"/>
          </w:tcPr>
          <w:p w14:paraId="05D64B41">
            <w:pPr>
              <w:spacing w:line="500" w:lineRule="exact"/>
              <w:jc w:val="both"/>
              <w:rPr>
                <w:rFonts w:ascii="宋体" w:hAnsi="宋体" w:cs="宋体"/>
                <w:sz w:val="24"/>
                <w:szCs w:val="21"/>
              </w:rPr>
            </w:pPr>
          </w:p>
        </w:tc>
        <w:tc>
          <w:tcPr>
            <w:tcW w:w="1247" w:type="dxa"/>
            <w:noWrap/>
            <w:vAlign w:val="center"/>
          </w:tcPr>
          <w:p w14:paraId="7AE2FD89">
            <w:pPr>
              <w:spacing w:line="500" w:lineRule="exact"/>
              <w:ind w:left="0" w:leftChars="0" w:firstLine="0" w:firstLineChars="0"/>
              <w:jc w:val="center"/>
              <w:rPr>
                <w:rFonts w:ascii="宋体" w:hAnsi="宋体" w:cs="宋体"/>
                <w:sz w:val="24"/>
                <w:szCs w:val="21"/>
              </w:rPr>
            </w:pPr>
            <w:r>
              <w:rPr>
                <w:rFonts w:hint="eastAsia" w:ascii="宋体" w:hAnsi="宋体" w:cs="宋体"/>
                <w:sz w:val="24"/>
                <w:szCs w:val="21"/>
              </w:rPr>
              <w:t>电话</w:t>
            </w:r>
          </w:p>
        </w:tc>
        <w:tc>
          <w:tcPr>
            <w:tcW w:w="2033" w:type="dxa"/>
            <w:noWrap/>
            <w:vAlign w:val="center"/>
          </w:tcPr>
          <w:p w14:paraId="70F45949">
            <w:pPr>
              <w:spacing w:line="500" w:lineRule="exact"/>
              <w:jc w:val="center"/>
              <w:rPr>
                <w:rFonts w:ascii="宋体" w:hAnsi="宋体" w:cs="宋体"/>
                <w:sz w:val="24"/>
                <w:szCs w:val="21"/>
              </w:rPr>
            </w:pPr>
          </w:p>
        </w:tc>
      </w:tr>
      <w:tr w14:paraId="3787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2B9D1E2C">
            <w:pPr>
              <w:spacing w:line="500" w:lineRule="exact"/>
              <w:ind w:left="0" w:leftChars="0" w:firstLine="0" w:firstLineChars="0"/>
              <w:jc w:val="center"/>
              <w:rPr>
                <w:rFonts w:ascii="宋体" w:hAnsi="宋体" w:cs="宋体"/>
                <w:sz w:val="24"/>
                <w:szCs w:val="21"/>
              </w:rPr>
            </w:pPr>
            <w:r>
              <w:rPr>
                <w:rFonts w:hint="eastAsia" w:ascii="宋体" w:hAnsi="宋体" w:cs="宋体"/>
                <w:sz w:val="24"/>
                <w:szCs w:val="21"/>
              </w:rPr>
              <w:t>成立时间</w:t>
            </w:r>
          </w:p>
        </w:tc>
        <w:tc>
          <w:tcPr>
            <w:tcW w:w="2545" w:type="dxa"/>
            <w:gridSpan w:val="2"/>
            <w:noWrap/>
            <w:vAlign w:val="center"/>
          </w:tcPr>
          <w:p w14:paraId="06B08CCD">
            <w:pPr>
              <w:spacing w:line="500" w:lineRule="exact"/>
              <w:jc w:val="center"/>
              <w:rPr>
                <w:rFonts w:ascii="宋体" w:hAnsi="宋体" w:cs="宋体"/>
                <w:sz w:val="24"/>
                <w:szCs w:val="21"/>
              </w:rPr>
            </w:pPr>
          </w:p>
        </w:tc>
        <w:tc>
          <w:tcPr>
            <w:tcW w:w="4905" w:type="dxa"/>
            <w:gridSpan w:val="3"/>
            <w:noWrap/>
            <w:vAlign w:val="center"/>
          </w:tcPr>
          <w:p w14:paraId="27FD6ADB">
            <w:pPr>
              <w:spacing w:line="500" w:lineRule="exact"/>
              <w:jc w:val="center"/>
              <w:rPr>
                <w:rFonts w:ascii="宋体" w:hAnsi="宋体" w:cs="宋体"/>
                <w:sz w:val="24"/>
                <w:szCs w:val="21"/>
              </w:rPr>
            </w:pPr>
            <w:r>
              <w:rPr>
                <w:rFonts w:hint="eastAsia" w:ascii="宋体" w:hAnsi="宋体" w:cs="宋体"/>
                <w:sz w:val="24"/>
                <w:szCs w:val="21"/>
              </w:rPr>
              <w:t>员工总人数：</w:t>
            </w:r>
          </w:p>
        </w:tc>
      </w:tr>
      <w:tr w14:paraId="57F4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17D1A009">
            <w:pPr>
              <w:spacing w:line="500" w:lineRule="exact"/>
              <w:ind w:left="0" w:leftChars="0" w:firstLine="0" w:firstLineChars="0"/>
              <w:jc w:val="center"/>
              <w:rPr>
                <w:rFonts w:ascii="宋体" w:hAnsi="宋体" w:cs="宋体"/>
                <w:sz w:val="24"/>
                <w:szCs w:val="21"/>
              </w:rPr>
            </w:pPr>
            <w:r>
              <w:rPr>
                <w:rFonts w:hint="eastAsia" w:ascii="宋体" w:hAnsi="宋体" w:cs="宋体"/>
                <w:sz w:val="24"/>
                <w:szCs w:val="21"/>
              </w:rPr>
              <w:t>营业执照号</w:t>
            </w:r>
          </w:p>
        </w:tc>
        <w:tc>
          <w:tcPr>
            <w:tcW w:w="7450" w:type="dxa"/>
            <w:gridSpan w:val="5"/>
            <w:noWrap/>
            <w:vAlign w:val="center"/>
          </w:tcPr>
          <w:p w14:paraId="332D93B1">
            <w:pPr>
              <w:spacing w:line="500" w:lineRule="exact"/>
              <w:jc w:val="center"/>
              <w:rPr>
                <w:rFonts w:ascii="宋体" w:hAnsi="宋体" w:cs="宋体"/>
                <w:sz w:val="24"/>
                <w:szCs w:val="21"/>
              </w:rPr>
            </w:pPr>
          </w:p>
        </w:tc>
      </w:tr>
      <w:tr w14:paraId="4260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6EFA30FA">
            <w:pPr>
              <w:spacing w:line="500" w:lineRule="exact"/>
              <w:ind w:left="0" w:leftChars="0" w:firstLine="0" w:firstLineChars="0"/>
              <w:jc w:val="center"/>
              <w:rPr>
                <w:rFonts w:ascii="宋体" w:hAnsi="宋体" w:cs="宋体"/>
                <w:sz w:val="24"/>
                <w:szCs w:val="21"/>
              </w:rPr>
            </w:pPr>
            <w:r>
              <w:rPr>
                <w:rFonts w:hint="eastAsia" w:ascii="宋体" w:hAnsi="宋体" w:cs="宋体"/>
                <w:sz w:val="24"/>
                <w:szCs w:val="21"/>
              </w:rPr>
              <w:t>注册资金</w:t>
            </w:r>
          </w:p>
        </w:tc>
        <w:tc>
          <w:tcPr>
            <w:tcW w:w="7450" w:type="dxa"/>
            <w:gridSpan w:val="5"/>
            <w:noWrap/>
            <w:vAlign w:val="center"/>
          </w:tcPr>
          <w:p w14:paraId="34151D63">
            <w:pPr>
              <w:spacing w:line="500" w:lineRule="exact"/>
              <w:jc w:val="center"/>
              <w:rPr>
                <w:rFonts w:ascii="宋体" w:hAnsi="宋体" w:cs="宋体"/>
                <w:sz w:val="24"/>
                <w:szCs w:val="21"/>
              </w:rPr>
            </w:pPr>
          </w:p>
        </w:tc>
      </w:tr>
      <w:tr w14:paraId="3B2A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6AF62AA5">
            <w:pPr>
              <w:spacing w:line="500" w:lineRule="exact"/>
              <w:ind w:left="0" w:leftChars="0" w:firstLine="0" w:firstLineChars="0"/>
              <w:jc w:val="center"/>
              <w:rPr>
                <w:rFonts w:ascii="宋体" w:hAnsi="宋体" w:cs="宋体"/>
                <w:sz w:val="24"/>
                <w:szCs w:val="21"/>
              </w:rPr>
            </w:pPr>
            <w:r>
              <w:rPr>
                <w:rFonts w:hint="eastAsia" w:ascii="宋体" w:hAnsi="宋体" w:cs="宋体"/>
                <w:sz w:val="24"/>
                <w:szCs w:val="21"/>
              </w:rPr>
              <w:t>开户银行</w:t>
            </w:r>
          </w:p>
        </w:tc>
        <w:tc>
          <w:tcPr>
            <w:tcW w:w="7450" w:type="dxa"/>
            <w:gridSpan w:val="5"/>
            <w:noWrap/>
            <w:vAlign w:val="center"/>
          </w:tcPr>
          <w:p w14:paraId="26E6701A">
            <w:pPr>
              <w:spacing w:line="500" w:lineRule="exact"/>
              <w:jc w:val="center"/>
              <w:rPr>
                <w:rFonts w:ascii="宋体" w:hAnsi="宋体" w:cs="宋体"/>
                <w:sz w:val="24"/>
                <w:szCs w:val="21"/>
              </w:rPr>
            </w:pPr>
          </w:p>
        </w:tc>
      </w:tr>
      <w:tr w14:paraId="2DC7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4B7B8DED">
            <w:pPr>
              <w:spacing w:line="500" w:lineRule="exact"/>
              <w:ind w:left="0" w:leftChars="0" w:firstLine="0" w:firstLineChars="0"/>
              <w:jc w:val="center"/>
              <w:rPr>
                <w:rFonts w:ascii="宋体" w:hAnsi="宋体" w:cs="宋体"/>
                <w:sz w:val="24"/>
                <w:szCs w:val="21"/>
              </w:rPr>
            </w:pPr>
            <w:r>
              <w:rPr>
                <w:rFonts w:hint="eastAsia" w:ascii="宋体" w:hAnsi="宋体" w:cs="宋体"/>
                <w:sz w:val="24"/>
                <w:szCs w:val="21"/>
              </w:rPr>
              <w:t>账号</w:t>
            </w:r>
          </w:p>
        </w:tc>
        <w:tc>
          <w:tcPr>
            <w:tcW w:w="7450" w:type="dxa"/>
            <w:gridSpan w:val="5"/>
            <w:noWrap/>
            <w:vAlign w:val="center"/>
          </w:tcPr>
          <w:p w14:paraId="52F8E8D6">
            <w:pPr>
              <w:spacing w:line="500" w:lineRule="exact"/>
              <w:jc w:val="center"/>
              <w:rPr>
                <w:rFonts w:ascii="宋体" w:hAnsi="宋体" w:cs="宋体"/>
                <w:sz w:val="24"/>
                <w:szCs w:val="21"/>
              </w:rPr>
            </w:pPr>
          </w:p>
        </w:tc>
      </w:tr>
      <w:tr w14:paraId="72F2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92" w:hRule="atLeast"/>
          <w:jc w:val="center"/>
        </w:trPr>
        <w:tc>
          <w:tcPr>
            <w:tcW w:w="1761" w:type="dxa"/>
            <w:noWrap/>
            <w:vAlign w:val="center"/>
          </w:tcPr>
          <w:p w14:paraId="2C1AD763">
            <w:pPr>
              <w:spacing w:line="500" w:lineRule="exact"/>
              <w:ind w:left="0" w:leftChars="0" w:firstLine="0" w:firstLineChars="0"/>
              <w:jc w:val="center"/>
              <w:rPr>
                <w:rFonts w:ascii="宋体" w:hAnsi="宋体" w:cs="宋体"/>
                <w:sz w:val="24"/>
                <w:szCs w:val="21"/>
              </w:rPr>
            </w:pPr>
            <w:r>
              <w:rPr>
                <w:rFonts w:hint="eastAsia" w:ascii="宋体" w:hAnsi="宋体" w:cs="宋体"/>
                <w:sz w:val="24"/>
                <w:szCs w:val="21"/>
              </w:rPr>
              <w:t>经营范围</w:t>
            </w:r>
          </w:p>
        </w:tc>
        <w:tc>
          <w:tcPr>
            <w:tcW w:w="7450" w:type="dxa"/>
            <w:gridSpan w:val="5"/>
            <w:noWrap/>
            <w:vAlign w:val="center"/>
          </w:tcPr>
          <w:p w14:paraId="38981639">
            <w:pPr>
              <w:spacing w:line="500" w:lineRule="exact"/>
              <w:ind w:firstLine="480" w:firstLineChars="200"/>
              <w:jc w:val="center"/>
              <w:rPr>
                <w:rFonts w:ascii="宋体" w:hAnsi="宋体" w:cs="宋体"/>
                <w:sz w:val="24"/>
                <w:szCs w:val="21"/>
              </w:rPr>
            </w:pPr>
          </w:p>
        </w:tc>
      </w:tr>
      <w:tr w14:paraId="117A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6" w:hRule="atLeast"/>
          <w:jc w:val="center"/>
        </w:trPr>
        <w:tc>
          <w:tcPr>
            <w:tcW w:w="1761" w:type="dxa"/>
            <w:noWrap/>
            <w:vAlign w:val="center"/>
          </w:tcPr>
          <w:p w14:paraId="73DEF943">
            <w:pPr>
              <w:spacing w:line="500" w:lineRule="exact"/>
              <w:jc w:val="both"/>
              <w:rPr>
                <w:rFonts w:hint="eastAsia" w:ascii="宋体" w:hAnsi="宋体" w:cs="宋体" w:eastAsiaTheme="minorEastAsia"/>
                <w:sz w:val="24"/>
                <w:szCs w:val="21"/>
                <w:lang w:val="en-US" w:eastAsia="zh-CN"/>
              </w:rPr>
            </w:pPr>
            <w:r>
              <w:rPr>
                <w:rFonts w:hint="eastAsia" w:ascii="宋体" w:hAnsi="宋体" w:cs="宋体"/>
                <w:sz w:val="24"/>
                <w:szCs w:val="21"/>
                <w:lang w:val="en-US" w:eastAsia="zh-CN"/>
              </w:rPr>
              <w:t>备注</w:t>
            </w:r>
          </w:p>
        </w:tc>
        <w:tc>
          <w:tcPr>
            <w:tcW w:w="7450" w:type="dxa"/>
            <w:gridSpan w:val="5"/>
            <w:noWrap/>
            <w:vAlign w:val="center"/>
          </w:tcPr>
          <w:p w14:paraId="36A00C73">
            <w:pPr>
              <w:spacing w:line="500" w:lineRule="exact"/>
              <w:ind w:firstLine="480" w:firstLineChars="200"/>
              <w:jc w:val="center"/>
              <w:rPr>
                <w:rFonts w:ascii="宋体" w:hAnsi="宋体" w:cs="宋体"/>
                <w:sz w:val="24"/>
                <w:szCs w:val="21"/>
              </w:rPr>
            </w:pPr>
          </w:p>
        </w:tc>
      </w:tr>
    </w:tbl>
    <w:p w14:paraId="29CC9989">
      <w:pPr>
        <w:pStyle w:val="10"/>
        <w:ind w:left="0" w:leftChars="0" w:firstLine="0" w:firstLineChars="0"/>
        <w:jc w:val="center"/>
        <w:rPr>
          <w:rFonts w:hint="eastAsia" w:ascii="宋体" w:hAnsi="宋体" w:eastAsia="宋体"/>
          <w:b/>
          <w:sz w:val="32"/>
          <w:szCs w:val="32"/>
        </w:rPr>
      </w:pPr>
    </w:p>
    <w:p w14:paraId="41BBCDF8">
      <w:pPr>
        <w:pStyle w:val="10"/>
        <w:ind w:left="0" w:leftChars="0" w:firstLine="0" w:firstLineChars="0"/>
        <w:jc w:val="center"/>
        <w:rPr>
          <w:rFonts w:hint="eastAsia" w:ascii="宋体" w:hAnsi="宋体" w:eastAsia="宋体"/>
          <w:b/>
          <w:sz w:val="32"/>
          <w:szCs w:val="32"/>
        </w:rPr>
      </w:pPr>
    </w:p>
    <w:p w14:paraId="7C81BC4D">
      <w:pPr>
        <w:pStyle w:val="10"/>
        <w:ind w:left="0" w:leftChars="0" w:firstLine="0" w:firstLineChars="0"/>
        <w:jc w:val="center"/>
        <w:rPr>
          <w:rFonts w:ascii="宋体" w:hAnsi="宋体" w:eastAsia="宋体"/>
          <w:b/>
          <w:sz w:val="32"/>
          <w:szCs w:val="32"/>
        </w:rPr>
      </w:pPr>
      <w:r>
        <w:rPr>
          <w:rFonts w:hint="eastAsia" w:ascii="宋体" w:hAnsi="宋体" w:eastAsia="宋体"/>
          <w:b/>
          <w:sz w:val="32"/>
          <w:szCs w:val="32"/>
        </w:rPr>
        <w:t>（二）资格证明文件</w:t>
      </w:r>
    </w:p>
    <w:p w14:paraId="6F5FCFC4">
      <w:pPr>
        <w:widowControl w:val="0"/>
        <w:spacing w:line="360" w:lineRule="auto"/>
        <w:ind w:firstLine="482" w:firstLineChars="200"/>
        <w:jc w:val="center"/>
        <w:outlineLvl w:val="0"/>
        <w:rPr>
          <w:rFonts w:hint="default" w:ascii="宋体" w:hAnsi="宋体" w:cs="宋体"/>
          <w:b/>
          <w:sz w:val="24"/>
          <w:szCs w:val="24"/>
          <w:lang w:val="en-US"/>
        </w:rPr>
      </w:pPr>
      <w:r>
        <w:rPr>
          <w:rFonts w:hint="eastAsia" w:ascii="宋体" w:hAnsi="宋体" w:cs="宋体"/>
          <w:b/>
          <w:sz w:val="24"/>
          <w:szCs w:val="24"/>
        </w:rPr>
        <w:br w:type="page"/>
      </w:r>
      <w:bookmarkStart w:id="93" w:name="_Toc24077"/>
      <w:r>
        <w:rPr>
          <w:rFonts w:hint="eastAsia" w:ascii="宋体" w:hAnsi="宋体" w:cs="宋体"/>
          <w:b/>
          <w:sz w:val="32"/>
          <w:szCs w:val="32"/>
          <w:lang w:val="en-US" w:eastAsia="zh-CN"/>
        </w:rPr>
        <w:t>五</w:t>
      </w:r>
      <w:r>
        <w:rPr>
          <w:rFonts w:hint="eastAsia" w:ascii="宋体" w:hAnsi="宋体" w:cs="宋体"/>
          <w:b/>
          <w:sz w:val="32"/>
          <w:szCs w:val="32"/>
        </w:rPr>
        <w:t>、</w:t>
      </w:r>
      <w:bookmarkEnd w:id="93"/>
      <w:r>
        <w:rPr>
          <w:rFonts w:hint="eastAsia" w:ascii="宋体" w:hAnsi="宋体" w:cs="宋体"/>
          <w:b/>
          <w:sz w:val="32"/>
          <w:szCs w:val="32"/>
          <w:lang w:val="en-US" w:eastAsia="zh-CN"/>
        </w:rPr>
        <w:t>技术部分</w:t>
      </w:r>
    </w:p>
    <w:p w14:paraId="402D6087">
      <w:pPr>
        <w:widowControl w:val="0"/>
        <w:autoSpaceDE w:val="0"/>
        <w:autoSpaceDN w:val="0"/>
        <w:adjustRightInd w:val="0"/>
        <w:spacing w:line="360" w:lineRule="auto"/>
        <w:jc w:val="center"/>
        <w:rPr>
          <w:rFonts w:ascii="宋体" w:hAnsi="宋体" w:cs="宋体"/>
          <w:spacing w:val="10"/>
          <w:sz w:val="24"/>
          <w:szCs w:val="24"/>
        </w:rPr>
      </w:pPr>
      <w:r>
        <w:rPr>
          <w:rFonts w:hint="eastAsia" w:ascii="宋体" w:hAnsi="宋体" w:cs="宋体"/>
          <w:b/>
          <w:spacing w:val="10"/>
          <w:sz w:val="24"/>
          <w:szCs w:val="24"/>
        </w:rPr>
        <w:t xml:space="preserve"> </w:t>
      </w:r>
      <w:r>
        <w:rPr>
          <w:rFonts w:hint="eastAsia" w:ascii="宋体" w:hAnsi="宋体" w:cs="宋体"/>
          <w:spacing w:val="10"/>
          <w:sz w:val="24"/>
          <w:szCs w:val="24"/>
        </w:rPr>
        <w:t>格式自拟</w:t>
      </w:r>
    </w:p>
    <w:p w14:paraId="697394FF">
      <w:pPr>
        <w:widowControl w:val="0"/>
        <w:autoSpaceDE w:val="0"/>
        <w:autoSpaceDN w:val="0"/>
        <w:adjustRightInd w:val="0"/>
        <w:spacing w:line="360" w:lineRule="auto"/>
        <w:rPr>
          <w:rFonts w:ascii="宋体" w:hAnsi="宋体" w:cs="宋体"/>
          <w:spacing w:val="10"/>
          <w:sz w:val="24"/>
          <w:szCs w:val="24"/>
        </w:rPr>
      </w:pPr>
      <w:r>
        <w:rPr>
          <w:rFonts w:hint="eastAsia" w:ascii="宋体" w:hAnsi="宋体" w:cs="宋体"/>
          <w:spacing w:val="10"/>
          <w:sz w:val="24"/>
          <w:szCs w:val="24"/>
        </w:rPr>
        <w:t xml:space="preserve">                  </w:t>
      </w:r>
    </w:p>
    <w:p w14:paraId="37AA8729">
      <w:pPr>
        <w:widowControl w:val="0"/>
        <w:autoSpaceDE w:val="0"/>
        <w:autoSpaceDN w:val="0"/>
        <w:adjustRightInd w:val="0"/>
        <w:spacing w:line="360" w:lineRule="auto"/>
        <w:rPr>
          <w:rFonts w:ascii="宋体" w:hAnsi="宋体" w:cs="宋体"/>
          <w:spacing w:val="10"/>
          <w:sz w:val="24"/>
          <w:szCs w:val="24"/>
        </w:rPr>
      </w:pPr>
      <w:r>
        <w:rPr>
          <w:rFonts w:hint="eastAsia" w:ascii="宋体" w:hAnsi="宋体" w:cs="宋体"/>
          <w:spacing w:val="10"/>
          <w:sz w:val="24"/>
          <w:szCs w:val="24"/>
        </w:rPr>
        <w:t xml:space="preserve"> </w:t>
      </w:r>
    </w:p>
    <w:p w14:paraId="544D3B63">
      <w:pPr>
        <w:widowControl w:val="0"/>
        <w:autoSpaceDE w:val="0"/>
        <w:autoSpaceDN w:val="0"/>
        <w:adjustRightInd w:val="0"/>
        <w:spacing w:line="360" w:lineRule="auto"/>
        <w:rPr>
          <w:rFonts w:ascii="宋体" w:hAnsi="宋体" w:cs="宋体"/>
          <w:spacing w:val="10"/>
          <w:sz w:val="24"/>
          <w:szCs w:val="24"/>
        </w:rPr>
      </w:pPr>
      <w:r>
        <w:rPr>
          <w:rFonts w:hint="eastAsia" w:ascii="宋体" w:hAnsi="宋体" w:cs="宋体"/>
          <w:spacing w:val="10"/>
          <w:sz w:val="24"/>
          <w:szCs w:val="24"/>
        </w:rPr>
        <w:t xml:space="preserve"> </w:t>
      </w:r>
    </w:p>
    <w:p w14:paraId="3D9D70E7">
      <w:pPr>
        <w:widowControl w:val="0"/>
        <w:autoSpaceDE w:val="0"/>
        <w:autoSpaceDN w:val="0"/>
        <w:adjustRightInd w:val="0"/>
        <w:spacing w:line="360" w:lineRule="auto"/>
        <w:rPr>
          <w:rFonts w:ascii="宋体" w:hAnsi="宋体" w:cs="宋体"/>
          <w:spacing w:val="10"/>
          <w:sz w:val="24"/>
          <w:szCs w:val="24"/>
        </w:rPr>
      </w:pPr>
      <w:r>
        <w:rPr>
          <w:rFonts w:hint="eastAsia" w:ascii="宋体" w:hAnsi="宋体" w:cs="宋体"/>
          <w:spacing w:val="10"/>
          <w:sz w:val="24"/>
          <w:szCs w:val="24"/>
        </w:rPr>
        <w:t xml:space="preserve"> </w:t>
      </w:r>
    </w:p>
    <w:p w14:paraId="3DDE0F77">
      <w:pPr>
        <w:widowControl w:val="0"/>
        <w:autoSpaceDE w:val="0"/>
        <w:autoSpaceDN w:val="0"/>
        <w:adjustRightInd w:val="0"/>
        <w:spacing w:line="360" w:lineRule="auto"/>
        <w:rPr>
          <w:rFonts w:ascii="宋体" w:hAnsi="宋体" w:cs="宋体"/>
          <w:spacing w:val="10"/>
          <w:sz w:val="24"/>
          <w:szCs w:val="24"/>
        </w:rPr>
      </w:pPr>
      <w:r>
        <w:rPr>
          <w:rFonts w:hint="eastAsia" w:ascii="宋体" w:hAnsi="宋体" w:cs="宋体"/>
          <w:spacing w:val="10"/>
          <w:sz w:val="24"/>
          <w:szCs w:val="24"/>
        </w:rPr>
        <w:t xml:space="preserve"> </w:t>
      </w:r>
    </w:p>
    <w:p w14:paraId="5F77688C">
      <w:pPr>
        <w:widowControl w:val="0"/>
        <w:autoSpaceDE w:val="0"/>
        <w:autoSpaceDN w:val="0"/>
        <w:adjustRightInd w:val="0"/>
        <w:spacing w:line="360" w:lineRule="auto"/>
        <w:rPr>
          <w:rFonts w:ascii="宋体" w:hAnsi="宋体" w:cs="宋体"/>
          <w:spacing w:val="10"/>
          <w:sz w:val="24"/>
          <w:szCs w:val="24"/>
        </w:rPr>
      </w:pPr>
      <w:r>
        <w:rPr>
          <w:rFonts w:hint="eastAsia" w:ascii="宋体" w:hAnsi="宋体" w:cs="宋体"/>
          <w:spacing w:val="10"/>
          <w:sz w:val="24"/>
          <w:szCs w:val="24"/>
        </w:rPr>
        <w:t xml:space="preserve"> </w:t>
      </w:r>
    </w:p>
    <w:p w14:paraId="72D8B76B">
      <w:pPr>
        <w:widowControl w:val="0"/>
        <w:autoSpaceDE w:val="0"/>
        <w:autoSpaceDN w:val="0"/>
        <w:adjustRightInd w:val="0"/>
        <w:spacing w:line="360" w:lineRule="auto"/>
        <w:rPr>
          <w:rFonts w:ascii="宋体" w:hAnsi="宋体" w:cs="宋体"/>
          <w:spacing w:val="10"/>
          <w:sz w:val="24"/>
          <w:szCs w:val="24"/>
        </w:rPr>
      </w:pPr>
      <w:r>
        <w:rPr>
          <w:rFonts w:hint="eastAsia" w:ascii="宋体" w:hAnsi="宋体" w:cs="宋体"/>
          <w:spacing w:val="10"/>
          <w:sz w:val="24"/>
          <w:szCs w:val="24"/>
        </w:rPr>
        <w:t xml:space="preserve"> </w:t>
      </w:r>
    </w:p>
    <w:p w14:paraId="1F3C6353">
      <w:pPr>
        <w:pStyle w:val="22"/>
        <w:rPr>
          <w:rFonts w:ascii="宋体" w:hAnsi="宋体" w:cs="宋体"/>
          <w:spacing w:val="10"/>
          <w:sz w:val="24"/>
          <w:szCs w:val="24"/>
        </w:rPr>
      </w:pPr>
    </w:p>
    <w:p w14:paraId="3414A3AC">
      <w:pPr>
        <w:pStyle w:val="22"/>
        <w:rPr>
          <w:rFonts w:ascii="宋体" w:hAnsi="宋体" w:cs="宋体"/>
          <w:spacing w:val="10"/>
          <w:sz w:val="24"/>
          <w:szCs w:val="24"/>
        </w:rPr>
      </w:pPr>
    </w:p>
    <w:p w14:paraId="64845C1A">
      <w:pPr>
        <w:pStyle w:val="22"/>
        <w:rPr>
          <w:rFonts w:ascii="宋体" w:hAnsi="宋体" w:cs="宋体"/>
          <w:spacing w:val="10"/>
          <w:sz w:val="24"/>
          <w:szCs w:val="24"/>
        </w:rPr>
      </w:pPr>
    </w:p>
    <w:p w14:paraId="6288B7DC">
      <w:pPr>
        <w:wordWrap w:val="0"/>
        <w:spacing w:line="360" w:lineRule="auto"/>
        <w:ind w:firstLine="520" w:firstLineChars="200"/>
        <w:rPr>
          <w:rFonts w:ascii="宋体" w:hAnsi="宋体" w:cs="宋体"/>
          <w:sz w:val="24"/>
        </w:rPr>
      </w:pPr>
      <w:r>
        <w:rPr>
          <w:rFonts w:hint="eastAsia" w:ascii="宋体" w:hAnsi="宋体" w:cs="宋体"/>
          <w:spacing w:val="10"/>
          <w:sz w:val="24"/>
          <w:szCs w:val="24"/>
        </w:rPr>
        <w:t xml:space="preserve"> </w:t>
      </w:r>
    </w:p>
    <w:p w14:paraId="30D8CB53">
      <w:pPr>
        <w:wordWrap w:val="0"/>
        <w:spacing w:line="360" w:lineRule="auto"/>
        <w:ind w:firstLine="480" w:firstLineChars="200"/>
        <w:jc w:val="center"/>
        <w:rPr>
          <w:rFonts w:ascii="宋体" w:hAnsi="宋体" w:cs="宋体"/>
          <w:sz w:val="24"/>
        </w:rPr>
      </w:pPr>
      <w:r>
        <w:rPr>
          <w:rFonts w:hint="eastAsia" w:ascii="宋体" w:hAnsi="宋体" w:cs="宋体"/>
          <w:sz w:val="24"/>
        </w:rPr>
        <w:t>供应商（公章签章）：</w:t>
      </w:r>
    </w:p>
    <w:p w14:paraId="7C6D939F">
      <w:pPr>
        <w:wordWrap w:val="0"/>
        <w:spacing w:line="360" w:lineRule="auto"/>
        <w:ind w:firstLine="480" w:firstLineChars="200"/>
        <w:jc w:val="center"/>
        <w:rPr>
          <w:rFonts w:ascii="宋体" w:hAnsi="宋体" w:cs="宋体"/>
          <w:sz w:val="24"/>
        </w:rPr>
      </w:pPr>
      <w:r>
        <w:rPr>
          <w:rFonts w:hint="eastAsia" w:ascii="宋体" w:hAnsi="宋体" w:cs="宋体"/>
          <w:sz w:val="24"/>
        </w:rPr>
        <w:t>法定代表人或授权委托人（签章）：</w:t>
      </w:r>
    </w:p>
    <w:p w14:paraId="24F73CFA">
      <w:pPr>
        <w:wordWrap w:val="0"/>
        <w:spacing w:line="360" w:lineRule="auto"/>
        <w:ind w:firstLine="480" w:firstLineChars="200"/>
        <w:jc w:val="center"/>
        <w:rPr>
          <w:rFonts w:ascii="宋体" w:hAnsi="宋体" w:cs="宋体"/>
          <w:sz w:val="24"/>
        </w:rPr>
      </w:pPr>
      <w:r>
        <w:rPr>
          <w:rFonts w:hint="eastAsia" w:ascii="宋体" w:hAnsi="宋体" w:cs="宋体"/>
          <w:sz w:val="24"/>
        </w:rPr>
        <w:t>日期：</w:t>
      </w:r>
    </w:p>
    <w:p w14:paraId="5E1545DB">
      <w:pPr>
        <w:wordWrap w:val="0"/>
        <w:spacing w:line="360" w:lineRule="auto"/>
        <w:ind w:firstLine="480" w:firstLineChars="200"/>
        <w:jc w:val="center"/>
        <w:outlineLvl w:val="0"/>
        <w:rPr>
          <w:rFonts w:ascii="宋体" w:hAnsi="宋体"/>
          <w:b/>
          <w:sz w:val="24"/>
          <w:szCs w:val="24"/>
        </w:rPr>
      </w:pPr>
      <w:r>
        <w:rPr>
          <w:rFonts w:hint="eastAsia" w:ascii="宋体" w:hAnsi="宋体" w:cs="宋体"/>
          <w:sz w:val="24"/>
        </w:rPr>
        <w:br w:type="page"/>
      </w:r>
      <w:bookmarkStart w:id="94" w:name="_Toc269219207"/>
      <w:bookmarkEnd w:id="94"/>
      <w:bookmarkStart w:id="95" w:name="_Toc32551"/>
      <w:bookmarkStart w:id="96" w:name="_Toc461977437"/>
      <w:r>
        <w:rPr>
          <w:rFonts w:hint="eastAsia" w:ascii="宋体" w:hAnsi="宋体" w:cs="宋体"/>
          <w:b/>
          <w:sz w:val="32"/>
          <w:szCs w:val="32"/>
          <w:lang w:val="en-US" w:eastAsia="zh-CN"/>
        </w:rPr>
        <w:t>六</w:t>
      </w:r>
      <w:r>
        <w:rPr>
          <w:rFonts w:hint="eastAsia" w:ascii="宋体" w:hAnsi="宋体" w:cs="宋体"/>
          <w:b/>
          <w:sz w:val="32"/>
          <w:szCs w:val="32"/>
        </w:rPr>
        <w:t>、</w:t>
      </w:r>
      <w:r>
        <w:rPr>
          <w:rFonts w:hint="eastAsia" w:ascii="宋体" w:hAnsi="宋体" w:cs="宋体"/>
          <w:b/>
          <w:sz w:val="32"/>
          <w:szCs w:val="32"/>
          <w:lang w:val="en-US" w:eastAsia="zh-CN"/>
        </w:rPr>
        <w:t>磋商</w:t>
      </w:r>
      <w:r>
        <w:rPr>
          <w:rFonts w:hint="eastAsia" w:ascii="宋体" w:hAnsi="宋体" w:cs="宋体"/>
          <w:b/>
          <w:sz w:val="32"/>
          <w:szCs w:val="32"/>
        </w:rPr>
        <w:t>承诺函</w:t>
      </w:r>
      <w:bookmarkEnd w:id="95"/>
      <w:bookmarkEnd w:id="96"/>
    </w:p>
    <w:p w14:paraId="2B49122F">
      <w:pPr>
        <w:wordWrap w:val="0"/>
        <w:spacing w:line="360" w:lineRule="auto"/>
        <w:ind w:firstLine="480" w:firstLineChars="200"/>
        <w:rPr>
          <w:rFonts w:ascii="宋体" w:hAnsi="宋体" w:cs="宋体"/>
          <w:sz w:val="24"/>
        </w:rPr>
      </w:pPr>
      <w:r>
        <w:rPr>
          <w:rFonts w:hint="eastAsia" w:ascii="宋体" w:hAnsi="宋体" w:cs="宋体"/>
          <w:sz w:val="24"/>
        </w:rPr>
        <w:t>致 （采购人）：</w:t>
      </w:r>
    </w:p>
    <w:p w14:paraId="6BAAA861">
      <w:pPr>
        <w:wordWrap w:val="0"/>
        <w:spacing w:line="360" w:lineRule="auto"/>
        <w:ind w:firstLine="480" w:firstLineChars="200"/>
        <w:rPr>
          <w:rFonts w:ascii="宋体" w:hAnsi="宋体" w:cs="宋体"/>
          <w:sz w:val="24"/>
        </w:rPr>
      </w:pPr>
      <w:r>
        <w:rPr>
          <w:rFonts w:hint="eastAsia" w:ascii="宋体" w:hAnsi="宋体" w:cs="宋体"/>
          <w:sz w:val="24"/>
        </w:rPr>
        <w:t>我公司作为本次采购项目的供应商，根据竞争性磋商文件要求，现郑重承诺如下：</w:t>
      </w:r>
    </w:p>
    <w:p w14:paraId="0D22EB3D">
      <w:pPr>
        <w:wordWrap w:val="0"/>
        <w:spacing w:line="360" w:lineRule="auto"/>
        <w:ind w:firstLine="480" w:firstLineChars="200"/>
        <w:rPr>
          <w:rFonts w:ascii="宋体" w:hAnsi="宋体" w:cs="宋体"/>
          <w:sz w:val="24"/>
        </w:rPr>
      </w:pPr>
      <w:r>
        <w:rPr>
          <w:rFonts w:hint="eastAsia" w:ascii="宋体" w:hAnsi="宋体" w:cs="宋体"/>
          <w:sz w:val="24"/>
        </w:rPr>
        <w:t>一、具备《中华人民共和国政府采购法》第二十二条第一款和本项目规定的条件：</w:t>
      </w:r>
    </w:p>
    <w:p w14:paraId="1BED65C6">
      <w:pPr>
        <w:wordWrap w:val="0"/>
        <w:spacing w:line="360" w:lineRule="auto"/>
        <w:ind w:firstLine="480" w:firstLineChars="200"/>
        <w:rPr>
          <w:rFonts w:ascii="宋体" w:hAnsi="宋体" w:cs="宋体"/>
          <w:sz w:val="24"/>
        </w:rPr>
      </w:pPr>
      <w:r>
        <w:rPr>
          <w:rFonts w:hint="eastAsia" w:ascii="宋体" w:hAnsi="宋体" w:cs="宋体"/>
          <w:sz w:val="24"/>
        </w:rPr>
        <w:t>（一）具有独立承担民事责任的能力；</w:t>
      </w:r>
    </w:p>
    <w:p w14:paraId="1A655AFA">
      <w:pPr>
        <w:wordWrap w:val="0"/>
        <w:spacing w:line="360" w:lineRule="auto"/>
        <w:ind w:firstLine="480" w:firstLineChars="200"/>
        <w:rPr>
          <w:rFonts w:ascii="宋体" w:hAnsi="宋体" w:cs="宋体"/>
          <w:sz w:val="24"/>
        </w:rPr>
      </w:pPr>
      <w:r>
        <w:rPr>
          <w:rFonts w:hint="eastAsia" w:ascii="宋体" w:hAnsi="宋体" w:cs="宋体"/>
          <w:sz w:val="24"/>
        </w:rPr>
        <w:t>（二）具有良好的商业信誉和健全的财务会计制度；</w:t>
      </w:r>
    </w:p>
    <w:p w14:paraId="43708C80">
      <w:pPr>
        <w:wordWrap w:val="0"/>
        <w:spacing w:line="360" w:lineRule="auto"/>
        <w:ind w:firstLine="480" w:firstLineChars="200"/>
        <w:rPr>
          <w:rFonts w:ascii="宋体" w:hAnsi="宋体" w:cs="宋体"/>
          <w:sz w:val="24"/>
        </w:rPr>
      </w:pPr>
      <w:r>
        <w:rPr>
          <w:rFonts w:hint="eastAsia" w:ascii="宋体" w:hAnsi="宋体" w:cs="宋体"/>
          <w:sz w:val="24"/>
        </w:rPr>
        <w:t>（三）具有履行合同所必需的设备和专业技术能力；</w:t>
      </w:r>
    </w:p>
    <w:p w14:paraId="55F48F68">
      <w:pPr>
        <w:wordWrap w:val="0"/>
        <w:spacing w:line="360" w:lineRule="auto"/>
        <w:ind w:firstLine="480" w:firstLineChars="200"/>
        <w:rPr>
          <w:rFonts w:ascii="宋体" w:hAnsi="宋体" w:cs="宋体"/>
          <w:sz w:val="24"/>
        </w:rPr>
      </w:pPr>
      <w:r>
        <w:rPr>
          <w:rFonts w:hint="eastAsia" w:ascii="宋体" w:hAnsi="宋体" w:cs="宋体"/>
          <w:sz w:val="24"/>
        </w:rPr>
        <w:t>（四）有依法缴纳税收和社会保障资金的良好记录；</w:t>
      </w:r>
    </w:p>
    <w:p w14:paraId="24CE4185">
      <w:pPr>
        <w:wordWrap w:val="0"/>
        <w:spacing w:line="360" w:lineRule="auto"/>
        <w:ind w:firstLine="480" w:firstLineChars="200"/>
        <w:rPr>
          <w:rFonts w:ascii="宋体" w:hAnsi="宋体" w:cs="宋体"/>
          <w:sz w:val="24"/>
        </w:rPr>
      </w:pPr>
      <w:r>
        <w:rPr>
          <w:rFonts w:hint="eastAsia" w:ascii="宋体" w:hAnsi="宋体" w:cs="宋体"/>
          <w:sz w:val="24"/>
        </w:rPr>
        <w:t>（五）参加政府采购活动前三年内，在经营活动中没有重大违法记录；</w:t>
      </w:r>
    </w:p>
    <w:p w14:paraId="6057E0D0">
      <w:pPr>
        <w:wordWrap w:val="0"/>
        <w:spacing w:line="360" w:lineRule="auto"/>
        <w:ind w:firstLine="480" w:firstLineChars="200"/>
        <w:rPr>
          <w:rFonts w:ascii="宋体" w:hAnsi="宋体" w:cs="宋体"/>
          <w:sz w:val="24"/>
        </w:rPr>
      </w:pPr>
      <w:r>
        <w:rPr>
          <w:rFonts w:hint="eastAsia" w:ascii="宋体" w:hAnsi="宋体" w:cs="宋体"/>
          <w:sz w:val="24"/>
        </w:rPr>
        <w:t>（六）法律、行政法规规定的其他条件；</w:t>
      </w:r>
    </w:p>
    <w:p w14:paraId="3F0DADF9">
      <w:pPr>
        <w:wordWrap w:val="0"/>
        <w:spacing w:line="360" w:lineRule="auto"/>
        <w:ind w:firstLine="480" w:firstLineChars="200"/>
        <w:rPr>
          <w:rFonts w:ascii="宋体" w:hAnsi="宋体" w:cs="宋体"/>
          <w:sz w:val="24"/>
        </w:rPr>
      </w:pPr>
      <w:r>
        <w:rPr>
          <w:rFonts w:hint="eastAsia" w:ascii="宋体" w:hAnsi="宋体" w:cs="宋体"/>
          <w:sz w:val="24"/>
        </w:rPr>
        <w:t>（七）根据采购项目提出的特殊条件。</w:t>
      </w:r>
    </w:p>
    <w:p w14:paraId="00E2CE9B">
      <w:pPr>
        <w:wordWrap w:val="0"/>
        <w:spacing w:line="360" w:lineRule="auto"/>
        <w:ind w:firstLine="480" w:firstLineChars="200"/>
        <w:rPr>
          <w:rFonts w:ascii="宋体" w:hAnsi="宋体" w:cs="宋体"/>
          <w:sz w:val="24"/>
        </w:rPr>
      </w:pPr>
      <w:r>
        <w:rPr>
          <w:rFonts w:hint="eastAsia" w:ascii="宋体" w:hAnsi="宋体" w:cs="宋体"/>
          <w:sz w:val="24"/>
        </w:rPr>
        <w:t>二、完全接受和满足本项目竞争性磋商文件中规定的实质性要求，如对竞争性磋商文件有异议，已经在投标截止时间届满前依法进行维权救济，不存在对竞争性磋商文件有异议的同时又参加投标以求侥幸中标或者为实现其他非法目的的行为。</w:t>
      </w:r>
    </w:p>
    <w:p w14:paraId="43DE78F2">
      <w:pPr>
        <w:wordWrap w:val="0"/>
        <w:spacing w:line="360" w:lineRule="auto"/>
        <w:ind w:firstLine="480" w:firstLineChars="200"/>
        <w:rPr>
          <w:rFonts w:ascii="宋体" w:hAnsi="宋体" w:cs="宋体"/>
          <w:sz w:val="24"/>
        </w:rPr>
      </w:pPr>
      <w:r>
        <w:rPr>
          <w:rFonts w:hint="eastAsia" w:ascii="宋体" w:hAnsi="宋体" w:cs="宋体"/>
          <w:sz w:val="24"/>
        </w:rPr>
        <w:t>三、参加本次招标采购活动，不存在与单位负责人为同一人或者存在直接控股、管理关系的其他供应商参与同一合同项下的政府采购活动的行为。</w:t>
      </w:r>
    </w:p>
    <w:p w14:paraId="7B786C78">
      <w:pPr>
        <w:wordWrap w:val="0"/>
        <w:spacing w:line="360" w:lineRule="auto"/>
        <w:ind w:firstLine="480" w:firstLineChars="200"/>
        <w:rPr>
          <w:rFonts w:ascii="宋体" w:hAnsi="宋体" w:cs="宋体"/>
          <w:sz w:val="24"/>
        </w:rPr>
      </w:pPr>
      <w:r>
        <w:rPr>
          <w:rFonts w:hint="eastAsia" w:ascii="宋体" w:hAnsi="宋体" w:cs="宋体"/>
          <w:sz w:val="24"/>
        </w:rPr>
        <w:t>四、参加本次招标采购活动，不存在为采购项目提供整体设计、规范编制或者项目管理、监理、检测等服务的行为。</w:t>
      </w:r>
    </w:p>
    <w:p w14:paraId="0C39B7C5">
      <w:pPr>
        <w:wordWrap w:val="0"/>
        <w:spacing w:line="360" w:lineRule="auto"/>
        <w:ind w:firstLine="480" w:firstLineChars="200"/>
        <w:rPr>
          <w:rFonts w:ascii="宋体" w:hAnsi="宋体" w:cs="宋体"/>
          <w:sz w:val="24"/>
        </w:rPr>
      </w:pPr>
      <w:r>
        <w:rPr>
          <w:rFonts w:hint="eastAsia" w:ascii="宋体" w:hAnsi="宋体" w:cs="宋体"/>
          <w:sz w:val="24"/>
        </w:rPr>
        <w:t>五、参加本次招标采购活动，不存在和其他供应商在同一合同项下的采购项目中，同时委托同一个自然人、同一家庭的人员、同一单位的人员作为代理人的行为。</w:t>
      </w:r>
    </w:p>
    <w:p w14:paraId="491C90B8">
      <w:pPr>
        <w:wordWrap w:val="0"/>
        <w:spacing w:line="360" w:lineRule="auto"/>
        <w:ind w:firstLine="480" w:firstLineChars="200"/>
        <w:rPr>
          <w:rFonts w:ascii="宋体" w:hAnsi="宋体" w:cs="宋体"/>
          <w:sz w:val="24"/>
        </w:rPr>
      </w:pPr>
      <w:r>
        <w:rPr>
          <w:rFonts w:hint="eastAsia" w:ascii="宋体" w:hAnsi="宋体" w:cs="宋体"/>
          <w:sz w:val="24"/>
        </w:rPr>
        <w:t>六、供应商参加本次政府采购活动要求在近三年内供应商和其法定代表人没有行贿犯罪行为。</w:t>
      </w:r>
    </w:p>
    <w:p w14:paraId="59BC4E2F">
      <w:pPr>
        <w:wordWrap w:val="0"/>
        <w:spacing w:line="360" w:lineRule="auto"/>
        <w:ind w:firstLine="480" w:firstLineChars="200"/>
        <w:rPr>
          <w:rFonts w:ascii="宋体" w:hAnsi="宋体" w:cs="宋体"/>
          <w:sz w:val="24"/>
        </w:rPr>
      </w:pPr>
      <w:r>
        <w:rPr>
          <w:rFonts w:hint="eastAsia" w:ascii="宋体" w:hAnsi="宋体" w:cs="宋体"/>
          <w:sz w:val="24"/>
        </w:rPr>
        <w:t>七、参加本次招标采购活动，不存在联合体投标。</w:t>
      </w:r>
    </w:p>
    <w:p w14:paraId="498840F7">
      <w:pPr>
        <w:wordWrap w:val="0"/>
        <w:spacing w:line="360" w:lineRule="auto"/>
        <w:ind w:firstLine="480" w:firstLineChars="200"/>
        <w:rPr>
          <w:rFonts w:ascii="宋体" w:hAnsi="宋体" w:cs="宋体"/>
          <w:sz w:val="24"/>
        </w:rPr>
      </w:pPr>
      <w:r>
        <w:rPr>
          <w:rFonts w:hint="eastAsia" w:ascii="宋体" w:hAnsi="宋体" w:cs="宋体"/>
          <w:sz w:val="24"/>
        </w:rPr>
        <w:t>八、响应文件中提供的能够给予我公司带来优惠、好处的任何材料资料和技术、服务、商务等响应承诺情况都是真实的、有效的、合法的。</w:t>
      </w:r>
    </w:p>
    <w:p w14:paraId="20FEB01B">
      <w:pPr>
        <w:wordWrap w:val="0"/>
        <w:spacing w:line="360" w:lineRule="auto"/>
        <w:ind w:firstLine="480" w:firstLineChars="200"/>
        <w:rPr>
          <w:rFonts w:ascii="宋体" w:hAnsi="宋体" w:cs="宋体"/>
          <w:sz w:val="24"/>
        </w:rPr>
      </w:pPr>
      <w:r>
        <w:rPr>
          <w:rFonts w:hint="eastAsia" w:ascii="宋体" w:hAnsi="宋体" w:cs="宋体"/>
          <w:sz w:val="24"/>
        </w:rPr>
        <w:t>九、存在以下行为之一的愿意接受相关部门的处理：</w:t>
      </w:r>
    </w:p>
    <w:p w14:paraId="4555C31D">
      <w:pPr>
        <w:wordWrap w:val="0"/>
        <w:spacing w:line="360" w:lineRule="auto"/>
        <w:ind w:firstLine="480" w:firstLineChars="200"/>
        <w:rPr>
          <w:rFonts w:ascii="宋体" w:hAnsi="宋体" w:cs="宋体"/>
          <w:sz w:val="24"/>
        </w:rPr>
      </w:pPr>
      <w:r>
        <w:rPr>
          <w:rFonts w:hint="eastAsia" w:ascii="宋体" w:hAnsi="宋体" w:cs="宋体"/>
          <w:sz w:val="24"/>
        </w:rPr>
        <w:t>（一）投标有效期内撤销响应文件的；</w:t>
      </w:r>
    </w:p>
    <w:p w14:paraId="6098DB09">
      <w:pPr>
        <w:wordWrap w:val="0"/>
        <w:spacing w:line="360" w:lineRule="auto"/>
        <w:ind w:firstLine="480" w:firstLineChars="200"/>
        <w:rPr>
          <w:rFonts w:ascii="宋体" w:hAnsi="宋体" w:cs="宋体"/>
          <w:sz w:val="24"/>
        </w:rPr>
      </w:pPr>
      <w:r>
        <w:rPr>
          <w:rFonts w:hint="eastAsia" w:ascii="宋体" w:hAnsi="宋体" w:cs="宋体"/>
          <w:sz w:val="24"/>
        </w:rPr>
        <w:t>（二）在采购人确定中标人以前放弃中标候选资格的；</w:t>
      </w:r>
    </w:p>
    <w:p w14:paraId="3F629D79">
      <w:pPr>
        <w:wordWrap w:val="0"/>
        <w:spacing w:line="360" w:lineRule="auto"/>
        <w:ind w:firstLine="480" w:firstLineChars="200"/>
        <w:rPr>
          <w:rFonts w:ascii="宋体" w:hAnsi="宋体" w:cs="宋体"/>
          <w:sz w:val="24"/>
        </w:rPr>
      </w:pPr>
      <w:r>
        <w:rPr>
          <w:rFonts w:hint="eastAsia" w:ascii="宋体" w:hAnsi="宋体" w:cs="宋体"/>
          <w:sz w:val="24"/>
        </w:rPr>
        <w:t>（三）由于中标人的原因未能按照竞争性磋商文件的规定与采购人签订合同；</w:t>
      </w:r>
    </w:p>
    <w:p w14:paraId="224BFB2F">
      <w:pPr>
        <w:wordWrap w:val="0"/>
        <w:spacing w:line="360" w:lineRule="auto"/>
        <w:ind w:firstLine="480" w:firstLineChars="200"/>
        <w:rPr>
          <w:rFonts w:ascii="宋体" w:hAnsi="宋体" w:cs="宋体"/>
          <w:sz w:val="24"/>
        </w:rPr>
      </w:pPr>
      <w:r>
        <w:rPr>
          <w:rFonts w:hint="eastAsia" w:ascii="宋体" w:hAnsi="宋体" w:cs="宋体"/>
          <w:sz w:val="24"/>
        </w:rPr>
        <w:t>（四）由于中标人的原因未能按照竞争性磋商文件的规定交纳履约保证金；</w:t>
      </w:r>
    </w:p>
    <w:p w14:paraId="282A1A41">
      <w:pPr>
        <w:wordWrap w:val="0"/>
        <w:spacing w:line="360" w:lineRule="auto"/>
        <w:ind w:firstLine="480" w:firstLineChars="200"/>
        <w:rPr>
          <w:rFonts w:ascii="宋体" w:hAnsi="宋体" w:cs="宋体"/>
          <w:sz w:val="24"/>
        </w:rPr>
      </w:pPr>
      <w:r>
        <w:rPr>
          <w:rFonts w:hint="eastAsia" w:ascii="宋体" w:hAnsi="宋体" w:cs="宋体"/>
          <w:sz w:val="24"/>
        </w:rPr>
        <w:t>（五）在响应文件中提供虚假材料谋取中标；</w:t>
      </w:r>
    </w:p>
    <w:p w14:paraId="357B7D32">
      <w:pPr>
        <w:wordWrap w:val="0"/>
        <w:spacing w:line="360" w:lineRule="auto"/>
        <w:ind w:firstLine="480" w:firstLineChars="200"/>
        <w:rPr>
          <w:rFonts w:ascii="宋体" w:hAnsi="宋体" w:cs="宋体"/>
          <w:sz w:val="24"/>
        </w:rPr>
      </w:pPr>
      <w:r>
        <w:rPr>
          <w:rFonts w:hint="eastAsia" w:ascii="宋体" w:hAnsi="宋体" w:cs="宋体"/>
          <w:sz w:val="24"/>
        </w:rPr>
        <w:t>（六）与采购人、其他供应商或者采购代理机构恶意串通的；</w:t>
      </w:r>
    </w:p>
    <w:p w14:paraId="76221460">
      <w:pPr>
        <w:wordWrap w:val="0"/>
        <w:spacing w:line="360" w:lineRule="auto"/>
        <w:ind w:firstLine="480" w:firstLineChars="200"/>
        <w:rPr>
          <w:rFonts w:ascii="宋体" w:hAnsi="宋体" w:cs="宋体"/>
          <w:sz w:val="24"/>
        </w:rPr>
      </w:pPr>
      <w:r>
        <w:rPr>
          <w:rFonts w:hint="eastAsia" w:ascii="宋体" w:hAnsi="宋体" w:cs="宋体"/>
          <w:sz w:val="24"/>
        </w:rPr>
        <w:t>（七）</w:t>
      </w:r>
      <w:r>
        <w:rPr>
          <w:rFonts w:hint="eastAsia" w:ascii="宋体" w:hAnsi="宋体" w:cs="宋体"/>
          <w:sz w:val="24"/>
          <w:lang w:val="en-US" w:eastAsia="zh-CN"/>
        </w:rPr>
        <w:t>磋商</w:t>
      </w:r>
      <w:r>
        <w:rPr>
          <w:rFonts w:hint="eastAsia" w:ascii="宋体" w:hAnsi="宋体" w:cs="宋体"/>
          <w:sz w:val="24"/>
        </w:rPr>
        <w:t>有效期内，供应商在政府采购活动中有违法、违规、违纪行为。</w:t>
      </w:r>
    </w:p>
    <w:p w14:paraId="2BB7833C">
      <w:pPr>
        <w:wordWrap w:val="0"/>
        <w:spacing w:line="360" w:lineRule="auto"/>
        <w:ind w:firstLine="480" w:firstLineChars="200"/>
        <w:rPr>
          <w:rFonts w:ascii="宋体" w:hAnsi="宋体" w:cs="宋体"/>
          <w:sz w:val="24"/>
        </w:rPr>
      </w:pPr>
      <w:r>
        <w:rPr>
          <w:rFonts w:hint="eastAsia" w:ascii="宋体" w:hAnsi="宋体" w:cs="宋体"/>
          <w:sz w:val="24"/>
        </w:rPr>
        <w:t>由此产生的一切法律后果和责任由我公司承担。我公司声明放弃对此提出任何异议和追索的权利。</w:t>
      </w:r>
    </w:p>
    <w:p w14:paraId="2F9B8AE4">
      <w:pPr>
        <w:wordWrap w:val="0"/>
        <w:spacing w:line="360" w:lineRule="auto"/>
        <w:ind w:firstLine="480" w:firstLineChars="200"/>
        <w:rPr>
          <w:rFonts w:ascii="宋体" w:hAnsi="宋体" w:cs="宋体"/>
          <w:sz w:val="24"/>
        </w:rPr>
      </w:pPr>
      <w:r>
        <w:rPr>
          <w:rFonts w:hint="eastAsia" w:ascii="宋体" w:hAnsi="宋体" w:cs="宋体"/>
          <w:sz w:val="24"/>
        </w:rPr>
        <w:t>本公司对上述承诺的内容事项真实性负责。如经查实上述承诺的内容事项存在虚假，我公司愿意接受以提供虚假材料谋取中标追究法律责任。</w:t>
      </w:r>
    </w:p>
    <w:p w14:paraId="580EB103">
      <w:pPr>
        <w:wordWrap w:val="0"/>
        <w:spacing w:line="360" w:lineRule="auto"/>
        <w:ind w:firstLine="480" w:firstLineChars="200"/>
        <w:rPr>
          <w:rFonts w:ascii="宋体" w:hAnsi="宋体" w:cs="宋体"/>
          <w:sz w:val="24"/>
        </w:rPr>
      </w:pPr>
      <w:r>
        <w:rPr>
          <w:rFonts w:hint="eastAsia" w:ascii="宋体" w:hAnsi="宋体" w:cs="宋体"/>
          <w:sz w:val="24"/>
        </w:rPr>
        <w:t xml:space="preserve"> </w:t>
      </w:r>
    </w:p>
    <w:p w14:paraId="6992F2E9">
      <w:pPr>
        <w:wordWrap w:val="0"/>
        <w:spacing w:line="360" w:lineRule="auto"/>
        <w:ind w:firstLine="480" w:firstLineChars="200"/>
        <w:rPr>
          <w:rFonts w:ascii="宋体" w:hAnsi="宋体" w:cs="宋体"/>
          <w:sz w:val="24"/>
        </w:rPr>
      </w:pPr>
      <w:r>
        <w:rPr>
          <w:rFonts w:hint="eastAsia" w:ascii="宋体" w:hAnsi="宋体" w:cs="宋体"/>
          <w:sz w:val="24"/>
        </w:rPr>
        <w:t>供应商：               （公章签章）</w:t>
      </w:r>
    </w:p>
    <w:p w14:paraId="0FCDB451">
      <w:pPr>
        <w:wordWrap w:val="0"/>
        <w:spacing w:line="360" w:lineRule="auto"/>
        <w:ind w:firstLine="480" w:firstLineChars="200"/>
        <w:rPr>
          <w:rFonts w:ascii="宋体" w:hAnsi="宋体" w:cs="宋体"/>
          <w:sz w:val="24"/>
        </w:rPr>
      </w:pPr>
      <w:r>
        <w:rPr>
          <w:rFonts w:hint="eastAsia" w:ascii="宋体" w:hAnsi="宋体" w:cs="宋体"/>
          <w:sz w:val="24"/>
        </w:rPr>
        <w:t>法定代表人：               （签章）</w:t>
      </w:r>
    </w:p>
    <w:p w14:paraId="7E297995">
      <w:pPr>
        <w:widowControl w:val="0"/>
        <w:spacing w:line="360" w:lineRule="auto"/>
        <w:jc w:val="center"/>
        <w:outlineLvl w:val="9"/>
        <w:rPr>
          <w:rFonts w:ascii="宋体" w:hAnsi="宋体" w:cs="仿宋"/>
          <w:sz w:val="24"/>
          <w:szCs w:val="24"/>
        </w:rPr>
      </w:pPr>
      <w:r>
        <w:rPr>
          <w:rFonts w:hint="eastAsia" w:ascii="宋体" w:hAnsi="宋体" w:cs="宋体"/>
          <w:sz w:val="24"/>
        </w:rPr>
        <w:t xml:space="preserve">日期：              </w:t>
      </w:r>
      <w:bookmarkStart w:id="97" w:name="_Toc394651926"/>
      <w:bookmarkEnd w:id="97"/>
      <w:bookmarkStart w:id="98" w:name="_Toc144974862"/>
      <w:bookmarkEnd w:id="98"/>
      <w:bookmarkStart w:id="99" w:name="_Toc247085880"/>
      <w:bookmarkEnd w:id="99"/>
      <w:bookmarkStart w:id="100" w:name="_Toc528078071"/>
      <w:bookmarkEnd w:id="100"/>
      <w:bookmarkStart w:id="101" w:name="_Toc244934213"/>
      <w:bookmarkEnd w:id="101"/>
      <w:bookmarkStart w:id="102" w:name="_Toc152042583"/>
      <w:bookmarkEnd w:id="102"/>
      <w:bookmarkStart w:id="103" w:name="_Toc246997105"/>
      <w:bookmarkEnd w:id="103"/>
      <w:bookmarkStart w:id="104" w:name="_Toc244934212"/>
      <w:bookmarkEnd w:id="104"/>
      <w:bookmarkStart w:id="105" w:name="_Toc179632814"/>
      <w:bookmarkEnd w:id="105"/>
      <w:bookmarkStart w:id="106" w:name="_Toc361989463"/>
      <w:bookmarkEnd w:id="106"/>
      <w:bookmarkStart w:id="107" w:name="_Hlk3282331"/>
      <w:bookmarkEnd w:id="107"/>
      <w:bookmarkStart w:id="108" w:name="_Toc246996362"/>
      <w:bookmarkEnd w:id="108"/>
      <w:bookmarkStart w:id="109" w:name="_Toc152045794"/>
      <w:bookmarkEnd w:id="109"/>
      <w:bookmarkStart w:id="110" w:name="_Toc361989462"/>
      <w:bookmarkEnd w:id="110"/>
    </w:p>
    <w:p w14:paraId="3DC524FB">
      <w:pPr>
        <w:widowControl w:val="0"/>
        <w:spacing w:line="360" w:lineRule="auto"/>
        <w:jc w:val="center"/>
        <w:outlineLvl w:val="9"/>
        <w:rPr>
          <w:rFonts w:hint="default" w:ascii="宋体" w:hAnsi="宋体" w:eastAsia="宋体"/>
          <w:sz w:val="24"/>
          <w:szCs w:val="24"/>
          <w:lang w:val="en-US" w:eastAsia="zh-CN"/>
        </w:rPr>
      </w:pPr>
      <w:r>
        <w:rPr>
          <w:rFonts w:hint="eastAsia" w:ascii="宋体" w:hAnsi="宋体" w:cs="仿宋"/>
          <w:b/>
          <w:kern w:val="2"/>
          <w:sz w:val="24"/>
          <w:szCs w:val="24"/>
        </w:rPr>
        <w:br w:type="page"/>
      </w:r>
      <w:bookmarkStart w:id="111" w:name="_Toc7390"/>
      <w:r>
        <w:rPr>
          <w:rFonts w:hint="eastAsia" w:ascii="宋体" w:hAnsi="宋体" w:cs="仿宋"/>
          <w:b/>
          <w:kern w:val="2"/>
          <w:sz w:val="32"/>
          <w:szCs w:val="32"/>
          <w:lang w:val="en-US" w:eastAsia="zh-CN"/>
        </w:rPr>
        <w:t>七</w:t>
      </w:r>
      <w:r>
        <w:rPr>
          <w:rFonts w:hint="eastAsia" w:ascii="宋体" w:hAnsi="宋体" w:cs="仿宋"/>
          <w:b/>
          <w:kern w:val="2"/>
          <w:sz w:val="32"/>
          <w:szCs w:val="32"/>
        </w:rPr>
        <w:t>、</w:t>
      </w:r>
      <w:bookmarkEnd w:id="111"/>
      <w:bookmarkStart w:id="112" w:name="_Toc461977439"/>
      <w:bookmarkEnd w:id="112"/>
      <w:r>
        <w:rPr>
          <w:rFonts w:hint="eastAsia" w:ascii="宋体" w:hAnsi="宋体" w:cs="仿宋"/>
          <w:b/>
          <w:kern w:val="2"/>
          <w:sz w:val="32"/>
          <w:szCs w:val="32"/>
          <w:lang w:val="en-US" w:eastAsia="zh-CN"/>
        </w:rPr>
        <w:t>商务部分</w:t>
      </w:r>
    </w:p>
    <w:p w14:paraId="3B15EEE2">
      <w:pPr>
        <w:widowControl w:val="0"/>
        <w:jc w:val="both"/>
        <w:rPr>
          <w:rFonts w:ascii="宋体" w:hAnsi="宋体"/>
          <w:sz w:val="24"/>
          <w:szCs w:val="24"/>
        </w:rPr>
      </w:pPr>
    </w:p>
    <w:p w14:paraId="00B385E0">
      <w:pPr>
        <w:widowControl w:val="0"/>
        <w:jc w:val="center"/>
        <w:rPr>
          <w:rFonts w:ascii="宋体" w:hAnsi="宋体" w:cs="宋体"/>
          <w:sz w:val="24"/>
          <w:szCs w:val="24"/>
        </w:rPr>
      </w:pPr>
    </w:p>
    <w:p w14:paraId="2543D4C0">
      <w:pPr>
        <w:rPr>
          <w:sz w:val="28"/>
          <w:szCs w:val="28"/>
        </w:rPr>
      </w:pPr>
    </w:p>
    <w:p w14:paraId="17CB85B6">
      <w:pPr>
        <w:widowControl w:val="0"/>
        <w:spacing w:line="360" w:lineRule="auto"/>
        <w:ind w:firstLine="560" w:firstLineChars="200"/>
        <w:jc w:val="center"/>
        <w:outlineLvl w:val="0"/>
        <w:rPr>
          <w:rFonts w:ascii="宋体" w:hAnsi="宋体" w:cs="仿宋"/>
          <w:b/>
          <w:kern w:val="2"/>
          <w:sz w:val="32"/>
          <w:szCs w:val="32"/>
        </w:rPr>
      </w:pPr>
      <w:r>
        <w:rPr>
          <w:rFonts w:hint="eastAsia"/>
          <w:sz w:val="28"/>
          <w:szCs w:val="28"/>
        </w:rPr>
        <w:br w:type="page"/>
      </w:r>
      <w:bookmarkStart w:id="113" w:name="_Toc19995"/>
      <w:r>
        <w:rPr>
          <w:rFonts w:hint="eastAsia" w:ascii="宋体" w:hAnsi="宋体" w:cs="仿宋"/>
          <w:b/>
          <w:kern w:val="2"/>
          <w:sz w:val="32"/>
          <w:szCs w:val="32"/>
          <w:lang w:val="en-US" w:eastAsia="zh-CN"/>
        </w:rPr>
        <w:t>八、供应商认为应附的其他资料</w:t>
      </w:r>
      <w:bookmarkEnd w:id="113"/>
    </w:p>
    <w:p w14:paraId="5A334C9E">
      <w:pPr>
        <w:widowControl w:val="0"/>
        <w:spacing w:line="360" w:lineRule="auto"/>
        <w:jc w:val="center"/>
        <w:outlineLvl w:val="9"/>
        <w:rPr>
          <w:rFonts w:ascii="宋体" w:hAnsi="宋体" w:cs="仿宋"/>
          <w:b/>
          <w:kern w:val="2"/>
          <w:sz w:val="24"/>
          <w:szCs w:val="24"/>
        </w:rPr>
      </w:pPr>
    </w:p>
    <w:p w14:paraId="203B9F45">
      <w:pPr>
        <w:rPr>
          <w:sz w:val="28"/>
          <w:szCs w:val="28"/>
        </w:rPr>
      </w:pPr>
    </w:p>
    <w:p w14:paraId="20915ABA">
      <w:pPr>
        <w:rPr>
          <w:sz w:val="28"/>
          <w:szCs w:val="28"/>
        </w:rPr>
      </w:pPr>
    </w:p>
    <w:p w14:paraId="50C16312">
      <w:pPr>
        <w:rPr>
          <w:sz w:val="28"/>
          <w:szCs w:val="28"/>
        </w:rPr>
      </w:pPr>
    </w:p>
    <w:p w14:paraId="3612157F">
      <w:pPr>
        <w:rPr>
          <w:sz w:val="28"/>
          <w:szCs w:val="28"/>
        </w:rPr>
      </w:pPr>
    </w:p>
    <w:p w14:paraId="3751AA77">
      <w:pPr>
        <w:rPr>
          <w:sz w:val="28"/>
          <w:szCs w:val="28"/>
        </w:rPr>
      </w:pPr>
    </w:p>
    <w:p w14:paraId="593F4999">
      <w:pPr>
        <w:rPr>
          <w:sz w:val="28"/>
          <w:szCs w:val="28"/>
        </w:rPr>
      </w:pPr>
    </w:p>
    <w:p w14:paraId="5E238729">
      <w:pPr>
        <w:rPr>
          <w:sz w:val="28"/>
          <w:szCs w:val="28"/>
        </w:rPr>
      </w:pPr>
    </w:p>
    <w:p w14:paraId="5B86231C">
      <w:pPr>
        <w:rPr>
          <w:sz w:val="28"/>
          <w:szCs w:val="28"/>
        </w:rPr>
      </w:pPr>
    </w:p>
    <w:p w14:paraId="524BB570">
      <w:pPr>
        <w:rPr>
          <w:sz w:val="28"/>
          <w:szCs w:val="28"/>
        </w:rPr>
      </w:pPr>
    </w:p>
    <w:p w14:paraId="64EE5D62">
      <w:pPr>
        <w:rPr>
          <w:sz w:val="28"/>
          <w:szCs w:val="28"/>
        </w:rPr>
      </w:pPr>
    </w:p>
    <w:p w14:paraId="3DCCA540">
      <w:pPr>
        <w:rPr>
          <w:sz w:val="28"/>
          <w:szCs w:val="28"/>
        </w:rPr>
      </w:pPr>
    </w:p>
    <w:p w14:paraId="4880464D">
      <w:pPr>
        <w:rPr>
          <w:sz w:val="28"/>
          <w:szCs w:val="28"/>
        </w:rPr>
      </w:pPr>
    </w:p>
    <w:p w14:paraId="5CEE93D5">
      <w:pPr>
        <w:rPr>
          <w:sz w:val="28"/>
          <w:szCs w:val="28"/>
        </w:rPr>
      </w:pPr>
    </w:p>
    <w:p w14:paraId="3759FDB2">
      <w:pPr>
        <w:rPr>
          <w:sz w:val="28"/>
          <w:szCs w:val="28"/>
        </w:rPr>
      </w:pPr>
    </w:p>
    <w:p w14:paraId="17C80697">
      <w:pPr>
        <w:rPr>
          <w:sz w:val="28"/>
          <w:szCs w:val="28"/>
        </w:rPr>
      </w:pPr>
    </w:p>
    <w:p w14:paraId="4CD525C0">
      <w:pPr>
        <w:rPr>
          <w:sz w:val="28"/>
          <w:szCs w:val="28"/>
        </w:rPr>
      </w:pPr>
    </w:p>
    <w:p w14:paraId="6680715F">
      <w:pPr>
        <w:rPr>
          <w:sz w:val="28"/>
          <w:szCs w:val="28"/>
        </w:rPr>
      </w:pPr>
    </w:p>
    <w:p w14:paraId="074DC52E">
      <w:pPr>
        <w:rPr>
          <w:sz w:val="28"/>
          <w:szCs w:val="28"/>
        </w:rPr>
      </w:pPr>
    </w:p>
    <w:p w14:paraId="226E506C">
      <w:pPr>
        <w:rPr>
          <w:sz w:val="28"/>
          <w:szCs w:val="28"/>
        </w:rPr>
      </w:pPr>
    </w:p>
    <w:p w14:paraId="7BEAA5D9">
      <w:pPr>
        <w:rPr>
          <w:sz w:val="28"/>
          <w:szCs w:val="28"/>
        </w:rPr>
      </w:pPr>
    </w:p>
    <w:p w14:paraId="10AC7AFC">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附件1：</w:t>
      </w:r>
    </w:p>
    <w:p w14:paraId="2E38D813">
      <w:pPr>
        <w:spacing w:line="480" w:lineRule="exact"/>
        <w:jc w:val="center"/>
        <w:rPr>
          <w:rFonts w:hint="eastAsia" w:asciiTheme="minorEastAsia" w:hAnsiTheme="minorEastAsia" w:cstheme="minorEastAsia"/>
          <w:b/>
          <w:sz w:val="24"/>
          <w:szCs w:val="24"/>
        </w:rPr>
      </w:pPr>
      <w:r>
        <w:rPr>
          <w:rFonts w:hint="eastAsia" w:asciiTheme="minorEastAsia" w:hAnsiTheme="minorEastAsia" w:cstheme="minorEastAsia"/>
          <w:b/>
          <w:sz w:val="24"/>
          <w:szCs w:val="24"/>
        </w:rPr>
        <w:t>中小企业声明函（服务）</w:t>
      </w:r>
    </w:p>
    <w:p w14:paraId="2B927D1E">
      <w:pPr>
        <w:spacing w:line="360" w:lineRule="auto"/>
        <w:ind w:firstLine="566" w:firstLineChars="236"/>
        <w:rPr>
          <w:rFonts w:hint="eastAsia" w:asciiTheme="minorEastAsia" w:hAnsiTheme="minorEastAsia" w:cstheme="minorEastAsia"/>
          <w:sz w:val="24"/>
          <w:szCs w:val="24"/>
        </w:rPr>
      </w:pPr>
      <w:r>
        <w:rPr>
          <w:rFonts w:hint="eastAsia" w:asciiTheme="minorEastAsia" w:hAnsiTheme="minorEastAsia" w:cstheme="minorEastAsia"/>
          <w:sz w:val="24"/>
          <w:szCs w:val="24"/>
        </w:rPr>
        <w:t>本公司（联合体）郑重声明， 根据《政府采购促进中小企业发展管理办法》（财库﹝ 2020﹞ 46 号）的规定， 本公司（联合体）参加</w:t>
      </w:r>
      <w:r>
        <w:rPr>
          <w:rFonts w:hint="eastAsia" w:asciiTheme="minorEastAsia" w:hAnsiTheme="minorEastAsia" w:cstheme="minorEastAsia"/>
          <w:sz w:val="24"/>
          <w:szCs w:val="24"/>
          <w:u w:val="single"/>
        </w:rPr>
        <w:t>（单位名称）</w:t>
      </w:r>
      <w:r>
        <w:rPr>
          <w:rFonts w:hint="eastAsia" w:asciiTheme="minorEastAsia" w:hAnsiTheme="minorEastAsia" w:cstheme="minorEastAsia"/>
          <w:sz w:val="24"/>
          <w:szCs w:val="24"/>
        </w:rPr>
        <w:t xml:space="preserve"> 的</w:t>
      </w:r>
      <w:r>
        <w:rPr>
          <w:rFonts w:hint="eastAsia" w:asciiTheme="minorEastAsia" w:hAnsiTheme="minorEastAsia" w:cstheme="minorEastAsia"/>
          <w:sz w:val="24"/>
          <w:szCs w:val="24"/>
          <w:u w:val="single"/>
        </w:rPr>
        <w:t xml:space="preserve">（项目名称） </w:t>
      </w:r>
      <w:r>
        <w:rPr>
          <w:rFonts w:hint="eastAsia" w:asciiTheme="minorEastAsia" w:hAnsiTheme="minorEastAsia" w:cstheme="minorEastAsia"/>
          <w:sz w:val="24"/>
          <w:szCs w:val="24"/>
        </w:rPr>
        <w:t>采购活动，服务全部由符合政策要求的中小企业承接。相关企业（含联合体中的中小企业、签订分包意向协议的中小企业） 的具体情况如下：</w:t>
      </w:r>
    </w:p>
    <w:p w14:paraId="01B8EB4F">
      <w:pPr>
        <w:spacing w:line="360" w:lineRule="auto"/>
        <w:ind w:firstLine="566" w:firstLineChars="236"/>
        <w:rPr>
          <w:rFonts w:hint="eastAsia" w:asciiTheme="minorEastAsia" w:hAnsiTheme="minorEastAsia" w:cstheme="minorEastAsia"/>
          <w:sz w:val="24"/>
          <w:szCs w:val="24"/>
        </w:rPr>
      </w:pPr>
      <w:r>
        <w:rPr>
          <w:rFonts w:hint="eastAsia" w:asciiTheme="minorEastAsia" w:hAnsiTheme="minorEastAsia" w:cstheme="minorEastAsia"/>
          <w:sz w:val="24"/>
          <w:szCs w:val="24"/>
          <w:u w:val="single"/>
        </w:rPr>
        <w:t xml:space="preserve">1.（标的名称） </w:t>
      </w:r>
      <w:r>
        <w:rPr>
          <w:rFonts w:hint="eastAsia" w:asciiTheme="minorEastAsia" w:hAnsiTheme="minorEastAsia" w:cstheme="minorEastAsia"/>
          <w:sz w:val="24"/>
          <w:szCs w:val="24"/>
        </w:rPr>
        <w:t>， 属于</w:t>
      </w:r>
      <w:r>
        <w:rPr>
          <w:rFonts w:hint="eastAsia" w:asciiTheme="minorEastAsia" w:hAnsiTheme="minorEastAsia" w:cstheme="minorEastAsia"/>
          <w:sz w:val="24"/>
          <w:szCs w:val="24"/>
          <w:u w:val="single"/>
        </w:rPr>
        <w:t>（采购文件中明确的所属行业）</w:t>
      </w:r>
      <w:r>
        <w:rPr>
          <w:rFonts w:hint="eastAsia" w:asciiTheme="minorEastAsia" w:hAnsiTheme="minorEastAsia" w:cstheme="minorEastAsia"/>
          <w:sz w:val="24"/>
          <w:szCs w:val="24"/>
        </w:rPr>
        <w:t>；承建（ 承接） 企业为</w:t>
      </w:r>
      <w:r>
        <w:rPr>
          <w:rFonts w:hint="eastAsia" w:asciiTheme="minorEastAsia" w:hAnsiTheme="minorEastAsia" w:cstheme="minorEastAsia"/>
          <w:sz w:val="24"/>
          <w:szCs w:val="24"/>
          <w:u w:val="single"/>
        </w:rPr>
        <w:t>（企业名称）</w:t>
      </w:r>
      <w:r>
        <w:rPr>
          <w:rFonts w:hint="eastAsia" w:asciiTheme="minorEastAsia" w:hAnsiTheme="minorEastAsia" w:cstheme="minorEastAsia"/>
          <w:sz w:val="24"/>
          <w:szCs w:val="24"/>
        </w:rPr>
        <w:t>， 从业人员</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人， 营业收入为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 xml:space="preserve"> 万元， 资产总额为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万元1， 属于</w:t>
      </w:r>
      <w:r>
        <w:rPr>
          <w:rFonts w:hint="eastAsia" w:asciiTheme="minorEastAsia" w:hAnsiTheme="minorEastAsia" w:cstheme="minorEastAsia"/>
          <w:sz w:val="24"/>
          <w:szCs w:val="24"/>
          <w:u w:val="single"/>
        </w:rPr>
        <w:t>（中型企业、小型企业、 微型企业）</w:t>
      </w:r>
      <w:r>
        <w:rPr>
          <w:rFonts w:hint="eastAsia" w:asciiTheme="minorEastAsia" w:hAnsiTheme="minorEastAsia" w:cstheme="minorEastAsia"/>
          <w:sz w:val="24"/>
          <w:szCs w:val="24"/>
        </w:rPr>
        <w:t>；</w:t>
      </w:r>
    </w:p>
    <w:p w14:paraId="0C92EA0E">
      <w:pPr>
        <w:spacing w:line="360" w:lineRule="auto"/>
        <w:ind w:firstLine="566" w:firstLineChars="236"/>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2. </w:t>
      </w:r>
      <w:r>
        <w:rPr>
          <w:rFonts w:hint="eastAsia" w:asciiTheme="minorEastAsia" w:hAnsiTheme="minorEastAsia" w:cstheme="minorEastAsia"/>
          <w:sz w:val="24"/>
          <w:szCs w:val="24"/>
          <w:u w:val="single"/>
        </w:rPr>
        <w:t>（标的名称）</w:t>
      </w:r>
      <w:r>
        <w:rPr>
          <w:rFonts w:hint="eastAsia" w:asciiTheme="minorEastAsia" w:hAnsiTheme="minorEastAsia" w:cstheme="minorEastAsia"/>
          <w:sz w:val="24"/>
          <w:szCs w:val="24"/>
        </w:rPr>
        <w:t xml:space="preserve"> ， 属于</w:t>
      </w:r>
      <w:r>
        <w:rPr>
          <w:rFonts w:hint="eastAsia" w:asciiTheme="minorEastAsia" w:hAnsiTheme="minorEastAsia" w:cstheme="minorEastAsia"/>
          <w:sz w:val="24"/>
          <w:szCs w:val="24"/>
          <w:u w:val="single"/>
        </w:rPr>
        <w:t>（采购文件中明确的所属行业）</w:t>
      </w:r>
      <w:r>
        <w:rPr>
          <w:rFonts w:hint="eastAsia" w:asciiTheme="minorEastAsia" w:hAnsiTheme="minorEastAsia" w:cstheme="minorEastAsia"/>
          <w:sz w:val="24"/>
          <w:szCs w:val="24"/>
        </w:rPr>
        <w:t>；承建（ 承接） 企业为</w:t>
      </w:r>
      <w:r>
        <w:rPr>
          <w:rFonts w:hint="eastAsia" w:asciiTheme="minorEastAsia" w:hAnsiTheme="minorEastAsia" w:cstheme="minorEastAsia"/>
          <w:sz w:val="24"/>
          <w:szCs w:val="24"/>
          <w:u w:val="single"/>
        </w:rPr>
        <w:t>（企业名称）</w:t>
      </w:r>
      <w:r>
        <w:rPr>
          <w:rFonts w:hint="eastAsia" w:asciiTheme="minorEastAsia" w:hAnsiTheme="minorEastAsia" w:cstheme="minorEastAsia"/>
          <w:sz w:val="24"/>
          <w:szCs w:val="24"/>
        </w:rPr>
        <w:t>， 从业人员</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人， 营业收入为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万元， 资产总额为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万元， 属于</w:t>
      </w:r>
      <w:r>
        <w:rPr>
          <w:rFonts w:hint="eastAsia" w:asciiTheme="minorEastAsia" w:hAnsiTheme="minorEastAsia" w:cstheme="minorEastAsia"/>
          <w:sz w:val="24"/>
          <w:szCs w:val="24"/>
          <w:u w:val="single"/>
        </w:rPr>
        <w:t>（中型企业、小型企业、 微型企业）</w:t>
      </w:r>
      <w:r>
        <w:rPr>
          <w:rFonts w:hint="eastAsia" w:asciiTheme="minorEastAsia" w:hAnsiTheme="minorEastAsia" w:cstheme="minorEastAsia"/>
          <w:sz w:val="24"/>
          <w:szCs w:val="24"/>
        </w:rPr>
        <w:t>；</w:t>
      </w:r>
    </w:p>
    <w:p w14:paraId="6CC055A4">
      <w:pPr>
        <w:spacing w:line="360" w:lineRule="auto"/>
        <w:ind w:firstLine="566" w:firstLineChars="236"/>
        <w:rPr>
          <w:rFonts w:hint="eastAsia" w:asciiTheme="minorEastAsia" w:hAnsiTheme="minorEastAsia" w:cstheme="minorEastAsia"/>
          <w:sz w:val="24"/>
          <w:szCs w:val="24"/>
        </w:rPr>
      </w:pPr>
      <w:r>
        <w:rPr>
          <w:rFonts w:hint="eastAsia" w:asciiTheme="minorEastAsia" w:hAnsiTheme="minorEastAsia" w:cstheme="minorEastAsia"/>
          <w:sz w:val="24"/>
          <w:szCs w:val="24"/>
        </w:rPr>
        <w:t>……</w:t>
      </w:r>
    </w:p>
    <w:p w14:paraId="6F8DBE8E">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以上企业， 不属于大企业的分支机构， 不存在控股股东为大企业的情形， 也不存在与大企业的负责人为同一人的情形。</w:t>
      </w:r>
    </w:p>
    <w:p w14:paraId="08904955">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本企业对上述声明内容的真实性负责。 如有虚假， 将依法承担相应责任。</w:t>
      </w:r>
    </w:p>
    <w:p w14:paraId="6AEE3531">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企业名称（盖章）：</w:t>
      </w:r>
    </w:p>
    <w:p w14:paraId="3D1F3071">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日 期：</w:t>
      </w:r>
    </w:p>
    <w:p w14:paraId="14CA1D95">
      <w:pPr>
        <w:spacing w:line="360" w:lineRule="auto"/>
        <w:ind w:firstLine="480" w:firstLineChars="200"/>
        <w:rPr>
          <w:rFonts w:hint="eastAsia" w:asciiTheme="minorEastAsia" w:hAnsiTheme="minorEastAsia" w:cstheme="minorEastAsia"/>
          <w:sz w:val="24"/>
          <w:szCs w:val="24"/>
        </w:rPr>
      </w:pPr>
    </w:p>
    <w:p w14:paraId="629C24A1">
      <w:pPr>
        <w:spacing w:line="360" w:lineRule="auto"/>
        <w:ind w:firstLine="480" w:firstLineChars="200"/>
        <w:jc w:val="left"/>
        <w:rPr>
          <w:rFonts w:hint="eastAsia" w:ascii="宋体" w:hAnsi="宋体"/>
          <w:sz w:val="22"/>
          <w:szCs w:val="21"/>
        </w:rPr>
      </w:pPr>
      <w:r>
        <w:rPr>
          <w:rFonts w:hint="eastAsia" w:asciiTheme="minorEastAsia" w:hAnsiTheme="minorEastAsia" w:cstheme="minorEastAsia"/>
          <w:sz w:val="24"/>
          <w:szCs w:val="24"/>
        </w:rPr>
        <w:t>注：从业人员、营业收入、资产总额填报上一年度数据，无上一年度数据的新成立企业可不填报。</w:t>
      </w:r>
    </w:p>
    <w:p w14:paraId="3A2E10B6"/>
    <w:p w14:paraId="52595AFD"/>
    <w:p w14:paraId="0CE677D9"/>
    <w:sectPr>
      <w:footerReference r:id="rId7"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8A9B9">
    <w:pPr>
      <w:pStyle w:val="11"/>
      <w:tabs>
        <w:tab w:val="center" w:pos="4646"/>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3A880">
    <w:pPr>
      <w:pStyle w:val="11"/>
      <w:tabs>
        <w:tab w:val="center" w:pos="4646"/>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62C1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362C12">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AAFC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45143">
                          <w:pPr>
                            <w:pStyle w:val="11"/>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6D45143">
                    <w:pPr>
                      <w:pStyle w:val="1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D601D"/>
    <w:multiLevelType w:val="singleLevel"/>
    <w:tmpl w:val="8D3D601D"/>
    <w:lvl w:ilvl="0" w:tentative="0">
      <w:start w:val="1"/>
      <w:numFmt w:val="decimal"/>
      <w:lvlText w:val="%1."/>
      <w:lvlJc w:val="left"/>
      <w:pPr>
        <w:tabs>
          <w:tab w:val="left" w:pos="312"/>
        </w:tabs>
      </w:pPr>
    </w:lvl>
  </w:abstractNum>
  <w:abstractNum w:abstractNumId="1">
    <w:nsid w:val="A51CB669"/>
    <w:multiLevelType w:val="singleLevel"/>
    <w:tmpl w:val="A51CB669"/>
    <w:lvl w:ilvl="0" w:tentative="0">
      <w:start w:val="1"/>
      <w:numFmt w:val="chineseCounting"/>
      <w:suff w:val="space"/>
      <w:lvlText w:val="第%1章"/>
      <w:lvlJc w:val="left"/>
      <w:rPr>
        <w:rFonts w:hint="eastAsia"/>
      </w:rPr>
    </w:lvl>
  </w:abstractNum>
  <w:abstractNum w:abstractNumId="2">
    <w:nsid w:val="AA6B980A"/>
    <w:multiLevelType w:val="singleLevel"/>
    <w:tmpl w:val="AA6B980A"/>
    <w:lvl w:ilvl="0" w:tentative="0">
      <w:start w:val="1"/>
      <w:numFmt w:val="decimal"/>
      <w:lvlText w:val="%1."/>
      <w:lvlJc w:val="left"/>
      <w:pPr>
        <w:tabs>
          <w:tab w:val="left" w:pos="312"/>
        </w:tabs>
      </w:pPr>
    </w:lvl>
  </w:abstractNum>
  <w:abstractNum w:abstractNumId="3">
    <w:nsid w:val="EDEA0BFD"/>
    <w:multiLevelType w:val="singleLevel"/>
    <w:tmpl w:val="EDEA0BFD"/>
    <w:lvl w:ilvl="0" w:tentative="0">
      <w:start w:val="4"/>
      <w:numFmt w:val="chineseCounting"/>
      <w:suff w:val="space"/>
      <w:lvlText w:val="第%1章"/>
      <w:lvlJc w:val="left"/>
      <w:rPr>
        <w:rFonts w:hint="eastAsia"/>
      </w:rPr>
    </w:lvl>
  </w:abstractNum>
  <w:abstractNum w:abstractNumId="4">
    <w:nsid w:val="463B3679"/>
    <w:multiLevelType w:val="singleLevel"/>
    <w:tmpl w:val="463B3679"/>
    <w:lvl w:ilvl="0" w:tentative="0">
      <w:start w:val="1"/>
      <w:numFmt w:val="chineseCounting"/>
      <w:suff w:val="nothing"/>
      <w:lvlText w:val="%1、"/>
      <w:lvlJc w:val="left"/>
      <w:rPr>
        <w:rFonts w:hint="eastAsia"/>
      </w:rPr>
    </w:lvl>
  </w:abstractNum>
  <w:abstractNum w:abstractNumId="5">
    <w:nsid w:val="51C51F19"/>
    <w:multiLevelType w:val="singleLevel"/>
    <w:tmpl w:val="51C51F19"/>
    <w:lvl w:ilvl="0" w:tentative="0">
      <w:start w:val="1"/>
      <w:numFmt w:val="decimal"/>
      <w:lvlText w:val="%1."/>
      <w:lvlJc w:val="left"/>
      <w:pPr>
        <w:tabs>
          <w:tab w:val="left" w:pos="312"/>
        </w:tabs>
      </w:pPr>
    </w:lvl>
  </w:abstractNum>
  <w:abstractNum w:abstractNumId="6">
    <w:nsid w:val="6974AF06"/>
    <w:multiLevelType w:val="singleLevel"/>
    <w:tmpl w:val="6974AF06"/>
    <w:lvl w:ilvl="0" w:tentative="0">
      <w:start w:val="1"/>
      <w:numFmt w:val="decimal"/>
      <w:lvlText w:val="%1."/>
      <w:lvlJc w:val="left"/>
      <w:pPr>
        <w:tabs>
          <w:tab w:val="left" w:pos="312"/>
        </w:tabs>
      </w:pPr>
    </w:lvl>
  </w:abstractNum>
  <w:abstractNum w:abstractNumId="7">
    <w:nsid w:val="759B9014"/>
    <w:multiLevelType w:val="singleLevel"/>
    <w:tmpl w:val="759B9014"/>
    <w:lvl w:ilvl="0" w:tentative="0">
      <w:start w:val="1"/>
      <w:numFmt w:val="chineseCounting"/>
      <w:suff w:val="nothing"/>
      <w:lvlText w:val="%1、"/>
      <w:lvlJc w:val="left"/>
      <w:rPr>
        <w:rFonts w:hint="eastAsia"/>
      </w:rPr>
    </w:lvl>
  </w:abstractNum>
  <w:num w:numId="1">
    <w:abstractNumId w:val="1"/>
  </w:num>
  <w:num w:numId="2">
    <w:abstractNumId w:val="7"/>
  </w:num>
  <w:num w:numId="3">
    <w:abstractNumId w:val="2"/>
  </w:num>
  <w:num w:numId="4">
    <w:abstractNumId w:val="4"/>
  </w:num>
  <w:num w:numId="5">
    <w:abstractNumId w:val="6"/>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zYzAzOTAyZTg3YjM2MjllMzk5YTlhZmMyNThmOTYifQ=="/>
  </w:docVars>
  <w:rsids>
    <w:rsidRoot w:val="492E6A73"/>
    <w:rsid w:val="017C7E65"/>
    <w:rsid w:val="05614C66"/>
    <w:rsid w:val="07A70639"/>
    <w:rsid w:val="09437757"/>
    <w:rsid w:val="0A1A4D47"/>
    <w:rsid w:val="0AE027E0"/>
    <w:rsid w:val="0BD905FA"/>
    <w:rsid w:val="0E9C67EE"/>
    <w:rsid w:val="115455AE"/>
    <w:rsid w:val="11B024C9"/>
    <w:rsid w:val="143B34BC"/>
    <w:rsid w:val="182D1ED7"/>
    <w:rsid w:val="1E2E09BA"/>
    <w:rsid w:val="1F5C628B"/>
    <w:rsid w:val="28174CA6"/>
    <w:rsid w:val="2AC21CFA"/>
    <w:rsid w:val="2AE95028"/>
    <w:rsid w:val="2D0F07B8"/>
    <w:rsid w:val="2D4C095E"/>
    <w:rsid w:val="2D4E7FAB"/>
    <w:rsid w:val="3077734A"/>
    <w:rsid w:val="31E130B7"/>
    <w:rsid w:val="327864CE"/>
    <w:rsid w:val="35E52729"/>
    <w:rsid w:val="3A544B75"/>
    <w:rsid w:val="3D0773DC"/>
    <w:rsid w:val="3F4F6D77"/>
    <w:rsid w:val="410A6D1F"/>
    <w:rsid w:val="435208AA"/>
    <w:rsid w:val="469A59AF"/>
    <w:rsid w:val="492E6A73"/>
    <w:rsid w:val="49EF5898"/>
    <w:rsid w:val="532C3216"/>
    <w:rsid w:val="56AA7222"/>
    <w:rsid w:val="5B4E6926"/>
    <w:rsid w:val="5EC85C1B"/>
    <w:rsid w:val="61986ED0"/>
    <w:rsid w:val="660E605C"/>
    <w:rsid w:val="6645628D"/>
    <w:rsid w:val="6C1E6398"/>
    <w:rsid w:val="73DB179B"/>
    <w:rsid w:val="76B26DEE"/>
    <w:rsid w:val="7E005E25"/>
    <w:rsid w:val="7E160190"/>
    <w:rsid w:val="7EF24F07"/>
    <w:rsid w:val="7F580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560" w:firstLineChars="200"/>
      <w:jc w:val="left"/>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widowControl w:val="0"/>
      <w:ind w:firstLine="420"/>
      <w:jc w:val="both"/>
    </w:pPr>
    <w:rPr>
      <w:kern w:val="2"/>
      <w:sz w:val="21"/>
    </w:rPr>
  </w:style>
  <w:style w:type="paragraph" w:styleId="4">
    <w:name w:val="Body Text 2"/>
    <w:basedOn w:val="1"/>
    <w:next w:val="5"/>
    <w:qFormat/>
    <w:uiPriority w:val="0"/>
    <w:pPr>
      <w:spacing w:after="120" w:line="480" w:lineRule="auto"/>
      <w:ind w:firstLine="560" w:firstLineChars="200"/>
    </w:pPr>
    <w:rPr>
      <w:rFonts w:ascii="Calibri" w:hAnsi="Calibri" w:eastAsia="仿宋_GB2312"/>
      <w:sz w:val="28"/>
      <w:szCs w:val="24"/>
    </w:rPr>
  </w:style>
  <w:style w:type="paragraph" w:styleId="5">
    <w:name w:val="Plain Text"/>
    <w:basedOn w:val="1"/>
    <w:next w:val="6"/>
    <w:qFormat/>
    <w:uiPriority w:val="99"/>
    <w:pPr>
      <w:spacing w:line="240" w:lineRule="auto"/>
    </w:pPr>
    <w:rPr>
      <w:rFonts w:ascii="宋体" w:hAnsi="Courier New" w:eastAsia="宋体" w:cs="Times New Roman"/>
      <w:szCs w:val="20"/>
    </w:rPr>
  </w:style>
  <w:style w:type="paragraph" w:styleId="6">
    <w:name w:val="index 7"/>
    <w:basedOn w:val="1"/>
    <w:next w:val="1"/>
    <w:unhideWhenUsed/>
    <w:qFormat/>
    <w:uiPriority w:val="99"/>
    <w:pPr>
      <w:ind w:left="1200" w:leftChars="1200"/>
    </w:pPr>
  </w:style>
  <w:style w:type="paragraph" w:styleId="7">
    <w:name w:val="Body Text"/>
    <w:basedOn w:val="1"/>
    <w:next w:val="4"/>
    <w:qFormat/>
    <w:uiPriority w:val="0"/>
    <w:pPr>
      <w:spacing w:after="120" w:afterLines="0" w:afterAutospacing="0"/>
    </w:pPr>
  </w:style>
  <w:style w:type="paragraph" w:styleId="8">
    <w:name w:val="Body Text Indent"/>
    <w:basedOn w:val="1"/>
    <w:next w:val="9"/>
    <w:qFormat/>
    <w:uiPriority w:val="0"/>
    <w:pPr>
      <w:spacing w:after="120" w:afterLines="0" w:afterAutospacing="0"/>
      <w:ind w:left="420" w:leftChars="200"/>
    </w:pPr>
  </w:style>
  <w:style w:type="paragraph" w:styleId="9">
    <w:name w:val="envelope return"/>
    <w:basedOn w:val="1"/>
    <w:qFormat/>
    <w:uiPriority w:val="0"/>
    <w:pPr>
      <w:snapToGrid w:val="0"/>
    </w:pPr>
    <w:rPr>
      <w:rFonts w:ascii="Arial" w:hAnsi="Arial"/>
    </w:rPr>
  </w:style>
  <w:style w:type="paragraph" w:styleId="10">
    <w:name w:val="Body Text Indent 2"/>
    <w:basedOn w:val="1"/>
    <w:qFormat/>
    <w:uiPriority w:val="99"/>
    <w:pPr>
      <w:spacing w:line="540" w:lineRule="exact"/>
      <w:ind w:firstLine="720" w:firstLineChars="225"/>
      <w:jc w:val="left"/>
    </w:pPr>
    <w:rPr>
      <w:rFonts w:ascii="仿宋_GB2312" w:eastAsia="仿宋_GB2312"/>
      <w:sz w:val="32"/>
    </w:rPr>
  </w:style>
  <w:style w:type="paragraph" w:styleId="11">
    <w:name w:val="footer"/>
    <w:basedOn w:val="1"/>
    <w:unhideWhenUsed/>
    <w:qFormat/>
    <w:uiPriority w:val="0"/>
    <w:pPr>
      <w:tabs>
        <w:tab w:val="center" w:pos="4153"/>
        <w:tab w:val="right" w:pos="8306"/>
      </w:tabs>
      <w:snapToGrid w:val="0"/>
    </w:pPr>
    <w:rPr>
      <w:kern w:val="2"/>
      <w:sz w:val="18"/>
    </w:rPr>
  </w:style>
  <w:style w:type="paragraph" w:styleId="12">
    <w:name w:val="toc 1"/>
    <w:basedOn w:val="1"/>
    <w:next w:val="1"/>
    <w:qFormat/>
    <w:uiPriority w:val="39"/>
    <w:pPr>
      <w:widowControl w:val="0"/>
      <w:jc w:val="both"/>
    </w:pPr>
    <w:rPr>
      <w:kern w:val="2"/>
      <w:sz w:val="21"/>
      <w:szCs w:val="24"/>
    </w:rPr>
  </w:style>
  <w:style w:type="paragraph" w:styleId="13">
    <w:name w:val="toc 2"/>
    <w:basedOn w:val="1"/>
    <w:next w:val="1"/>
    <w:qFormat/>
    <w:uiPriority w:val="39"/>
    <w:pPr>
      <w:widowControl/>
      <w:spacing w:after="100" w:line="276" w:lineRule="auto"/>
      <w:ind w:left="220"/>
      <w:jc w:val="left"/>
    </w:pPr>
    <w:rPr>
      <w:rFonts w:ascii="Calibri" w:hAnsi="Calibri"/>
      <w:kern w:val="0"/>
      <w:sz w:val="22"/>
      <w:szCs w:val="22"/>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1"/>
    <w:next w:val="16"/>
    <w:unhideWhenUsed/>
    <w:qFormat/>
    <w:uiPriority w:val="99"/>
    <w:pPr>
      <w:ind w:firstLine="420"/>
    </w:pPr>
    <w:rPr>
      <w:rFonts w:eastAsia="楷体_GB2312"/>
      <w:sz w:val="20"/>
      <w:szCs w:val="20"/>
    </w:rPr>
  </w:style>
  <w:style w:type="paragraph" w:styleId="16">
    <w:name w:val="Body Text First Indent 2"/>
    <w:basedOn w:val="8"/>
    <w:next w:val="3"/>
    <w:unhideWhenUsed/>
    <w:qFormat/>
    <w:uiPriority w:val="99"/>
    <w:pPr>
      <w:ind w:firstLine="420" w:firstLineChars="200"/>
    </w:pPr>
  </w:style>
  <w:style w:type="table" w:styleId="18">
    <w:name w:val="Table Grid"/>
    <w:basedOn w:val="1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paragraph" w:customStyle="1" w:styleId="21">
    <w:name w:val="我的正文"/>
    <w:basedOn w:val="8"/>
    <w:qFormat/>
    <w:uiPriority w:val="0"/>
    <w:pPr>
      <w:ind w:firstLine="480" w:firstLineChars="200"/>
    </w:pPr>
    <w:rPr>
      <w:rFonts w:ascii="Calibri" w:hAnsi="Calibri" w:eastAsia="宋体"/>
      <w:sz w:val="28"/>
      <w:szCs w:val="20"/>
    </w:rPr>
  </w:style>
  <w:style w:type="paragraph" w:customStyle="1" w:styleId="22">
    <w:name w:val="文档正文5"/>
    <w:basedOn w:val="3"/>
    <w:qFormat/>
    <w:uiPriority w:val="0"/>
    <w:pPr>
      <w:autoSpaceDE w:val="0"/>
      <w:autoSpaceDN w:val="0"/>
      <w:snapToGrid w:val="0"/>
      <w:spacing w:line="440" w:lineRule="exact"/>
      <w:ind w:firstLine="505"/>
    </w:pPr>
    <w:rPr>
      <w:spacing w:val="4"/>
    </w:rPr>
  </w:style>
  <w:style w:type="paragraph" w:customStyle="1" w:styleId="23">
    <w:name w:val="Default"/>
    <w:qFormat/>
    <w:uiPriority w:val="0"/>
    <w:pPr>
      <w:widowControl w:val="0"/>
      <w:autoSpaceDE w:val="0"/>
      <w:autoSpaceDN w:val="0"/>
      <w:adjustRightInd w:val="0"/>
    </w:pPr>
    <w:rPr>
      <w:rFonts w:ascii="宋体" w:hAnsi="Times New Roman" w:eastAsia="微软雅黑" w:cs="Times New Roman"/>
      <w:color w:val="000000"/>
      <w:sz w:val="24"/>
      <w:szCs w:val="24"/>
      <w:lang w:val="en-US" w:eastAsia="zh-CN" w:bidi="ar-SA"/>
    </w:rPr>
  </w:style>
  <w:style w:type="paragraph" w:customStyle="1" w:styleId="24">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13507</Words>
  <Characters>14767</Characters>
  <Lines>0</Lines>
  <Paragraphs>0</Paragraphs>
  <TotalTime>21</TotalTime>
  <ScaleCrop>false</ScaleCrop>
  <LinksUpToDate>false</LinksUpToDate>
  <CharactersWithSpaces>14959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2026-06-16T10:11:00Z</dcterms:created>
  <dc:creator>Administrator</dc:creator>
  <cp:lastModifiedBy>WPS_1749176622</cp:lastModifiedBy>
  <cp:lastPrinted>2026-06-24T01:57:00Z</cp:lastPrinted>
  <dcterms:modified xsi:type="dcterms:W3CDTF">2026-06-24T09:36:00Z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9A883707E239495E90BDD6C2DFCE4EAC_11</vt:lpwstr>
  </property>
  <property fmtid="{D5CDD505-2E9C-101B-9397-08002B2CF9AE}" pid="4" name="KSOTemplateDocerSaveRecord">
    <vt:lpwstr>eyJoZGlkIjoiMmMzYzAzOTAyZTg3YjM2MjllMzk5YTlhZmMyNThmOTYiLCJ1c2VySWQiOiIxNzA4MzgyNzIxIn0=</vt:lpwstr>
  </property>
</Properties>
</file>