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94D5">
      <w:pPr>
        <w:spacing w:line="313" w:lineRule="auto"/>
        <w:rPr>
          <w:rFonts w:ascii="Arial"/>
          <w:sz w:val="21"/>
          <w:highlight w:val="none"/>
        </w:rPr>
      </w:pPr>
      <w:bookmarkStart w:id="5" w:name="_GoBack"/>
      <w:bookmarkEnd w:id="5"/>
    </w:p>
    <w:p w14:paraId="7843E464">
      <w:pPr>
        <w:spacing w:line="314" w:lineRule="auto"/>
        <w:rPr>
          <w:rFonts w:ascii="Arial"/>
          <w:sz w:val="21"/>
          <w:highlight w:val="none"/>
        </w:rPr>
      </w:pPr>
    </w:p>
    <w:p w14:paraId="68A5D6A9">
      <w:pPr>
        <w:pStyle w:val="4"/>
        <w:spacing w:before="140" w:line="223" w:lineRule="auto"/>
        <w:jc w:val="center"/>
        <w:rPr>
          <w:rFonts w:hint="eastAsia" w:eastAsia="宋体"/>
          <w:sz w:val="43"/>
          <w:szCs w:val="43"/>
          <w:highlight w:val="none"/>
          <w:lang w:eastAsia="zh-CN"/>
        </w:rPr>
      </w:pPr>
      <w:r>
        <w:rPr>
          <w:rFonts w:hint="eastAsia"/>
          <w:b/>
          <w:bCs/>
          <w:spacing w:val="3"/>
          <w:sz w:val="43"/>
          <w:szCs w:val="43"/>
          <w:highlight w:val="none"/>
          <w:lang w:eastAsia="zh-CN"/>
        </w:rPr>
        <w:t>三门峡市陕州区人民医院改扩建项目（一期工程）医疗设备采购项目</w:t>
      </w:r>
    </w:p>
    <w:p w14:paraId="5D50B2CC">
      <w:pPr>
        <w:spacing w:line="276" w:lineRule="auto"/>
        <w:rPr>
          <w:rFonts w:ascii="Arial"/>
          <w:sz w:val="21"/>
          <w:highlight w:val="none"/>
        </w:rPr>
      </w:pPr>
    </w:p>
    <w:p w14:paraId="727CCE33">
      <w:pPr>
        <w:spacing w:line="276" w:lineRule="auto"/>
        <w:rPr>
          <w:rFonts w:ascii="Arial"/>
          <w:sz w:val="21"/>
          <w:highlight w:val="none"/>
        </w:rPr>
      </w:pPr>
    </w:p>
    <w:p w14:paraId="66A69E09">
      <w:pPr>
        <w:pStyle w:val="4"/>
        <w:spacing w:before="276" w:line="222" w:lineRule="auto"/>
        <w:ind w:left="2174"/>
        <w:rPr>
          <w:sz w:val="85"/>
          <w:szCs w:val="85"/>
          <w:highlight w:val="none"/>
        </w:rPr>
      </w:pPr>
      <w:r>
        <w:rPr>
          <w:b/>
          <w:bCs/>
          <w:spacing w:val="-31"/>
          <w:sz w:val="85"/>
          <w:szCs w:val="85"/>
          <w:highlight w:val="none"/>
        </w:rPr>
        <w:t>招</w:t>
      </w:r>
      <w:r>
        <w:rPr>
          <w:spacing w:val="47"/>
          <w:sz w:val="85"/>
          <w:szCs w:val="85"/>
          <w:highlight w:val="none"/>
        </w:rPr>
        <w:t xml:space="preserve"> </w:t>
      </w:r>
      <w:r>
        <w:rPr>
          <w:b/>
          <w:bCs/>
          <w:spacing w:val="-31"/>
          <w:sz w:val="85"/>
          <w:szCs w:val="85"/>
          <w:highlight w:val="none"/>
        </w:rPr>
        <w:t>标</w:t>
      </w:r>
      <w:r>
        <w:rPr>
          <w:spacing w:val="52"/>
          <w:sz w:val="85"/>
          <w:szCs w:val="85"/>
          <w:highlight w:val="none"/>
        </w:rPr>
        <w:t xml:space="preserve"> </w:t>
      </w:r>
      <w:r>
        <w:rPr>
          <w:b/>
          <w:bCs/>
          <w:spacing w:val="-31"/>
          <w:sz w:val="85"/>
          <w:szCs w:val="85"/>
          <w:highlight w:val="none"/>
        </w:rPr>
        <w:t>文</w:t>
      </w:r>
      <w:r>
        <w:rPr>
          <w:spacing w:val="43"/>
          <w:sz w:val="85"/>
          <w:szCs w:val="85"/>
          <w:highlight w:val="none"/>
        </w:rPr>
        <w:t xml:space="preserve"> </w:t>
      </w:r>
      <w:r>
        <w:rPr>
          <w:b/>
          <w:bCs/>
          <w:spacing w:val="-31"/>
          <w:sz w:val="85"/>
          <w:szCs w:val="85"/>
          <w:highlight w:val="none"/>
        </w:rPr>
        <w:t>件</w:t>
      </w:r>
    </w:p>
    <w:p w14:paraId="59C04C9B">
      <w:pPr>
        <w:spacing w:line="350" w:lineRule="auto"/>
        <w:rPr>
          <w:rFonts w:ascii="Arial"/>
          <w:sz w:val="21"/>
          <w:highlight w:val="none"/>
        </w:rPr>
      </w:pPr>
    </w:p>
    <w:p w14:paraId="2957E5E4">
      <w:pPr>
        <w:rPr>
          <w:highlight w:val="none"/>
        </w:rPr>
      </w:pPr>
    </w:p>
    <w:p w14:paraId="12FD993C">
      <w:pPr>
        <w:jc w:val="center"/>
        <w:rPr>
          <w:sz w:val="30"/>
          <w:szCs w:val="30"/>
          <w:highlight w:val="none"/>
        </w:rPr>
      </w:pPr>
    </w:p>
    <w:p w14:paraId="00B49416">
      <w:pPr>
        <w:jc w:val="center"/>
        <w:rPr>
          <w:sz w:val="30"/>
          <w:szCs w:val="30"/>
          <w:highlight w:val="none"/>
        </w:rPr>
      </w:pPr>
    </w:p>
    <w:p w14:paraId="0A57386D">
      <w:pPr>
        <w:jc w:val="center"/>
        <w:rPr>
          <w:rFonts w:hint="eastAsia" w:ascii="宋体" w:hAnsi="宋体" w:eastAsia="宋体" w:cs="宋体"/>
          <w:sz w:val="30"/>
          <w:szCs w:val="30"/>
          <w:highlight w:val="none"/>
          <w:lang w:val="en-US" w:eastAsia="zh-CN"/>
        </w:rPr>
      </w:pPr>
      <w:r>
        <w:rPr>
          <w:sz w:val="30"/>
          <w:szCs w:val="30"/>
          <w:highlight w:val="none"/>
        </w:rPr>
        <w:t xml:space="preserve">项目编号 : </w:t>
      </w:r>
      <w:r>
        <w:rPr>
          <w:rFonts w:hint="eastAsia"/>
          <w:sz w:val="30"/>
          <w:szCs w:val="30"/>
          <w:highlight w:val="none"/>
          <w:lang w:val="en-US" w:eastAsia="zh-CN"/>
        </w:rPr>
        <w:t xml:space="preserve"> </w:t>
      </w:r>
      <w:r>
        <w:rPr>
          <w:rFonts w:hint="eastAsia" w:ascii="宋体" w:hAnsi="宋体" w:eastAsia="宋体" w:cs="宋体"/>
          <w:sz w:val="30"/>
          <w:szCs w:val="30"/>
          <w:highlight w:val="none"/>
          <w:lang w:val="en-US" w:eastAsia="zh-CN"/>
        </w:rPr>
        <w:t>陕州公开采购-2026-15、</w:t>
      </w:r>
    </w:p>
    <w:p w14:paraId="1D491AFD">
      <w:pPr>
        <w:jc w:val="center"/>
        <w:rPr>
          <w:rFonts w:hint="eastAsia" w:ascii="宋体" w:hAnsi="宋体" w:eastAsia="宋体" w:cs="宋体"/>
          <w:sz w:val="30"/>
          <w:szCs w:val="30"/>
          <w:highlight w:val="none"/>
          <w:lang w:val="en-US" w:eastAsia="zh-CN"/>
        </w:rPr>
      </w:pPr>
    </w:p>
    <w:p w14:paraId="1447B255">
      <w:pPr>
        <w:jc w:val="center"/>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 xml:space="preserve">        SZGZ[2026]075-ZC062</w:t>
      </w:r>
    </w:p>
    <w:p w14:paraId="583B36D9">
      <w:pPr>
        <w:pStyle w:val="4"/>
        <w:spacing w:before="101" w:line="376" w:lineRule="auto"/>
        <w:ind w:right="2023"/>
        <w:jc w:val="center"/>
        <w:rPr>
          <w:rFonts w:hint="eastAsia" w:eastAsia="宋体"/>
          <w:highlight w:val="none"/>
          <w:lang w:eastAsia="zh-CN"/>
        </w:rPr>
      </w:pPr>
    </w:p>
    <w:p w14:paraId="767FCBB8">
      <w:pPr>
        <w:spacing w:line="241" w:lineRule="auto"/>
        <w:rPr>
          <w:rFonts w:ascii="Arial"/>
          <w:sz w:val="21"/>
          <w:highlight w:val="none"/>
        </w:rPr>
      </w:pPr>
    </w:p>
    <w:p w14:paraId="3D022B41">
      <w:pPr>
        <w:spacing w:line="242" w:lineRule="auto"/>
        <w:rPr>
          <w:rFonts w:ascii="Arial"/>
          <w:sz w:val="21"/>
          <w:highlight w:val="none"/>
        </w:rPr>
      </w:pPr>
    </w:p>
    <w:p w14:paraId="5C818641">
      <w:pPr>
        <w:spacing w:line="242" w:lineRule="auto"/>
        <w:rPr>
          <w:rFonts w:ascii="Arial"/>
          <w:sz w:val="21"/>
          <w:highlight w:val="none"/>
        </w:rPr>
      </w:pPr>
    </w:p>
    <w:p w14:paraId="4EF8BBF0">
      <w:pPr>
        <w:spacing w:line="242" w:lineRule="auto"/>
        <w:rPr>
          <w:rFonts w:ascii="Arial"/>
          <w:sz w:val="21"/>
          <w:highlight w:val="none"/>
        </w:rPr>
      </w:pPr>
    </w:p>
    <w:p w14:paraId="3418A99D">
      <w:pPr>
        <w:spacing w:line="242" w:lineRule="auto"/>
        <w:rPr>
          <w:rFonts w:ascii="Arial"/>
          <w:sz w:val="21"/>
          <w:highlight w:val="none"/>
        </w:rPr>
      </w:pPr>
    </w:p>
    <w:p w14:paraId="17A84B90">
      <w:pPr>
        <w:spacing w:line="242" w:lineRule="auto"/>
        <w:rPr>
          <w:rFonts w:ascii="Arial"/>
          <w:sz w:val="21"/>
          <w:highlight w:val="none"/>
        </w:rPr>
      </w:pPr>
    </w:p>
    <w:p w14:paraId="1F444B73">
      <w:pPr>
        <w:spacing w:line="242" w:lineRule="auto"/>
        <w:rPr>
          <w:rFonts w:ascii="Arial"/>
          <w:sz w:val="21"/>
          <w:highlight w:val="none"/>
        </w:rPr>
      </w:pPr>
    </w:p>
    <w:p w14:paraId="7C3CE166">
      <w:pPr>
        <w:spacing w:line="242" w:lineRule="auto"/>
        <w:rPr>
          <w:rFonts w:ascii="Arial"/>
          <w:sz w:val="21"/>
          <w:highlight w:val="none"/>
        </w:rPr>
      </w:pPr>
    </w:p>
    <w:p w14:paraId="4EC0FB12">
      <w:pPr>
        <w:spacing w:line="242" w:lineRule="auto"/>
        <w:rPr>
          <w:rFonts w:ascii="Arial"/>
          <w:sz w:val="21"/>
          <w:highlight w:val="none"/>
        </w:rPr>
      </w:pPr>
    </w:p>
    <w:p w14:paraId="5184F5D6">
      <w:pPr>
        <w:spacing w:line="242" w:lineRule="auto"/>
        <w:rPr>
          <w:rFonts w:ascii="Arial"/>
          <w:sz w:val="21"/>
          <w:highlight w:val="none"/>
        </w:rPr>
      </w:pPr>
    </w:p>
    <w:p w14:paraId="618DC65D">
      <w:pPr>
        <w:spacing w:line="242" w:lineRule="auto"/>
        <w:rPr>
          <w:rFonts w:ascii="Arial"/>
          <w:sz w:val="21"/>
          <w:highlight w:val="none"/>
        </w:rPr>
      </w:pPr>
    </w:p>
    <w:p w14:paraId="26E2BE15">
      <w:pPr>
        <w:spacing w:line="242" w:lineRule="auto"/>
        <w:rPr>
          <w:rFonts w:ascii="Arial"/>
          <w:sz w:val="21"/>
          <w:highlight w:val="none"/>
        </w:rPr>
      </w:pPr>
    </w:p>
    <w:p w14:paraId="7411DA49">
      <w:pPr>
        <w:spacing w:line="242" w:lineRule="auto"/>
        <w:rPr>
          <w:rFonts w:ascii="Arial"/>
          <w:sz w:val="21"/>
          <w:highlight w:val="none"/>
        </w:rPr>
      </w:pPr>
    </w:p>
    <w:p w14:paraId="1CDBD391">
      <w:pPr>
        <w:spacing w:line="242" w:lineRule="auto"/>
        <w:rPr>
          <w:rFonts w:ascii="Arial"/>
          <w:sz w:val="21"/>
          <w:highlight w:val="none"/>
        </w:rPr>
      </w:pPr>
    </w:p>
    <w:p w14:paraId="6BA4C146">
      <w:pPr>
        <w:spacing w:line="242" w:lineRule="auto"/>
        <w:rPr>
          <w:rFonts w:ascii="Arial"/>
          <w:sz w:val="21"/>
          <w:highlight w:val="none"/>
        </w:rPr>
      </w:pPr>
    </w:p>
    <w:p w14:paraId="455CED5A">
      <w:pPr>
        <w:pStyle w:val="4"/>
        <w:spacing w:before="100" w:line="224" w:lineRule="auto"/>
        <w:ind w:left="1546"/>
        <w:rPr>
          <w:rFonts w:hint="eastAsia" w:eastAsia="宋体"/>
          <w:highlight w:val="none"/>
          <w:lang w:eastAsia="zh-CN"/>
        </w:rPr>
      </w:pPr>
      <w:r>
        <w:rPr>
          <w:b/>
          <w:bCs/>
          <w:spacing w:val="4"/>
          <w:highlight w:val="none"/>
        </w:rPr>
        <w:t>采</w:t>
      </w:r>
      <w:r>
        <w:rPr>
          <w:spacing w:val="40"/>
          <w:highlight w:val="none"/>
        </w:rPr>
        <w:t xml:space="preserve">   </w:t>
      </w:r>
      <w:r>
        <w:rPr>
          <w:b/>
          <w:bCs/>
          <w:spacing w:val="4"/>
          <w:highlight w:val="none"/>
        </w:rPr>
        <w:t>购</w:t>
      </w:r>
      <w:r>
        <w:rPr>
          <w:spacing w:val="60"/>
          <w:highlight w:val="none"/>
        </w:rPr>
        <w:t xml:space="preserve">  </w:t>
      </w:r>
      <w:r>
        <w:rPr>
          <w:b/>
          <w:bCs/>
          <w:spacing w:val="4"/>
          <w:highlight w:val="none"/>
        </w:rPr>
        <w:t>人：</w:t>
      </w:r>
      <w:r>
        <w:rPr>
          <w:rFonts w:hint="eastAsia"/>
          <w:b/>
          <w:bCs/>
          <w:spacing w:val="4"/>
          <w:highlight w:val="none"/>
          <w:lang w:eastAsia="zh-CN"/>
        </w:rPr>
        <w:t>三门峡市陕州区人民医院</w:t>
      </w:r>
    </w:p>
    <w:p w14:paraId="47E183B2">
      <w:pPr>
        <w:pStyle w:val="4"/>
        <w:spacing w:before="248" w:line="224" w:lineRule="auto"/>
        <w:ind w:left="1546"/>
        <w:rPr>
          <w:rFonts w:hint="eastAsia" w:eastAsia="宋体"/>
          <w:highlight w:val="none"/>
          <w:lang w:eastAsia="zh-CN"/>
        </w:rPr>
      </w:pPr>
      <w:r>
        <w:rPr>
          <w:b/>
          <w:bCs/>
          <w:spacing w:val="7"/>
          <w:highlight w:val="none"/>
        </w:rPr>
        <w:t>采购代理机构：</w:t>
      </w:r>
      <w:r>
        <w:rPr>
          <w:rFonts w:hint="eastAsia"/>
          <w:b/>
          <w:bCs/>
          <w:spacing w:val="7"/>
          <w:highlight w:val="none"/>
          <w:lang w:eastAsia="zh-CN"/>
        </w:rPr>
        <w:t>融科匠业工程咨询有限公司</w:t>
      </w:r>
    </w:p>
    <w:p w14:paraId="03835E84">
      <w:pPr>
        <w:pStyle w:val="4"/>
        <w:spacing w:before="248" w:line="225" w:lineRule="auto"/>
        <w:ind w:left="1602"/>
        <w:rPr>
          <w:highlight w:val="none"/>
        </w:rPr>
      </w:pPr>
      <w:r>
        <w:rPr>
          <w:b/>
          <w:bCs/>
          <w:spacing w:val="-1"/>
          <w:highlight w:val="none"/>
        </w:rPr>
        <w:t>日</w:t>
      </w:r>
      <w:r>
        <w:rPr>
          <w:spacing w:val="8"/>
          <w:highlight w:val="none"/>
        </w:rPr>
        <w:t xml:space="preserve">        </w:t>
      </w:r>
      <w:r>
        <w:rPr>
          <w:b/>
          <w:bCs/>
          <w:spacing w:val="-1"/>
          <w:highlight w:val="none"/>
        </w:rPr>
        <w:t>期：二零二</w:t>
      </w:r>
      <w:r>
        <w:rPr>
          <w:rFonts w:hint="eastAsia"/>
          <w:b/>
          <w:bCs/>
          <w:spacing w:val="-1"/>
          <w:highlight w:val="none"/>
          <w:lang w:val="en-US" w:eastAsia="zh-CN"/>
        </w:rPr>
        <w:t>六</w:t>
      </w:r>
      <w:r>
        <w:rPr>
          <w:b/>
          <w:bCs/>
          <w:spacing w:val="-1"/>
          <w:highlight w:val="none"/>
        </w:rPr>
        <w:t>年</w:t>
      </w:r>
      <w:r>
        <w:rPr>
          <w:rFonts w:hint="eastAsia"/>
          <w:b/>
          <w:bCs/>
          <w:spacing w:val="-1"/>
          <w:highlight w:val="none"/>
          <w:lang w:val="en-US" w:eastAsia="zh-CN"/>
        </w:rPr>
        <w:t>六</w:t>
      </w:r>
      <w:r>
        <w:rPr>
          <w:b/>
          <w:bCs/>
          <w:spacing w:val="-1"/>
          <w:highlight w:val="none"/>
        </w:rPr>
        <w:t>月</w:t>
      </w:r>
    </w:p>
    <w:p w14:paraId="493D11AD">
      <w:pPr>
        <w:spacing w:line="225" w:lineRule="auto"/>
        <w:rPr>
          <w:highlight w:val="none"/>
        </w:rPr>
      </w:pPr>
    </w:p>
    <w:p w14:paraId="663CC087">
      <w:pPr>
        <w:bidi w:val="0"/>
        <w:rPr>
          <w:rFonts w:ascii="Arial" w:hAnsi="Arial" w:eastAsia="Arial" w:cs="Arial"/>
          <w:snapToGrid w:val="0"/>
          <w:color w:val="000000"/>
          <w:kern w:val="0"/>
          <w:sz w:val="21"/>
          <w:szCs w:val="21"/>
          <w:highlight w:val="none"/>
          <w:lang w:val="en-US" w:eastAsia="en-US" w:bidi="ar-SA"/>
        </w:rPr>
      </w:pPr>
    </w:p>
    <w:p w14:paraId="18942236">
      <w:pPr>
        <w:bidi w:val="0"/>
        <w:rPr>
          <w:highlight w:val="none"/>
          <w:lang w:val="en-US" w:eastAsia="en-US"/>
        </w:rPr>
      </w:pPr>
    </w:p>
    <w:p w14:paraId="78FA8FFA">
      <w:pPr>
        <w:bidi w:val="0"/>
        <w:rPr>
          <w:highlight w:val="none"/>
          <w:lang w:val="en-US" w:eastAsia="en-US"/>
        </w:rPr>
      </w:pPr>
    </w:p>
    <w:p w14:paraId="6DD3A0B9">
      <w:pPr>
        <w:bidi w:val="0"/>
        <w:rPr>
          <w:highlight w:val="none"/>
          <w:lang w:val="en-US" w:eastAsia="en-US"/>
        </w:rPr>
      </w:pPr>
    </w:p>
    <w:p w14:paraId="01AA53FF">
      <w:pPr>
        <w:bidi w:val="0"/>
        <w:rPr>
          <w:highlight w:val="none"/>
          <w:lang w:val="en-US" w:eastAsia="en-US"/>
        </w:rPr>
      </w:pPr>
    </w:p>
    <w:p w14:paraId="3C6FC5BD">
      <w:pPr>
        <w:bidi w:val="0"/>
        <w:rPr>
          <w:highlight w:val="none"/>
          <w:lang w:val="en-US" w:eastAsia="en-US"/>
        </w:rPr>
      </w:pPr>
    </w:p>
    <w:p w14:paraId="18593C73">
      <w:pPr>
        <w:bidi w:val="0"/>
        <w:rPr>
          <w:highlight w:val="none"/>
          <w:lang w:val="en-US" w:eastAsia="en-US"/>
        </w:rPr>
      </w:pPr>
    </w:p>
    <w:p w14:paraId="2FEA7986">
      <w:pPr>
        <w:tabs>
          <w:tab w:val="center" w:pos="4520"/>
        </w:tabs>
        <w:bidi w:val="0"/>
        <w:jc w:val="left"/>
        <w:rPr>
          <w:rFonts w:hint="eastAsia" w:eastAsia="宋体"/>
          <w:highlight w:val="none"/>
          <w:lang w:val="en-US" w:eastAsia="zh-CN"/>
        </w:rPr>
        <w:sectPr>
          <w:footerReference r:id="rId5" w:type="default"/>
          <w:pgSz w:w="11907" w:h="16839"/>
          <w:pgMar w:top="1431" w:right="1427" w:bottom="0" w:left="1440" w:header="0" w:footer="0" w:gutter="0"/>
          <w:cols w:space="720" w:num="1"/>
        </w:sectPr>
      </w:pPr>
      <w:r>
        <w:rPr>
          <w:rFonts w:hint="eastAsia" w:eastAsia="宋体"/>
          <w:highlight w:val="none"/>
          <w:lang w:val="en-US" w:eastAsia="zh-CN"/>
        </w:rPr>
        <w:tab/>
      </w:r>
    </w:p>
    <w:sdt>
      <w:sdtPr>
        <w:rPr>
          <w:rFonts w:ascii="宋体" w:hAnsi="宋体" w:eastAsia="宋体" w:cs="宋体"/>
          <w:sz w:val="43"/>
          <w:szCs w:val="43"/>
          <w:highlight w:val="none"/>
        </w:rPr>
        <w:id w:val="147457379"/>
        <w:docPartObj>
          <w:docPartGallery w:val="Table of Contents"/>
          <w:docPartUnique/>
        </w:docPartObj>
      </w:sdtPr>
      <w:sdtEndPr>
        <w:rPr>
          <w:rFonts w:ascii="宋体" w:hAnsi="宋体" w:eastAsia="宋体" w:cs="宋体"/>
          <w:sz w:val="36"/>
          <w:szCs w:val="36"/>
          <w:highlight w:val="none"/>
        </w:rPr>
      </w:sdtEndPr>
      <w:sdtContent>
        <w:p w14:paraId="6B25C5E0">
          <w:pPr>
            <w:pStyle w:val="4"/>
            <w:spacing w:before="99" w:line="226" w:lineRule="auto"/>
            <w:ind w:left="3958"/>
            <w:rPr>
              <w:sz w:val="43"/>
              <w:szCs w:val="43"/>
              <w:highlight w:val="none"/>
            </w:rPr>
          </w:pPr>
          <w:r>
            <w:rPr>
              <w:b/>
              <w:bCs/>
              <w:spacing w:val="-51"/>
              <w:sz w:val="43"/>
              <w:szCs w:val="43"/>
              <w:highlight w:val="none"/>
            </w:rPr>
            <w:t>目</w:t>
          </w:r>
          <w:r>
            <w:rPr>
              <w:spacing w:val="17"/>
              <w:sz w:val="43"/>
              <w:szCs w:val="43"/>
              <w:highlight w:val="none"/>
            </w:rPr>
            <w:t xml:space="preserve">  </w:t>
          </w:r>
          <w:r>
            <w:rPr>
              <w:b/>
              <w:bCs/>
              <w:spacing w:val="-51"/>
              <w:sz w:val="43"/>
              <w:szCs w:val="43"/>
              <w:highlight w:val="none"/>
            </w:rPr>
            <w:t>录</w:t>
          </w:r>
        </w:p>
        <w:p w14:paraId="715F71A5">
          <w:pPr>
            <w:spacing w:line="266" w:lineRule="auto"/>
            <w:rPr>
              <w:rFonts w:ascii="Arial"/>
              <w:sz w:val="21"/>
              <w:highlight w:val="none"/>
            </w:rPr>
          </w:pPr>
        </w:p>
        <w:p w14:paraId="10554052">
          <w:pPr>
            <w:spacing w:line="266" w:lineRule="auto"/>
            <w:rPr>
              <w:rFonts w:ascii="Arial"/>
              <w:sz w:val="21"/>
              <w:highlight w:val="none"/>
            </w:rPr>
          </w:pPr>
        </w:p>
        <w:p w14:paraId="3DFD4FAD">
          <w:pPr>
            <w:spacing w:line="266" w:lineRule="auto"/>
            <w:rPr>
              <w:rFonts w:ascii="Arial"/>
              <w:sz w:val="21"/>
              <w:highlight w:val="none"/>
            </w:rPr>
          </w:pPr>
        </w:p>
        <w:p w14:paraId="4A183784">
          <w:pPr>
            <w:pStyle w:val="4"/>
            <w:tabs>
              <w:tab w:val="right" w:leader="dot" w:pos="9057"/>
            </w:tabs>
            <w:spacing w:before="117" w:line="218" w:lineRule="auto"/>
            <w:rPr>
              <w:sz w:val="36"/>
              <w:szCs w:val="36"/>
              <w:highlight w:val="none"/>
            </w:rPr>
          </w:pPr>
          <w:r>
            <w:rPr>
              <w:highlight w:val="none"/>
            </w:rPr>
            <w:fldChar w:fldCharType="begin"/>
          </w:r>
          <w:r>
            <w:rPr>
              <w:highlight w:val="none"/>
            </w:rPr>
            <w:instrText xml:space="preserve"> HYPERLINK \l "bookmark2" </w:instrText>
          </w:r>
          <w:r>
            <w:rPr>
              <w:highlight w:val="none"/>
            </w:rPr>
            <w:fldChar w:fldCharType="separate"/>
          </w:r>
          <w:r>
            <w:rPr>
              <w:b/>
              <w:bCs/>
              <w:spacing w:val="22"/>
              <w:sz w:val="36"/>
              <w:szCs w:val="36"/>
              <w:highlight w:val="none"/>
            </w:rPr>
            <w:t>第一章</w:t>
          </w:r>
          <w:r>
            <w:rPr>
              <w:spacing w:val="70"/>
              <w:sz w:val="36"/>
              <w:szCs w:val="36"/>
              <w:highlight w:val="none"/>
            </w:rPr>
            <w:t xml:space="preserve">  </w:t>
          </w:r>
          <w:r>
            <w:rPr>
              <w:b/>
              <w:bCs/>
              <w:spacing w:val="22"/>
              <w:sz w:val="36"/>
              <w:szCs w:val="36"/>
              <w:highlight w:val="none"/>
            </w:rPr>
            <w:t>招标公告</w:t>
          </w:r>
          <w:r>
            <w:rPr>
              <w:spacing w:val="-99"/>
              <w:sz w:val="36"/>
              <w:szCs w:val="36"/>
              <w:highlight w:val="none"/>
            </w:rPr>
            <w:t xml:space="preserve"> </w:t>
          </w:r>
          <w:r>
            <w:rPr>
              <w:sz w:val="36"/>
              <w:szCs w:val="36"/>
              <w:highlight w:val="none"/>
              <w14:textOutline w14:w="6531" w14:cap="flat" w14:cmpd="sng">
                <w14:solidFill>
                  <w14:srgbClr w14:val="000000"/>
                </w14:solidFill>
                <w14:prstDash w14:val="solid"/>
                <w14:miter w14:val="0"/>
              </w14:textOutline>
            </w:rPr>
            <w:tab/>
          </w:r>
          <w:r>
            <w:rPr>
              <w:b/>
              <w:bCs/>
              <w:spacing w:val="42"/>
              <w:w w:val="102"/>
              <w:sz w:val="36"/>
              <w:szCs w:val="36"/>
              <w:highlight w:val="none"/>
            </w:rPr>
            <w:t>3</w:t>
          </w:r>
          <w:r>
            <w:rPr>
              <w:b/>
              <w:bCs/>
              <w:spacing w:val="42"/>
              <w:w w:val="102"/>
              <w:sz w:val="36"/>
              <w:szCs w:val="36"/>
              <w:highlight w:val="none"/>
            </w:rPr>
            <w:fldChar w:fldCharType="end"/>
          </w:r>
        </w:p>
        <w:p w14:paraId="0F8E2987">
          <w:pPr>
            <w:spacing w:line="390" w:lineRule="auto"/>
            <w:rPr>
              <w:rFonts w:ascii="Arial"/>
              <w:sz w:val="21"/>
              <w:highlight w:val="none"/>
            </w:rPr>
          </w:pPr>
        </w:p>
        <w:p w14:paraId="7A3D3362">
          <w:pPr>
            <w:pStyle w:val="4"/>
            <w:tabs>
              <w:tab w:val="right" w:leader="dot" w:pos="9057"/>
            </w:tabs>
            <w:spacing w:before="117" w:line="219" w:lineRule="auto"/>
            <w:rPr>
              <w:sz w:val="36"/>
              <w:szCs w:val="36"/>
              <w:highlight w:val="none"/>
            </w:rPr>
          </w:pPr>
          <w:r>
            <w:rPr>
              <w:highlight w:val="none"/>
            </w:rPr>
            <w:fldChar w:fldCharType="begin"/>
          </w:r>
          <w:r>
            <w:rPr>
              <w:highlight w:val="none"/>
            </w:rPr>
            <w:instrText xml:space="preserve"> HYPERLINK \l "bookmark3" </w:instrText>
          </w:r>
          <w:r>
            <w:rPr>
              <w:highlight w:val="none"/>
            </w:rPr>
            <w:fldChar w:fldCharType="separate"/>
          </w:r>
          <w:r>
            <w:rPr>
              <w:b/>
              <w:bCs/>
              <w:spacing w:val="26"/>
              <w:sz w:val="36"/>
              <w:szCs w:val="36"/>
              <w:highlight w:val="none"/>
            </w:rPr>
            <w:t>第二章</w:t>
          </w:r>
          <w:r>
            <w:rPr>
              <w:spacing w:val="75"/>
              <w:sz w:val="36"/>
              <w:szCs w:val="36"/>
              <w:highlight w:val="none"/>
            </w:rPr>
            <w:t xml:space="preserve">  </w:t>
          </w:r>
          <w:r>
            <w:rPr>
              <w:b/>
              <w:bCs/>
              <w:spacing w:val="26"/>
              <w:sz w:val="36"/>
              <w:szCs w:val="36"/>
              <w:highlight w:val="none"/>
            </w:rPr>
            <w:t>投标供应商须知</w:t>
          </w:r>
          <w:r>
            <w:rPr>
              <w:spacing w:val="-101"/>
              <w:sz w:val="36"/>
              <w:szCs w:val="36"/>
              <w:highlight w:val="none"/>
            </w:rPr>
            <w:t xml:space="preserve"> </w:t>
          </w:r>
          <w:r>
            <w:rPr>
              <w:sz w:val="36"/>
              <w:szCs w:val="36"/>
              <w:highlight w:val="none"/>
              <w14:textOutline w14:w="6531" w14:cap="flat" w14:cmpd="sng">
                <w14:solidFill>
                  <w14:srgbClr w14:val="000000"/>
                </w14:solidFill>
                <w14:prstDash w14:val="solid"/>
                <w14:miter w14:val="0"/>
              </w14:textOutline>
            </w:rPr>
            <w:tab/>
          </w:r>
          <w:r>
            <w:rPr>
              <w:spacing w:val="-108"/>
              <w:sz w:val="36"/>
              <w:szCs w:val="36"/>
              <w:highlight w:val="none"/>
            </w:rPr>
            <w:t xml:space="preserve"> </w:t>
          </w:r>
          <w:r>
            <w:rPr>
              <w:b/>
              <w:bCs/>
              <w:spacing w:val="-27"/>
              <w:sz w:val="36"/>
              <w:szCs w:val="36"/>
              <w:highlight w:val="none"/>
            </w:rPr>
            <w:t>7</w:t>
          </w:r>
          <w:r>
            <w:rPr>
              <w:b/>
              <w:bCs/>
              <w:spacing w:val="-27"/>
              <w:sz w:val="36"/>
              <w:szCs w:val="36"/>
              <w:highlight w:val="none"/>
            </w:rPr>
            <w:fldChar w:fldCharType="end"/>
          </w:r>
        </w:p>
        <w:p w14:paraId="46F0C962">
          <w:pPr>
            <w:spacing w:line="389" w:lineRule="auto"/>
            <w:rPr>
              <w:rFonts w:ascii="Arial"/>
              <w:sz w:val="21"/>
              <w:highlight w:val="none"/>
            </w:rPr>
          </w:pPr>
        </w:p>
        <w:p w14:paraId="1140661C">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"bookmark4" </w:instrText>
          </w:r>
          <w:r>
            <w:rPr>
              <w:highlight w:val="none"/>
            </w:rPr>
            <w:fldChar w:fldCharType="separate"/>
          </w:r>
          <w:r>
            <w:rPr>
              <w:b/>
              <w:bCs/>
              <w:spacing w:val="4"/>
              <w:sz w:val="36"/>
              <w:szCs w:val="36"/>
              <w:highlight w:val="none"/>
            </w:rPr>
            <w:t>第三章</w:t>
          </w:r>
          <w:r>
            <w:rPr>
              <w:spacing w:val="4"/>
              <w:sz w:val="36"/>
              <w:szCs w:val="36"/>
              <w:highlight w:val="none"/>
            </w:rPr>
            <w:t xml:space="preserve">   </w:t>
          </w:r>
          <w:r>
            <w:rPr>
              <w:b/>
              <w:bCs/>
              <w:spacing w:val="4"/>
              <w:sz w:val="36"/>
              <w:szCs w:val="36"/>
              <w:highlight w:val="none"/>
            </w:rPr>
            <w:t>采购内容及参数要求</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2</w:t>
          </w:r>
          <w:r>
            <w:rPr>
              <w:b/>
              <w:bCs/>
              <w:spacing w:val="9"/>
              <w:sz w:val="36"/>
              <w:szCs w:val="36"/>
              <w:highlight w:val="none"/>
            </w:rPr>
            <w:fldChar w:fldCharType="end"/>
          </w:r>
          <w:r>
            <w:rPr>
              <w:rFonts w:hint="eastAsia"/>
              <w:b/>
              <w:bCs/>
              <w:spacing w:val="9"/>
              <w:sz w:val="36"/>
              <w:szCs w:val="36"/>
              <w:highlight w:val="none"/>
              <w:lang w:val="en-US" w:eastAsia="zh-CN"/>
            </w:rPr>
            <w:t>6</w:t>
          </w:r>
        </w:p>
        <w:p w14:paraId="00F7DC5E">
          <w:pPr>
            <w:spacing w:line="390" w:lineRule="auto"/>
            <w:rPr>
              <w:rFonts w:ascii="Arial"/>
              <w:sz w:val="21"/>
              <w:highlight w:val="none"/>
            </w:rPr>
          </w:pPr>
        </w:p>
        <w:p w14:paraId="05A46341">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"bookmark5" </w:instrText>
          </w:r>
          <w:r>
            <w:rPr>
              <w:highlight w:val="none"/>
            </w:rPr>
            <w:fldChar w:fldCharType="separate"/>
          </w:r>
          <w:r>
            <w:rPr>
              <w:b/>
              <w:bCs/>
              <w:spacing w:val="-2"/>
              <w:sz w:val="36"/>
              <w:szCs w:val="36"/>
              <w:highlight w:val="none"/>
            </w:rPr>
            <w:t>第四章</w:t>
          </w:r>
          <w:r>
            <w:rPr>
              <w:spacing w:val="18"/>
              <w:sz w:val="36"/>
              <w:szCs w:val="36"/>
              <w:highlight w:val="none"/>
            </w:rPr>
            <w:t xml:space="preserve">   </w:t>
          </w:r>
          <w:r>
            <w:rPr>
              <w:b/>
              <w:bCs/>
              <w:spacing w:val="-2"/>
              <w:sz w:val="36"/>
              <w:szCs w:val="36"/>
              <w:highlight w:val="none"/>
            </w:rPr>
            <w:t>评标办法</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6"/>
              <w:sz w:val="36"/>
              <w:szCs w:val="36"/>
              <w:highlight w:val="none"/>
              <w:lang w:val="en-US" w:eastAsia="zh-CN"/>
            </w:rPr>
            <w:t>3</w:t>
          </w:r>
          <w:r>
            <w:rPr>
              <w:b/>
              <w:bCs/>
              <w:spacing w:val="6"/>
              <w:sz w:val="36"/>
              <w:szCs w:val="36"/>
              <w:highlight w:val="none"/>
            </w:rPr>
            <w:fldChar w:fldCharType="end"/>
          </w:r>
          <w:r>
            <w:rPr>
              <w:rFonts w:hint="eastAsia"/>
              <w:b/>
              <w:bCs/>
              <w:spacing w:val="6"/>
              <w:sz w:val="36"/>
              <w:szCs w:val="36"/>
              <w:highlight w:val="none"/>
              <w:lang w:val="en-US" w:eastAsia="zh-CN"/>
            </w:rPr>
            <w:t>8</w:t>
          </w:r>
        </w:p>
        <w:p w14:paraId="77A3527A">
          <w:pPr>
            <w:spacing w:line="389" w:lineRule="auto"/>
            <w:rPr>
              <w:rFonts w:ascii="Arial"/>
              <w:sz w:val="21"/>
              <w:highlight w:val="none"/>
            </w:rPr>
          </w:pPr>
        </w:p>
        <w:p w14:paraId="37BDC390">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"bookmark6" </w:instrText>
          </w:r>
          <w:r>
            <w:rPr>
              <w:highlight w:val="none"/>
            </w:rPr>
            <w:fldChar w:fldCharType="separate"/>
          </w:r>
          <w:r>
            <w:rPr>
              <w:b/>
              <w:bCs/>
              <w:sz w:val="36"/>
              <w:szCs w:val="36"/>
              <w:highlight w:val="none"/>
            </w:rPr>
            <w:t>第五章</w:t>
          </w:r>
          <w:r>
            <w:rPr>
              <w:spacing w:val="19"/>
              <w:sz w:val="36"/>
              <w:szCs w:val="36"/>
              <w:highlight w:val="none"/>
            </w:rPr>
            <w:t xml:space="preserve">   </w:t>
          </w:r>
          <w:r>
            <w:rPr>
              <w:b/>
              <w:bCs/>
              <w:sz w:val="36"/>
              <w:szCs w:val="36"/>
              <w:highlight w:val="none"/>
            </w:rPr>
            <w:t>合同条款及格式</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4</w:t>
          </w:r>
          <w:r>
            <w:rPr>
              <w:b/>
              <w:bCs/>
              <w:spacing w:val="9"/>
              <w:sz w:val="36"/>
              <w:szCs w:val="36"/>
              <w:highlight w:val="none"/>
            </w:rPr>
            <w:fldChar w:fldCharType="end"/>
          </w:r>
          <w:r>
            <w:rPr>
              <w:rFonts w:hint="eastAsia"/>
              <w:b/>
              <w:bCs/>
              <w:spacing w:val="9"/>
              <w:sz w:val="36"/>
              <w:szCs w:val="36"/>
              <w:highlight w:val="none"/>
              <w:lang w:val="en-US" w:eastAsia="zh-CN"/>
            </w:rPr>
            <w:t>5</w:t>
          </w:r>
        </w:p>
        <w:p w14:paraId="2CBF63B5">
          <w:pPr>
            <w:spacing w:line="389" w:lineRule="auto"/>
            <w:rPr>
              <w:rFonts w:ascii="Arial"/>
              <w:sz w:val="21"/>
              <w:highlight w:val="none"/>
            </w:rPr>
          </w:pPr>
        </w:p>
        <w:p w14:paraId="6085B585">
          <w:pPr>
            <w:pStyle w:val="4"/>
            <w:tabs>
              <w:tab w:val="right" w:leader="dot" w:pos="9054"/>
            </w:tabs>
            <w:spacing w:before="118" w:line="219" w:lineRule="auto"/>
            <w:rPr>
              <w:sz w:val="36"/>
              <w:szCs w:val="36"/>
              <w:highlight w:val="none"/>
            </w:rPr>
          </w:pPr>
          <w:r>
            <w:rPr>
              <w:highlight w:val="none"/>
            </w:rPr>
            <w:fldChar w:fldCharType="begin"/>
          </w:r>
          <w:r>
            <w:rPr>
              <w:highlight w:val="none"/>
            </w:rPr>
            <w:instrText xml:space="preserve"> HYPERLINK \l "bookmark7" </w:instrText>
          </w:r>
          <w:r>
            <w:rPr>
              <w:highlight w:val="none"/>
            </w:rPr>
            <w:fldChar w:fldCharType="separate"/>
          </w:r>
          <w:r>
            <w:rPr>
              <w:b/>
              <w:bCs/>
              <w:spacing w:val="-2"/>
              <w:sz w:val="36"/>
              <w:szCs w:val="36"/>
              <w:highlight w:val="none"/>
            </w:rPr>
            <w:t>第六章</w:t>
          </w:r>
          <w:r>
            <w:rPr>
              <w:spacing w:val="31"/>
              <w:sz w:val="36"/>
              <w:szCs w:val="36"/>
              <w:highlight w:val="none"/>
            </w:rPr>
            <w:t xml:space="preserve">   </w:t>
          </w:r>
          <w:r>
            <w:rPr>
              <w:b/>
              <w:bCs/>
              <w:spacing w:val="-2"/>
              <w:sz w:val="36"/>
              <w:szCs w:val="36"/>
              <w:highlight w:val="none"/>
            </w:rPr>
            <w:t>电子化投标文件格式</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4</w:t>
          </w:r>
          <w:r>
            <w:rPr>
              <w:b/>
              <w:bCs/>
              <w:spacing w:val="9"/>
              <w:sz w:val="36"/>
              <w:szCs w:val="36"/>
              <w:highlight w:val="none"/>
            </w:rPr>
            <w:fldChar w:fldCharType="end"/>
          </w:r>
          <w:r>
            <w:rPr>
              <w:rFonts w:hint="eastAsia"/>
              <w:b/>
              <w:bCs/>
              <w:spacing w:val="9"/>
              <w:sz w:val="36"/>
              <w:szCs w:val="36"/>
              <w:highlight w:val="none"/>
              <w:lang w:val="en-US" w:eastAsia="zh-CN"/>
            </w:rPr>
            <w:t>9</w:t>
          </w:r>
        </w:p>
      </w:sdtContent>
    </w:sdt>
    <w:p w14:paraId="4F56AF39">
      <w:pPr>
        <w:spacing w:line="219" w:lineRule="auto"/>
        <w:rPr>
          <w:sz w:val="36"/>
          <w:szCs w:val="36"/>
          <w:highlight w:val="none"/>
        </w:rPr>
        <w:sectPr>
          <w:footerReference r:id="rId6" w:type="default"/>
          <w:pgSz w:w="11907" w:h="16839"/>
          <w:pgMar w:top="1431" w:right="1416" w:bottom="1159" w:left="1432" w:header="0" w:footer="957" w:gutter="0"/>
          <w:cols w:space="720" w:num="1"/>
        </w:sectPr>
      </w:pPr>
    </w:p>
    <w:p w14:paraId="40BD00D1">
      <w:pPr>
        <w:pStyle w:val="4"/>
        <w:spacing w:before="121" w:line="218" w:lineRule="auto"/>
        <w:ind w:left="2939"/>
        <w:outlineLvl w:val="0"/>
        <w:rPr>
          <w:sz w:val="40"/>
          <w:szCs w:val="40"/>
          <w:highlight w:val="none"/>
        </w:rPr>
      </w:pPr>
      <w:bookmarkStart w:id="0" w:name="bookmark2"/>
      <w:bookmarkEnd w:id="0"/>
      <w:bookmarkStart w:id="1" w:name="bookmark8"/>
      <w:bookmarkEnd w:id="1"/>
      <w:r>
        <w:rPr>
          <w:b/>
          <w:bCs/>
          <w:spacing w:val="-5"/>
          <w:sz w:val="40"/>
          <w:szCs w:val="40"/>
          <w:highlight w:val="none"/>
        </w:rPr>
        <w:t>第一章</w:t>
      </w:r>
      <w:r>
        <w:rPr>
          <w:spacing w:val="-5"/>
          <w:sz w:val="40"/>
          <w:szCs w:val="40"/>
          <w:highlight w:val="none"/>
        </w:rPr>
        <w:t xml:space="preserve"> </w:t>
      </w:r>
      <w:r>
        <w:rPr>
          <w:b/>
          <w:bCs/>
          <w:spacing w:val="-5"/>
          <w:sz w:val="40"/>
          <w:szCs w:val="40"/>
          <w:highlight w:val="none"/>
        </w:rPr>
        <w:t>招标公告</w:t>
      </w:r>
    </w:p>
    <w:p w14:paraId="1CE5B6D2">
      <w:pPr>
        <w:spacing w:line="371" w:lineRule="auto"/>
        <w:rPr>
          <w:rFonts w:ascii="Arial"/>
          <w:sz w:val="21"/>
          <w:highlight w:val="none"/>
        </w:rPr>
      </w:pPr>
    </w:p>
    <w:p w14:paraId="1273C932">
      <w:pPr>
        <w:pStyle w:val="4"/>
        <w:spacing w:before="78" w:line="220" w:lineRule="auto"/>
        <w:ind w:left="692"/>
        <w:rPr>
          <w:sz w:val="24"/>
          <w:szCs w:val="24"/>
          <w:highlight w:val="none"/>
        </w:rPr>
      </w:pPr>
      <w:r>
        <w:rPr>
          <w:spacing w:val="-3"/>
          <w:sz w:val="24"/>
          <w:szCs w:val="24"/>
          <w:highlight w:val="none"/>
        </w:rPr>
        <w:t>项目概况</w:t>
      </w:r>
    </w:p>
    <w:p w14:paraId="3899807E">
      <w:pPr>
        <w:pStyle w:val="4"/>
        <w:spacing w:before="182" w:line="360" w:lineRule="auto"/>
        <w:ind w:left="121" w:right="147" w:firstLine="567"/>
        <w:rPr>
          <w:sz w:val="24"/>
          <w:szCs w:val="24"/>
          <w:highlight w:val="none"/>
        </w:rPr>
      </w:pPr>
      <w:r>
        <w:rPr>
          <w:rFonts w:hint="eastAsia"/>
          <w:spacing w:val="-1"/>
          <w:sz w:val="24"/>
          <w:szCs w:val="24"/>
          <w:highlight w:val="none"/>
          <w:lang w:eastAsia="zh-CN"/>
        </w:rPr>
        <w:t>三门峡市陕州区人民医院改扩建项目（一期工程）医疗设备采购项目</w:t>
      </w:r>
      <w:r>
        <w:rPr>
          <w:spacing w:val="-1"/>
          <w:sz w:val="24"/>
          <w:szCs w:val="24"/>
          <w:highlight w:val="none"/>
        </w:rPr>
        <w:t>的潜在供应商应在三门峡市公共资</w:t>
      </w:r>
      <w:r>
        <w:rPr>
          <w:spacing w:val="-6"/>
          <w:sz w:val="24"/>
          <w:szCs w:val="24"/>
          <w:highlight w:val="none"/>
        </w:rPr>
        <w:t>源交易中心网上获取招标文件，</w:t>
      </w:r>
      <w:r>
        <w:rPr>
          <w:spacing w:val="-1"/>
          <w:sz w:val="24"/>
          <w:szCs w:val="24"/>
          <w:highlight w:val="none"/>
        </w:rPr>
        <w:t>并于</w:t>
      </w:r>
      <w:r>
        <w:rPr>
          <w:rFonts w:hint="eastAsia"/>
          <w:spacing w:val="-1"/>
          <w:sz w:val="24"/>
          <w:szCs w:val="24"/>
          <w:highlight w:val="none"/>
          <w:lang w:val="en-US" w:eastAsia="zh-CN"/>
        </w:rPr>
        <w:t>2026</w:t>
      </w:r>
      <w:r>
        <w:rPr>
          <w:spacing w:val="-1"/>
          <w:sz w:val="24"/>
          <w:szCs w:val="24"/>
          <w:highlight w:val="none"/>
        </w:rPr>
        <w:t>年</w:t>
      </w:r>
      <w:r>
        <w:rPr>
          <w:rFonts w:hint="eastAsia"/>
          <w:spacing w:val="-1"/>
          <w:sz w:val="24"/>
          <w:szCs w:val="24"/>
          <w:highlight w:val="none"/>
          <w:lang w:val="en-US" w:eastAsia="zh-CN"/>
        </w:rPr>
        <w:t>6</w:t>
      </w:r>
      <w:r>
        <w:rPr>
          <w:spacing w:val="-1"/>
          <w:sz w:val="24"/>
          <w:szCs w:val="24"/>
          <w:highlight w:val="none"/>
        </w:rPr>
        <w:t>月</w:t>
      </w:r>
      <w:r>
        <w:rPr>
          <w:rFonts w:hint="eastAsia"/>
          <w:spacing w:val="-1"/>
          <w:sz w:val="24"/>
          <w:szCs w:val="24"/>
          <w:highlight w:val="none"/>
          <w:lang w:val="en-US" w:eastAsia="zh-CN"/>
        </w:rPr>
        <w:t>30</w:t>
      </w:r>
      <w:r>
        <w:rPr>
          <w:spacing w:val="-1"/>
          <w:sz w:val="24"/>
          <w:szCs w:val="24"/>
          <w:highlight w:val="none"/>
        </w:rPr>
        <w:t>日</w:t>
      </w:r>
      <w:r>
        <w:rPr>
          <w:rFonts w:hint="eastAsia"/>
          <w:spacing w:val="-1"/>
          <w:sz w:val="24"/>
          <w:szCs w:val="24"/>
          <w:highlight w:val="none"/>
          <w:lang w:val="en-US" w:eastAsia="zh-CN"/>
        </w:rPr>
        <w:t>08时20分</w:t>
      </w:r>
      <w:r>
        <w:rPr>
          <w:spacing w:val="-1"/>
          <w:sz w:val="24"/>
          <w:szCs w:val="24"/>
          <w:highlight w:val="none"/>
        </w:rPr>
        <w:t>（北</w:t>
      </w:r>
      <w:r>
        <w:rPr>
          <w:spacing w:val="-7"/>
          <w:sz w:val="24"/>
          <w:szCs w:val="24"/>
          <w:highlight w:val="none"/>
        </w:rPr>
        <w:t>京时间）前递交投标文件。</w:t>
      </w:r>
    </w:p>
    <w:p w14:paraId="4C06CCF1">
      <w:pPr>
        <w:pStyle w:val="4"/>
        <w:spacing w:before="1" w:line="218" w:lineRule="auto"/>
        <w:ind w:left="692"/>
        <w:rPr>
          <w:sz w:val="24"/>
          <w:szCs w:val="24"/>
          <w:highlight w:val="none"/>
        </w:rPr>
      </w:pPr>
      <w:r>
        <w:rPr>
          <w:spacing w:val="-2"/>
          <w:sz w:val="24"/>
          <w:szCs w:val="24"/>
          <w:highlight w:val="none"/>
        </w:rPr>
        <w:t>一、项目基本情况</w:t>
      </w:r>
    </w:p>
    <w:p w14:paraId="13298B60">
      <w:pPr>
        <w:pStyle w:val="4"/>
        <w:spacing w:before="183" w:line="219" w:lineRule="auto"/>
        <w:ind w:left="706"/>
        <w:rPr>
          <w:rFonts w:hint="eastAsia" w:eastAsia="宋体"/>
          <w:sz w:val="24"/>
          <w:szCs w:val="24"/>
          <w:highlight w:val="none"/>
          <w:lang w:val="en-US" w:eastAsia="zh-CN"/>
        </w:rPr>
      </w:pPr>
      <w:r>
        <w:rPr>
          <w:spacing w:val="-1"/>
          <w:sz w:val="24"/>
          <w:szCs w:val="24"/>
          <w:highlight w:val="none"/>
        </w:rPr>
        <w:t>1.采购项目编号：</w:t>
      </w:r>
      <w:r>
        <w:rPr>
          <w:rFonts w:hint="eastAsia"/>
          <w:spacing w:val="-1"/>
          <w:sz w:val="24"/>
          <w:szCs w:val="24"/>
          <w:highlight w:val="none"/>
          <w:lang w:val="en-US" w:eastAsia="zh-CN"/>
        </w:rPr>
        <w:t xml:space="preserve"> 陕州公开采购-2026-15、SZGZ[2026]075-ZC062</w:t>
      </w:r>
    </w:p>
    <w:p w14:paraId="43BC3515">
      <w:pPr>
        <w:pStyle w:val="4"/>
        <w:spacing w:before="183" w:line="219" w:lineRule="auto"/>
        <w:ind w:left="691"/>
        <w:rPr>
          <w:rFonts w:hint="eastAsia" w:eastAsia="宋体"/>
          <w:sz w:val="24"/>
          <w:szCs w:val="24"/>
          <w:highlight w:val="none"/>
          <w:lang w:eastAsia="zh-CN"/>
        </w:rPr>
      </w:pPr>
      <w:r>
        <w:rPr>
          <w:spacing w:val="-1"/>
          <w:sz w:val="24"/>
          <w:szCs w:val="24"/>
          <w:highlight w:val="none"/>
        </w:rPr>
        <w:t>2.采购项目名称：</w:t>
      </w:r>
      <w:r>
        <w:rPr>
          <w:rFonts w:hint="eastAsia"/>
          <w:spacing w:val="-1"/>
          <w:sz w:val="24"/>
          <w:szCs w:val="24"/>
          <w:highlight w:val="none"/>
          <w:lang w:eastAsia="zh-CN"/>
        </w:rPr>
        <w:t>三门峡市陕州区人民医院改扩建项目（一期工程）医疗设备采购项目</w:t>
      </w:r>
    </w:p>
    <w:p w14:paraId="217B90A7">
      <w:pPr>
        <w:pStyle w:val="4"/>
        <w:spacing w:before="184" w:line="219" w:lineRule="auto"/>
        <w:ind w:left="726"/>
        <w:rPr>
          <w:sz w:val="24"/>
          <w:szCs w:val="24"/>
          <w:highlight w:val="none"/>
        </w:rPr>
      </w:pPr>
      <w:r>
        <w:rPr>
          <w:spacing w:val="-2"/>
          <w:sz w:val="24"/>
          <w:szCs w:val="24"/>
          <w:highlight w:val="none"/>
        </w:rPr>
        <w:t>3.采购方式：公开招标</w:t>
      </w:r>
    </w:p>
    <w:p w14:paraId="005AE176">
      <w:pPr>
        <w:pStyle w:val="4"/>
        <w:spacing w:before="183" w:line="220" w:lineRule="auto"/>
        <w:ind w:left="721"/>
        <w:rPr>
          <w:sz w:val="24"/>
          <w:szCs w:val="24"/>
          <w:highlight w:val="none"/>
        </w:rPr>
      </w:pPr>
      <w:r>
        <w:rPr>
          <w:spacing w:val="-1"/>
          <w:sz w:val="24"/>
          <w:szCs w:val="24"/>
          <w:highlight w:val="none"/>
        </w:rPr>
        <w:t>4.预算金额：</w:t>
      </w:r>
      <w:r>
        <w:rPr>
          <w:rFonts w:hint="eastAsia"/>
          <w:spacing w:val="-1"/>
          <w:sz w:val="24"/>
          <w:szCs w:val="24"/>
          <w:highlight w:val="none"/>
          <w:lang w:val="en-US" w:eastAsia="zh-CN"/>
        </w:rPr>
        <w:t>27780000.00</w:t>
      </w:r>
      <w:r>
        <w:rPr>
          <w:spacing w:val="-1"/>
          <w:sz w:val="24"/>
          <w:szCs w:val="24"/>
          <w:highlight w:val="none"/>
        </w:rPr>
        <w:t>元</w:t>
      </w:r>
    </w:p>
    <w:p w14:paraId="185ADD34">
      <w:pPr>
        <w:pStyle w:val="4"/>
        <w:spacing w:before="182" w:line="218" w:lineRule="auto"/>
        <w:ind w:left="844"/>
        <w:rPr>
          <w:sz w:val="24"/>
          <w:szCs w:val="24"/>
          <w:highlight w:val="none"/>
        </w:rPr>
      </w:pPr>
      <w:r>
        <w:rPr>
          <w:spacing w:val="-1"/>
          <w:sz w:val="24"/>
          <w:szCs w:val="24"/>
          <w:highlight w:val="none"/>
        </w:rPr>
        <w:t>最高限价：</w:t>
      </w:r>
      <w:r>
        <w:rPr>
          <w:rFonts w:hint="eastAsia"/>
          <w:spacing w:val="-1"/>
          <w:sz w:val="24"/>
          <w:szCs w:val="24"/>
          <w:highlight w:val="none"/>
          <w:lang w:val="en-US" w:eastAsia="zh-CN"/>
        </w:rPr>
        <w:t>27780000.00</w:t>
      </w:r>
      <w:r>
        <w:rPr>
          <w:spacing w:val="-1"/>
          <w:sz w:val="24"/>
          <w:szCs w:val="24"/>
          <w:highlight w:val="none"/>
        </w:rPr>
        <w:t>元</w:t>
      </w:r>
    </w:p>
    <w:p w14:paraId="34547E99">
      <w:pPr>
        <w:spacing w:line="192" w:lineRule="exact"/>
        <w:rPr>
          <w:highlight w:val="none"/>
        </w:rPr>
      </w:pPr>
    </w:p>
    <w:tbl>
      <w:tblPr>
        <w:tblStyle w:val="23"/>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2615"/>
        <w:gridCol w:w="3217"/>
        <w:gridCol w:w="1365"/>
        <w:gridCol w:w="1480"/>
      </w:tblGrid>
      <w:tr w14:paraId="4EA4B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50" w:type="dxa"/>
            <w:textDirection w:val="tbRlV"/>
            <w:vAlign w:val="top"/>
          </w:tcPr>
          <w:p w14:paraId="1E841756">
            <w:pPr>
              <w:pStyle w:val="24"/>
              <w:spacing w:before="203" w:line="210" w:lineRule="auto"/>
              <w:ind w:left="151"/>
              <w:rPr>
                <w:highlight w:val="none"/>
              </w:rPr>
            </w:pPr>
            <w:r>
              <w:rPr>
                <w:highlight w:val="none"/>
              </w:rPr>
              <w:t>序</w:t>
            </w:r>
            <w:r>
              <w:rPr>
                <w:spacing w:val="79"/>
                <w:highlight w:val="none"/>
              </w:rPr>
              <w:t xml:space="preserve"> </w:t>
            </w:r>
            <w:r>
              <w:rPr>
                <w:highlight w:val="none"/>
              </w:rPr>
              <w:t>号</w:t>
            </w:r>
          </w:p>
        </w:tc>
        <w:tc>
          <w:tcPr>
            <w:tcW w:w="2615" w:type="dxa"/>
            <w:vAlign w:val="top"/>
          </w:tcPr>
          <w:p w14:paraId="406D0A0E">
            <w:pPr>
              <w:spacing w:line="292" w:lineRule="auto"/>
              <w:rPr>
                <w:rFonts w:ascii="Arial"/>
                <w:sz w:val="21"/>
                <w:highlight w:val="none"/>
              </w:rPr>
            </w:pPr>
          </w:p>
          <w:p w14:paraId="3EECDB64">
            <w:pPr>
              <w:pStyle w:val="24"/>
              <w:spacing w:before="78" w:line="221" w:lineRule="auto"/>
              <w:ind w:left="1072"/>
              <w:rPr>
                <w:highlight w:val="none"/>
              </w:rPr>
            </w:pPr>
            <w:r>
              <w:rPr>
                <w:spacing w:val="-3"/>
                <w:highlight w:val="none"/>
              </w:rPr>
              <w:t>包号</w:t>
            </w:r>
          </w:p>
        </w:tc>
        <w:tc>
          <w:tcPr>
            <w:tcW w:w="3217" w:type="dxa"/>
            <w:vAlign w:val="top"/>
          </w:tcPr>
          <w:p w14:paraId="7AE01218">
            <w:pPr>
              <w:spacing w:line="291" w:lineRule="auto"/>
              <w:rPr>
                <w:rFonts w:ascii="Arial"/>
                <w:sz w:val="21"/>
                <w:highlight w:val="none"/>
              </w:rPr>
            </w:pPr>
          </w:p>
          <w:p w14:paraId="5A752F99">
            <w:pPr>
              <w:pStyle w:val="24"/>
              <w:spacing w:before="78" w:line="222" w:lineRule="auto"/>
              <w:ind w:left="1254"/>
              <w:rPr>
                <w:highlight w:val="none"/>
              </w:rPr>
            </w:pPr>
            <w:r>
              <w:rPr>
                <w:spacing w:val="-3"/>
                <w:highlight w:val="none"/>
              </w:rPr>
              <w:t>包名称</w:t>
            </w:r>
          </w:p>
        </w:tc>
        <w:tc>
          <w:tcPr>
            <w:tcW w:w="1365" w:type="dxa"/>
            <w:vAlign w:val="top"/>
          </w:tcPr>
          <w:p w14:paraId="6A388602">
            <w:pPr>
              <w:pStyle w:val="24"/>
              <w:spacing w:before="150" w:line="220" w:lineRule="auto"/>
              <w:ind w:left="327"/>
              <w:rPr>
                <w:highlight w:val="none"/>
              </w:rPr>
            </w:pPr>
            <w:r>
              <w:rPr>
                <w:spacing w:val="-3"/>
                <w:highlight w:val="none"/>
              </w:rPr>
              <w:t>包预算</w:t>
            </w:r>
          </w:p>
          <w:p w14:paraId="2D0A5753">
            <w:pPr>
              <w:pStyle w:val="24"/>
              <w:spacing w:before="154" w:line="220" w:lineRule="auto"/>
              <w:ind w:left="333"/>
              <w:rPr>
                <w:highlight w:val="none"/>
              </w:rPr>
            </w:pPr>
            <w:r>
              <w:rPr>
                <w:spacing w:val="-8"/>
                <w:highlight w:val="none"/>
              </w:rPr>
              <w:t>（元）</w:t>
            </w:r>
          </w:p>
        </w:tc>
        <w:tc>
          <w:tcPr>
            <w:tcW w:w="1480" w:type="dxa"/>
            <w:vAlign w:val="top"/>
          </w:tcPr>
          <w:p w14:paraId="0E821E64">
            <w:pPr>
              <w:pStyle w:val="24"/>
              <w:spacing w:before="151" w:line="218" w:lineRule="auto"/>
              <w:ind w:left="146"/>
              <w:rPr>
                <w:highlight w:val="none"/>
              </w:rPr>
            </w:pPr>
            <w:r>
              <w:rPr>
                <w:spacing w:val="-2"/>
                <w:highlight w:val="none"/>
              </w:rPr>
              <w:t>包最高限价</w:t>
            </w:r>
          </w:p>
          <w:p w14:paraId="31A490DE">
            <w:pPr>
              <w:pStyle w:val="24"/>
              <w:spacing w:before="156" w:line="220" w:lineRule="auto"/>
              <w:ind w:left="392"/>
              <w:rPr>
                <w:highlight w:val="none"/>
              </w:rPr>
            </w:pPr>
            <w:r>
              <w:rPr>
                <w:spacing w:val="-8"/>
                <w:highlight w:val="none"/>
              </w:rPr>
              <w:t>（元）</w:t>
            </w:r>
          </w:p>
        </w:tc>
      </w:tr>
      <w:tr w14:paraId="3D0CF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50" w:type="dxa"/>
            <w:vAlign w:val="top"/>
          </w:tcPr>
          <w:p w14:paraId="4E771239">
            <w:pPr>
              <w:spacing w:line="252" w:lineRule="auto"/>
              <w:rPr>
                <w:rFonts w:ascii="Arial"/>
                <w:sz w:val="21"/>
                <w:highlight w:val="none"/>
              </w:rPr>
            </w:pPr>
          </w:p>
          <w:p w14:paraId="75BCC854">
            <w:pPr>
              <w:spacing w:line="252" w:lineRule="auto"/>
              <w:rPr>
                <w:rFonts w:ascii="Arial"/>
                <w:sz w:val="21"/>
                <w:highlight w:val="none"/>
              </w:rPr>
            </w:pPr>
          </w:p>
          <w:p w14:paraId="3BF1EBD7">
            <w:pPr>
              <w:pStyle w:val="24"/>
              <w:spacing w:before="78" w:line="241" w:lineRule="auto"/>
              <w:ind w:left="288"/>
              <w:rPr>
                <w:highlight w:val="none"/>
              </w:rPr>
            </w:pPr>
            <w:r>
              <w:rPr>
                <w:highlight w:val="none"/>
              </w:rPr>
              <w:t>1</w:t>
            </w:r>
          </w:p>
        </w:tc>
        <w:tc>
          <w:tcPr>
            <w:tcW w:w="2615" w:type="dxa"/>
            <w:vAlign w:val="top"/>
          </w:tcPr>
          <w:p w14:paraId="18988B1E">
            <w:pPr>
              <w:spacing w:line="252" w:lineRule="auto"/>
              <w:rPr>
                <w:rFonts w:ascii="Arial"/>
                <w:sz w:val="21"/>
                <w:highlight w:val="none"/>
              </w:rPr>
            </w:pPr>
          </w:p>
          <w:p w14:paraId="6ABAE281">
            <w:pPr>
              <w:spacing w:line="252" w:lineRule="auto"/>
              <w:rPr>
                <w:rFonts w:ascii="Arial"/>
                <w:sz w:val="21"/>
                <w:highlight w:val="none"/>
              </w:rPr>
            </w:pPr>
          </w:p>
          <w:p w14:paraId="471D8E8E">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-1</w:t>
            </w:r>
          </w:p>
        </w:tc>
        <w:tc>
          <w:tcPr>
            <w:tcW w:w="3217" w:type="dxa"/>
            <w:vAlign w:val="center"/>
          </w:tcPr>
          <w:p w14:paraId="7E76E956">
            <w:pPr>
              <w:pStyle w:val="24"/>
              <w:spacing w:before="156" w:line="220" w:lineRule="auto"/>
              <w:jc w:val="center"/>
              <w:rPr>
                <w:rFonts w:hint="default"/>
                <w:highlight w:val="none"/>
                <w:lang w:val="en-US"/>
              </w:rPr>
            </w:pPr>
            <w:r>
              <w:rPr>
                <w:rFonts w:hint="eastAsia"/>
                <w:highlight w:val="none"/>
                <w:lang w:eastAsia="zh-CN"/>
              </w:rPr>
              <w:t>三门峡市陕州区人民医院改扩建项目（一期工程）医疗设备采购项目</w:t>
            </w:r>
            <w:r>
              <w:rPr>
                <w:rFonts w:hint="eastAsia"/>
                <w:highlight w:val="none"/>
                <w:lang w:val="en-US" w:eastAsia="zh-CN"/>
              </w:rPr>
              <w:t>-A包</w:t>
            </w:r>
          </w:p>
        </w:tc>
        <w:tc>
          <w:tcPr>
            <w:tcW w:w="1365" w:type="dxa"/>
            <w:vAlign w:val="center"/>
          </w:tcPr>
          <w:p w14:paraId="2F61D520">
            <w:pPr>
              <w:pStyle w:val="24"/>
              <w:spacing w:before="78" w:line="240" w:lineRule="auto"/>
              <w:jc w:val="both"/>
              <w:rPr>
                <w:rFonts w:hint="default" w:eastAsia="宋体"/>
                <w:highlight w:val="none"/>
                <w:lang w:val="en-US" w:eastAsia="zh-CN"/>
              </w:rPr>
            </w:pPr>
            <w:r>
              <w:rPr>
                <w:rFonts w:hint="eastAsia"/>
                <w:highlight w:val="none"/>
                <w:lang w:val="en-US" w:eastAsia="zh-CN"/>
              </w:rPr>
              <w:t>18550000.00</w:t>
            </w:r>
          </w:p>
        </w:tc>
        <w:tc>
          <w:tcPr>
            <w:tcW w:w="1480" w:type="dxa"/>
            <w:vAlign w:val="center"/>
          </w:tcPr>
          <w:p w14:paraId="1392349F">
            <w:pPr>
              <w:pStyle w:val="24"/>
              <w:spacing w:before="78" w:line="240" w:lineRule="auto"/>
              <w:jc w:val="both"/>
              <w:rPr>
                <w:rFonts w:hint="default" w:eastAsia="宋体"/>
                <w:highlight w:val="none"/>
                <w:lang w:val="en-US" w:eastAsia="zh-CN"/>
              </w:rPr>
            </w:pPr>
            <w:r>
              <w:rPr>
                <w:rFonts w:hint="eastAsia"/>
                <w:spacing w:val="-2"/>
                <w:highlight w:val="none"/>
                <w:lang w:val="en-US" w:eastAsia="zh-CN"/>
              </w:rPr>
              <w:t>18550000.00</w:t>
            </w:r>
          </w:p>
        </w:tc>
      </w:tr>
      <w:tr w14:paraId="5D639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50" w:type="dxa"/>
            <w:vAlign w:val="top"/>
          </w:tcPr>
          <w:p w14:paraId="2306503D">
            <w:pPr>
              <w:spacing w:line="252" w:lineRule="auto"/>
              <w:rPr>
                <w:rFonts w:ascii="Arial"/>
                <w:sz w:val="21"/>
                <w:highlight w:val="none"/>
              </w:rPr>
            </w:pPr>
          </w:p>
          <w:p w14:paraId="52172493">
            <w:pPr>
              <w:spacing w:line="253" w:lineRule="auto"/>
              <w:rPr>
                <w:rFonts w:ascii="Arial"/>
                <w:sz w:val="21"/>
                <w:highlight w:val="none"/>
              </w:rPr>
            </w:pPr>
          </w:p>
          <w:p w14:paraId="52149F58">
            <w:pPr>
              <w:pStyle w:val="24"/>
              <w:spacing w:before="78" w:line="241" w:lineRule="auto"/>
              <w:ind w:left="273"/>
              <w:rPr>
                <w:highlight w:val="none"/>
              </w:rPr>
            </w:pPr>
            <w:r>
              <w:rPr>
                <w:highlight w:val="none"/>
              </w:rPr>
              <w:t>2</w:t>
            </w:r>
          </w:p>
        </w:tc>
        <w:tc>
          <w:tcPr>
            <w:tcW w:w="2615" w:type="dxa"/>
            <w:vAlign w:val="top"/>
          </w:tcPr>
          <w:p w14:paraId="24A63045">
            <w:pPr>
              <w:spacing w:line="252" w:lineRule="auto"/>
              <w:rPr>
                <w:rFonts w:ascii="Arial"/>
                <w:sz w:val="21"/>
                <w:highlight w:val="none"/>
              </w:rPr>
            </w:pPr>
          </w:p>
          <w:p w14:paraId="600F066A">
            <w:pPr>
              <w:spacing w:line="253" w:lineRule="auto"/>
              <w:rPr>
                <w:rFonts w:ascii="Arial"/>
                <w:sz w:val="21"/>
                <w:highlight w:val="none"/>
              </w:rPr>
            </w:pPr>
          </w:p>
          <w:p w14:paraId="0A4FCA3D">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-2</w:t>
            </w:r>
          </w:p>
        </w:tc>
        <w:tc>
          <w:tcPr>
            <w:tcW w:w="3217" w:type="dxa"/>
            <w:vAlign w:val="center"/>
          </w:tcPr>
          <w:p w14:paraId="22300D42">
            <w:pPr>
              <w:pStyle w:val="24"/>
              <w:spacing w:before="156" w:line="219" w:lineRule="auto"/>
              <w:jc w:val="center"/>
              <w:rPr>
                <w:highlight w:val="none"/>
              </w:rPr>
            </w:pPr>
            <w:r>
              <w:rPr>
                <w:rFonts w:hint="eastAsia"/>
                <w:highlight w:val="none"/>
                <w:lang w:eastAsia="zh-CN"/>
              </w:rPr>
              <w:t>三门峡市陕州区人民医院改扩建项目（一期工程）医疗设备采购项目</w:t>
            </w:r>
            <w:r>
              <w:rPr>
                <w:rFonts w:hint="eastAsia"/>
                <w:highlight w:val="none"/>
                <w:lang w:val="en-US" w:eastAsia="zh-CN"/>
              </w:rPr>
              <w:t>-B包</w:t>
            </w:r>
          </w:p>
        </w:tc>
        <w:tc>
          <w:tcPr>
            <w:tcW w:w="1365" w:type="dxa"/>
            <w:vAlign w:val="center"/>
          </w:tcPr>
          <w:p w14:paraId="3A66E12D">
            <w:pPr>
              <w:spacing w:line="252" w:lineRule="auto"/>
              <w:jc w:val="center"/>
              <w:rPr>
                <w:rFonts w:ascii="Arial"/>
                <w:sz w:val="21"/>
                <w:highlight w:val="none"/>
              </w:rPr>
            </w:pPr>
          </w:p>
          <w:p w14:paraId="5D7A0BF9">
            <w:pPr>
              <w:spacing w:line="253" w:lineRule="auto"/>
              <w:jc w:val="center"/>
              <w:rPr>
                <w:rFonts w:ascii="Arial"/>
                <w:sz w:val="21"/>
                <w:highlight w:val="none"/>
              </w:rPr>
            </w:pPr>
          </w:p>
          <w:p w14:paraId="62150354">
            <w:pPr>
              <w:pStyle w:val="24"/>
              <w:spacing w:before="78"/>
              <w:jc w:val="center"/>
              <w:rPr>
                <w:rFonts w:hint="default" w:eastAsia="宋体"/>
                <w:highlight w:val="none"/>
                <w:lang w:val="en-US" w:eastAsia="zh-CN"/>
              </w:rPr>
            </w:pPr>
            <w:r>
              <w:rPr>
                <w:rFonts w:hint="eastAsia"/>
                <w:highlight w:val="none"/>
                <w:lang w:val="en-US" w:eastAsia="zh-CN"/>
              </w:rPr>
              <w:t>5200000.00</w:t>
            </w:r>
          </w:p>
        </w:tc>
        <w:tc>
          <w:tcPr>
            <w:tcW w:w="1480" w:type="dxa"/>
            <w:vAlign w:val="center"/>
          </w:tcPr>
          <w:p w14:paraId="172EB98C">
            <w:pPr>
              <w:spacing w:line="252" w:lineRule="auto"/>
              <w:jc w:val="center"/>
              <w:rPr>
                <w:rFonts w:ascii="Arial"/>
                <w:sz w:val="21"/>
                <w:highlight w:val="none"/>
              </w:rPr>
            </w:pPr>
          </w:p>
          <w:p w14:paraId="699724A6">
            <w:pPr>
              <w:spacing w:line="253" w:lineRule="auto"/>
              <w:jc w:val="center"/>
              <w:rPr>
                <w:rFonts w:ascii="Arial"/>
                <w:sz w:val="21"/>
                <w:highlight w:val="none"/>
              </w:rPr>
            </w:pPr>
          </w:p>
          <w:p w14:paraId="24BB04B3">
            <w:pPr>
              <w:pStyle w:val="24"/>
              <w:spacing w:before="78"/>
              <w:jc w:val="center"/>
              <w:rPr>
                <w:highlight w:val="none"/>
              </w:rPr>
            </w:pPr>
            <w:r>
              <w:rPr>
                <w:rFonts w:hint="eastAsia"/>
                <w:highlight w:val="none"/>
                <w:lang w:val="en-US" w:eastAsia="zh-CN"/>
              </w:rPr>
              <w:t>5200000.00</w:t>
            </w:r>
          </w:p>
        </w:tc>
      </w:tr>
      <w:tr w14:paraId="75E21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0" w:type="dxa"/>
            <w:vAlign w:val="top"/>
          </w:tcPr>
          <w:p w14:paraId="19513348">
            <w:pPr>
              <w:spacing w:line="241" w:lineRule="auto"/>
              <w:rPr>
                <w:rFonts w:hint="eastAsia" w:ascii="宋体" w:hAnsi="宋体" w:eastAsia="宋体" w:cs="宋体"/>
                <w:sz w:val="21"/>
                <w:highlight w:val="none"/>
              </w:rPr>
            </w:pPr>
          </w:p>
          <w:p w14:paraId="0F088A93">
            <w:pPr>
              <w:spacing w:line="242" w:lineRule="auto"/>
              <w:rPr>
                <w:rFonts w:hint="eastAsia" w:ascii="宋体" w:hAnsi="宋体" w:eastAsia="宋体" w:cs="宋体"/>
                <w:sz w:val="21"/>
                <w:highlight w:val="none"/>
              </w:rPr>
            </w:pPr>
          </w:p>
          <w:p w14:paraId="1FFB0B5E">
            <w:pPr>
              <w:spacing w:line="242" w:lineRule="auto"/>
              <w:rPr>
                <w:rFonts w:hint="eastAsia" w:ascii="宋体" w:hAnsi="宋体" w:eastAsia="宋体" w:cs="宋体"/>
                <w:sz w:val="21"/>
                <w:highlight w:val="none"/>
              </w:rPr>
            </w:pPr>
          </w:p>
          <w:p w14:paraId="552A4BB0">
            <w:pPr>
              <w:pStyle w:val="24"/>
              <w:spacing w:before="78"/>
              <w:ind w:left="275"/>
              <w:rPr>
                <w:rFonts w:hint="eastAsia" w:ascii="宋体" w:hAnsi="宋体" w:eastAsia="宋体" w:cs="宋体"/>
                <w:highlight w:val="none"/>
              </w:rPr>
            </w:pPr>
            <w:r>
              <w:rPr>
                <w:rFonts w:hint="eastAsia" w:ascii="宋体" w:hAnsi="宋体" w:eastAsia="宋体" w:cs="宋体"/>
                <w:highlight w:val="none"/>
              </w:rPr>
              <w:t>3</w:t>
            </w:r>
          </w:p>
        </w:tc>
        <w:tc>
          <w:tcPr>
            <w:tcW w:w="2615" w:type="dxa"/>
            <w:vAlign w:val="top"/>
          </w:tcPr>
          <w:p w14:paraId="3D7FA7EA">
            <w:pPr>
              <w:spacing w:line="241" w:lineRule="auto"/>
              <w:rPr>
                <w:rFonts w:hint="eastAsia" w:ascii="宋体" w:hAnsi="宋体" w:eastAsia="宋体" w:cs="宋体"/>
                <w:sz w:val="21"/>
                <w:highlight w:val="none"/>
              </w:rPr>
            </w:pPr>
          </w:p>
          <w:p w14:paraId="739BC814">
            <w:pPr>
              <w:spacing w:line="242" w:lineRule="auto"/>
              <w:rPr>
                <w:rFonts w:hint="eastAsia" w:ascii="宋体" w:hAnsi="宋体" w:eastAsia="宋体" w:cs="宋体"/>
                <w:sz w:val="21"/>
                <w:highlight w:val="none"/>
              </w:rPr>
            </w:pPr>
          </w:p>
          <w:p w14:paraId="148495D8">
            <w:pPr>
              <w:spacing w:line="242" w:lineRule="auto"/>
              <w:rPr>
                <w:rFonts w:hint="eastAsia" w:ascii="宋体" w:hAnsi="宋体" w:eastAsia="宋体" w:cs="宋体"/>
                <w:sz w:val="21"/>
                <w:highlight w:val="none"/>
              </w:rPr>
            </w:pPr>
          </w:p>
          <w:p w14:paraId="6E97EAA9">
            <w:pPr>
              <w:pStyle w:val="24"/>
              <w:spacing w:before="78" w:line="225" w:lineRule="auto"/>
              <w:ind w:left="113"/>
              <w:rPr>
                <w:rFonts w:hint="eastAsia" w:ascii="宋体" w:hAnsi="宋体" w:eastAsia="宋体" w:cs="宋体"/>
                <w:highlight w:val="none"/>
              </w:rPr>
            </w:pPr>
            <w:r>
              <w:rPr>
                <w:rFonts w:hint="eastAsia" w:ascii="宋体" w:hAnsi="宋体" w:eastAsia="宋体" w:cs="宋体"/>
                <w:spacing w:val="-1"/>
                <w:highlight w:val="none"/>
                <w:lang w:val="en-US" w:eastAsia="zh-CN"/>
              </w:rPr>
              <w:t>SZGZ[2026]075-ZC062</w:t>
            </w:r>
            <w:r>
              <w:rPr>
                <w:rFonts w:hint="eastAsia" w:ascii="宋体" w:hAnsi="宋体" w:eastAsia="宋体" w:cs="宋体"/>
                <w:spacing w:val="-1"/>
                <w:highlight w:val="none"/>
              </w:rPr>
              <w:t>-3</w:t>
            </w:r>
          </w:p>
        </w:tc>
        <w:tc>
          <w:tcPr>
            <w:tcW w:w="3217" w:type="dxa"/>
            <w:vAlign w:val="center"/>
          </w:tcPr>
          <w:p w14:paraId="4A17FBB2">
            <w:pPr>
              <w:pStyle w:val="24"/>
              <w:spacing w:before="154" w:line="221" w:lineRule="auto"/>
              <w:jc w:val="center"/>
              <w:rPr>
                <w:rFonts w:hint="eastAsia" w:ascii="宋体" w:hAnsi="宋体" w:eastAsia="宋体" w:cs="宋体"/>
                <w:highlight w:val="none"/>
              </w:rPr>
            </w:pPr>
            <w:r>
              <w:rPr>
                <w:rFonts w:hint="eastAsia" w:ascii="宋体" w:hAnsi="宋体" w:eastAsia="宋体" w:cs="宋体"/>
                <w:highlight w:val="none"/>
                <w:lang w:eastAsia="zh-CN"/>
              </w:rPr>
              <w:t>三门峡市陕州区人民医院改扩建项目（一期工程）医疗设备采购项目</w:t>
            </w:r>
            <w:r>
              <w:rPr>
                <w:rFonts w:hint="eastAsia" w:ascii="宋体" w:hAnsi="宋体" w:eastAsia="宋体" w:cs="宋体"/>
                <w:highlight w:val="none"/>
                <w:lang w:val="en-US" w:eastAsia="zh-CN"/>
              </w:rPr>
              <w:t>-C包</w:t>
            </w:r>
          </w:p>
        </w:tc>
        <w:tc>
          <w:tcPr>
            <w:tcW w:w="1365" w:type="dxa"/>
            <w:vAlign w:val="center"/>
          </w:tcPr>
          <w:p w14:paraId="45F1E2F6">
            <w:pPr>
              <w:spacing w:line="241" w:lineRule="auto"/>
              <w:rPr>
                <w:rFonts w:hint="eastAsia" w:ascii="宋体" w:hAnsi="宋体" w:eastAsia="宋体" w:cs="宋体"/>
                <w:sz w:val="24"/>
                <w:szCs w:val="24"/>
                <w:highlight w:val="none"/>
              </w:rPr>
            </w:pPr>
          </w:p>
          <w:p w14:paraId="4E5B47F2">
            <w:pPr>
              <w:spacing w:line="241" w:lineRule="auto"/>
              <w:rPr>
                <w:rFonts w:hint="eastAsia" w:ascii="宋体" w:hAnsi="宋体" w:eastAsia="宋体" w:cs="宋体"/>
                <w:sz w:val="24"/>
                <w:szCs w:val="24"/>
                <w:highlight w:val="none"/>
              </w:rPr>
            </w:pPr>
          </w:p>
          <w:p w14:paraId="251AB43D">
            <w:pPr>
              <w:spacing w:line="241"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1700000.00</w:t>
            </w:r>
          </w:p>
          <w:p w14:paraId="3C5EA8DE">
            <w:pPr>
              <w:spacing w:line="241" w:lineRule="auto"/>
              <w:rPr>
                <w:rFonts w:hint="eastAsia" w:ascii="宋体" w:hAnsi="宋体" w:eastAsia="宋体" w:cs="宋体"/>
                <w:sz w:val="24"/>
                <w:szCs w:val="24"/>
                <w:highlight w:val="none"/>
              </w:rPr>
            </w:pPr>
          </w:p>
        </w:tc>
        <w:tc>
          <w:tcPr>
            <w:tcW w:w="1480" w:type="dxa"/>
            <w:vAlign w:val="center"/>
          </w:tcPr>
          <w:p w14:paraId="36FE4A7A">
            <w:pPr>
              <w:spacing w:line="241" w:lineRule="auto"/>
              <w:rPr>
                <w:rFonts w:hint="eastAsia" w:ascii="宋体" w:hAnsi="宋体" w:eastAsia="宋体" w:cs="宋体"/>
                <w:sz w:val="24"/>
                <w:szCs w:val="24"/>
                <w:highlight w:val="none"/>
              </w:rPr>
            </w:pPr>
          </w:p>
          <w:p w14:paraId="25336E7C">
            <w:pPr>
              <w:spacing w:line="241" w:lineRule="auto"/>
              <w:rPr>
                <w:rFonts w:hint="eastAsia" w:ascii="宋体" w:hAnsi="宋体" w:eastAsia="宋体" w:cs="宋体"/>
                <w:sz w:val="24"/>
                <w:szCs w:val="24"/>
                <w:highlight w:val="none"/>
              </w:rPr>
            </w:pPr>
          </w:p>
          <w:p w14:paraId="0F7E5532">
            <w:pPr>
              <w:spacing w:line="241"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1700000.00</w:t>
            </w:r>
          </w:p>
          <w:p w14:paraId="48A31F46">
            <w:pPr>
              <w:spacing w:line="241" w:lineRule="auto"/>
              <w:rPr>
                <w:rFonts w:hint="eastAsia" w:ascii="宋体" w:hAnsi="宋体" w:eastAsia="宋体" w:cs="宋体"/>
                <w:sz w:val="24"/>
                <w:szCs w:val="24"/>
                <w:highlight w:val="none"/>
              </w:rPr>
            </w:pPr>
          </w:p>
        </w:tc>
      </w:tr>
      <w:tr w14:paraId="1C486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650" w:type="dxa"/>
            <w:vAlign w:val="top"/>
          </w:tcPr>
          <w:p w14:paraId="6D6519BF">
            <w:pPr>
              <w:spacing w:line="254" w:lineRule="auto"/>
              <w:rPr>
                <w:rFonts w:ascii="Arial"/>
                <w:sz w:val="21"/>
                <w:highlight w:val="none"/>
              </w:rPr>
            </w:pPr>
          </w:p>
          <w:p w14:paraId="15DC825F">
            <w:pPr>
              <w:spacing w:line="254" w:lineRule="auto"/>
              <w:rPr>
                <w:rFonts w:ascii="Arial"/>
                <w:sz w:val="21"/>
                <w:highlight w:val="none"/>
              </w:rPr>
            </w:pPr>
          </w:p>
          <w:p w14:paraId="1020F6CA">
            <w:pPr>
              <w:pStyle w:val="24"/>
              <w:spacing w:before="78" w:line="241" w:lineRule="auto"/>
              <w:ind w:left="269"/>
              <w:rPr>
                <w:highlight w:val="none"/>
              </w:rPr>
            </w:pPr>
            <w:r>
              <w:rPr>
                <w:highlight w:val="none"/>
              </w:rPr>
              <w:t>4</w:t>
            </w:r>
          </w:p>
        </w:tc>
        <w:tc>
          <w:tcPr>
            <w:tcW w:w="2615" w:type="dxa"/>
            <w:vAlign w:val="top"/>
          </w:tcPr>
          <w:p w14:paraId="7DFC9393">
            <w:pPr>
              <w:spacing w:line="253" w:lineRule="auto"/>
              <w:rPr>
                <w:rFonts w:ascii="Arial"/>
                <w:sz w:val="21"/>
                <w:highlight w:val="none"/>
              </w:rPr>
            </w:pPr>
          </w:p>
          <w:p w14:paraId="0E095A44">
            <w:pPr>
              <w:spacing w:line="254" w:lineRule="auto"/>
              <w:rPr>
                <w:rFonts w:ascii="Arial"/>
                <w:sz w:val="21"/>
                <w:highlight w:val="none"/>
              </w:rPr>
            </w:pPr>
          </w:p>
          <w:p w14:paraId="78914500">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-4</w:t>
            </w:r>
          </w:p>
        </w:tc>
        <w:tc>
          <w:tcPr>
            <w:tcW w:w="3217" w:type="dxa"/>
            <w:vAlign w:val="center"/>
          </w:tcPr>
          <w:p w14:paraId="25CA6622">
            <w:pPr>
              <w:pStyle w:val="24"/>
              <w:spacing w:before="155" w:line="220" w:lineRule="auto"/>
              <w:jc w:val="center"/>
              <w:rPr>
                <w:highlight w:val="none"/>
              </w:rPr>
            </w:pPr>
            <w:r>
              <w:rPr>
                <w:rFonts w:hint="eastAsia"/>
                <w:highlight w:val="none"/>
                <w:lang w:eastAsia="zh-CN"/>
              </w:rPr>
              <w:t>三门峡市陕州区人民医院改扩建项目（一期工程）医疗设备采购项目</w:t>
            </w:r>
            <w:r>
              <w:rPr>
                <w:rFonts w:hint="eastAsia"/>
                <w:highlight w:val="none"/>
                <w:lang w:val="en-US" w:eastAsia="zh-CN"/>
              </w:rPr>
              <w:t>-D包</w:t>
            </w:r>
          </w:p>
        </w:tc>
        <w:tc>
          <w:tcPr>
            <w:tcW w:w="1365" w:type="dxa"/>
            <w:vAlign w:val="center"/>
          </w:tcPr>
          <w:p w14:paraId="55F61CBC">
            <w:pPr>
              <w:spacing w:line="253" w:lineRule="auto"/>
              <w:jc w:val="center"/>
              <w:rPr>
                <w:rFonts w:ascii="Arial"/>
                <w:sz w:val="21"/>
                <w:highlight w:val="none"/>
              </w:rPr>
            </w:pPr>
          </w:p>
          <w:p w14:paraId="7A0F28AD">
            <w:pPr>
              <w:spacing w:line="254" w:lineRule="auto"/>
              <w:jc w:val="center"/>
              <w:rPr>
                <w:rFonts w:ascii="Arial"/>
                <w:sz w:val="21"/>
                <w:highlight w:val="none"/>
              </w:rPr>
            </w:pPr>
          </w:p>
          <w:p w14:paraId="55BACB0B">
            <w:pPr>
              <w:pStyle w:val="24"/>
              <w:spacing w:before="78"/>
              <w:jc w:val="center"/>
              <w:rPr>
                <w:rFonts w:hint="default" w:eastAsia="宋体"/>
                <w:highlight w:val="none"/>
                <w:lang w:val="en-US" w:eastAsia="zh-CN"/>
              </w:rPr>
            </w:pPr>
            <w:r>
              <w:rPr>
                <w:rFonts w:hint="eastAsia"/>
                <w:highlight w:val="none"/>
                <w:lang w:val="en-US" w:eastAsia="zh-CN"/>
              </w:rPr>
              <w:t>2330000.00</w:t>
            </w:r>
          </w:p>
        </w:tc>
        <w:tc>
          <w:tcPr>
            <w:tcW w:w="1480" w:type="dxa"/>
            <w:vAlign w:val="center"/>
          </w:tcPr>
          <w:p w14:paraId="004BF0A4">
            <w:pPr>
              <w:spacing w:line="253" w:lineRule="auto"/>
              <w:jc w:val="center"/>
              <w:rPr>
                <w:rFonts w:ascii="Arial"/>
                <w:sz w:val="21"/>
                <w:highlight w:val="none"/>
              </w:rPr>
            </w:pPr>
          </w:p>
          <w:p w14:paraId="58B1FB3A">
            <w:pPr>
              <w:spacing w:line="254" w:lineRule="auto"/>
              <w:jc w:val="center"/>
              <w:rPr>
                <w:rFonts w:ascii="Arial"/>
                <w:sz w:val="21"/>
                <w:highlight w:val="none"/>
              </w:rPr>
            </w:pPr>
          </w:p>
          <w:p w14:paraId="5DE2FA6D">
            <w:pPr>
              <w:pStyle w:val="24"/>
              <w:spacing w:before="78"/>
              <w:jc w:val="center"/>
              <w:rPr>
                <w:rFonts w:hint="default" w:eastAsia="宋体"/>
                <w:highlight w:val="none"/>
                <w:lang w:val="en-US" w:eastAsia="zh-CN"/>
              </w:rPr>
            </w:pPr>
            <w:r>
              <w:rPr>
                <w:rFonts w:hint="eastAsia"/>
                <w:highlight w:val="none"/>
                <w:lang w:val="en-US" w:eastAsia="zh-CN"/>
              </w:rPr>
              <w:t>2330000.00</w:t>
            </w:r>
          </w:p>
        </w:tc>
      </w:tr>
    </w:tbl>
    <w:p w14:paraId="348C03C1">
      <w:pPr>
        <w:pStyle w:val="4"/>
        <w:spacing w:before="183" w:line="360" w:lineRule="auto"/>
        <w:ind w:firstLine="574"/>
        <w:rPr>
          <w:spacing w:val="15"/>
          <w:sz w:val="24"/>
          <w:szCs w:val="24"/>
          <w:highlight w:val="none"/>
        </w:rPr>
      </w:pPr>
      <w:r>
        <w:rPr>
          <w:spacing w:val="15"/>
          <w:sz w:val="24"/>
          <w:szCs w:val="24"/>
          <w:highlight w:val="none"/>
        </w:rPr>
        <w:t>5.采购需求 (包括目标、标准、数量、规格、服务要求、验收、标准等)：</w:t>
      </w:r>
    </w:p>
    <w:p w14:paraId="042623BC">
      <w:pPr>
        <w:pStyle w:val="4"/>
        <w:spacing w:before="183" w:line="360" w:lineRule="auto"/>
        <w:ind w:firstLine="574"/>
        <w:rPr>
          <w:sz w:val="24"/>
          <w:szCs w:val="24"/>
          <w:highlight w:val="none"/>
        </w:rPr>
      </w:pPr>
      <w:r>
        <w:rPr>
          <w:spacing w:val="15"/>
          <w:sz w:val="24"/>
          <w:szCs w:val="24"/>
          <w:highlight w:val="none"/>
        </w:rPr>
        <w:t>5.1 采购范围：</w:t>
      </w:r>
      <w:r>
        <w:rPr>
          <w:rFonts w:hint="eastAsia"/>
          <w:spacing w:val="15"/>
          <w:sz w:val="24"/>
          <w:szCs w:val="24"/>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p w14:paraId="00C7EDAA">
      <w:pPr>
        <w:pStyle w:val="4"/>
        <w:spacing w:line="219" w:lineRule="auto"/>
        <w:ind w:left="572"/>
        <w:rPr>
          <w:sz w:val="24"/>
          <w:szCs w:val="24"/>
          <w:highlight w:val="none"/>
        </w:rPr>
      </w:pPr>
      <w:r>
        <w:rPr>
          <w:spacing w:val="-5"/>
          <w:sz w:val="24"/>
          <w:szCs w:val="24"/>
          <w:highlight w:val="none"/>
        </w:rPr>
        <w:t>5.2</w:t>
      </w:r>
      <w:r>
        <w:rPr>
          <w:spacing w:val="-40"/>
          <w:sz w:val="24"/>
          <w:szCs w:val="24"/>
          <w:highlight w:val="none"/>
        </w:rPr>
        <w:t xml:space="preserve"> </w:t>
      </w:r>
      <w:r>
        <w:rPr>
          <w:spacing w:val="-5"/>
          <w:sz w:val="24"/>
          <w:szCs w:val="24"/>
          <w:highlight w:val="none"/>
        </w:rPr>
        <w:t>资金来源：财政资金。</w:t>
      </w:r>
    </w:p>
    <w:p w14:paraId="1786D3BE">
      <w:pPr>
        <w:pStyle w:val="4"/>
        <w:spacing w:before="181" w:line="220" w:lineRule="auto"/>
        <w:ind w:left="572"/>
        <w:rPr>
          <w:sz w:val="24"/>
          <w:szCs w:val="24"/>
          <w:highlight w:val="none"/>
        </w:rPr>
      </w:pPr>
      <w:r>
        <w:rPr>
          <w:spacing w:val="-2"/>
          <w:sz w:val="24"/>
          <w:szCs w:val="24"/>
          <w:highlight w:val="none"/>
        </w:rPr>
        <w:t>5.3</w:t>
      </w:r>
      <w:r>
        <w:rPr>
          <w:spacing w:val="-45"/>
          <w:sz w:val="24"/>
          <w:szCs w:val="24"/>
          <w:highlight w:val="none"/>
        </w:rPr>
        <w:t xml:space="preserve"> </w:t>
      </w:r>
      <w:r>
        <w:rPr>
          <w:spacing w:val="-2"/>
          <w:sz w:val="24"/>
          <w:szCs w:val="24"/>
          <w:highlight w:val="none"/>
        </w:rPr>
        <w:t>质量要求：符合国家及行业相关规范和标准，达到正常运行条件。</w:t>
      </w:r>
    </w:p>
    <w:p w14:paraId="3D4AA75F">
      <w:pPr>
        <w:pStyle w:val="4"/>
        <w:spacing w:before="182" w:line="220" w:lineRule="auto"/>
        <w:ind w:left="572"/>
        <w:rPr>
          <w:sz w:val="24"/>
          <w:szCs w:val="24"/>
          <w:highlight w:val="none"/>
        </w:rPr>
      </w:pPr>
      <w:r>
        <w:rPr>
          <w:spacing w:val="-3"/>
          <w:sz w:val="24"/>
          <w:szCs w:val="24"/>
          <w:highlight w:val="none"/>
        </w:rPr>
        <w:t>5.4</w:t>
      </w:r>
      <w:r>
        <w:rPr>
          <w:spacing w:val="-42"/>
          <w:sz w:val="24"/>
          <w:szCs w:val="24"/>
          <w:highlight w:val="none"/>
        </w:rPr>
        <w:t xml:space="preserve"> </w:t>
      </w:r>
      <w:r>
        <w:rPr>
          <w:spacing w:val="-3"/>
          <w:sz w:val="24"/>
          <w:szCs w:val="24"/>
          <w:highlight w:val="none"/>
        </w:rPr>
        <w:t>质 保 期：A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w:t>
      </w:r>
    </w:p>
    <w:p w14:paraId="21D47B16">
      <w:pPr>
        <w:pStyle w:val="4"/>
        <w:spacing w:before="182" w:line="219" w:lineRule="auto"/>
        <w:ind w:left="572"/>
        <w:rPr>
          <w:sz w:val="24"/>
          <w:szCs w:val="24"/>
          <w:highlight w:val="none"/>
        </w:rPr>
      </w:pPr>
      <w:r>
        <w:rPr>
          <w:spacing w:val="-5"/>
          <w:sz w:val="24"/>
          <w:szCs w:val="24"/>
          <w:highlight w:val="none"/>
        </w:rPr>
        <w:t>5.5</w:t>
      </w:r>
      <w:r>
        <w:rPr>
          <w:spacing w:val="-37"/>
          <w:sz w:val="24"/>
          <w:szCs w:val="24"/>
          <w:highlight w:val="none"/>
        </w:rPr>
        <w:t xml:space="preserve"> </w:t>
      </w:r>
      <w:r>
        <w:rPr>
          <w:spacing w:val="-5"/>
          <w:sz w:val="24"/>
          <w:szCs w:val="24"/>
          <w:highlight w:val="none"/>
        </w:rPr>
        <w:t>交货及安装期：</w:t>
      </w:r>
      <w:r>
        <w:rPr>
          <w:rFonts w:hint="eastAsia"/>
          <w:spacing w:val="-5"/>
          <w:sz w:val="24"/>
          <w:szCs w:val="24"/>
          <w:highlight w:val="none"/>
          <w:lang w:eastAsia="zh-CN"/>
        </w:rPr>
        <w:t>签订合同后 30 日历天（完成安装及调试）</w:t>
      </w:r>
      <w:r>
        <w:rPr>
          <w:spacing w:val="-5"/>
          <w:sz w:val="24"/>
          <w:szCs w:val="24"/>
          <w:highlight w:val="none"/>
        </w:rPr>
        <w:t>。</w:t>
      </w:r>
    </w:p>
    <w:p w14:paraId="7F30DE26">
      <w:pPr>
        <w:pStyle w:val="4"/>
        <w:spacing w:before="183" w:line="219" w:lineRule="auto"/>
        <w:ind w:left="572"/>
        <w:rPr>
          <w:rFonts w:hint="eastAsia" w:eastAsia="宋体"/>
          <w:sz w:val="24"/>
          <w:szCs w:val="24"/>
          <w:highlight w:val="none"/>
          <w:lang w:eastAsia="zh-CN"/>
        </w:rPr>
      </w:pPr>
      <w:r>
        <w:rPr>
          <w:spacing w:val="-4"/>
          <w:sz w:val="24"/>
          <w:szCs w:val="24"/>
          <w:highlight w:val="none"/>
        </w:rPr>
        <w:t>5.6</w:t>
      </w:r>
      <w:r>
        <w:rPr>
          <w:spacing w:val="-43"/>
          <w:sz w:val="24"/>
          <w:szCs w:val="24"/>
          <w:highlight w:val="none"/>
        </w:rPr>
        <w:t xml:space="preserve"> </w:t>
      </w:r>
      <w:r>
        <w:rPr>
          <w:spacing w:val="-4"/>
          <w:sz w:val="24"/>
          <w:szCs w:val="24"/>
          <w:highlight w:val="none"/>
        </w:rPr>
        <w:t>交货地点：采购人指定地点</w:t>
      </w:r>
      <w:r>
        <w:rPr>
          <w:rFonts w:hint="eastAsia"/>
          <w:spacing w:val="-4"/>
          <w:sz w:val="24"/>
          <w:szCs w:val="24"/>
          <w:highlight w:val="none"/>
          <w:lang w:eastAsia="zh-CN"/>
        </w:rPr>
        <w:t>。</w:t>
      </w:r>
    </w:p>
    <w:p w14:paraId="3A3DF8DB">
      <w:pPr>
        <w:pStyle w:val="4"/>
        <w:spacing w:before="183" w:line="220" w:lineRule="auto"/>
        <w:ind w:left="569"/>
        <w:rPr>
          <w:rFonts w:hint="eastAsia" w:eastAsia="宋体"/>
          <w:sz w:val="24"/>
          <w:szCs w:val="24"/>
          <w:highlight w:val="none"/>
          <w:lang w:eastAsia="zh-CN"/>
        </w:rPr>
      </w:pPr>
      <w:r>
        <w:rPr>
          <w:spacing w:val="-3"/>
          <w:sz w:val="24"/>
          <w:szCs w:val="24"/>
          <w:highlight w:val="none"/>
        </w:rPr>
        <w:t>6.合同履行期限：按合同约定执行</w:t>
      </w:r>
      <w:r>
        <w:rPr>
          <w:rFonts w:hint="eastAsia"/>
          <w:spacing w:val="-3"/>
          <w:sz w:val="24"/>
          <w:szCs w:val="24"/>
          <w:highlight w:val="none"/>
          <w:lang w:eastAsia="zh-CN"/>
        </w:rPr>
        <w:t>。</w:t>
      </w:r>
    </w:p>
    <w:p w14:paraId="4D660A7F">
      <w:pPr>
        <w:pStyle w:val="4"/>
        <w:spacing w:before="183" w:line="219" w:lineRule="auto"/>
        <w:ind w:left="573"/>
        <w:rPr>
          <w:rFonts w:hint="eastAsia" w:eastAsia="宋体"/>
          <w:sz w:val="24"/>
          <w:szCs w:val="24"/>
          <w:highlight w:val="none"/>
          <w:lang w:eastAsia="zh-CN"/>
        </w:rPr>
      </w:pPr>
      <w:r>
        <w:rPr>
          <w:spacing w:val="-1"/>
          <w:sz w:val="24"/>
          <w:szCs w:val="24"/>
          <w:highlight w:val="none"/>
        </w:rPr>
        <w:t>7.本项目是否接受联合体投标：否</w:t>
      </w:r>
      <w:r>
        <w:rPr>
          <w:rFonts w:hint="eastAsia"/>
          <w:spacing w:val="-1"/>
          <w:sz w:val="24"/>
          <w:szCs w:val="24"/>
          <w:highlight w:val="none"/>
          <w:lang w:eastAsia="zh-CN"/>
        </w:rPr>
        <w:t>。</w:t>
      </w:r>
    </w:p>
    <w:p w14:paraId="33467FB3">
      <w:pPr>
        <w:pStyle w:val="4"/>
        <w:spacing w:before="183" w:line="220" w:lineRule="auto"/>
        <w:ind w:left="568"/>
        <w:rPr>
          <w:rFonts w:hint="eastAsia" w:eastAsia="宋体"/>
          <w:spacing w:val="-4"/>
          <w:sz w:val="24"/>
          <w:szCs w:val="24"/>
          <w:highlight w:val="none"/>
          <w:lang w:eastAsia="zh-CN"/>
        </w:rPr>
      </w:pPr>
      <w:r>
        <w:rPr>
          <w:spacing w:val="-4"/>
          <w:sz w:val="24"/>
          <w:szCs w:val="24"/>
          <w:highlight w:val="none"/>
        </w:rPr>
        <w:t>8.是否接受进口产品：否</w:t>
      </w:r>
      <w:r>
        <w:rPr>
          <w:rFonts w:hint="eastAsia"/>
          <w:spacing w:val="-4"/>
          <w:sz w:val="24"/>
          <w:szCs w:val="24"/>
          <w:highlight w:val="none"/>
          <w:lang w:eastAsia="zh-CN"/>
        </w:rPr>
        <w:t>。</w:t>
      </w:r>
    </w:p>
    <w:p w14:paraId="1C120F86">
      <w:pPr>
        <w:pStyle w:val="4"/>
        <w:spacing w:before="183" w:line="220" w:lineRule="auto"/>
        <w:ind w:left="568"/>
        <w:rPr>
          <w:rFonts w:hint="eastAsia" w:eastAsia="宋体"/>
          <w:spacing w:val="-4"/>
          <w:sz w:val="24"/>
          <w:szCs w:val="24"/>
          <w:highlight w:val="none"/>
          <w:lang w:eastAsia="zh-CN"/>
        </w:rPr>
      </w:pPr>
      <w:r>
        <w:rPr>
          <w:rFonts w:hint="eastAsia"/>
          <w:spacing w:val="-4"/>
          <w:sz w:val="24"/>
          <w:szCs w:val="24"/>
          <w:highlight w:val="none"/>
          <w:lang w:val="en-US" w:eastAsia="zh-CN"/>
        </w:rPr>
        <w:t>9.</w:t>
      </w:r>
      <w:r>
        <w:rPr>
          <w:spacing w:val="-4"/>
          <w:sz w:val="24"/>
          <w:szCs w:val="24"/>
          <w:highlight w:val="none"/>
        </w:rPr>
        <w:t>是否专门面向中小企业：否</w:t>
      </w:r>
      <w:r>
        <w:rPr>
          <w:rFonts w:hint="eastAsia"/>
          <w:spacing w:val="-4"/>
          <w:sz w:val="24"/>
          <w:szCs w:val="24"/>
          <w:highlight w:val="none"/>
          <w:lang w:eastAsia="zh-CN"/>
        </w:rPr>
        <w:t>。</w:t>
      </w:r>
    </w:p>
    <w:p w14:paraId="6D25AA22">
      <w:pPr>
        <w:pStyle w:val="4"/>
        <w:spacing w:before="182" w:line="219" w:lineRule="auto"/>
        <w:ind w:left="571"/>
        <w:rPr>
          <w:sz w:val="24"/>
          <w:szCs w:val="24"/>
          <w:highlight w:val="none"/>
        </w:rPr>
      </w:pPr>
      <w:r>
        <w:rPr>
          <w:spacing w:val="-2"/>
          <w:sz w:val="24"/>
          <w:szCs w:val="24"/>
          <w:highlight w:val="none"/>
        </w:rPr>
        <w:t>二、供应商资格要求</w:t>
      </w:r>
    </w:p>
    <w:p w14:paraId="20F0B968">
      <w:pPr>
        <w:pStyle w:val="4"/>
        <w:spacing w:before="184" w:line="219" w:lineRule="auto"/>
        <w:ind w:left="585"/>
        <w:rPr>
          <w:sz w:val="24"/>
          <w:szCs w:val="24"/>
          <w:highlight w:val="none"/>
        </w:rPr>
      </w:pPr>
      <w:r>
        <w:rPr>
          <w:spacing w:val="-3"/>
          <w:sz w:val="24"/>
          <w:szCs w:val="24"/>
          <w:highlight w:val="none"/>
        </w:rPr>
        <w:t>1.满足《中华人民共和国政府采购法》第二十二</w:t>
      </w:r>
      <w:r>
        <w:rPr>
          <w:spacing w:val="-4"/>
          <w:sz w:val="24"/>
          <w:szCs w:val="24"/>
          <w:highlight w:val="none"/>
        </w:rPr>
        <w:t>条规定；</w:t>
      </w:r>
    </w:p>
    <w:p w14:paraId="6EC85B36">
      <w:pPr>
        <w:pStyle w:val="4"/>
        <w:spacing w:before="183" w:line="360" w:lineRule="auto"/>
        <w:ind w:left="4" w:firstLine="565"/>
        <w:rPr>
          <w:sz w:val="24"/>
          <w:szCs w:val="24"/>
          <w:highlight w:val="none"/>
        </w:rPr>
      </w:pPr>
      <w:r>
        <w:rPr>
          <w:spacing w:val="-1"/>
          <w:sz w:val="24"/>
          <w:szCs w:val="24"/>
          <w:highlight w:val="none"/>
        </w:rPr>
        <w:t>2.落实政府采购政策满足的资格要求：本项目非专门面向中小微企业采购项目,执</w:t>
      </w:r>
      <w:r>
        <w:rPr>
          <w:spacing w:val="-7"/>
          <w:sz w:val="24"/>
          <w:szCs w:val="24"/>
          <w:highlight w:val="none"/>
        </w:rPr>
        <w:t>行优先采购节能环保、环境标志性产品，</w:t>
      </w:r>
      <w:r>
        <w:rPr>
          <w:spacing w:val="-41"/>
          <w:sz w:val="24"/>
          <w:szCs w:val="24"/>
          <w:highlight w:val="none"/>
        </w:rPr>
        <w:t xml:space="preserve"> </w:t>
      </w:r>
      <w:r>
        <w:rPr>
          <w:spacing w:val="-7"/>
          <w:sz w:val="24"/>
          <w:szCs w:val="24"/>
          <w:highlight w:val="none"/>
        </w:rPr>
        <w:t>促进中小企业（监狱企业、残疾</w:t>
      </w:r>
      <w:r>
        <w:rPr>
          <w:spacing w:val="-8"/>
          <w:sz w:val="24"/>
          <w:szCs w:val="24"/>
          <w:highlight w:val="none"/>
        </w:rPr>
        <w:t>人福利性企业）</w:t>
      </w:r>
      <w:r>
        <w:rPr>
          <w:spacing w:val="-2"/>
          <w:sz w:val="24"/>
          <w:szCs w:val="24"/>
          <w:highlight w:val="none"/>
        </w:rPr>
        <w:t>发展等政府采购政策。</w:t>
      </w:r>
    </w:p>
    <w:p w14:paraId="2A042DB8">
      <w:pPr>
        <w:pStyle w:val="4"/>
        <w:spacing w:before="1" w:line="218" w:lineRule="auto"/>
        <w:ind w:left="572"/>
        <w:rPr>
          <w:sz w:val="24"/>
          <w:szCs w:val="24"/>
          <w:highlight w:val="none"/>
        </w:rPr>
      </w:pPr>
      <w:r>
        <w:rPr>
          <w:spacing w:val="-2"/>
          <w:sz w:val="24"/>
          <w:szCs w:val="24"/>
          <w:highlight w:val="none"/>
        </w:rPr>
        <w:t>3.本项目的特定资格要求</w:t>
      </w:r>
    </w:p>
    <w:p w14:paraId="1496D266">
      <w:pPr>
        <w:pStyle w:val="4"/>
        <w:spacing w:before="184" w:line="219" w:lineRule="auto"/>
        <w:ind w:left="572"/>
        <w:rPr>
          <w:sz w:val="24"/>
          <w:szCs w:val="24"/>
          <w:highlight w:val="none"/>
        </w:rPr>
      </w:pPr>
      <w:r>
        <w:rPr>
          <w:rFonts w:hint="eastAsia"/>
          <w:spacing w:val="-1"/>
          <w:sz w:val="24"/>
          <w:szCs w:val="24"/>
          <w:highlight w:val="none"/>
          <w:lang w:eastAsia="zh-CN"/>
        </w:rPr>
        <w:t>（</w:t>
      </w:r>
      <w:r>
        <w:rPr>
          <w:rFonts w:hint="eastAsia"/>
          <w:spacing w:val="-1"/>
          <w:sz w:val="24"/>
          <w:szCs w:val="24"/>
          <w:highlight w:val="none"/>
          <w:lang w:val="en-US" w:eastAsia="zh-CN"/>
        </w:rPr>
        <w:t>1</w:t>
      </w:r>
      <w:r>
        <w:rPr>
          <w:rFonts w:hint="eastAsia"/>
          <w:spacing w:val="-1"/>
          <w:sz w:val="24"/>
          <w:szCs w:val="24"/>
          <w:highlight w:val="none"/>
          <w:lang w:eastAsia="zh-CN"/>
        </w:rPr>
        <w:t>）</w:t>
      </w:r>
      <w:r>
        <w:rPr>
          <w:spacing w:val="-1"/>
          <w:sz w:val="24"/>
          <w:szCs w:val="24"/>
          <w:highlight w:val="none"/>
        </w:rPr>
        <w:t>供应商具备有效的营业执照；</w:t>
      </w:r>
    </w:p>
    <w:p w14:paraId="0CC36F7A">
      <w:pPr>
        <w:pStyle w:val="4"/>
        <w:spacing w:before="183" w:line="360" w:lineRule="auto"/>
        <w:ind w:right="102" w:firstLine="571"/>
        <w:rPr>
          <w:sz w:val="24"/>
          <w:szCs w:val="24"/>
          <w:highlight w:val="none"/>
        </w:rPr>
      </w:pPr>
      <w:r>
        <w:rPr>
          <w:rFonts w:hint="eastAsia"/>
          <w:spacing w:val="-3"/>
          <w:sz w:val="24"/>
          <w:szCs w:val="24"/>
          <w:highlight w:val="none"/>
          <w:lang w:eastAsia="zh-CN"/>
        </w:rPr>
        <w:t>（</w:t>
      </w:r>
      <w:r>
        <w:rPr>
          <w:rFonts w:hint="eastAsia"/>
          <w:spacing w:val="-3"/>
          <w:sz w:val="24"/>
          <w:szCs w:val="24"/>
          <w:highlight w:val="none"/>
          <w:lang w:val="en-US" w:eastAsia="zh-CN"/>
        </w:rPr>
        <w:t>2</w:t>
      </w:r>
      <w:r>
        <w:rPr>
          <w:rFonts w:hint="eastAsia"/>
          <w:spacing w:val="-3"/>
          <w:sz w:val="24"/>
          <w:szCs w:val="24"/>
          <w:highlight w:val="none"/>
          <w:lang w:eastAsia="zh-CN"/>
        </w:rPr>
        <w:t>）</w:t>
      </w:r>
      <w:r>
        <w:rPr>
          <w:spacing w:val="-40"/>
          <w:sz w:val="24"/>
          <w:szCs w:val="24"/>
          <w:highlight w:val="none"/>
        </w:rPr>
        <w:t xml:space="preserve"> </w:t>
      </w:r>
      <w:r>
        <w:rPr>
          <w:spacing w:val="-3"/>
          <w:sz w:val="24"/>
          <w:szCs w:val="24"/>
          <w:highlight w:val="none"/>
        </w:rPr>
        <w:t>供应商为代理商（经销商）的，应具有医疗器械经营许可证或医疗器械经营备</w:t>
      </w:r>
      <w:r>
        <w:rPr>
          <w:spacing w:val="1"/>
          <w:sz w:val="24"/>
          <w:szCs w:val="24"/>
          <w:highlight w:val="none"/>
        </w:rPr>
        <w:t>案凭证（从事一类医疗器械经营活动的除外</w:t>
      </w:r>
      <w:r>
        <w:rPr>
          <w:spacing w:val="-50"/>
          <w:sz w:val="24"/>
          <w:szCs w:val="24"/>
          <w:highlight w:val="none"/>
        </w:rPr>
        <w:t>）；</w:t>
      </w:r>
      <w:r>
        <w:rPr>
          <w:spacing w:val="1"/>
          <w:sz w:val="24"/>
          <w:szCs w:val="24"/>
          <w:highlight w:val="none"/>
        </w:rPr>
        <w:t>供应商为制造商时，应具有医疗器械生</w:t>
      </w:r>
      <w:r>
        <w:rPr>
          <w:spacing w:val="-6"/>
          <w:sz w:val="24"/>
          <w:szCs w:val="24"/>
          <w:highlight w:val="none"/>
        </w:rPr>
        <w:t>产许可证（从事第一类医疗器械生产的须具有备案凭证</w:t>
      </w:r>
      <w:r>
        <w:rPr>
          <w:spacing w:val="-2"/>
          <w:sz w:val="24"/>
          <w:szCs w:val="24"/>
          <w:highlight w:val="none"/>
        </w:rPr>
        <w:t>）；</w:t>
      </w:r>
    </w:p>
    <w:p w14:paraId="2D00D5C1">
      <w:pPr>
        <w:pStyle w:val="4"/>
        <w:spacing w:before="1" w:line="218" w:lineRule="auto"/>
        <w:ind w:left="572"/>
        <w:rPr>
          <w:sz w:val="24"/>
          <w:szCs w:val="24"/>
          <w:highlight w:val="none"/>
        </w:rPr>
      </w:pPr>
      <w:r>
        <w:rPr>
          <w:rFonts w:hint="eastAsia"/>
          <w:spacing w:val="-3"/>
          <w:sz w:val="24"/>
          <w:szCs w:val="24"/>
          <w:highlight w:val="none"/>
          <w:lang w:eastAsia="zh-CN"/>
        </w:rPr>
        <w:t>（</w:t>
      </w:r>
      <w:r>
        <w:rPr>
          <w:rFonts w:hint="eastAsia"/>
          <w:spacing w:val="-3"/>
          <w:sz w:val="24"/>
          <w:szCs w:val="24"/>
          <w:highlight w:val="none"/>
          <w:lang w:val="en-US" w:eastAsia="zh-CN"/>
        </w:rPr>
        <w:t>3</w:t>
      </w:r>
      <w:r>
        <w:rPr>
          <w:rFonts w:hint="eastAsia"/>
          <w:spacing w:val="-3"/>
          <w:sz w:val="24"/>
          <w:szCs w:val="24"/>
          <w:highlight w:val="none"/>
          <w:lang w:eastAsia="zh-CN"/>
        </w:rPr>
        <w:t>）</w:t>
      </w:r>
      <w:r>
        <w:rPr>
          <w:spacing w:val="-3"/>
          <w:sz w:val="24"/>
          <w:szCs w:val="24"/>
          <w:highlight w:val="none"/>
        </w:rPr>
        <w:t>须提供本企业无商业贿赂和不正当竞争行为</w:t>
      </w:r>
      <w:r>
        <w:rPr>
          <w:spacing w:val="-4"/>
          <w:sz w:val="24"/>
          <w:szCs w:val="24"/>
          <w:highlight w:val="none"/>
        </w:rPr>
        <w:t>承诺书；</w:t>
      </w:r>
    </w:p>
    <w:p w14:paraId="513E1554">
      <w:pPr>
        <w:pStyle w:val="4"/>
        <w:spacing w:before="180" w:line="361" w:lineRule="auto"/>
        <w:ind w:right="97" w:firstLine="572"/>
        <w:rPr>
          <w:sz w:val="24"/>
          <w:szCs w:val="24"/>
          <w:highlight w:val="none"/>
        </w:rPr>
      </w:pPr>
      <w:r>
        <w:rPr>
          <w:rFonts w:hint="eastAsia"/>
          <w:spacing w:val="4"/>
          <w:sz w:val="24"/>
          <w:szCs w:val="24"/>
          <w:highlight w:val="none"/>
          <w:lang w:eastAsia="zh-CN"/>
        </w:rPr>
        <w:t>（</w:t>
      </w:r>
      <w:r>
        <w:rPr>
          <w:rFonts w:hint="eastAsia"/>
          <w:spacing w:val="4"/>
          <w:sz w:val="24"/>
          <w:szCs w:val="24"/>
          <w:highlight w:val="none"/>
          <w:lang w:val="en-US" w:eastAsia="zh-CN"/>
        </w:rPr>
        <w:t>4</w:t>
      </w:r>
      <w:r>
        <w:rPr>
          <w:rFonts w:hint="eastAsia"/>
          <w:spacing w:val="4"/>
          <w:sz w:val="24"/>
          <w:szCs w:val="24"/>
          <w:highlight w:val="none"/>
          <w:lang w:eastAsia="zh-CN"/>
        </w:rPr>
        <w:t>）</w:t>
      </w:r>
      <w:r>
        <w:rPr>
          <w:spacing w:val="4"/>
          <w:sz w:val="24"/>
          <w:szCs w:val="24"/>
          <w:highlight w:val="none"/>
        </w:rPr>
        <w:t xml:space="preserve"> 根据《关于在政府采购活动中查询及使用信用记录有关问</w:t>
      </w:r>
      <w:r>
        <w:rPr>
          <w:spacing w:val="3"/>
          <w:sz w:val="24"/>
          <w:szCs w:val="24"/>
          <w:highlight w:val="none"/>
        </w:rPr>
        <w:t>题的通知》</w:t>
      </w:r>
      <w:r>
        <w:rPr>
          <w:spacing w:val="-46"/>
          <w:sz w:val="24"/>
          <w:szCs w:val="24"/>
          <w:highlight w:val="none"/>
        </w:rPr>
        <w:t xml:space="preserve"> </w:t>
      </w:r>
      <w:r>
        <w:rPr>
          <w:spacing w:val="3"/>
          <w:sz w:val="24"/>
          <w:szCs w:val="24"/>
          <w:highlight w:val="none"/>
        </w:rPr>
        <w:t>(财库</w:t>
      </w:r>
      <w:r>
        <w:rPr>
          <w:spacing w:val="-5"/>
          <w:sz w:val="24"/>
          <w:szCs w:val="24"/>
          <w:highlight w:val="none"/>
        </w:rPr>
        <w:t>[</w:t>
      </w:r>
      <w:r>
        <w:rPr>
          <w:highlight w:val="none"/>
        </w:rPr>
        <w:fldChar w:fldCharType="begin"/>
      </w:r>
      <w:r>
        <w:rPr>
          <w:highlight w:val="none"/>
        </w:rPr>
        <w:instrText xml:space="preserve"> HYPERLINK \l "bookmark14"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27"/>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p w14:paraId="6D2E991A">
      <w:pPr>
        <w:pStyle w:val="4"/>
        <w:spacing w:before="121" w:line="220" w:lineRule="auto"/>
        <w:ind w:left="569"/>
        <w:rPr>
          <w:sz w:val="24"/>
          <w:szCs w:val="24"/>
          <w:highlight w:val="none"/>
        </w:rPr>
      </w:pPr>
      <w:r>
        <w:rPr>
          <w:spacing w:val="-2"/>
          <w:sz w:val="24"/>
          <w:szCs w:val="24"/>
          <w:highlight w:val="none"/>
        </w:rPr>
        <w:t>三、获取招标文件</w:t>
      </w:r>
    </w:p>
    <w:p w14:paraId="7054341C">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9</w:t>
      </w:r>
      <w:r>
        <w:rPr>
          <w:spacing w:val="-2"/>
          <w:sz w:val="24"/>
          <w:szCs w:val="24"/>
          <w:highlight w:val="none"/>
        </w:rPr>
        <w:t>日至</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29</w:t>
      </w:r>
      <w:r>
        <w:rPr>
          <w:spacing w:val="-2"/>
          <w:sz w:val="24"/>
          <w:szCs w:val="24"/>
          <w:highlight w:val="none"/>
        </w:rPr>
        <w:t>日，每天上午 00:00 至 12:00，下午 12:00 至 23:59（北京时间）。</w:t>
      </w:r>
    </w:p>
    <w:p w14:paraId="24C6AB07">
      <w:pPr>
        <w:pStyle w:val="4"/>
        <w:spacing w:line="219" w:lineRule="auto"/>
        <w:ind w:left="572"/>
        <w:rPr>
          <w:sz w:val="24"/>
          <w:szCs w:val="24"/>
          <w:highlight w:val="none"/>
        </w:rPr>
      </w:pPr>
      <w:r>
        <w:rPr>
          <w:spacing w:val="-1"/>
          <w:sz w:val="24"/>
          <w:szCs w:val="24"/>
          <w:highlight w:val="none"/>
        </w:rPr>
        <w:t>2.地点：三门峡市公共资源交易中心网</w:t>
      </w:r>
    </w:p>
    <w:p w14:paraId="2F2507A3">
      <w:pPr>
        <w:pStyle w:val="4"/>
        <w:spacing w:before="183" w:line="360" w:lineRule="auto"/>
        <w:ind w:firstLine="574"/>
        <w:rPr>
          <w:sz w:val="24"/>
          <w:szCs w:val="24"/>
          <w:highlight w:val="none"/>
        </w:rPr>
      </w:pPr>
      <w:r>
        <w:rPr>
          <w:spacing w:val="15"/>
          <w:sz w:val="24"/>
          <w:szCs w:val="24"/>
          <w:highlight w:val="none"/>
        </w:rPr>
        <w:t xml:space="preserve">3.方式：供应商凭 </w:t>
      </w:r>
      <w:r>
        <w:rPr>
          <w:sz w:val="24"/>
          <w:szCs w:val="24"/>
          <w:highlight w:val="none"/>
        </w:rPr>
        <w:t>CA</w:t>
      </w:r>
      <w:r>
        <w:rPr>
          <w:spacing w:val="15"/>
          <w:sz w:val="24"/>
          <w:szCs w:val="24"/>
          <w:highlight w:val="none"/>
        </w:rPr>
        <w:t xml:space="preserve"> 数字证书通过三门峡市公共资源交易中心网（网址：</w:t>
      </w:r>
      <w:r>
        <w:rPr>
          <w:spacing w:val="8"/>
          <w:sz w:val="24"/>
          <w:szCs w:val="24"/>
          <w:highlight w:val="none"/>
        </w:rPr>
        <w:t xml:space="preserve"> </w:t>
      </w:r>
      <w:r>
        <w:rPr>
          <w:highlight w:val="none"/>
        </w:rPr>
        <w:fldChar w:fldCharType="begin"/>
      </w:r>
      <w:r>
        <w:rPr>
          <w:highlight w:val="none"/>
        </w:rPr>
        <w:instrText xml:space="preserve"> HYPERLINK "http://gzjy.smx.gov.cn/" </w:instrText>
      </w:r>
      <w:r>
        <w:rPr>
          <w:highlight w:val="none"/>
        </w:rPr>
        <w:fldChar w:fldCharType="separate"/>
      </w:r>
      <w:r>
        <w:rPr>
          <w:spacing w:val="-2"/>
          <w:sz w:val="24"/>
          <w:szCs w:val="24"/>
          <w:highlight w:val="none"/>
        </w:rPr>
        <w:t>http://gzjy.smx.gov.cn/</w:t>
      </w:r>
      <w:r>
        <w:rPr>
          <w:spacing w:val="-2"/>
          <w:sz w:val="24"/>
          <w:szCs w:val="24"/>
          <w:highlight w:val="none"/>
        </w:rPr>
        <w:fldChar w:fldCharType="end"/>
      </w:r>
      <w:r>
        <w:rPr>
          <w:spacing w:val="-43"/>
          <w:sz w:val="24"/>
          <w:szCs w:val="24"/>
          <w:highlight w:val="none"/>
        </w:rPr>
        <w:t>），</w:t>
      </w:r>
      <w:r>
        <w:rPr>
          <w:spacing w:val="-2"/>
          <w:sz w:val="24"/>
          <w:szCs w:val="24"/>
          <w:highlight w:val="none"/>
        </w:rPr>
        <w:t>点击交易平台选择“市场主体登录”，登陆系统后，点击</w:t>
      </w:r>
      <w:r>
        <w:rPr>
          <w:spacing w:val="2"/>
          <w:sz w:val="24"/>
          <w:szCs w:val="24"/>
          <w:highlight w:val="none"/>
        </w:rPr>
        <w:t>采购业务-业务管理-招标文件领取菜单-点击领取按钮-领取.</w:t>
      </w:r>
      <w:r>
        <w:rPr>
          <w:sz w:val="24"/>
          <w:szCs w:val="24"/>
          <w:highlight w:val="none"/>
        </w:rPr>
        <w:t>smxzf</w:t>
      </w:r>
      <w:r>
        <w:rPr>
          <w:spacing w:val="1"/>
          <w:sz w:val="24"/>
          <w:szCs w:val="24"/>
          <w:highlight w:val="none"/>
        </w:rPr>
        <w:t xml:space="preserve"> 格式的电子招标文</w:t>
      </w:r>
      <w:r>
        <w:rPr>
          <w:spacing w:val="-11"/>
          <w:sz w:val="24"/>
          <w:szCs w:val="24"/>
          <w:highlight w:val="none"/>
        </w:rPr>
        <w:t>件。</w:t>
      </w:r>
    </w:p>
    <w:p w14:paraId="20F6C132">
      <w:pPr>
        <w:pStyle w:val="4"/>
        <w:spacing w:before="1" w:line="218" w:lineRule="auto"/>
        <w:ind w:left="574"/>
        <w:rPr>
          <w:sz w:val="24"/>
          <w:szCs w:val="24"/>
          <w:highlight w:val="none"/>
        </w:rPr>
      </w:pPr>
      <w:r>
        <w:rPr>
          <w:spacing w:val="-10"/>
          <w:sz w:val="24"/>
          <w:szCs w:val="24"/>
          <w:highlight w:val="none"/>
        </w:rPr>
        <w:t>办理</w:t>
      </w:r>
      <w:r>
        <w:rPr>
          <w:spacing w:val="-49"/>
          <w:sz w:val="24"/>
          <w:szCs w:val="24"/>
          <w:highlight w:val="none"/>
        </w:rPr>
        <w:t xml:space="preserve"> </w:t>
      </w:r>
      <w:r>
        <w:rPr>
          <w:spacing w:val="-10"/>
          <w:sz w:val="24"/>
          <w:szCs w:val="24"/>
          <w:highlight w:val="none"/>
        </w:rPr>
        <w:t>CA</w:t>
      </w:r>
      <w:r>
        <w:rPr>
          <w:spacing w:val="-50"/>
          <w:sz w:val="24"/>
          <w:szCs w:val="24"/>
          <w:highlight w:val="none"/>
        </w:rPr>
        <w:t xml:space="preserve"> </w:t>
      </w:r>
      <w:r>
        <w:rPr>
          <w:spacing w:val="-10"/>
          <w:sz w:val="24"/>
          <w:szCs w:val="24"/>
          <w:highlight w:val="none"/>
        </w:rPr>
        <w:t>证书：</w:t>
      </w:r>
    </w:p>
    <w:p w14:paraId="0B16A74B">
      <w:pPr>
        <w:pStyle w:val="4"/>
        <w:spacing w:before="183" w:line="360" w:lineRule="auto"/>
        <w:ind w:left="7" w:right="107" w:firstLine="558"/>
        <w:rPr>
          <w:sz w:val="24"/>
          <w:szCs w:val="24"/>
          <w:highlight w:val="none"/>
        </w:rPr>
      </w:pPr>
      <w:r>
        <w:rPr>
          <w:highlight w:val="none"/>
        </w:rPr>
        <w:fldChar w:fldCharType="begin"/>
      </w:r>
      <w:r>
        <w:rPr>
          <w:highlight w:val="none"/>
        </w:rPr>
        <w:instrText xml:space="preserve"> HYPERLINK "http://gzjy.smx.gov.cn/bzzx/008001/20231102/4defc9b5-408e-47f2-9e9f-1f" </w:instrText>
      </w:r>
      <w:r>
        <w:rPr>
          <w:highlight w:val="none"/>
        </w:rPr>
        <w:fldChar w:fldCharType="separate"/>
      </w:r>
      <w:r>
        <w:rPr>
          <w:sz w:val="24"/>
          <w:szCs w:val="24"/>
          <w:highlight w:val="none"/>
        </w:rPr>
        <w:t>http://gzjy.smx.gov.cn/bzzx/008001/20231102/4defc9b5-408e-47f2-9</w:t>
      </w:r>
      <w:r>
        <w:rPr>
          <w:spacing w:val="-1"/>
          <w:sz w:val="24"/>
          <w:szCs w:val="24"/>
          <w:highlight w:val="none"/>
        </w:rPr>
        <w:t>e9f-1f</w:t>
      </w:r>
      <w:r>
        <w:rPr>
          <w:spacing w:val="-1"/>
          <w:sz w:val="24"/>
          <w:szCs w:val="24"/>
          <w:highlight w:val="none"/>
        </w:rPr>
        <w:fldChar w:fldCharType="end"/>
      </w:r>
      <w:r>
        <w:rPr>
          <w:sz w:val="24"/>
          <w:szCs w:val="24"/>
          <w:highlight w:val="none"/>
        </w:rPr>
        <w:t xml:space="preserve"> </w:t>
      </w:r>
      <w:r>
        <w:rPr>
          <w:spacing w:val="-1"/>
          <w:sz w:val="24"/>
          <w:szCs w:val="24"/>
          <w:highlight w:val="none"/>
        </w:rPr>
        <w:t>376a06ee1f.html</w:t>
      </w:r>
    </w:p>
    <w:p w14:paraId="0CC9578D">
      <w:pPr>
        <w:pStyle w:val="4"/>
        <w:spacing w:line="218" w:lineRule="auto"/>
        <w:ind w:left="568"/>
        <w:rPr>
          <w:sz w:val="24"/>
          <w:szCs w:val="24"/>
          <w:highlight w:val="none"/>
        </w:rPr>
      </w:pPr>
      <w:r>
        <w:rPr>
          <w:spacing w:val="-2"/>
          <w:sz w:val="24"/>
          <w:szCs w:val="24"/>
          <w:highlight w:val="none"/>
        </w:rPr>
        <w:t>4.售价：0</w:t>
      </w:r>
      <w:r>
        <w:rPr>
          <w:spacing w:val="-45"/>
          <w:sz w:val="24"/>
          <w:szCs w:val="24"/>
          <w:highlight w:val="none"/>
        </w:rPr>
        <w:t xml:space="preserve"> </w:t>
      </w:r>
      <w:r>
        <w:rPr>
          <w:spacing w:val="-2"/>
          <w:sz w:val="24"/>
          <w:szCs w:val="24"/>
          <w:highlight w:val="none"/>
        </w:rPr>
        <w:t>元</w:t>
      </w:r>
    </w:p>
    <w:p w14:paraId="08D92494">
      <w:pPr>
        <w:pStyle w:val="4"/>
        <w:spacing w:before="183" w:line="220" w:lineRule="auto"/>
        <w:ind w:left="591"/>
        <w:rPr>
          <w:sz w:val="24"/>
          <w:szCs w:val="24"/>
          <w:highlight w:val="none"/>
        </w:rPr>
      </w:pPr>
      <w:r>
        <w:rPr>
          <w:spacing w:val="-4"/>
          <w:sz w:val="24"/>
          <w:szCs w:val="24"/>
          <w:highlight w:val="none"/>
        </w:rPr>
        <w:t>四、投标截止时间</w:t>
      </w:r>
      <w:r>
        <w:rPr>
          <w:spacing w:val="-60"/>
          <w:sz w:val="24"/>
          <w:szCs w:val="24"/>
          <w:highlight w:val="none"/>
        </w:rPr>
        <w:t xml:space="preserve"> </w:t>
      </w:r>
      <w:r>
        <w:rPr>
          <w:spacing w:val="-4"/>
          <w:sz w:val="24"/>
          <w:szCs w:val="24"/>
          <w:highlight w:val="none"/>
        </w:rPr>
        <w:t>(投标文件递交截止时间)及地点</w:t>
      </w:r>
    </w:p>
    <w:p w14:paraId="191E9940">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30</w:t>
      </w:r>
      <w:r>
        <w:rPr>
          <w:spacing w:val="-2"/>
          <w:sz w:val="24"/>
          <w:szCs w:val="24"/>
          <w:highlight w:val="none"/>
        </w:rPr>
        <w:t>日</w:t>
      </w:r>
      <w:r>
        <w:rPr>
          <w:rFonts w:hint="eastAsia"/>
          <w:spacing w:val="-2"/>
          <w:sz w:val="24"/>
          <w:szCs w:val="24"/>
          <w:highlight w:val="none"/>
          <w:lang w:val="en-US" w:eastAsia="zh-CN"/>
        </w:rPr>
        <w:t>08</w:t>
      </w:r>
      <w:r>
        <w:rPr>
          <w:spacing w:val="-2"/>
          <w:sz w:val="24"/>
          <w:szCs w:val="24"/>
          <w:highlight w:val="none"/>
        </w:rPr>
        <w:t>时</w:t>
      </w:r>
      <w:r>
        <w:rPr>
          <w:rFonts w:hint="eastAsia"/>
          <w:spacing w:val="-2"/>
          <w:sz w:val="24"/>
          <w:szCs w:val="24"/>
          <w:highlight w:val="none"/>
          <w:lang w:val="en-US" w:eastAsia="zh-CN"/>
        </w:rPr>
        <w:t>20</w:t>
      </w:r>
      <w:r>
        <w:rPr>
          <w:spacing w:val="-2"/>
          <w:sz w:val="24"/>
          <w:szCs w:val="24"/>
          <w:highlight w:val="none"/>
        </w:rPr>
        <w:t xml:space="preserve"> 分。</w:t>
      </w:r>
    </w:p>
    <w:p w14:paraId="479CC58B">
      <w:pPr>
        <w:pStyle w:val="4"/>
        <w:spacing w:before="183" w:line="360" w:lineRule="auto"/>
        <w:ind w:left="30" w:right="13" w:firstLine="541"/>
        <w:rPr>
          <w:sz w:val="24"/>
          <w:szCs w:val="24"/>
          <w:highlight w:val="none"/>
        </w:rPr>
      </w:pPr>
      <w:r>
        <w:rPr>
          <w:spacing w:val="2"/>
          <w:sz w:val="24"/>
          <w:szCs w:val="24"/>
          <w:highlight w:val="none"/>
        </w:rPr>
        <w:t>2.地点：加密电子投标文件须在投标截止时间前通过三门峡市公共资源交易中心</w:t>
      </w:r>
      <w:r>
        <w:rPr>
          <w:spacing w:val="-6"/>
          <w:sz w:val="24"/>
          <w:szCs w:val="24"/>
          <w:highlight w:val="none"/>
        </w:rPr>
        <w:t>电子交易平台加密上传。</w:t>
      </w:r>
    </w:p>
    <w:p w14:paraId="3F959DF4">
      <w:pPr>
        <w:pStyle w:val="4"/>
        <w:spacing w:line="220" w:lineRule="auto"/>
        <w:ind w:left="573"/>
        <w:rPr>
          <w:sz w:val="24"/>
          <w:szCs w:val="24"/>
          <w:highlight w:val="none"/>
        </w:rPr>
      </w:pPr>
      <w:r>
        <w:rPr>
          <w:spacing w:val="-2"/>
          <w:sz w:val="24"/>
          <w:szCs w:val="24"/>
          <w:highlight w:val="none"/>
        </w:rPr>
        <w:t>五、开标时间及地点</w:t>
      </w:r>
    </w:p>
    <w:p w14:paraId="38453EE9">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30</w:t>
      </w:r>
      <w:r>
        <w:rPr>
          <w:spacing w:val="-2"/>
          <w:sz w:val="24"/>
          <w:szCs w:val="24"/>
          <w:highlight w:val="none"/>
        </w:rPr>
        <w:t>日</w:t>
      </w:r>
      <w:r>
        <w:rPr>
          <w:rFonts w:hint="eastAsia"/>
          <w:spacing w:val="-2"/>
          <w:sz w:val="24"/>
          <w:szCs w:val="24"/>
          <w:highlight w:val="none"/>
          <w:lang w:val="en-US" w:eastAsia="zh-CN"/>
        </w:rPr>
        <w:t>08</w:t>
      </w:r>
      <w:r>
        <w:rPr>
          <w:spacing w:val="-2"/>
          <w:sz w:val="24"/>
          <w:szCs w:val="24"/>
          <w:highlight w:val="none"/>
        </w:rPr>
        <w:t>时</w:t>
      </w:r>
      <w:r>
        <w:rPr>
          <w:rFonts w:hint="eastAsia"/>
          <w:spacing w:val="-2"/>
          <w:sz w:val="24"/>
          <w:szCs w:val="24"/>
          <w:highlight w:val="none"/>
          <w:lang w:val="en-US" w:eastAsia="zh-CN"/>
        </w:rPr>
        <w:t>20</w:t>
      </w:r>
      <w:r>
        <w:rPr>
          <w:spacing w:val="-2"/>
          <w:sz w:val="24"/>
          <w:szCs w:val="24"/>
          <w:highlight w:val="none"/>
        </w:rPr>
        <w:t>分。</w:t>
      </w:r>
    </w:p>
    <w:p w14:paraId="19D9C744">
      <w:pPr>
        <w:pStyle w:val="4"/>
        <w:spacing w:before="182" w:line="220" w:lineRule="auto"/>
        <w:ind w:left="572"/>
        <w:rPr>
          <w:sz w:val="24"/>
          <w:szCs w:val="24"/>
          <w:highlight w:val="none"/>
        </w:rPr>
      </w:pPr>
      <w:r>
        <w:rPr>
          <w:spacing w:val="-1"/>
          <w:sz w:val="24"/>
          <w:szCs w:val="24"/>
          <w:highlight w:val="none"/>
        </w:rPr>
        <w:t>2.地点：三门峡市</w:t>
      </w:r>
      <w:r>
        <w:rPr>
          <w:rFonts w:hint="eastAsia"/>
          <w:spacing w:val="-1"/>
          <w:sz w:val="24"/>
          <w:szCs w:val="24"/>
          <w:highlight w:val="none"/>
          <w:lang w:val="en-US" w:eastAsia="zh-CN"/>
        </w:rPr>
        <w:t>陕州区</w:t>
      </w:r>
      <w:r>
        <w:rPr>
          <w:spacing w:val="-1"/>
          <w:sz w:val="24"/>
          <w:szCs w:val="24"/>
          <w:highlight w:val="none"/>
        </w:rPr>
        <w:t>公共资源交易中心</w:t>
      </w:r>
    </w:p>
    <w:p w14:paraId="74C91BCB">
      <w:pPr>
        <w:pStyle w:val="4"/>
        <w:spacing w:before="182" w:line="218" w:lineRule="auto"/>
        <w:ind w:left="571"/>
        <w:rPr>
          <w:sz w:val="24"/>
          <w:szCs w:val="24"/>
          <w:highlight w:val="none"/>
        </w:rPr>
      </w:pPr>
      <w:r>
        <w:rPr>
          <w:spacing w:val="-2"/>
          <w:sz w:val="24"/>
          <w:szCs w:val="24"/>
          <w:highlight w:val="none"/>
        </w:rPr>
        <w:t>六、发布公告的媒介</w:t>
      </w:r>
    </w:p>
    <w:p w14:paraId="047B6308">
      <w:pPr>
        <w:pStyle w:val="4"/>
        <w:spacing w:before="185" w:line="360" w:lineRule="auto"/>
        <w:ind w:left="10" w:right="16" w:firstLine="559"/>
        <w:rPr>
          <w:sz w:val="24"/>
          <w:szCs w:val="24"/>
          <w:highlight w:val="none"/>
        </w:rPr>
      </w:pPr>
      <w:r>
        <w:rPr>
          <w:spacing w:val="-4"/>
          <w:sz w:val="24"/>
          <w:szCs w:val="24"/>
          <w:highlight w:val="none"/>
        </w:rPr>
        <w:t>本次公告在《河南省政府采购网》、《中国招标</w:t>
      </w:r>
      <w:r>
        <w:rPr>
          <w:spacing w:val="-5"/>
          <w:sz w:val="24"/>
          <w:szCs w:val="24"/>
          <w:highlight w:val="none"/>
        </w:rPr>
        <w:t>投标公共服务平台》和《三门峡市</w:t>
      </w:r>
      <w:r>
        <w:rPr>
          <w:spacing w:val="-4"/>
          <w:sz w:val="24"/>
          <w:szCs w:val="24"/>
          <w:highlight w:val="none"/>
        </w:rPr>
        <w:t>公共资源交易中心网》上发布。</w:t>
      </w:r>
    </w:p>
    <w:p w14:paraId="3D739750">
      <w:pPr>
        <w:pStyle w:val="4"/>
        <w:spacing w:line="220" w:lineRule="auto"/>
        <w:ind w:left="486"/>
        <w:rPr>
          <w:sz w:val="24"/>
          <w:szCs w:val="24"/>
          <w:highlight w:val="none"/>
        </w:rPr>
      </w:pPr>
      <w:r>
        <w:rPr>
          <w:spacing w:val="-1"/>
          <w:sz w:val="24"/>
          <w:szCs w:val="24"/>
          <w:highlight w:val="none"/>
        </w:rPr>
        <w:t>七、其他补充事宜</w:t>
      </w:r>
    </w:p>
    <w:p w14:paraId="4E34B09A">
      <w:pPr>
        <w:pStyle w:val="4"/>
        <w:keepNext w:val="0"/>
        <w:keepLines w:val="0"/>
        <w:pageBreakBefore w:val="0"/>
        <w:widowControl/>
        <w:kinsoku/>
        <w:wordWrap w:val="0"/>
        <w:overflowPunct/>
        <w:topLinePunct w:val="0"/>
        <w:autoSpaceDE w:val="0"/>
        <w:autoSpaceDN w:val="0"/>
        <w:bidi w:val="0"/>
        <w:adjustRightInd w:val="0"/>
        <w:snapToGrid w:val="0"/>
        <w:spacing w:before="179" w:line="360" w:lineRule="auto"/>
        <w:ind w:right="0" w:firstLine="505"/>
        <w:textAlignment w:val="baseline"/>
        <w:rPr>
          <w:sz w:val="24"/>
          <w:szCs w:val="24"/>
          <w:highlight w:val="none"/>
        </w:rPr>
      </w:pPr>
      <w:r>
        <w:rPr>
          <w:spacing w:val="-2"/>
          <w:sz w:val="24"/>
          <w:szCs w:val="24"/>
          <w:highlight w:val="none"/>
        </w:rPr>
        <w:t>1.本项目为不见面开标项目，开标当日，供应商无需到开标现场</w:t>
      </w:r>
      <w:r>
        <w:rPr>
          <w:spacing w:val="-3"/>
          <w:sz w:val="24"/>
          <w:szCs w:val="24"/>
          <w:highlight w:val="none"/>
        </w:rPr>
        <w:t>参加开标会议，供</w:t>
      </w:r>
      <w:r>
        <w:rPr>
          <w:spacing w:val="-2"/>
          <w:sz w:val="24"/>
          <w:szCs w:val="24"/>
          <w:highlight w:val="none"/>
        </w:rPr>
        <w:t>应商应当在投标截止时间前，登陆不见面开标大厅选择登陆三门峡市公共资源电子招投</w:t>
      </w:r>
      <w:r>
        <w:rPr>
          <w:spacing w:val="-18"/>
          <w:sz w:val="24"/>
          <w:szCs w:val="24"/>
          <w:highlight w:val="none"/>
        </w:rPr>
        <w:t>标</w:t>
      </w:r>
      <w:r>
        <w:rPr>
          <w:spacing w:val="13"/>
          <w:sz w:val="24"/>
          <w:szCs w:val="24"/>
          <w:highlight w:val="none"/>
        </w:rPr>
        <w:t xml:space="preserve">     </w:t>
      </w:r>
      <w:r>
        <w:rPr>
          <w:spacing w:val="-17"/>
          <w:sz w:val="24"/>
          <w:szCs w:val="24"/>
          <w:highlight w:val="none"/>
        </w:rPr>
        <w:t>系</w:t>
      </w:r>
      <w:r>
        <w:rPr>
          <w:spacing w:val="11"/>
          <w:sz w:val="24"/>
          <w:szCs w:val="24"/>
          <w:highlight w:val="none"/>
        </w:rPr>
        <w:t xml:space="preserve">     </w:t>
      </w:r>
      <w:r>
        <w:rPr>
          <w:spacing w:val="-17"/>
          <w:sz w:val="24"/>
          <w:szCs w:val="24"/>
          <w:highlight w:val="none"/>
        </w:rPr>
        <w:t>统</w:t>
      </w:r>
      <w:r>
        <w:rPr>
          <w:spacing w:val="10"/>
          <w:sz w:val="24"/>
          <w:szCs w:val="24"/>
          <w:highlight w:val="none"/>
        </w:rPr>
        <w:t xml:space="preserve">     </w:t>
      </w:r>
      <w:r>
        <w:rPr>
          <w:spacing w:val="-17"/>
          <w:sz w:val="24"/>
          <w:szCs w:val="24"/>
          <w:highlight w:val="none"/>
        </w:rPr>
        <w:t>进</w:t>
      </w:r>
      <w:r>
        <w:rPr>
          <w:spacing w:val="12"/>
          <w:sz w:val="24"/>
          <w:szCs w:val="24"/>
          <w:highlight w:val="none"/>
        </w:rPr>
        <w:t xml:space="preserve">     </w:t>
      </w:r>
      <w:r>
        <w:rPr>
          <w:spacing w:val="-17"/>
          <w:sz w:val="24"/>
          <w:szCs w:val="24"/>
          <w:highlight w:val="none"/>
        </w:rPr>
        <w:t>行</w:t>
      </w:r>
      <w:r>
        <w:rPr>
          <w:spacing w:val="11"/>
          <w:sz w:val="24"/>
          <w:szCs w:val="24"/>
          <w:highlight w:val="none"/>
        </w:rPr>
        <w:t xml:space="preserve">     </w:t>
      </w:r>
      <w:r>
        <w:rPr>
          <w:spacing w:val="-17"/>
          <w:sz w:val="24"/>
          <w:szCs w:val="24"/>
          <w:highlight w:val="none"/>
        </w:rPr>
        <w:t>登</w:t>
      </w:r>
      <w:r>
        <w:rPr>
          <w:spacing w:val="13"/>
          <w:sz w:val="24"/>
          <w:szCs w:val="24"/>
          <w:highlight w:val="none"/>
        </w:rPr>
        <w:t xml:space="preserve">     </w:t>
      </w:r>
      <w:r>
        <w:rPr>
          <w:spacing w:val="-17"/>
          <w:sz w:val="24"/>
          <w:szCs w:val="24"/>
          <w:highlight w:val="none"/>
        </w:rPr>
        <w:t>陆</w:t>
      </w:r>
      <w:r>
        <w:rPr>
          <w:spacing w:val="9"/>
          <w:sz w:val="24"/>
          <w:szCs w:val="24"/>
          <w:highlight w:val="none"/>
        </w:rPr>
        <w:t xml:space="preserve">     </w:t>
      </w:r>
      <w:r>
        <w:rPr>
          <w:spacing w:val="-17"/>
          <w:sz w:val="24"/>
          <w:szCs w:val="24"/>
          <w:highlight w:val="none"/>
        </w:rPr>
        <w:t>（</w:t>
      </w:r>
      <w:r>
        <w:rPr>
          <w:spacing w:val="21"/>
          <w:sz w:val="24"/>
          <w:szCs w:val="24"/>
          <w:highlight w:val="none"/>
        </w:rPr>
        <w:t xml:space="preserve">     </w:t>
      </w:r>
      <w:r>
        <w:rPr>
          <w:spacing w:val="-17"/>
          <w:sz w:val="24"/>
          <w:szCs w:val="24"/>
          <w:highlight w:val="none"/>
        </w:rPr>
        <w:t>网</w:t>
      </w:r>
      <w:r>
        <w:rPr>
          <w:spacing w:val="11"/>
          <w:sz w:val="24"/>
          <w:szCs w:val="24"/>
          <w:highlight w:val="none"/>
        </w:rPr>
        <w:t xml:space="preserve">     </w:t>
      </w:r>
      <w:r>
        <w:rPr>
          <w:spacing w:val="-17"/>
          <w:sz w:val="24"/>
          <w:szCs w:val="24"/>
          <w:highlight w:val="none"/>
        </w:rPr>
        <w:t>址</w:t>
      </w:r>
      <w:r>
        <w:rPr>
          <w:spacing w:val="11"/>
          <w:sz w:val="24"/>
          <w:szCs w:val="24"/>
          <w:highlight w:val="none"/>
        </w:rPr>
        <w:t xml:space="preserve">     </w:t>
      </w:r>
      <w:r>
        <w:rPr>
          <w:spacing w:val="-16"/>
          <w:sz w:val="24"/>
          <w:szCs w:val="24"/>
          <w:highlight w:val="none"/>
        </w:rPr>
        <w:t>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sz w:val="24"/>
          <w:szCs w:val="24"/>
          <w:highlight w:val="none"/>
        </w:rPr>
        <w:t>http://120.194.249.36:10094/BidOpening/bidopeninghallaction/hall/login</w:t>
      </w:r>
      <w:r>
        <w:rPr>
          <w:sz w:val="24"/>
          <w:szCs w:val="24"/>
          <w:highlight w:val="none"/>
        </w:rPr>
        <w:fldChar w:fldCharType="end"/>
      </w:r>
      <w:r>
        <w:rPr>
          <w:spacing w:val="-54"/>
          <w:sz w:val="24"/>
          <w:szCs w:val="24"/>
          <w:highlight w:val="none"/>
        </w:rPr>
        <w:t xml:space="preserve"> </w:t>
      </w:r>
      <w:r>
        <w:rPr>
          <w:sz w:val="24"/>
          <w:szCs w:val="24"/>
          <w:highlight w:val="none"/>
        </w:rPr>
        <w:t>）,在</w:t>
      </w:r>
      <w:r>
        <w:rPr>
          <w:spacing w:val="2"/>
          <w:sz w:val="24"/>
          <w:szCs w:val="24"/>
          <w:highlight w:val="none"/>
        </w:rPr>
        <w:t>线准时参加开标活动并进行投标文件解密等。每位供应商的解</w:t>
      </w:r>
      <w:r>
        <w:rPr>
          <w:spacing w:val="1"/>
          <w:sz w:val="24"/>
          <w:szCs w:val="24"/>
          <w:highlight w:val="none"/>
        </w:rPr>
        <w:t>密时间为开标时间起 30</w:t>
      </w:r>
      <w:r>
        <w:rPr>
          <w:spacing w:val="-1"/>
          <w:sz w:val="24"/>
          <w:szCs w:val="24"/>
          <w:highlight w:val="none"/>
        </w:rPr>
        <w:t>分钟内完成。因供应商原因未能解密、解密失败或解</w:t>
      </w:r>
      <w:r>
        <w:rPr>
          <w:spacing w:val="-2"/>
          <w:sz w:val="24"/>
          <w:szCs w:val="24"/>
          <w:highlight w:val="none"/>
        </w:rPr>
        <w:t>密超时的将被拒绝。</w:t>
      </w:r>
    </w:p>
    <w:p w14:paraId="31B3C469">
      <w:pPr>
        <w:pStyle w:val="4"/>
        <w:spacing w:before="122" w:line="360" w:lineRule="auto"/>
        <w:ind w:left="3" w:right="120" w:firstLine="484"/>
        <w:rPr>
          <w:sz w:val="24"/>
          <w:szCs w:val="24"/>
          <w:highlight w:val="none"/>
        </w:rPr>
      </w:pPr>
      <w:r>
        <w:rPr>
          <w:spacing w:val="-5"/>
          <w:sz w:val="24"/>
          <w:szCs w:val="24"/>
          <w:highlight w:val="none"/>
        </w:rPr>
        <w:t>2.本项目为电子化、无纸化交易项目， 开标时不再接受任何纸质资料，为保证您能</w:t>
      </w:r>
      <w:r>
        <w:rPr>
          <w:spacing w:val="-1"/>
          <w:sz w:val="24"/>
          <w:szCs w:val="24"/>
          <w:highlight w:val="none"/>
        </w:rPr>
        <w:t>投标成功，请需仔细阅读招标文件和三门峡市公共资源交易中</w:t>
      </w:r>
      <w:r>
        <w:rPr>
          <w:spacing w:val="-2"/>
          <w:sz w:val="24"/>
          <w:szCs w:val="24"/>
          <w:highlight w:val="none"/>
        </w:rPr>
        <w:t>心官网业务办理指南。</w:t>
      </w:r>
    </w:p>
    <w:p w14:paraId="6127DDF3">
      <w:pPr>
        <w:pStyle w:val="4"/>
        <w:spacing w:before="2" w:line="359" w:lineRule="auto"/>
        <w:ind w:firstLine="490"/>
        <w:rPr>
          <w:sz w:val="24"/>
          <w:szCs w:val="24"/>
          <w:highlight w:val="none"/>
        </w:rPr>
      </w:pPr>
      <w:r>
        <w:rPr>
          <w:spacing w:val="-10"/>
          <w:sz w:val="24"/>
          <w:szCs w:val="24"/>
          <w:highlight w:val="none"/>
        </w:rPr>
        <w:t>3.根据《河南省财政厅关于优化政府采购营</w:t>
      </w:r>
      <w:r>
        <w:rPr>
          <w:spacing w:val="-11"/>
          <w:sz w:val="24"/>
          <w:szCs w:val="24"/>
          <w:highlight w:val="none"/>
        </w:rPr>
        <w:t>商环境有关问题的通知》（豫财购【2019】</w:t>
      </w:r>
      <w:r>
        <w:rPr>
          <w:sz w:val="24"/>
          <w:szCs w:val="24"/>
          <w:highlight w:val="none"/>
        </w:rPr>
        <w:t xml:space="preserve"> </w:t>
      </w:r>
      <w:r>
        <w:rPr>
          <w:spacing w:val="-4"/>
          <w:sz w:val="24"/>
          <w:szCs w:val="24"/>
          <w:highlight w:val="none"/>
        </w:rPr>
        <w:t>4</w:t>
      </w:r>
      <w:r>
        <w:rPr>
          <w:spacing w:val="-44"/>
          <w:sz w:val="24"/>
          <w:szCs w:val="24"/>
          <w:highlight w:val="none"/>
        </w:rPr>
        <w:t xml:space="preserve"> </w:t>
      </w:r>
      <w:r>
        <w:rPr>
          <w:spacing w:val="-4"/>
          <w:sz w:val="24"/>
          <w:szCs w:val="24"/>
          <w:highlight w:val="none"/>
        </w:rPr>
        <w:t>号）第</w:t>
      </w:r>
      <w:r>
        <w:rPr>
          <w:spacing w:val="-49"/>
          <w:sz w:val="24"/>
          <w:szCs w:val="24"/>
          <w:highlight w:val="none"/>
        </w:rPr>
        <w:t xml:space="preserve"> </w:t>
      </w:r>
      <w:r>
        <w:rPr>
          <w:spacing w:val="-4"/>
          <w:sz w:val="24"/>
          <w:szCs w:val="24"/>
          <w:highlight w:val="none"/>
        </w:rPr>
        <w:t>6</w:t>
      </w:r>
      <w:r>
        <w:rPr>
          <w:spacing w:val="-49"/>
          <w:sz w:val="24"/>
          <w:szCs w:val="24"/>
          <w:highlight w:val="none"/>
        </w:rPr>
        <w:t xml:space="preserve"> </w:t>
      </w:r>
      <w:r>
        <w:rPr>
          <w:spacing w:val="-4"/>
          <w:sz w:val="24"/>
          <w:szCs w:val="24"/>
          <w:highlight w:val="none"/>
        </w:rPr>
        <w:t>条的规定，投标保证金不再收取。</w:t>
      </w:r>
    </w:p>
    <w:p w14:paraId="4824E28D">
      <w:pPr>
        <w:pStyle w:val="4"/>
        <w:spacing w:before="2" w:line="359" w:lineRule="auto"/>
        <w:ind w:left="4" w:right="116" w:firstLine="479"/>
        <w:rPr>
          <w:rFonts w:hint="eastAsia" w:eastAsia="宋体"/>
          <w:sz w:val="24"/>
          <w:szCs w:val="24"/>
          <w:highlight w:val="none"/>
          <w:lang w:val="en-US" w:eastAsia="zh-CN"/>
        </w:rPr>
      </w:pPr>
      <w:r>
        <w:rPr>
          <w:spacing w:val="-2"/>
          <w:sz w:val="24"/>
          <w:szCs w:val="24"/>
          <w:highlight w:val="none"/>
        </w:rPr>
        <w:t>4.本项目实行资格后审，审查内容以投标文件为准，其上传资料真实性由供应商自行承担。</w:t>
      </w:r>
      <w:r>
        <w:rPr>
          <w:rFonts w:hint="eastAsia"/>
          <w:spacing w:val="-2"/>
          <w:sz w:val="24"/>
          <w:szCs w:val="24"/>
          <w:highlight w:val="none"/>
          <w:lang w:val="en-US" w:eastAsia="zh-CN"/>
        </w:rPr>
        <w:t xml:space="preserve"> </w:t>
      </w:r>
    </w:p>
    <w:p w14:paraId="37FA7A74">
      <w:pPr>
        <w:pStyle w:val="4"/>
        <w:spacing w:line="360" w:lineRule="auto"/>
        <w:ind w:left="6" w:right="102" w:firstLine="483"/>
        <w:rPr>
          <w:sz w:val="24"/>
          <w:szCs w:val="24"/>
          <w:highlight w:val="none"/>
        </w:rPr>
      </w:pPr>
      <w:r>
        <w:rPr>
          <w:spacing w:val="-3"/>
          <w:sz w:val="24"/>
          <w:szCs w:val="24"/>
          <w:highlight w:val="none"/>
        </w:rPr>
        <w:t>5.评标打分部分：评标打分部分仍按照</w:t>
      </w:r>
      <w:r>
        <w:rPr>
          <w:spacing w:val="-31"/>
          <w:sz w:val="24"/>
          <w:szCs w:val="24"/>
          <w:highlight w:val="none"/>
        </w:rPr>
        <w:t xml:space="preserve"> </w:t>
      </w:r>
      <w:r>
        <w:rPr>
          <w:spacing w:val="-3"/>
          <w:sz w:val="24"/>
          <w:szCs w:val="24"/>
          <w:highlight w:val="none"/>
        </w:rPr>
        <w:t>100</w:t>
      </w:r>
      <w:r>
        <w:rPr>
          <w:spacing w:val="-47"/>
          <w:sz w:val="24"/>
          <w:szCs w:val="24"/>
          <w:highlight w:val="none"/>
        </w:rPr>
        <w:t xml:space="preserve"> </w:t>
      </w:r>
      <w:r>
        <w:rPr>
          <w:spacing w:val="-3"/>
          <w:sz w:val="24"/>
          <w:szCs w:val="24"/>
          <w:highlight w:val="none"/>
        </w:rPr>
        <w:t>分制原则进行，涉及到资格审查、企业</w:t>
      </w:r>
      <w:r>
        <w:rPr>
          <w:spacing w:val="-1"/>
          <w:sz w:val="24"/>
          <w:szCs w:val="24"/>
          <w:highlight w:val="none"/>
        </w:rPr>
        <w:t>荣誉、企业业绩等计分部分时，以供应商自行上传到投标文</w:t>
      </w:r>
      <w:r>
        <w:rPr>
          <w:spacing w:val="-2"/>
          <w:sz w:val="24"/>
          <w:szCs w:val="24"/>
          <w:highlight w:val="none"/>
        </w:rPr>
        <w:t>件中的各类相应内容为准。</w:t>
      </w:r>
    </w:p>
    <w:p w14:paraId="3214E046">
      <w:pPr>
        <w:pStyle w:val="4"/>
        <w:spacing w:before="3" w:line="359" w:lineRule="auto"/>
        <w:ind w:left="1" w:right="116" w:firstLine="485"/>
        <w:rPr>
          <w:sz w:val="24"/>
          <w:szCs w:val="24"/>
          <w:highlight w:val="none"/>
        </w:rPr>
      </w:pPr>
      <w:r>
        <w:rPr>
          <w:spacing w:val="-2"/>
          <w:sz w:val="24"/>
          <w:szCs w:val="24"/>
          <w:highlight w:val="none"/>
        </w:rPr>
        <w:t>6.在招标文件中要求供应商按照投标文件格式进行投标文件编制，在投标文件编制时，应明确将供应商企业基本情况、资质情况、人员情况、财务情况、业绩情况编入投</w:t>
      </w:r>
      <w:r>
        <w:rPr>
          <w:spacing w:val="-3"/>
          <w:sz w:val="24"/>
          <w:szCs w:val="24"/>
          <w:highlight w:val="none"/>
        </w:rPr>
        <w:t>标文件，便于进行资格审查及评标打分。</w:t>
      </w:r>
    </w:p>
    <w:p w14:paraId="0BD5D0F2">
      <w:pPr>
        <w:pStyle w:val="4"/>
        <w:spacing w:before="3" w:line="359" w:lineRule="auto"/>
        <w:ind w:left="4" w:right="115" w:firstLine="486"/>
        <w:rPr>
          <w:sz w:val="24"/>
          <w:szCs w:val="24"/>
          <w:highlight w:val="none"/>
        </w:rPr>
      </w:pPr>
      <w:r>
        <w:rPr>
          <w:spacing w:val="1"/>
          <w:sz w:val="24"/>
          <w:szCs w:val="24"/>
          <w:highlight w:val="none"/>
        </w:rPr>
        <w:t>7. 单位负责人为同一人或者存在直接控股、管理关系的不同供应商，不得参加同</w:t>
      </w:r>
      <w:r>
        <w:rPr>
          <w:spacing w:val="-4"/>
          <w:sz w:val="24"/>
          <w:szCs w:val="24"/>
          <w:highlight w:val="none"/>
        </w:rPr>
        <w:t>一合同项下的政府采购活动。</w:t>
      </w:r>
    </w:p>
    <w:p w14:paraId="40A2DE28">
      <w:pPr>
        <w:pStyle w:val="4"/>
        <w:spacing w:before="1" w:line="218" w:lineRule="auto"/>
        <w:ind w:left="489"/>
        <w:rPr>
          <w:sz w:val="24"/>
          <w:szCs w:val="24"/>
          <w:highlight w:val="none"/>
        </w:rPr>
      </w:pPr>
      <w:r>
        <w:rPr>
          <w:spacing w:val="-1"/>
          <w:sz w:val="24"/>
          <w:szCs w:val="24"/>
          <w:highlight w:val="none"/>
        </w:rPr>
        <w:t>八、凡对本次招标提出询问，请按照以下方式联系</w:t>
      </w:r>
    </w:p>
    <w:p w14:paraId="28FC1648">
      <w:pPr>
        <w:pStyle w:val="4"/>
        <w:spacing w:before="183" w:line="219" w:lineRule="auto"/>
        <w:ind w:left="585"/>
        <w:rPr>
          <w:spacing w:val="-2"/>
          <w:sz w:val="24"/>
          <w:szCs w:val="24"/>
          <w:highlight w:val="none"/>
        </w:rPr>
      </w:pPr>
      <w:r>
        <w:rPr>
          <w:spacing w:val="-2"/>
          <w:sz w:val="24"/>
          <w:szCs w:val="24"/>
          <w:highlight w:val="none"/>
        </w:rPr>
        <w:t>1.采购人：</w:t>
      </w:r>
    </w:p>
    <w:p w14:paraId="29DB9E2E">
      <w:pPr>
        <w:pStyle w:val="4"/>
        <w:spacing w:before="183" w:line="219" w:lineRule="auto"/>
        <w:ind w:left="585"/>
        <w:rPr>
          <w:rFonts w:hint="eastAsia" w:eastAsia="宋体"/>
          <w:sz w:val="24"/>
          <w:szCs w:val="24"/>
          <w:highlight w:val="none"/>
          <w:lang w:eastAsia="zh-CN"/>
        </w:rPr>
      </w:pPr>
      <w:r>
        <w:rPr>
          <w:rFonts w:hint="eastAsia"/>
          <w:spacing w:val="-2"/>
          <w:sz w:val="24"/>
          <w:szCs w:val="24"/>
          <w:highlight w:val="none"/>
          <w:lang w:val="en-US" w:eastAsia="zh-CN"/>
        </w:rPr>
        <w:t>名称：</w:t>
      </w:r>
      <w:r>
        <w:rPr>
          <w:rFonts w:hint="eastAsia"/>
          <w:spacing w:val="-2"/>
          <w:sz w:val="24"/>
          <w:szCs w:val="24"/>
          <w:highlight w:val="none"/>
          <w:lang w:eastAsia="zh-CN"/>
        </w:rPr>
        <w:t>三门峡市陕州区人民医院</w:t>
      </w:r>
    </w:p>
    <w:p w14:paraId="01F9F2EE">
      <w:pPr>
        <w:pStyle w:val="4"/>
        <w:spacing w:before="183" w:line="220" w:lineRule="auto"/>
        <w:ind w:left="567"/>
        <w:rPr>
          <w:rFonts w:hint="default" w:eastAsia="宋体"/>
          <w:sz w:val="24"/>
          <w:szCs w:val="24"/>
          <w:highlight w:val="none"/>
          <w:lang w:val="en-US" w:eastAsia="zh-CN"/>
        </w:rPr>
      </w:pPr>
      <w:r>
        <w:rPr>
          <w:spacing w:val="-1"/>
          <w:sz w:val="24"/>
          <w:szCs w:val="24"/>
          <w:highlight w:val="none"/>
        </w:rPr>
        <w:t>地址：三门峡市</w:t>
      </w:r>
      <w:r>
        <w:rPr>
          <w:rFonts w:hint="eastAsia"/>
          <w:spacing w:val="-1"/>
          <w:sz w:val="24"/>
          <w:szCs w:val="24"/>
          <w:highlight w:val="none"/>
          <w:lang w:val="en-US" w:eastAsia="zh-CN"/>
        </w:rPr>
        <w:t>黄河路东段</w:t>
      </w:r>
    </w:p>
    <w:p w14:paraId="3BDCD37C">
      <w:pPr>
        <w:pStyle w:val="4"/>
        <w:spacing w:before="183" w:line="220" w:lineRule="auto"/>
        <w:ind w:left="568"/>
        <w:rPr>
          <w:sz w:val="24"/>
          <w:szCs w:val="24"/>
          <w:highlight w:val="none"/>
        </w:rPr>
      </w:pPr>
      <w:r>
        <w:rPr>
          <w:spacing w:val="-3"/>
          <w:sz w:val="24"/>
          <w:szCs w:val="24"/>
          <w:highlight w:val="none"/>
        </w:rPr>
        <w:t>联系人：王先生</w:t>
      </w:r>
    </w:p>
    <w:p w14:paraId="0AA73E8D">
      <w:pPr>
        <w:pStyle w:val="4"/>
        <w:spacing w:before="182" w:line="221" w:lineRule="auto"/>
        <w:ind w:left="568"/>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lang w:val="en-US" w:eastAsia="zh-CN"/>
        </w:rPr>
        <w:t xml:space="preserve">15639887788 </w:t>
      </w:r>
    </w:p>
    <w:p w14:paraId="1355220B">
      <w:pPr>
        <w:pStyle w:val="4"/>
        <w:numPr>
          <w:ilvl w:val="0"/>
          <w:numId w:val="2"/>
        </w:numPr>
        <w:spacing w:before="183" w:line="220" w:lineRule="auto"/>
        <w:ind w:left="567"/>
        <w:rPr>
          <w:rFonts w:hint="eastAsia" w:eastAsia="宋体"/>
          <w:sz w:val="24"/>
          <w:szCs w:val="24"/>
          <w:highlight w:val="none"/>
          <w:lang w:val="en-US" w:eastAsia="zh-CN"/>
        </w:rPr>
      </w:pPr>
      <w:r>
        <w:rPr>
          <w:spacing w:val="-1"/>
          <w:sz w:val="24"/>
          <w:szCs w:val="24"/>
          <w:highlight w:val="none"/>
        </w:rPr>
        <w:t>采购代理机构：</w:t>
      </w:r>
    </w:p>
    <w:p w14:paraId="349B73DD">
      <w:pPr>
        <w:pStyle w:val="4"/>
        <w:numPr>
          <w:ilvl w:val="0"/>
          <w:numId w:val="0"/>
        </w:numPr>
        <w:spacing w:before="183" w:line="220" w:lineRule="auto"/>
        <w:ind w:firstLine="476" w:firstLineChars="200"/>
        <w:rPr>
          <w:rFonts w:hint="eastAsia" w:eastAsia="宋体"/>
          <w:sz w:val="24"/>
          <w:szCs w:val="24"/>
          <w:highlight w:val="none"/>
          <w:lang w:val="en-US" w:eastAsia="zh-CN"/>
        </w:rPr>
      </w:pPr>
      <w:r>
        <w:rPr>
          <w:rFonts w:hint="eastAsia"/>
          <w:spacing w:val="-1"/>
          <w:sz w:val="24"/>
          <w:szCs w:val="24"/>
          <w:highlight w:val="none"/>
          <w:lang w:val="en-US" w:eastAsia="zh-CN"/>
        </w:rPr>
        <w:t>名称：</w:t>
      </w:r>
      <w:r>
        <w:rPr>
          <w:rFonts w:hint="eastAsia"/>
          <w:spacing w:val="-1"/>
          <w:sz w:val="24"/>
          <w:szCs w:val="24"/>
          <w:highlight w:val="none"/>
        </w:rPr>
        <w:t>融科匠业工程咨询有限公司</w:t>
      </w:r>
    </w:p>
    <w:p w14:paraId="2DDBF646">
      <w:pPr>
        <w:pStyle w:val="4"/>
        <w:numPr>
          <w:ilvl w:val="0"/>
          <w:numId w:val="0"/>
        </w:numPr>
        <w:spacing w:before="183" w:line="220" w:lineRule="auto"/>
        <w:ind w:firstLine="476" w:firstLineChars="200"/>
        <w:rPr>
          <w:rFonts w:hint="eastAsia" w:eastAsia="宋体"/>
          <w:sz w:val="24"/>
          <w:szCs w:val="24"/>
          <w:highlight w:val="none"/>
          <w:lang w:val="en-US" w:eastAsia="zh-CN"/>
        </w:rPr>
      </w:pPr>
      <w:r>
        <w:rPr>
          <w:spacing w:val="-1"/>
          <w:sz w:val="24"/>
          <w:szCs w:val="24"/>
          <w:highlight w:val="none"/>
        </w:rPr>
        <w:t>地址：</w:t>
      </w:r>
      <w:r>
        <w:rPr>
          <w:rFonts w:hint="eastAsia"/>
          <w:spacing w:val="-1"/>
          <w:sz w:val="24"/>
          <w:szCs w:val="24"/>
          <w:highlight w:val="none"/>
        </w:rPr>
        <w:t>河南省三门峡市商会大厦B座1013室</w:t>
      </w:r>
      <w:r>
        <w:rPr>
          <w:rFonts w:hint="eastAsia"/>
          <w:spacing w:val="-1"/>
          <w:sz w:val="24"/>
          <w:szCs w:val="24"/>
          <w:highlight w:val="none"/>
          <w:lang w:val="en-US" w:eastAsia="zh-CN"/>
        </w:rPr>
        <w:t xml:space="preserve"> </w:t>
      </w:r>
    </w:p>
    <w:p w14:paraId="0B8EE873">
      <w:pPr>
        <w:pStyle w:val="4"/>
        <w:spacing w:before="182" w:line="220" w:lineRule="auto"/>
        <w:ind w:left="568"/>
        <w:rPr>
          <w:rFonts w:hint="eastAsia" w:eastAsia="宋体"/>
          <w:sz w:val="24"/>
          <w:szCs w:val="24"/>
          <w:highlight w:val="none"/>
          <w:lang w:val="en-US" w:eastAsia="zh-CN"/>
        </w:rPr>
      </w:pPr>
      <w:r>
        <w:rPr>
          <w:spacing w:val="-1"/>
          <w:sz w:val="24"/>
          <w:szCs w:val="24"/>
          <w:highlight w:val="none"/>
        </w:rPr>
        <w:t>联系人：</w:t>
      </w:r>
      <w:r>
        <w:rPr>
          <w:rFonts w:hint="eastAsia"/>
          <w:spacing w:val="-1"/>
          <w:sz w:val="24"/>
          <w:szCs w:val="24"/>
          <w:highlight w:val="none"/>
        </w:rPr>
        <w:t>王先生</w:t>
      </w:r>
      <w:r>
        <w:rPr>
          <w:rFonts w:hint="eastAsia"/>
          <w:spacing w:val="-1"/>
          <w:sz w:val="24"/>
          <w:szCs w:val="24"/>
          <w:highlight w:val="none"/>
          <w:lang w:val="en-US" w:eastAsia="zh-CN"/>
        </w:rPr>
        <w:t xml:space="preserve"> </w:t>
      </w:r>
    </w:p>
    <w:p w14:paraId="7F78491E">
      <w:pPr>
        <w:pStyle w:val="4"/>
        <w:spacing w:before="182" w:line="221" w:lineRule="auto"/>
        <w:ind w:left="568"/>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rPr>
        <w:t>13849838244</w:t>
      </w:r>
      <w:r>
        <w:rPr>
          <w:rFonts w:hint="eastAsia"/>
          <w:spacing w:val="-1"/>
          <w:sz w:val="24"/>
          <w:szCs w:val="24"/>
          <w:highlight w:val="none"/>
          <w:lang w:val="en-US" w:eastAsia="zh-CN"/>
        </w:rPr>
        <w:t xml:space="preserve"> </w:t>
      </w:r>
    </w:p>
    <w:p w14:paraId="0B1F5F4C">
      <w:pPr>
        <w:pStyle w:val="4"/>
        <w:numPr>
          <w:ilvl w:val="0"/>
          <w:numId w:val="2"/>
        </w:numPr>
        <w:spacing w:before="214" w:line="219" w:lineRule="auto"/>
        <w:ind w:left="567" w:leftChars="0" w:firstLine="0" w:firstLineChars="0"/>
        <w:rPr>
          <w:spacing w:val="-1"/>
          <w:sz w:val="24"/>
          <w:szCs w:val="24"/>
          <w:highlight w:val="none"/>
        </w:rPr>
      </w:pPr>
      <w:r>
        <w:rPr>
          <w:spacing w:val="-1"/>
          <w:sz w:val="24"/>
          <w:szCs w:val="24"/>
          <w:highlight w:val="none"/>
        </w:rPr>
        <w:t>监督</w:t>
      </w:r>
      <w:r>
        <w:rPr>
          <w:rFonts w:hint="eastAsia"/>
          <w:spacing w:val="-1"/>
          <w:sz w:val="24"/>
          <w:szCs w:val="24"/>
          <w:highlight w:val="none"/>
          <w:lang w:val="en-US" w:eastAsia="zh-CN"/>
        </w:rPr>
        <w:t>部门</w:t>
      </w:r>
      <w:r>
        <w:rPr>
          <w:spacing w:val="-1"/>
          <w:sz w:val="24"/>
          <w:szCs w:val="24"/>
          <w:highlight w:val="none"/>
        </w:rPr>
        <w:t>：</w:t>
      </w:r>
    </w:p>
    <w:p w14:paraId="22A249DC">
      <w:pPr>
        <w:pStyle w:val="4"/>
        <w:spacing w:before="138" w:line="221" w:lineRule="auto"/>
        <w:ind w:left="561"/>
        <w:rPr>
          <w:rFonts w:hint="eastAsia"/>
          <w:spacing w:val="-1"/>
          <w:sz w:val="24"/>
          <w:szCs w:val="24"/>
          <w:highlight w:val="none"/>
          <w:lang w:val="en-US" w:eastAsia="zh-CN"/>
        </w:rPr>
      </w:pPr>
      <w:r>
        <w:rPr>
          <w:rFonts w:hint="eastAsia"/>
          <w:spacing w:val="-1"/>
          <w:sz w:val="24"/>
          <w:szCs w:val="24"/>
          <w:highlight w:val="none"/>
          <w:lang w:val="en-US" w:eastAsia="zh-CN"/>
        </w:rPr>
        <w:t>名称： 三门峡市陕州区卫生健康委员会</w:t>
      </w:r>
    </w:p>
    <w:p w14:paraId="3DC0DBD7">
      <w:pPr>
        <w:pStyle w:val="4"/>
        <w:spacing w:before="138" w:line="221" w:lineRule="auto"/>
        <w:ind w:left="561"/>
        <w:rPr>
          <w:rFonts w:hint="eastAsia"/>
          <w:spacing w:val="-1"/>
          <w:sz w:val="24"/>
          <w:szCs w:val="24"/>
          <w:highlight w:val="none"/>
          <w:lang w:val="en-US" w:eastAsia="zh-CN"/>
        </w:rPr>
      </w:pPr>
      <w:r>
        <w:rPr>
          <w:rFonts w:hint="eastAsia"/>
          <w:spacing w:val="-1"/>
          <w:sz w:val="24"/>
          <w:szCs w:val="24"/>
          <w:highlight w:val="none"/>
          <w:lang w:val="en-US" w:eastAsia="zh-CN"/>
        </w:rPr>
        <w:t>联系电话： 0398-3636001</w:t>
      </w:r>
    </w:p>
    <w:p w14:paraId="2C4BBA93">
      <w:pPr>
        <w:pStyle w:val="4"/>
        <w:spacing w:before="138" w:line="221" w:lineRule="auto"/>
        <w:ind w:left="561"/>
        <w:rPr>
          <w:rFonts w:hint="eastAsia"/>
          <w:spacing w:val="-2"/>
          <w:sz w:val="24"/>
          <w:szCs w:val="24"/>
          <w:highlight w:val="none"/>
          <w:lang w:val="en-US" w:eastAsia="zh-CN"/>
        </w:rPr>
      </w:pPr>
      <w:r>
        <w:rPr>
          <w:rFonts w:hint="eastAsia"/>
          <w:spacing w:val="-1"/>
          <w:sz w:val="24"/>
          <w:szCs w:val="24"/>
          <w:highlight w:val="none"/>
          <w:lang w:val="en-US" w:eastAsia="zh-CN"/>
        </w:rPr>
        <w:t>地址：三门峡市陕州区世纪大道中段</w:t>
      </w:r>
      <w:bookmarkStart w:id="2" w:name="bookmark15"/>
      <w:bookmarkEnd w:id="2"/>
      <w:bookmarkStart w:id="3" w:name="bookmark3"/>
      <w:bookmarkEnd w:id="3"/>
    </w:p>
    <w:p w14:paraId="326FDA43">
      <w:pPr>
        <w:rPr>
          <w:b/>
          <w:bCs/>
          <w:spacing w:val="-4"/>
          <w:sz w:val="40"/>
          <w:szCs w:val="40"/>
          <w:highlight w:val="none"/>
        </w:rPr>
      </w:pPr>
      <w:r>
        <w:rPr>
          <w:b/>
          <w:bCs/>
          <w:spacing w:val="-4"/>
          <w:sz w:val="40"/>
          <w:szCs w:val="40"/>
          <w:highlight w:val="none"/>
        </w:rPr>
        <w:br w:type="page"/>
      </w:r>
    </w:p>
    <w:p w14:paraId="2EC8FBF2">
      <w:pPr>
        <w:jc w:val="center"/>
        <w:rPr>
          <w:sz w:val="40"/>
          <w:szCs w:val="40"/>
          <w:highlight w:val="none"/>
        </w:rPr>
      </w:pPr>
      <w:r>
        <w:rPr>
          <w:b/>
          <w:bCs/>
          <w:spacing w:val="-4"/>
          <w:sz w:val="40"/>
          <w:szCs w:val="40"/>
          <w:highlight w:val="none"/>
        </w:rPr>
        <w:t>第二章</w:t>
      </w:r>
      <w:r>
        <w:rPr>
          <w:spacing w:val="-4"/>
          <w:sz w:val="40"/>
          <w:szCs w:val="40"/>
          <w:highlight w:val="none"/>
        </w:rPr>
        <w:t xml:space="preserve">  </w:t>
      </w:r>
      <w:r>
        <w:rPr>
          <w:b/>
          <w:bCs/>
          <w:spacing w:val="-4"/>
          <w:sz w:val="40"/>
          <w:szCs w:val="40"/>
          <w:highlight w:val="none"/>
        </w:rPr>
        <w:t>投标供应商须知</w:t>
      </w:r>
    </w:p>
    <w:p w14:paraId="36FE3082">
      <w:pPr>
        <w:pStyle w:val="4"/>
        <w:spacing w:before="150" w:line="219" w:lineRule="auto"/>
        <w:jc w:val="center"/>
        <w:rPr>
          <w:sz w:val="24"/>
          <w:szCs w:val="24"/>
          <w:highlight w:val="none"/>
        </w:rPr>
      </w:pPr>
      <w:r>
        <w:rPr>
          <w:b/>
          <w:bCs/>
          <w:spacing w:val="-3"/>
          <w:sz w:val="24"/>
          <w:szCs w:val="24"/>
          <w:highlight w:val="none"/>
        </w:rPr>
        <w:t>供应商须知前附表</w:t>
      </w:r>
    </w:p>
    <w:p w14:paraId="6195A399">
      <w:pPr>
        <w:spacing w:before="141"/>
        <w:rPr>
          <w:highlight w:val="none"/>
        </w:rPr>
      </w:pPr>
    </w:p>
    <w:tbl>
      <w:tblPr>
        <w:tblStyle w:val="23"/>
        <w:tblW w:w="919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6D366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14" w:type="dxa"/>
            <w:vAlign w:val="top"/>
          </w:tcPr>
          <w:p w14:paraId="4D51D823">
            <w:pPr>
              <w:pStyle w:val="24"/>
              <w:spacing w:before="117" w:line="220" w:lineRule="auto"/>
              <w:ind w:left="155"/>
              <w:rPr>
                <w:highlight w:val="none"/>
              </w:rPr>
            </w:pPr>
            <w:r>
              <w:rPr>
                <w:b/>
                <w:bCs/>
                <w:spacing w:val="-6"/>
                <w:highlight w:val="none"/>
              </w:rPr>
              <w:t>条款号</w:t>
            </w:r>
          </w:p>
        </w:tc>
        <w:tc>
          <w:tcPr>
            <w:tcW w:w="2083" w:type="dxa"/>
            <w:vAlign w:val="top"/>
          </w:tcPr>
          <w:p w14:paraId="0CBBFC07">
            <w:pPr>
              <w:pStyle w:val="24"/>
              <w:spacing w:before="117" w:line="220" w:lineRule="auto"/>
              <w:ind w:left="566"/>
              <w:rPr>
                <w:highlight w:val="none"/>
              </w:rPr>
            </w:pPr>
            <w:r>
              <w:rPr>
                <w:b/>
                <w:bCs/>
                <w:spacing w:val="-5"/>
                <w:highlight w:val="none"/>
              </w:rPr>
              <w:t>条款名称</w:t>
            </w:r>
          </w:p>
        </w:tc>
        <w:tc>
          <w:tcPr>
            <w:tcW w:w="6096" w:type="dxa"/>
            <w:vAlign w:val="top"/>
          </w:tcPr>
          <w:p w14:paraId="2893F33A">
            <w:pPr>
              <w:pStyle w:val="24"/>
              <w:spacing w:before="117" w:line="220" w:lineRule="auto"/>
              <w:ind w:left="2571"/>
              <w:rPr>
                <w:highlight w:val="none"/>
              </w:rPr>
            </w:pPr>
            <w:r>
              <w:rPr>
                <w:b/>
                <w:bCs/>
                <w:spacing w:val="-5"/>
                <w:highlight w:val="none"/>
              </w:rPr>
              <w:t>编列内容</w:t>
            </w:r>
          </w:p>
        </w:tc>
      </w:tr>
      <w:tr w14:paraId="190CE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14" w:type="dxa"/>
            <w:tcBorders>
              <w:bottom w:val="nil"/>
            </w:tcBorders>
            <w:vAlign w:val="top"/>
          </w:tcPr>
          <w:p w14:paraId="5F63A62C">
            <w:pPr>
              <w:spacing w:line="268" w:lineRule="auto"/>
              <w:rPr>
                <w:rFonts w:ascii="Arial"/>
                <w:sz w:val="21"/>
                <w:highlight w:val="none"/>
              </w:rPr>
            </w:pPr>
          </w:p>
          <w:p w14:paraId="2C4812AC">
            <w:pPr>
              <w:pStyle w:val="24"/>
              <w:spacing w:before="78" w:line="239" w:lineRule="auto"/>
              <w:ind w:left="350"/>
              <w:rPr>
                <w:highlight w:val="none"/>
              </w:rPr>
            </w:pPr>
            <w:r>
              <w:rPr>
                <w:spacing w:val="-7"/>
                <w:highlight w:val="none"/>
              </w:rPr>
              <w:t>1.1</w:t>
            </w:r>
          </w:p>
        </w:tc>
        <w:tc>
          <w:tcPr>
            <w:tcW w:w="2083" w:type="dxa"/>
            <w:tcBorders>
              <w:bottom w:val="nil"/>
            </w:tcBorders>
            <w:vAlign w:val="top"/>
          </w:tcPr>
          <w:p w14:paraId="61C0CEAD">
            <w:pPr>
              <w:spacing w:line="268" w:lineRule="auto"/>
              <w:rPr>
                <w:rFonts w:ascii="Arial"/>
                <w:sz w:val="21"/>
                <w:highlight w:val="none"/>
              </w:rPr>
            </w:pPr>
          </w:p>
          <w:p w14:paraId="73411B1C">
            <w:pPr>
              <w:pStyle w:val="24"/>
              <w:spacing w:before="78" w:line="219" w:lineRule="auto"/>
              <w:ind w:left="686"/>
              <w:rPr>
                <w:highlight w:val="none"/>
              </w:rPr>
            </w:pPr>
            <w:r>
              <w:rPr>
                <w:spacing w:val="-2"/>
                <w:highlight w:val="none"/>
              </w:rPr>
              <w:t>采购人</w:t>
            </w:r>
          </w:p>
        </w:tc>
        <w:tc>
          <w:tcPr>
            <w:tcW w:w="6096" w:type="dxa"/>
            <w:vAlign w:val="top"/>
          </w:tcPr>
          <w:p w14:paraId="0DD8835A">
            <w:pPr>
              <w:pStyle w:val="24"/>
              <w:spacing w:before="160" w:line="220" w:lineRule="auto"/>
              <w:rPr>
                <w:rFonts w:hint="eastAsia"/>
                <w:spacing w:val="-2"/>
                <w:highlight w:val="none"/>
                <w:lang w:eastAsia="zh-CN"/>
              </w:rPr>
            </w:pPr>
            <w:r>
              <w:rPr>
                <w:spacing w:val="-2"/>
                <w:highlight w:val="none"/>
              </w:rPr>
              <w:t>名称：</w:t>
            </w:r>
            <w:r>
              <w:rPr>
                <w:rFonts w:hint="eastAsia"/>
                <w:spacing w:val="-2"/>
                <w:highlight w:val="none"/>
                <w:lang w:eastAsia="zh-CN"/>
              </w:rPr>
              <w:t>三门峡市陕州区人民医院</w:t>
            </w:r>
          </w:p>
          <w:p w14:paraId="4348F941">
            <w:pPr>
              <w:pStyle w:val="24"/>
              <w:spacing w:before="160" w:line="220" w:lineRule="auto"/>
              <w:rPr>
                <w:rFonts w:hint="default"/>
                <w:spacing w:val="-2"/>
                <w:highlight w:val="none"/>
                <w:lang w:val="en-US"/>
              </w:rPr>
            </w:pPr>
            <w:r>
              <w:rPr>
                <w:rFonts w:hint="eastAsia"/>
                <w:spacing w:val="-2"/>
                <w:highlight w:val="none"/>
                <w:lang w:val="en-US" w:eastAsia="zh-CN"/>
              </w:rPr>
              <w:t>地址：三门峡市黄河路东段</w:t>
            </w:r>
          </w:p>
          <w:p w14:paraId="4E742388">
            <w:pPr>
              <w:pStyle w:val="24"/>
              <w:spacing w:before="113" w:line="220" w:lineRule="auto"/>
              <w:rPr>
                <w:spacing w:val="-6"/>
                <w:highlight w:val="none"/>
              </w:rPr>
            </w:pPr>
            <w:r>
              <w:rPr>
                <w:spacing w:val="-6"/>
                <w:highlight w:val="none"/>
              </w:rPr>
              <w:t>联系人</w:t>
            </w:r>
            <w:r>
              <w:rPr>
                <w:spacing w:val="3"/>
                <w:highlight w:val="none"/>
              </w:rPr>
              <w:t>：</w:t>
            </w:r>
            <w:r>
              <w:rPr>
                <w:spacing w:val="-6"/>
                <w:highlight w:val="none"/>
              </w:rPr>
              <w:t>王先生</w:t>
            </w:r>
          </w:p>
          <w:p w14:paraId="5E8DBCDB">
            <w:pPr>
              <w:pStyle w:val="24"/>
              <w:spacing w:before="113" w:line="220" w:lineRule="auto"/>
              <w:rPr>
                <w:rFonts w:hint="eastAsia" w:eastAsia="宋体"/>
                <w:highlight w:val="none"/>
                <w:lang w:eastAsia="zh-CN"/>
              </w:rPr>
            </w:pPr>
            <w:r>
              <w:rPr>
                <w:rFonts w:hint="eastAsia"/>
                <w:spacing w:val="-6"/>
                <w:highlight w:val="none"/>
                <w:lang w:val="en-US" w:eastAsia="zh-CN"/>
              </w:rPr>
              <w:t xml:space="preserve">电话： 15639887788 </w:t>
            </w:r>
          </w:p>
        </w:tc>
      </w:tr>
      <w:tr w14:paraId="5574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014" w:type="dxa"/>
            <w:tcBorders>
              <w:bottom w:val="nil"/>
            </w:tcBorders>
            <w:vAlign w:val="top"/>
          </w:tcPr>
          <w:p w14:paraId="243571C5">
            <w:pPr>
              <w:spacing w:line="249" w:lineRule="auto"/>
              <w:rPr>
                <w:rFonts w:ascii="Arial"/>
                <w:sz w:val="21"/>
                <w:highlight w:val="none"/>
              </w:rPr>
            </w:pPr>
          </w:p>
          <w:p w14:paraId="0B8B9BD3">
            <w:pPr>
              <w:spacing w:line="249" w:lineRule="auto"/>
              <w:rPr>
                <w:rFonts w:ascii="Arial"/>
                <w:sz w:val="21"/>
                <w:highlight w:val="none"/>
              </w:rPr>
            </w:pPr>
          </w:p>
          <w:p w14:paraId="07E49782">
            <w:pPr>
              <w:pStyle w:val="24"/>
              <w:spacing w:before="78" w:line="239" w:lineRule="auto"/>
              <w:ind w:left="350"/>
              <w:rPr>
                <w:highlight w:val="none"/>
              </w:rPr>
            </w:pPr>
            <w:r>
              <w:rPr>
                <w:spacing w:val="-7"/>
                <w:highlight w:val="none"/>
              </w:rPr>
              <w:t>1.2</w:t>
            </w:r>
          </w:p>
        </w:tc>
        <w:tc>
          <w:tcPr>
            <w:tcW w:w="2083" w:type="dxa"/>
            <w:tcBorders>
              <w:bottom w:val="nil"/>
            </w:tcBorders>
            <w:vAlign w:val="top"/>
          </w:tcPr>
          <w:p w14:paraId="5508C299">
            <w:pPr>
              <w:spacing w:line="249" w:lineRule="auto"/>
              <w:rPr>
                <w:rFonts w:ascii="Arial"/>
                <w:sz w:val="21"/>
                <w:highlight w:val="none"/>
              </w:rPr>
            </w:pPr>
          </w:p>
          <w:p w14:paraId="06ED078B">
            <w:pPr>
              <w:spacing w:line="249" w:lineRule="auto"/>
              <w:rPr>
                <w:rFonts w:ascii="Arial"/>
                <w:sz w:val="21"/>
                <w:highlight w:val="none"/>
              </w:rPr>
            </w:pPr>
          </w:p>
          <w:p w14:paraId="5C197236">
            <w:pPr>
              <w:pStyle w:val="24"/>
              <w:spacing w:before="78" w:line="219" w:lineRule="auto"/>
              <w:ind w:left="326"/>
              <w:rPr>
                <w:highlight w:val="none"/>
              </w:rPr>
            </w:pPr>
            <w:r>
              <w:rPr>
                <w:spacing w:val="-2"/>
                <w:highlight w:val="none"/>
              </w:rPr>
              <w:t>采购代理机构</w:t>
            </w:r>
          </w:p>
        </w:tc>
        <w:tc>
          <w:tcPr>
            <w:tcW w:w="6096" w:type="dxa"/>
            <w:vAlign w:val="top"/>
          </w:tcPr>
          <w:p w14:paraId="034A22AE">
            <w:pPr>
              <w:pStyle w:val="24"/>
              <w:spacing w:before="161" w:line="220" w:lineRule="auto"/>
              <w:rPr>
                <w:spacing w:val="-1"/>
                <w:highlight w:val="none"/>
              </w:rPr>
            </w:pPr>
            <w:r>
              <w:rPr>
                <w:spacing w:val="-1"/>
                <w:highlight w:val="none"/>
              </w:rPr>
              <w:t>名称：</w:t>
            </w:r>
            <w:r>
              <w:rPr>
                <w:rFonts w:hint="eastAsia"/>
                <w:spacing w:val="-1"/>
                <w:highlight w:val="none"/>
                <w:lang w:eastAsia="zh-CN"/>
              </w:rPr>
              <w:t>融科匠业工程咨询有限公司</w:t>
            </w:r>
          </w:p>
          <w:p w14:paraId="55234355">
            <w:pPr>
              <w:pStyle w:val="24"/>
              <w:spacing w:before="162" w:line="220" w:lineRule="auto"/>
              <w:rPr>
                <w:rFonts w:hint="eastAsia" w:eastAsia="宋体"/>
                <w:highlight w:val="none"/>
                <w:lang w:eastAsia="zh-CN"/>
              </w:rPr>
            </w:pPr>
            <w:r>
              <w:rPr>
                <w:spacing w:val="-1"/>
                <w:highlight w:val="none"/>
              </w:rPr>
              <w:t>地址：</w:t>
            </w:r>
            <w:r>
              <w:rPr>
                <w:rFonts w:hint="eastAsia"/>
                <w:spacing w:val="-1"/>
                <w:highlight w:val="none"/>
                <w:lang w:val="en-US" w:eastAsia="zh-CN"/>
              </w:rPr>
              <w:t xml:space="preserve">河南省三门峡市商会大厦B座1013室 </w:t>
            </w:r>
          </w:p>
          <w:p w14:paraId="7ADEE297">
            <w:pPr>
              <w:pStyle w:val="24"/>
              <w:spacing w:before="163" w:line="220" w:lineRule="auto"/>
              <w:rPr>
                <w:spacing w:val="-7"/>
                <w:highlight w:val="none"/>
              </w:rPr>
            </w:pPr>
            <w:r>
              <w:rPr>
                <w:spacing w:val="-7"/>
                <w:highlight w:val="none"/>
              </w:rPr>
              <w:t>联系人</w:t>
            </w:r>
            <w:r>
              <w:rPr>
                <w:rFonts w:hint="eastAsia"/>
                <w:spacing w:val="-7"/>
                <w:highlight w:val="none"/>
                <w:lang w:eastAsia="zh-CN"/>
              </w:rPr>
              <w:t>：</w:t>
            </w:r>
            <w:r>
              <w:rPr>
                <w:rFonts w:hint="eastAsia"/>
                <w:spacing w:val="-7"/>
                <w:highlight w:val="none"/>
                <w:lang w:val="en-US" w:eastAsia="zh-CN"/>
              </w:rPr>
              <w:t>王</w:t>
            </w:r>
            <w:r>
              <w:rPr>
                <w:spacing w:val="-7"/>
                <w:highlight w:val="none"/>
              </w:rPr>
              <w:t>先生</w:t>
            </w:r>
          </w:p>
          <w:p w14:paraId="09E2FE90">
            <w:pPr>
              <w:pStyle w:val="24"/>
              <w:spacing w:before="163" w:line="220" w:lineRule="auto"/>
              <w:rPr>
                <w:rFonts w:hint="eastAsia" w:eastAsia="宋体"/>
                <w:highlight w:val="none"/>
                <w:lang w:eastAsia="zh-CN"/>
              </w:rPr>
            </w:pPr>
            <w:r>
              <w:rPr>
                <w:spacing w:val="-7"/>
                <w:highlight w:val="none"/>
              </w:rPr>
              <w:t>电话</w:t>
            </w:r>
            <w:r>
              <w:rPr>
                <w:rFonts w:hint="eastAsia"/>
                <w:spacing w:val="-7"/>
                <w:highlight w:val="none"/>
                <w:lang w:eastAsia="zh-CN"/>
              </w:rPr>
              <w:t>：</w:t>
            </w:r>
            <w:r>
              <w:rPr>
                <w:rFonts w:hint="eastAsia"/>
                <w:spacing w:val="-1"/>
                <w:sz w:val="24"/>
                <w:szCs w:val="24"/>
                <w:highlight w:val="none"/>
              </w:rPr>
              <w:t>13849838244</w:t>
            </w:r>
            <w:r>
              <w:rPr>
                <w:rFonts w:hint="eastAsia"/>
                <w:spacing w:val="-1"/>
                <w:sz w:val="24"/>
                <w:szCs w:val="24"/>
                <w:highlight w:val="none"/>
                <w:lang w:val="en-US" w:eastAsia="zh-CN"/>
              </w:rPr>
              <w:t xml:space="preserve"> </w:t>
            </w:r>
            <w:r>
              <w:rPr>
                <w:rFonts w:hint="eastAsia"/>
                <w:spacing w:val="-7"/>
                <w:highlight w:val="none"/>
                <w:lang w:val="en-US" w:eastAsia="zh-CN"/>
              </w:rPr>
              <w:t xml:space="preserve"> </w:t>
            </w:r>
          </w:p>
        </w:tc>
      </w:tr>
      <w:tr w14:paraId="2800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21C2AF2">
            <w:pPr>
              <w:pStyle w:val="24"/>
              <w:spacing w:before="115" w:line="239" w:lineRule="auto"/>
              <w:ind w:left="350"/>
              <w:rPr>
                <w:highlight w:val="none"/>
              </w:rPr>
            </w:pPr>
            <w:r>
              <w:rPr>
                <w:spacing w:val="-7"/>
                <w:highlight w:val="none"/>
              </w:rPr>
              <w:t>1.3</w:t>
            </w:r>
          </w:p>
        </w:tc>
        <w:tc>
          <w:tcPr>
            <w:tcW w:w="2083" w:type="dxa"/>
            <w:vAlign w:val="top"/>
          </w:tcPr>
          <w:p w14:paraId="6DDA09C6">
            <w:pPr>
              <w:pStyle w:val="24"/>
              <w:spacing w:before="115" w:line="220" w:lineRule="auto"/>
              <w:ind w:left="570"/>
              <w:rPr>
                <w:highlight w:val="none"/>
              </w:rPr>
            </w:pPr>
            <w:r>
              <w:rPr>
                <w:spacing w:val="-3"/>
                <w:highlight w:val="none"/>
              </w:rPr>
              <w:t>项目名称</w:t>
            </w:r>
          </w:p>
        </w:tc>
        <w:tc>
          <w:tcPr>
            <w:tcW w:w="6096" w:type="dxa"/>
            <w:vAlign w:val="top"/>
          </w:tcPr>
          <w:p w14:paraId="19DDC343">
            <w:pPr>
              <w:pStyle w:val="24"/>
              <w:spacing w:before="165" w:line="219" w:lineRule="auto"/>
              <w:ind w:left="111"/>
              <w:rPr>
                <w:rFonts w:hint="eastAsia" w:eastAsia="宋体"/>
                <w:highlight w:val="none"/>
                <w:lang w:eastAsia="zh-CN"/>
              </w:rPr>
            </w:pPr>
            <w:r>
              <w:rPr>
                <w:rFonts w:hint="eastAsia"/>
                <w:spacing w:val="-2"/>
                <w:highlight w:val="none"/>
                <w:lang w:eastAsia="zh-CN"/>
              </w:rPr>
              <w:t>三门峡市陕州区人民医院改扩建项目（一期工程）医疗设备采购项目</w:t>
            </w:r>
          </w:p>
        </w:tc>
      </w:tr>
      <w:tr w14:paraId="62372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52E8EAF">
            <w:pPr>
              <w:pStyle w:val="24"/>
              <w:spacing w:before="115" w:line="239" w:lineRule="auto"/>
              <w:ind w:left="350"/>
              <w:rPr>
                <w:highlight w:val="none"/>
              </w:rPr>
            </w:pPr>
            <w:r>
              <w:rPr>
                <w:spacing w:val="-7"/>
                <w:highlight w:val="none"/>
              </w:rPr>
              <w:t>1.4</w:t>
            </w:r>
          </w:p>
        </w:tc>
        <w:tc>
          <w:tcPr>
            <w:tcW w:w="2083" w:type="dxa"/>
            <w:vAlign w:val="top"/>
          </w:tcPr>
          <w:p w14:paraId="193F7EF9">
            <w:pPr>
              <w:pStyle w:val="24"/>
              <w:spacing w:before="115" w:line="220" w:lineRule="auto"/>
              <w:ind w:left="568"/>
              <w:rPr>
                <w:highlight w:val="none"/>
              </w:rPr>
            </w:pPr>
            <w:r>
              <w:rPr>
                <w:spacing w:val="-2"/>
                <w:highlight w:val="none"/>
              </w:rPr>
              <w:t>招标方式</w:t>
            </w:r>
          </w:p>
        </w:tc>
        <w:tc>
          <w:tcPr>
            <w:tcW w:w="6096" w:type="dxa"/>
            <w:vAlign w:val="top"/>
          </w:tcPr>
          <w:p w14:paraId="57F52120">
            <w:pPr>
              <w:pStyle w:val="24"/>
              <w:spacing w:before="168" w:line="220" w:lineRule="auto"/>
              <w:ind w:left="359"/>
              <w:rPr>
                <w:highlight w:val="none"/>
              </w:rPr>
            </w:pPr>
            <w:r>
              <w:rPr>
                <w:spacing w:val="-4"/>
                <w:highlight w:val="none"/>
              </w:rPr>
              <w:t>公开招标</w:t>
            </w:r>
          </w:p>
        </w:tc>
      </w:tr>
      <w:tr w14:paraId="760EE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14" w:type="dxa"/>
            <w:tcBorders>
              <w:bottom w:val="nil"/>
            </w:tcBorders>
            <w:vAlign w:val="top"/>
          </w:tcPr>
          <w:p w14:paraId="154CAE87">
            <w:pPr>
              <w:spacing w:line="241" w:lineRule="auto"/>
              <w:rPr>
                <w:rFonts w:ascii="Arial"/>
                <w:sz w:val="21"/>
                <w:highlight w:val="none"/>
              </w:rPr>
            </w:pPr>
          </w:p>
          <w:p w14:paraId="39674999">
            <w:pPr>
              <w:spacing w:line="241" w:lineRule="auto"/>
              <w:rPr>
                <w:rFonts w:ascii="Arial"/>
                <w:sz w:val="21"/>
                <w:highlight w:val="none"/>
              </w:rPr>
            </w:pPr>
          </w:p>
          <w:p w14:paraId="6FA670D8">
            <w:pPr>
              <w:spacing w:line="242" w:lineRule="auto"/>
              <w:rPr>
                <w:rFonts w:ascii="Arial"/>
                <w:sz w:val="21"/>
                <w:highlight w:val="none"/>
              </w:rPr>
            </w:pPr>
          </w:p>
          <w:p w14:paraId="53C630E9">
            <w:pPr>
              <w:pStyle w:val="24"/>
              <w:spacing w:before="78" w:line="239" w:lineRule="auto"/>
              <w:ind w:left="350"/>
              <w:rPr>
                <w:highlight w:val="none"/>
              </w:rPr>
            </w:pPr>
            <w:r>
              <w:rPr>
                <w:spacing w:val="-7"/>
                <w:highlight w:val="none"/>
              </w:rPr>
              <w:t>1.5</w:t>
            </w:r>
          </w:p>
        </w:tc>
        <w:tc>
          <w:tcPr>
            <w:tcW w:w="2083" w:type="dxa"/>
            <w:vAlign w:val="top"/>
          </w:tcPr>
          <w:p w14:paraId="4B5797CD">
            <w:pPr>
              <w:spacing w:line="261" w:lineRule="auto"/>
              <w:rPr>
                <w:rFonts w:ascii="Arial"/>
                <w:sz w:val="21"/>
                <w:highlight w:val="none"/>
              </w:rPr>
            </w:pPr>
          </w:p>
          <w:p w14:paraId="6821AFC4">
            <w:pPr>
              <w:pStyle w:val="24"/>
              <w:spacing w:before="78" w:line="220" w:lineRule="auto"/>
              <w:ind w:left="568"/>
              <w:rPr>
                <w:spacing w:val="-3"/>
                <w:highlight w:val="none"/>
              </w:rPr>
            </w:pPr>
          </w:p>
          <w:p w14:paraId="2C0807EA">
            <w:pPr>
              <w:pStyle w:val="24"/>
              <w:spacing w:before="78" w:line="220" w:lineRule="auto"/>
              <w:ind w:left="568"/>
              <w:rPr>
                <w:spacing w:val="-3"/>
                <w:highlight w:val="none"/>
              </w:rPr>
            </w:pPr>
          </w:p>
          <w:p w14:paraId="62AE1F85">
            <w:pPr>
              <w:pStyle w:val="24"/>
              <w:spacing w:before="78" w:line="220" w:lineRule="auto"/>
              <w:ind w:left="568"/>
              <w:rPr>
                <w:rFonts w:hint="default" w:eastAsia="宋体"/>
                <w:highlight w:val="none"/>
                <w:lang w:val="en-US" w:eastAsia="zh-CN"/>
              </w:rPr>
            </w:pPr>
            <w:r>
              <w:rPr>
                <w:rFonts w:hint="eastAsia"/>
                <w:spacing w:val="-3"/>
                <w:highlight w:val="none"/>
                <w:lang w:val="en-US" w:eastAsia="zh-CN"/>
              </w:rPr>
              <w:t>最高限价</w:t>
            </w:r>
          </w:p>
        </w:tc>
        <w:tc>
          <w:tcPr>
            <w:tcW w:w="6096" w:type="dxa"/>
            <w:vAlign w:val="top"/>
          </w:tcPr>
          <w:p w14:paraId="006C291E">
            <w:pPr>
              <w:pStyle w:val="24"/>
              <w:spacing w:before="165" w:line="360" w:lineRule="auto"/>
              <w:ind w:left="113" w:right="107" w:hanging="9"/>
              <w:rPr>
                <w:spacing w:val="-3"/>
                <w:highlight w:val="none"/>
              </w:rPr>
            </w:pPr>
            <w:r>
              <w:rPr>
                <w:spacing w:val="-3"/>
                <w:highlight w:val="none"/>
              </w:rPr>
              <w:t>A 包：</w:t>
            </w:r>
            <w:r>
              <w:rPr>
                <w:rFonts w:hint="eastAsia"/>
                <w:spacing w:val="-3"/>
                <w:highlight w:val="none"/>
                <w:lang w:val="en-US" w:eastAsia="zh-CN"/>
              </w:rPr>
              <w:t>18550000.00</w:t>
            </w:r>
            <w:r>
              <w:rPr>
                <w:spacing w:val="-3"/>
                <w:highlight w:val="none"/>
              </w:rPr>
              <w:t>元；</w:t>
            </w:r>
          </w:p>
          <w:p w14:paraId="4F185913">
            <w:pPr>
              <w:pStyle w:val="24"/>
              <w:spacing w:before="165" w:line="360" w:lineRule="auto"/>
              <w:ind w:left="113" w:right="107" w:hanging="9"/>
              <w:rPr>
                <w:spacing w:val="-3"/>
                <w:highlight w:val="none"/>
              </w:rPr>
            </w:pPr>
            <w:r>
              <w:rPr>
                <w:spacing w:val="-3"/>
                <w:highlight w:val="none"/>
              </w:rPr>
              <w:t>B 包：</w:t>
            </w:r>
            <w:r>
              <w:rPr>
                <w:rFonts w:hint="eastAsia"/>
                <w:spacing w:val="-3"/>
                <w:highlight w:val="none"/>
                <w:lang w:val="en-US" w:eastAsia="zh-CN"/>
              </w:rPr>
              <w:t>5200000.00</w:t>
            </w:r>
            <w:r>
              <w:rPr>
                <w:spacing w:val="-3"/>
                <w:highlight w:val="none"/>
              </w:rPr>
              <w:t>元；</w:t>
            </w:r>
          </w:p>
          <w:p w14:paraId="69D1C766">
            <w:pPr>
              <w:pStyle w:val="24"/>
              <w:spacing w:before="165" w:line="360" w:lineRule="auto"/>
              <w:ind w:left="113" w:right="107" w:hanging="9"/>
              <w:rPr>
                <w:spacing w:val="-4"/>
                <w:highlight w:val="none"/>
              </w:rPr>
            </w:pPr>
            <w:r>
              <w:rPr>
                <w:spacing w:val="-3"/>
                <w:highlight w:val="none"/>
              </w:rPr>
              <w:t>C</w:t>
            </w:r>
            <w:r>
              <w:rPr>
                <w:spacing w:val="-5"/>
                <w:highlight w:val="none"/>
              </w:rPr>
              <w:t xml:space="preserve"> </w:t>
            </w:r>
            <w:r>
              <w:rPr>
                <w:spacing w:val="-3"/>
                <w:highlight w:val="none"/>
              </w:rPr>
              <w:t>包：</w:t>
            </w:r>
            <w:r>
              <w:rPr>
                <w:rFonts w:hint="eastAsia"/>
                <w:spacing w:val="-3"/>
                <w:highlight w:val="none"/>
                <w:lang w:val="en-US" w:eastAsia="zh-CN"/>
              </w:rPr>
              <w:t>1700000.00</w:t>
            </w:r>
            <w:r>
              <w:rPr>
                <w:spacing w:val="-4"/>
                <w:highlight w:val="none"/>
              </w:rPr>
              <w:t>元；</w:t>
            </w:r>
          </w:p>
          <w:p w14:paraId="00183684">
            <w:pPr>
              <w:pStyle w:val="24"/>
              <w:spacing w:before="165" w:line="360" w:lineRule="auto"/>
              <w:ind w:left="113" w:right="107" w:hanging="9"/>
              <w:rPr>
                <w:highlight w:val="none"/>
              </w:rPr>
            </w:pPr>
            <w:r>
              <w:rPr>
                <w:spacing w:val="-4"/>
                <w:highlight w:val="none"/>
              </w:rPr>
              <w:t>D</w:t>
            </w:r>
            <w:r>
              <w:rPr>
                <w:spacing w:val="-44"/>
                <w:highlight w:val="none"/>
              </w:rPr>
              <w:t xml:space="preserve"> </w:t>
            </w:r>
            <w:r>
              <w:rPr>
                <w:spacing w:val="-4"/>
                <w:highlight w:val="none"/>
              </w:rPr>
              <w:t>包：</w:t>
            </w:r>
            <w:r>
              <w:rPr>
                <w:rFonts w:hint="eastAsia"/>
                <w:spacing w:val="-4"/>
                <w:highlight w:val="none"/>
                <w:lang w:val="en-US" w:eastAsia="zh-CN"/>
              </w:rPr>
              <w:t>2330000.00</w:t>
            </w:r>
            <w:r>
              <w:rPr>
                <w:spacing w:val="-4"/>
                <w:highlight w:val="none"/>
              </w:rPr>
              <w:t>元。</w:t>
            </w:r>
          </w:p>
        </w:tc>
      </w:tr>
      <w:tr w14:paraId="2D340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014" w:type="dxa"/>
            <w:vAlign w:val="top"/>
          </w:tcPr>
          <w:p w14:paraId="37A84DEE">
            <w:pPr>
              <w:spacing w:line="272" w:lineRule="auto"/>
              <w:rPr>
                <w:rFonts w:ascii="Arial"/>
                <w:sz w:val="21"/>
                <w:highlight w:val="none"/>
              </w:rPr>
            </w:pPr>
          </w:p>
          <w:p w14:paraId="150623F8">
            <w:pPr>
              <w:pStyle w:val="24"/>
              <w:spacing w:before="78" w:line="239" w:lineRule="auto"/>
              <w:ind w:left="350"/>
              <w:rPr>
                <w:highlight w:val="none"/>
              </w:rPr>
            </w:pPr>
            <w:r>
              <w:rPr>
                <w:spacing w:val="-7"/>
                <w:highlight w:val="none"/>
              </w:rPr>
              <w:t>1.6</w:t>
            </w:r>
          </w:p>
        </w:tc>
        <w:tc>
          <w:tcPr>
            <w:tcW w:w="2083" w:type="dxa"/>
            <w:vAlign w:val="top"/>
          </w:tcPr>
          <w:p w14:paraId="66D1C8E9">
            <w:pPr>
              <w:pStyle w:val="24"/>
              <w:spacing w:before="117" w:line="313" w:lineRule="auto"/>
              <w:ind w:left="807" w:right="200" w:hanging="590"/>
              <w:rPr>
                <w:highlight w:val="none"/>
              </w:rPr>
            </w:pPr>
            <w:r>
              <w:rPr>
                <w:spacing w:val="-3"/>
                <w:highlight w:val="none"/>
              </w:rPr>
              <w:t>资金来源及落实情况</w:t>
            </w:r>
          </w:p>
        </w:tc>
        <w:tc>
          <w:tcPr>
            <w:tcW w:w="6096" w:type="dxa"/>
            <w:vAlign w:val="top"/>
          </w:tcPr>
          <w:p w14:paraId="6D23AB04">
            <w:pPr>
              <w:spacing w:line="322" w:lineRule="auto"/>
              <w:rPr>
                <w:rFonts w:ascii="Arial"/>
                <w:sz w:val="21"/>
                <w:highlight w:val="none"/>
              </w:rPr>
            </w:pPr>
          </w:p>
          <w:p w14:paraId="47F609B7">
            <w:pPr>
              <w:pStyle w:val="24"/>
              <w:spacing w:before="78" w:line="221" w:lineRule="auto"/>
              <w:ind w:left="352"/>
              <w:rPr>
                <w:rFonts w:hint="eastAsia" w:eastAsia="宋体"/>
                <w:highlight w:val="none"/>
                <w:lang w:eastAsia="zh-CN"/>
              </w:rPr>
            </w:pPr>
            <w:r>
              <w:rPr>
                <w:spacing w:val="-8"/>
                <w:highlight w:val="none"/>
              </w:rPr>
              <w:t>财政资金</w:t>
            </w:r>
            <w:r>
              <w:rPr>
                <w:rFonts w:hint="eastAsia"/>
                <w:spacing w:val="-8"/>
                <w:highlight w:val="none"/>
                <w:lang w:eastAsia="zh-CN"/>
              </w:rPr>
              <w:t>。</w:t>
            </w:r>
          </w:p>
        </w:tc>
      </w:tr>
      <w:tr w14:paraId="16949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1014" w:type="dxa"/>
            <w:vAlign w:val="top"/>
          </w:tcPr>
          <w:p w14:paraId="1CC4E0AF">
            <w:pPr>
              <w:rPr>
                <w:rFonts w:ascii="Arial"/>
                <w:sz w:val="21"/>
                <w:highlight w:val="none"/>
              </w:rPr>
            </w:pPr>
          </w:p>
          <w:p w14:paraId="0350F944">
            <w:pPr>
              <w:rPr>
                <w:rFonts w:ascii="Arial"/>
                <w:sz w:val="21"/>
                <w:highlight w:val="none"/>
              </w:rPr>
            </w:pPr>
          </w:p>
          <w:p w14:paraId="3DD854EA">
            <w:pPr>
              <w:rPr>
                <w:rFonts w:ascii="Arial"/>
                <w:sz w:val="21"/>
                <w:highlight w:val="none"/>
              </w:rPr>
            </w:pPr>
          </w:p>
          <w:p w14:paraId="4CB84BF6">
            <w:pPr>
              <w:spacing w:line="241" w:lineRule="auto"/>
              <w:rPr>
                <w:rFonts w:ascii="Arial"/>
                <w:sz w:val="21"/>
                <w:highlight w:val="none"/>
              </w:rPr>
            </w:pPr>
          </w:p>
          <w:p w14:paraId="3473C609">
            <w:pPr>
              <w:spacing w:line="241" w:lineRule="auto"/>
              <w:rPr>
                <w:rFonts w:ascii="Arial"/>
                <w:sz w:val="21"/>
                <w:highlight w:val="none"/>
              </w:rPr>
            </w:pPr>
          </w:p>
          <w:p w14:paraId="0B41A6F5">
            <w:pPr>
              <w:pStyle w:val="24"/>
              <w:spacing w:before="78" w:line="239" w:lineRule="auto"/>
              <w:ind w:left="350"/>
              <w:rPr>
                <w:highlight w:val="none"/>
              </w:rPr>
            </w:pPr>
            <w:r>
              <w:rPr>
                <w:spacing w:val="-7"/>
                <w:highlight w:val="none"/>
              </w:rPr>
              <w:t>1.7</w:t>
            </w:r>
          </w:p>
        </w:tc>
        <w:tc>
          <w:tcPr>
            <w:tcW w:w="2083" w:type="dxa"/>
            <w:vAlign w:val="top"/>
          </w:tcPr>
          <w:p w14:paraId="59D1D0B5">
            <w:pPr>
              <w:rPr>
                <w:rFonts w:ascii="Arial"/>
                <w:sz w:val="21"/>
                <w:highlight w:val="none"/>
              </w:rPr>
            </w:pPr>
          </w:p>
          <w:p w14:paraId="411DC4BC">
            <w:pPr>
              <w:rPr>
                <w:rFonts w:ascii="Arial"/>
                <w:sz w:val="21"/>
                <w:highlight w:val="none"/>
              </w:rPr>
            </w:pPr>
          </w:p>
          <w:p w14:paraId="4BC7016F">
            <w:pPr>
              <w:rPr>
                <w:rFonts w:ascii="Arial"/>
                <w:sz w:val="21"/>
                <w:highlight w:val="none"/>
              </w:rPr>
            </w:pPr>
          </w:p>
          <w:p w14:paraId="086D45D0">
            <w:pPr>
              <w:rPr>
                <w:rFonts w:ascii="Arial"/>
                <w:sz w:val="21"/>
                <w:highlight w:val="none"/>
              </w:rPr>
            </w:pPr>
          </w:p>
          <w:p w14:paraId="73C3284C">
            <w:pPr>
              <w:spacing w:line="241" w:lineRule="auto"/>
              <w:rPr>
                <w:rFonts w:ascii="Arial"/>
                <w:sz w:val="21"/>
                <w:highlight w:val="none"/>
              </w:rPr>
            </w:pPr>
          </w:p>
          <w:p w14:paraId="4FF31F26">
            <w:pPr>
              <w:pStyle w:val="24"/>
              <w:spacing w:before="78" w:line="219" w:lineRule="auto"/>
              <w:ind w:left="566"/>
              <w:rPr>
                <w:highlight w:val="none"/>
              </w:rPr>
            </w:pPr>
            <w:r>
              <w:rPr>
                <w:spacing w:val="-2"/>
                <w:highlight w:val="none"/>
              </w:rPr>
              <w:t>采购范围</w:t>
            </w:r>
          </w:p>
        </w:tc>
        <w:tc>
          <w:tcPr>
            <w:tcW w:w="6096" w:type="dxa"/>
            <w:vAlign w:val="top"/>
          </w:tcPr>
          <w:p w14:paraId="46472250">
            <w:pPr>
              <w:pStyle w:val="24"/>
              <w:spacing w:before="118" w:line="344" w:lineRule="auto"/>
              <w:ind w:right="107"/>
              <w:jc w:val="both"/>
              <w:rPr>
                <w:rFonts w:hint="default"/>
                <w:highlight w:val="none"/>
                <w:lang w:val="en-US"/>
              </w:rPr>
            </w:pPr>
            <w:r>
              <w:rPr>
                <w:rFonts w:hint="eastAsia"/>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tc>
      </w:tr>
      <w:tr w14:paraId="7D5D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14" w:type="dxa"/>
            <w:vAlign w:val="top"/>
          </w:tcPr>
          <w:p w14:paraId="25EDE986">
            <w:pPr>
              <w:pStyle w:val="24"/>
              <w:spacing w:before="117" w:line="239" w:lineRule="auto"/>
              <w:ind w:left="350"/>
              <w:rPr>
                <w:highlight w:val="none"/>
              </w:rPr>
            </w:pPr>
            <w:r>
              <w:rPr>
                <w:spacing w:val="-7"/>
                <w:highlight w:val="none"/>
              </w:rPr>
              <w:t>1.8</w:t>
            </w:r>
          </w:p>
        </w:tc>
        <w:tc>
          <w:tcPr>
            <w:tcW w:w="2083" w:type="dxa"/>
            <w:vAlign w:val="top"/>
          </w:tcPr>
          <w:p w14:paraId="3CB71CCA">
            <w:pPr>
              <w:pStyle w:val="24"/>
              <w:spacing w:before="117" w:line="220" w:lineRule="auto"/>
              <w:ind w:left="688"/>
              <w:rPr>
                <w:highlight w:val="none"/>
              </w:rPr>
            </w:pPr>
            <w:r>
              <w:rPr>
                <w:spacing w:val="-3"/>
                <w:highlight w:val="none"/>
              </w:rPr>
              <w:t>质保期</w:t>
            </w:r>
          </w:p>
        </w:tc>
        <w:tc>
          <w:tcPr>
            <w:tcW w:w="6096" w:type="dxa"/>
            <w:vAlign w:val="top"/>
          </w:tcPr>
          <w:p w14:paraId="75CAE44D">
            <w:pPr>
              <w:pStyle w:val="24"/>
              <w:spacing w:before="169" w:line="220" w:lineRule="auto"/>
              <w:ind w:left="344"/>
              <w:rPr>
                <w:highlight w:val="none"/>
              </w:rPr>
            </w:pPr>
            <w:r>
              <w:rPr>
                <w:spacing w:val="-3"/>
                <w:sz w:val="24"/>
                <w:szCs w:val="24"/>
                <w:highlight w:val="none"/>
              </w:rPr>
              <w:t>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p>
        </w:tc>
      </w:tr>
      <w:tr w14:paraId="67FB8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vMerge w:val="restart"/>
            <w:tcBorders>
              <w:bottom w:val="nil"/>
            </w:tcBorders>
            <w:vAlign w:val="top"/>
          </w:tcPr>
          <w:p w14:paraId="60C7735C">
            <w:pPr>
              <w:spacing w:line="277" w:lineRule="auto"/>
              <w:rPr>
                <w:rFonts w:ascii="Arial"/>
                <w:sz w:val="21"/>
                <w:highlight w:val="none"/>
              </w:rPr>
            </w:pPr>
          </w:p>
          <w:p w14:paraId="165E0E09">
            <w:pPr>
              <w:spacing w:line="278" w:lineRule="auto"/>
              <w:rPr>
                <w:rFonts w:ascii="Arial"/>
                <w:sz w:val="21"/>
                <w:highlight w:val="none"/>
              </w:rPr>
            </w:pPr>
          </w:p>
          <w:p w14:paraId="382DE0C9">
            <w:pPr>
              <w:spacing w:line="278" w:lineRule="auto"/>
              <w:rPr>
                <w:rFonts w:ascii="Arial"/>
                <w:sz w:val="21"/>
                <w:highlight w:val="none"/>
              </w:rPr>
            </w:pPr>
          </w:p>
          <w:p w14:paraId="01326E35">
            <w:pPr>
              <w:pStyle w:val="24"/>
              <w:spacing w:before="78" w:line="239" w:lineRule="auto"/>
              <w:ind w:left="350"/>
              <w:rPr>
                <w:highlight w:val="none"/>
              </w:rPr>
            </w:pPr>
            <w:r>
              <w:rPr>
                <w:spacing w:val="-10"/>
                <w:highlight w:val="none"/>
              </w:rPr>
              <w:t>1.9</w:t>
            </w:r>
          </w:p>
        </w:tc>
        <w:tc>
          <w:tcPr>
            <w:tcW w:w="2083" w:type="dxa"/>
            <w:vAlign w:val="top"/>
          </w:tcPr>
          <w:p w14:paraId="4CE8BB68">
            <w:pPr>
              <w:pStyle w:val="24"/>
              <w:spacing w:before="164" w:line="219" w:lineRule="auto"/>
              <w:ind w:left="331"/>
              <w:rPr>
                <w:highlight w:val="none"/>
              </w:rPr>
            </w:pPr>
            <w:r>
              <w:rPr>
                <w:spacing w:val="-2"/>
                <w:highlight w:val="none"/>
              </w:rPr>
              <w:t>交货及安装期</w:t>
            </w:r>
          </w:p>
        </w:tc>
        <w:tc>
          <w:tcPr>
            <w:tcW w:w="6096" w:type="dxa"/>
            <w:vAlign w:val="top"/>
          </w:tcPr>
          <w:p w14:paraId="7BB40671">
            <w:pPr>
              <w:pStyle w:val="24"/>
              <w:spacing w:before="217" w:line="220" w:lineRule="auto"/>
              <w:ind w:left="391"/>
              <w:rPr>
                <w:rFonts w:hint="eastAsia" w:eastAsia="宋体"/>
                <w:highlight w:val="none"/>
                <w:lang w:eastAsia="zh-CN"/>
              </w:rPr>
            </w:pPr>
            <w:r>
              <w:rPr>
                <w:rFonts w:hint="eastAsia"/>
                <w:spacing w:val="-8"/>
                <w:highlight w:val="none"/>
                <w:lang w:eastAsia="zh-CN"/>
              </w:rPr>
              <w:t>签订合同后 30 日历天（完成安装及调试）</w:t>
            </w:r>
          </w:p>
        </w:tc>
      </w:tr>
      <w:tr w14:paraId="6322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014" w:type="dxa"/>
            <w:vMerge w:val="continue"/>
            <w:tcBorders>
              <w:top w:val="nil"/>
              <w:bottom w:val="nil"/>
            </w:tcBorders>
            <w:vAlign w:val="top"/>
          </w:tcPr>
          <w:p w14:paraId="29DA265F">
            <w:pPr>
              <w:rPr>
                <w:rFonts w:ascii="Arial"/>
                <w:sz w:val="21"/>
                <w:highlight w:val="none"/>
              </w:rPr>
            </w:pPr>
          </w:p>
        </w:tc>
        <w:tc>
          <w:tcPr>
            <w:tcW w:w="2083" w:type="dxa"/>
            <w:vAlign w:val="top"/>
          </w:tcPr>
          <w:p w14:paraId="454AB145">
            <w:pPr>
              <w:pStyle w:val="24"/>
              <w:spacing w:before="165" w:line="219" w:lineRule="auto"/>
              <w:ind w:left="571"/>
              <w:rPr>
                <w:highlight w:val="none"/>
              </w:rPr>
            </w:pPr>
            <w:r>
              <w:rPr>
                <w:spacing w:val="-3"/>
                <w:highlight w:val="none"/>
              </w:rPr>
              <w:t>交货地点</w:t>
            </w:r>
          </w:p>
        </w:tc>
        <w:tc>
          <w:tcPr>
            <w:tcW w:w="6096" w:type="dxa"/>
            <w:vAlign w:val="top"/>
          </w:tcPr>
          <w:p w14:paraId="2BFF3A16">
            <w:pPr>
              <w:pStyle w:val="24"/>
              <w:spacing w:before="218" w:line="219" w:lineRule="auto"/>
              <w:ind w:left="350"/>
              <w:rPr>
                <w:highlight w:val="none"/>
              </w:rPr>
            </w:pPr>
            <w:r>
              <w:rPr>
                <w:spacing w:val="-2"/>
                <w:highlight w:val="none"/>
              </w:rPr>
              <w:t>采购人指定地点</w:t>
            </w:r>
          </w:p>
        </w:tc>
      </w:tr>
      <w:tr w14:paraId="1DEBD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14" w:type="dxa"/>
            <w:vMerge w:val="continue"/>
            <w:tcBorders>
              <w:top w:val="nil"/>
              <w:bottom w:val="nil"/>
            </w:tcBorders>
            <w:vAlign w:val="top"/>
          </w:tcPr>
          <w:p w14:paraId="047227CE">
            <w:pPr>
              <w:rPr>
                <w:rFonts w:ascii="Arial"/>
                <w:sz w:val="21"/>
                <w:highlight w:val="none"/>
              </w:rPr>
            </w:pPr>
          </w:p>
        </w:tc>
        <w:tc>
          <w:tcPr>
            <w:tcW w:w="2083" w:type="dxa"/>
            <w:vAlign w:val="top"/>
          </w:tcPr>
          <w:p w14:paraId="15A25E69">
            <w:pPr>
              <w:pStyle w:val="24"/>
              <w:spacing w:before="78" w:line="219" w:lineRule="auto"/>
              <w:ind w:firstLine="468" w:firstLineChars="200"/>
              <w:rPr>
                <w:highlight w:val="none"/>
              </w:rPr>
            </w:pPr>
            <w:r>
              <w:rPr>
                <w:spacing w:val="-3"/>
                <w:highlight w:val="none"/>
              </w:rPr>
              <w:t>交货要求</w:t>
            </w:r>
          </w:p>
        </w:tc>
        <w:tc>
          <w:tcPr>
            <w:tcW w:w="6096" w:type="dxa"/>
            <w:vAlign w:val="top"/>
          </w:tcPr>
          <w:p w14:paraId="4F2B8F2C">
            <w:pPr>
              <w:pStyle w:val="24"/>
              <w:spacing w:before="167" w:line="290" w:lineRule="auto"/>
              <w:ind w:right="108" w:firstLine="240" w:firstLineChars="100"/>
              <w:rPr>
                <w:highlight w:val="none"/>
              </w:rPr>
            </w:pPr>
            <w:r>
              <w:rPr>
                <w:rFonts w:hint="eastAsia"/>
                <w:highlight w:val="none"/>
              </w:rPr>
              <w:t>签订合同后 30 日历天（完成安装及调试）</w:t>
            </w:r>
          </w:p>
        </w:tc>
      </w:tr>
      <w:tr w14:paraId="533A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14" w:type="dxa"/>
            <w:tcBorders>
              <w:top w:val="nil"/>
            </w:tcBorders>
            <w:shd w:val="clear" w:color="auto" w:fill="auto"/>
            <w:vAlign w:val="top"/>
          </w:tcPr>
          <w:p w14:paraId="52DC08DC">
            <w:pPr>
              <w:pStyle w:val="24"/>
              <w:spacing w:before="180" w:line="239" w:lineRule="auto"/>
              <w:ind w:left="336" w:leftChars="0"/>
              <w:rPr>
                <w:rFonts w:ascii="宋体" w:hAnsi="宋体" w:eastAsia="宋体" w:cs="宋体"/>
                <w:snapToGrid w:val="0"/>
                <w:color w:val="000000"/>
                <w:kern w:val="0"/>
                <w:sz w:val="24"/>
                <w:szCs w:val="24"/>
                <w:highlight w:val="none"/>
                <w:lang w:val="en-US" w:eastAsia="en-US" w:bidi="ar-SA"/>
              </w:rPr>
            </w:pPr>
            <w:r>
              <w:rPr>
                <w:spacing w:val="-3"/>
                <w:highlight w:val="none"/>
              </w:rPr>
              <w:t>2.0</w:t>
            </w:r>
          </w:p>
        </w:tc>
        <w:tc>
          <w:tcPr>
            <w:tcW w:w="2083" w:type="dxa"/>
            <w:shd w:val="clear" w:color="auto" w:fill="auto"/>
            <w:vAlign w:val="top"/>
          </w:tcPr>
          <w:p w14:paraId="2D6AEDA5">
            <w:pPr>
              <w:pStyle w:val="24"/>
              <w:spacing w:before="180" w:line="220" w:lineRule="auto"/>
              <w:ind w:firstLine="472" w:firstLineChars="200"/>
              <w:rPr>
                <w:rFonts w:ascii="宋体" w:hAnsi="宋体" w:eastAsia="宋体" w:cs="宋体"/>
                <w:snapToGrid w:val="0"/>
                <w:color w:val="000000"/>
                <w:kern w:val="0"/>
                <w:sz w:val="24"/>
                <w:szCs w:val="24"/>
                <w:highlight w:val="none"/>
                <w:lang w:val="en-US" w:eastAsia="en-US" w:bidi="ar-SA"/>
              </w:rPr>
            </w:pPr>
            <w:r>
              <w:rPr>
                <w:spacing w:val="-2"/>
                <w:highlight w:val="none"/>
              </w:rPr>
              <w:t>质量要求</w:t>
            </w:r>
          </w:p>
        </w:tc>
        <w:tc>
          <w:tcPr>
            <w:tcW w:w="6096" w:type="dxa"/>
            <w:shd w:val="clear" w:color="auto" w:fill="auto"/>
            <w:vAlign w:val="top"/>
          </w:tcPr>
          <w:p w14:paraId="76C29072">
            <w:pPr>
              <w:pStyle w:val="24"/>
              <w:spacing w:before="232" w:line="220" w:lineRule="auto"/>
              <w:ind w:firstLine="238" w:firstLineChars="100"/>
              <w:rPr>
                <w:rFonts w:hint="eastAsia" w:ascii="宋体" w:hAnsi="宋体" w:eastAsia="宋体" w:cs="宋体"/>
                <w:snapToGrid w:val="0"/>
                <w:color w:val="000000"/>
                <w:kern w:val="0"/>
                <w:sz w:val="24"/>
                <w:szCs w:val="24"/>
                <w:highlight w:val="none"/>
                <w:lang w:val="en-US" w:eastAsia="en-US" w:bidi="ar-SA"/>
              </w:rPr>
            </w:pPr>
            <w:r>
              <w:rPr>
                <w:spacing w:val="-1"/>
                <w:highlight w:val="none"/>
              </w:rPr>
              <w:t>符合国家及行业相关规范和标准，达到正常运行条件</w:t>
            </w:r>
          </w:p>
        </w:tc>
      </w:tr>
    </w:tbl>
    <w:p w14:paraId="3B5F4853">
      <w:pPr>
        <w:spacing w:line="91" w:lineRule="auto"/>
        <w:rPr>
          <w:rFonts w:ascii="Arial"/>
          <w:sz w:val="2"/>
          <w:highlight w:val="none"/>
        </w:rPr>
      </w:pPr>
    </w:p>
    <w:tbl>
      <w:tblPr>
        <w:tblStyle w:val="23"/>
        <w:tblW w:w="9166"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2083"/>
        <w:gridCol w:w="6096"/>
      </w:tblGrid>
      <w:tr w14:paraId="1A9E0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7" w:hRule="atLeast"/>
        </w:trPr>
        <w:tc>
          <w:tcPr>
            <w:tcW w:w="987" w:type="dxa"/>
            <w:vAlign w:val="top"/>
          </w:tcPr>
          <w:p w14:paraId="66293B40">
            <w:pPr>
              <w:spacing w:line="242" w:lineRule="auto"/>
              <w:rPr>
                <w:rFonts w:ascii="Arial"/>
                <w:sz w:val="21"/>
                <w:highlight w:val="none"/>
              </w:rPr>
            </w:pPr>
          </w:p>
          <w:p w14:paraId="77E7899F">
            <w:pPr>
              <w:spacing w:line="242" w:lineRule="auto"/>
              <w:rPr>
                <w:rFonts w:ascii="Arial"/>
                <w:sz w:val="21"/>
                <w:highlight w:val="none"/>
              </w:rPr>
            </w:pPr>
          </w:p>
          <w:p w14:paraId="337304F3">
            <w:pPr>
              <w:spacing w:line="243" w:lineRule="auto"/>
              <w:rPr>
                <w:rFonts w:ascii="Arial"/>
                <w:sz w:val="21"/>
                <w:highlight w:val="none"/>
              </w:rPr>
            </w:pPr>
          </w:p>
          <w:p w14:paraId="7C3F075B">
            <w:pPr>
              <w:spacing w:line="243" w:lineRule="auto"/>
              <w:rPr>
                <w:rFonts w:ascii="Arial"/>
                <w:sz w:val="21"/>
                <w:highlight w:val="none"/>
              </w:rPr>
            </w:pPr>
          </w:p>
          <w:p w14:paraId="6A648AE7">
            <w:pPr>
              <w:spacing w:line="243" w:lineRule="auto"/>
              <w:rPr>
                <w:rFonts w:ascii="Arial"/>
                <w:sz w:val="21"/>
                <w:highlight w:val="none"/>
              </w:rPr>
            </w:pPr>
          </w:p>
          <w:p w14:paraId="6AB69524">
            <w:pPr>
              <w:spacing w:line="243" w:lineRule="auto"/>
              <w:rPr>
                <w:rFonts w:ascii="Arial"/>
                <w:sz w:val="21"/>
                <w:highlight w:val="none"/>
              </w:rPr>
            </w:pPr>
          </w:p>
          <w:p w14:paraId="19B78EAD">
            <w:pPr>
              <w:spacing w:line="243" w:lineRule="auto"/>
              <w:rPr>
                <w:rFonts w:ascii="Arial"/>
                <w:sz w:val="21"/>
                <w:highlight w:val="none"/>
              </w:rPr>
            </w:pPr>
          </w:p>
          <w:p w14:paraId="6BAC19C5">
            <w:pPr>
              <w:spacing w:line="243" w:lineRule="auto"/>
              <w:rPr>
                <w:rFonts w:ascii="Arial"/>
                <w:sz w:val="21"/>
                <w:highlight w:val="none"/>
              </w:rPr>
            </w:pPr>
          </w:p>
          <w:p w14:paraId="57FEEE20">
            <w:pPr>
              <w:spacing w:line="243" w:lineRule="auto"/>
              <w:rPr>
                <w:rFonts w:ascii="Arial"/>
                <w:sz w:val="21"/>
                <w:highlight w:val="none"/>
              </w:rPr>
            </w:pPr>
          </w:p>
          <w:p w14:paraId="5999C8D6">
            <w:pPr>
              <w:spacing w:line="243" w:lineRule="auto"/>
              <w:rPr>
                <w:rFonts w:ascii="Arial"/>
                <w:sz w:val="21"/>
                <w:highlight w:val="none"/>
              </w:rPr>
            </w:pPr>
          </w:p>
          <w:p w14:paraId="2636341B">
            <w:pPr>
              <w:spacing w:line="243" w:lineRule="auto"/>
              <w:rPr>
                <w:rFonts w:ascii="Arial"/>
                <w:sz w:val="21"/>
                <w:highlight w:val="none"/>
              </w:rPr>
            </w:pPr>
          </w:p>
          <w:p w14:paraId="196E1030">
            <w:pPr>
              <w:spacing w:line="243" w:lineRule="auto"/>
              <w:rPr>
                <w:rFonts w:ascii="Arial"/>
                <w:sz w:val="21"/>
                <w:highlight w:val="none"/>
              </w:rPr>
            </w:pPr>
          </w:p>
          <w:p w14:paraId="71AA74F4">
            <w:pPr>
              <w:spacing w:line="243" w:lineRule="auto"/>
              <w:rPr>
                <w:rFonts w:ascii="Arial"/>
                <w:sz w:val="21"/>
                <w:highlight w:val="none"/>
              </w:rPr>
            </w:pPr>
          </w:p>
          <w:p w14:paraId="2591BEC7">
            <w:pPr>
              <w:spacing w:line="243" w:lineRule="auto"/>
              <w:rPr>
                <w:rFonts w:ascii="Arial"/>
                <w:sz w:val="21"/>
                <w:highlight w:val="none"/>
              </w:rPr>
            </w:pPr>
          </w:p>
          <w:p w14:paraId="1C127F83">
            <w:pPr>
              <w:spacing w:line="243" w:lineRule="auto"/>
              <w:rPr>
                <w:rFonts w:ascii="Arial"/>
                <w:sz w:val="21"/>
                <w:highlight w:val="none"/>
              </w:rPr>
            </w:pPr>
          </w:p>
          <w:p w14:paraId="1D524FF0">
            <w:pPr>
              <w:spacing w:line="243" w:lineRule="auto"/>
              <w:rPr>
                <w:rFonts w:ascii="Arial"/>
                <w:sz w:val="21"/>
                <w:highlight w:val="none"/>
              </w:rPr>
            </w:pPr>
          </w:p>
          <w:p w14:paraId="7C1F4A81">
            <w:pPr>
              <w:spacing w:line="243" w:lineRule="auto"/>
              <w:rPr>
                <w:rFonts w:ascii="Arial"/>
                <w:sz w:val="21"/>
                <w:highlight w:val="none"/>
              </w:rPr>
            </w:pPr>
          </w:p>
          <w:p w14:paraId="0628369F">
            <w:pPr>
              <w:spacing w:line="243" w:lineRule="auto"/>
              <w:rPr>
                <w:rFonts w:ascii="Arial"/>
                <w:sz w:val="21"/>
                <w:highlight w:val="none"/>
              </w:rPr>
            </w:pPr>
          </w:p>
          <w:p w14:paraId="77FFCA35">
            <w:pPr>
              <w:spacing w:line="243" w:lineRule="auto"/>
              <w:rPr>
                <w:rFonts w:ascii="Arial"/>
                <w:sz w:val="21"/>
                <w:highlight w:val="none"/>
              </w:rPr>
            </w:pPr>
          </w:p>
          <w:p w14:paraId="35375844">
            <w:pPr>
              <w:spacing w:line="243" w:lineRule="auto"/>
              <w:rPr>
                <w:rFonts w:ascii="Arial"/>
                <w:sz w:val="21"/>
                <w:highlight w:val="none"/>
              </w:rPr>
            </w:pPr>
          </w:p>
          <w:p w14:paraId="253DB3E7">
            <w:pPr>
              <w:spacing w:line="243" w:lineRule="auto"/>
              <w:rPr>
                <w:rFonts w:ascii="Arial"/>
                <w:sz w:val="21"/>
                <w:highlight w:val="none"/>
              </w:rPr>
            </w:pPr>
          </w:p>
          <w:p w14:paraId="7F00F8A9">
            <w:pPr>
              <w:spacing w:line="243" w:lineRule="auto"/>
              <w:rPr>
                <w:rFonts w:ascii="Arial"/>
                <w:sz w:val="21"/>
                <w:highlight w:val="none"/>
              </w:rPr>
            </w:pPr>
          </w:p>
          <w:p w14:paraId="5FF6F051">
            <w:pPr>
              <w:spacing w:line="243" w:lineRule="auto"/>
              <w:rPr>
                <w:rFonts w:ascii="Arial"/>
                <w:sz w:val="21"/>
                <w:highlight w:val="none"/>
              </w:rPr>
            </w:pPr>
          </w:p>
          <w:p w14:paraId="5F61E018">
            <w:pPr>
              <w:spacing w:line="243" w:lineRule="auto"/>
              <w:rPr>
                <w:rFonts w:ascii="Arial"/>
                <w:sz w:val="21"/>
                <w:highlight w:val="none"/>
              </w:rPr>
            </w:pPr>
          </w:p>
          <w:p w14:paraId="40EFACF2">
            <w:pPr>
              <w:spacing w:line="243" w:lineRule="auto"/>
              <w:rPr>
                <w:rFonts w:ascii="Arial"/>
                <w:sz w:val="21"/>
                <w:highlight w:val="none"/>
              </w:rPr>
            </w:pPr>
          </w:p>
          <w:p w14:paraId="10A845AF">
            <w:pPr>
              <w:spacing w:line="243" w:lineRule="auto"/>
              <w:rPr>
                <w:rFonts w:ascii="Arial"/>
                <w:sz w:val="21"/>
                <w:highlight w:val="none"/>
              </w:rPr>
            </w:pPr>
          </w:p>
          <w:p w14:paraId="274290D0">
            <w:pPr>
              <w:pStyle w:val="24"/>
              <w:spacing w:before="78" w:line="239" w:lineRule="auto"/>
              <w:ind w:left="336"/>
              <w:rPr>
                <w:highlight w:val="none"/>
              </w:rPr>
            </w:pPr>
            <w:r>
              <w:rPr>
                <w:spacing w:val="-5"/>
                <w:highlight w:val="none"/>
              </w:rPr>
              <w:t>2.1</w:t>
            </w:r>
          </w:p>
        </w:tc>
        <w:tc>
          <w:tcPr>
            <w:tcW w:w="2083" w:type="dxa"/>
            <w:vAlign w:val="top"/>
          </w:tcPr>
          <w:p w14:paraId="4B9EBE31">
            <w:pPr>
              <w:spacing w:line="243" w:lineRule="auto"/>
              <w:rPr>
                <w:rFonts w:ascii="Arial"/>
                <w:sz w:val="21"/>
                <w:highlight w:val="none"/>
              </w:rPr>
            </w:pPr>
          </w:p>
          <w:p w14:paraId="459A77D0">
            <w:pPr>
              <w:spacing w:line="243" w:lineRule="auto"/>
              <w:rPr>
                <w:rFonts w:ascii="Arial"/>
                <w:sz w:val="21"/>
                <w:highlight w:val="none"/>
              </w:rPr>
            </w:pPr>
          </w:p>
          <w:p w14:paraId="560505E2">
            <w:pPr>
              <w:spacing w:line="243" w:lineRule="auto"/>
              <w:rPr>
                <w:rFonts w:ascii="Arial"/>
                <w:sz w:val="21"/>
                <w:highlight w:val="none"/>
              </w:rPr>
            </w:pPr>
          </w:p>
          <w:p w14:paraId="09B2B7E1">
            <w:pPr>
              <w:spacing w:line="243" w:lineRule="auto"/>
              <w:rPr>
                <w:rFonts w:ascii="Arial"/>
                <w:sz w:val="21"/>
                <w:highlight w:val="none"/>
              </w:rPr>
            </w:pPr>
          </w:p>
          <w:p w14:paraId="5105F5DE">
            <w:pPr>
              <w:spacing w:line="243" w:lineRule="auto"/>
              <w:rPr>
                <w:rFonts w:ascii="Arial"/>
                <w:sz w:val="21"/>
                <w:highlight w:val="none"/>
              </w:rPr>
            </w:pPr>
          </w:p>
          <w:p w14:paraId="06606288">
            <w:pPr>
              <w:spacing w:line="243" w:lineRule="auto"/>
              <w:rPr>
                <w:rFonts w:ascii="Arial"/>
                <w:sz w:val="21"/>
                <w:highlight w:val="none"/>
              </w:rPr>
            </w:pPr>
          </w:p>
          <w:p w14:paraId="1E63A627">
            <w:pPr>
              <w:spacing w:line="244" w:lineRule="auto"/>
              <w:rPr>
                <w:rFonts w:ascii="Arial"/>
                <w:sz w:val="21"/>
                <w:highlight w:val="none"/>
              </w:rPr>
            </w:pPr>
          </w:p>
          <w:p w14:paraId="60128DC3">
            <w:pPr>
              <w:spacing w:line="244" w:lineRule="auto"/>
              <w:rPr>
                <w:rFonts w:ascii="Arial"/>
                <w:sz w:val="21"/>
                <w:highlight w:val="none"/>
              </w:rPr>
            </w:pPr>
          </w:p>
          <w:p w14:paraId="34D465B4">
            <w:pPr>
              <w:spacing w:line="244" w:lineRule="auto"/>
              <w:rPr>
                <w:rFonts w:ascii="Arial"/>
                <w:sz w:val="21"/>
                <w:highlight w:val="none"/>
              </w:rPr>
            </w:pPr>
          </w:p>
          <w:p w14:paraId="67A122ED">
            <w:pPr>
              <w:spacing w:line="244" w:lineRule="auto"/>
              <w:rPr>
                <w:rFonts w:ascii="Arial"/>
                <w:sz w:val="21"/>
                <w:highlight w:val="none"/>
              </w:rPr>
            </w:pPr>
          </w:p>
          <w:p w14:paraId="22DD3BB3">
            <w:pPr>
              <w:spacing w:line="244" w:lineRule="auto"/>
              <w:rPr>
                <w:rFonts w:ascii="Arial"/>
                <w:sz w:val="21"/>
                <w:highlight w:val="none"/>
              </w:rPr>
            </w:pPr>
          </w:p>
          <w:p w14:paraId="0B52F236">
            <w:pPr>
              <w:spacing w:line="244" w:lineRule="auto"/>
              <w:rPr>
                <w:rFonts w:ascii="Arial"/>
                <w:sz w:val="21"/>
                <w:highlight w:val="none"/>
              </w:rPr>
            </w:pPr>
          </w:p>
          <w:p w14:paraId="6F18690F">
            <w:pPr>
              <w:spacing w:line="244" w:lineRule="auto"/>
              <w:rPr>
                <w:rFonts w:ascii="Arial"/>
                <w:sz w:val="21"/>
                <w:highlight w:val="none"/>
              </w:rPr>
            </w:pPr>
          </w:p>
          <w:p w14:paraId="3206ACFA">
            <w:pPr>
              <w:spacing w:line="244" w:lineRule="auto"/>
              <w:rPr>
                <w:rFonts w:ascii="Arial"/>
                <w:sz w:val="21"/>
                <w:highlight w:val="none"/>
              </w:rPr>
            </w:pPr>
          </w:p>
          <w:p w14:paraId="191B46A8">
            <w:pPr>
              <w:spacing w:line="244" w:lineRule="auto"/>
              <w:rPr>
                <w:rFonts w:ascii="Arial"/>
                <w:sz w:val="21"/>
                <w:highlight w:val="none"/>
              </w:rPr>
            </w:pPr>
          </w:p>
          <w:p w14:paraId="17CF9CBC">
            <w:pPr>
              <w:spacing w:line="244" w:lineRule="auto"/>
              <w:rPr>
                <w:rFonts w:ascii="Arial"/>
                <w:sz w:val="21"/>
                <w:highlight w:val="none"/>
              </w:rPr>
            </w:pPr>
          </w:p>
          <w:p w14:paraId="6D595629">
            <w:pPr>
              <w:spacing w:line="244" w:lineRule="auto"/>
              <w:rPr>
                <w:rFonts w:ascii="Arial"/>
                <w:sz w:val="21"/>
                <w:highlight w:val="none"/>
              </w:rPr>
            </w:pPr>
          </w:p>
          <w:p w14:paraId="723E2E7A">
            <w:pPr>
              <w:spacing w:line="244" w:lineRule="auto"/>
              <w:rPr>
                <w:rFonts w:ascii="Arial"/>
                <w:sz w:val="21"/>
                <w:highlight w:val="none"/>
              </w:rPr>
            </w:pPr>
          </w:p>
          <w:p w14:paraId="04A0668F">
            <w:pPr>
              <w:spacing w:line="244" w:lineRule="auto"/>
              <w:rPr>
                <w:rFonts w:ascii="Arial"/>
                <w:sz w:val="21"/>
                <w:highlight w:val="none"/>
              </w:rPr>
            </w:pPr>
          </w:p>
          <w:p w14:paraId="115C494C">
            <w:pPr>
              <w:spacing w:line="244" w:lineRule="auto"/>
              <w:rPr>
                <w:rFonts w:ascii="Arial"/>
                <w:sz w:val="21"/>
                <w:highlight w:val="none"/>
              </w:rPr>
            </w:pPr>
          </w:p>
          <w:p w14:paraId="11EA3A48">
            <w:pPr>
              <w:spacing w:line="244" w:lineRule="auto"/>
              <w:rPr>
                <w:rFonts w:ascii="Arial"/>
                <w:sz w:val="21"/>
                <w:highlight w:val="none"/>
              </w:rPr>
            </w:pPr>
          </w:p>
          <w:p w14:paraId="55CFE8BB">
            <w:pPr>
              <w:spacing w:line="244" w:lineRule="auto"/>
              <w:rPr>
                <w:rFonts w:ascii="Arial"/>
                <w:sz w:val="21"/>
                <w:highlight w:val="none"/>
              </w:rPr>
            </w:pPr>
          </w:p>
          <w:p w14:paraId="370A152F">
            <w:pPr>
              <w:spacing w:line="244" w:lineRule="auto"/>
              <w:rPr>
                <w:rFonts w:ascii="Arial"/>
                <w:sz w:val="21"/>
                <w:highlight w:val="none"/>
              </w:rPr>
            </w:pPr>
          </w:p>
          <w:p w14:paraId="23971F38">
            <w:pPr>
              <w:spacing w:line="244" w:lineRule="auto"/>
              <w:rPr>
                <w:rFonts w:ascii="Arial"/>
                <w:sz w:val="21"/>
                <w:highlight w:val="none"/>
              </w:rPr>
            </w:pPr>
          </w:p>
          <w:p w14:paraId="7B7AC609">
            <w:pPr>
              <w:pStyle w:val="24"/>
              <w:spacing w:before="78" w:line="219" w:lineRule="auto"/>
              <w:ind w:left="209"/>
              <w:rPr>
                <w:highlight w:val="none"/>
              </w:rPr>
            </w:pPr>
            <w:r>
              <w:rPr>
                <w:spacing w:val="-2"/>
                <w:highlight w:val="none"/>
              </w:rPr>
              <w:t>投标供应商的资</w:t>
            </w:r>
          </w:p>
          <w:p w14:paraId="4F7CAB55">
            <w:pPr>
              <w:pStyle w:val="24"/>
              <w:spacing w:before="182" w:line="220" w:lineRule="auto"/>
              <w:ind w:left="114"/>
              <w:rPr>
                <w:highlight w:val="none"/>
              </w:rPr>
            </w:pPr>
            <w:r>
              <w:rPr>
                <w:spacing w:val="-9"/>
                <w:highlight w:val="none"/>
              </w:rPr>
              <w:t>质、能力和应具备</w:t>
            </w:r>
          </w:p>
          <w:p w14:paraId="435E42D2">
            <w:pPr>
              <w:pStyle w:val="24"/>
              <w:spacing w:before="182" w:line="220" w:lineRule="auto"/>
              <w:ind w:left="808"/>
              <w:rPr>
                <w:highlight w:val="none"/>
              </w:rPr>
            </w:pPr>
            <w:r>
              <w:rPr>
                <w:spacing w:val="-3"/>
                <w:highlight w:val="none"/>
              </w:rPr>
              <w:t>条件</w:t>
            </w:r>
          </w:p>
        </w:tc>
        <w:tc>
          <w:tcPr>
            <w:tcW w:w="6096" w:type="dxa"/>
            <w:vAlign w:val="top"/>
          </w:tcPr>
          <w:p w14:paraId="2B94F918">
            <w:pPr>
              <w:pStyle w:val="24"/>
              <w:spacing w:before="113" w:line="360" w:lineRule="auto"/>
              <w:ind w:left="112" w:right="109" w:firstLine="583"/>
              <w:rPr>
                <w:highlight w:val="none"/>
              </w:rPr>
            </w:pPr>
            <w:r>
              <w:rPr>
                <w:highlight w:val="none"/>
              </w:rPr>
              <w:t>1.满足《中华人民共和国政府采购法》第二十二条</w:t>
            </w:r>
            <w:r>
              <w:rPr>
                <w:spacing w:val="-15"/>
                <w:highlight w:val="none"/>
              </w:rPr>
              <w:t>规定；</w:t>
            </w:r>
          </w:p>
          <w:p w14:paraId="6D7ADC17">
            <w:pPr>
              <w:pStyle w:val="24"/>
              <w:spacing w:before="5" w:line="359" w:lineRule="auto"/>
              <w:ind w:left="112" w:right="105" w:firstLine="568"/>
              <w:rPr>
                <w:highlight w:val="none"/>
              </w:rPr>
            </w:pPr>
            <w:r>
              <w:rPr>
                <w:spacing w:val="1"/>
                <w:highlight w:val="none"/>
              </w:rPr>
              <w:t>2.落实政府采购政策满足的资格要求：本项目非专</w:t>
            </w:r>
            <w:r>
              <w:rPr>
                <w:spacing w:val="-1"/>
                <w:highlight w:val="none"/>
              </w:rPr>
              <w:t>门面向中小微企业采购项目,执行优先采购节能环保、环</w:t>
            </w:r>
            <w:r>
              <w:rPr>
                <w:spacing w:val="4"/>
                <w:highlight w:val="none"/>
              </w:rPr>
              <w:t>境标志性产品，促进中小企业（监狱企业、残疾人福利</w:t>
            </w:r>
            <w:r>
              <w:rPr>
                <w:spacing w:val="-1"/>
                <w:highlight w:val="none"/>
              </w:rPr>
              <w:t>性企业）发展等政府采购政策。</w:t>
            </w:r>
          </w:p>
          <w:p w14:paraId="4BED546D">
            <w:pPr>
              <w:pStyle w:val="24"/>
              <w:spacing w:before="1" w:line="218" w:lineRule="auto"/>
              <w:ind w:left="683"/>
              <w:rPr>
                <w:highlight w:val="none"/>
              </w:rPr>
            </w:pPr>
            <w:r>
              <w:rPr>
                <w:spacing w:val="-2"/>
                <w:highlight w:val="none"/>
              </w:rPr>
              <w:t>3.本项目的特定资格要求</w:t>
            </w:r>
          </w:p>
          <w:p w14:paraId="3296E75F">
            <w:pPr>
              <w:pStyle w:val="24"/>
              <w:spacing w:before="183" w:line="219" w:lineRule="auto"/>
              <w:ind w:left="683"/>
              <w:rPr>
                <w:highlight w:val="none"/>
              </w:rPr>
            </w:pPr>
            <w:r>
              <w:rPr>
                <w:rFonts w:hint="eastAsia"/>
                <w:spacing w:val="-1"/>
                <w:highlight w:val="none"/>
                <w:lang w:eastAsia="zh-CN"/>
              </w:rPr>
              <w:t>（</w:t>
            </w:r>
            <w:r>
              <w:rPr>
                <w:rFonts w:hint="eastAsia"/>
                <w:spacing w:val="-1"/>
                <w:highlight w:val="none"/>
                <w:lang w:val="en-US" w:eastAsia="zh-CN"/>
              </w:rPr>
              <w:t>1</w:t>
            </w:r>
            <w:r>
              <w:rPr>
                <w:rFonts w:hint="eastAsia"/>
                <w:spacing w:val="-1"/>
                <w:highlight w:val="none"/>
                <w:lang w:eastAsia="zh-CN"/>
              </w:rPr>
              <w:t>）</w:t>
            </w:r>
            <w:r>
              <w:rPr>
                <w:spacing w:val="-1"/>
                <w:highlight w:val="none"/>
              </w:rPr>
              <w:t>供应商具备有效的营业执照；</w:t>
            </w:r>
          </w:p>
          <w:p w14:paraId="5E8734B6">
            <w:pPr>
              <w:pStyle w:val="24"/>
              <w:spacing w:before="183" w:line="360" w:lineRule="auto"/>
              <w:ind w:left="110" w:right="109" w:firstLine="572"/>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 xml:space="preserve"> 供应商为代理商（经销商）的，应具有医疗器</w:t>
            </w:r>
            <w:r>
              <w:rPr>
                <w:spacing w:val="4"/>
                <w:highlight w:val="none"/>
              </w:rPr>
              <w:t>械经营许可证或医疗器械经营备案凭证（从事一类医疗</w:t>
            </w:r>
            <w:r>
              <w:rPr>
                <w:spacing w:val="-6"/>
                <w:highlight w:val="none"/>
              </w:rPr>
              <w:t>器械经营活动的除外</w:t>
            </w:r>
            <w:r>
              <w:rPr>
                <w:spacing w:val="-1"/>
                <w:highlight w:val="none"/>
              </w:rPr>
              <w:t>）；</w:t>
            </w:r>
            <w:r>
              <w:rPr>
                <w:spacing w:val="-6"/>
                <w:highlight w:val="none"/>
              </w:rPr>
              <w:t>供应商为制造商时，应具有医疗</w:t>
            </w:r>
            <w:r>
              <w:rPr>
                <w:spacing w:val="4"/>
                <w:highlight w:val="none"/>
              </w:rPr>
              <w:t>器械生产许可证（从事第一类医疗器械生产的须具有备</w:t>
            </w:r>
            <w:r>
              <w:rPr>
                <w:spacing w:val="-19"/>
                <w:w w:val="92"/>
                <w:highlight w:val="none"/>
              </w:rPr>
              <w:t>案凭证</w:t>
            </w:r>
            <w:r>
              <w:rPr>
                <w:spacing w:val="-16"/>
                <w:highlight w:val="none"/>
              </w:rPr>
              <w:t>）；</w:t>
            </w:r>
          </w:p>
          <w:p w14:paraId="1C2B363B">
            <w:pPr>
              <w:pStyle w:val="24"/>
              <w:spacing w:line="360" w:lineRule="auto"/>
              <w:ind w:left="111" w:right="111" w:firstLine="571"/>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 xml:space="preserve"> 须提供本企业无商业贿赂和不正当竞争行为承</w:t>
            </w:r>
            <w:r>
              <w:rPr>
                <w:spacing w:val="-15"/>
                <w:highlight w:val="none"/>
              </w:rPr>
              <w:t>诺书；</w:t>
            </w:r>
          </w:p>
          <w:p w14:paraId="01C813BF">
            <w:pPr>
              <w:pStyle w:val="24"/>
              <w:spacing w:before="2" w:line="353" w:lineRule="auto"/>
              <w:ind w:left="100" w:right="107" w:firstLine="582"/>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根据《关于在政府采购活动中查询及使用信用</w:t>
            </w:r>
            <w:r>
              <w:rPr>
                <w:spacing w:val="9"/>
                <w:highlight w:val="none"/>
              </w:rPr>
              <w:t>记录有关问题的通知》</w:t>
            </w:r>
            <w:r>
              <w:rPr>
                <w:spacing w:val="-20"/>
                <w:highlight w:val="none"/>
              </w:rPr>
              <w:t xml:space="preserve"> </w:t>
            </w:r>
            <w:r>
              <w:rPr>
                <w:spacing w:val="9"/>
                <w:highlight w:val="none"/>
              </w:rPr>
              <w:t>(财库[</w:t>
            </w:r>
            <w:r>
              <w:rPr>
                <w:highlight w:val="none"/>
              </w:rPr>
              <w:fldChar w:fldCharType="begin"/>
            </w:r>
            <w:r>
              <w:rPr>
                <w:highlight w:val="none"/>
              </w:rPr>
              <w:instrText xml:space="preserve"> HYPERLINK \l "bookmark16" </w:instrText>
            </w:r>
            <w:r>
              <w:rPr>
                <w:highlight w:val="none"/>
              </w:rPr>
              <w:fldChar w:fldCharType="separate"/>
            </w:r>
            <w:r>
              <w:rPr>
                <w:spacing w:val="9"/>
                <w:highlight w:val="none"/>
              </w:rPr>
              <w:t>2016</w:t>
            </w:r>
            <w:r>
              <w:rPr>
                <w:spacing w:val="9"/>
                <w:highlight w:val="none"/>
              </w:rPr>
              <w:fldChar w:fldCharType="end"/>
            </w:r>
            <w:r>
              <w:rPr>
                <w:spacing w:val="9"/>
                <w:highlight w:val="none"/>
              </w:rPr>
              <w:t>]125 号)和豫财购</w:t>
            </w:r>
            <w:r>
              <w:rPr>
                <w:highlight w:val="none"/>
              </w:rPr>
              <w:t>【2016】15 号的规定，企业没有被列入“信用中国”网</w:t>
            </w:r>
            <w:r>
              <w:rPr>
                <w:spacing w:val="-14"/>
                <w:highlight w:val="none"/>
              </w:rPr>
              <w:t>站的“失信被执行人（跳转中国执行信息公开网）”和“重</w:t>
            </w:r>
            <w:r>
              <w:rPr>
                <w:spacing w:val="-5"/>
                <w:highlight w:val="none"/>
              </w:rPr>
              <w:t>大税收违法失信主体”及“中国政府采购网”网站的“政</w:t>
            </w:r>
            <w:r>
              <w:rPr>
                <w:spacing w:val="-2"/>
                <w:highlight w:val="none"/>
              </w:rPr>
              <w:t>府采购严重违法失信行为记录名单”，查询渠道：</w:t>
            </w:r>
            <w:r>
              <w:rPr>
                <w:spacing w:val="49"/>
                <w:highlight w:val="none"/>
              </w:rPr>
              <w:t xml:space="preserve"> </w:t>
            </w:r>
            <w:r>
              <w:rPr>
                <w:spacing w:val="-2"/>
                <w:highlight w:val="none"/>
              </w:rPr>
              <w:t>“中</w:t>
            </w:r>
            <w:r>
              <w:rPr>
                <w:spacing w:val="-9"/>
                <w:highlight w:val="none"/>
              </w:rPr>
              <w:t>国</w:t>
            </w:r>
            <w:r>
              <w:rPr>
                <w:spacing w:val="48"/>
                <w:highlight w:val="none"/>
              </w:rPr>
              <w:t xml:space="preserve">  </w:t>
            </w:r>
            <w:r>
              <w:rPr>
                <w:spacing w:val="-9"/>
                <w:highlight w:val="none"/>
              </w:rPr>
              <w:t>执</w:t>
            </w:r>
            <w:r>
              <w:rPr>
                <w:spacing w:val="49"/>
                <w:highlight w:val="none"/>
              </w:rPr>
              <w:t xml:space="preserve">  </w:t>
            </w:r>
            <w:r>
              <w:rPr>
                <w:spacing w:val="-9"/>
                <w:highlight w:val="none"/>
              </w:rPr>
              <w:t>行</w:t>
            </w:r>
            <w:r>
              <w:rPr>
                <w:spacing w:val="46"/>
                <w:highlight w:val="none"/>
              </w:rPr>
              <w:t xml:space="preserve">  </w:t>
            </w:r>
            <w:r>
              <w:rPr>
                <w:spacing w:val="-9"/>
                <w:highlight w:val="none"/>
              </w:rPr>
              <w:t>信   息   公</w:t>
            </w:r>
            <w:r>
              <w:rPr>
                <w:spacing w:val="47"/>
                <w:highlight w:val="none"/>
              </w:rPr>
              <w:t xml:space="preserve">  </w:t>
            </w:r>
            <w:r>
              <w:rPr>
                <w:spacing w:val="-9"/>
                <w:highlight w:val="none"/>
              </w:rPr>
              <w:t>开   网   ”   网   站</w:t>
            </w:r>
            <w:r>
              <w:rPr>
                <w:spacing w:val="-1"/>
                <w:highlight w:val="none"/>
              </w:rPr>
              <w:t>（</w:t>
            </w:r>
            <w:r>
              <w:rPr>
                <w:spacing w:val="-65"/>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1"/>
                <w:highlight w:val="none"/>
              </w:rPr>
              <w:t>http://zxgk.court.gov.cn/</w:t>
            </w:r>
            <w:r>
              <w:rPr>
                <w:spacing w:val="-2"/>
                <w:highlight w:val="none"/>
              </w:rPr>
              <w:t>shixin</w:t>
            </w:r>
            <w:r>
              <w:rPr>
                <w:spacing w:val="-2"/>
                <w:highlight w:val="none"/>
              </w:rPr>
              <w:fldChar w:fldCharType="end"/>
            </w:r>
            <w:r>
              <w:rPr>
                <w:spacing w:val="-2"/>
                <w:highlight w:val="none"/>
              </w:rPr>
              <w:t>）“信用中国”网</w:t>
            </w:r>
            <w:r>
              <w:rPr>
                <w:spacing w:val="-7"/>
                <w:highlight w:val="none"/>
              </w:rPr>
              <w:t>站</w:t>
            </w:r>
            <w:r>
              <w:rPr>
                <w:spacing w:val="-55"/>
                <w:highlight w:val="none"/>
              </w:rPr>
              <w:t xml:space="preserve"> </w:t>
            </w:r>
            <w:r>
              <w:rPr>
                <w:spacing w:val="-7"/>
                <w:highlight w:val="none"/>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spacing w:val="-7"/>
                <w:highlight w:val="none"/>
              </w:rPr>
              <w:t>www.creditchina.gov.</w:t>
            </w:r>
            <w:r>
              <w:rPr>
                <w:spacing w:val="-8"/>
                <w:highlight w:val="none"/>
              </w:rPr>
              <w:t>cn</w:t>
            </w:r>
            <w:r>
              <w:rPr>
                <w:spacing w:val="-8"/>
                <w:highlight w:val="none"/>
              </w:rPr>
              <w:fldChar w:fldCharType="end"/>
            </w:r>
            <w:r>
              <w:rPr>
                <w:spacing w:val="-55"/>
                <w:highlight w:val="none"/>
              </w:rPr>
              <w:t xml:space="preserve"> </w:t>
            </w:r>
            <w:r>
              <w:rPr>
                <w:spacing w:val="-8"/>
                <w:highlight w:val="none"/>
              </w:rPr>
              <w:t>）、 中</w:t>
            </w:r>
            <w:r>
              <w:rPr>
                <w:spacing w:val="-22"/>
                <w:highlight w:val="none"/>
              </w:rPr>
              <w:t xml:space="preserve"> </w:t>
            </w:r>
            <w:r>
              <w:rPr>
                <w:spacing w:val="-8"/>
                <w:highlight w:val="none"/>
              </w:rPr>
              <w:t>国</w:t>
            </w:r>
            <w:r>
              <w:rPr>
                <w:spacing w:val="-47"/>
                <w:highlight w:val="none"/>
              </w:rPr>
              <w:t xml:space="preserve"> </w:t>
            </w:r>
            <w:r>
              <w:rPr>
                <w:spacing w:val="-8"/>
                <w:highlight w:val="none"/>
              </w:rPr>
              <w:t>政</w:t>
            </w:r>
            <w:r>
              <w:rPr>
                <w:spacing w:val="-45"/>
                <w:highlight w:val="none"/>
              </w:rPr>
              <w:t xml:space="preserve"> </w:t>
            </w:r>
            <w:r>
              <w:rPr>
                <w:spacing w:val="-8"/>
                <w:highlight w:val="none"/>
              </w:rPr>
              <w:t>府</w:t>
            </w:r>
            <w:r>
              <w:rPr>
                <w:spacing w:val="-47"/>
                <w:highlight w:val="none"/>
              </w:rPr>
              <w:t xml:space="preserve"> </w:t>
            </w:r>
            <w:r>
              <w:rPr>
                <w:spacing w:val="-8"/>
                <w:highlight w:val="none"/>
              </w:rPr>
              <w:t>采</w:t>
            </w:r>
            <w:r>
              <w:rPr>
                <w:spacing w:val="-48"/>
                <w:highlight w:val="none"/>
              </w:rPr>
              <w:t xml:space="preserve"> </w:t>
            </w:r>
            <w:r>
              <w:rPr>
                <w:spacing w:val="-8"/>
                <w:highlight w:val="none"/>
              </w:rPr>
              <w:t>购</w:t>
            </w:r>
            <w:r>
              <w:rPr>
                <w:spacing w:val="-27"/>
                <w:highlight w:val="none"/>
              </w:rPr>
              <w:t xml:space="preserve"> </w:t>
            </w:r>
            <w:r>
              <w:rPr>
                <w:spacing w:val="-8"/>
                <w:highlight w:val="none"/>
              </w:rPr>
              <w:t>网</w:t>
            </w:r>
            <w:r>
              <w:rPr>
                <w:spacing w:val="4"/>
                <w:highlight w:val="none"/>
              </w:rPr>
              <w:t>（</w:t>
            </w:r>
            <w:r>
              <w:rPr>
                <w:highlight w:val="none"/>
              </w:rPr>
              <w:fldChar w:fldCharType="begin"/>
            </w:r>
            <w:r>
              <w:rPr>
                <w:highlight w:val="none"/>
              </w:rPr>
              <w:instrText xml:space="preserve"> HYPERLINK "https://www.ccgp.gov.cn" </w:instrText>
            </w:r>
            <w:r>
              <w:rPr>
                <w:highlight w:val="none"/>
              </w:rPr>
              <w:fldChar w:fldCharType="separate"/>
            </w:r>
            <w:r>
              <w:rPr>
                <w:highlight w:val="none"/>
              </w:rPr>
              <w:t>www</w:t>
            </w:r>
            <w:r>
              <w:rPr>
                <w:spacing w:val="4"/>
                <w:highlight w:val="none"/>
              </w:rPr>
              <w:t>.</w:t>
            </w:r>
            <w:r>
              <w:rPr>
                <w:highlight w:val="none"/>
              </w:rPr>
              <w:t>ccgp</w:t>
            </w:r>
            <w:r>
              <w:rPr>
                <w:spacing w:val="4"/>
                <w:highlight w:val="none"/>
              </w:rPr>
              <w:t>.</w:t>
            </w:r>
            <w:r>
              <w:rPr>
                <w:highlight w:val="none"/>
              </w:rPr>
              <w:t>gov</w:t>
            </w:r>
            <w:r>
              <w:rPr>
                <w:spacing w:val="4"/>
                <w:highlight w:val="none"/>
              </w:rPr>
              <w:t>.</w:t>
            </w:r>
            <w:r>
              <w:rPr>
                <w:highlight w:val="none"/>
              </w:rPr>
              <w:t>cn</w:t>
            </w:r>
            <w:r>
              <w:rPr>
                <w:highlight w:val="none"/>
              </w:rPr>
              <w:fldChar w:fldCharType="end"/>
            </w:r>
            <w:r>
              <w:rPr>
                <w:spacing w:val="-38"/>
                <w:highlight w:val="none"/>
              </w:rPr>
              <w:t>），</w:t>
            </w:r>
            <w:r>
              <w:rPr>
                <w:spacing w:val="4"/>
                <w:highlight w:val="none"/>
              </w:rPr>
              <w:t>采购人或招标代理机构将在开标</w:t>
            </w:r>
            <w:r>
              <w:rPr>
                <w:spacing w:val="5"/>
                <w:highlight w:val="none"/>
              </w:rPr>
              <w:t>后通过以上网站进行查询，信用信息查询记录和证据将同采购文件等资料一同归档保存（相关网站有最新规定</w:t>
            </w:r>
            <w:r>
              <w:rPr>
                <w:spacing w:val="-14"/>
                <w:highlight w:val="none"/>
              </w:rPr>
              <w:t>的，按最新规定执行</w:t>
            </w:r>
            <w:r>
              <w:rPr>
                <w:spacing w:val="-5"/>
                <w:highlight w:val="none"/>
              </w:rPr>
              <w:t>）；</w:t>
            </w:r>
          </w:p>
        </w:tc>
      </w:tr>
    </w:tbl>
    <w:p w14:paraId="4F66388D">
      <w:pPr>
        <w:rPr>
          <w:rFonts w:ascii="Arial" w:hAnsi="Arial" w:eastAsia="Arial" w:cs="Arial"/>
          <w:sz w:val="21"/>
          <w:szCs w:val="21"/>
          <w:highlight w:val="none"/>
        </w:rPr>
        <w:sectPr>
          <w:footerReference r:id="rId7" w:type="default"/>
          <w:pgSz w:w="11907" w:h="16839"/>
          <w:pgMar w:top="1431" w:right="1267" w:bottom="1159" w:left="1440" w:header="0" w:footer="959" w:gutter="0"/>
          <w:cols w:space="720" w:num="1"/>
        </w:sectPr>
      </w:pPr>
    </w:p>
    <w:p w14:paraId="7A974A8D">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65D17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14" w:type="dxa"/>
            <w:vAlign w:val="top"/>
          </w:tcPr>
          <w:p w14:paraId="3A2B86DB">
            <w:pPr>
              <w:pStyle w:val="24"/>
              <w:spacing w:before="117" w:line="239" w:lineRule="auto"/>
              <w:ind w:left="336"/>
              <w:rPr>
                <w:highlight w:val="none"/>
              </w:rPr>
            </w:pPr>
            <w:r>
              <w:rPr>
                <w:spacing w:val="-5"/>
                <w:highlight w:val="none"/>
              </w:rPr>
              <w:t>2.2</w:t>
            </w:r>
          </w:p>
        </w:tc>
        <w:tc>
          <w:tcPr>
            <w:tcW w:w="2083" w:type="dxa"/>
            <w:vAlign w:val="top"/>
          </w:tcPr>
          <w:p w14:paraId="261C8F01">
            <w:pPr>
              <w:pStyle w:val="24"/>
              <w:spacing w:before="117" w:line="220" w:lineRule="auto"/>
              <w:ind w:left="568"/>
              <w:rPr>
                <w:highlight w:val="none"/>
              </w:rPr>
            </w:pPr>
            <w:r>
              <w:rPr>
                <w:spacing w:val="-2"/>
                <w:highlight w:val="none"/>
              </w:rPr>
              <w:t>踏勘现场</w:t>
            </w:r>
          </w:p>
        </w:tc>
        <w:tc>
          <w:tcPr>
            <w:tcW w:w="6096" w:type="dxa"/>
            <w:vAlign w:val="top"/>
          </w:tcPr>
          <w:p w14:paraId="0639064D">
            <w:pPr>
              <w:pStyle w:val="24"/>
              <w:spacing w:before="171" w:line="222" w:lineRule="auto"/>
              <w:ind w:left="355"/>
              <w:rPr>
                <w:highlight w:val="none"/>
              </w:rPr>
            </w:pPr>
            <w:r>
              <w:rPr>
                <w:spacing w:val="-3"/>
                <w:highlight w:val="none"/>
              </w:rPr>
              <w:t>不组织</w:t>
            </w:r>
          </w:p>
        </w:tc>
      </w:tr>
      <w:tr w14:paraId="6C6A6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18C7A37F">
            <w:pPr>
              <w:pStyle w:val="24"/>
              <w:spacing w:before="112" w:line="239" w:lineRule="auto"/>
              <w:ind w:left="336"/>
              <w:rPr>
                <w:highlight w:val="none"/>
              </w:rPr>
            </w:pPr>
            <w:r>
              <w:rPr>
                <w:spacing w:val="-5"/>
                <w:highlight w:val="none"/>
              </w:rPr>
              <w:t>2.3</w:t>
            </w:r>
          </w:p>
        </w:tc>
        <w:tc>
          <w:tcPr>
            <w:tcW w:w="2083" w:type="dxa"/>
            <w:vAlign w:val="top"/>
          </w:tcPr>
          <w:p w14:paraId="7F52DA89">
            <w:pPr>
              <w:pStyle w:val="24"/>
              <w:spacing w:before="112" w:line="219" w:lineRule="auto"/>
              <w:ind w:left="449"/>
              <w:rPr>
                <w:highlight w:val="none"/>
              </w:rPr>
            </w:pPr>
            <w:r>
              <w:rPr>
                <w:spacing w:val="-2"/>
                <w:highlight w:val="none"/>
              </w:rPr>
              <w:t>投标预备会</w:t>
            </w:r>
          </w:p>
        </w:tc>
        <w:tc>
          <w:tcPr>
            <w:tcW w:w="6096" w:type="dxa"/>
            <w:vAlign w:val="top"/>
          </w:tcPr>
          <w:p w14:paraId="24EA27A6">
            <w:pPr>
              <w:pStyle w:val="24"/>
              <w:spacing w:before="165" w:line="221" w:lineRule="auto"/>
              <w:ind w:left="355"/>
              <w:rPr>
                <w:highlight w:val="none"/>
              </w:rPr>
            </w:pPr>
            <w:r>
              <w:rPr>
                <w:spacing w:val="-3"/>
                <w:highlight w:val="none"/>
              </w:rPr>
              <w:t>不召开</w:t>
            </w:r>
          </w:p>
        </w:tc>
      </w:tr>
      <w:tr w14:paraId="1DF9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1014" w:type="dxa"/>
            <w:vAlign w:val="top"/>
          </w:tcPr>
          <w:p w14:paraId="2914B63B">
            <w:pPr>
              <w:spacing w:line="358" w:lineRule="auto"/>
              <w:rPr>
                <w:rFonts w:ascii="Arial"/>
                <w:sz w:val="21"/>
                <w:highlight w:val="none"/>
              </w:rPr>
            </w:pPr>
          </w:p>
          <w:p w14:paraId="3E5446BA">
            <w:pPr>
              <w:spacing w:line="359" w:lineRule="auto"/>
              <w:rPr>
                <w:rFonts w:ascii="Arial"/>
                <w:sz w:val="21"/>
                <w:highlight w:val="none"/>
              </w:rPr>
            </w:pPr>
          </w:p>
          <w:p w14:paraId="74ABC41E">
            <w:pPr>
              <w:pStyle w:val="24"/>
              <w:spacing w:before="78" w:line="239" w:lineRule="auto"/>
              <w:ind w:left="336"/>
              <w:rPr>
                <w:highlight w:val="none"/>
              </w:rPr>
            </w:pPr>
            <w:r>
              <w:rPr>
                <w:spacing w:val="-5"/>
                <w:highlight w:val="none"/>
              </w:rPr>
              <w:t>2.4</w:t>
            </w:r>
          </w:p>
        </w:tc>
        <w:tc>
          <w:tcPr>
            <w:tcW w:w="2083" w:type="dxa"/>
            <w:vAlign w:val="top"/>
          </w:tcPr>
          <w:p w14:paraId="47826070">
            <w:pPr>
              <w:spacing w:line="256" w:lineRule="auto"/>
              <w:rPr>
                <w:rFonts w:ascii="Arial"/>
                <w:sz w:val="21"/>
                <w:highlight w:val="none"/>
              </w:rPr>
            </w:pPr>
          </w:p>
          <w:p w14:paraId="02210452">
            <w:pPr>
              <w:spacing w:line="257" w:lineRule="auto"/>
              <w:rPr>
                <w:rFonts w:ascii="Arial"/>
                <w:sz w:val="21"/>
                <w:highlight w:val="none"/>
              </w:rPr>
            </w:pPr>
          </w:p>
          <w:p w14:paraId="14A05C03">
            <w:pPr>
              <w:spacing w:line="257" w:lineRule="auto"/>
              <w:rPr>
                <w:rFonts w:ascii="Arial"/>
                <w:sz w:val="21"/>
                <w:highlight w:val="none"/>
              </w:rPr>
            </w:pPr>
          </w:p>
          <w:p w14:paraId="7009D289">
            <w:pPr>
              <w:pStyle w:val="24"/>
              <w:spacing w:before="78" w:line="220" w:lineRule="auto"/>
              <w:ind w:left="447"/>
              <w:rPr>
                <w:highlight w:val="none"/>
              </w:rPr>
            </w:pPr>
            <w:r>
              <w:rPr>
                <w:spacing w:val="-2"/>
                <w:highlight w:val="none"/>
              </w:rPr>
              <w:t>询问和质疑</w:t>
            </w:r>
          </w:p>
        </w:tc>
        <w:tc>
          <w:tcPr>
            <w:tcW w:w="6096" w:type="dxa"/>
            <w:vAlign w:val="top"/>
          </w:tcPr>
          <w:p w14:paraId="3E2CD723">
            <w:pPr>
              <w:pStyle w:val="24"/>
              <w:spacing w:before="160" w:line="322" w:lineRule="auto"/>
              <w:ind w:right="109"/>
              <w:jc w:val="both"/>
              <w:rPr>
                <w:highlight w:val="none"/>
              </w:rPr>
            </w:pPr>
            <w:r>
              <w:rPr>
                <w:spacing w:val="4"/>
                <w:highlight w:val="none"/>
              </w:rPr>
              <w:t>投标供应商如对招标文件有异议的，应在知道或者应知其权益受到损害之日起七个工作日内，向采购人或采购代理机构书面提出，否则，将被视为认可本招标文件</w:t>
            </w:r>
            <w:r>
              <w:rPr>
                <w:spacing w:val="-7"/>
                <w:highlight w:val="none"/>
              </w:rPr>
              <w:t>所有内容。</w:t>
            </w:r>
          </w:p>
        </w:tc>
      </w:tr>
      <w:tr w14:paraId="29B39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Align w:val="top"/>
          </w:tcPr>
          <w:p w14:paraId="42A536CA">
            <w:pPr>
              <w:spacing w:line="269" w:lineRule="auto"/>
              <w:rPr>
                <w:rFonts w:ascii="Arial"/>
                <w:sz w:val="21"/>
                <w:highlight w:val="none"/>
              </w:rPr>
            </w:pPr>
          </w:p>
          <w:p w14:paraId="25130551">
            <w:pPr>
              <w:pStyle w:val="24"/>
              <w:spacing w:before="78" w:line="239" w:lineRule="auto"/>
              <w:ind w:left="336"/>
              <w:rPr>
                <w:highlight w:val="none"/>
              </w:rPr>
            </w:pPr>
            <w:r>
              <w:rPr>
                <w:spacing w:val="-5"/>
                <w:highlight w:val="none"/>
              </w:rPr>
              <w:t>2.5</w:t>
            </w:r>
          </w:p>
        </w:tc>
        <w:tc>
          <w:tcPr>
            <w:tcW w:w="2083" w:type="dxa"/>
            <w:vAlign w:val="top"/>
          </w:tcPr>
          <w:p w14:paraId="2880638E">
            <w:pPr>
              <w:pStyle w:val="24"/>
              <w:spacing w:before="113" w:line="314" w:lineRule="auto"/>
              <w:ind w:left="706" w:right="200" w:hanging="500"/>
              <w:rPr>
                <w:highlight w:val="none"/>
              </w:rPr>
            </w:pPr>
            <w:r>
              <w:rPr>
                <w:spacing w:val="-2"/>
                <w:highlight w:val="none"/>
              </w:rPr>
              <w:t>采购人书面澄清</w:t>
            </w:r>
            <w:r>
              <w:rPr>
                <w:spacing w:val="-7"/>
                <w:highlight w:val="none"/>
              </w:rPr>
              <w:t>的时间</w:t>
            </w:r>
          </w:p>
        </w:tc>
        <w:tc>
          <w:tcPr>
            <w:tcW w:w="6096" w:type="dxa"/>
            <w:vAlign w:val="top"/>
          </w:tcPr>
          <w:p w14:paraId="3679C54B">
            <w:pPr>
              <w:spacing w:line="319" w:lineRule="auto"/>
              <w:rPr>
                <w:rFonts w:ascii="Arial"/>
                <w:sz w:val="21"/>
                <w:highlight w:val="none"/>
              </w:rPr>
            </w:pPr>
          </w:p>
          <w:p w14:paraId="75FA0B28">
            <w:pPr>
              <w:pStyle w:val="24"/>
              <w:spacing w:before="78" w:line="220" w:lineRule="auto"/>
              <w:ind w:left="354"/>
              <w:rPr>
                <w:highlight w:val="none"/>
              </w:rPr>
            </w:pPr>
            <w:r>
              <w:rPr>
                <w:spacing w:val="-11"/>
                <w:highlight w:val="none"/>
              </w:rPr>
              <w:t>投标截止</w:t>
            </w:r>
            <w:r>
              <w:rPr>
                <w:spacing w:val="-30"/>
                <w:highlight w:val="none"/>
              </w:rPr>
              <w:t xml:space="preserve"> </w:t>
            </w:r>
            <w:r>
              <w:rPr>
                <w:spacing w:val="-11"/>
                <w:highlight w:val="none"/>
              </w:rPr>
              <w:t>15 日前。</w:t>
            </w:r>
          </w:p>
        </w:tc>
      </w:tr>
      <w:tr w14:paraId="6CED5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14" w:type="dxa"/>
            <w:vAlign w:val="top"/>
          </w:tcPr>
          <w:p w14:paraId="318E239E">
            <w:pPr>
              <w:pStyle w:val="24"/>
              <w:spacing w:before="114" w:line="239" w:lineRule="auto"/>
              <w:ind w:left="336"/>
              <w:rPr>
                <w:highlight w:val="none"/>
              </w:rPr>
            </w:pPr>
            <w:r>
              <w:rPr>
                <w:spacing w:val="-5"/>
                <w:highlight w:val="none"/>
              </w:rPr>
              <w:t>2.6</w:t>
            </w:r>
          </w:p>
        </w:tc>
        <w:tc>
          <w:tcPr>
            <w:tcW w:w="2083" w:type="dxa"/>
            <w:vAlign w:val="top"/>
          </w:tcPr>
          <w:p w14:paraId="69816AE6">
            <w:pPr>
              <w:pStyle w:val="24"/>
              <w:spacing w:before="78" w:line="220" w:lineRule="auto"/>
              <w:ind w:left="354"/>
              <w:rPr>
                <w:spacing w:val="-11"/>
                <w:highlight w:val="none"/>
              </w:rPr>
            </w:pPr>
            <w:r>
              <w:rPr>
                <w:spacing w:val="-11"/>
                <w:highlight w:val="none"/>
              </w:rPr>
              <w:t>投标截止时间</w:t>
            </w:r>
          </w:p>
        </w:tc>
        <w:tc>
          <w:tcPr>
            <w:tcW w:w="6096" w:type="dxa"/>
            <w:vAlign w:val="top"/>
          </w:tcPr>
          <w:p w14:paraId="594F09C0">
            <w:pPr>
              <w:pStyle w:val="24"/>
              <w:spacing w:before="78" w:line="220" w:lineRule="auto"/>
              <w:ind w:left="354"/>
              <w:rPr>
                <w:spacing w:val="-11"/>
                <w:highlight w:val="none"/>
              </w:rPr>
            </w:pPr>
            <w:r>
              <w:rPr>
                <w:rFonts w:hint="eastAsia"/>
                <w:spacing w:val="-11"/>
                <w:highlight w:val="none"/>
                <w:lang w:val="en-US" w:eastAsia="zh-CN"/>
              </w:rPr>
              <w:t>2026</w:t>
            </w:r>
            <w:r>
              <w:rPr>
                <w:spacing w:val="-11"/>
                <w:highlight w:val="none"/>
              </w:rPr>
              <w:t xml:space="preserve"> 年</w:t>
            </w:r>
            <w:r>
              <w:rPr>
                <w:rFonts w:hint="eastAsia"/>
                <w:spacing w:val="-11"/>
                <w:highlight w:val="none"/>
                <w:lang w:val="en-US" w:eastAsia="zh-CN"/>
              </w:rPr>
              <w:t>6</w:t>
            </w:r>
            <w:r>
              <w:rPr>
                <w:spacing w:val="-11"/>
                <w:highlight w:val="none"/>
              </w:rPr>
              <w:t>月</w:t>
            </w:r>
            <w:r>
              <w:rPr>
                <w:rFonts w:hint="eastAsia"/>
                <w:spacing w:val="-11"/>
                <w:highlight w:val="none"/>
                <w:lang w:val="en-US" w:eastAsia="zh-CN"/>
              </w:rPr>
              <w:t>30</w:t>
            </w:r>
            <w:r>
              <w:rPr>
                <w:spacing w:val="-11"/>
                <w:highlight w:val="none"/>
              </w:rPr>
              <w:t>日</w:t>
            </w:r>
            <w:r>
              <w:rPr>
                <w:rFonts w:hint="eastAsia"/>
                <w:spacing w:val="-11"/>
                <w:highlight w:val="none"/>
                <w:lang w:val="en-US" w:eastAsia="zh-CN"/>
              </w:rPr>
              <w:t>0</w:t>
            </w:r>
            <w:r>
              <w:rPr>
                <w:spacing w:val="-11"/>
                <w:highlight w:val="none"/>
              </w:rPr>
              <w:t xml:space="preserve"> 8 时 </w:t>
            </w:r>
            <w:r>
              <w:rPr>
                <w:rFonts w:hint="eastAsia"/>
                <w:spacing w:val="-11"/>
                <w:highlight w:val="none"/>
                <w:lang w:val="en-US" w:eastAsia="zh-CN"/>
              </w:rPr>
              <w:t>20</w:t>
            </w:r>
            <w:r>
              <w:rPr>
                <w:spacing w:val="-11"/>
                <w:highlight w:val="none"/>
              </w:rPr>
              <w:t>分</w:t>
            </w:r>
          </w:p>
        </w:tc>
      </w:tr>
      <w:tr w14:paraId="77831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14" w:type="dxa"/>
            <w:vAlign w:val="top"/>
          </w:tcPr>
          <w:p w14:paraId="6965B8F3">
            <w:pPr>
              <w:pStyle w:val="24"/>
              <w:spacing w:before="116" w:line="239" w:lineRule="auto"/>
              <w:ind w:left="336"/>
              <w:rPr>
                <w:highlight w:val="none"/>
              </w:rPr>
            </w:pPr>
            <w:r>
              <w:rPr>
                <w:spacing w:val="-5"/>
                <w:highlight w:val="none"/>
              </w:rPr>
              <w:t>2.7</w:t>
            </w:r>
          </w:p>
        </w:tc>
        <w:tc>
          <w:tcPr>
            <w:tcW w:w="2083" w:type="dxa"/>
            <w:vAlign w:val="top"/>
          </w:tcPr>
          <w:p w14:paraId="0D59124E">
            <w:pPr>
              <w:pStyle w:val="24"/>
              <w:spacing w:before="117" w:line="220" w:lineRule="auto"/>
              <w:ind w:left="449"/>
              <w:rPr>
                <w:highlight w:val="none"/>
              </w:rPr>
            </w:pPr>
            <w:r>
              <w:rPr>
                <w:spacing w:val="-2"/>
                <w:highlight w:val="none"/>
              </w:rPr>
              <w:t>投标有效期</w:t>
            </w:r>
          </w:p>
        </w:tc>
        <w:tc>
          <w:tcPr>
            <w:tcW w:w="6096" w:type="dxa"/>
            <w:vAlign w:val="top"/>
          </w:tcPr>
          <w:p w14:paraId="31DF1729">
            <w:pPr>
              <w:pStyle w:val="24"/>
              <w:spacing w:before="166" w:line="220" w:lineRule="auto"/>
              <w:ind w:left="354"/>
              <w:rPr>
                <w:highlight w:val="none"/>
              </w:rPr>
            </w:pPr>
            <w:r>
              <w:rPr>
                <w:spacing w:val="-5"/>
                <w:highlight w:val="none"/>
              </w:rPr>
              <w:t>投标文件递交截止之日起</w:t>
            </w:r>
            <w:r>
              <w:rPr>
                <w:spacing w:val="-48"/>
                <w:highlight w:val="none"/>
              </w:rPr>
              <w:t xml:space="preserve"> </w:t>
            </w:r>
            <w:r>
              <w:rPr>
                <w:spacing w:val="-5"/>
                <w:highlight w:val="none"/>
              </w:rPr>
              <w:t>60 日历天</w:t>
            </w:r>
          </w:p>
        </w:tc>
      </w:tr>
      <w:tr w14:paraId="34EEF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014" w:type="dxa"/>
            <w:vAlign w:val="top"/>
          </w:tcPr>
          <w:p w14:paraId="3E3D0E0F">
            <w:pPr>
              <w:spacing w:line="346" w:lineRule="auto"/>
              <w:rPr>
                <w:rFonts w:ascii="Arial"/>
                <w:sz w:val="21"/>
                <w:highlight w:val="none"/>
              </w:rPr>
            </w:pPr>
          </w:p>
          <w:p w14:paraId="234C7087">
            <w:pPr>
              <w:pStyle w:val="24"/>
              <w:spacing w:before="78" w:line="239" w:lineRule="auto"/>
              <w:ind w:left="336"/>
              <w:rPr>
                <w:highlight w:val="none"/>
              </w:rPr>
            </w:pPr>
            <w:r>
              <w:rPr>
                <w:spacing w:val="-5"/>
                <w:highlight w:val="none"/>
              </w:rPr>
              <w:t>2.8</w:t>
            </w:r>
          </w:p>
        </w:tc>
        <w:tc>
          <w:tcPr>
            <w:tcW w:w="2083" w:type="dxa"/>
            <w:vAlign w:val="top"/>
          </w:tcPr>
          <w:p w14:paraId="5E51193D">
            <w:pPr>
              <w:pStyle w:val="24"/>
              <w:spacing w:before="193" w:line="344" w:lineRule="auto"/>
              <w:ind w:left="210" w:right="200" w:hanging="4"/>
              <w:rPr>
                <w:highlight w:val="none"/>
              </w:rPr>
            </w:pPr>
            <w:r>
              <w:rPr>
                <w:spacing w:val="-2"/>
                <w:highlight w:val="none"/>
              </w:rPr>
              <w:t>近年完成的类似项目的年份要求</w:t>
            </w:r>
          </w:p>
        </w:tc>
        <w:tc>
          <w:tcPr>
            <w:tcW w:w="6096" w:type="dxa"/>
            <w:vAlign w:val="top"/>
          </w:tcPr>
          <w:p w14:paraId="15784076">
            <w:pPr>
              <w:spacing w:line="345" w:lineRule="auto"/>
              <w:rPr>
                <w:rFonts w:ascii="Arial"/>
                <w:sz w:val="21"/>
                <w:highlight w:val="none"/>
              </w:rPr>
            </w:pPr>
          </w:p>
          <w:p w14:paraId="4CD65B52">
            <w:pPr>
              <w:pStyle w:val="24"/>
              <w:spacing w:before="78" w:line="220" w:lineRule="auto"/>
              <w:ind w:left="354"/>
              <w:rPr>
                <w:highlight w:val="none"/>
              </w:rPr>
            </w:pPr>
            <w:r>
              <w:rPr>
                <w:rFonts w:hint="eastAsia"/>
                <w:spacing w:val="-12"/>
                <w:highlight w:val="none"/>
                <w:lang w:eastAsia="zh-CN"/>
              </w:rPr>
              <w:t xml:space="preserve"> 2023</w:t>
            </w:r>
            <w:r>
              <w:rPr>
                <w:spacing w:val="-42"/>
                <w:highlight w:val="none"/>
              </w:rPr>
              <w:t xml:space="preserve"> </w:t>
            </w:r>
            <w:r>
              <w:rPr>
                <w:spacing w:val="-12"/>
                <w:highlight w:val="none"/>
              </w:rPr>
              <w:t>年</w:t>
            </w:r>
            <w:r>
              <w:rPr>
                <w:spacing w:val="-33"/>
                <w:highlight w:val="none"/>
              </w:rPr>
              <w:t xml:space="preserve"> </w:t>
            </w:r>
            <w:r>
              <w:rPr>
                <w:spacing w:val="-12"/>
                <w:highlight w:val="none"/>
              </w:rPr>
              <w:t>1</w:t>
            </w:r>
            <w:r>
              <w:rPr>
                <w:spacing w:val="-45"/>
                <w:highlight w:val="none"/>
              </w:rPr>
              <w:t xml:space="preserve"> </w:t>
            </w:r>
            <w:r>
              <w:rPr>
                <w:spacing w:val="-12"/>
                <w:highlight w:val="none"/>
              </w:rPr>
              <w:t>月</w:t>
            </w:r>
            <w:r>
              <w:rPr>
                <w:spacing w:val="-32"/>
                <w:highlight w:val="none"/>
              </w:rPr>
              <w:t xml:space="preserve"> </w:t>
            </w:r>
            <w:r>
              <w:rPr>
                <w:spacing w:val="-12"/>
                <w:highlight w:val="none"/>
              </w:rPr>
              <w:t>1 日以来</w:t>
            </w:r>
          </w:p>
        </w:tc>
      </w:tr>
      <w:tr w14:paraId="08EA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1C18D2B6">
            <w:pPr>
              <w:spacing w:line="251" w:lineRule="auto"/>
              <w:rPr>
                <w:rFonts w:ascii="Arial"/>
                <w:sz w:val="21"/>
                <w:highlight w:val="none"/>
              </w:rPr>
            </w:pPr>
          </w:p>
          <w:p w14:paraId="77B759AC">
            <w:pPr>
              <w:spacing w:line="251" w:lineRule="auto"/>
              <w:rPr>
                <w:rFonts w:ascii="Arial"/>
                <w:sz w:val="21"/>
                <w:highlight w:val="none"/>
              </w:rPr>
            </w:pPr>
          </w:p>
          <w:p w14:paraId="3D3C4456">
            <w:pPr>
              <w:pStyle w:val="24"/>
              <w:spacing w:before="78" w:line="239" w:lineRule="auto"/>
              <w:ind w:left="336"/>
              <w:rPr>
                <w:highlight w:val="none"/>
              </w:rPr>
            </w:pPr>
            <w:r>
              <w:rPr>
                <w:spacing w:val="-3"/>
                <w:highlight w:val="none"/>
              </w:rPr>
              <w:t>2.9</w:t>
            </w:r>
          </w:p>
        </w:tc>
        <w:tc>
          <w:tcPr>
            <w:tcW w:w="2083" w:type="dxa"/>
            <w:vAlign w:val="top"/>
          </w:tcPr>
          <w:p w14:paraId="170C77E0">
            <w:pPr>
              <w:spacing w:line="270" w:lineRule="auto"/>
              <w:rPr>
                <w:rFonts w:ascii="Arial"/>
                <w:sz w:val="21"/>
                <w:highlight w:val="none"/>
              </w:rPr>
            </w:pPr>
          </w:p>
          <w:p w14:paraId="788D3E33">
            <w:pPr>
              <w:pStyle w:val="24"/>
              <w:spacing w:before="78" w:line="363" w:lineRule="auto"/>
              <w:ind w:left="807" w:right="440" w:hanging="360"/>
              <w:rPr>
                <w:highlight w:val="none"/>
              </w:rPr>
            </w:pPr>
            <w:r>
              <w:rPr>
                <w:spacing w:val="-2"/>
                <w:highlight w:val="none"/>
              </w:rPr>
              <w:t>签字或盖章</w:t>
            </w:r>
            <w:r>
              <w:rPr>
                <w:spacing w:val="-3"/>
                <w:highlight w:val="none"/>
              </w:rPr>
              <w:t>要求</w:t>
            </w:r>
          </w:p>
        </w:tc>
        <w:tc>
          <w:tcPr>
            <w:tcW w:w="6096" w:type="dxa"/>
            <w:vAlign w:val="top"/>
          </w:tcPr>
          <w:p w14:paraId="18973F9C">
            <w:pPr>
              <w:pStyle w:val="24"/>
              <w:spacing w:before="114" w:line="329" w:lineRule="auto"/>
              <w:ind w:left="113" w:right="228" w:firstLine="239"/>
              <w:jc w:val="both"/>
              <w:rPr>
                <w:highlight w:val="none"/>
              </w:rPr>
            </w:pPr>
            <w:r>
              <w:rPr>
                <w:spacing w:val="-1"/>
                <w:highlight w:val="none"/>
              </w:rPr>
              <w:t>招标文件中要求投标供应商盖章的，以签盖单位章为准；要求法定代表人签章的，以签盖法定代表人章为</w:t>
            </w:r>
            <w:r>
              <w:rPr>
                <w:spacing w:val="-12"/>
                <w:highlight w:val="none"/>
              </w:rPr>
              <w:t>准。</w:t>
            </w:r>
          </w:p>
        </w:tc>
      </w:tr>
      <w:tr w14:paraId="72334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6" w:hRule="atLeast"/>
        </w:trPr>
        <w:tc>
          <w:tcPr>
            <w:tcW w:w="1014" w:type="dxa"/>
            <w:vAlign w:val="top"/>
          </w:tcPr>
          <w:p w14:paraId="37940DEF">
            <w:pPr>
              <w:spacing w:line="251" w:lineRule="auto"/>
              <w:rPr>
                <w:rFonts w:ascii="Arial"/>
                <w:sz w:val="21"/>
                <w:highlight w:val="none"/>
              </w:rPr>
            </w:pPr>
          </w:p>
          <w:p w14:paraId="41A6CAA7">
            <w:pPr>
              <w:spacing w:line="251" w:lineRule="auto"/>
              <w:rPr>
                <w:rFonts w:ascii="Arial"/>
                <w:sz w:val="21"/>
                <w:highlight w:val="none"/>
              </w:rPr>
            </w:pPr>
          </w:p>
          <w:p w14:paraId="32FA1CE9">
            <w:pPr>
              <w:spacing w:line="251" w:lineRule="auto"/>
              <w:rPr>
                <w:rFonts w:ascii="Arial"/>
                <w:sz w:val="21"/>
                <w:highlight w:val="none"/>
              </w:rPr>
            </w:pPr>
          </w:p>
          <w:p w14:paraId="13D97780">
            <w:pPr>
              <w:spacing w:line="251" w:lineRule="auto"/>
              <w:rPr>
                <w:rFonts w:ascii="Arial"/>
                <w:sz w:val="21"/>
                <w:highlight w:val="none"/>
              </w:rPr>
            </w:pPr>
          </w:p>
          <w:p w14:paraId="7529F96E">
            <w:pPr>
              <w:spacing w:line="251" w:lineRule="auto"/>
              <w:rPr>
                <w:rFonts w:ascii="Arial"/>
                <w:sz w:val="21"/>
                <w:highlight w:val="none"/>
              </w:rPr>
            </w:pPr>
          </w:p>
          <w:p w14:paraId="56916733">
            <w:pPr>
              <w:spacing w:line="251" w:lineRule="auto"/>
              <w:rPr>
                <w:rFonts w:ascii="Arial"/>
                <w:sz w:val="21"/>
                <w:highlight w:val="none"/>
              </w:rPr>
            </w:pPr>
          </w:p>
          <w:p w14:paraId="1C39EE36">
            <w:pPr>
              <w:spacing w:line="251" w:lineRule="auto"/>
              <w:rPr>
                <w:rFonts w:ascii="Arial"/>
                <w:sz w:val="21"/>
                <w:highlight w:val="none"/>
              </w:rPr>
            </w:pPr>
          </w:p>
          <w:p w14:paraId="6138F6AE">
            <w:pPr>
              <w:spacing w:line="251" w:lineRule="auto"/>
              <w:rPr>
                <w:rFonts w:ascii="Arial"/>
                <w:sz w:val="21"/>
                <w:highlight w:val="none"/>
              </w:rPr>
            </w:pPr>
          </w:p>
          <w:p w14:paraId="606852D2">
            <w:pPr>
              <w:spacing w:line="251" w:lineRule="auto"/>
              <w:rPr>
                <w:rFonts w:ascii="Arial"/>
                <w:sz w:val="21"/>
                <w:highlight w:val="none"/>
              </w:rPr>
            </w:pPr>
          </w:p>
          <w:p w14:paraId="2ACF9DDE">
            <w:pPr>
              <w:spacing w:line="252" w:lineRule="auto"/>
              <w:rPr>
                <w:rFonts w:ascii="Arial"/>
                <w:sz w:val="21"/>
                <w:highlight w:val="none"/>
              </w:rPr>
            </w:pPr>
          </w:p>
          <w:p w14:paraId="3A7BD9AB">
            <w:pPr>
              <w:spacing w:line="252" w:lineRule="auto"/>
              <w:rPr>
                <w:rFonts w:ascii="Arial"/>
                <w:sz w:val="21"/>
                <w:highlight w:val="none"/>
              </w:rPr>
            </w:pPr>
          </w:p>
          <w:p w14:paraId="3745EDFF">
            <w:pPr>
              <w:spacing w:line="252" w:lineRule="auto"/>
              <w:rPr>
                <w:rFonts w:ascii="Arial"/>
                <w:sz w:val="21"/>
                <w:highlight w:val="none"/>
              </w:rPr>
            </w:pPr>
          </w:p>
          <w:p w14:paraId="7B31E1AD">
            <w:pPr>
              <w:pStyle w:val="24"/>
              <w:spacing w:before="78" w:line="239" w:lineRule="auto"/>
              <w:ind w:left="337"/>
              <w:rPr>
                <w:highlight w:val="none"/>
              </w:rPr>
            </w:pPr>
            <w:r>
              <w:rPr>
                <w:spacing w:val="-4"/>
                <w:highlight w:val="none"/>
              </w:rPr>
              <w:t>3.0</w:t>
            </w:r>
          </w:p>
        </w:tc>
        <w:tc>
          <w:tcPr>
            <w:tcW w:w="2083" w:type="dxa"/>
            <w:vAlign w:val="top"/>
          </w:tcPr>
          <w:p w14:paraId="642A4DA0">
            <w:pPr>
              <w:spacing w:line="252" w:lineRule="auto"/>
              <w:rPr>
                <w:rFonts w:ascii="Arial"/>
                <w:sz w:val="21"/>
                <w:highlight w:val="none"/>
              </w:rPr>
            </w:pPr>
          </w:p>
          <w:p w14:paraId="5AB901CB">
            <w:pPr>
              <w:spacing w:line="252" w:lineRule="auto"/>
              <w:rPr>
                <w:rFonts w:ascii="Arial"/>
                <w:sz w:val="21"/>
                <w:highlight w:val="none"/>
              </w:rPr>
            </w:pPr>
          </w:p>
          <w:p w14:paraId="7351E6EC">
            <w:pPr>
              <w:spacing w:line="252" w:lineRule="auto"/>
              <w:rPr>
                <w:rFonts w:ascii="Arial"/>
                <w:sz w:val="21"/>
                <w:highlight w:val="none"/>
              </w:rPr>
            </w:pPr>
          </w:p>
          <w:p w14:paraId="708F86D3">
            <w:pPr>
              <w:spacing w:line="253" w:lineRule="auto"/>
              <w:rPr>
                <w:rFonts w:ascii="Arial"/>
                <w:sz w:val="21"/>
                <w:highlight w:val="none"/>
              </w:rPr>
            </w:pPr>
          </w:p>
          <w:p w14:paraId="3C67D4DC">
            <w:pPr>
              <w:spacing w:line="253" w:lineRule="auto"/>
              <w:rPr>
                <w:rFonts w:ascii="Arial"/>
                <w:sz w:val="21"/>
                <w:highlight w:val="none"/>
              </w:rPr>
            </w:pPr>
          </w:p>
          <w:p w14:paraId="7E254ABA">
            <w:pPr>
              <w:spacing w:line="253" w:lineRule="auto"/>
              <w:rPr>
                <w:rFonts w:ascii="Arial"/>
                <w:sz w:val="21"/>
                <w:highlight w:val="none"/>
              </w:rPr>
            </w:pPr>
          </w:p>
          <w:p w14:paraId="1409067F">
            <w:pPr>
              <w:spacing w:line="253" w:lineRule="auto"/>
              <w:rPr>
                <w:rFonts w:ascii="Arial"/>
                <w:sz w:val="21"/>
                <w:highlight w:val="none"/>
              </w:rPr>
            </w:pPr>
          </w:p>
          <w:p w14:paraId="6DD0C6F4">
            <w:pPr>
              <w:spacing w:line="253" w:lineRule="auto"/>
              <w:rPr>
                <w:rFonts w:ascii="Arial"/>
                <w:sz w:val="21"/>
                <w:highlight w:val="none"/>
              </w:rPr>
            </w:pPr>
          </w:p>
          <w:p w14:paraId="163C4498">
            <w:pPr>
              <w:spacing w:line="253" w:lineRule="auto"/>
              <w:rPr>
                <w:rFonts w:ascii="Arial"/>
                <w:sz w:val="21"/>
                <w:highlight w:val="none"/>
              </w:rPr>
            </w:pPr>
          </w:p>
          <w:p w14:paraId="4733EADE">
            <w:pPr>
              <w:spacing w:line="253" w:lineRule="auto"/>
              <w:rPr>
                <w:rFonts w:ascii="Arial"/>
                <w:sz w:val="21"/>
                <w:highlight w:val="none"/>
              </w:rPr>
            </w:pPr>
          </w:p>
          <w:p w14:paraId="5AFBF6FE">
            <w:pPr>
              <w:spacing w:line="253" w:lineRule="auto"/>
              <w:rPr>
                <w:rFonts w:ascii="Arial"/>
                <w:sz w:val="21"/>
                <w:highlight w:val="none"/>
              </w:rPr>
            </w:pPr>
          </w:p>
          <w:p w14:paraId="09FEDC6B">
            <w:pPr>
              <w:pStyle w:val="24"/>
              <w:spacing w:before="78" w:line="362" w:lineRule="auto"/>
              <w:ind w:left="808" w:right="200" w:hanging="573"/>
              <w:rPr>
                <w:highlight w:val="none"/>
              </w:rPr>
            </w:pPr>
            <w:r>
              <w:rPr>
                <w:spacing w:val="-6"/>
                <w:highlight w:val="none"/>
              </w:rPr>
              <w:t>电子化投标文件</w:t>
            </w:r>
            <w:r>
              <w:rPr>
                <w:spacing w:val="-3"/>
                <w:highlight w:val="none"/>
              </w:rPr>
              <w:t>上传</w:t>
            </w:r>
          </w:p>
        </w:tc>
        <w:tc>
          <w:tcPr>
            <w:tcW w:w="6096" w:type="dxa"/>
            <w:vAlign w:val="top"/>
          </w:tcPr>
          <w:p w14:paraId="7F1B329C">
            <w:pPr>
              <w:pStyle w:val="24"/>
              <w:spacing w:before="184" w:line="354" w:lineRule="auto"/>
              <w:ind w:left="109" w:right="109" w:firstLine="260"/>
              <w:rPr>
                <w:highlight w:val="none"/>
              </w:rPr>
            </w:pPr>
            <w:r>
              <w:rPr>
                <w:spacing w:val="3"/>
                <w:highlight w:val="none"/>
              </w:rPr>
              <w:t>1.投标供应商所上传的电子化投标文件，应是通过中</w:t>
            </w:r>
            <w:r>
              <w:rPr>
                <w:spacing w:val="4"/>
                <w:highlight w:val="none"/>
              </w:rPr>
              <w:t>心投标文件制作系统制作的（投标文件制作工具下载地</w:t>
            </w:r>
            <w:r>
              <w:rPr>
                <w:spacing w:val="-20"/>
                <w:highlight w:val="none"/>
              </w:rPr>
              <w:t>址</w:t>
            </w:r>
            <w:r>
              <w:rPr>
                <w:spacing w:val="1"/>
                <w:highlight w:val="none"/>
              </w:rPr>
              <w:t xml:space="preserve">                              </w:t>
            </w:r>
            <w:r>
              <w:rPr>
                <w:highlight w:val="none"/>
              </w:rPr>
              <w:t xml:space="preserve">               </w:t>
            </w:r>
            <w:r>
              <w:rPr>
                <w:spacing w:val="-20"/>
                <w:highlight w:val="none"/>
              </w:rPr>
              <w:t>：</w:t>
            </w:r>
            <w:r>
              <w:rPr>
                <w:spacing w:val="1"/>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https://download.bqpoint.com/download/do</w:t>
            </w:r>
            <w:r>
              <w:rPr>
                <w:spacing w:val="-1"/>
                <w:highlight w:val="none"/>
              </w:rPr>
              <w:t>wnloadde</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tail.html?SourceFrom=Ztb&amp;ZtbSoftXiaQuCode</w:t>
            </w:r>
            <w:r>
              <w:rPr>
                <w:spacing w:val="-1"/>
                <w:highlight w:val="none"/>
              </w:rPr>
              <w:t>=1506&amp;Z</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tbSoftType</w:t>
            </w:r>
            <w:r>
              <w:rPr>
                <w:spacing w:val="6"/>
                <w:highlight w:val="none"/>
              </w:rPr>
              <w:t>=</w:t>
            </w:r>
            <w:r>
              <w:rPr>
                <w:highlight w:val="none"/>
              </w:rPr>
              <w:t>tballinclusive</w:t>
            </w:r>
            <w:r>
              <w:rPr>
                <w:highlight w:val="none"/>
              </w:rPr>
              <w:fldChar w:fldCharType="end"/>
            </w:r>
            <w:r>
              <w:rPr>
                <w:spacing w:val="-39"/>
                <w:highlight w:val="none"/>
              </w:rPr>
              <w:t>），</w:t>
            </w:r>
            <w:r>
              <w:rPr>
                <w:spacing w:val="6"/>
                <w:highlight w:val="none"/>
              </w:rPr>
              <w:t>经过签章和加密后生成</w:t>
            </w:r>
            <w:r>
              <w:rPr>
                <w:spacing w:val="4"/>
                <w:highlight w:val="none"/>
              </w:rPr>
              <w:t>的电子版投标文件。其中包含用于投标文件上传的主文件（后缀为.</w:t>
            </w:r>
            <w:r>
              <w:rPr>
                <w:highlight w:val="none"/>
              </w:rPr>
              <w:t>smxtf</w:t>
            </w:r>
            <w:r>
              <w:rPr>
                <w:spacing w:val="4"/>
                <w:highlight w:val="none"/>
              </w:rPr>
              <w:t>）和用于应急补救的投标文件备份文</w:t>
            </w:r>
            <w:r>
              <w:rPr>
                <w:spacing w:val="-6"/>
                <w:highlight w:val="none"/>
              </w:rPr>
              <w:t>件（后缀为.nsmxtf）。</w:t>
            </w:r>
          </w:p>
          <w:p w14:paraId="7ED43FFD">
            <w:pPr>
              <w:pStyle w:val="24"/>
              <w:spacing w:line="336" w:lineRule="auto"/>
              <w:ind w:left="114" w:right="113" w:firstLine="240"/>
              <w:jc w:val="both"/>
              <w:rPr>
                <w:highlight w:val="none"/>
              </w:rPr>
            </w:pPr>
            <w:r>
              <w:rPr>
                <w:spacing w:val="4"/>
                <w:highlight w:val="none"/>
              </w:rPr>
              <w:t>2.电子化投标文件应在投标截止时间前成功上传至三</w:t>
            </w:r>
            <w:r>
              <w:rPr>
                <w:spacing w:val="2"/>
                <w:highlight w:val="none"/>
              </w:rPr>
              <w:t>门峡市公共资源电子化交易系统。至投标截止时间止，</w:t>
            </w:r>
            <w:r>
              <w:rPr>
                <w:spacing w:val="-3"/>
                <w:highlight w:val="none"/>
              </w:rPr>
              <w:t>仍未上传成功的电子化投标文件将不予接收。</w:t>
            </w:r>
          </w:p>
          <w:p w14:paraId="3F95C2F7">
            <w:pPr>
              <w:pStyle w:val="24"/>
              <w:spacing w:before="2" w:line="314" w:lineRule="auto"/>
              <w:ind w:left="112" w:right="228" w:firstLine="239"/>
              <w:rPr>
                <w:highlight w:val="none"/>
              </w:rPr>
            </w:pPr>
            <w:r>
              <w:rPr>
                <w:spacing w:val="-1"/>
                <w:highlight w:val="none"/>
              </w:rPr>
              <w:t>注：如按照电子化投标操作教材制作完成的电子化投标文件无法上传的，投标供应商应在投标截止时间前尽</w:t>
            </w:r>
          </w:p>
        </w:tc>
      </w:tr>
    </w:tbl>
    <w:p w14:paraId="5EC078A3">
      <w:pPr>
        <w:rPr>
          <w:rFonts w:ascii="Arial"/>
          <w:sz w:val="21"/>
          <w:highlight w:val="none"/>
        </w:rPr>
      </w:pPr>
    </w:p>
    <w:p w14:paraId="305A3C08">
      <w:pPr>
        <w:rPr>
          <w:rFonts w:ascii="Arial" w:hAnsi="Arial" w:eastAsia="Arial" w:cs="Arial"/>
          <w:sz w:val="21"/>
          <w:szCs w:val="21"/>
          <w:highlight w:val="none"/>
        </w:rPr>
        <w:sectPr>
          <w:footerReference r:id="rId8" w:type="default"/>
          <w:pgSz w:w="11907" w:h="16839"/>
          <w:pgMar w:top="1431" w:right="1267" w:bottom="1159" w:left="1440" w:header="0" w:footer="959" w:gutter="0"/>
          <w:cols w:space="720" w:num="1"/>
        </w:sectPr>
      </w:pPr>
    </w:p>
    <w:p w14:paraId="1A76920B">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2EFF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1014" w:type="dxa"/>
            <w:vAlign w:val="top"/>
          </w:tcPr>
          <w:p w14:paraId="201B612A">
            <w:pPr>
              <w:rPr>
                <w:rFonts w:ascii="Arial"/>
                <w:sz w:val="21"/>
                <w:highlight w:val="none"/>
              </w:rPr>
            </w:pPr>
          </w:p>
        </w:tc>
        <w:tc>
          <w:tcPr>
            <w:tcW w:w="2083" w:type="dxa"/>
            <w:vAlign w:val="top"/>
          </w:tcPr>
          <w:p w14:paraId="6EBDA48C">
            <w:pPr>
              <w:rPr>
                <w:rFonts w:ascii="Arial"/>
                <w:sz w:val="21"/>
                <w:highlight w:val="none"/>
              </w:rPr>
            </w:pPr>
          </w:p>
        </w:tc>
        <w:tc>
          <w:tcPr>
            <w:tcW w:w="6096" w:type="dxa"/>
            <w:vAlign w:val="top"/>
          </w:tcPr>
          <w:p w14:paraId="20FE253D">
            <w:pPr>
              <w:pStyle w:val="24"/>
              <w:spacing w:before="118" w:line="337" w:lineRule="auto"/>
              <w:ind w:left="112" w:right="228"/>
              <w:rPr>
                <w:highlight w:val="none"/>
              </w:rPr>
            </w:pPr>
            <w:r>
              <w:rPr>
                <w:spacing w:val="-1"/>
                <w:highlight w:val="none"/>
              </w:rPr>
              <w:t>早的联系中心技术人员，以便有充分的时间进行处理。投标供应商应充分考虑到处理技术问题和上传数据等工作所需的时间问题，投标文件未在投标截止时间前成功</w:t>
            </w:r>
            <w:r>
              <w:rPr>
                <w:spacing w:val="-3"/>
                <w:highlight w:val="none"/>
              </w:rPr>
              <w:t>上传的，其投标文件不予接收。</w:t>
            </w:r>
          </w:p>
        </w:tc>
      </w:tr>
      <w:tr w14:paraId="416A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0D43AB3">
            <w:pPr>
              <w:pStyle w:val="24"/>
              <w:spacing w:before="113" w:line="239" w:lineRule="auto"/>
              <w:ind w:left="337"/>
              <w:rPr>
                <w:highlight w:val="none"/>
              </w:rPr>
            </w:pPr>
            <w:r>
              <w:rPr>
                <w:spacing w:val="-4"/>
                <w:highlight w:val="none"/>
              </w:rPr>
              <w:t>3.1</w:t>
            </w:r>
          </w:p>
        </w:tc>
        <w:tc>
          <w:tcPr>
            <w:tcW w:w="2083" w:type="dxa"/>
            <w:vAlign w:val="top"/>
          </w:tcPr>
          <w:p w14:paraId="6D123B74">
            <w:pPr>
              <w:pStyle w:val="24"/>
              <w:spacing w:before="113" w:line="220" w:lineRule="auto"/>
              <w:ind w:left="567"/>
              <w:rPr>
                <w:rFonts w:hint="default" w:eastAsia="宋体"/>
                <w:highlight w:val="none"/>
                <w:lang w:val="en-US" w:eastAsia="zh-CN"/>
              </w:rPr>
            </w:pPr>
            <w:r>
              <w:rPr>
                <w:rFonts w:hint="eastAsia"/>
                <w:highlight w:val="none"/>
                <w:lang w:val="en-US" w:eastAsia="zh-CN"/>
              </w:rPr>
              <w:t>是否允许分包</w:t>
            </w:r>
          </w:p>
        </w:tc>
        <w:tc>
          <w:tcPr>
            <w:tcW w:w="6096" w:type="dxa"/>
            <w:vAlign w:val="top"/>
          </w:tcPr>
          <w:p w14:paraId="7240DEAA">
            <w:pPr>
              <w:pStyle w:val="24"/>
              <w:spacing w:before="113" w:line="218" w:lineRule="auto"/>
              <w:ind w:left="372"/>
              <w:rPr>
                <w:rFonts w:hint="eastAsia" w:eastAsia="宋体"/>
                <w:highlight w:val="none"/>
                <w:lang w:val="en-US" w:eastAsia="zh-CN"/>
              </w:rPr>
            </w:pPr>
            <w:r>
              <w:rPr>
                <w:rFonts w:hint="eastAsia"/>
                <w:highlight w:val="none"/>
                <w:lang w:val="en-US" w:eastAsia="zh-CN"/>
              </w:rPr>
              <w:t>不允许</w:t>
            </w:r>
          </w:p>
        </w:tc>
      </w:tr>
      <w:tr w14:paraId="6A9A0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Align w:val="top"/>
          </w:tcPr>
          <w:p w14:paraId="69AB1529">
            <w:pPr>
              <w:spacing w:line="269" w:lineRule="auto"/>
              <w:rPr>
                <w:rFonts w:ascii="Arial"/>
                <w:sz w:val="21"/>
                <w:highlight w:val="none"/>
              </w:rPr>
            </w:pPr>
          </w:p>
          <w:p w14:paraId="6F627041">
            <w:pPr>
              <w:pStyle w:val="24"/>
              <w:spacing w:before="78" w:line="239" w:lineRule="auto"/>
              <w:ind w:left="337"/>
              <w:rPr>
                <w:highlight w:val="none"/>
              </w:rPr>
            </w:pPr>
            <w:r>
              <w:rPr>
                <w:spacing w:val="-4"/>
                <w:highlight w:val="none"/>
              </w:rPr>
              <w:t>3.2</w:t>
            </w:r>
          </w:p>
        </w:tc>
        <w:tc>
          <w:tcPr>
            <w:tcW w:w="2083" w:type="dxa"/>
            <w:vAlign w:val="top"/>
          </w:tcPr>
          <w:p w14:paraId="57F6D9B3">
            <w:pPr>
              <w:pStyle w:val="24"/>
              <w:spacing w:before="118" w:line="337" w:lineRule="auto"/>
              <w:ind w:left="112" w:right="228"/>
              <w:rPr>
                <w:spacing w:val="-1"/>
                <w:highlight w:val="none"/>
              </w:rPr>
            </w:pPr>
            <w:r>
              <w:rPr>
                <w:spacing w:val="-1"/>
                <w:highlight w:val="none"/>
              </w:rPr>
              <w:t>开标时间和地点</w:t>
            </w:r>
          </w:p>
        </w:tc>
        <w:tc>
          <w:tcPr>
            <w:tcW w:w="6096" w:type="dxa"/>
            <w:vAlign w:val="top"/>
          </w:tcPr>
          <w:p w14:paraId="4E106E60">
            <w:pPr>
              <w:pStyle w:val="24"/>
              <w:spacing w:before="118" w:line="337" w:lineRule="auto"/>
              <w:ind w:left="112" w:right="228"/>
              <w:rPr>
                <w:spacing w:val="-1"/>
                <w:highlight w:val="none"/>
              </w:rPr>
            </w:pPr>
            <w:r>
              <w:rPr>
                <w:spacing w:val="-1"/>
                <w:highlight w:val="none"/>
              </w:rPr>
              <w:t>时间：</w:t>
            </w:r>
            <w:r>
              <w:rPr>
                <w:rFonts w:hint="eastAsia"/>
                <w:spacing w:val="-1"/>
                <w:highlight w:val="none"/>
                <w:lang w:val="en-US" w:eastAsia="zh-CN"/>
              </w:rPr>
              <w:t>2026</w:t>
            </w:r>
            <w:r>
              <w:rPr>
                <w:spacing w:val="-1"/>
                <w:highlight w:val="none"/>
              </w:rPr>
              <w:t>年</w:t>
            </w:r>
            <w:r>
              <w:rPr>
                <w:rFonts w:hint="eastAsia"/>
                <w:spacing w:val="-1"/>
                <w:highlight w:val="none"/>
                <w:lang w:val="en-US" w:eastAsia="zh-CN"/>
              </w:rPr>
              <w:t>6</w:t>
            </w:r>
            <w:r>
              <w:rPr>
                <w:spacing w:val="-1"/>
                <w:highlight w:val="none"/>
              </w:rPr>
              <w:t>月</w:t>
            </w:r>
            <w:r>
              <w:rPr>
                <w:rFonts w:hint="eastAsia"/>
                <w:spacing w:val="-1"/>
                <w:highlight w:val="none"/>
                <w:lang w:val="en-US" w:eastAsia="zh-CN"/>
              </w:rPr>
              <w:t>30</w:t>
            </w:r>
            <w:r>
              <w:rPr>
                <w:spacing w:val="-1"/>
                <w:highlight w:val="none"/>
              </w:rPr>
              <w:t>日</w:t>
            </w:r>
            <w:r>
              <w:rPr>
                <w:rFonts w:hint="eastAsia"/>
                <w:spacing w:val="-1"/>
                <w:highlight w:val="none"/>
                <w:lang w:val="en-US" w:eastAsia="zh-CN"/>
              </w:rPr>
              <w:t>08时20分</w:t>
            </w:r>
          </w:p>
          <w:p w14:paraId="11E1F730">
            <w:pPr>
              <w:pStyle w:val="24"/>
              <w:spacing w:before="118" w:line="337" w:lineRule="auto"/>
              <w:ind w:left="112" w:right="228"/>
              <w:rPr>
                <w:spacing w:val="-1"/>
                <w:highlight w:val="none"/>
              </w:rPr>
            </w:pPr>
            <w:r>
              <w:rPr>
                <w:spacing w:val="-1"/>
                <w:highlight w:val="none"/>
              </w:rPr>
              <w:t>地点：三门峡市</w:t>
            </w:r>
            <w:r>
              <w:rPr>
                <w:rFonts w:hint="eastAsia"/>
                <w:spacing w:val="-1"/>
                <w:highlight w:val="none"/>
                <w:lang w:val="en-US" w:eastAsia="zh-CN"/>
              </w:rPr>
              <w:t>陕州区</w:t>
            </w:r>
            <w:r>
              <w:rPr>
                <w:spacing w:val="-1"/>
                <w:highlight w:val="none"/>
              </w:rPr>
              <w:t>公共资源交易中心</w:t>
            </w:r>
          </w:p>
        </w:tc>
      </w:tr>
      <w:tr w14:paraId="71D4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14" w:type="dxa"/>
            <w:vAlign w:val="top"/>
          </w:tcPr>
          <w:p w14:paraId="775C5DDA">
            <w:pPr>
              <w:pStyle w:val="24"/>
              <w:spacing w:before="117" w:line="239" w:lineRule="auto"/>
              <w:ind w:left="337"/>
              <w:rPr>
                <w:highlight w:val="none"/>
              </w:rPr>
            </w:pPr>
            <w:r>
              <w:rPr>
                <w:spacing w:val="-4"/>
                <w:highlight w:val="none"/>
              </w:rPr>
              <w:t>3.3</w:t>
            </w:r>
          </w:p>
        </w:tc>
        <w:tc>
          <w:tcPr>
            <w:tcW w:w="2083" w:type="dxa"/>
            <w:vAlign w:val="top"/>
          </w:tcPr>
          <w:p w14:paraId="087627E6">
            <w:pPr>
              <w:pStyle w:val="24"/>
              <w:spacing w:before="117" w:line="220" w:lineRule="auto"/>
              <w:ind w:left="568"/>
              <w:rPr>
                <w:highlight w:val="none"/>
              </w:rPr>
            </w:pPr>
            <w:r>
              <w:rPr>
                <w:spacing w:val="-2"/>
                <w:highlight w:val="none"/>
              </w:rPr>
              <w:t>开标顺序</w:t>
            </w:r>
          </w:p>
        </w:tc>
        <w:tc>
          <w:tcPr>
            <w:tcW w:w="6096" w:type="dxa"/>
            <w:vAlign w:val="top"/>
          </w:tcPr>
          <w:p w14:paraId="026DB48D">
            <w:pPr>
              <w:pStyle w:val="24"/>
              <w:spacing w:before="116" w:line="219" w:lineRule="auto"/>
              <w:ind w:left="353"/>
              <w:rPr>
                <w:highlight w:val="none"/>
              </w:rPr>
            </w:pPr>
            <w:r>
              <w:rPr>
                <w:spacing w:val="-3"/>
                <w:highlight w:val="none"/>
              </w:rPr>
              <w:t>按电子化投标文件上传的先后时间顺序开标。</w:t>
            </w:r>
          </w:p>
        </w:tc>
      </w:tr>
      <w:tr w14:paraId="3E52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014" w:type="dxa"/>
            <w:vAlign w:val="top"/>
          </w:tcPr>
          <w:p w14:paraId="7878FFC4">
            <w:pPr>
              <w:spacing w:line="251" w:lineRule="auto"/>
              <w:rPr>
                <w:rFonts w:ascii="Arial"/>
                <w:sz w:val="21"/>
                <w:highlight w:val="none"/>
              </w:rPr>
            </w:pPr>
          </w:p>
          <w:p w14:paraId="04E4BC90">
            <w:pPr>
              <w:spacing w:line="251" w:lineRule="auto"/>
              <w:rPr>
                <w:rFonts w:ascii="Arial"/>
                <w:sz w:val="21"/>
                <w:highlight w:val="none"/>
              </w:rPr>
            </w:pPr>
          </w:p>
          <w:p w14:paraId="17A7A28F">
            <w:pPr>
              <w:pStyle w:val="24"/>
              <w:spacing w:before="78" w:line="239" w:lineRule="auto"/>
              <w:ind w:left="337"/>
              <w:rPr>
                <w:highlight w:val="none"/>
              </w:rPr>
            </w:pPr>
            <w:r>
              <w:rPr>
                <w:spacing w:val="-4"/>
                <w:highlight w:val="none"/>
              </w:rPr>
              <w:t>3.4</w:t>
            </w:r>
          </w:p>
        </w:tc>
        <w:tc>
          <w:tcPr>
            <w:tcW w:w="2083" w:type="dxa"/>
            <w:vAlign w:val="top"/>
          </w:tcPr>
          <w:p w14:paraId="6EC4D4E8">
            <w:pPr>
              <w:spacing w:line="268" w:lineRule="auto"/>
              <w:rPr>
                <w:rFonts w:ascii="Arial"/>
                <w:sz w:val="21"/>
                <w:highlight w:val="none"/>
              </w:rPr>
            </w:pPr>
          </w:p>
          <w:p w14:paraId="342C79E2">
            <w:pPr>
              <w:pStyle w:val="24"/>
              <w:spacing w:before="78" w:line="363" w:lineRule="auto"/>
              <w:ind w:left="706" w:right="440" w:hanging="260"/>
              <w:rPr>
                <w:highlight w:val="none"/>
              </w:rPr>
            </w:pPr>
            <w:r>
              <w:rPr>
                <w:spacing w:val="-2"/>
                <w:highlight w:val="none"/>
              </w:rPr>
              <w:t>评标委员会</w:t>
            </w:r>
            <w:r>
              <w:rPr>
                <w:spacing w:val="-7"/>
                <w:highlight w:val="none"/>
              </w:rPr>
              <w:t>的组建</w:t>
            </w:r>
          </w:p>
        </w:tc>
        <w:tc>
          <w:tcPr>
            <w:tcW w:w="6096" w:type="dxa"/>
            <w:vAlign w:val="top"/>
          </w:tcPr>
          <w:p w14:paraId="718BA226">
            <w:pPr>
              <w:pStyle w:val="24"/>
              <w:spacing w:before="115" w:line="329" w:lineRule="auto"/>
              <w:ind w:right="118"/>
              <w:jc w:val="both"/>
              <w:rPr>
                <w:highlight w:val="none"/>
              </w:rPr>
            </w:pPr>
            <w:r>
              <w:rPr>
                <w:spacing w:val="-3"/>
                <w:highlight w:val="none"/>
              </w:rPr>
              <w:t>评标委员会成员为</w:t>
            </w:r>
            <w:r>
              <w:rPr>
                <w:spacing w:val="-37"/>
                <w:highlight w:val="none"/>
              </w:rPr>
              <w:t xml:space="preserve"> </w:t>
            </w:r>
            <w:r>
              <w:rPr>
                <w:rFonts w:hint="eastAsia"/>
                <w:spacing w:val="-3"/>
                <w:highlight w:val="none"/>
                <w:lang w:val="en-US" w:eastAsia="zh-CN"/>
              </w:rPr>
              <w:t>7</w:t>
            </w:r>
            <w:r>
              <w:rPr>
                <w:spacing w:val="-3"/>
                <w:highlight w:val="none"/>
              </w:rPr>
              <w:t>人，评审</w:t>
            </w:r>
            <w:r>
              <w:rPr>
                <w:spacing w:val="-7"/>
                <w:highlight w:val="none"/>
              </w:rPr>
              <w:t>专家</w:t>
            </w:r>
            <w:r>
              <w:rPr>
                <w:rFonts w:hint="eastAsia"/>
                <w:spacing w:val="-36"/>
                <w:highlight w:val="none"/>
                <w:lang w:val="en-US" w:eastAsia="zh-CN"/>
              </w:rPr>
              <w:t>全部</w:t>
            </w:r>
            <w:r>
              <w:rPr>
                <w:spacing w:val="-7"/>
                <w:highlight w:val="none"/>
              </w:rPr>
              <w:t>从河南省政府采购评标专家库中随机抽取。</w:t>
            </w:r>
          </w:p>
        </w:tc>
      </w:tr>
      <w:tr w14:paraId="4D3E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178E9871">
            <w:pPr>
              <w:spacing w:line="250" w:lineRule="auto"/>
              <w:rPr>
                <w:rFonts w:ascii="Arial"/>
                <w:sz w:val="21"/>
                <w:highlight w:val="none"/>
              </w:rPr>
            </w:pPr>
          </w:p>
          <w:p w14:paraId="04F33889">
            <w:pPr>
              <w:spacing w:line="251" w:lineRule="auto"/>
              <w:rPr>
                <w:rFonts w:ascii="Arial"/>
                <w:sz w:val="21"/>
                <w:highlight w:val="none"/>
              </w:rPr>
            </w:pPr>
          </w:p>
          <w:p w14:paraId="43A3615C">
            <w:pPr>
              <w:pStyle w:val="24"/>
              <w:spacing w:before="78" w:line="239" w:lineRule="auto"/>
              <w:ind w:left="337"/>
              <w:rPr>
                <w:highlight w:val="none"/>
              </w:rPr>
            </w:pPr>
            <w:r>
              <w:rPr>
                <w:spacing w:val="-4"/>
                <w:highlight w:val="none"/>
              </w:rPr>
              <w:t>3.5</w:t>
            </w:r>
          </w:p>
        </w:tc>
        <w:tc>
          <w:tcPr>
            <w:tcW w:w="2083" w:type="dxa"/>
            <w:vAlign w:val="top"/>
          </w:tcPr>
          <w:p w14:paraId="77664986">
            <w:pPr>
              <w:pStyle w:val="24"/>
              <w:spacing w:before="114" w:line="220" w:lineRule="auto"/>
              <w:ind w:left="210"/>
              <w:rPr>
                <w:highlight w:val="none"/>
              </w:rPr>
            </w:pPr>
            <w:r>
              <w:rPr>
                <w:spacing w:val="-2"/>
                <w:highlight w:val="none"/>
              </w:rPr>
              <w:t>是否授权评标委</w:t>
            </w:r>
          </w:p>
          <w:p w14:paraId="2FCC285F">
            <w:pPr>
              <w:pStyle w:val="24"/>
              <w:spacing w:before="182" w:line="219" w:lineRule="auto"/>
              <w:ind w:left="216"/>
              <w:rPr>
                <w:highlight w:val="none"/>
              </w:rPr>
            </w:pPr>
            <w:r>
              <w:rPr>
                <w:spacing w:val="-3"/>
                <w:highlight w:val="none"/>
              </w:rPr>
              <w:t>员会确定中标供</w:t>
            </w:r>
          </w:p>
          <w:p w14:paraId="7AA71F7E">
            <w:pPr>
              <w:pStyle w:val="24"/>
              <w:spacing w:before="183" w:line="220" w:lineRule="auto"/>
              <w:ind w:left="807"/>
              <w:rPr>
                <w:highlight w:val="none"/>
              </w:rPr>
            </w:pPr>
            <w:r>
              <w:rPr>
                <w:spacing w:val="-3"/>
                <w:highlight w:val="none"/>
              </w:rPr>
              <w:t>应商</w:t>
            </w:r>
          </w:p>
        </w:tc>
        <w:tc>
          <w:tcPr>
            <w:tcW w:w="6096" w:type="dxa"/>
            <w:vAlign w:val="top"/>
          </w:tcPr>
          <w:p w14:paraId="3CA6C659">
            <w:pPr>
              <w:spacing w:line="250" w:lineRule="auto"/>
              <w:rPr>
                <w:rFonts w:ascii="Arial"/>
                <w:sz w:val="21"/>
                <w:highlight w:val="none"/>
              </w:rPr>
            </w:pPr>
          </w:p>
          <w:p w14:paraId="6E73F960">
            <w:pPr>
              <w:spacing w:line="251" w:lineRule="auto"/>
              <w:rPr>
                <w:rFonts w:ascii="Arial"/>
                <w:sz w:val="21"/>
                <w:highlight w:val="none"/>
              </w:rPr>
            </w:pPr>
          </w:p>
          <w:p w14:paraId="1DA30153">
            <w:pPr>
              <w:pStyle w:val="24"/>
              <w:spacing w:before="78" w:line="219" w:lineRule="auto"/>
              <w:ind w:left="119"/>
              <w:rPr>
                <w:highlight w:val="none"/>
              </w:rPr>
            </w:pPr>
            <w:r>
              <w:rPr>
                <w:spacing w:val="-1"/>
                <w:highlight w:val="none"/>
              </w:rPr>
              <w:t>否，按顺序每标段推荐的中标候选人数：3</w:t>
            </w:r>
            <w:r>
              <w:rPr>
                <w:spacing w:val="-45"/>
                <w:highlight w:val="none"/>
              </w:rPr>
              <w:t xml:space="preserve"> </w:t>
            </w:r>
            <w:r>
              <w:rPr>
                <w:spacing w:val="-1"/>
                <w:highlight w:val="none"/>
              </w:rPr>
              <w:t>名</w:t>
            </w:r>
          </w:p>
        </w:tc>
      </w:tr>
      <w:tr w14:paraId="1081B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4BA5F294">
            <w:pPr>
              <w:spacing w:line="251" w:lineRule="auto"/>
              <w:rPr>
                <w:rFonts w:ascii="Arial"/>
                <w:sz w:val="21"/>
                <w:highlight w:val="none"/>
              </w:rPr>
            </w:pPr>
          </w:p>
          <w:p w14:paraId="2645DFAC">
            <w:pPr>
              <w:spacing w:line="251" w:lineRule="auto"/>
              <w:rPr>
                <w:rFonts w:ascii="Arial"/>
                <w:sz w:val="21"/>
                <w:highlight w:val="none"/>
              </w:rPr>
            </w:pPr>
          </w:p>
          <w:p w14:paraId="1A78205B">
            <w:pPr>
              <w:pStyle w:val="24"/>
              <w:spacing w:before="78" w:line="239" w:lineRule="auto"/>
              <w:ind w:left="337"/>
              <w:rPr>
                <w:highlight w:val="none"/>
              </w:rPr>
            </w:pPr>
            <w:r>
              <w:rPr>
                <w:spacing w:val="-4"/>
                <w:highlight w:val="none"/>
              </w:rPr>
              <w:t>3.6</w:t>
            </w:r>
          </w:p>
        </w:tc>
        <w:tc>
          <w:tcPr>
            <w:tcW w:w="2083" w:type="dxa"/>
            <w:vAlign w:val="top"/>
          </w:tcPr>
          <w:p w14:paraId="35136415">
            <w:pPr>
              <w:spacing w:line="250" w:lineRule="auto"/>
              <w:rPr>
                <w:rFonts w:ascii="Arial"/>
                <w:sz w:val="21"/>
                <w:highlight w:val="none"/>
              </w:rPr>
            </w:pPr>
          </w:p>
          <w:p w14:paraId="4BB72657">
            <w:pPr>
              <w:spacing w:line="251" w:lineRule="auto"/>
              <w:rPr>
                <w:rFonts w:ascii="Arial"/>
                <w:sz w:val="21"/>
                <w:highlight w:val="none"/>
              </w:rPr>
            </w:pPr>
          </w:p>
          <w:p w14:paraId="18B96B33">
            <w:pPr>
              <w:pStyle w:val="24"/>
              <w:spacing w:before="78" w:line="220" w:lineRule="auto"/>
              <w:ind w:left="567"/>
              <w:rPr>
                <w:highlight w:val="none"/>
              </w:rPr>
            </w:pPr>
            <w:r>
              <w:rPr>
                <w:spacing w:val="-2"/>
                <w:highlight w:val="none"/>
              </w:rPr>
              <w:t>付款方式</w:t>
            </w:r>
          </w:p>
        </w:tc>
        <w:tc>
          <w:tcPr>
            <w:tcW w:w="6096" w:type="dxa"/>
            <w:vAlign w:val="top"/>
          </w:tcPr>
          <w:p w14:paraId="7A97BA72">
            <w:pPr>
              <w:pStyle w:val="24"/>
              <w:spacing w:before="114" w:line="329" w:lineRule="auto"/>
              <w:ind w:left="113" w:right="107" w:firstLine="1"/>
              <w:rPr>
                <w:rFonts w:hint="eastAsia"/>
                <w:highlight w:val="none"/>
                <w:lang w:val="en-US" w:eastAsia="zh-CN"/>
              </w:rPr>
            </w:pPr>
            <w:r>
              <w:rPr>
                <w:rFonts w:hint="eastAsia"/>
                <w:highlight w:val="none"/>
                <w:lang w:val="en-US" w:eastAsia="zh-CN"/>
              </w:rPr>
              <w:t>分期付款：</w:t>
            </w:r>
          </w:p>
          <w:p w14:paraId="37DA7AE1">
            <w:pPr>
              <w:pStyle w:val="24"/>
              <w:spacing w:before="114" w:line="329" w:lineRule="auto"/>
              <w:ind w:left="113" w:right="107" w:firstLine="1"/>
              <w:rPr>
                <w:rFonts w:hint="default" w:eastAsia="宋体"/>
                <w:highlight w:val="none"/>
                <w:lang w:val="en-US" w:eastAsia="zh-CN"/>
              </w:rPr>
            </w:pPr>
            <w:r>
              <w:rPr>
                <w:rFonts w:hint="eastAsia"/>
                <w:highlight w:val="none"/>
                <w:lang w:val="en-US" w:eastAsia="zh-CN"/>
              </w:rPr>
              <w:t>1、A包项目分五年结清，第一年付20%，第二年付20%，第三年付30%，第四年付20%，第五年付10%；2、B包、C包、D包分四年结清，第一年付20%，第二年付30%，第三年付30%，第四年付20%。</w:t>
            </w:r>
          </w:p>
        </w:tc>
      </w:tr>
      <w:tr w14:paraId="4045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008E4BFD">
            <w:pPr>
              <w:spacing w:line="251" w:lineRule="auto"/>
              <w:rPr>
                <w:rFonts w:ascii="Arial"/>
                <w:sz w:val="21"/>
                <w:highlight w:val="none"/>
              </w:rPr>
            </w:pPr>
          </w:p>
          <w:p w14:paraId="0E606A6F">
            <w:pPr>
              <w:spacing w:line="252" w:lineRule="auto"/>
              <w:rPr>
                <w:rFonts w:ascii="Arial"/>
                <w:sz w:val="21"/>
                <w:highlight w:val="none"/>
              </w:rPr>
            </w:pPr>
          </w:p>
          <w:p w14:paraId="49005C6A">
            <w:pPr>
              <w:pStyle w:val="24"/>
              <w:spacing w:before="78" w:line="239" w:lineRule="auto"/>
              <w:ind w:left="337"/>
              <w:rPr>
                <w:highlight w:val="none"/>
              </w:rPr>
            </w:pPr>
            <w:r>
              <w:rPr>
                <w:spacing w:val="-4"/>
                <w:highlight w:val="none"/>
              </w:rPr>
              <w:t>3.7</w:t>
            </w:r>
          </w:p>
        </w:tc>
        <w:tc>
          <w:tcPr>
            <w:tcW w:w="2083" w:type="dxa"/>
            <w:vAlign w:val="top"/>
          </w:tcPr>
          <w:p w14:paraId="31D49D3C">
            <w:pPr>
              <w:spacing w:line="251" w:lineRule="auto"/>
              <w:rPr>
                <w:rFonts w:ascii="Arial"/>
                <w:sz w:val="21"/>
                <w:highlight w:val="none"/>
              </w:rPr>
            </w:pPr>
          </w:p>
          <w:p w14:paraId="13B58C5A">
            <w:pPr>
              <w:spacing w:line="252" w:lineRule="auto"/>
              <w:rPr>
                <w:rFonts w:ascii="Arial"/>
                <w:sz w:val="21"/>
                <w:highlight w:val="none"/>
              </w:rPr>
            </w:pPr>
          </w:p>
          <w:p w14:paraId="1BC7E7B5">
            <w:pPr>
              <w:pStyle w:val="24"/>
              <w:spacing w:before="78" w:line="220" w:lineRule="auto"/>
              <w:ind w:left="450"/>
              <w:rPr>
                <w:highlight w:val="none"/>
              </w:rPr>
            </w:pPr>
            <w:r>
              <w:rPr>
                <w:spacing w:val="-3"/>
                <w:highlight w:val="none"/>
              </w:rPr>
              <w:t>履约保证金</w:t>
            </w:r>
          </w:p>
        </w:tc>
        <w:tc>
          <w:tcPr>
            <w:tcW w:w="6096" w:type="dxa"/>
            <w:vAlign w:val="top"/>
          </w:tcPr>
          <w:p w14:paraId="6A8F82C7">
            <w:pPr>
              <w:pStyle w:val="24"/>
              <w:spacing w:before="114" w:line="329" w:lineRule="auto"/>
              <w:ind w:left="111" w:right="107" w:firstLine="240"/>
              <w:jc w:val="both"/>
              <w:rPr>
                <w:highlight w:val="none"/>
              </w:rPr>
            </w:pPr>
            <w:r>
              <w:rPr>
                <w:spacing w:val="4"/>
                <w:highlight w:val="none"/>
              </w:rPr>
              <w:t>本项目不收取履约保证金。如供应商违反政府采购合同约定给采购人造成损失的,采购人按照合同约定,要求</w:t>
            </w:r>
            <w:r>
              <w:rPr>
                <w:spacing w:val="-4"/>
                <w:highlight w:val="none"/>
              </w:rPr>
              <w:t>供应商承担赔偿责任。</w:t>
            </w:r>
          </w:p>
        </w:tc>
      </w:tr>
      <w:tr w14:paraId="54033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3" w:hRule="atLeast"/>
        </w:trPr>
        <w:tc>
          <w:tcPr>
            <w:tcW w:w="1014" w:type="dxa"/>
            <w:vAlign w:val="top"/>
          </w:tcPr>
          <w:p w14:paraId="51B772C4">
            <w:pPr>
              <w:spacing w:line="318" w:lineRule="auto"/>
              <w:rPr>
                <w:rFonts w:ascii="Arial"/>
                <w:sz w:val="21"/>
                <w:highlight w:val="none"/>
              </w:rPr>
            </w:pPr>
          </w:p>
          <w:p w14:paraId="094DD476">
            <w:pPr>
              <w:spacing w:line="318" w:lineRule="auto"/>
              <w:rPr>
                <w:rFonts w:ascii="Arial"/>
                <w:sz w:val="21"/>
                <w:highlight w:val="none"/>
              </w:rPr>
            </w:pPr>
          </w:p>
          <w:p w14:paraId="265F16E9">
            <w:pPr>
              <w:spacing w:line="318" w:lineRule="auto"/>
              <w:rPr>
                <w:rFonts w:ascii="Arial"/>
                <w:sz w:val="21"/>
                <w:highlight w:val="none"/>
              </w:rPr>
            </w:pPr>
          </w:p>
          <w:p w14:paraId="73B73FB8">
            <w:pPr>
              <w:pStyle w:val="24"/>
              <w:spacing w:before="78" w:line="239" w:lineRule="auto"/>
              <w:ind w:left="337"/>
              <w:rPr>
                <w:highlight w:val="none"/>
              </w:rPr>
            </w:pPr>
            <w:r>
              <w:rPr>
                <w:spacing w:val="-5"/>
                <w:highlight w:val="none"/>
              </w:rPr>
              <w:t>3.8</w:t>
            </w:r>
          </w:p>
        </w:tc>
        <w:tc>
          <w:tcPr>
            <w:tcW w:w="2083" w:type="dxa"/>
            <w:vAlign w:val="top"/>
          </w:tcPr>
          <w:p w14:paraId="0D3CF748">
            <w:pPr>
              <w:spacing w:line="318" w:lineRule="auto"/>
              <w:rPr>
                <w:rFonts w:ascii="Arial"/>
                <w:sz w:val="21"/>
                <w:highlight w:val="none"/>
              </w:rPr>
            </w:pPr>
          </w:p>
          <w:p w14:paraId="10AB0FC2">
            <w:pPr>
              <w:spacing w:line="318" w:lineRule="auto"/>
              <w:rPr>
                <w:rFonts w:ascii="Arial"/>
                <w:sz w:val="21"/>
                <w:highlight w:val="none"/>
              </w:rPr>
            </w:pPr>
          </w:p>
          <w:p w14:paraId="5B33A412">
            <w:pPr>
              <w:spacing w:line="318" w:lineRule="auto"/>
              <w:rPr>
                <w:rFonts w:ascii="Arial"/>
                <w:sz w:val="21"/>
                <w:highlight w:val="none"/>
              </w:rPr>
            </w:pPr>
          </w:p>
          <w:p w14:paraId="6F98904F">
            <w:pPr>
              <w:pStyle w:val="24"/>
              <w:spacing w:before="78" w:line="220" w:lineRule="auto"/>
              <w:ind w:left="448"/>
              <w:rPr>
                <w:highlight w:val="none"/>
              </w:rPr>
            </w:pPr>
            <w:r>
              <w:rPr>
                <w:spacing w:val="-2"/>
                <w:highlight w:val="none"/>
              </w:rPr>
              <w:t>无效标条件</w:t>
            </w:r>
          </w:p>
        </w:tc>
        <w:tc>
          <w:tcPr>
            <w:tcW w:w="6096" w:type="dxa"/>
            <w:vAlign w:val="top"/>
          </w:tcPr>
          <w:p w14:paraId="3BB2DA1B">
            <w:pPr>
              <w:pStyle w:val="24"/>
              <w:spacing w:before="164" w:line="219" w:lineRule="auto"/>
              <w:ind w:left="369"/>
              <w:rPr>
                <w:highlight w:val="none"/>
              </w:rPr>
            </w:pPr>
            <w:r>
              <w:rPr>
                <w:spacing w:val="-4"/>
                <w:highlight w:val="none"/>
              </w:rPr>
              <w:t>1.电子化投标文件附有采购人不能接受的条件的；</w:t>
            </w:r>
          </w:p>
          <w:p w14:paraId="10B22CE0">
            <w:pPr>
              <w:pStyle w:val="24"/>
              <w:spacing w:before="176" w:line="218" w:lineRule="auto"/>
              <w:ind w:left="354"/>
              <w:rPr>
                <w:highlight w:val="none"/>
              </w:rPr>
            </w:pPr>
            <w:r>
              <w:rPr>
                <w:spacing w:val="-4"/>
                <w:highlight w:val="none"/>
              </w:rPr>
              <w:t>2.投标报价高于招标文件中投标最高限价的；</w:t>
            </w:r>
          </w:p>
          <w:p w14:paraId="6BD87C4A">
            <w:pPr>
              <w:pStyle w:val="24"/>
              <w:spacing w:before="178" w:line="335" w:lineRule="auto"/>
              <w:ind w:left="112" w:right="113" w:firstLine="243"/>
              <w:rPr>
                <w:highlight w:val="none"/>
              </w:rPr>
            </w:pPr>
            <w:r>
              <w:rPr>
                <w:spacing w:val="4"/>
                <w:highlight w:val="none"/>
              </w:rPr>
              <w:t>3.以他人的名义投标、串通投标、以行贿手段谋取中</w:t>
            </w:r>
            <w:r>
              <w:rPr>
                <w:spacing w:val="-3"/>
                <w:highlight w:val="none"/>
              </w:rPr>
              <w:t>标或者以其他弄虚作假方式投标的；</w:t>
            </w:r>
          </w:p>
          <w:p w14:paraId="26056E1D">
            <w:pPr>
              <w:pStyle w:val="24"/>
              <w:spacing w:before="1" w:line="218" w:lineRule="auto"/>
              <w:ind w:left="350"/>
              <w:rPr>
                <w:highlight w:val="none"/>
              </w:rPr>
            </w:pPr>
            <w:r>
              <w:rPr>
                <w:spacing w:val="-3"/>
                <w:highlight w:val="none"/>
              </w:rPr>
              <w:t>4.采取不正当手段谋取中标的。</w:t>
            </w:r>
          </w:p>
        </w:tc>
      </w:tr>
      <w:tr w14:paraId="3A45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1014" w:type="dxa"/>
            <w:vAlign w:val="top"/>
          </w:tcPr>
          <w:p w14:paraId="380024EF">
            <w:pPr>
              <w:spacing w:line="246" w:lineRule="auto"/>
              <w:rPr>
                <w:rFonts w:ascii="Arial"/>
                <w:sz w:val="21"/>
                <w:highlight w:val="none"/>
              </w:rPr>
            </w:pPr>
          </w:p>
          <w:p w14:paraId="434EB4BC">
            <w:pPr>
              <w:spacing w:line="246" w:lineRule="auto"/>
              <w:rPr>
                <w:rFonts w:ascii="Arial"/>
                <w:sz w:val="21"/>
                <w:highlight w:val="none"/>
              </w:rPr>
            </w:pPr>
          </w:p>
          <w:p w14:paraId="1B282403">
            <w:pPr>
              <w:spacing w:line="246" w:lineRule="auto"/>
              <w:rPr>
                <w:rFonts w:ascii="Arial"/>
                <w:sz w:val="21"/>
                <w:highlight w:val="none"/>
              </w:rPr>
            </w:pPr>
          </w:p>
          <w:p w14:paraId="7BAD07D5">
            <w:pPr>
              <w:pStyle w:val="24"/>
              <w:spacing w:before="78" w:line="239" w:lineRule="auto"/>
              <w:ind w:left="337"/>
              <w:rPr>
                <w:highlight w:val="none"/>
              </w:rPr>
            </w:pPr>
            <w:r>
              <w:rPr>
                <w:spacing w:val="-4"/>
                <w:highlight w:val="none"/>
              </w:rPr>
              <w:t>3.9</w:t>
            </w:r>
          </w:p>
        </w:tc>
        <w:tc>
          <w:tcPr>
            <w:tcW w:w="2083" w:type="dxa"/>
            <w:vAlign w:val="top"/>
          </w:tcPr>
          <w:p w14:paraId="3B0D836B">
            <w:pPr>
              <w:spacing w:line="246" w:lineRule="auto"/>
              <w:rPr>
                <w:rFonts w:ascii="Arial"/>
                <w:sz w:val="21"/>
                <w:highlight w:val="none"/>
              </w:rPr>
            </w:pPr>
          </w:p>
          <w:p w14:paraId="2CA3D7C3">
            <w:pPr>
              <w:spacing w:line="246" w:lineRule="auto"/>
              <w:rPr>
                <w:rFonts w:ascii="Arial"/>
                <w:sz w:val="21"/>
                <w:highlight w:val="none"/>
              </w:rPr>
            </w:pPr>
          </w:p>
          <w:p w14:paraId="6101B2E9">
            <w:pPr>
              <w:spacing w:line="246" w:lineRule="auto"/>
              <w:rPr>
                <w:rFonts w:ascii="Arial"/>
                <w:sz w:val="21"/>
                <w:highlight w:val="none"/>
              </w:rPr>
            </w:pPr>
          </w:p>
          <w:p w14:paraId="6FB73003">
            <w:pPr>
              <w:pStyle w:val="24"/>
              <w:spacing w:before="78" w:line="218" w:lineRule="auto"/>
              <w:ind w:left="329"/>
              <w:rPr>
                <w:highlight w:val="none"/>
              </w:rPr>
            </w:pPr>
            <w:r>
              <w:rPr>
                <w:spacing w:val="-2"/>
                <w:highlight w:val="none"/>
              </w:rPr>
              <w:t>投标最高限价</w:t>
            </w:r>
          </w:p>
        </w:tc>
        <w:tc>
          <w:tcPr>
            <w:tcW w:w="6096" w:type="dxa"/>
            <w:vAlign w:val="top"/>
          </w:tcPr>
          <w:p w14:paraId="6E3E2B5B">
            <w:pPr>
              <w:pStyle w:val="24"/>
              <w:spacing w:before="118" w:line="218" w:lineRule="auto"/>
              <w:ind w:left="352"/>
              <w:rPr>
                <w:highlight w:val="none"/>
              </w:rPr>
            </w:pPr>
            <w:r>
              <w:rPr>
                <w:spacing w:val="-6"/>
                <w:highlight w:val="none"/>
              </w:rPr>
              <w:t>本项目投标最高限价：</w:t>
            </w:r>
          </w:p>
          <w:p w14:paraId="7087804B">
            <w:pPr>
              <w:pStyle w:val="24"/>
              <w:spacing w:line="218" w:lineRule="auto"/>
              <w:ind w:left="356"/>
              <w:rPr>
                <w:highlight w:val="none"/>
              </w:rPr>
            </w:pPr>
            <w:r>
              <w:rPr>
                <w:spacing w:val="5"/>
                <w:highlight w:val="none"/>
              </w:rPr>
              <w:t>A 包：</w:t>
            </w:r>
            <w:r>
              <w:rPr>
                <w:rFonts w:hint="eastAsia"/>
                <w:spacing w:val="5"/>
                <w:highlight w:val="none"/>
                <w:lang w:val="en-US" w:eastAsia="zh-CN"/>
              </w:rPr>
              <w:t>18550000.00</w:t>
            </w:r>
            <w:r>
              <w:rPr>
                <w:spacing w:val="5"/>
                <w:highlight w:val="none"/>
              </w:rPr>
              <w:t>元；B 包：</w:t>
            </w:r>
            <w:r>
              <w:rPr>
                <w:rFonts w:hint="eastAsia"/>
                <w:spacing w:val="5"/>
                <w:highlight w:val="none"/>
                <w:lang w:val="en-US" w:eastAsia="zh-CN"/>
              </w:rPr>
              <w:t>5200000.00</w:t>
            </w:r>
            <w:r>
              <w:rPr>
                <w:spacing w:val="5"/>
                <w:highlight w:val="none"/>
              </w:rPr>
              <w:t>元；C 包：</w:t>
            </w:r>
            <w:r>
              <w:rPr>
                <w:rFonts w:hint="eastAsia"/>
                <w:spacing w:val="5"/>
                <w:highlight w:val="none"/>
                <w:lang w:val="en-US" w:eastAsia="zh-CN"/>
              </w:rPr>
              <w:t>1700000.00</w:t>
            </w:r>
            <w:r>
              <w:rPr>
                <w:spacing w:val="5"/>
                <w:highlight w:val="none"/>
              </w:rPr>
              <w:t>元；D 包：</w:t>
            </w:r>
            <w:r>
              <w:rPr>
                <w:rFonts w:hint="eastAsia"/>
                <w:spacing w:val="5"/>
                <w:highlight w:val="none"/>
                <w:lang w:val="en-US" w:eastAsia="zh-CN"/>
              </w:rPr>
              <w:t>2330000.00</w:t>
            </w:r>
            <w:r>
              <w:rPr>
                <w:spacing w:val="5"/>
                <w:highlight w:val="none"/>
              </w:rPr>
              <w:t>元。凡投标供应商投标报价超出“投标最高限价”</w:t>
            </w:r>
            <w:r>
              <w:rPr>
                <w:spacing w:val="4"/>
                <w:highlight w:val="none"/>
              </w:rPr>
              <w:t>的，该</w:t>
            </w:r>
            <w:r>
              <w:rPr>
                <w:spacing w:val="-3"/>
                <w:highlight w:val="none"/>
              </w:rPr>
              <w:t>投标供应商的电子化投标文件应作无效标处理。</w:t>
            </w:r>
          </w:p>
        </w:tc>
      </w:tr>
    </w:tbl>
    <w:p w14:paraId="61D7596E">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72"/>
        <w:gridCol w:w="6107"/>
      </w:tblGrid>
      <w:tr w14:paraId="171C1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0" w:hRule="atLeast"/>
        </w:trPr>
        <w:tc>
          <w:tcPr>
            <w:tcW w:w="1014" w:type="dxa"/>
            <w:vAlign w:val="top"/>
          </w:tcPr>
          <w:p w14:paraId="2F77407F">
            <w:pPr>
              <w:spacing w:line="254" w:lineRule="auto"/>
              <w:rPr>
                <w:rFonts w:ascii="Arial"/>
                <w:sz w:val="21"/>
                <w:highlight w:val="none"/>
              </w:rPr>
            </w:pPr>
          </w:p>
          <w:p w14:paraId="3927883A">
            <w:pPr>
              <w:spacing w:line="255" w:lineRule="auto"/>
              <w:rPr>
                <w:rFonts w:ascii="Arial"/>
                <w:sz w:val="21"/>
                <w:highlight w:val="none"/>
              </w:rPr>
            </w:pPr>
          </w:p>
          <w:p w14:paraId="021E30B4">
            <w:pPr>
              <w:spacing w:line="255" w:lineRule="auto"/>
              <w:rPr>
                <w:rFonts w:ascii="Arial"/>
                <w:sz w:val="21"/>
                <w:highlight w:val="none"/>
              </w:rPr>
            </w:pPr>
          </w:p>
          <w:p w14:paraId="48F3D15A">
            <w:pPr>
              <w:spacing w:line="255" w:lineRule="auto"/>
              <w:rPr>
                <w:rFonts w:ascii="Arial"/>
                <w:sz w:val="21"/>
                <w:highlight w:val="none"/>
              </w:rPr>
            </w:pPr>
          </w:p>
          <w:p w14:paraId="709DAD93">
            <w:pPr>
              <w:spacing w:line="255" w:lineRule="auto"/>
              <w:rPr>
                <w:rFonts w:ascii="Arial"/>
                <w:sz w:val="21"/>
                <w:highlight w:val="none"/>
              </w:rPr>
            </w:pPr>
          </w:p>
          <w:p w14:paraId="7755B3B9">
            <w:pPr>
              <w:spacing w:line="255" w:lineRule="auto"/>
              <w:rPr>
                <w:rFonts w:ascii="Arial"/>
                <w:sz w:val="21"/>
                <w:highlight w:val="none"/>
              </w:rPr>
            </w:pPr>
          </w:p>
          <w:p w14:paraId="336FBC20">
            <w:pPr>
              <w:spacing w:line="255" w:lineRule="auto"/>
              <w:rPr>
                <w:rFonts w:ascii="Arial"/>
                <w:sz w:val="21"/>
                <w:highlight w:val="none"/>
              </w:rPr>
            </w:pPr>
          </w:p>
          <w:p w14:paraId="33C12F68">
            <w:pPr>
              <w:spacing w:line="255" w:lineRule="auto"/>
              <w:rPr>
                <w:rFonts w:ascii="Arial"/>
                <w:sz w:val="21"/>
                <w:highlight w:val="none"/>
              </w:rPr>
            </w:pPr>
          </w:p>
          <w:p w14:paraId="201C4497">
            <w:pPr>
              <w:spacing w:line="255" w:lineRule="auto"/>
              <w:rPr>
                <w:rFonts w:ascii="Arial"/>
                <w:sz w:val="21"/>
                <w:highlight w:val="none"/>
              </w:rPr>
            </w:pPr>
          </w:p>
          <w:p w14:paraId="6850BC24">
            <w:pPr>
              <w:spacing w:line="255" w:lineRule="auto"/>
              <w:rPr>
                <w:rFonts w:ascii="Arial"/>
                <w:sz w:val="21"/>
                <w:highlight w:val="none"/>
              </w:rPr>
            </w:pPr>
          </w:p>
          <w:p w14:paraId="0DF151F1">
            <w:pPr>
              <w:spacing w:line="255" w:lineRule="auto"/>
              <w:rPr>
                <w:rFonts w:ascii="Arial"/>
                <w:sz w:val="21"/>
                <w:highlight w:val="none"/>
              </w:rPr>
            </w:pPr>
          </w:p>
          <w:p w14:paraId="2B40F535">
            <w:pPr>
              <w:spacing w:line="255" w:lineRule="auto"/>
              <w:rPr>
                <w:rFonts w:ascii="Arial"/>
                <w:sz w:val="21"/>
                <w:highlight w:val="none"/>
              </w:rPr>
            </w:pPr>
          </w:p>
          <w:p w14:paraId="4F6E6601">
            <w:pPr>
              <w:pStyle w:val="24"/>
              <w:spacing w:before="78" w:line="239" w:lineRule="auto"/>
              <w:ind w:left="332"/>
              <w:rPr>
                <w:highlight w:val="none"/>
              </w:rPr>
            </w:pPr>
            <w:r>
              <w:rPr>
                <w:spacing w:val="-2"/>
                <w:highlight w:val="none"/>
              </w:rPr>
              <w:t>4.0</w:t>
            </w:r>
          </w:p>
        </w:tc>
        <w:tc>
          <w:tcPr>
            <w:tcW w:w="2072" w:type="dxa"/>
            <w:vAlign w:val="top"/>
          </w:tcPr>
          <w:p w14:paraId="0B79C5A1">
            <w:pPr>
              <w:spacing w:line="255" w:lineRule="auto"/>
              <w:rPr>
                <w:rFonts w:ascii="Arial"/>
                <w:sz w:val="21"/>
                <w:highlight w:val="none"/>
              </w:rPr>
            </w:pPr>
          </w:p>
          <w:p w14:paraId="4345CD61">
            <w:pPr>
              <w:spacing w:line="255" w:lineRule="auto"/>
              <w:rPr>
                <w:rFonts w:ascii="Arial"/>
                <w:sz w:val="21"/>
                <w:highlight w:val="none"/>
              </w:rPr>
            </w:pPr>
          </w:p>
          <w:p w14:paraId="499C44EC">
            <w:pPr>
              <w:spacing w:line="255" w:lineRule="auto"/>
              <w:rPr>
                <w:rFonts w:ascii="Arial"/>
                <w:sz w:val="21"/>
                <w:highlight w:val="none"/>
              </w:rPr>
            </w:pPr>
          </w:p>
          <w:p w14:paraId="22FE7AE4">
            <w:pPr>
              <w:spacing w:line="255" w:lineRule="auto"/>
              <w:rPr>
                <w:rFonts w:ascii="Arial"/>
                <w:sz w:val="21"/>
                <w:highlight w:val="none"/>
              </w:rPr>
            </w:pPr>
          </w:p>
          <w:p w14:paraId="5F50062C">
            <w:pPr>
              <w:spacing w:line="255" w:lineRule="auto"/>
              <w:rPr>
                <w:rFonts w:ascii="Arial"/>
                <w:sz w:val="21"/>
                <w:highlight w:val="none"/>
              </w:rPr>
            </w:pPr>
          </w:p>
          <w:p w14:paraId="5FED4B59">
            <w:pPr>
              <w:spacing w:line="255" w:lineRule="auto"/>
              <w:rPr>
                <w:rFonts w:ascii="Arial"/>
                <w:sz w:val="21"/>
                <w:highlight w:val="none"/>
              </w:rPr>
            </w:pPr>
          </w:p>
          <w:p w14:paraId="197CF341">
            <w:pPr>
              <w:spacing w:line="255" w:lineRule="auto"/>
              <w:rPr>
                <w:rFonts w:ascii="Arial"/>
                <w:sz w:val="21"/>
                <w:highlight w:val="none"/>
              </w:rPr>
            </w:pPr>
          </w:p>
          <w:p w14:paraId="71705181">
            <w:pPr>
              <w:spacing w:line="255" w:lineRule="auto"/>
              <w:rPr>
                <w:rFonts w:ascii="Arial"/>
                <w:sz w:val="21"/>
                <w:highlight w:val="none"/>
              </w:rPr>
            </w:pPr>
          </w:p>
          <w:p w14:paraId="7CE4FA5B">
            <w:pPr>
              <w:spacing w:line="255" w:lineRule="auto"/>
              <w:rPr>
                <w:rFonts w:ascii="Arial"/>
                <w:sz w:val="21"/>
                <w:highlight w:val="none"/>
              </w:rPr>
            </w:pPr>
          </w:p>
          <w:p w14:paraId="118A4F63">
            <w:pPr>
              <w:spacing w:line="255" w:lineRule="auto"/>
              <w:rPr>
                <w:rFonts w:ascii="Arial"/>
                <w:sz w:val="21"/>
                <w:highlight w:val="none"/>
              </w:rPr>
            </w:pPr>
          </w:p>
          <w:p w14:paraId="19A47004">
            <w:pPr>
              <w:spacing w:line="255" w:lineRule="auto"/>
              <w:rPr>
                <w:rFonts w:ascii="Arial"/>
                <w:sz w:val="21"/>
                <w:highlight w:val="none"/>
              </w:rPr>
            </w:pPr>
          </w:p>
          <w:p w14:paraId="2635748D">
            <w:pPr>
              <w:spacing w:line="255" w:lineRule="auto"/>
              <w:rPr>
                <w:rFonts w:ascii="Arial"/>
                <w:sz w:val="21"/>
                <w:highlight w:val="none"/>
              </w:rPr>
            </w:pPr>
          </w:p>
          <w:p w14:paraId="1887AD70">
            <w:pPr>
              <w:pStyle w:val="24"/>
              <w:spacing w:before="78" w:line="220" w:lineRule="auto"/>
              <w:ind w:left="808"/>
              <w:rPr>
                <w:highlight w:val="none"/>
              </w:rPr>
            </w:pPr>
            <w:r>
              <w:rPr>
                <w:spacing w:val="-3"/>
                <w:highlight w:val="none"/>
              </w:rPr>
              <w:t>其他</w:t>
            </w:r>
          </w:p>
        </w:tc>
        <w:tc>
          <w:tcPr>
            <w:tcW w:w="6107" w:type="dxa"/>
            <w:vAlign w:val="top"/>
          </w:tcPr>
          <w:p w14:paraId="2ABD95F7">
            <w:pPr>
              <w:pStyle w:val="24"/>
              <w:spacing w:before="113" w:line="360" w:lineRule="auto"/>
              <w:ind w:left="110" w:right="109" w:firstLine="258"/>
              <w:rPr>
                <w:highlight w:val="none"/>
              </w:rPr>
            </w:pPr>
            <w:r>
              <w:rPr>
                <w:spacing w:val="3"/>
                <w:highlight w:val="none"/>
              </w:rPr>
              <w:t>1.本项目实行资格后审，审查内容以投标文件为准，</w:t>
            </w:r>
            <w:r>
              <w:rPr>
                <w:spacing w:val="4"/>
                <w:highlight w:val="none"/>
              </w:rPr>
              <w:t>其上传资料真实性由供应商自行承担。</w:t>
            </w:r>
          </w:p>
          <w:p w14:paraId="4D97398A">
            <w:pPr>
              <w:pStyle w:val="24"/>
              <w:spacing w:line="360" w:lineRule="auto"/>
              <w:ind w:left="109" w:right="107" w:firstLine="244"/>
              <w:rPr>
                <w:highlight w:val="none"/>
              </w:rPr>
            </w:pPr>
            <w:r>
              <w:rPr>
                <w:spacing w:val="-1"/>
                <w:highlight w:val="none"/>
              </w:rPr>
              <w:t>2.评标打分部分：评标打分部分仍按照 100 分制原则</w:t>
            </w:r>
            <w:r>
              <w:rPr>
                <w:spacing w:val="4"/>
                <w:highlight w:val="none"/>
              </w:rPr>
              <w:t>进行，涉及到资格审查、企业荣誉、企业业绩等计分部分时，以供应商自行上传到投标文件中的各类相应内容</w:t>
            </w:r>
            <w:r>
              <w:rPr>
                <w:spacing w:val="-10"/>
                <w:highlight w:val="none"/>
              </w:rPr>
              <w:t>为准。</w:t>
            </w:r>
          </w:p>
          <w:p w14:paraId="5EB49730">
            <w:pPr>
              <w:pStyle w:val="24"/>
              <w:spacing w:before="5" w:line="359" w:lineRule="auto"/>
              <w:ind w:left="111" w:right="109" w:firstLine="244"/>
              <w:rPr>
                <w:highlight w:val="none"/>
              </w:rPr>
            </w:pPr>
            <w:r>
              <w:rPr>
                <w:spacing w:val="4"/>
                <w:highlight w:val="none"/>
              </w:rPr>
              <w:t>3.在招标文件中要求供应商按照投标文件格式进行投标文件编制，在投标文件编制时，应明确将供应商企业基本情况、资质情况、人员情况、财务情况、业绩情况</w:t>
            </w:r>
            <w:r>
              <w:rPr>
                <w:spacing w:val="-2"/>
                <w:highlight w:val="none"/>
              </w:rPr>
              <w:t>编入投标文件，便于进行资格审查及评标打</w:t>
            </w:r>
            <w:r>
              <w:rPr>
                <w:spacing w:val="-3"/>
                <w:highlight w:val="none"/>
              </w:rPr>
              <w:t>分。</w:t>
            </w:r>
          </w:p>
          <w:p w14:paraId="07B89CBD">
            <w:pPr>
              <w:pStyle w:val="24"/>
              <w:spacing w:before="3" w:line="328" w:lineRule="auto"/>
              <w:ind w:left="112" w:right="109" w:firstLine="238"/>
              <w:rPr>
                <w:highlight w:val="none"/>
              </w:rPr>
            </w:pPr>
            <w:r>
              <w:rPr>
                <w:spacing w:val="-3"/>
                <w:highlight w:val="none"/>
              </w:rPr>
              <w:t>4.我单位（采购人）严格按三财购【2021】9</w:t>
            </w:r>
            <w:r>
              <w:rPr>
                <w:spacing w:val="-47"/>
                <w:highlight w:val="none"/>
              </w:rPr>
              <w:t xml:space="preserve"> </w:t>
            </w:r>
            <w:r>
              <w:rPr>
                <w:spacing w:val="-3"/>
                <w:highlight w:val="none"/>
              </w:rPr>
              <w:t>号</w:t>
            </w:r>
            <w:r>
              <w:rPr>
                <w:spacing w:val="-4"/>
                <w:highlight w:val="none"/>
              </w:rPr>
              <w:t>文要求</w:t>
            </w:r>
            <w:r>
              <w:rPr>
                <w:spacing w:val="4"/>
                <w:highlight w:val="none"/>
              </w:rPr>
              <w:t>的时限发布中标结果公告，发出中标通知书，签订采购</w:t>
            </w:r>
            <w:r>
              <w:rPr>
                <w:spacing w:val="-5"/>
                <w:highlight w:val="none"/>
              </w:rPr>
              <w:t>合同，上传采购合同。</w:t>
            </w:r>
          </w:p>
        </w:tc>
      </w:tr>
      <w:tr w14:paraId="6CB90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5" w:hRule="atLeast"/>
        </w:trPr>
        <w:tc>
          <w:tcPr>
            <w:tcW w:w="1014" w:type="dxa"/>
            <w:vAlign w:val="top"/>
          </w:tcPr>
          <w:p w14:paraId="35471B45">
            <w:pPr>
              <w:spacing w:line="255" w:lineRule="auto"/>
              <w:rPr>
                <w:rFonts w:ascii="Arial"/>
                <w:sz w:val="21"/>
                <w:highlight w:val="none"/>
              </w:rPr>
            </w:pPr>
          </w:p>
          <w:p w14:paraId="397FD570">
            <w:pPr>
              <w:spacing w:line="255" w:lineRule="auto"/>
              <w:rPr>
                <w:rFonts w:ascii="Arial"/>
                <w:sz w:val="21"/>
                <w:highlight w:val="none"/>
              </w:rPr>
            </w:pPr>
          </w:p>
          <w:p w14:paraId="05BDFA7C">
            <w:pPr>
              <w:spacing w:line="255" w:lineRule="auto"/>
              <w:rPr>
                <w:rFonts w:ascii="Arial"/>
                <w:sz w:val="21"/>
                <w:highlight w:val="none"/>
              </w:rPr>
            </w:pPr>
          </w:p>
          <w:p w14:paraId="0482DF4C">
            <w:pPr>
              <w:spacing w:line="255" w:lineRule="auto"/>
              <w:rPr>
                <w:rFonts w:ascii="Arial"/>
                <w:sz w:val="21"/>
                <w:highlight w:val="none"/>
              </w:rPr>
            </w:pPr>
          </w:p>
          <w:p w14:paraId="3EE42386">
            <w:pPr>
              <w:spacing w:line="255" w:lineRule="auto"/>
              <w:rPr>
                <w:rFonts w:ascii="Arial"/>
                <w:sz w:val="21"/>
                <w:highlight w:val="none"/>
              </w:rPr>
            </w:pPr>
          </w:p>
          <w:p w14:paraId="610780D0">
            <w:pPr>
              <w:spacing w:line="255" w:lineRule="auto"/>
              <w:rPr>
                <w:rFonts w:ascii="Arial"/>
                <w:sz w:val="21"/>
                <w:highlight w:val="none"/>
              </w:rPr>
            </w:pPr>
          </w:p>
          <w:p w14:paraId="0A62624B">
            <w:pPr>
              <w:spacing w:line="255" w:lineRule="auto"/>
              <w:rPr>
                <w:rFonts w:ascii="Arial"/>
                <w:sz w:val="21"/>
                <w:highlight w:val="none"/>
              </w:rPr>
            </w:pPr>
          </w:p>
          <w:p w14:paraId="2D72989E">
            <w:pPr>
              <w:spacing w:line="255" w:lineRule="auto"/>
              <w:rPr>
                <w:rFonts w:ascii="Arial"/>
                <w:sz w:val="21"/>
                <w:highlight w:val="none"/>
              </w:rPr>
            </w:pPr>
          </w:p>
          <w:p w14:paraId="03821B04">
            <w:pPr>
              <w:spacing w:line="255" w:lineRule="auto"/>
              <w:rPr>
                <w:rFonts w:ascii="Arial"/>
                <w:sz w:val="21"/>
                <w:highlight w:val="none"/>
              </w:rPr>
            </w:pPr>
          </w:p>
          <w:p w14:paraId="5E1A521F">
            <w:pPr>
              <w:spacing w:line="255" w:lineRule="auto"/>
              <w:rPr>
                <w:rFonts w:ascii="Arial"/>
                <w:sz w:val="21"/>
                <w:highlight w:val="none"/>
              </w:rPr>
            </w:pPr>
          </w:p>
          <w:p w14:paraId="338CF306">
            <w:pPr>
              <w:spacing w:line="256" w:lineRule="auto"/>
              <w:rPr>
                <w:rFonts w:ascii="Arial"/>
                <w:sz w:val="21"/>
                <w:highlight w:val="none"/>
              </w:rPr>
            </w:pPr>
          </w:p>
          <w:p w14:paraId="4F7CAFAA">
            <w:pPr>
              <w:spacing w:line="256" w:lineRule="auto"/>
              <w:rPr>
                <w:rFonts w:ascii="Arial"/>
                <w:sz w:val="21"/>
                <w:highlight w:val="none"/>
              </w:rPr>
            </w:pPr>
          </w:p>
          <w:p w14:paraId="6D4A7C36">
            <w:pPr>
              <w:pStyle w:val="24"/>
              <w:spacing w:before="78" w:line="239" w:lineRule="auto"/>
              <w:ind w:left="332"/>
              <w:rPr>
                <w:highlight w:val="none"/>
              </w:rPr>
            </w:pPr>
            <w:r>
              <w:rPr>
                <w:spacing w:val="-2"/>
                <w:highlight w:val="none"/>
              </w:rPr>
              <w:t>4.1</w:t>
            </w:r>
          </w:p>
        </w:tc>
        <w:tc>
          <w:tcPr>
            <w:tcW w:w="2072" w:type="dxa"/>
            <w:vAlign w:val="top"/>
          </w:tcPr>
          <w:p w14:paraId="4D39D01E">
            <w:pPr>
              <w:spacing w:line="257" w:lineRule="auto"/>
              <w:rPr>
                <w:rFonts w:ascii="Arial"/>
                <w:sz w:val="21"/>
                <w:highlight w:val="none"/>
              </w:rPr>
            </w:pPr>
          </w:p>
          <w:p w14:paraId="5AC75470">
            <w:pPr>
              <w:spacing w:line="257" w:lineRule="auto"/>
              <w:rPr>
                <w:rFonts w:ascii="Arial"/>
                <w:sz w:val="21"/>
                <w:highlight w:val="none"/>
              </w:rPr>
            </w:pPr>
          </w:p>
          <w:p w14:paraId="1A0B14F5">
            <w:pPr>
              <w:spacing w:line="257" w:lineRule="auto"/>
              <w:rPr>
                <w:rFonts w:ascii="Arial"/>
                <w:sz w:val="21"/>
                <w:highlight w:val="none"/>
              </w:rPr>
            </w:pPr>
          </w:p>
          <w:p w14:paraId="37343FDE">
            <w:pPr>
              <w:spacing w:line="257" w:lineRule="auto"/>
              <w:rPr>
                <w:rFonts w:ascii="Arial"/>
                <w:sz w:val="21"/>
                <w:highlight w:val="none"/>
              </w:rPr>
            </w:pPr>
          </w:p>
          <w:p w14:paraId="05B0E67D">
            <w:pPr>
              <w:spacing w:line="257" w:lineRule="auto"/>
              <w:rPr>
                <w:rFonts w:ascii="Arial"/>
                <w:sz w:val="21"/>
                <w:highlight w:val="none"/>
              </w:rPr>
            </w:pPr>
          </w:p>
          <w:p w14:paraId="3A862D3F">
            <w:pPr>
              <w:spacing w:line="257" w:lineRule="auto"/>
              <w:rPr>
                <w:rFonts w:ascii="Arial"/>
                <w:sz w:val="21"/>
                <w:highlight w:val="none"/>
              </w:rPr>
            </w:pPr>
          </w:p>
          <w:p w14:paraId="4B26B5AA">
            <w:pPr>
              <w:spacing w:line="257" w:lineRule="auto"/>
              <w:rPr>
                <w:rFonts w:ascii="Arial"/>
                <w:sz w:val="21"/>
                <w:highlight w:val="none"/>
              </w:rPr>
            </w:pPr>
          </w:p>
          <w:p w14:paraId="7D64F79A">
            <w:pPr>
              <w:spacing w:line="257" w:lineRule="auto"/>
              <w:rPr>
                <w:rFonts w:ascii="Arial"/>
                <w:sz w:val="21"/>
                <w:highlight w:val="none"/>
              </w:rPr>
            </w:pPr>
          </w:p>
          <w:p w14:paraId="2AD44D20">
            <w:pPr>
              <w:spacing w:line="257" w:lineRule="auto"/>
              <w:rPr>
                <w:rFonts w:ascii="Arial"/>
                <w:sz w:val="21"/>
                <w:highlight w:val="none"/>
              </w:rPr>
            </w:pPr>
          </w:p>
          <w:p w14:paraId="3CE3BB15">
            <w:pPr>
              <w:spacing w:line="258" w:lineRule="auto"/>
              <w:rPr>
                <w:rFonts w:ascii="Arial"/>
                <w:sz w:val="21"/>
                <w:highlight w:val="none"/>
              </w:rPr>
            </w:pPr>
          </w:p>
          <w:p w14:paraId="5B58B264">
            <w:pPr>
              <w:spacing w:line="258" w:lineRule="auto"/>
              <w:rPr>
                <w:rFonts w:ascii="Arial"/>
                <w:sz w:val="21"/>
                <w:highlight w:val="none"/>
              </w:rPr>
            </w:pPr>
          </w:p>
          <w:p w14:paraId="640C0415">
            <w:pPr>
              <w:pStyle w:val="24"/>
              <w:spacing w:before="78" w:line="362" w:lineRule="auto"/>
              <w:ind w:left="690" w:right="200" w:hanging="482"/>
              <w:rPr>
                <w:highlight w:val="none"/>
              </w:rPr>
            </w:pPr>
            <w:r>
              <w:rPr>
                <w:spacing w:val="-2"/>
                <w:highlight w:val="none"/>
              </w:rPr>
              <w:t>招标代理费及相</w:t>
            </w:r>
            <w:r>
              <w:rPr>
                <w:spacing w:val="-3"/>
                <w:highlight w:val="none"/>
              </w:rPr>
              <w:t>关费用</w:t>
            </w:r>
          </w:p>
        </w:tc>
        <w:tc>
          <w:tcPr>
            <w:tcW w:w="6107" w:type="dxa"/>
            <w:vAlign w:val="top"/>
          </w:tcPr>
          <w:p w14:paraId="1B4B556C">
            <w:pPr>
              <w:pStyle w:val="24"/>
              <w:spacing w:before="115" w:line="220" w:lineRule="auto"/>
              <w:rPr>
                <w:highlight w:val="none"/>
              </w:rPr>
            </w:pPr>
            <w:r>
              <w:rPr>
                <w:spacing w:val="-2"/>
                <w:highlight w:val="none"/>
              </w:rPr>
              <w:t>1.招标代理服务费及相关费用</w:t>
            </w:r>
          </w:p>
          <w:p w14:paraId="6BC213AF">
            <w:pPr>
              <w:pStyle w:val="24"/>
              <w:spacing w:before="183" w:line="360" w:lineRule="auto"/>
              <w:ind w:left="114" w:right="82" w:firstLine="238"/>
              <w:rPr>
                <w:highlight w:val="none"/>
              </w:rPr>
            </w:pPr>
            <w:r>
              <w:rPr>
                <w:spacing w:val="4"/>
                <w:highlight w:val="none"/>
              </w:rPr>
              <w:t>招标代理费收取标准：参考河南省招标代理服务收费</w:t>
            </w:r>
            <w:r>
              <w:rPr>
                <w:spacing w:val="-2"/>
                <w:highlight w:val="none"/>
              </w:rPr>
              <w:t>指导意见（豫招协[</w:t>
            </w:r>
            <w:r>
              <w:rPr>
                <w:highlight w:val="none"/>
              </w:rPr>
              <w:fldChar w:fldCharType="begin"/>
            </w:r>
            <w:r>
              <w:rPr>
                <w:highlight w:val="none"/>
              </w:rPr>
              <w:instrText xml:space="preserve"> HYPERLINK \l "bookmark17" </w:instrText>
            </w:r>
            <w:r>
              <w:rPr>
                <w:highlight w:val="none"/>
              </w:rPr>
              <w:fldChar w:fldCharType="separate"/>
            </w:r>
            <w:r>
              <w:rPr>
                <w:spacing w:val="-2"/>
                <w:highlight w:val="none"/>
              </w:rPr>
              <w:t>2023</w:t>
            </w:r>
            <w:r>
              <w:rPr>
                <w:spacing w:val="-2"/>
                <w:highlight w:val="none"/>
              </w:rPr>
              <w:fldChar w:fldCharType="end"/>
            </w:r>
            <w:r>
              <w:rPr>
                <w:spacing w:val="-2"/>
                <w:highlight w:val="none"/>
              </w:rPr>
              <w:t>]002</w:t>
            </w:r>
            <w:r>
              <w:rPr>
                <w:spacing w:val="-45"/>
                <w:highlight w:val="none"/>
              </w:rPr>
              <w:t xml:space="preserve"> </w:t>
            </w:r>
            <w:r>
              <w:rPr>
                <w:spacing w:val="-2"/>
                <w:highlight w:val="none"/>
              </w:rPr>
              <w:t>号）规定的收费</w:t>
            </w:r>
            <w:r>
              <w:rPr>
                <w:spacing w:val="-3"/>
                <w:highlight w:val="none"/>
              </w:rPr>
              <w:t>标准计算。</w:t>
            </w:r>
          </w:p>
          <w:p w14:paraId="44DA8BF2">
            <w:pPr>
              <w:pStyle w:val="24"/>
              <w:spacing w:before="182" w:line="220" w:lineRule="auto"/>
              <w:ind w:left="354"/>
              <w:rPr>
                <w:highlight w:val="none"/>
              </w:rPr>
            </w:pPr>
            <w:r>
              <w:rPr>
                <w:spacing w:val="-2"/>
                <w:highlight w:val="none"/>
              </w:rPr>
              <w:t>2.收取方式</w:t>
            </w:r>
          </w:p>
          <w:p w14:paraId="574C2805">
            <w:pPr>
              <w:pStyle w:val="24"/>
              <w:spacing w:before="183" w:line="360" w:lineRule="auto"/>
              <w:ind w:left="111" w:right="23" w:firstLine="240"/>
              <w:rPr>
                <w:highlight w:val="none"/>
              </w:rPr>
            </w:pPr>
            <w:r>
              <w:rPr>
                <w:spacing w:val="4"/>
                <w:highlight w:val="none"/>
              </w:rPr>
              <w:t>招标代理服务费和绩效评估报告费均由中标供应商在</w:t>
            </w:r>
            <w:r>
              <w:rPr>
                <w:spacing w:val="-2"/>
                <w:highlight w:val="none"/>
              </w:rPr>
              <w:t>领取中标通知书时，以现金或转账的方式一次性向缴纳。</w:t>
            </w:r>
          </w:p>
          <w:p w14:paraId="7760C03B">
            <w:pPr>
              <w:pStyle w:val="24"/>
              <w:spacing w:before="2" w:line="337" w:lineRule="auto"/>
              <w:ind w:left="111" w:right="113" w:firstLine="244"/>
              <w:jc w:val="both"/>
              <w:rPr>
                <w:highlight w:val="none"/>
              </w:rPr>
            </w:pPr>
            <w:r>
              <w:rPr>
                <w:spacing w:val="4"/>
                <w:highlight w:val="none"/>
              </w:rPr>
              <w:t>3.中标单位领取中标通知书时向采购代理机构提交贰</w:t>
            </w:r>
            <w:r>
              <w:rPr>
                <w:spacing w:val="-6"/>
                <w:highlight w:val="none"/>
              </w:rPr>
              <w:t>份纸质投标文件，投标文件应按以下要求装订：胶装（不得采用活页装订</w:t>
            </w:r>
            <w:r>
              <w:rPr>
                <w:spacing w:val="-4"/>
                <w:highlight w:val="none"/>
              </w:rPr>
              <w:t>），</w:t>
            </w:r>
            <w:r>
              <w:rPr>
                <w:spacing w:val="-6"/>
                <w:highlight w:val="none"/>
              </w:rPr>
              <w:t>应有目录，并逐页标注连续页码，需</w:t>
            </w:r>
            <w:r>
              <w:rPr>
                <w:spacing w:val="-8"/>
                <w:highlight w:val="none"/>
              </w:rPr>
              <w:t>加盖公章。</w:t>
            </w:r>
          </w:p>
        </w:tc>
      </w:tr>
    </w:tbl>
    <w:p w14:paraId="4C651011">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57"/>
        <w:gridCol w:w="6122"/>
      </w:tblGrid>
      <w:tr w14:paraId="7FFFB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 w:hRule="atLeast"/>
        </w:trPr>
        <w:tc>
          <w:tcPr>
            <w:tcW w:w="1014" w:type="dxa"/>
            <w:vAlign w:val="top"/>
          </w:tcPr>
          <w:p w14:paraId="747B0B46">
            <w:pPr>
              <w:rPr>
                <w:rFonts w:ascii="Arial"/>
                <w:sz w:val="21"/>
                <w:highlight w:val="none"/>
              </w:rPr>
            </w:pPr>
          </w:p>
          <w:p w14:paraId="2AB0CE20">
            <w:pPr>
              <w:rPr>
                <w:rFonts w:ascii="Arial"/>
                <w:sz w:val="21"/>
                <w:highlight w:val="none"/>
              </w:rPr>
            </w:pPr>
          </w:p>
          <w:p w14:paraId="2301CB47">
            <w:pPr>
              <w:spacing w:line="241" w:lineRule="auto"/>
              <w:rPr>
                <w:rFonts w:ascii="Arial"/>
                <w:sz w:val="21"/>
                <w:highlight w:val="none"/>
              </w:rPr>
            </w:pPr>
          </w:p>
          <w:p w14:paraId="692D62B7">
            <w:pPr>
              <w:pStyle w:val="24"/>
              <w:spacing w:before="78" w:line="239" w:lineRule="auto"/>
              <w:ind w:left="332"/>
              <w:rPr>
                <w:highlight w:val="none"/>
              </w:rPr>
            </w:pPr>
            <w:r>
              <w:rPr>
                <w:spacing w:val="-2"/>
                <w:highlight w:val="none"/>
              </w:rPr>
              <w:t>4.2</w:t>
            </w:r>
          </w:p>
        </w:tc>
        <w:tc>
          <w:tcPr>
            <w:tcW w:w="2057" w:type="dxa"/>
            <w:vAlign w:val="top"/>
          </w:tcPr>
          <w:p w14:paraId="6AC4C336">
            <w:pPr>
              <w:pStyle w:val="24"/>
              <w:spacing w:before="165" w:line="219" w:lineRule="auto"/>
              <w:rPr>
                <w:highlight w:val="none"/>
              </w:rPr>
            </w:pPr>
            <w:r>
              <w:rPr>
                <w:spacing w:val="-2"/>
                <w:highlight w:val="none"/>
              </w:rPr>
              <w:t>本项目采购标的对应的中小企业划分标准所属行</w:t>
            </w:r>
            <w:r>
              <w:rPr>
                <w:highlight w:val="none"/>
              </w:rPr>
              <w:t>业</w:t>
            </w:r>
          </w:p>
        </w:tc>
        <w:tc>
          <w:tcPr>
            <w:tcW w:w="6122" w:type="dxa"/>
            <w:vAlign w:val="top"/>
          </w:tcPr>
          <w:p w14:paraId="1B0C009F">
            <w:pPr>
              <w:spacing w:line="258" w:lineRule="auto"/>
              <w:rPr>
                <w:rFonts w:ascii="Arial"/>
                <w:sz w:val="21"/>
                <w:highlight w:val="none"/>
              </w:rPr>
            </w:pPr>
          </w:p>
          <w:p w14:paraId="130739E1">
            <w:pPr>
              <w:spacing w:line="258" w:lineRule="auto"/>
              <w:rPr>
                <w:rFonts w:ascii="Arial"/>
                <w:sz w:val="21"/>
                <w:highlight w:val="none"/>
              </w:rPr>
            </w:pPr>
          </w:p>
          <w:p w14:paraId="55E2A02C">
            <w:pPr>
              <w:spacing w:line="258" w:lineRule="auto"/>
              <w:rPr>
                <w:rFonts w:ascii="Arial"/>
                <w:sz w:val="21"/>
                <w:highlight w:val="none"/>
              </w:rPr>
            </w:pPr>
          </w:p>
          <w:p w14:paraId="3491DD6A">
            <w:pPr>
              <w:pStyle w:val="24"/>
              <w:spacing w:before="78" w:line="232" w:lineRule="auto"/>
              <w:ind w:left="114"/>
              <w:rPr>
                <w:highlight w:val="none"/>
              </w:rPr>
            </w:pPr>
            <w:r>
              <w:rPr>
                <w:spacing w:val="-4"/>
                <w:highlight w:val="none"/>
              </w:rPr>
              <w:t>工业</w:t>
            </w:r>
          </w:p>
        </w:tc>
      </w:tr>
      <w:tr w14:paraId="600B2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5" w:hRule="atLeast"/>
        </w:trPr>
        <w:tc>
          <w:tcPr>
            <w:tcW w:w="1014" w:type="dxa"/>
            <w:vAlign w:val="top"/>
          </w:tcPr>
          <w:p w14:paraId="343B775C">
            <w:pPr>
              <w:spacing w:line="358" w:lineRule="auto"/>
              <w:rPr>
                <w:rFonts w:ascii="Arial"/>
                <w:sz w:val="21"/>
                <w:highlight w:val="none"/>
              </w:rPr>
            </w:pPr>
          </w:p>
          <w:p w14:paraId="2006C34D">
            <w:pPr>
              <w:spacing w:line="359" w:lineRule="auto"/>
              <w:rPr>
                <w:rFonts w:ascii="Arial"/>
                <w:sz w:val="21"/>
                <w:highlight w:val="none"/>
              </w:rPr>
            </w:pPr>
          </w:p>
          <w:p w14:paraId="6DE9E786">
            <w:pPr>
              <w:pStyle w:val="24"/>
              <w:spacing w:before="78" w:line="239" w:lineRule="auto"/>
              <w:ind w:left="332"/>
              <w:rPr>
                <w:highlight w:val="none"/>
              </w:rPr>
            </w:pPr>
            <w:r>
              <w:rPr>
                <w:spacing w:val="-3"/>
                <w:highlight w:val="none"/>
              </w:rPr>
              <w:t>4.3</w:t>
            </w:r>
          </w:p>
        </w:tc>
        <w:tc>
          <w:tcPr>
            <w:tcW w:w="2057" w:type="dxa"/>
            <w:vAlign w:val="top"/>
          </w:tcPr>
          <w:p w14:paraId="01611997">
            <w:pPr>
              <w:spacing w:line="256" w:lineRule="auto"/>
              <w:rPr>
                <w:rFonts w:ascii="Arial"/>
                <w:sz w:val="21"/>
                <w:highlight w:val="none"/>
              </w:rPr>
            </w:pPr>
          </w:p>
          <w:p w14:paraId="780CA54A">
            <w:pPr>
              <w:spacing w:line="256" w:lineRule="auto"/>
              <w:rPr>
                <w:rFonts w:ascii="Arial"/>
                <w:sz w:val="21"/>
                <w:highlight w:val="none"/>
              </w:rPr>
            </w:pPr>
          </w:p>
          <w:p w14:paraId="2DB28931">
            <w:pPr>
              <w:spacing w:line="257" w:lineRule="auto"/>
              <w:rPr>
                <w:rFonts w:ascii="Arial"/>
                <w:sz w:val="21"/>
                <w:highlight w:val="none"/>
              </w:rPr>
            </w:pPr>
          </w:p>
          <w:p w14:paraId="224149AF">
            <w:pPr>
              <w:pStyle w:val="24"/>
              <w:spacing w:before="78" w:line="220" w:lineRule="auto"/>
              <w:ind w:left="569"/>
              <w:rPr>
                <w:highlight w:val="none"/>
              </w:rPr>
            </w:pPr>
            <w:r>
              <w:rPr>
                <w:spacing w:val="-3"/>
                <w:highlight w:val="none"/>
              </w:rPr>
              <w:t>核心产品</w:t>
            </w:r>
          </w:p>
        </w:tc>
        <w:tc>
          <w:tcPr>
            <w:tcW w:w="6122" w:type="dxa"/>
            <w:vAlign w:val="top"/>
          </w:tcPr>
          <w:p w14:paraId="60CB6F01">
            <w:pPr>
              <w:pStyle w:val="24"/>
              <w:spacing w:before="160" w:line="220" w:lineRule="auto"/>
              <w:ind w:left="104"/>
              <w:rPr>
                <w:highlight w:val="none"/>
              </w:rPr>
            </w:pPr>
            <w:r>
              <w:rPr>
                <w:spacing w:val="-6"/>
                <w:highlight w:val="none"/>
              </w:rPr>
              <w:t>A</w:t>
            </w:r>
            <w:r>
              <w:rPr>
                <w:spacing w:val="-47"/>
                <w:highlight w:val="none"/>
              </w:rPr>
              <w:t xml:space="preserve"> </w:t>
            </w:r>
            <w:r>
              <w:rPr>
                <w:spacing w:val="-6"/>
                <w:highlight w:val="none"/>
              </w:rPr>
              <w:t>包：</w:t>
            </w:r>
            <w:r>
              <w:rPr>
                <w:rFonts w:hint="eastAsia"/>
                <w:spacing w:val="-6"/>
                <w:highlight w:val="none"/>
                <w:lang w:val="en-US" w:eastAsia="zh-CN"/>
              </w:rPr>
              <w:t>1.5</w:t>
            </w:r>
            <w:r>
              <w:rPr>
                <w:spacing w:val="-6"/>
                <w:highlight w:val="none"/>
              </w:rPr>
              <w:t>T</w:t>
            </w:r>
            <w:r>
              <w:rPr>
                <w:spacing w:val="-50"/>
                <w:highlight w:val="none"/>
              </w:rPr>
              <w:t xml:space="preserve"> </w:t>
            </w:r>
            <w:r>
              <w:rPr>
                <w:rFonts w:hint="eastAsia"/>
                <w:spacing w:val="-50"/>
                <w:highlight w:val="none"/>
                <w:lang w:val="en-US" w:eastAsia="zh-CN"/>
              </w:rPr>
              <w:t xml:space="preserve">核 </w:t>
            </w:r>
            <w:r>
              <w:rPr>
                <w:spacing w:val="-6"/>
                <w:highlight w:val="none"/>
              </w:rPr>
              <w:t>磁共振；</w:t>
            </w:r>
          </w:p>
          <w:p w14:paraId="5701B7C7">
            <w:pPr>
              <w:pStyle w:val="24"/>
              <w:spacing w:before="175" w:line="219" w:lineRule="auto"/>
              <w:ind w:left="106"/>
              <w:rPr>
                <w:highlight w:val="none"/>
              </w:rPr>
            </w:pPr>
            <w:r>
              <w:rPr>
                <w:spacing w:val="-4"/>
                <w:highlight w:val="none"/>
              </w:rPr>
              <w:t>B</w:t>
            </w:r>
            <w:r>
              <w:rPr>
                <w:spacing w:val="-49"/>
                <w:highlight w:val="none"/>
              </w:rPr>
              <w:t xml:space="preserve"> </w:t>
            </w:r>
            <w:r>
              <w:rPr>
                <w:spacing w:val="-4"/>
                <w:highlight w:val="none"/>
              </w:rPr>
              <w:t>包：</w:t>
            </w:r>
            <w:r>
              <w:rPr>
                <w:rFonts w:hint="eastAsia"/>
                <w:spacing w:val="-4"/>
                <w:highlight w:val="none"/>
                <w:lang w:val="en-US" w:eastAsia="zh-CN"/>
              </w:rPr>
              <w:t>腹腔内窥镜手术系统</w:t>
            </w:r>
            <w:r>
              <w:rPr>
                <w:spacing w:val="-4"/>
                <w:highlight w:val="none"/>
              </w:rPr>
              <w:t>；</w:t>
            </w:r>
          </w:p>
          <w:p w14:paraId="05629C69">
            <w:pPr>
              <w:pStyle w:val="24"/>
              <w:spacing w:before="173" w:line="219" w:lineRule="auto"/>
              <w:ind w:left="109"/>
              <w:rPr>
                <w:highlight w:val="none"/>
              </w:rPr>
            </w:pPr>
            <w:r>
              <w:rPr>
                <w:spacing w:val="-5"/>
                <w:highlight w:val="none"/>
              </w:rPr>
              <w:t>C</w:t>
            </w:r>
            <w:r>
              <w:rPr>
                <w:spacing w:val="-37"/>
                <w:highlight w:val="none"/>
              </w:rPr>
              <w:t xml:space="preserve"> </w:t>
            </w:r>
            <w:r>
              <w:rPr>
                <w:spacing w:val="-5"/>
                <w:highlight w:val="none"/>
              </w:rPr>
              <w:t>包：</w:t>
            </w:r>
            <w:r>
              <w:rPr>
                <w:rFonts w:hint="eastAsia"/>
                <w:spacing w:val="-5"/>
                <w:highlight w:val="none"/>
                <w:lang w:val="en-US" w:eastAsia="zh-CN"/>
              </w:rPr>
              <w:t>全自动生化分析仪</w:t>
            </w:r>
            <w:r>
              <w:rPr>
                <w:spacing w:val="-5"/>
                <w:highlight w:val="none"/>
              </w:rPr>
              <w:t>；</w:t>
            </w:r>
          </w:p>
          <w:p w14:paraId="30235860">
            <w:pPr>
              <w:pStyle w:val="24"/>
              <w:spacing w:before="176" w:line="219" w:lineRule="auto"/>
              <w:ind w:left="107"/>
              <w:rPr>
                <w:spacing w:val="-4"/>
                <w:highlight w:val="none"/>
              </w:rPr>
            </w:pPr>
            <w:r>
              <w:rPr>
                <w:spacing w:val="-4"/>
                <w:highlight w:val="none"/>
              </w:rPr>
              <w:t>D</w:t>
            </w:r>
            <w:r>
              <w:rPr>
                <w:spacing w:val="-50"/>
                <w:highlight w:val="none"/>
              </w:rPr>
              <w:t xml:space="preserve"> </w:t>
            </w:r>
            <w:r>
              <w:rPr>
                <w:spacing w:val="-4"/>
                <w:highlight w:val="none"/>
              </w:rPr>
              <w:t>包：</w:t>
            </w:r>
            <w:r>
              <w:rPr>
                <w:rFonts w:hint="eastAsia"/>
                <w:spacing w:val="-4"/>
                <w:highlight w:val="none"/>
                <w:lang w:val="en-US" w:eastAsia="zh-CN"/>
              </w:rPr>
              <w:t>手术麻醉机</w:t>
            </w:r>
            <w:r>
              <w:rPr>
                <w:spacing w:val="-4"/>
                <w:highlight w:val="none"/>
              </w:rPr>
              <w:t>；</w:t>
            </w:r>
          </w:p>
          <w:p w14:paraId="3FC37785">
            <w:pPr>
              <w:pStyle w:val="24"/>
              <w:spacing w:before="5" w:line="359" w:lineRule="auto"/>
              <w:ind w:right="109"/>
              <w:rPr>
                <w:spacing w:val="-4"/>
                <w:highlight w:val="none"/>
              </w:rPr>
            </w:pPr>
            <w:r>
              <w:rPr>
                <w:rFonts w:hint="eastAsia" w:ascii="宋体" w:hAnsi="宋体" w:eastAsia="宋体" w:cs="宋体"/>
                <w:spacing w:val="4"/>
                <w:highlight w:val="none"/>
              </w:rPr>
              <w:t>根据《政府采购货物和服务招标投标管理办法》（财政部第 87 号令）第 31 条的规定，非单一产品采购项目且在招标文件中注明核心产品的，提供相同品牌产品且通过资格审查、符合性审查的不同投标供应商参加同一标</w:t>
            </w:r>
            <w:r>
              <w:rPr>
                <w:rFonts w:hint="eastAsia" w:ascii="宋体" w:hAnsi="宋体" w:eastAsia="宋体" w:cs="宋体"/>
                <w:spacing w:val="4"/>
                <w:highlight w:val="none"/>
                <w:lang w:val="en-US" w:eastAsia="zh-CN"/>
              </w:rPr>
              <w:t>包</w:t>
            </w:r>
            <w:r>
              <w:rPr>
                <w:rFonts w:hint="eastAsia" w:ascii="宋体" w:hAnsi="宋体" w:eastAsia="宋体" w:cs="宋体"/>
                <w:spacing w:val="4"/>
                <w:highlight w:val="none"/>
              </w:rPr>
              <w:t>投标的，按一家投标供应商计算，评审后得分最高的同品牌投 标供应商获得中标人推荐资格；评审得分相同的，以投标报价低者获得中标人推荐资格。</w:t>
            </w:r>
          </w:p>
        </w:tc>
      </w:tr>
      <w:tr w14:paraId="5EF9B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14" w:type="dxa"/>
            <w:vAlign w:val="top"/>
          </w:tcPr>
          <w:p w14:paraId="4B188BCD">
            <w:pPr>
              <w:spacing w:line="246" w:lineRule="auto"/>
              <w:rPr>
                <w:rFonts w:ascii="Arial"/>
                <w:sz w:val="21"/>
                <w:highlight w:val="none"/>
              </w:rPr>
            </w:pPr>
          </w:p>
          <w:p w14:paraId="0A9C7852">
            <w:pPr>
              <w:spacing w:line="246" w:lineRule="auto"/>
              <w:rPr>
                <w:rFonts w:ascii="Arial"/>
                <w:sz w:val="21"/>
                <w:highlight w:val="none"/>
              </w:rPr>
            </w:pPr>
          </w:p>
          <w:p w14:paraId="50B58B39">
            <w:pPr>
              <w:spacing w:line="246" w:lineRule="auto"/>
              <w:rPr>
                <w:rFonts w:ascii="Arial"/>
                <w:sz w:val="21"/>
                <w:highlight w:val="none"/>
              </w:rPr>
            </w:pPr>
          </w:p>
          <w:p w14:paraId="5EC269D0">
            <w:pPr>
              <w:spacing w:line="246" w:lineRule="auto"/>
              <w:rPr>
                <w:rFonts w:ascii="Arial"/>
                <w:sz w:val="21"/>
                <w:highlight w:val="none"/>
              </w:rPr>
            </w:pPr>
          </w:p>
          <w:p w14:paraId="4C983865">
            <w:pPr>
              <w:spacing w:line="246" w:lineRule="auto"/>
              <w:rPr>
                <w:rFonts w:ascii="Arial"/>
                <w:sz w:val="21"/>
                <w:highlight w:val="none"/>
              </w:rPr>
            </w:pPr>
          </w:p>
          <w:p w14:paraId="38F09F0C">
            <w:pPr>
              <w:spacing w:line="247" w:lineRule="auto"/>
              <w:rPr>
                <w:rFonts w:ascii="Arial"/>
                <w:sz w:val="21"/>
                <w:highlight w:val="none"/>
              </w:rPr>
            </w:pPr>
          </w:p>
          <w:p w14:paraId="3826AB64">
            <w:pPr>
              <w:spacing w:line="247" w:lineRule="auto"/>
              <w:rPr>
                <w:rFonts w:ascii="Arial"/>
                <w:sz w:val="21"/>
                <w:highlight w:val="none"/>
              </w:rPr>
            </w:pPr>
          </w:p>
          <w:p w14:paraId="547F6DC0">
            <w:pPr>
              <w:spacing w:line="247" w:lineRule="auto"/>
              <w:rPr>
                <w:rFonts w:ascii="Arial"/>
                <w:sz w:val="21"/>
                <w:highlight w:val="none"/>
              </w:rPr>
            </w:pPr>
          </w:p>
          <w:p w14:paraId="6E1D8646">
            <w:pPr>
              <w:spacing w:line="247" w:lineRule="auto"/>
              <w:rPr>
                <w:rFonts w:ascii="Arial"/>
                <w:sz w:val="21"/>
                <w:highlight w:val="none"/>
              </w:rPr>
            </w:pPr>
          </w:p>
          <w:p w14:paraId="05B07617">
            <w:pPr>
              <w:spacing w:line="247" w:lineRule="auto"/>
              <w:rPr>
                <w:rFonts w:ascii="Arial"/>
                <w:sz w:val="21"/>
                <w:highlight w:val="none"/>
              </w:rPr>
            </w:pPr>
          </w:p>
          <w:p w14:paraId="2155019E">
            <w:pPr>
              <w:spacing w:line="247" w:lineRule="auto"/>
              <w:rPr>
                <w:rFonts w:ascii="Arial"/>
                <w:sz w:val="21"/>
                <w:highlight w:val="none"/>
              </w:rPr>
            </w:pPr>
          </w:p>
          <w:p w14:paraId="76BDDF6A">
            <w:pPr>
              <w:spacing w:line="247" w:lineRule="auto"/>
              <w:rPr>
                <w:rFonts w:ascii="Arial"/>
                <w:sz w:val="21"/>
                <w:highlight w:val="none"/>
              </w:rPr>
            </w:pPr>
          </w:p>
          <w:p w14:paraId="522CBF4D">
            <w:pPr>
              <w:spacing w:line="247" w:lineRule="auto"/>
              <w:rPr>
                <w:rFonts w:ascii="Arial"/>
                <w:sz w:val="21"/>
                <w:highlight w:val="none"/>
              </w:rPr>
            </w:pPr>
          </w:p>
          <w:p w14:paraId="4224C8A5">
            <w:pPr>
              <w:spacing w:line="247" w:lineRule="auto"/>
              <w:rPr>
                <w:rFonts w:ascii="Arial"/>
                <w:sz w:val="21"/>
                <w:highlight w:val="none"/>
              </w:rPr>
            </w:pPr>
          </w:p>
          <w:p w14:paraId="76C1BC41">
            <w:pPr>
              <w:spacing w:line="247" w:lineRule="auto"/>
              <w:rPr>
                <w:rFonts w:ascii="Arial"/>
                <w:sz w:val="21"/>
                <w:highlight w:val="none"/>
              </w:rPr>
            </w:pPr>
          </w:p>
          <w:p w14:paraId="2811BE1B">
            <w:pPr>
              <w:spacing w:line="247" w:lineRule="auto"/>
              <w:rPr>
                <w:rFonts w:ascii="Arial"/>
                <w:sz w:val="21"/>
                <w:highlight w:val="none"/>
              </w:rPr>
            </w:pPr>
          </w:p>
          <w:p w14:paraId="23D622A3">
            <w:pPr>
              <w:spacing w:line="247" w:lineRule="auto"/>
              <w:rPr>
                <w:rFonts w:ascii="Arial"/>
                <w:sz w:val="21"/>
                <w:highlight w:val="none"/>
              </w:rPr>
            </w:pPr>
          </w:p>
          <w:p w14:paraId="6CFD8D7D">
            <w:pPr>
              <w:spacing w:line="247" w:lineRule="auto"/>
              <w:rPr>
                <w:rFonts w:ascii="Arial"/>
                <w:sz w:val="21"/>
                <w:highlight w:val="none"/>
              </w:rPr>
            </w:pPr>
          </w:p>
          <w:p w14:paraId="47607599">
            <w:pPr>
              <w:spacing w:line="247" w:lineRule="auto"/>
              <w:rPr>
                <w:rFonts w:ascii="Arial"/>
                <w:sz w:val="21"/>
                <w:highlight w:val="none"/>
              </w:rPr>
            </w:pPr>
          </w:p>
          <w:p w14:paraId="31ADA59A">
            <w:pPr>
              <w:pStyle w:val="24"/>
              <w:spacing w:before="78" w:line="239" w:lineRule="auto"/>
              <w:ind w:left="236"/>
              <w:rPr>
                <w:highlight w:val="none"/>
              </w:rPr>
            </w:pPr>
            <w:r>
              <w:rPr>
                <w:spacing w:val="-3"/>
                <w:highlight w:val="none"/>
              </w:rPr>
              <w:t>4.4</w:t>
            </w:r>
          </w:p>
        </w:tc>
        <w:tc>
          <w:tcPr>
            <w:tcW w:w="2057" w:type="dxa"/>
            <w:vAlign w:val="top"/>
          </w:tcPr>
          <w:p w14:paraId="1BB92662">
            <w:pPr>
              <w:spacing w:line="247" w:lineRule="auto"/>
              <w:rPr>
                <w:rFonts w:ascii="Arial"/>
                <w:sz w:val="21"/>
                <w:highlight w:val="none"/>
              </w:rPr>
            </w:pPr>
          </w:p>
          <w:p w14:paraId="48A4F1BA">
            <w:pPr>
              <w:spacing w:line="247" w:lineRule="auto"/>
              <w:rPr>
                <w:rFonts w:ascii="Arial"/>
                <w:sz w:val="21"/>
                <w:highlight w:val="none"/>
              </w:rPr>
            </w:pPr>
          </w:p>
          <w:p w14:paraId="69EF93DF">
            <w:pPr>
              <w:spacing w:line="247" w:lineRule="auto"/>
              <w:rPr>
                <w:rFonts w:ascii="Arial"/>
                <w:sz w:val="21"/>
                <w:highlight w:val="none"/>
              </w:rPr>
            </w:pPr>
          </w:p>
          <w:p w14:paraId="5A79452F">
            <w:pPr>
              <w:spacing w:line="247" w:lineRule="auto"/>
              <w:rPr>
                <w:rFonts w:ascii="Arial"/>
                <w:sz w:val="21"/>
                <w:highlight w:val="none"/>
              </w:rPr>
            </w:pPr>
          </w:p>
          <w:p w14:paraId="763B2B3D">
            <w:pPr>
              <w:spacing w:line="247" w:lineRule="auto"/>
              <w:rPr>
                <w:rFonts w:ascii="Arial"/>
                <w:sz w:val="21"/>
                <w:highlight w:val="none"/>
              </w:rPr>
            </w:pPr>
          </w:p>
          <w:p w14:paraId="14C01E5D">
            <w:pPr>
              <w:spacing w:line="247" w:lineRule="auto"/>
              <w:rPr>
                <w:rFonts w:ascii="Arial"/>
                <w:sz w:val="21"/>
                <w:highlight w:val="none"/>
              </w:rPr>
            </w:pPr>
          </w:p>
          <w:p w14:paraId="7C9B2A25">
            <w:pPr>
              <w:spacing w:line="247" w:lineRule="auto"/>
              <w:rPr>
                <w:rFonts w:ascii="Arial"/>
                <w:sz w:val="21"/>
                <w:highlight w:val="none"/>
              </w:rPr>
            </w:pPr>
          </w:p>
          <w:p w14:paraId="482D77CB">
            <w:pPr>
              <w:spacing w:line="247" w:lineRule="auto"/>
              <w:rPr>
                <w:rFonts w:ascii="Arial"/>
                <w:sz w:val="21"/>
                <w:highlight w:val="none"/>
              </w:rPr>
            </w:pPr>
          </w:p>
          <w:p w14:paraId="7C8CE6E4">
            <w:pPr>
              <w:spacing w:line="248" w:lineRule="auto"/>
              <w:rPr>
                <w:rFonts w:ascii="Arial"/>
                <w:sz w:val="21"/>
                <w:highlight w:val="none"/>
              </w:rPr>
            </w:pPr>
          </w:p>
          <w:p w14:paraId="222F8272">
            <w:pPr>
              <w:spacing w:line="248" w:lineRule="auto"/>
              <w:rPr>
                <w:rFonts w:ascii="Arial"/>
                <w:sz w:val="21"/>
                <w:highlight w:val="none"/>
              </w:rPr>
            </w:pPr>
          </w:p>
          <w:p w14:paraId="486B5C72">
            <w:pPr>
              <w:spacing w:line="248" w:lineRule="auto"/>
              <w:rPr>
                <w:rFonts w:ascii="Arial"/>
                <w:sz w:val="21"/>
                <w:highlight w:val="none"/>
              </w:rPr>
            </w:pPr>
          </w:p>
          <w:p w14:paraId="6A82AA73">
            <w:pPr>
              <w:spacing w:line="248" w:lineRule="auto"/>
              <w:rPr>
                <w:rFonts w:ascii="Arial"/>
                <w:sz w:val="21"/>
                <w:highlight w:val="none"/>
              </w:rPr>
            </w:pPr>
          </w:p>
          <w:p w14:paraId="62F26972">
            <w:pPr>
              <w:spacing w:line="248" w:lineRule="auto"/>
              <w:rPr>
                <w:rFonts w:ascii="Arial"/>
                <w:sz w:val="21"/>
                <w:highlight w:val="none"/>
              </w:rPr>
            </w:pPr>
          </w:p>
          <w:p w14:paraId="49AFA0C6">
            <w:pPr>
              <w:spacing w:line="248" w:lineRule="auto"/>
              <w:rPr>
                <w:rFonts w:ascii="Arial"/>
                <w:sz w:val="21"/>
                <w:highlight w:val="none"/>
              </w:rPr>
            </w:pPr>
          </w:p>
          <w:p w14:paraId="4F096E81">
            <w:pPr>
              <w:spacing w:line="248" w:lineRule="auto"/>
              <w:rPr>
                <w:rFonts w:ascii="Arial"/>
                <w:sz w:val="21"/>
                <w:highlight w:val="none"/>
              </w:rPr>
            </w:pPr>
          </w:p>
          <w:p w14:paraId="250353BE">
            <w:pPr>
              <w:spacing w:line="248" w:lineRule="auto"/>
              <w:rPr>
                <w:rFonts w:ascii="Arial"/>
                <w:sz w:val="21"/>
                <w:highlight w:val="none"/>
              </w:rPr>
            </w:pPr>
          </w:p>
          <w:p w14:paraId="0A5C18F1">
            <w:pPr>
              <w:spacing w:line="248" w:lineRule="auto"/>
              <w:rPr>
                <w:rFonts w:ascii="Arial"/>
                <w:sz w:val="21"/>
                <w:highlight w:val="none"/>
              </w:rPr>
            </w:pPr>
          </w:p>
          <w:p w14:paraId="0E079D21">
            <w:pPr>
              <w:spacing w:line="248" w:lineRule="auto"/>
              <w:rPr>
                <w:rFonts w:ascii="Arial"/>
                <w:sz w:val="21"/>
                <w:highlight w:val="none"/>
              </w:rPr>
            </w:pPr>
          </w:p>
          <w:p w14:paraId="3E48DA09">
            <w:pPr>
              <w:pStyle w:val="24"/>
              <w:spacing w:before="78" w:line="362" w:lineRule="auto"/>
              <w:ind w:left="566" w:right="440" w:hanging="91"/>
              <w:rPr>
                <w:highlight w:val="none"/>
              </w:rPr>
            </w:pPr>
            <w:r>
              <w:rPr>
                <w:spacing w:val="-8"/>
                <w:highlight w:val="none"/>
              </w:rPr>
              <w:t>电子化交易</w:t>
            </w:r>
            <w:r>
              <w:rPr>
                <w:spacing w:val="-2"/>
                <w:highlight w:val="none"/>
              </w:rPr>
              <w:t>注意事项</w:t>
            </w:r>
          </w:p>
        </w:tc>
        <w:tc>
          <w:tcPr>
            <w:tcW w:w="6122" w:type="dxa"/>
            <w:vAlign w:val="top"/>
          </w:tcPr>
          <w:p w14:paraId="58D2B70D">
            <w:pPr>
              <w:pStyle w:val="24"/>
              <w:spacing w:before="115" w:line="360" w:lineRule="auto"/>
              <w:ind w:right="109" w:firstLine="216" w:firstLineChars="100"/>
              <w:jc w:val="both"/>
              <w:rPr>
                <w:sz w:val="21"/>
                <w:szCs w:val="21"/>
                <w:highlight w:val="none"/>
              </w:rPr>
            </w:pPr>
            <w:r>
              <w:rPr>
                <w:spacing w:val="3"/>
                <w:sz w:val="21"/>
                <w:szCs w:val="21"/>
                <w:highlight w:val="none"/>
              </w:rPr>
              <w:t>具体要求：本项目为电子化、无纸化交易项目，投标文</w:t>
            </w:r>
            <w:r>
              <w:rPr>
                <w:spacing w:val="-6"/>
                <w:sz w:val="21"/>
                <w:szCs w:val="21"/>
                <w:highlight w:val="none"/>
              </w:rPr>
              <w:t>件是投标供应商、供应商（以下简称“投标供应商”）通</w:t>
            </w:r>
            <w:r>
              <w:rPr>
                <w:spacing w:val="4"/>
                <w:sz w:val="21"/>
                <w:szCs w:val="21"/>
                <w:highlight w:val="none"/>
              </w:rPr>
              <w:t>过中心投标文件制作系统制作，并经过签章和加密后生</w:t>
            </w:r>
            <w:r>
              <w:rPr>
                <w:spacing w:val="-4"/>
                <w:sz w:val="21"/>
                <w:szCs w:val="21"/>
                <w:highlight w:val="none"/>
              </w:rPr>
              <w:t>成的电子版投标文件。</w:t>
            </w:r>
          </w:p>
          <w:p w14:paraId="59750774">
            <w:pPr>
              <w:pStyle w:val="24"/>
              <w:spacing w:line="360" w:lineRule="auto"/>
              <w:ind w:left="113" w:right="116"/>
              <w:rPr>
                <w:sz w:val="21"/>
                <w:szCs w:val="21"/>
                <w:highlight w:val="none"/>
              </w:rPr>
            </w:pPr>
            <w:r>
              <w:rPr>
                <w:b/>
                <w:bCs/>
                <w:spacing w:val="1"/>
                <w:sz w:val="21"/>
                <w:szCs w:val="21"/>
                <w:highlight w:val="none"/>
              </w:rPr>
              <w:t>温馨提示：本项目为电子化、无纸化交易项目，为保证</w:t>
            </w:r>
            <w:r>
              <w:rPr>
                <w:b/>
                <w:bCs/>
                <w:spacing w:val="-4"/>
                <w:sz w:val="21"/>
                <w:szCs w:val="21"/>
                <w:highlight w:val="none"/>
              </w:rPr>
              <w:t>您能投标成功，请需仔细阅读以下条款。</w:t>
            </w:r>
          </w:p>
          <w:p w14:paraId="1BFD7EBA">
            <w:pPr>
              <w:pStyle w:val="24"/>
              <w:spacing w:line="220" w:lineRule="auto"/>
              <w:ind w:left="115"/>
              <w:rPr>
                <w:sz w:val="21"/>
                <w:szCs w:val="21"/>
                <w:highlight w:val="none"/>
              </w:rPr>
            </w:pPr>
            <w:r>
              <w:rPr>
                <w:b/>
                <w:bCs/>
                <w:spacing w:val="-4"/>
                <w:sz w:val="21"/>
                <w:szCs w:val="21"/>
                <w:highlight w:val="none"/>
              </w:rPr>
              <w:t>一、电子化投标</w:t>
            </w:r>
          </w:p>
          <w:p w14:paraId="27B64B5E">
            <w:pPr>
              <w:pStyle w:val="24"/>
              <w:spacing w:before="181" w:line="220" w:lineRule="auto"/>
              <w:ind w:left="118"/>
              <w:rPr>
                <w:sz w:val="21"/>
                <w:szCs w:val="21"/>
                <w:highlight w:val="none"/>
              </w:rPr>
            </w:pPr>
            <w:r>
              <w:rPr>
                <w:spacing w:val="-3"/>
                <w:sz w:val="21"/>
                <w:szCs w:val="21"/>
                <w:highlight w:val="none"/>
              </w:rPr>
              <w:t>（一）网上投标保证金的缴纳</w:t>
            </w:r>
          </w:p>
          <w:p w14:paraId="77268949">
            <w:pPr>
              <w:pStyle w:val="24"/>
              <w:spacing w:before="183" w:line="360" w:lineRule="auto"/>
              <w:ind w:left="112" w:right="107" w:firstLine="239"/>
              <w:jc w:val="both"/>
              <w:rPr>
                <w:sz w:val="21"/>
                <w:szCs w:val="21"/>
                <w:highlight w:val="none"/>
              </w:rPr>
            </w:pPr>
            <w:r>
              <w:rPr>
                <w:spacing w:val="4"/>
                <w:sz w:val="21"/>
                <w:szCs w:val="21"/>
                <w:highlight w:val="none"/>
              </w:rPr>
              <w:t>根据《河南省财政厅关于优化政府采购营商环境有关</w:t>
            </w:r>
            <w:r>
              <w:rPr>
                <w:spacing w:val="-6"/>
                <w:sz w:val="21"/>
                <w:szCs w:val="21"/>
                <w:highlight w:val="none"/>
              </w:rPr>
              <w:t>问题的通知》（豫财购【2019】4</w:t>
            </w:r>
            <w:r>
              <w:rPr>
                <w:spacing w:val="-26"/>
                <w:sz w:val="21"/>
                <w:szCs w:val="21"/>
                <w:highlight w:val="none"/>
              </w:rPr>
              <w:t xml:space="preserve"> </w:t>
            </w:r>
            <w:r>
              <w:rPr>
                <w:spacing w:val="-6"/>
                <w:sz w:val="21"/>
                <w:szCs w:val="21"/>
                <w:highlight w:val="none"/>
              </w:rPr>
              <w:t>号）第</w:t>
            </w:r>
            <w:r>
              <w:rPr>
                <w:spacing w:val="-29"/>
                <w:sz w:val="21"/>
                <w:szCs w:val="21"/>
                <w:highlight w:val="none"/>
              </w:rPr>
              <w:t xml:space="preserve"> </w:t>
            </w:r>
            <w:r>
              <w:rPr>
                <w:spacing w:val="-6"/>
                <w:sz w:val="21"/>
                <w:szCs w:val="21"/>
                <w:highlight w:val="none"/>
              </w:rPr>
              <w:t>6</w:t>
            </w:r>
            <w:r>
              <w:rPr>
                <w:spacing w:val="-29"/>
                <w:sz w:val="21"/>
                <w:szCs w:val="21"/>
                <w:highlight w:val="none"/>
              </w:rPr>
              <w:t xml:space="preserve"> </w:t>
            </w:r>
            <w:r>
              <w:rPr>
                <w:spacing w:val="-6"/>
                <w:sz w:val="21"/>
                <w:szCs w:val="21"/>
                <w:highlight w:val="none"/>
              </w:rPr>
              <w:t>条</w:t>
            </w:r>
            <w:r>
              <w:rPr>
                <w:spacing w:val="-7"/>
                <w:sz w:val="21"/>
                <w:szCs w:val="21"/>
                <w:highlight w:val="none"/>
              </w:rPr>
              <w:t>的规定，投</w:t>
            </w:r>
            <w:r>
              <w:rPr>
                <w:spacing w:val="-2"/>
                <w:sz w:val="21"/>
                <w:szCs w:val="21"/>
                <w:highlight w:val="none"/>
              </w:rPr>
              <w:t>标保证金不再收取。</w:t>
            </w:r>
          </w:p>
          <w:p w14:paraId="55112E8B">
            <w:pPr>
              <w:pStyle w:val="24"/>
              <w:spacing w:before="1" w:line="218" w:lineRule="auto"/>
              <w:ind w:left="118"/>
              <w:rPr>
                <w:sz w:val="21"/>
                <w:szCs w:val="21"/>
                <w:highlight w:val="none"/>
              </w:rPr>
            </w:pPr>
            <w:r>
              <w:rPr>
                <w:spacing w:val="-3"/>
                <w:sz w:val="21"/>
                <w:szCs w:val="21"/>
                <w:highlight w:val="none"/>
              </w:rPr>
              <w:t>（二）电子化投标文件的签章</w:t>
            </w:r>
          </w:p>
          <w:p w14:paraId="3AE71610">
            <w:pPr>
              <w:pStyle w:val="24"/>
              <w:spacing w:before="183" w:line="360" w:lineRule="auto"/>
              <w:ind w:left="114" w:right="113" w:firstLine="254"/>
              <w:rPr>
                <w:sz w:val="21"/>
                <w:szCs w:val="21"/>
                <w:highlight w:val="none"/>
              </w:rPr>
            </w:pPr>
            <w:r>
              <w:rPr>
                <w:spacing w:val="3"/>
                <w:sz w:val="21"/>
                <w:szCs w:val="21"/>
                <w:highlight w:val="none"/>
              </w:rPr>
              <w:t>1.投标供应商在生成电子化投标文件后，应对电子化</w:t>
            </w:r>
            <w:r>
              <w:rPr>
                <w:spacing w:val="-2"/>
                <w:sz w:val="21"/>
                <w:szCs w:val="21"/>
                <w:highlight w:val="none"/>
              </w:rPr>
              <w:t>投标文件进行签章，未进行签章的视为无效投</w:t>
            </w:r>
            <w:r>
              <w:rPr>
                <w:spacing w:val="-3"/>
                <w:sz w:val="21"/>
                <w:szCs w:val="21"/>
                <w:highlight w:val="none"/>
              </w:rPr>
              <w:t>标。</w:t>
            </w:r>
          </w:p>
          <w:p w14:paraId="77E0B0AE">
            <w:pPr>
              <w:pStyle w:val="24"/>
              <w:spacing w:line="360" w:lineRule="auto"/>
              <w:ind w:left="114" w:right="113" w:firstLine="240"/>
              <w:rPr>
                <w:sz w:val="21"/>
                <w:szCs w:val="21"/>
                <w:highlight w:val="none"/>
              </w:rPr>
            </w:pPr>
            <w:r>
              <w:rPr>
                <w:spacing w:val="2"/>
                <w:sz w:val="21"/>
                <w:szCs w:val="21"/>
                <w:highlight w:val="none"/>
              </w:rPr>
              <w:t>2.</w:t>
            </w:r>
            <w:r>
              <w:rPr>
                <w:b/>
                <w:bCs/>
                <w:spacing w:val="2"/>
                <w:sz w:val="21"/>
                <w:szCs w:val="21"/>
                <w:highlight w:val="none"/>
              </w:rPr>
              <w:t>招标文件中要求投标供应商盖章的，以签盖单</w:t>
            </w:r>
            <w:r>
              <w:rPr>
                <w:b/>
                <w:bCs/>
                <w:spacing w:val="1"/>
                <w:sz w:val="21"/>
                <w:szCs w:val="21"/>
                <w:highlight w:val="none"/>
              </w:rPr>
              <w:t>位章为准；要求法定代表人签章的，以签盖法定代表人签章</w:t>
            </w:r>
            <w:r>
              <w:rPr>
                <w:b/>
                <w:bCs/>
                <w:spacing w:val="-13"/>
                <w:sz w:val="21"/>
                <w:szCs w:val="21"/>
                <w:highlight w:val="none"/>
              </w:rPr>
              <w:t>为准。</w:t>
            </w:r>
          </w:p>
          <w:p w14:paraId="5C222656">
            <w:pPr>
              <w:pStyle w:val="24"/>
              <w:spacing w:before="1" w:line="218" w:lineRule="auto"/>
              <w:ind w:left="118"/>
              <w:rPr>
                <w:sz w:val="21"/>
                <w:szCs w:val="21"/>
                <w:highlight w:val="none"/>
              </w:rPr>
            </w:pPr>
            <w:r>
              <w:rPr>
                <w:spacing w:val="-2"/>
                <w:sz w:val="21"/>
                <w:szCs w:val="21"/>
                <w:highlight w:val="none"/>
              </w:rPr>
              <w:t>（三）电子化投标文件的格式及上传投标</w:t>
            </w:r>
          </w:p>
          <w:p w14:paraId="7843B813">
            <w:pPr>
              <w:pStyle w:val="24"/>
              <w:spacing w:before="185" w:line="329" w:lineRule="auto"/>
              <w:ind w:left="112" w:right="228" w:firstLine="256"/>
              <w:jc w:val="both"/>
              <w:rPr>
                <w:highlight w:val="none"/>
              </w:rPr>
            </w:pPr>
            <w:r>
              <w:rPr>
                <w:spacing w:val="-1"/>
                <w:sz w:val="21"/>
                <w:szCs w:val="21"/>
                <w:highlight w:val="none"/>
              </w:rPr>
              <w:t>1.投标供应商所上传的电子化投标文件，</w:t>
            </w:r>
            <w:r>
              <w:rPr>
                <w:spacing w:val="-2"/>
                <w:sz w:val="21"/>
                <w:szCs w:val="21"/>
                <w:highlight w:val="none"/>
              </w:rPr>
              <w:t>应是通过中</w:t>
            </w:r>
            <w:r>
              <w:rPr>
                <w:spacing w:val="-1"/>
                <w:sz w:val="21"/>
                <w:szCs w:val="21"/>
                <w:highlight w:val="none"/>
              </w:rPr>
              <w:t>心投标文件制作系统制作的（投标文件制作工具下载地</w:t>
            </w:r>
            <w:r>
              <w:rPr>
                <w:spacing w:val="-17"/>
                <w:sz w:val="21"/>
                <w:szCs w:val="21"/>
                <w:highlight w:val="none"/>
              </w:rPr>
              <w:t>址：</w:t>
            </w:r>
          </w:p>
        </w:tc>
      </w:tr>
      <w:tr w14:paraId="50814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3" w:hRule="atLeast"/>
        </w:trPr>
        <w:tc>
          <w:tcPr>
            <w:tcW w:w="1014" w:type="dxa"/>
            <w:vAlign w:val="top"/>
          </w:tcPr>
          <w:p w14:paraId="67109266">
            <w:pPr>
              <w:rPr>
                <w:rFonts w:ascii="Arial"/>
                <w:sz w:val="21"/>
                <w:highlight w:val="none"/>
              </w:rPr>
            </w:pPr>
          </w:p>
        </w:tc>
        <w:tc>
          <w:tcPr>
            <w:tcW w:w="2057" w:type="dxa"/>
            <w:vAlign w:val="top"/>
          </w:tcPr>
          <w:p w14:paraId="73D03958">
            <w:pPr>
              <w:rPr>
                <w:rFonts w:ascii="Arial"/>
                <w:sz w:val="21"/>
                <w:highlight w:val="none"/>
              </w:rPr>
            </w:pPr>
          </w:p>
        </w:tc>
        <w:tc>
          <w:tcPr>
            <w:tcW w:w="6122" w:type="dxa"/>
            <w:vAlign w:val="top"/>
          </w:tcPr>
          <w:p w14:paraId="17E67D6B">
            <w:pPr>
              <w:pStyle w:val="24"/>
              <w:spacing w:before="118" w:line="360" w:lineRule="auto"/>
              <w:ind w:left="110" w:right="228" w:hanging="1"/>
              <w:jc w:val="both"/>
              <w:rPr>
                <w:highlight w:val="none"/>
              </w:rPr>
            </w:pP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https://download.bqpoint.com/download/do</w:t>
            </w:r>
            <w:r>
              <w:rPr>
                <w:spacing w:val="-1"/>
                <w:highlight w:val="none"/>
              </w:rPr>
              <w:t>wnloadde</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tail.html?SourceFrom=Ztb&amp;ZtbSoftXiaQuC</w:t>
            </w:r>
            <w:r>
              <w:rPr>
                <w:spacing w:val="-1"/>
                <w:highlight w:val="none"/>
              </w:rPr>
              <w:t>ode=1506&amp;Z</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tbSoftType=tballinclusive</w:t>
            </w:r>
            <w:r>
              <w:rPr>
                <w:highlight w:val="none"/>
              </w:rPr>
              <w:fldChar w:fldCharType="end"/>
            </w:r>
            <w:r>
              <w:rPr>
                <w:spacing w:val="-61"/>
                <w:w w:val="97"/>
                <w:highlight w:val="none"/>
              </w:rPr>
              <w:t>），</w:t>
            </w:r>
            <w:r>
              <w:rPr>
                <w:highlight w:val="none"/>
              </w:rPr>
              <w:t>经过签章</w:t>
            </w:r>
            <w:r>
              <w:rPr>
                <w:spacing w:val="-1"/>
                <w:highlight w:val="none"/>
              </w:rPr>
              <w:t>和加密后生成的电子版投标文件。其中包含用于投标文件上传的主文件（后缀为.smxtf）和用于应急补救的投标文件备份文</w:t>
            </w:r>
          </w:p>
          <w:p w14:paraId="33022FB0">
            <w:pPr>
              <w:pStyle w:val="24"/>
              <w:spacing w:line="219" w:lineRule="auto"/>
              <w:ind w:left="110"/>
              <w:rPr>
                <w:highlight w:val="none"/>
              </w:rPr>
            </w:pPr>
            <w:r>
              <w:rPr>
                <w:spacing w:val="-7"/>
                <w:highlight w:val="none"/>
              </w:rPr>
              <w:t>件（后缀为.nsmxtf）。</w:t>
            </w:r>
          </w:p>
          <w:p w14:paraId="1B7B9D26">
            <w:pPr>
              <w:pStyle w:val="24"/>
              <w:spacing w:before="183" w:line="360" w:lineRule="auto"/>
              <w:ind w:left="114" w:right="113" w:firstLine="240"/>
              <w:jc w:val="both"/>
              <w:rPr>
                <w:highlight w:val="none"/>
              </w:rPr>
            </w:pPr>
            <w:r>
              <w:rPr>
                <w:spacing w:val="4"/>
                <w:highlight w:val="none"/>
              </w:rPr>
              <w:t>2.电子化投标文件应在投标截止时间前成功上传至三</w:t>
            </w:r>
            <w:r>
              <w:rPr>
                <w:spacing w:val="2"/>
                <w:highlight w:val="none"/>
              </w:rPr>
              <w:t>门峡市公共资源电子化交易系统。至投标截止时间止，</w:t>
            </w:r>
            <w:r>
              <w:rPr>
                <w:spacing w:val="-3"/>
                <w:highlight w:val="none"/>
              </w:rPr>
              <w:t>仍未上传成功的电子化投标文件将不予接收。</w:t>
            </w:r>
          </w:p>
          <w:p w14:paraId="4F33EA63">
            <w:pPr>
              <w:pStyle w:val="24"/>
              <w:spacing w:line="360" w:lineRule="auto"/>
              <w:ind w:left="112" w:right="25" w:firstLine="481"/>
              <w:jc w:val="both"/>
              <w:rPr>
                <w:highlight w:val="none"/>
              </w:rPr>
            </w:pPr>
            <w:r>
              <w:rPr>
                <w:b/>
                <w:bCs/>
                <w:spacing w:val="4"/>
                <w:highlight w:val="none"/>
              </w:rPr>
              <w:t>注：</w:t>
            </w:r>
            <w:r>
              <w:rPr>
                <w:spacing w:val="4"/>
                <w:highlight w:val="none"/>
              </w:rPr>
              <w:t>如按照电子化投标操作教材制作完成的电子化</w:t>
            </w:r>
            <w:r>
              <w:rPr>
                <w:spacing w:val="3"/>
                <w:highlight w:val="none"/>
              </w:rPr>
              <w:t>投标文件无法上传的，投标供应商应在</w:t>
            </w:r>
            <w:r>
              <w:rPr>
                <w:b/>
                <w:bCs/>
                <w:spacing w:val="3"/>
                <w:highlight w:val="none"/>
              </w:rPr>
              <w:t>投标截止时间前</w:t>
            </w:r>
            <w:r>
              <w:rPr>
                <w:b/>
                <w:bCs/>
                <w:spacing w:val="-3"/>
                <w:highlight w:val="none"/>
              </w:rPr>
              <w:t>尽早的</w:t>
            </w:r>
            <w:r>
              <w:rPr>
                <w:spacing w:val="-3"/>
                <w:highlight w:val="none"/>
              </w:rPr>
              <w:t>联系中心技术人员，以便有充分的时间进行处理。</w:t>
            </w:r>
            <w:r>
              <w:rPr>
                <w:b/>
                <w:bCs/>
                <w:spacing w:val="1"/>
                <w:highlight w:val="none"/>
              </w:rPr>
              <w:t>投标供应商应充分考虑到处理技术问题和上传数据等工作所需的时间问题，投标文件未在投标截止时间前成功</w:t>
            </w:r>
            <w:r>
              <w:rPr>
                <w:b/>
                <w:bCs/>
                <w:spacing w:val="-3"/>
                <w:highlight w:val="none"/>
              </w:rPr>
              <w:t>上传的，其投标文件不予接收。</w:t>
            </w:r>
          </w:p>
          <w:p w14:paraId="286A46A2">
            <w:pPr>
              <w:pStyle w:val="24"/>
              <w:spacing w:line="220" w:lineRule="auto"/>
              <w:ind w:left="112"/>
              <w:rPr>
                <w:highlight w:val="none"/>
              </w:rPr>
            </w:pPr>
            <w:r>
              <w:rPr>
                <w:spacing w:val="-1"/>
                <w:highlight w:val="none"/>
              </w:rPr>
              <w:t>新点客服电话:4009980000</w:t>
            </w:r>
          </w:p>
          <w:p w14:paraId="4610DE8C">
            <w:pPr>
              <w:pStyle w:val="24"/>
              <w:spacing w:before="182" w:line="220" w:lineRule="auto"/>
              <w:ind w:left="118"/>
              <w:rPr>
                <w:highlight w:val="none"/>
              </w:rPr>
            </w:pPr>
            <w:r>
              <w:rPr>
                <w:spacing w:val="-2"/>
                <w:highlight w:val="none"/>
              </w:rPr>
              <w:t>（四）电子化项目开标、解密、唱标、评标</w:t>
            </w:r>
          </w:p>
          <w:p w14:paraId="40519779">
            <w:pPr>
              <w:pStyle w:val="24"/>
              <w:spacing w:before="182" w:line="360" w:lineRule="auto"/>
              <w:ind w:left="109" w:right="108" w:firstLine="260"/>
              <w:rPr>
                <w:highlight w:val="none"/>
              </w:rPr>
            </w:pPr>
            <w:r>
              <w:rPr>
                <w:spacing w:val="1"/>
                <w:highlight w:val="none"/>
              </w:rPr>
              <w:t>1.本项目采用</w:t>
            </w:r>
            <w:r>
              <w:rPr>
                <w:b/>
                <w:bCs/>
                <w:spacing w:val="1"/>
                <w:highlight w:val="none"/>
              </w:rPr>
              <w:t>电子化、无纸化</w:t>
            </w:r>
            <w:r>
              <w:rPr>
                <w:spacing w:val="1"/>
                <w:highlight w:val="none"/>
              </w:rPr>
              <w:t>进行招标，开标</w:t>
            </w:r>
            <w:r>
              <w:rPr>
                <w:highlight w:val="none"/>
              </w:rPr>
              <w:t>当日，</w:t>
            </w:r>
            <w:r>
              <w:rPr>
                <w:spacing w:val="2"/>
                <w:highlight w:val="none"/>
              </w:rPr>
              <w:t>投标供应商无需到开标现场参加开标会议，</w:t>
            </w:r>
            <w:r>
              <w:rPr>
                <w:spacing w:val="-55"/>
                <w:highlight w:val="none"/>
              </w:rPr>
              <w:t xml:space="preserve"> </w:t>
            </w:r>
            <w:r>
              <w:rPr>
                <w:spacing w:val="2"/>
                <w:highlight w:val="none"/>
              </w:rPr>
              <w:t>投标供</w:t>
            </w:r>
            <w:r>
              <w:rPr>
                <w:spacing w:val="1"/>
                <w:highlight w:val="none"/>
              </w:rPr>
              <w:t>应商</w:t>
            </w:r>
            <w:r>
              <w:rPr>
                <w:spacing w:val="4"/>
                <w:highlight w:val="none"/>
              </w:rPr>
              <w:t>应当在投标截止时间前，登陆不见面开标大厅选择登陆</w:t>
            </w:r>
            <w:r>
              <w:rPr>
                <w:spacing w:val="15"/>
                <w:highlight w:val="none"/>
              </w:rPr>
              <w:t>三门峡市公共资源电子招投标系统进行登陆（网址为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http://120.194.249.36:10094/BidOpening/b</w:t>
            </w:r>
            <w:r>
              <w:rPr>
                <w:spacing w:val="-1"/>
                <w:highlight w:val="none"/>
              </w:rPr>
              <w:t>idopenin</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ghallaction/hall/login</w:t>
            </w:r>
            <w:r>
              <w:rPr>
                <w:highlight w:val="none"/>
              </w:rPr>
              <w:fldChar w:fldCharType="end"/>
            </w:r>
            <w:r>
              <w:rPr>
                <w:highlight w:val="none"/>
              </w:rPr>
              <w:t>）,在线准时</w:t>
            </w:r>
            <w:r>
              <w:rPr>
                <w:spacing w:val="-1"/>
                <w:highlight w:val="none"/>
              </w:rPr>
              <w:t>参加开标活动并进行投标文件解密等</w:t>
            </w:r>
          </w:p>
          <w:p w14:paraId="40F77C9E">
            <w:pPr>
              <w:pStyle w:val="24"/>
              <w:spacing w:before="4" w:line="341" w:lineRule="auto"/>
              <w:ind w:left="110" w:right="108" w:firstLine="243"/>
              <w:rPr>
                <w:highlight w:val="none"/>
              </w:rPr>
            </w:pPr>
            <w:r>
              <w:rPr>
                <w:spacing w:val="2"/>
                <w:highlight w:val="none"/>
              </w:rPr>
              <w:t>2.电子化投标文件采用一次加密方式。开标时，</w:t>
            </w:r>
            <w:r>
              <w:rPr>
                <w:spacing w:val="-67"/>
                <w:highlight w:val="none"/>
              </w:rPr>
              <w:t xml:space="preserve"> </w:t>
            </w:r>
            <w:r>
              <w:rPr>
                <w:spacing w:val="2"/>
                <w:highlight w:val="none"/>
              </w:rPr>
              <w:t>由投</w:t>
            </w:r>
            <w:r>
              <w:rPr>
                <w:spacing w:val="-3"/>
                <w:highlight w:val="none"/>
              </w:rPr>
              <w:t>标供应商使用</w:t>
            </w:r>
            <w:r>
              <w:rPr>
                <w:spacing w:val="-51"/>
                <w:highlight w:val="none"/>
              </w:rPr>
              <w:t xml:space="preserve"> </w:t>
            </w:r>
            <w:r>
              <w:rPr>
                <w:spacing w:val="-3"/>
                <w:highlight w:val="none"/>
              </w:rPr>
              <w:t>CA 证书，在规定时间内对其电子化投标文</w:t>
            </w:r>
            <w:r>
              <w:rPr>
                <w:spacing w:val="4"/>
                <w:highlight w:val="none"/>
              </w:rPr>
              <w:t>件进行解密。每位投标供应商的解密时间为开标时间起</w:t>
            </w:r>
            <w:r>
              <w:rPr>
                <w:spacing w:val="-1"/>
                <w:highlight w:val="none"/>
              </w:rPr>
              <w:t>30 分钟内，如在规定时间内未完成解密的，其投标文件</w:t>
            </w:r>
            <w:r>
              <w:rPr>
                <w:spacing w:val="-5"/>
                <w:highlight w:val="none"/>
              </w:rPr>
              <w:t>不予开标、唱标。</w:t>
            </w:r>
          </w:p>
        </w:tc>
      </w:tr>
    </w:tbl>
    <w:p w14:paraId="1C2E879D">
      <w:pPr>
        <w:rPr>
          <w:rFonts w:ascii="Arial"/>
          <w:sz w:val="21"/>
          <w:highlight w:val="none"/>
        </w:rPr>
      </w:pPr>
    </w:p>
    <w:p w14:paraId="4DDB83D5">
      <w:pPr>
        <w:rPr>
          <w:rFonts w:ascii="Arial" w:hAnsi="Arial" w:eastAsia="Arial" w:cs="Arial"/>
          <w:sz w:val="21"/>
          <w:szCs w:val="21"/>
          <w:highlight w:val="none"/>
        </w:rPr>
        <w:sectPr>
          <w:footerReference r:id="rId9" w:type="default"/>
          <w:pgSz w:w="11907" w:h="16839"/>
          <w:pgMar w:top="1431" w:right="1267" w:bottom="1159" w:left="1440" w:header="0" w:footer="959" w:gutter="0"/>
          <w:cols w:space="720" w:num="1"/>
        </w:sectPr>
      </w:pPr>
    </w:p>
    <w:p w14:paraId="2F7B5E38">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37538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3" w:hRule="atLeast"/>
        </w:trPr>
        <w:tc>
          <w:tcPr>
            <w:tcW w:w="1014" w:type="dxa"/>
            <w:vAlign w:val="top"/>
          </w:tcPr>
          <w:p w14:paraId="5477CE52">
            <w:pPr>
              <w:rPr>
                <w:rFonts w:ascii="Arial"/>
                <w:sz w:val="21"/>
                <w:highlight w:val="none"/>
              </w:rPr>
            </w:pPr>
          </w:p>
        </w:tc>
        <w:tc>
          <w:tcPr>
            <w:tcW w:w="2083" w:type="dxa"/>
            <w:vAlign w:val="top"/>
          </w:tcPr>
          <w:p w14:paraId="48AFC096">
            <w:pPr>
              <w:rPr>
                <w:rFonts w:ascii="Arial"/>
                <w:sz w:val="21"/>
                <w:highlight w:val="none"/>
              </w:rPr>
            </w:pPr>
          </w:p>
        </w:tc>
        <w:tc>
          <w:tcPr>
            <w:tcW w:w="6096" w:type="dxa"/>
            <w:vAlign w:val="top"/>
          </w:tcPr>
          <w:p w14:paraId="1DF445A3">
            <w:pPr>
              <w:pStyle w:val="24"/>
              <w:spacing w:before="117" w:line="220" w:lineRule="auto"/>
              <w:ind w:left="356"/>
              <w:rPr>
                <w:highlight w:val="none"/>
              </w:rPr>
            </w:pPr>
            <w:r>
              <w:rPr>
                <w:spacing w:val="-1"/>
                <w:highlight w:val="none"/>
              </w:rPr>
              <w:t>3.电子化投标文件解密异常的处理</w:t>
            </w:r>
          </w:p>
          <w:p w14:paraId="68A21EAF">
            <w:pPr>
              <w:pStyle w:val="24"/>
              <w:spacing w:before="183" w:line="360" w:lineRule="auto"/>
              <w:ind w:left="110" w:right="113" w:firstLine="244"/>
              <w:rPr>
                <w:highlight w:val="none"/>
              </w:rPr>
            </w:pPr>
            <w:r>
              <w:rPr>
                <w:spacing w:val="4"/>
                <w:highlight w:val="none"/>
              </w:rPr>
              <w:t>如出现投标供应商的电子投标文件无法解密等异常情况，投标供应商应及时致电中介服务机构说明。投标文</w:t>
            </w:r>
            <w:r>
              <w:rPr>
                <w:spacing w:val="-5"/>
                <w:highlight w:val="none"/>
              </w:rPr>
              <w:t>件异常，按以下步骤进行处理：</w:t>
            </w:r>
          </w:p>
          <w:p w14:paraId="7579B279">
            <w:pPr>
              <w:pStyle w:val="24"/>
              <w:spacing w:line="219" w:lineRule="auto"/>
              <w:ind w:left="358"/>
              <w:rPr>
                <w:highlight w:val="none"/>
              </w:rPr>
            </w:pPr>
            <w:r>
              <w:rPr>
                <w:spacing w:val="-3"/>
                <w:highlight w:val="none"/>
              </w:rPr>
              <w:t>（1）首先由技术人员进行问题排查。</w:t>
            </w:r>
          </w:p>
          <w:p w14:paraId="55FF4329">
            <w:pPr>
              <w:pStyle w:val="24"/>
              <w:spacing w:before="183" w:line="360" w:lineRule="auto"/>
              <w:ind w:left="112" w:right="109" w:firstLine="245"/>
              <w:rPr>
                <w:highlight w:val="none"/>
              </w:rPr>
            </w:pPr>
            <w:r>
              <w:rPr>
                <w:spacing w:val="-2"/>
                <w:highlight w:val="none"/>
              </w:rPr>
              <w:t>（2）经技术人员排查后，是投标供应商文件自身问题</w:t>
            </w:r>
            <w:r>
              <w:rPr>
                <w:spacing w:val="4"/>
                <w:highlight w:val="none"/>
              </w:rPr>
              <w:t>导致投标文件无法解密的，该投标文件将不予接收、解</w:t>
            </w:r>
            <w:r>
              <w:rPr>
                <w:spacing w:val="-3"/>
                <w:highlight w:val="none"/>
              </w:rPr>
              <w:t>密和唱标。开标会议继续进行。</w:t>
            </w:r>
          </w:p>
          <w:p w14:paraId="390F1368">
            <w:pPr>
              <w:pStyle w:val="24"/>
              <w:spacing w:line="360" w:lineRule="auto"/>
              <w:ind w:left="110" w:right="109" w:firstLine="247"/>
              <w:rPr>
                <w:highlight w:val="none"/>
              </w:rPr>
            </w:pPr>
            <w:r>
              <w:rPr>
                <w:spacing w:val="-2"/>
                <w:highlight w:val="none"/>
              </w:rPr>
              <w:t>（3）经技术人员排查后，如果是电子化交易系统问题</w:t>
            </w:r>
            <w:r>
              <w:rPr>
                <w:spacing w:val="4"/>
                <w:highlight w:val="none"/>
              </w:rPr>
              <w:t>造成投标文件无法解密的，将由技术人员对问题进行处理。如短时间内问题无法解决的，将由中介服务机构向监督部门申请，经监督部门同意后，暂停开标会议，待</w:t>
            </w:r>
            <w:r>
              <w:rPr>
                <w:spacing w:val="-4"/>
                <w:highlight w:val="none"/>
              </w:rPr>
              <w:t>问题解决后继续开标。</w:t>
            </w:r>
          </w:p>
          <w:p w14:paraId="3F141E2E">
            <w:pPr>
              <w:pStyle w:val="24"/>
              <w:spacing w:line="360" w:lineRule="auto"/>
              <w:ind w:left="113" w:right="113" w:firstLine="237"/>
              <w:rPr>
                <w:highlight w:val="none"/>
              </w:rPr>
            </w:pPr>
            <w:r>
              <w:rPr>
                <w:spacing w:val="2"/>
                <w:highlight w:val="none"/>
              </w:rPr>
              <w:t>4.待所有投标供应商投标文件解密完成后，</w:t>
            </w:r>
            <w:r>
              <w:rPr>
                <w:spacing w:val="-63"/>
                <w:highlight w:val="none"/>
              </w:rPr>
              <w:t xml:space="preserve"> </w:t>
            </w:r>
            <w:r>
              <w:rPr>
                <w:spacing w:val="2"/>
                <w:highlight w:val="none"/>
              </w:rPr>
              <w:t>由中介服</w:t>
            </w:r>
            <w:r>
              <w:rPr>
                <w:spacing w:val="-3"/>
                <w:highlight w:val="none"/>
              </w:rPr>
              <w:t>务机构操作，对所有已解密投标文件进行唱标。</w:t>
            </w:r>
          </w:p>
          <w:p w14:paraId="397BAA08">
            <w:pPr>
              <w:pStyle w:val="24"/>
              <w:spacing w:line="360" w:lineRule="auto"/>
              <w:ind w:left="112" w:right="113" w:firstLine="241"/>
              <w:jc w:val="both"/>
              <w:rPr>
                <w:highlight w:val="none"/>
              </w:rPr>
            </w:pPr>
            <w:r>
              <w:rPr>
                <w:b/>
                <w:bCs/>
                <w:spacing w:val="2"/>
                <w:highlight w:val="none"/>
              </w:rPr>
              <w:t>投标供应商应保证在开标期间电话、电脑、网</w:t>
            </w:r>
            <w:r>
              <w:rPr>
                <w:b/>
                <w:bCs/>
                <w:spacing w:val="1"/>
                <w:highlight w:val="none"/>
              </w:rPr>
              <w:t>络能够正常工作，投标供应商因停电、电脑病毒、网络堵塞等原因，未在规定的解密时间内对投标文件进行解密的，</w:t>
            </w:r>
            <w:r>
              <w:rPr>
                <w:b/>
                <w:bCs/>
                <w:spacing w:val="-4"/>
                <w:highlight w:val="none"/>
              </w:rPr>
              <w:t>其投标文件不予接收、唱标。</w:t>
            </w:r>
          </w:p>
          <w:p w14:paraId="52EEEDF6">
            <w:pPr>
              <w:pStyle w:val="24"/>
              <w:spacing w:line="360" w:lineRule="auto"/>
              <w:ind w:left="111" w:right="107" w:firstLine="244"/>
              <w:rPr>
                <w:highlight w:val="none"/>
              </w:rPr>
            </w:pPr>
            <w:r>
              <w:rPr>
                <w:spacing w:val="4"/>
                <w:highlight w:val="none"/>
              </w:rPr>
              <w:t>5.开标时投标供应商可登录到交易系统中在开标解密栏中点击报价一览表查看自己的投标报价。如对自己的</w:t>
            </w:r>
            <w:r>
              <w:rPr>
                <w:spacing w:val="-2"/>
                <w:highlight w:val="none"/>
              </w:rPr>
              <w:t>唱标内容有异议的，应在投标供应商解密成功后</w:t>
            </w:r>
            <w:r>
              <w:rPr>
                <w:spacing w:val="-32"/>
                <w:highlight w:val="none"/>
              </w:rPr>
              <w:t xml:space="preserve"> </w:t>
            </w:r>
            <w:r>
              <w:rPr>
                <w:spacing w:val="-2"/>
                <w:highlight w:val="none"/>
              </w:rPr>
              <w:t>10</w:t>
            </w:r>
            <w:r>
              <w:rPr>
                <w:spacing w:val="-48"/>
                <w:highlight w:val="none"/>
              </w:rPr>
              <w:t xml:space="preserve"> </w:t>
            </w:r>
            <w:r>
              <w:rPr>
                <w:spacing w:val="-2"/>
                <w:highlight w:val="none"/>
              </w:rPr>
              <w:t>分钟</w:t>
            </w:r>
            <w:r>
              <w:rPr>
                <w:spacing w:val="4"/>
                <w:highlight w:val="none"/>
              </w:rPr>
              <w:t>内向中介服务机构电话质疑。中介服务机构应在监督人员的监督下进行免提通话接受投标供应商的质疑并做好书面记录。投标供应商未在规定时间内提出质疑的，视</w:t>
            </w:r>
            <w:r>
              <w:rPr>
                <w:spacing w:val="-5"/>
                <w:highlight w:val="none"/>
              </w:rPr>
              <w:t>为认可唱标内容。</w:t>
            </w:r>
          </w:p>
          <w:p w14:paraId="33969AD6">
            <w:pPr>
              <w:pStyle w:val="24"/>
              <w:spacing w:before="2" w:line="329" w:lineRule="auto"/>
              <w:ind w:left="109" w:right="109" w:firstLine="243"/>
              <w:rPr>
                <w:highlight w:val="none"/>
              </w:rPr>
            </w:pPr>
            <w:r>
              <w:rPr>
                <w:spacing w:val="4"/>
                <w:highlight w:val="none"/>
              </w:rPr>
              <w:t>6.评标时，评标委员会对电子化投标文件有质疑的，将通过电子化交易系统对投标供应商发起质疑，并在监督人员的监督下，用免提模式致电需要答复的投标供应</w:t>
            </w:r>
          </w:p>
        </w:tc>
      </w:tr>
    </w:tbl>
    <w:p w14:paraId="5242E91A">
      <w:pPr>
        <w:rPr>
          <w:rFonts w:ascii="Arial"/>
          <w:sz w:val="21"/>
          <w:highlight w:val="none"/>
        </w:rPr>
      </w:pPr>
    </w:p>
    <w:p w14:paraId="5EA84293">
      <w:pPr>
        <w:rPr>
          <w:rFonts w:ascii="Arial" w:hAnsi="Arial" w:eastAsia="Arial" w:cs="Arial"/>
          <w:sz w:val="21"/>
          <w:szCs w:val="21"/>
          <w:highlight w:val="none"/>
        </w:rPr>
        <w:sectPr>
          <w:footerReference r:id="rId10" w:type="default"/>
          <w:pgSz w:w="11907" w:h="16839"/>
          <w:pgMar w:top="1431" w:right="1267" w:bottom="1159" w:left="1440" w:header="0" w:footer="957" w:gutter="0"/>
          <w:cols w:space="720" w:num="1"/>
        </w:sectPr>
      </w:pPr>
    </w:p>
    <w:p w14:paraId="2910D904">
      <w:pPr>
        <w:spacing w:line="91" w:lineRule="auto"/>
        <w:rPr>
          <w:rFonts w:ascii="Arial"/>
          <w:sz w:val="2"/>
          <w:highlight w:val="none"/>
        </w:rPr>
      </w:pPr>
    </w:p>
    <w:tbl>
      <w:tblPr>
        <w:tblStyle w:val="23"/>
        <w:tblW w:w="919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1920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8" w:hRule="atLeast"/>
        </w:trPr>
        <w:tc>
          <w:tcPr>
            <w:tcW w:w="1014" w:type="dxa"/>
            <w:vAlign w:val="top"/>
          </w:tcPr>
          <w:p w14:paraId="323DE9C2">
            <w:pPr>
              <w:rPr>
                <w:rFonts w:ascii="Arial"/>
                <w:sz w:val="21"/>
                <w:highlight w:val="none"/>
              </w:rPr>
            </w:pPr>
          </w:p>
        </w:tc>
        <w:tc>
          <w:tcPr>
            <w:tcW w:w="2083" w:type="dxa"/>
            <w:vAlign w:val="top"/>
          </w:tcPr>
          <w:p w14:paraId="040258B3">
            <w:pPr>
              <w:rPr>
                <w:rFonts w:ascii="Arial"/>
                <w:sz w:val="21"/>
                <w:highlight w:val="none"/>
              </w:rPr>
            </w:pPr>
          </w:p>
        </w:tc>
        <w:tc>
          <w:tcPr>
            <w:tcW w:w="6096" w:type="dxa"/>
            <w:vAlign w:val="top"/>
          </w:tcPr>
          <w:p w14:paraId="5B510252">
            <w:pPr>
              <w:pStyle w:val="24"/>
              <w:spacing w:before="118" w:line="360" w:lineRule="auto"/>
              <w:ind w:left="114" w:right="109" w:firstLine="1"/>
              <w:jc w:val="both"/>
              <w:rPr>
                <w:highlight w:val="none"/>
              </w:rPr>
            </w:pPr>
            <w:r>
              <w:rPr>
                <w:spacing w:val="4"/>
                <w:highlight w:val="none"/>
              </w:rPr>
              <w:t>商对质疑进行回复。投标供应商的回复文件必须以经过</w:t>
            </w:r>
            <w:r>
              <w:rPr>
                <w:spacing w:val="-1"/>
                <w:highlight w:val="none"/>
              </w:rPr>
              <w:t>投标供应商和其法定代表人签章的 PDF 格式文件为准，</w:t>
            </w:r>
            <w:r>
              <w:rPr>
                <w:spacing w:val="-3"/>
                <w:highlight w:val="none"/>
              </w:rPr>
              <w:t>并通过电子化交易系统提交至评标委员会。</w:t>
            </w:r>
          </w:p>
          <w:p w14:paraId="3D6BD0A9">
            <w:pPr>
              <w:pStyle w:val="24"/>
              <w:spacing w:line="360" w:lineRule="auto"/>
              <w:ind w:left="139" w:right="109" w:firstLine="217"/>
              <w:jc w:val="both"/>
              <w:rPr>
                <w:highlight w:val="none"/>
              </w:rPr>
            </w:pPr>
            <w:r>
              <w:rPr>
                <w:spacing w:val="4"/>
                <w:highlight w:val="none"/>
              </w:rPr>
              <w:t>7.如评标委员会对需要回复的投标供应商连续三次致</w:t>
            </w:r>
            <w:r>
              <w:rPr>
                <w:spacing w:val="3"/>
                <w:highlight w:val="none"/>
              </w:rPr>
              <w:t>电未接通的，视为投标供应商放弃回复，评标委员会将</w:t>
            </w:r>
            <w:r>
              <w:rPr>
                <w:spacing w:val="-5"/>
                <w:highlight w:val="none"/>
              </w:rPr>
              <w:t>自行对需要回复的内容进行认定。</w:t>
            </w:r>
          </w:p>
          <w:p w14:paraId="47D331F0">
            <w:pPr>
              <w:pStyle w:val="24"/>
              <w:spacing w:before="1" w:line="218" w:lineRule="auto"/>
              <w:ind w:left="350"/>
              <w:rPr>
                <w:highlight w:val="none"/>
              </w:rPr>
            </w:pPr>
            <w:r>
              <w:rPr>
                <w:spacing w:val="-3"/>
                <w:highlight w:val="none"/>
              </w:rPr>
              <w:t>评标委员会对原件的核验工作按以下条款进行：</w:t>
            </w:r>
          </w:p>
          <w:p w14:paraId="0582C5C7">
            <w:pPr>
              <w:pStyle w:val="24"/>
              <w:spacing w:before="184" w:line="360" w:lineRule="auto"/>
              <w:ind w:left="117" w:right="113" w:firstLine="475"/>
              <w:jc w:val="both"/>
              <w:rPr>
                <w:highlight w:val="none"/>
              </w:rPr>
            </w:pPr>
            <w:r>
              <w:rPr>
                <w:b/>
                <w:bCs/>
                <w:spacing w:val="2"/>
                <w:highlight w:val="none"/>
              </w:rPr>
              <w:t>评标时，评委先查阅投标文件中是否具有该资料的</w:t>
            </w:r>
            <w:r>
              <w:rPr>
                <w:b/>
                <w:bCs/>
                <w:spacing w:val="1"/>
                <w:highlight w:val="none"/>
              </w:rPr>
              <w:t>原件扫描件，其上传资料真实性由供应商自行承担，同</w:t>
            </w:r>
            <w:r>
              <w:rPr>
                <w:b/>
                <w:bCs/>
                <w:spacing w:val="-3"/>
                <w:highlight w:val="none"/>
              </w:rPr>
              <w:t>时，供应商请完善主体库。</w:t>
            </w:r>
          </w:p>
          <w:p w14:paraId="1469D202">
            <w:pPr>
              <w:pStyle w:val="24"/>
              <w:spacing w:line="360" w:lineRule="auto"/>
              <w:ind w:left="110" w:right="118" w:firstLine="485"/>
              <w:rPr>
                <w:highlight w:val="none"/>
              </w:rPr>
            </w:pPr>
            <w:r>
              <w:rPr>
                <w:spacing w:val="4"/>
                <w:highlight w:val="none"/>
              </w:rPr>
              <w:t>具体操作详见《三门峡市公共资源交易服务平台市</w:t>
            </w:r>
            <w:r>
              <w:rPr>
                <w:spacing w:val="-11"/>
                <w:highlight w:val="none"/>
              </w:rPr>
              <w:t>场主体信息库操作手册》。链接地址：</w:t>
            </w:r>
          </w:p>
          <w:p w14:paraId="04388126">
            <w:pPr>
              <w:pStyle w:val="24"/>
              <w:spacing w:line="360" w:lineRule="auto"/>
              <w:ind w:left="108" w:right="228" w:firstLine="480"/>
              <w:rPr>
                <w:highlight w:val="none"/>
              </w:rPr>
            </w:pPr>
            <w:r>
              <w:rPr>
                <w:highlight w:val="none"/>
              </w:rPr>
              <w:fldChar w:fldCharType="begin"/>
            </w:r>
            <w:r>
              <w:rPr>
                <w:highlight w:val="none"/>
              </w:rPr>
              <w:instrText xml:space="preserve"> HYPERLINK "http://gzjy.smx.gov.cn/fwzn/004003/20200325/" </w:instrText>
            </w:r>
            <w:r>
              <w:rPr>
                <w:highlight w:val="none"/>
              </w:rPr>
              <w:fldChar w:fldCharType="separate"/>
            </w:r>
            <w:r>
              <w:rPr>
                <w:highlight w:val="none"/>
              </w:rPr>
              <w:t>http://gzjy.smx.gov.cn/fwzn/004003/2</w:t>
            </w:r>
            <w:r>
              <w:rPr>
                <w:spacing w:val="-1"/>
                <w:highlight w:val="none"/>
              </w:rPr>
              <w:t>0200325/</w:t>
            </w:r>
            <w:r>
              <w:rPr>
                <w:spacing w:val="-1"/>
                <w:highlight w:val="none"/>
              </w:rPr>
              <w:fldChar w:fldCharType="end"/>
            </w:r>
            <w:r>
              <w:rPr>
                <w:highlight w:val="none"/>
              </w:rPr>
              <w:t xml:space="preserve"> b13aa3fa-a543-403f-b537-82cb417132</w:t>
            </w:r>
            <w:r>
              <w:rPr>
                <w:spacing w:val="-1"/>
                <w:highlight w:val="none"/>
              </w:rPr>
              <w:t>bd.html</w:t>
            </w:r>
          </w:p>
          <w:p w14:paraId="189EE80D">
            <w:pPr>
              <w:pStyle w:val="24"/>
              <w:spacing w:before="4" w:line="344" w:lineRule="auto"/>
              <w:ind w:left="111" w:right="109" w:firstLine="482"/>
              <w:rPr>
                <w:highlight w:val="none"/>
              </w:rPr>
            </w:pPr>
            <w:r>
              <w:rPr>
                <w:spacing w:val="4"/>
                <w:highlight w:val="none"/>
              </w:rPr>
              <w:t>投标供应商需应仔细阅读操作手册，保证上传内容齐全，真实有效，原件扫描件清晰可辨。因投标供应商上传原因导致应得分项而未得分或资格审查不合格等情</w:t>
            </w:r>
            <w:r>
              <w:rPr>
                <w:spacing w:val="-3"/>
                <w:highlight w:val="none"/>
              </w:rPr>
              <w:t>况的，由投标供应商自行承担责任。</w:t>
            </w:r>
          </w:p>
          <w:p w14:paraId="2AAA5E71">
            <w:pPr>
              <w:pStyle w:val="24"/>
              <w:spacing w:before="2" w:line="343" w:lineRule="auto"/>
              <w:ind w:left="121" w:right="110" w:firstLine="349"/>
              <w:rPr>
                <w:highlight w:val="none"/>
              </w:rPr>
            </w:pPr>
            <w:r>
              <w:rPr>
                <w:b/>
                <w:bCs/>
                <w:spacing w:val="-3"/>
                <w:highlight w:val="none"/>
              </w:rPr>
              <w:t>提示：本项目为电子化、无纸化交易项目，为保证您</w:t>
            </w:r>
            <w:r>
              <w:rPr>
                <w:b/>
                <w:bCs/>
                <w:spacing w:val="-4"/>
                <w:highlight w:val="none"/>
              </w:rPr>
              <w:t>能投标成功，请需仔细阅读以上条款。</w:t>
            </w:r>
          </w:p>
        </w:tc>
      </w:tr>
    </w:tbl>
    <w:p w14:paraId="185AC7F6">
      <w:pPr>
        <w:spacing w:line="285" w:lineRule="auto"/>
        <w:rPr>
          <w:rFonts w:ascii="Arial"/>
          <w:sz w:val="21"/>
          <w:highlight w:val="none"/>
        </w:rPr>
      </w:pPr>
    </w:p>
    <w:p w14:paraId="784869F5">
      <w:pPr>
        <w:pStyle w:val="4"/>
        <w:spacing w:before="117" w:line="220" w:lineRule="auto"/>
        <w:ind w:left="10"/>
        <w:rPr>
          <w:sz w:val="36"/>
          <w:szCs w:val="36"/>
          <w:highlight w:val="none"/>
        </w:rPr>
      </w:pPr>
      <w:r>
        <w:rPr>
          <w:b/>
          <w:bCs/>
          <w:spacing w:val="-16"/>
          <w:sz w:val="36"/>
          <w:szCs w:val="36"/>
          <w:highlight w:val="none"/>
        </w:rPr>
        <w:t>一、总则</w:t>
      </w:r>
    </w:p>
    <w:p w14:paraId="20DC0149">
      <w:pPr>
        <w:pStyle w:val="4"/>
        <w:spacing w:before="114" w:line="220" w:lineRule="auto"/>
        <w:ind w:left="500"/>
        <w:rPr>
          <w:sz w:val="24"/>
          <w:szCs w:val="24"/>
          <w:highlight w:val="none"/>
        </w:rPr>
      </w:pPr>
      <w:r>
        <w:rPr>
          <w:b/>
          <w:bCs/>
          <w:spacing w:val="-7"/>
          <w:sz w:val="24"/>
          <w:szCs w:val="24"/>
          <w:highlight w:val="none"/>
        </w:rPr>
        <w:t>1.项目概况</w:t>
      </w:r>
    </w:p>
    <w:p w14:paraId="1D9EBED1">
      <w:pPr>
        <w:pStyle w:val="4"/>
        <w:spacing w:before="153" w:line="219" w:lineRule="auto"/>
        <w:ind w:left="500"/>
        <w:rPr>
          <w:sz w:val="24"/>
          <w:szCs w:val="24"/>
          <w:highlight w:val="none"/>
        </w:rPr>
      </w:pPr>
      <w:r>
        <w:rPr>
          <w:b/>
          <w:bCs/>
          <w:spacing w:val="-11"/>
          <w:sz w:val="24"/>
          <w:szCs w:val="24"/>
          <w:highlight w:val="none"/>
        </w:rPr>
        <w:t>1.1</w:t>
      </w:r>
      <w:r>
        <w:rPr>
          <w:spacing w:val="-46"/>
          <w:sz w:val="24"/>
          <w:szCs w:val="24"/>
          <w:highlight w:val="none"/>
        </w:rPr>
        <w:t xml:space="preserve"> </w:t>
      </w:r>
      <w:r>
        <w:rPr>
          <w:spacing w:val="-11"/>
          <w:sz w:val="24"/>
          <w:szCs w:val="24"/>
          <w:highlight w:val="none"/>
        </w:rPr>
        <w:t>采购范围：</w:t>
      </w:r>
    </w:p>
    <w:p w14:paraId="4AA8F869">
      <w:pPr>
        <w:pStyle w:val="4"/>
        <w:spacing w:before="183" w:line="360" w:lineRule="auto"/>
        <w:ind w:firstLine="574"/>
        <w:rPr>
          <w:sz w:val="24"/>
          <w:szCs w:val="24"/>
          <w:highlight w:val="none"/>
        </w:rPr>
      </w:pPr>
      <w:r>
        <w:rPr>
          <w:rFonts w:hint="eastAsia"/>
          <w:spacing w:val="15"/>
          <w:sz w:val="24"/>
          <w:szCs w:val="24"/>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p w14:paraId="7A905B37">
      <w:pPr>
        <w:pStyle w:val="4"/>
        <w:spacing w:line="219" w:lineRule="auto"/>
        <w:ind w:left="500"/>
        <w:rPr>
          <w:sz w:val="24"/>
          <w:szCs w:val="24"/>
          <w:highlight w:val="none"/>
        </w:rPr>
      </w:pPr>
      <w:r>
        <w:rPr>
          <w:b/>
          <w:bCs/>
          <w:spacing w:val="-5"/>
          <w:sz w:val="24"/>
          <w:szCs w:val="24"/>
          <w:highlight w:val="none"/>
        </w:rPr>
        <w:t>1.2</w:t>
      </w:r>
      <w:r>
        <w:rPr>
          <w:spacing w:val="-29"/>
          <w:sz w:val="24"/>
          <w:szCs w:val="24"/>
          <w:highlight w:val="none"/>
        </w:rPr>
        <w:t xml:space="preserve"> </w:t>
      </w:r>
      <w:r>
        <w:rPr>
          <w:spacing w:val="-5"/>
          <w:sz w:val="24"/>
          <w:szCs w:val="24"/>
          <w:highlight w:val="none"/>
        </w:rPr>
        <w:t>资金来源：财政资金。</w:t>
      </w:r>
    </w:p>
    <w:p w14:paraId="5D76CB8E">
      <w:pPr>
        <w:pStyle w:val="4"/>
        <w:spacing w:before="153" w:line="220" w:lineRule="auto"/>
        <w:ind w:left="500"/>
        <w:rPr>
          <w:sz w:val="24"/>
          <w:szCs w:val="24"/>
          <w:highlight w:val="none"/>
        </w:rPr>
      </w:pPr>
      <w:r>
        <w:rPr>
          <w:b/>
          <w:bCs/>
          <w:spacing w:val="-3"/>
          <w:sz w:val="24"/>
          <w:szCs w:val="24"/>
          <w:highlight w:val="none"/>
        </w:rPr>
        <w:t>1.3</w:t>
      </w:r>
      <w:r>
        <w:rPr>
          <w:spacing w:val="-29"/>
          <w:sz w:val="24"/>
          <w:szCs w:val="24"/>
          <w:highlight w:val="none"/>
        </w:rPr>
        <w:t xml:space="preserve"> </w:t>
      </w:r>
      <w:r>
        <w:rPr>
          <w:spacing w:val="-3"/>
          <w:sz w:val="24"/>
          <w:szCs w:val="24"/>
          <w:highlight w:val="none"/>
        </w:rPr>
        <w:t>预算资金：A</w:t>
      </w:r>
      <w:r>
        <w:rPr>
          <w:spacing w:val="-44"/>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18550000.00</w:t>
      </w:r>
      <w:r>
        <w:rPr>
          <w:spacing w:val="-3"/>
          <w:sz w:val="24"/>
          <w:szCs w:val="24"/>
          <w:highlight w:val="none"/>
        </w:rPr>
        <w:t>元；B</w:t>
      </w:r>
      <w:r>
        <w:rPr>
          <w:spacing w:val="-44"/>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5200000.00</w:t>
      </w:r>
      <w:r>
        <w:rPr>
          <w:spacing w:val="-3"/>
          <w:sz w:val="24"/>
          <w:szCs w:val="24"/>
          <w:highlight w:val="none"/>
        </w:rPr>
        <w:t>元；C</w:t>
      </w:r>
      <w:r>
        <w:rPr>
          <w:spacing w:val="-43"/>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1700000.00</w:t>
      </w:r>
      <w:r>
        <w:rPr>
          <w:spacing w:val="-3"/>
          <w:sz w:val="24"/>
          <w:szCs w:val="24"/>
          <w:highlight w:val="none"/>
        </w:rPr>
        <w:t>元；D</w:t>
      </w:r>
      <w:r>
        <w:rPr>
          <w:spacing w:val="-43"/>
          <w:sz w:val="24"/>
          <w:szCs w:val="24"/>
          <w:highlight w:val="none"/>
        </w:rPr>
        <w:t xml:space="preserve"> </w:t>
      </w:r>
      <w:r>
        <w:rPr>
          <w:spacing w:val="-3"/>
          <w:sz w:val="24"/>
          <w:szCs w:val="24"/>
          <w:highlight w:val="none"/>
        </w:rPr>
        <w:t>包：</w:t>
      </w:r>
      <w:r>
        <w:rPr>
          <w:rFonts w:hint="eastAsia"/>
          <w:spacing w:val="-7"/>
          <w:sz w:val="24"/>
          <w:szCs w:val="24"/>
          <w:highlight w:val="none"/>
          <w:lang w:val="en-US" w:eastAsia="zh-CN"/>
        </w:rPr>
        <w:t>2330000.00</w:t>
      </w:r>
      <w:r>
        <w:rPr>
          <w:spacing w:val="-12"/>
          <w:sz w:val="24"/>
          <w:szCs w:val="24"/>
          <w:highlight w:val="none"/>
        </w:rPr>
        <w:t>元。</w:t>
      </w:r>
    </w:p>
    <w:p w14:paraId="40888F92">
      <w:pPr>
        <w:spacing w:line="220" w:lineRule="auto"/>
        <w:rPr>
          <w:sz w:val="24"/>
          <w:szCs w:val="24"/>
          <w:highlight w:val="none"/>
        </w:rPr>
        <w:sectPr>
          <w:footerReference r:id="rId11" w:type="default"/>
          <w:pgSz w:w="11907" w:h="16839"/>
          <w:pgMar w:top="1431" w:right="1267" w:bottom="1159" w:left="1428" w:header="0" w:footer="959" w:gutter="0"/>
          <w:cols w:space="720" w:num="1"/>
        </w:sectPr>
      </w:pPr>
    </w:p>
    <w:p w14:paraId="195F0F05">
      <w:pPr>
        <w:pStyle w:val="4"/>
        <w:spacing w:before="152" w:line="339" w:lineRule="auto"/>
        <w:ind w:left="2" w:firstLine="480"/>
        <w:rPr>
          <w:sz w:val="24"/>
          <w:szCs w:val="24"/>
          <w:highlight w:val="none"/>
        </w:rPr>
      </w:pPr>
      <w:r>
        <w:rPr>
          <w:spacing w:val="-6"/>
          <w:sz w:val="24"/>
          <w:szCs w:val="24"/>
          <w:highlight w:val="none"/>
        </w:rPr>
        <w:t>最高限价：A</w:t>
      </w:r>
      <w:r>
        <w:rPr>
          <w:spacing w:val="-51"/>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18550000.00</w:t>
      </w:r>
      <w:r>
        <w:rPr>
          <w:spacing w:val="-6"/>
          <w:sz w:val="24"/>
          <w:szCs w:val="24"/>
          <w:highlight w:val="none"/>
        </w:rPr>
        <w:t>元；B</w:t>
      </w:r>
      <w:r>
        <w:rPr>
          <w:spacing w:val="-50"/>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5200000.00</w:t>
      </w:r>
      <w:r>
        <w:rPr>
          <w:spacing w:val="-6"/>
          <w:sz w:val="24"/>
          <w:szCs w:val="24"/>
          <w:highlight w:val="none"/>
        </w:rPr>
        <w:t>元；C</w:t>
      </w:r>
      <w:r>
        <w:rPr>
          <w:spacing w:val="-50"/>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1700000.00</w:t>
      </w:r>
      <w:r>
        <w:rPr>
          <w:spacing w:val="-6"/>
          <w:sz w:val="24"/>
          <w:szCs w:val="24"/>
          <w:highlight w:val="none"/>
        </w:rPr>
        <w:t>元；D</w:t>
      </w:r>
      <w:r>
        <w:rPr>
          <w:spacing w:val="-51"/>
          <w:sz w:val="24"/>
          <w:szCs w:val="24"/>
          <w:highlight w:val="none"/>
        </w:rPr>
        <w:t xml:space="preserve"> </w:t>
      </w:r>
      <w:r>
        <w:rPr>
          <w:spacing w:val="-7"/>
          <w:sz w:val="24"/>
          <w:szCs w:val="24"/>
          <w:highlight w:val="none"/>
        </w:rPr>
        <w:t>包：</w:t>
      </w:r>
      <w:r>
        <w:rPr>
          <w:rFonts w:hint="eastAsia"/>
          <w:spacing w:val="-7"/>
          <w:sz w:val="24"/>
          <w:szCs w:val="24"/>
          <w:highlight w:val="none"/>
          <w:lang w:val="en-US" w:eastAsia="zh-CN"/>
        </w:rPr>
        <w:t>2330000.00</w:t>
      </w:r>
      <w:r>
        <w:rPr>
          <w:spacing w:val="-12"/>
          <w:sz w:val="24"/>
          <w:szCs w:val="24"/>
          <w:highlight w:val="none"/>
        </w:rPr>
        <w:t>元。</w:t>
      </w:r>
    </w:p>
    <w:p w14:paraId="06E9432D">
      <w:pPr>
        <w:pStyle w:val="4"/>
        <w:spacing w:line="219" w:lineRule="auto"/>
        <w:ind w:left="501"/>
        <w:rPr>
          <w:sz w:val="24"/>
          <w:szCs w:val="24"/>
          <w:highlight w:val="none"/>
        </w:rPr>
      </w:pPr>
      <w:r>
        <w:rPr>
          <w:b/>
          <w:bCs/>
          <w:spacing w:val="-2"/>
          <w:sz w:val="24"/>
          <w:szCs w:val="24"/>
          <w:highlight w:val="none"/>
        </w:rPr>
        <w:t>1.4</w:t>
      </w:r>
      <w:r>
        <w:rPr>
          <w:spacing w:val="-30"/>
          <w:sz w:val="24"/>
          <w:szCs w:val="24"/>
          <w:highlight w:val="none"/>
        </w:rPr>
        <w:t xml:space="preserve"> </w:t>
      </w:r>
      <w:r>
        <w:rPr>
          <w:spacing w:val="-2"/>
          <w:sz w:val="24"/>
          <w:szCs w:val="24"/>
          <w:highlight w:val="none"/>
        </w:rPr>
        <w:t>质量要求：符合国家及行业相关规范和标准，达到正常运行条件。</w:t>
      </w:r>
    </w:p>
    <w:p w14:paraId="7BB76DBB">
      <w:pPr>
        <w:pStyle w:val="4"/>
        <w:spacing w:before="153" w:line="220" w:lineRule="auto"/>
        <w:ind w:left="501"/>
        <w:rPr>
          <w:sz w:val="24"/>
          <w:szCs w:val="24"/>
          <w:highlight w:val="none"/>
        </w:rPr>
      </w:pPr>
      <w:r>
        <w:rPr>
          <w:b/>
          <w:bCs/>
          <w:spacing w:val="-4"/>
          <w:sz w:val="24"/>
          <w:szCs w:val="24"/>
          <w:highlight w:val="none"/>
        </w:rPr>
        <w:t>1.5</w:t>
      </w:r>
      <w:r>
        <w:rPr>
          <w:spacing w:val="-34"/>
          <w:sz w:val="24"/>
          <w:szCs w:val="24"/>
          <w:highlight w:val="none"/>
        </w:rPr>
        <w:t xml:space="preserve"> </w:t>
      </w:r>
      <w:r>
        <w:rPr>
          <w:spacing w:val="-4"/>
          <w:sz w:val="24"/>
          <w:szCs w:val="24"/>
          <w:highlight w:val="none"/>
        </w:rPr>
        <w:t>质 保 期：</w:t>
      </w:r>
      <w:r>
        <w:rPr>
          <w:spacing w:val="-3"/>
          <w:sz w:val="24"/>
          <w:szCs w:val="24"/>
          <w:highlight w:val="none"/>
        </w:rPr>
        <w:t>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4"/>
          <w:sz w:val="24"/>
          <w:szCs w:val="24"/>
          <w:highlight w:val="none"/>
        </w:rPr>
        <w:t>。</w:t>
      </w:r>
    </w:p>
    <w:p w14:paraId="2473FC5E">
      <w:pPr>
        <w:pStyle w:val="4"/>
        <w:spacing w:before="155" w:line="219" w:lineRule="auto"/>
        <w:ind w:left="501"/>
        <w:rPr>
          <w:sz w:val="24"/>
          <w:szCs w:val="24"/>
          <w:highlight w:val="none"/>
        </w:rPr>
      </w:pPr>
      <w:r>
        <w:rPr>
          <w:b/>
          <w:bCs/>
          <w:spacing w:val="-7"/>
          <w:sz w:val="24"/>
          <w:szCs w:val="24"/>
          <w:highlight w:val="none"/>
        </w:rPr>
        <w:t>1.6</w:t>
      </w:r>
      <w:r>
        <w:rPr>
          <w:spacing w:val="-35"/>
          <w:sz w:val="24"/>
          <w:szCs w:val="24"/>
          <w:highlight w:val="none"/>
        </w:rPr>
        <w:t xml:space="preserve"> </w:t>
      </w:r>
      <w:r>
        <w:rPr>
          <w:spacing w:val="-7"/>
          <w:sz w:val="24"/>
          <w:szCs w:val="24"/>
          <w:highlight w:val="none"/>
        </w:rPr>
        <w:t>交货及安装期：</w:t>
      </w:r>
      <w:r>
        <w:rPr>
          <w:spacing w:val="-70"/>
          <w:sz w:val="24"/>
          <w:szCs w:val="24"/>
          <w:highlight w:val="none"/>
        </w:rPr>
        <w:t xml:space="preserve"> </w:t>
      </w:r>
      <w:r>
        <w:rPr>
          <w:rFonts w:hint="eastAsia"/>
          <w:spacing w:val="-7"/>
          <w:sz w:val="24"/>
          <w:szCs w:val="24"/>
          <w:highlight w:val="none"/>
          <w:lang w:eastAsia="zh-CN"/>
        </w:rPr>
        <w:t>签订合同后 30 日历天（完成安装及调试）</w:t>
      </w:r>
      <w:r>
        <w:rPr>
          <w:spacing w:val="-7"/>
          <w:sz w:val="24"/>
          <w:szCs w:val="24"/>
          <w:highlight w:val="none"/>
        </w:rPr>
        <w:t>。</w:t>
      </w:r>
    </w:p>
    <w:p w14:paraId="7B0A9767">
      <w:pPr>
        <w:pStyle w:val="4"/>
        <w:spacing w:before="154" w:line="219" w:lineRule="auto"/>
        <w:ind w:left="501"/>
        <w:rPr>
          <w:sz w:val="24"/>
          <w:szCs w:val="24"/>
          <w:highlight w:val="none"/>
        </w:rPr>
      </w:pPr>
      <w:r>
        <w:rPr>
          <w:b/>
          <w:bCs/>
          <w:spacing w:val="-5"/>
          <w:sz w:val="24"/>
          <w:szCs w:val="24"/>
          <w:highlight w:val="none"/>
        </w:rPr>
        <w:t>1.7</w:t>
      </w:r>
      <w:r>
        <w:rPr>
          <w:spacing w:val="-41"/>
          <w:sz w:val="24"/>
          <w:szCs w:val="24"/>
          <w:highlight w:val="none"/>
        </w:rPr>
        <w:t xml:space="preserve"> </w:t>
      </w:r>
      <w:r>
        <w:rPr>
          <w:spacing w:val="-5"/>
          <w:sz w:val="24"/>
          <w:szCs w:val="24"/>
          <w:highlight w:val="none"/>
        </w:rPr>
        <w:t>交货地点：采购人指定地点。</w:t>
      </w:r>
    </w:p>
    <w:p w14:paraId="3215EEC2">
      <w:pPr>
        <w:pStyle w:val="4"/>
        <w:spacing w:before="155" w:line="220" w:lineRule="auto"/>
        <w:ind w:left="486"/>
        <w:rPr>
          <w:sz w:val="24"/>
          <w:szCs w:val="24"/>
          <w:highlight w:val="none"/>
        </w:rPr>
      </w:pPr>
      <w:r>
        <w:rPr>
          <w:b/>
          <w:bCs/>
          <w:spacing w:val="-4"/>
          <w:sz w:val="24"/>
          <w:szCs w:val="24"/>
          <w:highlight w:val="none"/>
        </w:rPr>
        <w:t>2.投标费用</w:t>
      </w:r>
    </w:p>
    <w:p w14:paraId="5F9DC150">
      <w:pPr>
        <w:pStyle w:val="4"/>
        <w:spacing w:before="156" w:line="338" w:lineRule="auto"/>
        <w:ind w:left="8" w:right="1" w:firstLine="477"/>
        <w:rPr>
          <w:sz w:val="24"/>
          <w:szCs w:val="24"/>
          <w:highlight w:val="none"/>
        </w:rPr>
      </w:pPr>
      <w:r>
        <w:rPr>
          <w:b/>
          <w:bCs/>
          <w:spacing w:val="-1"/>
          <w:sz w:val="24"/>
          <w:szCs w:val="24"/>
          <w:highlight w:val="none"/>
        </w:rPr>
        <w:t>2.1</w:t>
      </w:r>
      <w:r>
        <w:rPr>
          <w:spacing w:val="-37"/>
          <w:sz w:val="24"/>
          <w:szCs w:val="24"/>
          <w:highlight w:val="none"/>
        </w:rPr>
        <w:t xml:space="preserve"> </w:t>
      </w:r>
      <w:r>
        <w:rPr>
          <w:spacing w:val="-1"/>
          <w:sz w:val="24"/>
          <w:szCs w:val="24"/>
          <w:highlight w:val="none"/>
        </w:rPr>
        <w:t>投标供应商承担其电子化投标文件编制与递交所涉及的一切费用。在任何情况</w:t>
      </w:r>
      <w:r>
        <w:rPr>
          <w:spacing w:val="-2"/>
          <w:sz w:val="24"/>
          <w:szCs w:val="24"/>
          <w:highlight w:val="none"/>
        </w:rPr>
        <w:t>下采购人和采购代理机构对上述费用均不承担任何责任。</w:t>
      </w:r>
    </w:p>
    <w:p w14:paraId="57E30EEC">
      <w:pPr>
        <w:pStyle w:val="4"/>
        <w:spacing w:line="219" w:lineRule="auto"/>
        <w:ind w:left="488"/>
        <w:rPr>
          <w:sz w:val="24"/>
          <w:szCs w:val="24"/>
          <w:highlight w:val="none"/>
        </w:rPr>
      </w:pPr>
      <w:r>
        <w:rPr>
          <w:b/>
          <w:bCs/>
          <w:spacing w:val="-4"/>
          <w:sz w:val="24"/>
          <w:szCs w:val="24"/>
          <w:highlight w:val="none"/>
        </w:rPr>
        <w:t>3.定义及解释</w:t>
      </w:r>
    </w:p>
    <w:p w14:paraId="21FF2BEA">
      <w:pPr>
        <w:pStyle w:val="4"/>
        <w:spacing w:before="156" w:line="219" w:lineRule="auto"/>
        <w:ind w:right="37"/>
        <w:jc w:val="right"/>
        <w:rPr>
          <w:sz w:val="24"/>
          <w:szCs w:val="24"/>
          <w:highlight w:val="none"/>
        </w:rPr>
      </w:pPr>
      <w:r>
        <w:rPr>
          <w:b/>
          <w:bCs/>
          <w:spacing w:val="-2"/>
          <w:sz w:val="24"/>
          <w:szCs w:val="24"/>
          <w:highlight w:val="none"/>
        </w:rPr>
        <w:t>3.1</w:t>
      </w:r>
      <w:r>
        <w:rPr>
          <w:spacing w:val="-37"/>
          <w:sz w:val="24"/>
          <w:szCs w:val="24"/>
          <w:highlight w:val="none"/>
        </w:rPr>
        <w:t xml:space="preserve"> </w:t>
      </w:r>
      <w:r>
        <w:rPr>
          <w:spacing w:val="-2"/>
          <w:sz w:val="24"/>
          <w:szCs w:val="24"/>
          <w:highlight w:val="none"/>
        </w:rPr>
        <w:t>货物：系指投标供应商按招标文件规定而提供的货物及其他有关资料和材料。</w:t>
      </w:r>
    </w:p>
    <w:p w14:paraId="6A575211">
      <w:pPr>
        <w:pStyle w:val="4"/>
        <w:spacing w:before="155" w:line="219" w:lineRule="auto"/>
        <w:ind w:left="488"/>
        <w:rPr>
          <w:sz w:val="24"/>
          <w:szCs w:val="24"/>
          <w:highlight w:val="none"/>
        </w:rPr>
      </w:pPr>
      <w:r>
        <w:rPr>
          <w:b/>
          <w:bCs/>
          <w:spacing w:val="-2"/>
          <w:sz w:val="24"/>
          <w:szCs w:val="24"/>
          <w:highlight w:val="none"/>
        </w:rPr>
        <w:t>3.2</w:t>
      </w:r>
      <w:r>
        <w:rPr>
          <w:spacing w:val="-2"/>
          <w:sz w:val="24"/>
          <w:szCs w:val="24"/>
          <w:highlight w:val="none"/>
        </w:rPr>
        <w:t xml:space="preserve"> 服务：系指投标供应商按招标文件</w:t>
      </w:r>
      <w:r>
        <w:rPr>
          <w:spacing w:val="-3"/>
          <w:sz w:val="24"/>
          <w:szCs w:val="24"/>
          <w:highlight w:val="none"/>
        </w:rPr>
        <w:t>提供的服务。</w:t>
      </w:r>
    </w:p>
    <w:p w14:paraId="7463BB96">
      <w:pPr>
        <w:pStyle w:val="4"/>
        <w:spacing w:before="154" w:line="219" w:lineRule="auto"/>
        <w:ind w:left="488"/>
        <w:rPr>
          <w:sz w:val="24"/>
          <w:szCs w:val="24"/>
          <w:highlight w:val="none"/>
        </w:rPr>
      </w:pPr>
      <w:r>
        <w:rPr>
          <w:b/>
          <w:bCs/>
          <w:spacing w:val="-3"/>
          <w:sz w:val="24"/>
          <w:szCs w:val="24"/>
          <w:highlight w:val="none"/>
        </w:rPr>
        <w:t>3.3</w:t>
      </w:r>
      <w:r>
        <w:rPr>
          <w:spacing w:val="-3"/>
          <w:sz w:val="24"/>
          <w:szCs w:val="24"/>
          <w:highlight w:val="none"/>
        </w:rPr>
        <w:t xml:space="preserve"> 采购人：</w:t>
      </w:r>
      <w:r>
        <w:rPr>
          <w:rFonts w:hint="eastAsia"/>
          <w:spacing w:val="-3"/>
          <w:sz w:val="24"/>
          <w:szCs w:val="24"/>
          <w:highlight w:val="none"/>
          <w:lang w:eastAsia="zh-CN"/>
        </w:rPr>
        <w:t>三门峡市陕州区人民医院</w:t>
      </w:r>
      <w:r>
        <w:rPr>
          <w:spacing w:val="-3"/>
          <w:sz w:val="24"/>
          <w:szCs w:val="24"/>
          <w:highlight w:val="none"/>
        </w:rPr>
        <w:t>。</w:t>
      </w:r>
    </w:p>
    <w:p w14:paraId="5E62CA1B">
      <w:pPr>
        <w:pStyle w:val="4"/>
        <w:spacing w:before="157" w:line="219" w:lineRule="auto"/>
        <w:ind w:left="488"/>
        <w:rPr>
          <w:sz w:val="24"/>
          <w:szCs w:val="24"/>
          <w:highlight w:val="none"/>
        </w:rPr>
      </w:pPr>
      <w:r>
        <w:rPr>
          <w:b/>
          <w:bCs/>
          <w:spacing w:val="-2"/>
          <w:sz w:val="24"/>
          <w:szCs w:val="24"/>
          <w:highlight w:val="none"/>
        </w:rPr>
        <w:t>3.4</w:t>
      </w:r>
      <w:r>
        <w:rPr>
          <w:spacing w:val="-2"/>
          <w:sz w:val="24"/>
          <w:szCs w:val="24"/>
          <w:highlight w:val="none"/>
        </w:rPr>
        <w:t xml:space="preserve"> 投标供应商：是指响应招标、参加投标竞争的法人或者其他组织。</w:t>
      </w:r>
    </w:p>
    <w:p w14:paraId="0B6D7402">
      <w:pPr>
        <w:pStyle w:val="4"/>
        <w:spacing w:before="155" w:line="219" w:lineRule="auto"/>
        <w:ind w:left="485"/>
        <w:rPr>
          <w:sz w:val="24"/>
          <w:szCs w:val="24"/>
          <w:highlight w:val="none"/>
        </w:rPr>
      </w:pPr>
      <w:r>
        <w:rPr>
          <w:b/>
          <w:bCs/>
          <w:spacing w:val="-2"/>
          <w:sz w:val="24"/>
          <w:szCs w:val="24"/>
          <w:highlight w:val="none"/>
        </w:rPr>
        <w:t>3.5</w:t>
      </w:r>
      <w:r>
        <w:rPr>
          <w:spacing w:val="-2"/>
          <w:sz w:val="24"/>
          <w:szCs w:val="24"/>
          <w:highlight w:val="none"/>
        </w:rPr>
        <w:t xml:space="preserve"> 采购代理机构：</w:t>
      </w:r>
      <w:r>
        <w:rPr>
          <w:rFonts w:hint="eastAsia"/>
          <w:spacing w:val="-2"/>
          <w:sz w:val="24"/>
          <w:szCs w:val="24"/>
          <w:highlight w:val="none"/>
          <w:lang w:eastAsia="zh-CN"/>
        </w:rPr>
        <w:t>融科匠业工程咨询有限公司</w:t>
      </w:r>
      <w:r>
        <w:rPr>
          <w:spacing w:val="-3"/>
          <w:sz w:val="24"/>
          <w:szCs w:val="24"/>
          <w:highlight w:val="none"/>
        </w:rPr>
        <w:t>。</w:t>
      </w:r>
    </w:p>
    <w:p w14:paraId="155FE275">
      <w:pPr>
        <w:pStyle w:val="4"/>
        <w:spacing w:before="154" w:line="339" w:lineRule="auto"/>
        <w:ind w:left="1" w:right="10" w:firstLine="469"/>
        <w:rPr>
          <w:sz w:val="24"/>
          <w:szCs w:val="24"/>
          <w:highlight w:val="none"/>
        </w:rPr>
      </w:pPr>
      <w:r>
        <w:rPr>
          <w:b/>
          <w:bCs/>
          <w:spacing w:val="-2"/>
          <w:sz w:val="24"/>
          <w:szCs w:val="24"/>
          <w:highlight w:val="none"/>
        </w:rPr>
        <w:t>3.6</w:t>
      </w:r>
      <w:r>
        <w:rPr>
          <w:spacing w:val="-2"/>
          <w:sz w:val="24"/>
          <w:szCs w:val="24"/>
          <w:highlight w:val="none"/>
        </w:rPr>
        <w:t xml:space="preserve"> 评标委员会：是指按照《中华人民共和国政府采购法》和《评标委员会和评标</w:t>
      </w:r>
      <w:r>
        <w:rPr>
          <w:spacing w:val="-1"/>
          <w:sz w:val="24"/>
          <w:szCs w:val="24"/>
          <w:highlight w:val="none"/>
        </w:rPr>
        <w:t>方法暂行规定》的规定组建的专门负责本次</w:t>
      </w:r>
      <w:r>
        <w:rPr>
          <w:spacing w:val="-2"/>
          <w:sz w:val="24"/>
          <w:szCs w:val="24"/>
          <w:highlight w:val="none"/>
        </w:rPr>
        <w:t>招标的评标工作的临时机构。</w:t>
      </w:r>
    </w:p>
    <w:p w14:paraId="1FC01EBA">
      <w:pPr>
        <w:pStyle w:val="4"/>
        <w:spacing w:before="1" w:line="219" w:lineRule="auto"/>
        <w:ind w:left="488"/>
        <w:rPr>
          <w:sz w:val="24"/>
          <w:szCs w:val="24"/>
          <w:highlight w:val="none"/>
        </w:rPr>
      </w:pPr>
      <w:r>
        <w:rPr>
          <w:b/>
          <w:bCs/>
          <w:spacing w:val="-4"/>
          <w:sz w:val="24"/>
          <w:szCs w:val="24"/>
          <w:highlight w:val="none"/>
        </w:rPr>
        <w:t>3.7</w:t>
      </w:r>
      <w:r>
        <w:rPr>
          <w:spacing w:val="-4"/>
          <w:sz w:val="24"/>
          <w:szCs w:val="24"/>
          <w:highlight w:val="none"/>
        </w:rPr>
        <w:t xml:space="preserve"> 日期、天数、时间：无特别说明时是指公历日及北京时间。</w:t>
      </w:r>
    </w:p>
    <w:p w14:paraId="187DFDBC">
      <w:pPr>
        <w:pStyle w:val="4"/>
        <w:spacing w:before="154" w:line="219" w:lineRule="auto"/>
        <w:ind w:left="480"/>
        <w:rPr>
          <w:sz w:val="24"/>
          <w:szCs w:val="24"/>
          <w:highlight w:val="none"/>
        </w:rPr>
      </w:pPr>
      <w:r>
        <w:rPr>
          <w:b/>
          <w:bCs/>
          <w:spacing w:val="-3"/>
          <w:sz w:val="24"/>
          <w:szCs w:val="24"/>
          <w:highlight w:val="none"/>
        </w:rPr>
        <w:t>4.合格的投标供应商</w:t>
      </w:r>
    </w:p>
    <w:p w14:paraId="3EC20AFF">
      <w:pPr>
        <w:pStyle w:val="4"/>
        <w:spacing w:before="123" w:line="219" w:lineRule="auto"/>
        <w:ind w:left="566"/>
        <w:rPr>
          <w:sz w:val="24"/>
          <w:szCs w:val="24"/>
          <w:highlight w:val="none"/>
        </w:rPr>
      </w:pPr>
      <w:r>
        <w:rPr>
          <w:b/>
          <w:bCs/>
          <w:spacing w:val="-3"/>
          <w:sz w:val="24"/>
          <w:szCs w:val="24"/>
          <w:highlight w:val="none"/>
        </w:rPr>
        <w:t>4.1</w:t>
      </w:r>
      <w:r>
        <w:rPr>
          <w:spacing w:val="-44"/>
          <w:sz w:val="24"/>
          <w:szCs w:val="24"/>
          <w:highlight w:val="none"/>
        </w:rPr>
        <w:t xml:space="preserve"> </w:t>
      </w:r>
      <w:r>
        <w:rPr>
          <w:spacing w:val="-3"/>
          <w:sz w:val="24"/>
          <w:szCs w:val="24"/>
          <w:highlight w:val="none"/>
        </w:rPr>
        <w:t>满足《中华人民共和国政府采购法》第二十二条规定；</w:t>
      </w:r>
    </w:p>
    <w:p w14:paraId="41DFA60A">
      <w:pPr>
        <w:pStyle w:val="4"/>
        <w:spacing w:before="183" w:line="360" w:lineRule="auto"/>
        <w:ind w:firstLine="566"/>
        <w:rPr>
          <w:sz w:val="24"/>
          <w:szCs w:val="24"/>
          <w:highlight w:val="none"/>
        </w:rPr>
      </w:pPr>
      <w:r>
        <w:rPr>
          <w:b/>
          <w:bCs/>
          <w:spacing w:val="-1"/>
          <w:sz w:val="24"/>
          <w:szCs w:val="24"/>
          <w:highlight w:val="none"/>
        </w:rPr>
        <w:t>4.2</w:t>
      </w:r>
      <w:r>
        <w:rPr>
          <w:spacing w:val="-1"/>
          <w:sz w:val="24"/>
          <w:szCs w:val="24"/>
          <w:highlight w:val="none"/>
        </w:rPr>
        <w:t xml:space="preserve"> 落实政府采购政策满足的资格要求：本项目非专门面向中小微企业采购项目,</w:t>
      </w:r>
      <w:r>
        <w:rPr>
          <w:spacing w:val="-6"/>
          <w:sz w:val="24"/>
          <w:szCs w:val="24"/>
          <w:highlight w:val="none"/>
        </w:rPr>
        <w:t>执行优先采购节能环保、环境标志性产品，</w:t>
      </w:r>
      <w:r>
        <w:rPr>
          <w:spacing w:val="52"/>
          <w:sz w:val="24"/>
          <w:szCs w:val="24"/>
          <w:highlight w:val="none"/>
        </w:rPr>
        <w:t xml:space="preserve"> </w:t>
      </w:r>
      <w:r>
        <w:rPr>
          <w:spacing w:val="-6"/>
          <w:sz w:val="24"/>
          <w:szCs w:val="24"/>
          <w:highlight w:val="none"/>
        </w:rPr>
        <w:t>促进中小企业（监狱企业、残疾人福利</w:t>
      </w:r>
      <w:r>
        <w:rPr>
          <w:spacing w:val="-7"/>
          <w:sz w:val="24"/>
          <w:szCs w:val="24"/>
          <w:highlight w:val="none"/>
        </w:rPr>
        <w:t>性企</w:t>
      </w:r>
      <w:r>
        <w:rPr>
          <w:spacing w:val="-1"/>
          <w:sz w:val="24"/>
          <w:szCs w:val="24"/>
          <w:highlight w:val="none"/>
        </w:rPr>
        <w:t>业）发展等政府采购政策。</w:t>
      </w:r>
    </w:p>
    <w:p w14:paraId="6DD3EB5A">
      <w:pPr>
        <w:pStyle w:val="4"/>
        <w:spacing w:before="2" w:line="218" w:lineRule="auto"/>
        <w:ind w:left="566"/>
        <w:rPr>
          <w:sz w:val="24"/>
          <w:szCs w:val="24"/>
          <w:highlight w:val="none"/>
        </w:rPr>
      </w:pPr>
      <w:r>
        <w:rPr>
          <w:b/>
          <w:bCs/>
          <w:spacing w:val="-2"/>
          <w:sz w:val="24"/>
          <w:szCs w:val="24"/>
          <w:highlight w:val="none"/>
        </w:rPr>
        <w:t>4.3</w:t>
      </w:r>
      <w:r>
        <w:rPr>
          <w:spacing w:val="-48"/>
          <w:sz w:val="24"/>
          <w:szCs w:val="24"/>
          <w:highlight w:val="none"/>
        </w:rPr>
        <w:t xml:space="preserve"> </w:t>
      </w:r>
      <w:r>
        <w:rPr>
          <w:spacing w:val="-2"/>
          <w:sz w:val="24"/>
          <w:szCs w:val="24"/>
          <w:highlight w:val="none"/>
        </w:rPr>
        <w:t>本项目的特定资格要求</w:t>
      </w:r>
    </w:p>
    <w:p w14:paraId="23ED6338">
      <w:pPr>
        <w:pStyle w:val="4"/>
        <w:spacing w:before="183" w:line="219" w:lineRule="auto"/>
        <w:ind w:left="573"/>
        <w:rPr>
          <w:sz w:val="24"/>
          <w:szCs w:val="24"/>
          <w:highlight w:val="none"/>
        </w:rPr>
      </w:pPr>
      <w:r>
        <w:rPr>
          <w:spacing w:val="-5"/>
          <w:sz w:val="24"/>
          <w:szCs w:val="24"/>
          <w:highlight w:val="none"/>
        </w:rPr>
        <w:t>（1）供应商具备有效的营业执照；</w:t>
      </w:r>
    </w:p>
    <w:p w14:paraId="2C9A6F26">
      <w:pPr>
        <w:pStyle w:val="4"/>
        <w:spacing w:before="184" w:line="360" w:lineRule="auto"/>
        <w:ind w:left="2" w:right="4" w:firstLine="568"/>
        <w:rPr>
          <w:sz w:val="24"/>
          <w:szCs w:val="24"/>
          <w:highlight w:val="none"/>
        </w:rPr>
      </w:pPr>
      <w:r>
        <w:rPr>
          <w:spacing w:val="-1"/>
          <w:sz w:val="24"/>
          <w:szCs w:val="24"/>
          <w:highlight w:val="none"/>
        </w:rPr>
        <w:t>（2）供应商为代理商（经销商）的，应具有医疗器械经营许可证或医疗器械经营备案凭证（从事一类医疗器械经营活动的除外</w:t>
      </w:r>
      <w:r>
        <w:rPr>
          <w:spacing w:val="-15"/>
          <w:sz w:val="24"/>
          <w:szCs w:val="24"/>
          <w:highlight w:val="none"/>
        </w:rPr>
        <w:t>）；</w:t>
      </w:r>
      <w:r>
        <w:rPr>
          <w:spacing w:val="-1"/>
          <w:sz w:val="24"/>
          <w:szCs w:val="24"/>
          <w:highlight w:val="none"/>
        </w:rPr>
        <w:t>供应商为制造商时，应具有医疗器械</w:t>
      </w:r>
      <w:r>
        <w:rPr>
          <w:spacing w:val="-6"/>
          <w:sz w:val="24"/>
          <w:szCs w:val="24"/>
          <w:highlight w:val="none"/>
        </w:rPr>
        <w:t>生产许可证（从事第一类医疗器械生产的须具有备案凭证</w:t>
      </w:r>
      <w:r>
        <w:rPr>
          <w:sz w:val="24"/>
          <w:szCs w:val="24"/>
          <w:highlight w:val="none"/>
        </w:rPr>
        <w:t>）；</w:t>
      </w:r>
    </w:p>
    <w:p w14:paraId="1A0334D6">
      <w:pPr>
        <w:pStyle w:val="4"/>
        <w:spacing w:before="1" w:line="218" w:lineRule="auto"/>
        <w:ind w:left="571"/>
        <w:rPr>
          <w:sz w:val="24"/>
          <w:szCs w:val="24"/>
          <w:highlight w:val="none"/>
        </w:rPr>
      </w:pPr>
      <w:r>
        <w:rPr>
          <w:spacing w:val="-1"/>
          <w:sz w:val="24"/>
          <w:szCs w:val="24"/>
          <w:highlight w:val="none"/>
        </w:rPr>
        <w:t>（3）须提供本企业无商业贿赂和不正当竞</w:t>
      </w:r>
      <w:r>
        <w:rPr>
          <w:spacing w:val="-2"/>
          <w:sz w:val="24"/>
          <w:szCs w:val="24"/>
          <w:highlight w:val="none"/>
        </w:rPr>
        <w:t>争行为承诺书；</w:t>
      </w:r>
    </w:p>
    <w:p w14:paraId="3E688844">
      <w:pPr>
        <w:pStyle w:val="4"/>
        <w:spacing w:before="183" w:line="219" w:lineRule="auto"/>
        <w:jc w:val="right"/>
        <w:rPr>
          <w:sz w:val="24"/>
          <w:szCs w:val="24"/>
          <w:highlight w:val="none"/>
        </w:rPr>
      </w:pPr>
      <w:r>
        <w:rPr>
          <w:spacing w:val="1"/>
          <w:sz w:val="24"/>
          <w:szCs w:val="24"/>
          <w:highlight w:val="none"/>
        </w:rPr>
        <w:t>（4）根据《关于在政府采购活动中查询及使用信用记录</w:t>
      </w:r>
      <w:r>
        <w:rPr>
          <w:sz w:val="24"/>
          <w:szCs w:val="24"/>
          <w:highlight w:val="none"/>
        </w:rPr>
        <w:t>有关问题的通知》</w:t>
      </w:r>
      <w:r>
        <w:rPr>
          <w:spacing w:val="-55"/>
          <w:sz w:val="24"/>
          <w:szCs w:val="24"/>
          <w:highlight w:val="none"/>
        </w:rPr>
        <w:t xml:space="preserve"> </w:t>
      </w:r>
      <w:r>
        <w:rPr>
          <w:sz w:val="24"/>
          <w:szCs w:val="24"/>
          <w:highlight w:val="none"/>
        </w:rPr>
        <w:t>(财库</w:t>
      </w:r>
    </w:p>
    <w:p w14:paraId="3A35BEFB">
      <w:pPr>
        <w:spacing w:line="219" w:lineRule="auto"/>
        <w:rPr>
          <w:sz w:val="24"/>
          <w:szCs w:val="24"/>
          <w:highlight w:val="none"/>
        </w:rPr>
        <w:sectPr>
          <w:footerReference r:id="rId12" w:type="default"/>
          <w:pgSz w:w="11907" w:h="16839"/>
          <w:pgMar w:top="1431" w:right="1415" w:bottom="1159" w:left="1427" w:header="0" w:footer="959" w:gutter="0"/>
          <w:cols w:space="720" w:num="1"/>
        </w:sectPr>
      </w:pPr>
    </w:p>
    <w:p w14:paraId="0730BA5C">
      <w:pPr>
        <w:pStyle w:val="4"/>
        <w:spacing w:before="118" w:line="361" w:lineRule="auto"/>
        <w:ind w:firstLine="38"/>
        <w:rPr>
          <w:sz w:val="24"/>
          <w:szCs w:val="24"/>
          <w:highlight w:val="none"/>
        </w:rPr>
      </w:pPr>
      <w:r>
        <w:rPr>
          <w:spacing w:val="-5"/>
          <w:sz w:val="24"/>
          <w:szCs w:val="24"/>
          <w:highlight w:val="none"/>
        </w:rPr>
        <w:t>[</w:t>
      </w:r>
      <w:r>
        <w:rPr>
          <w:highlight w:val="none"/>
        </w:rPr>
        <w:fldChar w:fldCharType="begin"/>
      </w:r>
      <w:r>
        <w:rPr>
          <w:highlight w:val="none"/>
        </w:rPr>
        <w:instrText xml:space="preserve"> HYPERLINK \l "bookmark18"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45"/>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w:t>
      </w:r>
      <w:r>
        <w:rPr>
          <w:spacing w:val="-6"/>
          <w:sz w:val="24"/>
          <w:szCs w:val="24"/>
          <w:highlight w:val="none"/>
        </w:rPr>
        <w:t>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p w14:paraId="5A1FAA07">
      <w:pPr>
        <w:pStyle w:val="4"/>
        <w:spacing w:before="28" w:line="220" w:lineRule="auto"/>
        <w:ind w:left="488"/>
        <w:rPr>
          <w:sz w:val="24"/>
          <w:szCs w:val="24"/>
          <w:highlight w:val="none"/>
        </w:rPr>
      </w:pPr>
      <w:r>
        <w:rPr>
          <w:b/>
          <w:bCs/>
          <w:spacing w:val="-6"/>
          <w:sz w:val="24"/>
          <w:szCs w:val="24"/>
          <w:highlight w:val="none"/>
        </w:rPr>
        <w:t>5.保证</w:t>
      </w:r>
    </w:p>
    <w:p w14:paraId="7D656B86">
      <w:pPr>
        <w:pStyle w:val="4"/>
        <w:spacing w:before="153" w:line="219" w:lineRule="auto"/>
        <w:ind w:left="488"/>
        <w:rPr>
          <w:sz w:val="24"/>
          <w:szCs w:val="24"/>
          <w:highlight w:val="none"/>
        </w:rPr>
      </w:pPr>
      <w:r>
        <w:rPr>
          <w:b/>
          <w:bCs/>
          <w:spacing w:val="-2"/>
          <w:sz w:val="24"/>
          <w:szCs w:val="24"/>
          <w:highlight w:val="none"/>
        </w:rPr>
        <w:t>5.1</w:t>
      </w:r>
      <w:r>
        <w:rPr>
          <w:spacing w:val="-45"/>
          <w:sz w:val="24"/>
          <w:szCs w:val="24"/>
          <w:highlight w:val="none"/>
        </w:rPr>
        <w:t xml:space="preserve"> </w:t>
      </w:r>
      <w:r>
        <w:rPr>
          <w:spacing w:val="-2"/>
          <w:sz w:val="24"/>
          <w:szCs w:val="24"/>
          <w:highlight w:val="none"/>
        </w:rPr>
        <w:t>投标供应商应保证在电子化投标文件中所提交的资料和数据是真实的。</w:t>
      </w:r>
    </w:p>
    <w:p w14:paraId="4BD281F0">
      <w:pPr>
        <w:pStyle w:val="4"/>
        <w:spacing w:before="53" w:line="220" w:lineRule="auto"/>
        <w:ind w:left="3283"/>
        <w:rPr>
          <w:sz w:val="36"/>
          <w:szCs w:val="36"/>
          <w:highlight w:val="none"/>
        </w:rPr>
      </w:pPr>
      <w:r>
        <w:rPr>
          <w:b/>
          <w:bCs/>
          <w:spacing w:val="-9"/>
          <w:sz w:val="36"/>
          <w:szCs w:val="36"/>
          <w:highlight w:val="none"/>
        </w:rPr>
        <w:t>二、招</w:t>
      </w:r>
      <w:r>
        <w:rPr>
          <w:spacing w:val="22"/>
          <w:sz w:val="36"/>
          <w:szCs w:val="36"/>
          <w:highlight w:val="none"/>
        </w:rPr>
        <w:t xml:space="preserve"> </w:t>
      </w:r>
      <w:r>
        <w:rPr>
          <w:b/>
          <w:bCs/>
          <w:spacing w:val="-9"/>
          <w:sz w:val="36"/>
          <w:szCs w:val="36"/>
          <w:highlight w:val="none"/>
        </w:rPr>
        <w:t>标</w:t>
      </w:r>
      <w:r>
        <w:rPr>
          <w:spacing w:val="20"/>
          <w:sz w:val="36"/>
          <w:szCs w:val="36"/>
          <w:highlight w:val="none"/>
        </w:rPr>
        <w:t xml:space="preserve"> </w:t>
      </w:r>
      <w:r>
        <w:rPr>
          <w:b/>
          <w:bCs/>
          <w:spacing w:val="-9"/>
          <w:sz w:val="36"/>
          <w:szCs w:val="36"/>
          <w:highlight w:val="none"/>
        </w:rPr>
        <w:t>文</w:t>
      </w:r>
      <w:r>
        <w:rPr>
          <w:spacing w:val="-9"/>
          <w:sz w:val="36"/>
          <w:szCs w:val="36"/>
          <w:highlight w:val="none"/>
        </w:rPr>
        <w:t xml:space="preserve"> </w:t>
      </w:r>
      <w:r>
        <w:rPr>
          <w:b/>
          <w:bCs/>
          <w:spacing w:val="-9"/>
          <w:sz w:val="36"/>
          <w:szCs w:val="36"/>
          <w:highlight w:val="none"/>
        </w:rPr>
        <w:t>件</w:t>
      </w:r>
    </w:p>
    <w:p w14:paraId="57508894">
      <w:pPr>
        <w:pStyle w:val="4"/>
        <w:spacing w:before="113" w:line="220" w:lineRule="auto"/>
        <w:ind w:left="485"/>
        <w:rPr>
          <w:sz w:val="24"/>
          <w:szCs w:val="24"/>
          <w:highlight w:val="none"/>
        </w:rPr>
      </w:pPr>
      <w:r>
        <w:rPr>
          <w:b/>
          <w:bCs/>
          <w:spacing w:val="-3"/>
          <w:sz w:val="24"/>
          <w:szCs w:val="24"/>
          <w:highlight w:val="none"/>
        </w:rPr>
        <w:t>6.招标文件的组成</w:t>
      </w:r>
    </w:p>
    <w:p w14:paraId="5915AB07">
      <w:pPr>
        <w:pStyle w:val="4"/>
        <w:spacing w:before="153" w:line="339" w:lineRule="auto"/>
        <w:ind w:left="1" w:right="2" w:firstLine="483"/>
        <w:rPr>
          <w:sz w:val="24"/>
          <w:szCs w:val="24"/>
          <w:highlight w:val="none"/>
        </w:rPr>
      </w:pPr>
      <w:r>
        <w:rPr>
          <w:b/>
          <w:bCs/>
          <w:sz w:val="24"/>
          <w:szCs w:val="24"/>
          <w:highlight w:val="none"/>
        </w:rPr>
        <w:t>6.1</w:t>
      </w:r>
      <w:r>
        <w:rPr>
          <w:sz w:val="24"/>
          <w:szCs w:val="24"/>
          <w:highlight w:val="none"/>
        </w:rPr>
        <w:t xml:space="preserve"> 招标文件包括下列内容及按投标供应商须知第</w:t>
      </w:r>
      <w:r>
        <w:rPr>
          <w:spacing w:val="-70"/>
          <w:sz w:val="24"/>
          <w:szCs w:val="24"/>
          <w:highlight w:val="none"/>
        </w:rPr>
        <w:t xml:space="preserve"> </w:t>
      </w:r>
      <w:r>
        <w:rPr>
          <w:sz w:val="24"/>
          <w:szCs w:val="24"/>
          <w:highlight w:val="none"/>
        </w:rPr>
        <w:t>7条款内容发出的答疑文件</w:t>
      </w:r>
      <w:r>
        <w:rPr>
          <w:spacing w:val="-1"/>
          <w:sz w:val="24"/>
          <w:szCs w:val="24"/>
          <w:highlight w:val="none"/>
        </w:rPr>
        <w:t>和第</w:t>
      </w:r>
      <w:r>
        <w:rPr>
          <w:spacing w:val="-5"/>
          <w:sz w:val="24"/>
          <w:szCs w:val="24"/>
          <w:highlight w:val="none"/>
        </w:rPr>
        <w:t>8</w:t>
      </w:r>
      <w:r>
        <w:rPr>
          <w:spacing w:val="-38"/>
          <w:sz w:val="24"/>
          <w:szCs w:val="24"/>
          <w:highlight w:val="none"/>
        </w:rPr>
        <w:t xml:space="preserve"> </w:t>
      </w:r>
      <w:r>
        <w:rPr>
          <w:spacing w:val="-5"/>
          <w:sz w:val="24"/>
          <w:szCs w:val="24"/>
          <w:highlight w:val="none"/>
        </w:rPr>
        <w:t>条款内容发出的补充文件。</w:t>
      </w:r>
    </w:p>
    <w:p w14:paraId="56E088C0">
      <w:pPr>
        <w:pStyle w:val="4"/>
        <w:spacing w:line="218" w:lineRule="auto"/>
        <w:ind w:left="600"/>
        <w:rPr>
          <w:sz w:val="24"/>
          <w:szCs w:val="24"/>
          <w:highlight w:val="none"/>
        </w:rPr>
      </w:pPr>
      <w:r>
        <w:rPr>
          <w:spacing w:val="-1"/>
          <w:sz w:val="24"/>
          <w:szCs w:val="24"/>
          <w:highlight w:val="none"/>
        </w:rPr>
        <w:t>第一章  招标公告</w:t>
      </w:r>
    </w:p>
    <w:p w14:paraId="7BD9A16A">
      <w:pPr>
        <w:pStyle w:val="4"/>
        <w:spacing w:before="155" w:line="219" w:lineRule="auto"/>
        <w:ind w:left="600"/>
        <w:rPr>
          <w:sz w:val="24"/>
          <w:szCs w:val="24"/>
          <w:highlight w:val="none"/>
        </w:rPr>
      </w:pPr>
      <w:r>
        <w:rPr>
          <w:spacing w:val="-1"/>
          <w:sz w:val="24"/>
          <w:szCs w:val="24"/>
          <w:highlight w:val="none"/>
        </w:rPr>
        <w:t>第二章  投标供应商须知</w:t>
      </w:r>
    </w:p>
    <w:p w14:paraId="13DF41AB">
      <w:pPr>
        <w:pStyle w:val="4"/>
        <w:spacing w:before="157" w:line="219" w:lineRule="auto"/>
        <w:ind w:left="600"/>
        <w:rPr>
          <w:sz w:val="24"/>
          <w:szCs w:val="24"/>
          <w:highlight w:val="none"/>
        </w:rPr>
      </w:pPr>
      <w:r>
        <w:rPr>
          <w:spacing w:val="-1"/>
          <w:sz w:val="24"/>
          <w:szCs w:val="24"/>
          <w:highlight w:val="none"/>
        </w:rPr>
        <w:t>第三章  采购内容及参数要求</w:t>
      </w:r>
    </w:p>
    <w:p w14:paraId="5BAD75DC">
      <w:pPr>
        <w:pStyle w:val="4"/>
        <w:spacing w:before="155" w:line="219" w:lineRule="auto"/>
        <w:ind w:left="600"/>
        <w:rPr>
          <w:sz w:val="24"/>
          <w:szCs w:val="24"/>
          <w:highlight w:val="none"/>
        </w:rPr>
      </w:pPr>
      <w:r>
        <w:rPr>
          <w:spacing w:val="-1"/>
          <w:sz w:val="24"/>
          <w:szCs w:val="24"/>
          <w:highlight w:val="none"/>
        </w:rPr>
        <w:t>第四章  评标办法</w:t>
      </w:r>
    </w:p>
    <w:p w14:paraId="739678A8">
      <w:pPr>
        <w:pStyle w:val="4"/>
        <w:spacing w:before="155" w:line="219" w:lineRule="auto"/>
        <w:ind w:left="600"/>
        <w:rPr>
          <w:sz w:val="24"/>
          <w:szCs w:val="24"/>
          <w:highlight w:val="none"/>
        </w:rPr>
      </w:pPr>
      <w:r>
        <w:rPr>
          <w:spacing w:val="-1"/>
          <w:sz w:val="24"/>
          <w:szCs w:val="24"/>
          <w:highlight w:val="none"/>
        </w:rPr>
        <w:t>第五章  合同条款及格式</w:t>
      </w:r>
    </w:p>
    <w:p w14:paraId="32674099">
      <w:pPr>
        <w:pStyle w:val="4"/>
        <w:spacing w:before="156" w:line="219" w:lineRule="auto"/>
        <w:ind w:left="600"/>
        <w:rPr>
          <w:sz w:val="24"/>
          <w:szCs w:val="24"/>
          <w:highlight w:val="none"/>
        </w:rPr>
      </w:pPr>
      <w:r>
        <w:rPr>
          <w:spacing w:val="-4"/>
          <w:sz w:val="24"/>
          <w:szCs w:val="24"/>
          <w:highlight w:val="none"/>
        </w:rPr>
        <w:t>第六章</w:t>
      </w:r>
      <w:r>
        <w:rPr>
          <w:spacing w:val="20"/>
          <w:sz w:val="24"/>
          <w:szCs w:val="24"/>
          <w:highlight w:val="none"/>
        </w:rPr>
        <w:t xml:space="preserve">  </w:t>
      </w:r>
      <w:r>
        <w:rPr>
          <w:spacing w:val="-4"/>
          <w:sz w:val="24"/>
          <w:szCs w:val="24"/>
          <w:highlight w:val="none"/>
        </w:rPr>
        <w:t>电子化投标文件格式</w:t>
      </w:r>
    </w:p>
    <w:p w14:paraId="47CFCB5C">
      <w:pPr>
        <w:pStyle w:val="4"/>
        <w:spacing w:before="157" w:line="338" w:lineRule="auto"/>
        <w:ind w:left="1" w:firstLine="483"/>
        <w:jc w:val="both"/>
        <w:rPr>
          <w:sz w:val="24"/>
          <w:szCs w:val="24"/>
          <w:highlight w:val="none"/>
        </w:rPr>
      </w:pPr>
      <w:r>
        <w:rPr>
          <w:b/>
          <w:bCs/>
          <w:spacing w:val="-1"/>
          <w:sz w:val="24"/>
          <w:szCs w:val="24"/>
          <w:highlight w:val="none"/>
        </w:rPr>
        <w:t>6.2</w:t>
      </w:r>
      <w:r>
        <w:rPr>
          <w:spacing w:val="-36"/>
          <w:sz w:val="24"/>
          <w:szCs w:val="24"/>
          <w:highlight w:val="none"/>
        </w:rPr>
        <w:t xml:space="preserve"> </w:t>
      </w:r>
      <w:r>
        <w:rPr>
          <w:spacing w:val="-1"/>
          <w:sz w:val="24"/>
          <w:szCs w:val="24"/>
          <w:highlight w:val="none"/>
        </w:rPr>
        <w:t>投标供应商应详细阅读招标文件中的所有条款内容、格式、表格和所涉及的相</w:t>
      </w:r>
      <w:r>
        <w:rPr>
          <w:spacing w:val="-5"/>
          <w:sz w:val="24"/>
          <w:szCs w:val="24"/>
          <w:highlight w:val="none"/>
        </w:rPr>
        <w:t>关规范。如果投标供应商不按招标文件的要求提交电子化投标文件和资料的， 或者电子</w:t>
      </w:r>
      <w:r>
        <w:rPr>
          <w:spacing w:val="-2"/>
          <w:sz w:val="24"/>
          <w:szCs w:val="24"/>
          <w:highlight w:val="none"/>
        </w:rPr>
        <w:t>化投标文件没有对招标文件提出的实质性要求和条件做出响应，将导致电子化投标文件</w:t>
      </w:r>
      <w:r>
        <w:rPr>
          <w:spacing w:val="-3"/>
          <w:sz w:val="24"/>
          <w:szCs w:val="24"/>
          <w:highlight w:val="none"/>
        </w:rPr>
        <w:t>不被接受，其后果由投标供应商自己负责。</w:t>
      </w:r>
    </w:p>
    <w:p w14:paraId="6970BF9F">
      <w:pPr>
        <w:pStyle w:val="4"/>
        <w:spacing w:line="219" w:lineRule="auto"/>
        <w:ind w:left="489"/>
        <w:rPr>
          <w:sz w:val="24"/>
          <w:szCs w:val="24"/>
          <w:highlight w:val="none"/>
        </w:rPr>
      </w:pPr>
      <w:r>
        <w:rPr>
          <w:b/>
          <w:bCs/>
          <w:spacing w:val="-4"/>
          <w:sz w:val="24"/>
          <w:szCs w:val="24"/>
          <w:highlight w:val="none"/>
        </w:rPr>
        <w:t>7.招标文件的澄清</w:t>
      </w:r>
    </w:p>
    <w:p w14:paraId="2EA037F4">
      <w:pPr>
        <w:pStyle w:val="4"/>
        <w:spacing w:before="159" w:line="338" w:lineRule="auto"/>
        <w:ind w:left="15" w:firstLine="468"/>
        <w:jc w:val="both"/>
        <w:rPr>
          <w:sz w:val="24"/>
          <w:szCs w:val="24"/>
          <w:highlight w:val="none"/>
        </w:rPr>
      </w:pPr>
      <w:r>
        <w:rPr>
          <w:spacing w:val="-2"/>
          <w:sz w:val="24"/>
          <w:szCs w:val="24"/>
          <w:highlight w:val="none"/>
        </w:rPr>
        <w:t>投标供应商在获得招标文件后，如有问题需要采购人澄清和解答，将需澄清及答疑内容以书面形式（加盖单位公章）在答疑递交截止时间前提交至采购代理机构。采购人只对书面问题做出答复，并将答复内容以公告</w:t>
      </w:r>
      <w:r>
        <w:rPr>
          <w:spacing w:val="-3"/>
          <w:sz w:val="24"/>
          <w:szCs w:val="24"/>
          <w:highlight w:val="none"/>
        </w:rPr>
        <w:t>的形式发布。</w:t>
      </w:r>
    </w:p>
    <w:p w14:paraId="516EC7CB">
      <w:pPr>
        <w:pStyle w:val="4"/>
        <w:spacing w:before="1" w:line="219" w:lineRule="auto"/>
        <w:ind w:left="481"/>
        <w:rPr>
          <w:sz w:val="24"/>
          <w:szCs w:val="24"/>
          <w:highlight w:val="none"/>
        </w:rPr>
      </w:pPr>
      <w:r>
        <w:rPr>
          <w:b/>
          <w:bCs/>
          <w:spacing w:val="-3"/>
          <w:sz w:val="24"/>
          <w:szCs w:val="24"/>
          <w:highlight w:val="none"/>
        </w:rPr>
        <w:t>8.招标文件的修正</w:t>
      </w:r>
    </w:p>
    <w:p w14:paraId="2DDCFEEE">
      <w:pPr>
        <w:pStyle w:val="4"/>
        <w:spacing w:before="153" w:line="339" w:lineRule="auto"/>
        <w:ind w:right="2" w:firstLine="484"/>
        <w:rPr>
          <w:sz w:val="24"/>
          <w:szCs w:val="24"/>
          <w:highlight w:val="none"/>
        </w:rPr>
      </w:pPr>
      <w:r>
        <w:rPr>
          <w:b/>
          <w:bCs/>
          <w:spacing w:val="-2"/>
          <w:sz w:val="24"/>
          <w:szCs w:val="24"/>
          <w:highlight w:val="none"/>
        </w:rPr>
        <w:t>8.1</w:t>
      </w:r>
      <w:r>
        <w:rPr>
          <w:spacing w:val="-2"/>
          <w:sz w:val="24"/>
          <w:szCs w:val="24"/>
          <w:highlight w:val="none"/>
        </w:rPr>
        <w:t xml:space="preserve"> 在投标截止时间15日前的任何时间，采购人可以用补充文件的方式修正招标文</w:t>
      </w:r>
      <w:r>
        <w:rPr>
          <w:spacing w:val="-3"/>
          <w:sz w:val="24"/>
          <w:szCs w:val="24"/>
          <w:highlight w:val="none"/>
        </w:rPr>
        <w:t>件，该补充文件将成为招标文件的组成部分。</w:t>
      </w:r>
    </w:p>
    <w:p w14:paraId="3EC0A704">
      <w:pPr>
        <w:pStyle w:val="4"/>
        <w:spacing w:line="218" w:lineRule="auto"/>
        <w:ind w:left="484"/>
        <w:rPr>
          <w:sz w:val="24"/>
          <w:szCs w:val="24"/>
          <w:highlight w:val="none"/>
        </w:rPr>
      </w:pPr>
      <w:r>
        <w:rPr>
          <w:b/>
          <w:bCs/>
          <w:spacing w:val="-4"/>
          <w:sz w:val="24"/>
          <w:szCs w:val="24"/>
          <w:highlight w:val="none"/>
        </w:rPr>
        <w:t>8.2</w:t>
      </w:r>
      <w:r>
        <w:rPr>
          <w:spacing w:val="-40"/>
          <w:sz w:val="24"/>
          <w:szCs w:val="24"/>
          <w:highlight w:val="none"/>
        </w:rPr>
        <w:t xml:space="preserve"> </w:t>
      </w:r>
      <w:r>
        <w:rPr>
          <w:spacing w:val="-4"/>
          <w:sz w:val="24"/>
          <w:szCs w:val="24"/>
          <w:highlight w:val="none"/>
        </w:rPr>
        <w:t>补充文件将以公告形式发布。</w:t>
      </w:r>
    </w:p>
    <w:p w14:paraId="3D06285E">
      <w:pPr>
        <w:spacing w:line="218" w:lineRule="auto"/>
        <w:rPr>
          <w:sz w:val="24"/>
          <w:szCs w:val="24"/>
          <w:highlight w:val="none"/>
        </w:rPr>
        <w:sectPr>
          <w:footerReference r:id="rId13" w:type="default"/>
          <w:pgSz w:w="11907" w:h="16839"/>
          <w:pgMar w:top="1431" w:right="1414" w:bottom="1159" w:left="1427" w:header="0" w:footer="959" w:gutter="0"/>
          <w:cols w:space="720" w:num="1"/>
        </w:sectPr>
      </w:pPr>
    </w:p>
    <w:p w14:paraId="5439904F">
      <w:pPr>
        <w:pStyle w:val="4"/>
        <w:spacing w:before="156" w:line="299" w:lineRule="auto"/>
        <w:ind w:left="3" w:right="87" w:firstLine="479"/>
        <w:rPr>
          <w:sz w:val="24"/>
          <w:szCs w:val="24"/>
          <w:highlight w:val="none"/>
        </w:rPr>
      </w:pPr>
      <w:r>
        <w:rPr>
          <w:b/>
          <w:bCs/>
          <w:spacing w:val="-1"/>
          <w:sz w:val="24"/>
          <w:szCs w:val="24"/>
          <w:highlight w:val="none"/>
        </w:rPr>
        <w:t>8.3</w:t>
      </w:r>
      <w:r>
        <w:rPr>
          <w:spacing w:val="-33"/>
          <w:sz w:val="24"/>
          <w:szCs w:val="24"/>
          <w:highlight w:val="none"/>
        </w:rPr>
        <w:t xml:space="preserve"> </w:t>
      </w:r>
      <w:r>
        <w:rPr>
          <w:spacing w:val="-1"/>
          <w:sz w:val="24"/>
          <w:szCs w:val="24"/>
          <w:highlight w:val="none"/>
        </w:rPr>
        <w:t>为使投标供应商有足够的时间按修正的招标文件准备电子化投标文件，采购人</w:t>
      </w:r>
      <w:r>
        <w:rPr>
          <w:spacing w:val="-4"/>
          <w:sz w:val="24"/>
          <w:szCs w:val="24"/>
          <w:highlight w:val="none"/>
        </w:rPr>
        <w:t>可以酌情延长投标截止时间。</w:t>
      </w:r>
    </w:p>
    <w:p w14:paraId="35BB6CCB">
      <w:pPr>
        <w:pStyle w:val="4"/>
        <w:spacing w:before="1" w:line="219" w:lineRule="auto"/>
        <w:ind w:left="2371"/>
        <w:rPr>
          <w:sz w:val="36"/>
          <w:szCs w:val="36"/>
          <w:highlight w:val="none"/>
        </w:rPr>
      </w:pPr>
      <w:r>
        <w:rPr>
          <w:b/>
          <w:bCs/>
          <w:spacing w:val="-4"/>
          <w:sz w:val="36"/>
          <w:szCs w:val="36"/>
          <w:highlight w:val="none"/>
        </w:rPr>
        <w:t>三、电子化投标文件的编制</w:t>
      </w:r>
    </w:p>
    <w:p w14:paraId="03A7E602">
      <w:pPr>
        <w:pStyle w:val="4"/>
        <w:spacing w:before="113" w:line="220" w:lineRule="auto"/>
        <w:ind w:left="485"/>
        <w:rPr>
          <w:sz w:val="24"/>
          <w:szCs w:val="24"/>
          <w:highlight w:val="none"/>
        </w:rPr>
      </w:pPr>
      <w:r>
        <w:rPr>
          <w:b/>
          <w:bCs/>
          <w:spacing w:val="-4"/>
          <w:sz w:val="24"/>
          <w:szCs w:val="24"/>
          <w:highlight w:val="none"/>
        </w:rPr>
        <w:t>9.特别说明</w:t>
      </w:r>
    </w:p>
    <w:p w14:paraId="5A575588">
      <w:pPr>
        <w:pStyle w:val="4"/>
        <w:spacing w:before="154" w:line="220" w:lineRule="auto"/>
        <w:ind w:left="485"/>
        <w:rPr>
          <w:sz w:val="24"/>
          <w:szCs w:val="24"/>
          <w:highlight w:val="none"/>
        </w:rPr>
      </w:pPr>
      <w:r>
        <w:rPr>
          <w:b/>
          <w:bCs/>
          <w:spacing w:val="-4"/>
          <w:sz w:val="24"/>
          <w:szCs w:val="24"/>
          <w:highlight w:val="none"/>
        </w:rPr>
        <w:t>9.1</w:t>
      </w:r>
      <w:r>
        <w:rPr>
          <w:spacing w:val="16"/>
          <w:sz w:val="24"/>
          <w:szCs w:val="24"/>
          <w:highlight w:val="none"/>
        </w:rPr>
        <w:t xml:space="preserve"> </w:t>
      </w:r>
      <w:r>
        <w:rPr>
          <w:spacing w:val="-4"/>
          <w:sz w:val="24"/>
          <w:szCs w:val="24"/>
          <w:highlight w:val="none"/>
        </w:rPr>
        <w:t>投标语言</w:t>
      </w:r>
    </w:p>
    <w:p w14:paraId="1A402632">
      <w:pPr>
        <w:pStyle w:val="4"/>
        <w:spacing w:before="157" w:line="338" w:lineRule="auto"/>
        <w:ind w:left="2" w:right="84" w:firstLine="481"/>
        <w:rPr>
          <w:sz w:val="24"/>
          <w:szCs w:val="24"/>
          <w:highlight w:val="none"/>
        </w:rPr>
      </w:pPr>
      <w:r>
        <w:rPr>
          <w:spacing w:val="5"/>
          <w:sz w:val="24"/>
          <w:szCs w:val="24"/>
          <w:highlight w:val="none"/>
        </w:rPr>
        <w:t>投标供应商提交的投标文件以及投标供应商与采购代理机</w:t>
      </w:r>
      <w:r>
        <w:rPr>
          <w:spacing w:val="4"/>
          <w:sz w:val="24"/>
          <w:szCs w:val="24"/>
          <w:highlight w:val="none"/>
        </w:rPr>
        <w:t>构就有关投标的所有往</w:t>
      </w:r>
      <w:r>
        <w:rPr>
          <w:spacing w:val="-5"/>
          <w:sz w:val="24"/>
          <w:szCs w:val="24"/>
          <w:highlight w:val="none"/>
        </w:rPr>
        <w:t>来函电均应使用中文。投标供应商提供的文件可以用英文， 但相应内容应附有中文翻译</w:t>
      </w:r>
      <w:r>
        <w:rPr>
          <w:spacing w:val="-3"/>
          <w:sz w:val="24"/>
          <w:szCs w:val="24"/>
          <w:highlight w:val="none"/>
        </w:rPr>
        <w:t>本，在解释时以中文翻译本为准。</w:t>
      </w:r>
    </w:p>
    <w:p w14:paraId="6821E80D">
      <w:pPr>
        <w:pStyle w:val="4"/>
        <w:spacing w:before="1" w:line="220" w:lineRule="auto"/>
        <w:ind w:left="485"/>
        <w:rPr>
          <w:sz w:val="24"/>
          <w:szCs w:val="24"/>
          <w:highlight w:val="none"/>
        </w:rPr>
      </w:pPr>
      <w:r>
        <w:rPr>
          <w:b/>
          <w:bCs/>
          <w:spacing w:val="-5"/>
          <w:sz w:val="24"/>
          <w:szCs w:val="24"/>
          <w:highlight w:val="none"/>
        </w:rPr>
        <w:t>9.2</w:t>
      </w:r>
      <w:r>
        <w:rPr>
          <w:spacing w:val="15"/>
          <w:sz w:val="24"/>
          <w:szCs w:val="24"/>
          <w:highlight w:val="none"/>
        </w:rPr>
        <w:t xml:space="preserve"> </w:t>
      </w:r>
      <w:r>
        <w:rPr>
          <w:spacing w:val="-5"/>
          <w:sz w:val="24"/>
          <w:szCs w:val="24"/>
          <w:highlight w:val="none"/>
        </w:rPr>
        <w:t>计量</w:t>
      </w:r>
    </w:p>
    <w:p w14:paraId="7804A429">
      <w:pPr>
        <w:pStyle w:val="4"/>
        <w:spacing w:before="152" w:line="219" w:lineRule="auto"/>
        <w:ind w:left="480"/>
        <w:rPr>
          <w:sz w:val="24"/>
          <w:szCs w:val="24"/>
          <w:highlight w:val="none"/>
        </w:rPr>
      </w:pPr>
      <w:r>
        <w:rPr>
          <w:spacing w:val="-1"/>
          <w:sz w:val="24"/>
          <w:szCs w:val="24"/>
          <w:highlight w:val="none"/>
        </w:rPr>
        <w:t>在电子化投标文件所有计量单位均采用中华</w:t>
      </w:r>
      <w:r>
        <w:rPr>
          <w:spacing w:val="-2"/>
          <w:sz w:val="24"/>
          <w:szCs w:val="24"/>
          <w:highlight w:val="none"/>
        </w:rPr>
        <w:t>人民共和国法定计量单位。</w:t>
      </w:r>
    </w:p>
    <w:p w14:paraId="6C10D05D">
      <w:pPr>
        <w:pStyle w:val="4"/>
        <w:spacing w:before="153" w:line="339" w:lineRule="auto"/>
        <w:ind w:right="84" w:firstLine="463"/>
        <w:rPr>
          <w:sz w:val="24"/>
          <w:szCs w:val="24"/>
          <w:highlight w:val="none"/>
        </w:rPr>
      </w:pPr>
      <w:r>
        <w:rPr>
          <w:b/>
          <w:bCs/>
          <w:spacing w:val="-1"/>
          <w:sz w:val="24"/>
          <w:szCs w:val="24"/>
          <w:highlight w:val="none"/>
        </w:rPr>
        <w:t>9.3</w:t>
      </w:r>
      <w:r>
        <w:rPr>
          <w:spacing w:val="-1"/>
          <w:sz w:val="24"/>
          <w:szCs w:val="24"/>
          <w:highlight w:val="none"/>
        </w:rPr>
        <w:t xml:space="preserve"> 投标供应商在投标文件中所提交的所有资料和文件均应</w:t>
      </w:r>
      <w:r>
        <w:rPr>
          <w:spacing w:val="-2"/>
          <w:sz w:val="24"/>
          <w:szCs w:val="24"/>
          <w:highlight w:val="none"/>
        </w:rPr>
        <w:t>是真实的和有效的，如有作假，则将该投标供应商的投标作无效标处理，若中标后被发现有上述行为的，则采购人有权取消其中标资格，并且该投标供应商应承担由此而造成的一切损失（包括经济</w:t>
      </w:r>
      <w:r>
        <w:rPr>
          <w:spacing w:val="-16"/>
          <w:sz w:val="24"/>
          <w:szCs w:val="24"/>
          <w:highlight w:val="none"/>
        </w:rPr>
        <w:t>损失和法律责任）。</w:t>
      </w:r>
    </w:p>
    <w:p w14:paraId="46A09A9E">
      <w:pPr>
        <w:pStyle w:val="4"/>
        <w:spacing w:before="2" w:line="338" w:lineRule="auto"/>
        <w:ind w:left="2" w:right="84" w:firstLine="460"/>
        <w:rPr>
          <w:sz w:val="24"/>
          <w:szCs w:val="24"/>
          <w:highlight w:val="none"/>
        </w:rPr>
      </w:pPr>
      <w:r>
        <w:rPr>
          <w:b/>
          <w:bCs/>
          <w:spacing w:val="-1"/>
          <w:sz w:val="24"/>
          <w:szCs w:val="24"/>
          <w:highlight w:val="none"/>
        </w:rPr>
        <w:t>9.4</w:t>
      </w:r>
      <w:r>
        <w:rPr>
          <w:spacing w:val="-1"/>
          <w:sz w:val="24"/>
          <w:szCs w:val="24"/>
          <w:highlight w:val="none"/>
        </w:rPr>
        <w:t xml:space="preserve"> 投标供应商应当按照招标文件和电子招标投标交易平台</w:t>
      </w:r>
      <w:r>
        <w:rPr>
          <w:spacing w:val="-2"/>
          <w:sz w:val="24"/>
          <w:szCs w:val="24"/>
          <w:highlight w:val="none"/>
        </w:rPr>
        <w:t>的要求编制并加密电子</w:t>
      </w:r>
      <w:r>
        <w:rPr>
          <w:spacing w:val="-5"/>
          <w:sz w:val="24"/>
          <w:szCs w:val="24"/>
          <w:highlight w:val="none"/>
        </w:rPr>
        <w:t>化投标文件。投标供应商未按规定加密的电子化投标文件， 电子招标投标交易平台将拒</w:t>
      </w:r>
      <w:r>
        <w:rPr>
          <w:spacing w:val="-8"/>
          <w:sz w:val="24"/>
          <w:szCs w:val="24"/>
          <w:highlight w:val="none"/>
        </w:rPr>
        <w:t>收并提示。</w:t>
      </w:r>
    </w:p>
    <w:p w14:paraId="5752548B">
      <w:pPr>
        <w:pStyle w:val="4"/>
        <w:spacing w:before="1" w:line="338" w:lineRule="auto"/>
        <w:ind w:left="4" w:right="84" w:firstLine="458"/>
        <w:rPr>
          <w:sz w:val="24"/>
          <w:szCs w:val="24"/>
          <w:highlight w:val="none"/>
        </w:rPr>
      </w:pPr>
      <w:r>
        <w:rPr>
          <w:b/>
          <w:bCs/>
          <w:spacing w:val="-1"/>
          <w:sz w:val="24"/>
          <w:szCs w:val="24"/>
          <w:highlight w:val="none"/>
        </w:rPr>
        <w:t>9.5</w:t>
      </w:r>
      <w:r>
        <w:rPr>
          <w:spacing w:val="-1"/>
          <w:sz w:val="24"/>
          <w:szCs w:val="24"/>
          <w:highlight w:val="none"/>
        </w:rPr>
        <w:t xml:space="preserve"> 投标供应商应当在投标截止时间前完成投标文件电子版</w:t>
      </w:r>
      <w:r>
        <w:rPr>
          <w:spacing w:val="-2"/>
          <w:sz w:val="24"/>
          <w:szCs w:val="24"/>
          <w:highlight w:val="none"/>
        </w:rPr>
        <w:t>的传输递交，并可以补</w:t>
      </w:r>
      <w:r>
        <w:rPr>
          <w:spacing w:val="-6"/>
          <w:sz w:val="24"/>
          <w:szCs w:val="24"/>
          <w:highlight w:val="none"/>
        </w:rPr>
        <w:t>充、修改或者撤回电子化投标文件。投标截止时间前未完成电子化投标文件传输的，</w:t>
      </w:r>
      <w:r>
        <w:rPr>
          <w:spacing w:val="45"/>
          <w:sz w:val="24"/>
          <w:szCs w:val="24"/>
          <w:highlight w:val="none"/>
        </w:rPr>
        <w:t xml:space="preserve"> </w:t>
      </w:r>
      <w:r>
        <w:rPr>
          <w:spacing w:val="-6"/>
          <w:sz w:val="24"/>
          <w:szCs w:val="24"/>
          <w:highlight w:val="none"/>
        </w:rPr>
        <w:t>视</w:t>
      </w:r>
      <w:r>
        <w:rPr>
          <w:spacing w:val="-5"/>
          <w:sz w:val="24"/>
          <w:szCs w:val="24"/>
          <w:highlight w:val="none"/>
        </w:rPr>
        <w:t>为撤回电子化投标文件。投标截止时间后送达的电子化投标文件， 电子招标投标交易平</w:t>
      </w:r>
      <w:r>
        <w:rPr>
          <w:spacing w:val="-8"/>
          <w:sz w:val="24"/>
          <w:szCs w:val="24"/>
          <w:highlight w:val="none"/>
        </w:rPr>
        <w:t>台将拒收。</w:t>
      </w:r>
    </w:p>
    <w:p w14:paraId="3A6C49CE">
      <w:pPr>
        <w:pStyle w:val="4"/>
        <w:spacing w:before="1" w:line="218" w:lineRule="auto"/>
        <w:ind w:left="485"/>
        <w:rPr>
          <w:sz w:val="24"/>
          <w:szCs w:val="24"/>
          <w:highlight w:val="none"/>
        </w:rPr>
      </w:pPr>
      <w:r>
        <w:rPr>
          <w:b/>
          <w:bCs/>
          <w:spacing w:val="-4"/>
          <w:sz w:val="24"/>
          <w:szCs w:val="24"/>
          <w:highlight w:val="none"/>
        </w:rPr>
        <w:t>10.投标货物和服务的文件</w:t>
      </w:r>
    </w:p>
    <w:p w14:paraId="635E1845">
      <w:pPr>
        <w:pStyle w:val="4"/>
        <w:spacing w:before="155" w:line="220" w:lineRule="auto"/>
        <w:ind w:left="485"/>
        <w:rPr>
          <w:sz w:val="24"/>
          <w:szCs w:val="24"/>
          <w:highlight w:val="none"/>
        </w:rPr>
      </w:pPr>
      <w:r>
        <w:rPr>
          <w:b/>
          <w:bCs/>
          <w:spacing w:val="-6"/>
          <w:sz w:val="24"/>
          <w:szCs w:val="24"/>
          <w:highlight w:val="none"/>
        </w:rPr>
        <w:t>10.1</w:t>
      </w:r>
      <w:r>
        <w:rPr>
          <w:spacing w:val="-42"/>
          <w:sz w:val="24"/>
          <w:szCs w:val="24"/>
          <w:highlight w:val="none"/>
        </w:rPr>
        <w:t xml:space="preserve"> </w:t>
      </w:r>
      <w:r>
        <w:rPr>
          <w:spacing w:val="-6"/>
          <w:sz w:val="24"/>
          <w:szCs w:val="24"/>
          <w:highlight w:val="none"/>
        </w:rPr>
        <w:t>投标设备合格文件：</w:t>
      </w:r>
    </w:p>
    <w:p w14:paraId="71ECC6D2">
      <w:pPr>
        <w:pStyle w:val="4"/>
        <w:spacing w:before="156" w:line="338" w:lineRule="auto"/>
        <w:ind w:left="3" w:right="84" w:firstLine="481"/>
        <w:rPr>
          <w:sz w:val="24"/>
          <w:szCs w:val="24"/>
          <w:highlight w:val="none"/>
        </w:rPr>
      </w:pPr>
      <w:r>
        <w:rPr>
          <w:b/>
          <w:bCs/>
          <w:spacing w:val="-4"/>
          <w:sz w:val="24"/>
          <w:szCs w:val="24"/>
          <w:highlight w:val="none"/>
        </w:rPr>
        <w:t>10.1.1</w:t>
      </w:r>
      <w:r>
        <w:rPr>
          <w:spacing w:val="-41"/>
          <w:sz w:val="24"/>
          <w:szCs w:val="24"/>
          <w:highlight w:val="none"/>
        </w:rPr>
        <w:t xml:space="preserve"> </w:t>
      </w:r>
      <w:r>
        <w:rPr>
          <w:spacing w:val="-4"/>
          <w:sz w:val="24"/>
          <w:szCs w:val="24"/>
          <w:highlight w:val="none"/>
        </w:rPr>
        <w:t>投标供应商必须提供有关投标设备符合招标文件要求的证明文件，这些文件可以是说明书、样本和资料等。</w:t>
      </w:r>
    </w:p>
    <w:p w14:paraId="26D5E713">
      <w:pPr>
        <w:pStyle w:val="4"/>
        <w:spacing w:line="218" w:lineRule="auto"/>
        <w:ind w:left="485"/>
        <w:rPr>
          <w:sz w:val="24"/>
          <w:szCs w:val="24"/>
          <w:highlight w:val="none"/>
        </w:rPr>
      </w:pPr>
      <w:r>
        <w:rPr>
          <w:b/>
          <w:bCs/>
          <w:spacing w:val="-4"/>
          <w:sz w:val="24"/>
          <w:szCs w:val="24"/>
          <w:highlight w:val="none"/>
        </w:rPr>
        <w:t>10.1.2</w:t>
      </w:r>
      <w:r>
        <w:rPr>
          <w:spacing w:val="-43"/>
          <w:sz w:val="24"/>
          <w:szCs w:val="24"/>
          <w:highlight w:val="none"/>
        </w:rPr>
        <w:t xml:space="preserve"> </w:t>
      </w:r>
      <w:r>
        <w:rPr>
          <w:spacing w:val="-4"/>
          <w:sz w:val="24"/>
          <w:szCs w:val="24"/>
          <w:highlight w:val="none"/>
        </w:rPr>
        <w:t>有关各种实验报告、鉴定报告等。</w:t>
      </w:r>
    </w:p>
    <w:p w14:paraId="11FDC9D2">
      <w:pPr>
        <w:pStyle w:val="4"/>
        <w:spacing w:before="158" w:line="219" w:lineRule="auto"/>
        <w:jc w:val="right"/>
        <w:rPr>
          <w:sz w:val="24"/>
          <w:szCs w:val="24"/>
          <w:highlight w:val="none"/>
        </w:rPr>
      </w:pPr>
      <w:r>
        <w:rPr>
          <w:b/>
          <w:bCs/>
          <w:spacing w:val="-8"/>
          <w:sz w:val="24"/>
          <w:szCs w:val="24"/>
          <w:highlight w:val="none"/>
        </w:rPr>
        <w:t>10.1.3</w:t>
      </w:r>
      <w:r>
        <w:rPr>
          <w:spacing w:val="-32"/>
          <w:sz w:val="24"/>
          <w:szCs w:val="24"/>
          <w:highlight w:val="none"/>
        </w:rPr>
        <w:t xml:space="preserve"> </w:t>
      </w:r>
      <w:r>
        <w:rPr>
          <w:spacing w:val="-8"/>
          <w:sz w:val="24"/>
          <w:szCs w:val="24"/>
          <w:highlight w:val="none"/>
        </w:rPr>
        <w:t>产品样本说明书、主要技术参数、性能说明、部件及材料产地来源表等资料。</w:t>
      </w:r>
    </w:p>
    <w:p w14:paraId="06770614">
      <w:pPr>
        <w:pStyle w:val="4"/>
        <w:spacing w:before="154" w:line="220" w:lineRule="auto"/>
        <w:ind w:left="485"/>
        <w:rPr>
          <w:sz w:val="24"/>
          <w:szCs w:val="24"/>
          <w:highlight w:val="none"/>
        </w:rPr>
      </w:pPr>
      <w:r>
        <w:rPr>
          <w:b/>
          <w:bCs/>
          <w:spacing w:val="-4"/>
          <w:sz w:val="24"/>
          <w:szCs w:val="24"/>
          <w:highlight w:val="none"/>
        </w:rPr>
        <w:t>10.1.4</w:t>
      </w:r>
      <w:r>
        <w:rPr>
          <w:spacing w:val="-40"/>
          <w:sz w:val="24"/>
          <w:szCs w:val="24"/>
          <w:highlight w:val="none"/>
        </w:rPr>
        <w:t xml:space="preserve"> </w:t>
      </w:r>
      <w:r>
        <w:rPr>
          <w:spacing w:val="-4"/>
          <w:sz w:val="24"/>
          <w:szCs w:val="24"/>
          <w:highlight w:val="none"/>
        </w:rPr>
        <w:t>投标设备的制造、安装及验收标准。</w:t>
      </w:r>
    </w:p>
    <w:p w14:paraId="2EA0D9A6">
      <w:pPr>
        <w:pStyle w:val="4"/>
        <w:spacing w:before="153" w:line="220" w:lineRule="auto"/>
        <w:ind w:left="485"/>
        <w:rPr>
          <w:sz w:val="24"/>
          <w:szCs w:val="24"/>
          <w:highlight w:val="none"/>
        </w:rPr>
      </w:pPr>
      <w:r>
        <w:rPr>
          <w:b/>
          <w:bCs/>
          <w:spacing w:val="-3"/>
          <w:sz w:val="24"/>
          <w:szCs w:val="24"/>
          <w:highlight w:val="none"/>
        </w:rPr>
        <w:t>10.1.5</w:t>
      </w:r>
      <w:r>
        <w:rPr>
          <w:spacing w:val="-34"/>
          <w:sz w:val="24"/>
          <w:szCs w:val="24"/>
          <w:highlight w:val="none"/>
        </w:rPr>
        <w:t xml:space="preserve"> </w:t>
      </w:r>
      <w:r>
        <w:rPr>
          <w:spacing w:val="-3"/>
          <w:sz w:val="24"/>
          <w:szCs w:val="24"/>
          <w:highlight w:val="none"/>
        </w:rPr>
        <w:t>设备安装和维修时所需的特殊工具及所需备品、备件清单。</w:t>
      </w:r>
    </w:p>
    <w:p w14:paraId="7A259AC9">
      <w:pPr>
        <w:pStyle w:val="4"/>
        <w:spacing w:before="156" w:line="340" w:lineRule="auto"/>
        <w:ind w:left="30" w:right="88" w:firstLine="476"/>
        <w:rPr>
          <w:sz w:val="24"/>
          <w:szCs w:val="24"/>
          <w:highlight w:val="none"/>
        </w:rPr>
      </w:pPr>
      <w:r>
        <w:rPr>
          <w:b/>
          <w:bCs/>
          <w:spacing w:val="1"/>
          <w:sz w:val="24"/>
          <w:szCs w:val="24"/>
          <w:highlight w:val="none"/>
        </w:rPr>
        <w:t>10.2</w:t>
      </w:r>
      <w:r>
        <w:rPr>
          <w:spacing w:val="1"/>
          <w:sz w:val="24"/>
          <w:szCs w:val="24"/>
          <w:highlight w:val="none"/>
        </w:rPr>
        <w:t xml:space="preserve"> 各投标供应商必须对设备清单中的全部</w:t>
      </w:r>
      <w:r>
        <w:rPr>
          <w:sz w:val="24"/>
          <w:szCs w:val="24"/>
          <w:highlight w:val="none"/>
        </w:rPr>
        <w:t>设备进行投标，只投其中部分设备则</w:t>
      </w:r>
      <w:r>
        <w:rPr>
          <w:spacing w:val="-7"/>
          <w:sz w:val="24"/>
          <w:szCs w:val="24"/>
          <w:highlight w:val="none"/>
        </w:rPr>
        <w:t>电子化投标文件无效。</w:t>
      </w:r>
    </w:p>
    <w:p w14:paraId="5B0D3AE5">
      <w:pPr>
        <w:spacing w:line="340" w:lineRule="auto"/>
        <w:rPr>
          <w:sz w:val="24"/>
          <w:szCs w:val="24"/>
          <w:highlight w:val="none"/>
        </w:rPr>
        <w:sectPr>
          <w:footerReference r:id="rId14" w:type="default"/>
          <w:pgSz w:w="11907" w:h="16839"/>
          <w:pgMar w:top="1431" w:right="1330" w:bottom="1159" w:left="1426" w:header="0" w:footer="959" w:gutter="0"/>
          <w:cols w:space="720" w:num="1"/>
        </w:sectPr>
      </w:pPr>
    </w:p>
    <w:p w14:paraId="2C8011DF">
      <w:pPr>
        <w:pStyle w:val="4"/>
        <w:spacing w:before="155" w:line="219" w:lineRule="auto"/>
        <w:ind w:left="505"/>
        <w:rPr>
          <w:sz w:val="24"/>
          <w:szCs w:val="24"/>
          <w:highlight w:val="none"/>
        </w:rPr>
      </w:pPr>
      <w:r>
        <w:rPr>
          <w:b/>
          <w:bCs/>
          <w:spacing w:val="-3"/>
          <w:sz w:val="24"/>
          <w:szCs w:val="24"/>
          <w:highlight w:val="none"/>
        </w:rPr>
        <w:t>10.3</w:t>
      </w:r>
      <w:r>
        <w:rPr>
          <w:spacing w:val="-45"/>
          <w:sz w:val="24"/>
          <w:szCs w:val="24"/>
          <w:highlight w:val="none"/>
        </w:rPr>
        <w:t xml:space="preserve"> </w:t>
      </w:r>
      <w:r>
        <w:rPr>
          <w:spacing w:val="-3"/>
          <w:sz w:val="24"/>
          <w:szCs w:val="24"/>
          <w:highlight w:val="none"/>
        </w:rPr>
        <w:t>投标供应商所投设备的所有部件均</w:t>
      </w:r>
      <w:r>
        <w:rPr>
          <w:spacing w:val="-4"/>
          <w:sz w:val="24"/>
          <w:szCs w:val="24"/>
          <w:highlight w:val="none"/>
        </w:rPr>
        <w:t>为合格产品。</w:t>
      </w:r>
    </w:p>
    <w:p w14:paraId="010CA98F">
      <w:pPr>
        <w:pStyle w:val="4"/>
        <w:spacing w:before="154" w:line="339" w:lineRule="auto"/>
        <w:ind w:left="3" w:right="89" w:firstLine="502"/>
        <w:rPr>
          <w:sz w:val="24"/>
          <w:szCs w:val="24"/>
          <w:highlight w:val="none"/>
        </w:rPr>
      </w:pPr>
      <w:r>
        <w:rPr>
          <w:b/>
          <w:bCs/>
          <w:spacing w:val="1"/>
          <w:sz w:val="24"/>
          <w:szCs w:val="24"/>
          <w:highlight w:val="none"/>
        </w:rPr>
        <w:t>10.4</w:t>
      </w:r>
      <w:r>
        <w:rPr>
          <w:spacing w:val="1"/>
          <w:sz w:val="24"/>
          <w:szCs w:val="24"/>
          <w:highlight w:val="none"/>
        </w:rPr>
        <w:t xml:space="preserve"> 投标供应商认为应对其设备的性能特点</w:t>
      </w:r>
      <w:r>
        <w:rPr>
          <w:sz w:val="24"/>
          <w:szCs w:val="24"/>
          <w:highlight w:val="none"/>
        </w:rPr>
        <w:t>、优越性等有必要进行补充说明的内</w:t>
      </w:r>
      <w:r>
        <w:rPr>
          <w:spacing w:val="-12"/>
          <w:sz w:val="24"/>
          <w:szCs w:val="24"/>
          <w:highlight w:val="none"/>
        </w:rPr>
        <w:t>容。</w:t>
      </w:r>
    </w:p>
    <w:p w14:paraId="5F6BF3F4">
      <w:pPr>
        <w:pStyle w:val="4"/>
        <w:spacing w:before="1" w:line="338" w:lineRule="auto"/>
        <w:ind w:left="2" w:right="82" w:firstLine="503"/>
        <w:rPr>
          <w:sz w:val="24"/>
          <w:szCs w:val="24"/>
          <w:highlight w:val="none"/>
        </w:rPr>
      </w:pPr>
      <w:r>
        <w:rPr>
          <w:b/>
          <w:bCs/>
          <w:spacing w:val="1"/>
          <w:sz w:val="24"/>
          <w:szCs w:val="24"/>
          <w:highlight w:val="none"/>
        </w:rPr>
        <w:t>10.5</w:t>
      </w:r>
      <w:r>
        <w:rPr>
          <w:spacing w:val="1"/>
          <w:sz w:val="24"/>
          <w:szCs w:val="24"/>
          <w:highlight w:val="none"/>
        </w:rPr>
        <w:t xml:space="preserve"> 投标供应商必须对招标文件中设备的技术要求逐项、逐条</w:t>
      </w:r>
      <w:r>
        <w:rPr>
          <w:sz w:val="24"/>
          <w:szCs w:val="24"/>
          <w:highlight w:val="none"/>
        </w:rPr>
        <w:t>明确答复；应逐项</w:t>
      </w:r>
      <w:r>
        <w:rPr>
          <w:spacing w:val="-2"/>
          <w:sz w:val="24"/>
          <w:szCs w:val="24"/>
          <w:highlight w:val="none"/>
        </w:rPr>
        <w:t>填写“技术参数偏离表”，投标设备与招标文件中的规定要求有偏离的，应详细说明偏</w:t>
      </w:r>
      <w:r>
        <w:rPr>
          <w:spacing w:val="-9"/>
          <w:sz w:val="24"/>
          <w:szCs w:val="24"/>
          <w:highlight w:val="none"/>
        </w:rPr>
        <w:t>离情况。</w:t>
      </w:r>
    </w:p>
    <w:p w14:paraId="07BE6B05">
      <w:pPr>
        <w:pStyle w:val="4"/>
        <w:spacing w:line="220" w:lineRule="auto"/>
        <w:ind w:left="505"/>
        <w:rPr>
          <w:sz w:val="24"/>
          <w:szCs w:val="24"/>
          <w:highlight w:val="none"/>
        </w:rPr>
      </w:pPr>
      <w:r>
        <w:rPr>
          <w:b/>
          <w:bCs/>
          <w:spacing w:val="-5"/>
          <w:sz w:val="24"/>
          <w:szCs w:val="24"/>
          <w:highlight w:val="none"/>
        </w:rPr>
        <w:t>11.投标设备安装</w:t>
      </w:r>
    </w:p>
    <w:p w14:paraId="6D4AB0EC">
      <w:pPr>
        <w:pStyle w:val="4"/>
        <w:spacing w:before="146" w:line="334" w:lineRule="auto"/>
        <w:ind w:left="3" w:right="87" w:firstLine="499"/>
        <w:rPr>
          <w:sz w:val="24"/>
          <w:szCs w:val="24"/>
          <w:highlight w:val="none"/>
        </w:rPr>
      </w:pPr>
      <w:r>
        <w:rPr>
          <w:spacing w:val="-4"/>
          <w:sz w:val="24"/>
          <w:szCs w:val="24"/>
          <w:highlight w:val="none"/>
        </w:rPr>
        <w:t>11.1</w:t>
      </w:r>
      <w:r>
        <w:rPr>
          <w:spacing w:val="-47"/>
          <w:sz w:val="24"/>
          <w:szCs w:val="24"/>
          <w:highlight w:val="none"/>
        </w:rPr>
        <w:t xml:space="preserve"> </w:t>
      </w:r>
      <w:r>
        <w:rPr>
          <w:spacing w:val="-4"/>
          <w:sz w:val="24"/>
          <w:szCs w:val="24"/>
          <w:highlight w:val="none"/>
        </w:rPr>
        <w:t>设备由中标供应商进行安装调试，设备到达用户指定地点后，需安排</w:t>
      </w:r>
      <w:r>
        <w:rPr>
          <w:spacing w:val="-5"/>
          <w:sz w:val="24"/>
          <w:szCs w:val="24"/>
          <w:highlight w:val="none"/>
        </w:rPr>
        <w:t>有经验的</w:t>
      </w:r>
      <w:r>
        <w:rPr>
          <w:spacing w:val="-3"/>
          <w:sz w:val="24"/>
          <w:szCs w:val="24"/>
          <w:highlight w:val="none"/>
        </w:rPr>
        <w:t>工程技术人员到用户现场安装、调试仪器。</w:t>
      </w:r>
    </w:p>
    <w:p w14:paraId="625BC012">
      <w:pPr>
        <w:pStyle w:val="4"/>
        <w:spacing w:before="1" w:line="338" w:lineRule="auto"/>
        <w:ind w:firstLine="502"/>
        <w:rPr>
          <w:sz w:val="24"/>
          <w:szCs w:val="24"/>
          <w:highlight w:val="none"/>
        </w:rPr>
      </w:pPr>
      <w:r>
        <w:rPr>
          <w:spacing w:val="-4"/>
          <w:sz w:val="24"/>
          <w:szCs w:val="24"/>
          <w:highlight w:val="none"/>
        </w:rPr>
        <w:t>11.2</w:t>
      </w:r>
      <w:r>
        <w:rPr>
          <w:spacing w:val="-50"/>
          <w:sz w:val="24"/>
          <w:szCs w:val="24"/>
          <w:highlight w:val="none"/>
        </w:rPr>
        <w:t xml:space="preserve"> </w:t>
      </w:r>
      <w:r>
        <w:rPr>
          <w:spacing w:val="-4"/>
          <w:sz w:val="24"/>
          <w:szCs w:val="24"/>
          <w:highlight w:val="none"/>
        </w:rPr>
        <w:t>要求生产厂家设有专门的培训中心，对用户免费进行全面系统的培训，内</w:t>
      </w:r>
      <w:r>
        <w:rPr>
          <w:spacing w:val="-5"/>
          <w:sz w:val="24"/>
          <w:szCs w:val="24"/>
          <w:highlight w:val="none"/>
        </w:rPr>
        <w:t>容包括设备的基本原理、操作应用及设备的维护保养</w:t>
      </w:r>
      <w:r>
        <w:rPr>
          <w:spacing w:val="-6"/>
          <w:sz w:val="24"/>
          <w:szCs w:val="24"/>
          <w:highlight w:val="none"/>
        </w:rPr>
        <w:t>知识，直到用户能正常使用和维护仪器。</w:t>
      </w:r>
      <w:r>
        <w:rPr>
          <w:spacing w:val="-1"/>
          <w:sz w:val="24"/>
          <w:szCs w:val="24"/>
          <w:highlight w:val="none"/>
        </w:rPr>
        <w:t>厂家长期提供技术支持，并免费提供所有公</w:t>
      </w:r>
      <w:r>
        <w:rPr>
          <w:spacing w:val="-2"/>
          <w:sz w:val="24"/>
          <w:szCs w:val="24"/>
          <w:highlight w:val="none"/>
        </w:rPr>
        <w:t>开发表的应用文献和最新设备有关资料、通讯和用户论文集等。保证用户熟练掌握设备的日常操作使用及日常维护，以后再根据需要进行必要的培训，供应商可以协助用户开发分析方法。</w:t>
      </w:r>
    </w:p>
    <w:p w14:paraId="38A812B2">
      <w:pPr>
        <w:pStyle w:val="4"/>
        <w:spacing w:line="218" w:lineRule="auto"/>
        <w:ind w:left="501"/>
        <w:rPr>
          <w:sz w:val="24"/>
          <w:szCs w:val="24"/>
          <w:highlight w:val="none"/>
        </w:rPr>
      </w:pPr>
      <w:r>
        <w:rPr>
          <w:b/>
          <w:bCs/>
          <w:spacing w:val="-6"/>
          <w:sz w:val="24"/>
          <w:szCs w:val="24"/>
          <w:highlight w:val="none"/>
        </w:rPr>
        <w:t>12.投标报价</w:t>
      </w:r>
    </w:p>
    <w:p w14:paraId="64BF71A7">
      <w:pPr>
        <w:pStyle w:val="4"/>
        <w:spacing w:before="159" w:line="218" w:lineRule="auto"/>
        <w:ind w:left="484"/>
        <w:rPr>
          <w:sz w:val="24"/>
          <w:szCs w:val="24"/>
          <w:highlight w:val="none"/>
        </w:rPr>
      </w:pPr>
      <w:r>
        <w:rPr>
          <w:b/>
          <w:bCs/>
          <w:spacing w:val="-6"/>
          <w:sz w:val="24"/>
          <w:szCs w:val="24"/>
          <w:highlight w:val="none"/>
        </w:rPr>
        <w:t>12.1</w:t>
      </w:r>
      <w:r>
        <w:rPr>
          <w:spacing w:val="-38"/>
          <w:sz w:val="24"/>
          <w:szCs w:val="24"/>
          <w:highlight w:val="none"/>
        </w:rPr>
        <w:t xml:space="preserve"> </w:t>
      </w:r>
      <w:r>
        <w:rPr>
          <w:spacing w:val="-6"/>
          <w:sz w:val="24"/>
          <w:szCs w:val="24"/>
          <w:highlight w:val="none"/>
        </w:rPr>
        <w:t>投标报价中应包含以下内容：</w:t>
      </w:r>
    </w:p>
    <w:p w14:paraId="0F24EFC9">
      <w:pPr>
        <w:pStyle w:val="4"/>
        <w:spacing w:before="154" w:line="339" w:lineRule="auto"/>
        <w:ind w:right="88" w:firstLine="469"/>
        <w:rPr>
          <w:sz w:val="24"/>
          <w:szCs w:val="24"/>
          <w:highlight w:val="none"/>
        </w:rPr>
      </w:pPr>
      <w:r>
        <w:rPr>
          <w:spacing w:val="-1"/>
          <w:sz w:val="24"/>
          <w:szCs w:val="24"/>
          <w:highlight w:val="none"/>
        </w:rPr>
        <w:t>投标供应商应报出货到交货地点价。其中应包含人</w:t>
      </w:r>
      <w:r>
        <w:rPr>
          <w:spacing w:val="-2"/>
          <w:sz w:val="24"/>
          <w:szCs w:val="24"/>
          <w:highlight w:val="none"/>
        </w:rPr>
        <w:t>工费、服务费、运输费、安装调</w:t>
      </w:r>
      <w:r>
        <w:rPr>
          <w:spacing w:val="-3"/>
          <w:sz w:val="24"/>
          <w:szCs w:val="24"/>
          <w:highlight w:val="none"/>
        </w:rPr>
        <w:t>试费、设备价款、备品备件费、检验费、包装费、装卸费、税金（含关税、增值税）、</w:t>
      </w:r>
      <w:r>
        <w:rPr>
          <w:spacing w:val="-1"/>
          <w:sz w:val="24"/>
          <w:szCs w:val="24"/>
          <w:highlight w:val="none"/>
        </w:rPr>
        <w:t>施工费、检测验收费、培训费、绩效评估报告费等各项与此项目有关的一切费用。</w:t>
      </w:r>
    </w:p>
    <w:p w14:paraId="6EA02F3B">
      <w:pPr>
        <w:pStyle w:val="4"/>
        <w:spacing w:before="2" w:line="338" w:lineRule="auto"/>
        <w:ind w:left="3" w:right="85" w:firstLine="480"/>
        <w:rPr>
          <w:sz w:val="24"/>
          <w:szCs w:val="24"/>
          <w:highlight w:val="none"/>
        </w:rPr>
      </w:pPr>
      <w:r>
        <w:rPr>
          <w:b/>
          <w:bCs/>
          <w:spacing w:val="-4"/>
          <w:sz w:val="24"/>
          <w:szCs w:val="24"/>
          <w:highlight w:val="none"/>
        </w:rPr>
        <w:t>12.2</w:t>
      </w:r>
      <w:r>
        <w:rPr>
          <w:spacing w:val="-40"/>
          <w:sz w:val="24"/>
          <w:szCs w:val="24"/>
          <w:highlight w:val="none"/>
        </w:rPr>
        <w:t xml:space="preserve"> </w:t>
      </w:r>
      <w:r>
        <w:rPr>
          <w:spacing w:val="-4"/>
          <w:sz w:val="24"/>
          <w:szCs w:val="24"/>
          <w:highlight w:val="none"/>
        </w:rPr>
        <w:t>投标供应商的投标报价应包含验收合格正式交付使用前所发生的一切费用，且</w:t>
      </w:r>
      <w:r>
        <w:rPr>
          <w:spacing w:val="-2"/>
          <w:sz w:val="24"/>
          <w:szCs w:val="24"/>
          <w:highlight w:val="none"/>
        </w:rPr>
        <w:t>投标供应商只能提出一个不变价格，采购人不接受任何选择报价。</w:t>
      </w:r>
    </w:p>
    <w:p w14:paraId="07DADE7B">
      <w:pPr>
        <w:pStyle w:val="4"/>
        <w:spacing w:before="1" w:line="338" w:lineRule="auto"/>
        <w:ind w:right="87" w:firstLine="569"/>
        <w:rPr>
          <w:sz w:val="24"/>
          <w:szCs w:val="24"/>
          <w:highlight w:val="none"/>
        </w:rPr>
      </w:pPr>
      <w:r>
        <w:rPr>
          <w:b/>
          <w:bCs/>
          <w:spacing w:val="-1"/>
          <w:sz w:val="24"/>
          <w:szCs w:val="24"/>
          <w:highlight w:val="none"/>
        </w:rPr>
        <w:t>12.3</w:t>
      </w:r>
      <w:r>
        <w:rPr>
          <w:spacing w:val="-1"/>
          <w:sz w:val="24"/>
          <w:szCs w:val="24"/>
          <w:highlight w:val="none"/>
        </w:rPr>
        <w:t xml:space="preserve"> 如投标报价表中的大写金额和小写金额不一致的，以大写金额为准；</w:t>
      </w:r>
      <w:r>
        <w:rPr>
          <w:spacing w:val="-2"/>
          <w:sz w:val="24"/>
          <w:szCs w:val="24"/>
          <w:highlight w:val="none"/>
        </w:rPr>
        <w:t>总价金额与单价金额不一致的，以单价金额为准，但单价金额小数点有明显错误的除外；对不同文字文本电子化投标文件的解释发生异议的，以中文文本为准。</w:t>
      </w:r>
    </w:p>
    <w:p w14:paraId="32A476ED">
      <w:pPr>
        <w:pStyle w:val="4"/>
        <w:spacing w:before="1" w:line="218" w:lineRule="auto"/>
        <w:ind w:left="570"/>
        <w:rPr>
          <w:sz w:val="24"/>
          <w:szCs w:val="24"/>
          <w:highlight w:val="none"/>
        </w:rPr>
      </w:pPr>
      <w:r>
        <w:rPr>
          <w:b/>
          <w:bCs/>
          <w:spacing w:val="-3"/>
          <w:sz w:val="24"/>
          <w:szCs w:val="24"/>
          <w:highlight w:val="none"/>
        </w:rPr>
        <w:t>12.4</w:t>
      </w:r>
      <w:r>
        <w:rPr>
          <w:spacing w:val="-37"/>
          <w:sz w:val="24"/>
          <w:szCs w:val="24"/>
          <w:highlight w:val="none"/>
        </w:rPr>
        <w:t xml:space="preserve"> </w:t>
      </w:r>
      <w:r>
        <w:rPr>
          <w:spacing w:val="-3"/>
          <w:sz w:val="24"/>
          <w:szCs w:val="24"/>
          <w:highlight w:val="none"/>
        </w:rPr>
        <w:t>全部报价均应以人民币为计量币种，并以人民币进行结算。</w:t>
      </w:r>
    </w:p>
    <w:p w14:paraId="7E3D7B71">
      <w:pPr>
        <w:pStyle w:val="4"/>
        <w:spacing w:before="156" w:line="219" w:lineRule="auto"/>
        <w:ind w:left="501"/>
        <w:rPr>
          <w:sz w:val="24"/>
          <w:szCs w:val="24"/>
          <w:highlight w:val="none"/>
        </w:rPr>
      </w:pPr>
      <w:r>
        <w:rPr>
          <w:b/>
          <w:bCs/>
          <w:spacing w:val="-5"/>
          <w:sz w:val="24"/>
          <w:szCs w:val="24"/>
          <w:highlight w:val="none"/>
        </w:rPr>
        <w:t>13.货物现场服务</w:t>
      </w:r>
    </w:p>
    <w:p w14:paraId="2BAF890D">
      <w:pPr>
        <w:pStyle w:val="4"/>
        <w:spacing w:before="154" w:line="339" w:lineRule="auto"/>
        <w:ind w:left="1" w:right="86" w:firstLine="559"/>
        <w:rPr>
          <w:sz w:val="24"/>
          <w:szCs w:val="24"/>
          <w:highlight w:val="none"/>
        </w:rPr>
      </w:pPr>
      <w:r>
        <w:rPr>
          <w:b/>
          <w:bCs/>
          <w:spacing w:val="-1"/>
          <w:sz w:val="24"/>
          <w:szCs w:val="24"/>
          <w:highlight w:val="none"/>
        </w:rPr>
        <w:t>13.1</w:t>
      </w:r>
      <w:r>
        <w:rPr>
          <w:spacing w:val="-1"/>
          <w:sz w:val="24"/>
          <w:szCs w:val="24"/>
          <w:highlight w:val="none"/>
        </w:rPr>
        <w:t xml:space="preserve"> 全部设备由中标供应商进行安装调试，并按有关规定程序报请相关部门验收</w:t>
      </w:r>
      <w:r>
        <w:rPr>
          <w:spacing w:val="-2"/>
          <w:sz w:val="24"/>
          <w:szCs w:val="24"/>
          <w:highlight w:val="none"/>
        </w:rPr>
        <w:t>合格后交付采购人使用，一切费用均由中标供应商承担。</w:t>
      </w:r>
    </w:p>
    <w:p w14:paraId="457F0F33">
      <w:pPr>
        <w:pStyle w:val="4"/>
        <w:spacing w:before="2" w:line="338" w:lineRule="auto"/>
        <w:ind w:left="1" w:right="92" w:firstLine="499"/>
        <w:rPr>
          <w:sz w:val="24"/>
          <w:szCs w:val="24"/>
          <w:highlight w:val="none"/>
        </w:rPr>
      </w:pPr>
      <w:r>
        <w:rPr>
          <w:b/>
          <w:bCs/>
          <w:spacing w:val="1"/>
          <w:sz w:val="24"/>
          <w:szCs w:val="24"/>
          <w:highlight w:val="none"/>
        </w:rPr>
        <w:t>13.2</w:t>
      </w:r>
      <w:r>
        <w:rPr>
          <w:spacing w:val="1"/>
          <w:sz w:val="24"/>
          <w:szCs w:val="24"/>
          <w:highlight w:val="none"/>
        </w:rPr>
        <w:t xml:space="preserve"> 采购人应根据中标供应商的要求给予中标供应</w:t>
      </w:r>
      <w:r>
        <w:rPr>
          <w:sz w:val="24"/>
          <w:szCs w:val="24"/>
          <w:highlight w:val="none"/>
        </w:rPr>
        <w:t>商现场安装服务人员提供食宿</w:t>
      </w:r>
      <w:r>
        <w:rPr>
          <w:spacing w:val="-3"/>
          <w:sz w:val="24"/>
          <w:szCs w:val="24"/>
          <w:highlight w:val="none"/>
        </w:rPr>
        <w:t>方便，费用由中标供应商自理。</w:t>
      </w:r>
    </w:p>
    <w:p w14:paraId="3A0F8013">
      <w:pPr>
        <w:pStyle w:val="4"/>
        <w:spacing w:line="220" w:lineRule="auto"/>
        <w:ind w:left="501"/>
        <w:rPr>
          <w:sz w:val="24"/>
          <w:szCs w:val="24"/>
          <w:highlight w:val="none"/>
        </w:rPr>
      </w:pPr>
      <w:r>
        <w:rPr>
          <w:b/>
          <w:bCs/>
          <w:spacing w:val="-6"/>
          <w:sz w:val="24"/>
          <w:szCs w:val="24"/>
          <w:highlight w:val="none"/>
        </w:rPr>
        <w:t>14.投标保证金</w:t>
      </w:r>
    </w:p>
    <w:p w14:paraId="53F43ACD">
      <w:pPr>
        <w:spacing w:line="220" w:lineRule="auto"/>
        <w:rPr>
          <w:sz w:val="24"/>
          <w:szCs w:val="24"/>
          <w:highlight w:val="none"/>
        </w:rPr>
        <w:sectPr>
          <w:footerReference r:id="rId15" w:type="default"/>
          <w:pgSz w:w="11907" w:h="16839"/>
          <w:pgMar w:top="1431" w:right="1329" w:bottom="1159" w:left="1427" w:header="0" w:footer="959" w:gutter="0"/>
          <w:cols w:space="720" w:num="1"/>
        </w:sectPr>
      </w:pPr>
    </w:p>
    <w:p w14:paraId="7A46213A">
      <w:pPr>
        <w:pStyle w:val="4"/>
        <w:spacing w:before="157" w:line="338" w:lineRule="auto"/>
        <w:ind w:left="2" w:firstLine="425"/>
        <w:jc w:val="both"/>
        <w:rPr>
          <w:sz w:val="24"/>
          <w:szCs w:val="24"/>
          <w:highlight w:val="none"/>
        </w:rPr>
      </w:pPr>
      <w:r>
        <w:rPr>
          <w:spacing w:val="-3"/>
          <w:sz w:val="24"/>
          <w:szCs w:val="24"/>
          <w:highlight w:val="none"/>
        </w:rPr>
        <w:t>根据《河南省财政厅关于优化政府采购营商环境有关问题</w:t>
      </w:r>
      <w:r>
        <w:rPr>
          <w:spacing w:val="-4"/>
          <w:sz w:val="24"/>
          <w:szCs w:val="24"/>
          <w:highlight w:val="none"/>
        </w:rPr>
        <w:t>的通知》（豫财购【2019】</w:t>
      </w:r>
      <w:r>
        <w:rPr>
          <w:sz w:val="24"/>
          <w:szCs w:val="24"/>
          <w:highlight w:val="none"/>
        </w:rPr>
        <w:t xml:space="preserve"> </w:t>
      </w:r>
      <w:r>
        <w:rPr>
          <w:spacing w:val="-1"/>
          <w:sz w:val="24"/>
          <w:szCs w:val="24"/>
          <w:highlight w:val="none"/>
        </w:rPr>
        <w:t>4</w:t>
      </w:r>
      <w:r>
        <w:rPr>
          <w:spacing w:val="-43"/>
          <w:sz w:val="24"/>
          <w:szCs w:val="24"/>
          <w:highlight w:val="none"/>
        </w:rPr>
        <w:t xml:space="preserve"> </w:t>
      </w:r>
      <w:r>
        <w:rPr>
          <w:spacing w:val="-1"/>
          <w:sz w:val="24"/>
          <w:szCs w:val="24"/>
          <w:highlight w:val="none"/>
        </w:rPr>
        <w:t>号）第</w:t>
      </w:r>
      <w:r>
        <w:rPr>
          <w:spacing w:val="-46"/>
          <w:sz w:val="24"/>
          <w:szCs w:val="24"/>
          <w:highlight w:val="none"/>
        </w:rPr>
        <w:t xml:space="preserve"> </w:t>
      </w:r>
      <w:r>
        <w:rPr>
          <w:spacing w:val="-1"/>
          <w:sz w:val="24"/>
          <w:szCs w:val="24"/>
          <w:highlight w:val="none"/>
        </w:rPr>
        <w:t>6</w:t>
      </w:r>
      <w:r>
        <w:rPr>
          <w:spacing w:val="-46"/>
          <w:sz w:val="24"/>
          <w:szCs w:val="24"/>
          <w:highlight w:val="none"/>
        </w:rPr>
        <w:t xml:space="preserve"> </w:t>
      </w:r>
      <w:r>
        <w:rPr>
          <w:spacing w:val="-1"/>
          <w:sz w:val="24"/>
          <w:szCs w:val="24"/>
          <w:highlight w:val="none"/>
        </w:rPr>
        <w:t>条的规定，投标保证金不再收取，需提供投标承诺函（详见电</w:t>
      </w:r>
      <w:r>
        <w:rPr>
          <w:spacing w:val="-2"/>
          <w:sz w:val="24"/>
          <w:szCs w:val="24"/>
          <w:highlight w:val="none"/>
        </w:rPr>
        <w:t>子化投标文件</w:t>
      </w:r>
      <w:r>
        <w:rPr>
          <w:spacing w:val="-22"/>
          <w:sz w:val="24"/>
          <w:szCs w:val="24"/>
          <w:highlight w:val="none"/>
        </w:rPr>
        <w:t>格式）。</w:t>
      </w:r>
    </w:p>
    <w:p w14:paraId="08C715FD">
      <w:pPr>
        <w:pStyle w:val="4"/>
        <w:spacing w:line="220" w:lineRule="auto"/>
        <w:ind w:left="503"/>
        <w:rPr>
          <w:sz w:val="24"/>
          <w:szCs w:val="24"/>
          <w:highlight w:val="none"/>
        </w:rPr>
      </w:pPr>
      <w:r>
        <w:rPr>
          <w:b/>
          <w:bCs/>
          <w:spacing w:val="-6"/>
          <w:sz w:val="24"/>
          <w:szCs w:val="24"/>
          <w:highlight w:val="none"/>
        </w:rPr>
        <w:t>15.投标有效期</w:t>
      </w:r>
    </w:p>
    <w:p w14:paraId="789E507A">
      <w:pPr>
        <w:pStyle w:val="4"/>
        <w:spacing w:before="152" w:line="339" w:lineRule="auto"/>
        <w:ind w:left="4" w:right="112" w:firstLine="499"/>
        <w:rPr>
          <w:sz w:val="24"/>
          <w:szCs w:val="24"/>
          <w:highlight w:val="none"/>
        </w:rPr>
      </w:pPr>
      <w:r>
        <w:rPr>
          <w:b/>
          <w:bCs/>
          <w:spacing w:val="-5"/>
          <w:sz w:val="24"/>
          <w:szCs w:val="24"/>
          <w:highlight w:val="none"/>
        </w:rPr>
        <w:t>15.1</w:t>
      </w:r>
      <w:r>
        <w:rPr>
          <w:spacing w:val="-5"/>
          <w:sz w:val="24"/>
          <w:szCs w:val="24"/>
          <w:highlight w:val="none"/>
        </w:rPr>
        <w:t xml:space="preserve"> 电子化投标文件从开标之时起开始生效，投标</w:t>
      </w:r>
      <w:r>
        <w:rPr>
          <w:spacing w:val="-6"/>
          <w:sz w:val="24"/>
          <w:szCs w:val="24"/>
          <w:highlight w:val="none"/>
        </w:rPr>
        <w:t>有效期为投标文件递交截止之日</w:t>
      </w:r>
      <w:r>
        <w:rPr>
          <w:spacing w:val="-11"/>
          <w:sz w:val="24"/>
          <w:szCs w:val="24"/>
          <w:highlight w:val="none"/>
        </w:rPr>
        <w:t>起</w:t>
      </w:r>
      <w:r>
        <w:rPr>
          <w:spacing w:val="-44"/>
          <w:sz w:val="24"/>
          <w:szCs w:val="24"/>
          <w:highlight w:val="none"/>
        </w:rPr>
        <w:t xml:space="preserve"> </w:t>
      </w:r>
      <w:r>
        <w:rPr>
          <w:spacing w:val="-11"/>
          <w:sz w:val="24"/>
          <w:szCs w:val="24"/>
          <w:highlight w:val="none"/>
        </w:rPr>
        <w:t>60 日历天。</w:t>
      </w:r>
    </w:p>
    <w:p w14:paraId="1873248C">
      <w:pPr>
        <w:pStyle w:val="4"/>
        <w:spacing w:before="2" w:line="338" w:lineRule="auto"/>
        <w:ind w:left="4" w:right="112" w:firstLine="499"/>
        <w:rPr>
          <w:sz w:val="24"/>
          <w:szCs w:val="24"/>
          <w:highlight w:val="none"/>
        </w:rPr>
      </w:pPr>
      <w:r>
        <w:rPr>
          <w:b/>
          <w:bCs/>
          <w:spacing w:val="-4"/>
          <w:sz w:val="24"/>
          <w:szCs w:val="24"/>
          <w:highlight w:val="none"/>
        </w:rPr>
        <w:t>15.2</w:t>
      </w:r>
      <w:r>
        <w:rPr>
          <w:spacing w:val="-49"/>
          <w:sz w:val="24"/>
          <w:szCs w:val="24"/>
          <w:highlight w:val="none"/>
        </w:rPr>
        <w:t xml:space="preserve"> </w:t>
      </w:r>
      <w:r>
        <w:rPr>
          <w:spacing w:val="-4"/>
          <w:sz w:val="24"/>
          <w:szCs w:val="24"/>
          <w:highlight w:val="none"/>
        </w:rPr>
        <w:t>在特殊情况下，采购人可征求投标供应商同意延长投标有效</w:t>
      </w:r>
      <w:r>
        <w:rPr>
          <w:spacing w:val="-5"/>
          <w:sz w:val="24"/>
          <w:szCs w:val="24"/>
          <w:highlight w:val="none"/>
        </w:rPr>
        <w:t>期，这种要求和答</w:t>
      </w:r>
      <w:r>
        <w:rPr>
          <w:spacing w:val="-2"/>
          <w:sz w:val="24"/>
          <w:szCs w:val="24"/>
          <w:highlight w:val="none"/>
        </w:rPr>
        <w:t>复均应以信函、传真等书面形式提交。投标供应商可以拒绝采购人的这种要求。同意延</w:t>
      </w:r>
      <w:r>
        <w:rPr>
          <w:spacing w:val="-1"/>
          <w:sz w:val="24"/>
          <w:szCs w:val="24"/>
          <w:highlight w:val="none"/>
        </w:rPr>
        <w:t>长投标有效期的投标供应商不需要也不允许修改其电子化投标文件。</w:t>
      </w:r>
    </w:p>
    <w:p w14:paraId="08E0354E">
      <w:pPr>
        <w:pStyle w:val="4"/>
        <w:spacing w:line="219" w:lineRule="auto"/>
        <w:ind w:left="503"/>
        <w:rPr>
          <w:sz w:val="24"/>
          <w:szCs w:val="24"/>
          <w:highlight w:val="none"/>
        </w:rPr>
      </w:pPr>
      <w:r>
        <w:rPr>
          <w:b/>
          <w:bCs/>
          <w:spacing w:val="-4"/>
          <w:sz w:val="24"/>
          <w:szCs w:val="24"/>
          <w:highlight w:val="none"/>
        </w:rPr>
        <w:t>16.电子化投标文件的组成</w:t>
      </w:r>
    </w:p>
    <w:p w14:paraId="47F8EB26">
      <w:pPr>
        <w:pStyle w:val="4"/>
        <w:spacing w:before="153" w:line="219" w:lineRule="auto"/>
        <w:ind w:left="487"/>
        <w:rPr>
          <w:sz w:val="24"/>
          <w:szCs w:val="24"/>
          <w:highlight w:val="none"/>
        </w:rPr>
      </w:pPr>
      <w:r>
        <w:rPr>
          <w:spacing w:val="-2"/>
          <w:sz w:val="24"/>
          <w:szCs w:val="24"/>
          <w:highlight w:val="none"/>
        </w:rPr>
        <w:t>16.1.法定代表人身份证明书</w:t>
      </w:r>
    </w:p>
    <w:p w14:paraId="6529D6A1">
      <w:pPr>
        <w:pStyle w:val="4"/>
        <w:spacing w:before="158" w:line="220" w:lineRule="auto"/>
        <w:ind w:left="487"/>
        <w:rPr>
          <w:sz w:val="24"/>
          <w:szCs w:val="24"/>
          <w:highlight w:val="none"/>
        </w:rPr>
      </w:pPr>
      <w:r>
        <w:rPr>
          <w:spacing w:val="-4"/>
          <w:sz w:val="24"/>
          <w:szCs w:val="24"/>
          <w:highlight w:val="none"/>
        </w:rPr>
        <w:t>16.2．投 标</w:t>
      </w:r>
      <w:r>
        <w:rPr>
          <w:spacing w:val="33"/>
          <w:sz w:val="24"/>
          <w:szCs w:val="24"/>
          <w:highlight w:val="none"/>
        </w:rPr>
        <w:t xml:space="preserve"> </w:t>
      </w:r>
      <w:r>
        <w:rPr>
          <w:spacing w:val="-4"/>
          <w:sz w:val="24"/>
          <w:szCs w:val="24"/>
          <w:highlight w:val="none"/>
        </w:rPr>
        <w:t>函</w:t>
      </w:r>
    </w:p>
    <w:p w14:paraId="708BA3CF">
      <w:pPr>
        <w:pStyle w:val="4"/>
        <w:spacing w:before="152" w:line="219" w:lineRule="auto"/>
        <w:ind w:left="487"/>
        <w:rPr>
          <w:sz w:val="24"/>
          <w:szCs w:val="24"/>
          <w:highlight w:val="none"/>
        </w:rPr>
      </w:pPr>
      <w:r>
        <w:rPr>
          <w:spacing w:val="-3"/>
          <w:sz w:val="24"/>
          <w:szCs w:val="24"/>
          <w:highlight w:val="none"/>
        </w:rPr>
        <w:t>16.3．投标函附表</w:t>
      </w:r>
    </w:p>
    <w:p w14:paraId="762C1AC8">
      <w:pPr>
        <w:pStyle w:val="4"/>
        <w:spacing w:before="155" w:line="220" w:lineRule="auto"/>
        <w:ind w:left="487"/>
        <w:rPr>
          <w:sz w:val="24"/>
          <w:szCs w:val="24"/>
          <w:highlight w:val="none"/>
        </w:rPr>
      </w:pPr>
      <w:r>
        <w:rPr>
          <w:spacing w:val="-3"/>
          <w:sz w:val="24"/>
          <w:szCs w:val="24"/>
          <w:highlight w:val="none"/>
        </w:rPr>
        <w:t>16.4.投标承诺函</w:t>
      </w:r>
    </w:p>
    <w:p w14:paraId="4E1F865D">
      <w:pPr>
        <w:pStyle w:val="4"/>
        <w:spacing w:before="156" w:line="219" w:lineRule="auto"/>
        <w:ind w:left="487"/>
        <w:rPr>
          <w:sz w:val="24"/>
          <w:szCs w:val="24"/>
          <w:highlight w:val="none"/>
        </w:rPr>
      </w:pPr>
      <w:r>
        <w:rPr>
          <w:spacing w:val="-2"/>
          <w:sz w:val="24"/>
          <w:szCs w:val="24"/>
          <w:highlight w:val="none"/>
        </w:rPr>
        <w:t>16.5.供应商资格审查证明文件</w:t>
      </w:r>
    </w:p>
    <w:p w14:paraId="31144FB5">
      <w:pPr>
        <w:pStyle w:val="4"/>
        <w:spacing w:before="154" w:line="220" w:lineRule="auto"/>
        <w:ind w:left="487"/>
        <w:rPr>
          <w:sz w:val="24"/>
          <w:szCs w:val="24"/>
          <w:highlight w:val="none"/>
        </w:rPr>
      </w:pPr>
      <w:r>
        <w:rPr>
          <w:spacing w:val="-2"/>
          <w:sz w:val="24"/>
          <w:szCs w:val="24"/>
          <w:highlight w:val="none"/>
        </w:rPr>
        <w:t>16.6.中小微企业声明函</w:t>
      </w:r>
    </w:p>
    <w:p w14:paraId="7A531240">
      <w:pPr>
        <w:pStyle w:val="4"/>
        <w:spacing w:before="153" w:line="220" w:lineRule="auto"/>
        <w:ind w:left="487"/>
        <w:rPr>
          <w:sz w:val="24"/>
          <w:szCs w:val="24"/>
          <w:highlight w:val="none"/>
        </w:rPr>
      </w:pPr>
      <w:r>
        <w:rPr>
          <w:spacing w:val="-2"/>
          <w:sz w:val="24"/>
          <w:szCs w:val="24"/>
          <w:highlight w:val="none"/>
        </w:rPr>
        <w:t>16.7.残疾人福利性单位声明函</w:t>
      </w:r>
    </w:p>
    <w:p w14:paraId="1CA6431E">
      <w:pPr>
        <w:pStyle w:val="4"/>
        <w:spacing w:before="156" w:line="220" w:lineRule="auto"/>
        <w:ind w:left="487"/>
        <w:rPr>
          <w:sz w:val="24"/>
          <w:szCs w:val="24"/>
          <w:highlight w:val="none"/>
        </w:rPr>
      </w:pPr>
      <w:r>
        <w:rPr>
          <w:spacing w:val="-3"/>
          <w:sz w:val="24"/>
          <w:szCs w:val="24"/>
          <w:highlight w:val="none"/>
        </w:rPr>
        <w:t>16.8.监狱企业证明文件</w:t>
      </w:r>
    </w:p>
    <w:p w14:paraId="591B7CEA">
      <w:pPr>
        <w:pStyle w:val="4"/>
        <w:spacing w:before="153" w:line="220" w:lineRule="auto"/>
        <w:ind w:left="487"/>
        <w:rPr>
          <w:sz w:val="24"/>
          <w:szCs w:val="24"/>
          <w:highlight w:val="none"/>
        </w:rPr>
      </w:pPr>
      <w:r>
        <w:rPr>
          <w:spacing w:val="-2"/>
          <w:sz w:val="24"/>
          <w:szCs w:val="24"/>
          <w:highlight w:val="none"/>
        </w:rPr>
        <w:t>16.9. 技术及综合评审部分</w:t>
      </w:r>
    </w:p>
    <w:p w14:paraId="63000EB3">
      <w:pPr>
        <w:pStyle w:val="4"/>
        <w:spacing w:before="154" w:line="219" w:lineRule="auto"/>
        <w:ind w:left="487"/>
        <w:rPr>
          <w:sz w:val="24"/>
          <w:szCs w:val="24"/>
          <w:highlight w:val="none"/>
        </w:rPr>
      </w:pPr>
      <w:r>
        <w:rPr>
          <w:spacing w:val="-2"/>
          <w:sz w:val="24"/>
          <w:szCs w:val="24"/>
          <w:highlight w:val="none"/>
        </w:rPr>
        <w:t>16.10.投标供应商基本情况表</w:t>
      </w:r>
    </w:p>
    <w:p w14:paraId="4308E85B">
      <w:pPr>
        <w:pStyle w:val="4"/>
        <w:spacing w:before="156" w:line="220" w:lineRule="auto"/>
        <w:ind w:left="487"/>
        <w:rPr>
          <w:sz w:val="24"/>
          <w:szCs w:val="24"/>
          <w:highlight w:val="none"/>
        </w:rPr>
      </w:pPr>
      <w:r>
        <w:rPr>
          <w:spacing w:val="-2"/>
          <w:sz w:val="24"/>
          <w:szCs w:val="24"/>
          <w:highlight w:val="none"/>
        </w:rPr>
        <w:t>16.11.投标设备合格文件</w:t>
      </w:r>
    </w:p>
    <w:p w14:paraId="02ECFD65">
      <w:pPr>
        <w:pStyle w:val="4"/>
        <w:spacing w:before="153" w:line="220" w:lineRule="auto"/>
        <w:ind w:left="487"/>
        <w:rPr>
          <w:sz w:val="24"/>
          <w:szCs w:val="24"/>
          <w:highlight w:val="none"/>
        </w:rPr>
      </w:pPr>
      <w:r>
        <w:rPr>
          <w:b/>
          <w:bCs/>
          <w:spacing w:val="-4"/>
          <w:sz w:val="24"/>
          <w:szCs w:val="24"/>
          <w:highlight w:val="none"/>
        </w:rPr>
        <w:t>17.电子化投标文件的编制</w:t>
      </w:r>
    </w:p>
    <w:p w14:paraId="21002C9E">
      <w:pPr>
        <w:pStyle w:val="4"/>
        <w:keepNext w:val="0"/>
        <w:keepLines w:val="0"/>
        <w:pageBreakBefore w:val="0"/>
        <w:widowControl/>
        <w:kinsoku/>
        <w:wordWrap w:val="0"/>
        <w:overflowPunct/>
        <w:topLinePunct w:val="0"/>
        <w:autoSpaceDE w:val="0"/>
        <w:autoSpaceDN w:val="0"/>
        <w:bidi w:val="0"/>
        <w:adjustRightInd w:val="0"/>
        <w:snapToGrid w:val="0"/>
        <w:spacing w:before="151" w:line="339" w:lineRule="auto"/>
        <w:ind w:right="113" w:firstLine="488"/>
        <w:textAlignment w:val="baseline"/>
        <w:rPr>
          <w:sz w:val="24"/>
          <w:szCs w:val="24"/>
          <w:highlight w:val="none"/>
        </w:rPr>
      </w:pPr>
      <w:r>
        <w:rPr>
          <w:b/>
          <w:bCs/>
          <w:spacing w:val="-4"/>
          <w:sz w:val="24"/>
          <w:szCs w:val="24"/>
          <w:highlight w:val="none"/>
        </w:rPr>
        <w:t>17.1</w:t>
      </w:r>
      <w:r>
        <w:rPr>
          <w:spacing w:val="-40"/>
          <w:sz w:val="24"/>
          <w:szCs w:val="24"/>
          <w:highlight w:val="none"/>
        </w:rPr>
        <w:t xml:space="preserve"> </w:t>
      </w:r>
      <w:r>
        <w:rPr>
          <w:spacing w:val="-4"/>
          <w:sz w:val="24"/>
          <w:szCs w:val="24"/>
          <w:highlight w:val="none"/>
        </w:rPr>
        <w:t>投标供应商所上传的电子化投标文件，应是通过中心投标文件制作系统制作的</w:t>
      </w:r>
      <w:r>
        <w:rPr>
          <w:spacing w:val="-10"/>
          <w:sz w:val="24"/>
          <w:szCs w:val="24"/>
          <w:highlight w:val="none"/>
        </w:rPr>
        <w:t>（</w:t>
      </w:r>
      <w:r>
        <w:rPr>
          <w:spacing w:val="35"/>
          <w:sz w:val="24"/>
          <w:szCs w:val="24"/>
          <w:highlight w:val="none"/>
        </w:rPr>
        <w:t xml:space="preserve">   </w:t>
      </w:r>
      <w:r>
        <w:rPr>
          <w:spacing w:val="-10"/>
          <w:sz w:val="24"/>
          <w:szCs w:val="24"/>
          <w:highlight w:val="none"/>
        </w:rPr>
        <w:t>投</w:t>
      </w:r>
      <w:r>
        <w:rPr>
          <w:spacing w:val="30"/>
          <w:sz w:val="24"/>
          <w:szCs w:val="24"/>
          <w:highlight w:val="none"/>
        </w:rPr>
        <w:t xml:space="preserve">   </w:t>
      </w:r>
      <w:r>
        <w:rPr>
          <w:spacing w:val="-10"/>
          <w:sz w:val="24"/>
          <w:szCs w:val="24"/>
          <w:highlight w:val="none"/>
        </w:rPr>
        <w:t>标</w:t>
      </w:r>
      <w:r>
        <w:rPr>
          <w:spacing w:val="30"/>
          <w:sz w:val="24"/>
          <w:szCs w:val="24"/>
          <w:highlight w:val="none"/>
        </w:rPr>
        <w:t xml:space="preserve">   </w:t>
      </w:r>
      <w:r>
        <w:rPr>
          <w:spacing w:val="-10"/>
          <w:sz w:val="24"/>
          <w:szCs w:val="24"/>
          <w:highlight w:val="none"/>
        </w:rPr>
        <w:t>文</w:t>
      </w:r>
      <w:r>
        <w:rPr>
          <w:spacing w:val="29"/>
          <w:sz w:val="24"/>
          <w:szCs w:val="24"/>
          <w:highlight w:val="none"/>
        </w:rPr>
        <w:t xml:space="preserve">   </w:t>
      </w:r>
      <w:r>
        <w:rPr>
          <w:spacing w:val="-10"/>
          <w:sz w:val="24"/>
          <w:szCs w:val="24"/>
          <w:highlight w:val="none"/>
        </w:rPr>
        <w:t>件</w:t>
      </w:r>
      <w:r>
        <w:rPr>
          <w:spacing w:val="30"/>
          <w:sz w:val="24"/>
          <w:szCs w:val="24"/>
          <w:highlight w:val="none"/>
        </w:rPr>
        <w:t xml:space="preserve">   </w:t>
      </w:r>
      <w:r>
        <w:rPr>
          <w:spacing w:val="-10"/>
          <w:sz w:val="24"/>
          <w:szCs w:val="24"/>
          <w:highlight w:val="none"/>
        </w:rPr>
        <w:t>制</w:t>
      </w:r>
      <w:r>
        <w:rPr>
          <w:spacing w:val="30"/>
          <w:sz w:val="24"/>
          <w:szCs w:val="24"/>
          <w:highlight w:val="none"/>
        </w:rPr>
        <w:t xml:space="preserve">   </w:t>
      </w:r>
      <w:r>
        <w:rPr>
          <w:spacing w:val="-10"/>
          <w:sz w:val="24"/>
          <w:szCs w:val="24"/>
          <w:highlight w:val="none"/>
        </w:rPr>
        <w:t>作</w:t>
      </w:r>
      <w:r>
        <w:rPr>
          <w:spacing w:val="30"/>
          <w:sz w:val="24"/>
          <w:szCs w:val="24"/>
          <w:highlight w:val="none"/>
        </w:rPr>
        <w:t xml:space="preserve">   </w:t>
      </w:r>
      <w:r>
        <w:rPr>
          <w:spacing w:val="-10"/>
          <w:sz w:val="24"/>
          <w:szCs w:val="24"/>
          <w:highlight w:val="none"/>
        </w:rPr>
        <w:t>工</w:t>
      </w:r>
      <w:r>
        <w:rPr>
          <w:spacing w:val="31"/>
          <w:sz w:val="24"/>
          <w:szCs w:val="24"/>
          <w:highlight w:val="none"/>
        </w:rPr>
        <w:t xml:space="preserve">   </w:t>
      </w:r>
      <w:r>
        <w:rPr>
          <w:spacing w:val="-10"/>
          <w:sz w:val="24"/>
          <w:szCs w:val="24"/>
          <w:highlight w:val="none"/>
        </w:rPr>
        <w:t>具    下</w:t>
      </w:r>
      <w:r>
        <w:rPr>
          <w:spacing w:val="30"/>
          <w:sz w:val="24"/>
          <w:szCs w:val="24"/>
          <w:highlight w:val="none"/>
        </w:rPr>
        <w:t xml:space="preserve">   </w:t>
      </w:r>
      <w:r>
        <w:rPr>
          <w:spacing w:val="-10"/>
          <w:sz w:val="24"/>
          <w:szCs w:val="24"/>
          <w:highlight w:val="none"/>
        </w:rPr>
        <w:t>载</w:t>
      </w:r>
      <w:r>
        <w:rPr>
          <w:spacing w:val="30"/>
          <w:sz w:val="24"/>
          <w:szCs w:val="24"/>
          <w:highlight w:val="none"/>
        </w:rPr>
        <w:t xml:space="preserve">   </w:t>
      </w:r>
      <w:r>
        <w:rPr>
          <w:spacing w:val="-10"/>
          <w:sz w:val="24"/>
          <w:szCs w:val="24"/>
          <w:highlight w:val="none"/>
        </w:rPr>
        <w:t>地</w:t>
      </w:r>
      <w:r>
        <w:rPr>
          <w:spacing w:val="30"/>
          <w:sz w:val="24"/>
          <w:szCs w:val="24"/>
          <w:highlight w:val="none"/>
        </w:rPr>
        <w:t xml:space="preserve">   </w:t>
      </w:r>
      <w:r>
        <w:rPr>
          <w:spacing w:val="-10"/>
          <w:sz w:val="24"/>
          <w:szCs w:val="24"/>
          <w:highlight w:val="none"/>
        </w:rPr>
        <w:t>址    ：</w:t>
      </w:r>
      <w:r>
        <w:rPr>
          <w:sz w:val="24"/>
          <w:szCs w:val="24"/>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sz w:val="24"/>
          <w:szCs w:val="24"/>
          <w:highlight w:val="none"/>
        </w:rPr>
        <w:t>https://download.bqpoint.com/download/downloaddetail.html?SourceFrom</w:t>
      </w:r>
      <w:r>
        <w:rPr>
          <w:spacing w:val="-1"/>
          <w:sz w:val="24"/>
          <w:szCs w:val="24"/>
          <w:highlight w:val="none"/>
        </w:rPr>
        <w:t>=Ztb&amp;Zt</w:t>
      </w:r>
      <w:r>
        <w:rPr>
          <w:spacing w:val="-1"/>
          <w:sz w:val="24"/>
          <w:szCs w:val="24"/>
          <w:highlight w:val="none"/>
        </w:rPr>
        <w:fldChar w:fldCharType="end"/>
      </w:r>
      <w:r>
        <w:rPr>
          <w:sz w:val="24"/>
          <w:szCs w:val="24"/>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sz w:val="24"/>
          <w:szCs w:val="24"/>
          <w:highlight w:val="none"/>
        </w:rPr>
        <w:t>bSoftXiaQuCode</w:t>
      </w:r>
      <w:r>
        <w:rPr>
          <w:spacing w:val="1"/>
          <w:sz w:val="24"/>
          <w:szCs w:val="24"/>
          <w:highlight w:val="none"/>
        </w:rPr>
        <w:t>=1506&amp;</w:t>
      </w:r>
      <w:r>
        <w:rPr>
          <w:sz w:val="24"/>
          <w:szCs w:val="24"/>
          <w:highlight w:val="none"/>
        </w:rPr>
        <w:t>ZtbSoftType</w:t>
      </w:r>
      <w:r>
        <w:rPr>
          <w:spacing w:val="1"/>
          <w:sz w:val="24"/>
          <w:szCs w:val="24"/>
          <w:highlight w:val="none"/>
        </w:rPr>
        <w:t>=</w:t>
      </w:r>
      <w:r>
        <w:rPr>
          <w:sz w:val="24"/>
          <w:szCs w:val="24"/>
          <w:highlight w:val="none"/>
        </w:rPr>
        <w:t>tballinclusive</w:t>
      </w:r>
      <w:r>
        <w:rPr>
          <w:sz w:val="24"/>
          <w:szCs w:val="24"/>
          <w:highlight w:val="none"/>
        </w:rPr>
        <w:fldChar w:fldCharType="end"/>
      </w:r>
      <w:r>
        <w:rPr>
          <w:spacing w:val="-39"/>
          <w:sz w:val="24"/>
          <w:szCs w:val="24"/>
          <w:highlight w:val="none"/>
        </w:rPr>
        <w:t>），</w:t>
      </w:r>
      <w:r>
        <w:rPr>
          <w:spacing w:val="1"/>
          <w:sz w:val="24"/>
          <w:szCs w:val="24"/>
          <w:highlight w:val="none"/>
        </w:rPr>
        <w:t>经过签章和加密后生成的电子</w:t>
      </w:r>
      <w:r>
        <w:rPr>
          <w:spacing w:val="-1"/>
          <w:sz w:val="24"/>
          <w:szCs w:val="24"/>
          <w:highlight w:val="none"/>
        </w:rPr>
        <w:t>版投标文件。其中包含用于投标文件上传的主文件（后缀</w:t>
      </w:r>
      <w:r>
        <w:rPr>
          <w:spacing w:val="-2"/>
          <w:sz w:val="24"/>
          <w:szCs w:val="24"/>
          <w:highlight w:val="none"/>
        </w:rPr>
        <w:t>为.smxtf）和用于应急补救的</w:t>
      </w:r>
      <w:r>
        <w:rPr>
          <w:spacing w:val="-4"/>
          <w:sz w:val="24"/>
          <w:szCs w:val="24"/>
          <w:highlight w:val="none"/>
        </w:rPr>
        <w:t>投标文件备份文件（后缀为.nsmxtf）。</w:t>
      </w:r>
    </w:p>
    <w:p w14:paraId="73C48D2A">
      <w:pPr>
        <w:pStyle w:val="4"/>
        <w:spacing w:line="340" w:lineRule="auto"/>
        <w:ind w:left="5" w:right="113" w:firstLine="481"/>
        <w:rPr>
          <w:sz w:val="24"/>
          <w:szCs w:val="24"/>
          <w:highlight w:val="none"/>
        </w:rPr>
      </w:pPr>
      <w:r>
        <w:rPr>
          <w:b/>
          <w:bCs/>
          <w:spacing w:val="-1"/>
          <w:sz w:val="24"/>
          <w:szCs w:val="24"/>
          <w:highlight w:val="none"/>
        </w:rPr>
        <w:t>17.2</w:t>
      </w:r>
      <w:r>
        <w:rPr>
          <w:spacing w:val="-1"/>
          <w:sz w:val="24"/>
          <w:szCs w:val="24"/>
          <w:highlight w:val="none"/>
        </w:rPr>
        <w:t xml:space="preserve"> </w:t>
      </w:r>
      <w:r>
        <w:rPr>
          <w:b/>
          <w:bCs/>
          <w:spacing w:val="-1"/>
          <w:sz w:val="24"/>
          <w:szCs w:val="24"/>
          <w:highlight w:val="none"/>
        </w:rPr>
        <w:t>在招标文件中要求供应商按照投标文件格式进行投标文件编制，</w:t>
      </w:r>
      <w:r>
        <w:rPr>
          <w:b/>
          <w:bCs/>
          <w:spacing w:val="-2"/>
          <w:sz w:val="24"/>
          <w:szCs w:val="24"/>
          <w:highlight w:val="none"/>
        </w:rPr>
        <w:t>在投标文件</w:t>
      </w:r>
      <w:r>
        <w:rPr>
          <w:b/>
          <w:bCs/>
          <w:spacing w:val="-4"/>
          <w:sz w:val="24"/>
          <w:szCs w:val="24"/>
          <w:highlight w:val="none"/>
        </w:rPr>
        <w:t>编制时，应明确将投标单位企业基本情况、人员情况、业绩情况编入投标</w:t>
      </w:r>
      <w:r>
        <w:rPr>
          <w:b/>
          <w:bCs/>
          <w:spacing w:val="-5"/>
          <w:sz w:val="24"/>
          <w:szCs w:val="24"/>
          <w:highlight w:val="none"/>
        </w:rPr>
        <w:t>文件，便于进行资格审查及评标打分。</w:t>
      </w:r>
    </w:p>
    <w:p w14:paraId="45A6E283">
      <w:pPr>
        <w:spacing w:line="340" w:lineRule="auto"/>
        <w:rPr>
          <w:sz w:val="24"/>
          <w:szCs w:val="24"/>
          <w:highlight w:val="none"/>
        </w:rPr>
        <w:sectPr>
          <w:footerReference r:id="rId16" w:type="default"/>
          <w:pgSz w:w="11907" w:h="16839"/>
          <w:pgMar w:top="1431" w:right="1303" w:bottom="1159" w:left="1424" w:header="0" w:footer="959" w:gutter="0"/>
          <w:cols w:space="720" w:num="1"/>
        </w:sectPr>
      </w:pPr>
    </w:p>
    <w:p w14:paraId="174BB19B">
      <w:pPr>
        <w:pStyle w:val="4"/>
        <w:spacing w:before="155" w:line="220" w:lineRule="auto"/>
        <w:ind w:left="486"/>
        <w:rPr>
          <w:sz w:val="24"/>
          <w:szCs w:val="24"/>
          <w:highlight w:val="none"/>
        </w:rPr>
      </w:pPr>
      <w:r>
        <w:rPr>
          <w:b/>
          <w:bCs/>
          <w:spacing w:val="-4"/>
          <w:sz w:val="24"/>
          <w:szCs w:val="24"/>
          <w:highlight w:val="none"/>
        </w:rPr>
        <w:t>18.电子化投标文件的签署</w:t>
      </w:r>
    </w:p>
    <w:p w14:paraId="6F2CBE21">
      <w:pPr>
        <w:pStyle w:val="4"/>
        <w:spacing w:before="153" w:line="312" w:lineRule="auto"/>
        <w:ind w:left="2" w:firstLine="483"/>
        <w:jc w:val="both"/>
        <w:rPr>
          <w:sz w:val="24"/>
          <w:szCs w:val="24"/>
          <w:highlight w:val="none"/>
        </w:rPr>
      </w:pPr>
      <w:r>
        <w:rPr>
          <w:b/>
          <w:bCs/>
          <w:spacing w:val="-4"/>
          <w:sz w:val="24"/>
          <w:szCs w:val="24"/>
          <w:highlight w:val="none"/>
        </w:rPr>
        <w:t>18.1</w:t>
      </w:r>
      <w:r>
        <w:rPr>
          <w:spacing w:val="-43"/>
          <w:sz w:val="24"/>
          <w:szCs w:val="24"/>
          <w:highlight w:val="none"/>
        </w:rPr>
        <w:t xml:space="preserve"> </w:t>
      </w:r>
      <w:r>
        <w:rPr>
          <w:spacing w:val="-4"/>
          <w:sz w:val="24"/>
          <w:szCs w:val="24"/>
          <w:highlight w:val="none"/>
        </w:rPr>
        <w:t>招标文件中要求投标供应商盖章的，以签盖单位章为准；要求法定代表人签章</w:t>
      </w:r>
      <w:r>
        <w:rPr>
          <w:spacing w:val="2"/>
          <w:sz w:val="24"/>
          <w:szCs w:val="24"/>
          <w:highlight w:val="none"/>
        </w:rPr>
        <w:t>的，以签盖法定代表人签章为准。电子化投标文件具体制作</w:t>
      </w:r>
      <w:r>
        <w:rPr>
          <w:spacing w:val="1"/>
          <w:sz w:val="24"/>
          <w:szCs w:val="24"/>
          <w:highlight w:val="none"/>
        </w:rPr>
        <w:t xml:space="preserve">教材请投标供应商通过 </w:t>
      </w:r>
      <w:r>
        <w:rPr>
          <w:sz w:val="24"/>
          <w:szCs w:val="24"/>
          <w:highlight w:val="none"/>
        </w:rPr>
        <w:t>CA</w:t>
      </w:r>
      <w:r>
        <w:rPr>
          <w:spacing w:val="-1"/>
          <w:sz w:val="24"/>
          <w:szCs w:val="24"/>
          <w:highlight w:val="none"/>
        </w:rPr>
        <w:t>证书登录三门峡市公共资源电子化交易系统在右上</w:t>
      </w:r>
      <w:r>
        <w:rPr>
          <w:spacing w:val="-2"/>
          <w:sz w:val="24"/>
          <w:szCs w:val="24"/>
          <w:highlight w:val="none"/>
        </w:rPr>
        <w:t>角“组件下载”中查看。</w:t>
      </w:r>
    </w:p>
    <w:p w14:paraId="3F0B8C82">
      <w:pPr>
        <w:pStyle w:val="4"/>
        <w:spacing w:before="1" w:line="218" w:lineRule="auto"/>
        <w:ind w:left="2405"/>
        <w:rPr>
          <w:sz w:val="36"/>
          <w:szCs w:val="36"/>
          <w:highlight w:val="none"/>
        </w:rPr>
      </w:pPr>
      <w:r>
        <w:rPr>
          <w:b/>
          <w:bCs/>
          <w:spacing w:val="-7"/>
          <w:sz w:val="36"/>
          <w:szCs w:val="36"/>
          <w:highlight w:val="none"/>
        </w:rPr>
        <w:t>四、电子化投标文件的上传</w:t>
      </w:r>
    </w:p>
    <w:p w14:paraId="2A6EA026">
      <w:pPr>
        <w:pStyle w:val="4"/>
        <w:spacing w:before="117" w:line="219" w:lineRule="auto"/>
        <w:ind w:left="500"/>
        <w:rPr>
          <w:sz w:val="24"/>
          <w:szCs w:val="24"/>
          <w:highlight w:val="none"/>
        </w:rPr>
      </w:pPr>
      <w:r>
        <w:rPr>
          <w:b/>
          <w:bCs/>
          <w:spacing w:val="-5"/>
          <w:sz w:val="24"/>
          <w:szCs w:val="24"/>
          <w:highlight w:val="none"/>
        </w:rPr>
        <w:t>19.投标文件上传</w:t>
      </w:r>
    </w:p>
    <w:p w14:paraId="0A9C0C84">
      <w:pPr>
        <w:pStyle w:val="4"/>
        <w:spacing w:before="121" w:line="360" w:lineRule="auto"/>
        <w:ind w:left="8" w:right="251" w:firstLine="444"/>
        <w:rPr>
          <w:sz w:val="24"/>
          <w:szCs w:val="24"/>
          <w:highlight w:val="none"/>
        </w:rPr>
      </w:pPr>
      <w:r>
        <w:rPr>
          <w:spacing w:val="-1"/>
          <w:sz w:val="24"/>
          <w:szCs w:val="24"/>
          <w:highlight w:val="none"/>
        </w:rPr>
        <w:t>电子化投标文件应在投标截止时间前成功上传至三门峡市公共资源电子</w:t>
      </w:r>
      <w:r>
        <w:rPr>
          <w:spacing w:val="-2"/>
          <w:sz w:val="24"/>
          <w:szCs w:val="24"/>
          <w:highlight w:val="none"/>
        </w:rPr>
        <w:t>化交易系统。至投标截止时间止，仍未上传成功的电子化投标文件将不予接收。</w:t>
      </w:r>
    </w:p>
    <w:p w14:paraId="5F7CDD86">
      <w:pPr>
        <w:pStyle w:val="4"/>
        <w:spacing w:before="1" w:line="360" w:lineRule="auto"/>
        <w:ind w:left="1" w:right="1" w:firstLine="423"/>
        <w:jc w:val="both"/>
        <w:rPr>
          <w:sz w:val="24"/>
          <w:szCs w:val="24"/>
          <w:highlight w:val="none"/>
        </w:rPr>
      </w:pPr>
      <w:r>
        <w:rPr>
          <w:sz w:val="24"/>
          <w:szCs w:val="24"/>
          <w:highlight w:val="none"/>
        </w:rPr>
        <w:t>注：如按照电子化投标操作教材制作完成的电子化投标文件</w:t>
      </w:r>
      <w:r>
        <w:rPr>
          <w:spacing w:val="-1"/>
          <w:sz w:val="24"/>
          <w:szCs w:val="24"/>
          <w:highlight w:val="none"/>
        </w:rPr>
        <w:t>无法上传的，投标供应</w:t>
      </w:r>
      <w:r>
        <w:rPr>
          <w:spacing w:val="-2"/>
          <w:sz w:val="24"/>
          <w:szCs w:val="24"/>
          <w:highlight w:val="none"/>
        </w:rPr>
        <w:t>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D496C72">
      <w:pPr>
        <w:pStyle w:val="4"/>
        <w:spacing w:line="220" w:lineRule="auto"/>
        <w:ind w:left="483"/>
        <w:rPr>
          <w:sz w:val="24"/>
          <w:szCs w:val="24"/>
          <w:highlight w:val="none"/>
        </w:rPr>
      </w:pPr>
      <w:r>
        <w:rPr>
          <w:spacing w:val="-1"/>
          <w:sz w:val="24"/>
          <w:szCs w:val="24"/>
          <w:highlight w:val="none"/>
        </w:rPr>
        <w:t>新点客服电话:4009980000</w:t>
      </w:r>
    </w:p>
    <w:p w14:paraId="2CDF1642">
      <w:pPr>
        <w:pStyle w:val="4"/>
        <w:spacing w:before="216" w:line="220" w:lineRule="auto"/>
        <w:ind w:left="485"/>
        <w:rPr>
          <w:sz w:val="24"/>
          <w:szCs w:val="24"/>
          <w:highlight w:val="none"/>
        </w:rPr>
      </w:pPr>
      <w:r>
        <w:rPr>
          <w:b/>
          <w:bCs/>
          <w:spacing w:val="-3"/>
          <w:sz w:val="24"/>
          <w:szCs w:val="24"/>
          <w:highlight w:val="none"/>
        </w:rPr>
        <w:t>20.投标截止时间</w:t>
      </w:r>
    </w:p>
    <w:p w14:paraId="7718C8A6">
      <w:pPr>
        <w:pStyle w:val="4"/>
        <w:spacing w:before="152" w:line="219" w:lineRule="auto"/>
        <w:ind w:left="485"/>
        <w:rPr>
          <w:sz w:val="24"/>
          <w:szCs w:val="24"/>
          <w:highlight w:val="none"/>
        </w:rPr>
      </w:pPr>
      <w:r>
        <w:rPr>
          <w:b/>
          <w:bCs/>
          <w:spacing w:val="-4"/>
          <w:sz w:val="24"/>
          <w:szCs w:val="24"/>
          <w:highlight w:val="none"/>
        </w:rPr>
        <w:t>20.1</w:t>
      </w:r>
      <w:r>
        <w:rPr>
          <w:spacing w:val="-4"/>
          <w:sz w:val="24"/>
          <w:szCs w:val="24"/>
          <w:highlight w:val="none"/>
        </w:rPr>
        <w:t xml:space="preserve"> 电子化投标文件的截止时间见本须知前附表</w:t>
      </w:r>
      <w:r>
        <w:rPr>
          <w:spacing w:val="-5"/>
          <w:sz w:val="24"/>
          <w:szCs w:val="24"/>
          <w:highlight w:val="none"/>
        </w:rPr>
        <w:t>规定。</w:t>
      </w:r>
    </w:p>
    <w:p w14:paraId="54BA1CDB">
      <w:pPr>
        <w:pStyle w:val="4"/>
        <w:spacing w:before="156" w:line="339" w:lineRule="auto"/>
        <w:ind w:left="3" w:right="1" w:firstLine="481"/>
        <w:rPr>
          <w:sz w:val="24"/>
          <w:szCs w:val="24"/>
          <w:highlight w:val="none"/>
        </w:rPr>
      </w:pPr>
      <w:r>
        <w:rPr>
          <w:b/>
          <w:bCs/>
          <w:spacing w:val="-4"/>
          <w:sz w:val="24"/>
          <w:szCs w:val="24"/>
          <w:highlight w:val="none"/>
        </w:rPr>
        <w:t>20.2</w:t>
      </w:r>
      <w:r>
        <w:rPr>
          <w:spacing w:val="-49"/>
          <w:sz w:val="24"/>
          <w:szCs w:val="24"/>
          <w:highlight w:val="none"/>
        </w:rPr>
        <w:t xml:space="preserve"> </w:t>
      </w:r>
      <w:r>
        <w:rPr>
          <w:spacing w:val="-4"/>
          <w:sz w:val="24"/>
          <w:szCs w:val="24"/>
          <w:highlight w:val="none"/>
        </w:rPr>
        <w:t>采购人可按本须知第</w:t>
      </w:r>
      <w:r>
        <w:rPr>
          <w:spacing w:val="-49"/>
          <w:sz w:val="24"/>
          <w:szCs w:val="24"/>
          <w:highlight w:val="none"/>
        </w:rPr>
        <w:t xml:space="preserve"> </w:t>
      </w:r>
      <w:r>
        <w:rPr>
          <w:spacing w:val="-4"/>
          <w:sz w:val="24"/>
          <w:szCs w:val="24"/>
          <w:highlight w:val="none"/>
        </w:rPr>
        <w:t>8</w:t>
      </w:r>
      <w:r>
        <w:rPr>
          <w:spacing w:val="-48"/>
          <w:sz w:val="24"/>
          <w:szCs w:val="24"/>
          <w:highlight w:val="none"/>
        </w:rPr>
        <w:t xml:space="preserve"> </w:t>
      </w:r>
      <w:r>
        <w:rPr>
          <w:spacing w:val="-4"/>
          <w:sz w:val="24"/>
          <w:szCs w:val="24"/>
          <w:highlight w:val="none"/>
        </w:rPr>
        <w:t>条规定以修改补充通知的</w:t>
      </w:r>
      <w:r>
        <w:rPr>
          <w:spacing w:val="-5"/>
          <w:sz w:val="24"/>
          <w:szCs w:val="24"/>
          <w:highlight w:val="none"/>
        </w:rPr>
        <w:t>方式，酌情延长提交电子化投标文件的截止时间。在此情况下， 投标供应商的所有权利和义务以及投标供应商受制约</w:t>
      </w:r>
      <w:r>
        <w:rPr>
          <w:spacing w:val="-2"/>
          <w:sz w:val="24"/>
          <w:szCs w:val="24"/>
          <w:highlight w:val="none"/>
        </w:rPr>
        <w:t>的截止时间，均以延长后新的投标截止时间为准。</w:t>
      </w:r>
    </w:p>
    <w:p w14:paraId="0BCA0A09">
      <w:pPr>
        <w:pStyle w:val="4"/>
        <w:spacing w:before="2" w:line="337" w:lineRule="auto"/>
        <w:ind w:left="3" w:right="3" w:firstLine="481"/>
        <w:rPr>
          <w:sz w:val="24"/>
          <w:szCs w:val="24"/>
          <w:highlight w:val="none"/>
        </w:rPr>
      </w:pPr>
      <w:r>
        <w:rPr>
          <w:b/>
          <w:bCs/>
          <w:spacing w:val="-5"/>
          <w:sz w:val="24"/>
          <w:szCs w:val="24"/>
          <w:highlight w:val="none"/>
        </w:rPr>
        <w:t>20.3</w:t>
      </w:r>
      <w:r>
        <w:rPr>
          <w:spacing w:val="-28"/>
          <w:sz w:val="24"/>
          <w:szCs w:val="24"/>
          <w:highlight w:val="none"/>
        </w:rPr>
        <w:t xml:space="preserve"> </w:t>
      </w:r>
      <w:r>
        <w:rPr>
          <w:spacing w:val="-5"/>
          <w:sz w:val="24"/>
          <w:szCs w:val="24"/>
          <w:highlight w:val="none"/>
        </w:rPr>
        <w:t>到投标截止时间止，上传成功的电子化投标文件少于</w:t>
      </w:r>
      <w:r>
        <w:rPr>
          <w:spacing w:val="-45"/>
          <w:sz w:val="24"/>
          <w:szCs w:val="24"/>
          <w:highlight w:val="none"/>
        </w:rPr>
        <w:t xml:space="preserve"> </w:t>
      </w:r>
      <w:r>
        <w:rPr>
          <w:spacing w:val="-5"/>
          <w:sz w:val="24"/>
          <w:szCs w:val="24"/>
          <w:highlight w:val="none"/>
        </w:rPr>
        <w:t>3</w:t>
      </w:r>
      <w:r>
        <w:rPr>
          <w:spacing w:val="-50"/>
          <w:sz w:val="24"/>
          <w:szCs w:val="24"/>
          <w:highlight w:val="none"/>
        </w:rPr>
        <w:t xml:space="preserve"> </w:t>
      </w:r>
      <w:r>
        <w:rPr>
          <w:spacing w:val="-5"/>
          <w:sz w:val="24"/>
          <w:szCs w:val="24"/>
          <w:highlight w:val="none"/>
        </w:rPr>
        <w:t>个的，采购人将依法重</w:t>
      </w:r>
      <w:r>
        <w:rPr>
          <w:spacing w:val="-7"/>
          <w:sz w:val="24"/>
          <w:szCs w:val="24"/>
          <w:highlight w:val="none"/>
        </w:rPr>
        <w:t>新组织招标。</w:t>
      </w:r>
    </w:p>
    <w:p w14:paraId="4183EE76">
      <w:pPr>
        <w:pStyle w:val="4"/>
        <w:spacing w:before="1" w:line="219" w:lineRule="auto"/>
        <w:ind w:left="485"/>
        <w:rPr>
          <w:sz w:val="24"/>
          <w:szCs w:val="24"/>
          <w:highlight w:val="none"/>
        </w:rPr>
      </w:pPr>
      <w:r>
        <w:rPr>
          <w:b/>
          <w:bCs/>
          <w:spacing w:val="-5"/>
          <w:sz w:val="24"/>
          <w:szCs w:val="24"/>
          <w:highlight w:val="none"/>
        </w:rPr>
        <w:t>20.4</w:t>
      </w:r>
      <w:r>
        <w:rPr>
          <w:spacing w:val="-6"/>
          <w:sz w:val="24"/>
          <w:szCs w:val="24"/>
          <w:highlight w:val="none"/>
        </w:rPr>
        <w:t xml:space="preserve"> </w:t>
      </w:r>
      <w:r>
        <w:rPr>
          <w:b/>
          <w:bCs/>
          <w:spacing w:val="-5"/>
          <w:sz w:val="24"/>
          <w:szCs w:val="24"/>
          <w:highlight w:val="none"/>
        </w:rPr>
        <w:t>电子化投标文件的补充、修改与撤回</w:t>
      </w:r>
    </w:p>
    <w:p w14:paraId="0D2AFD12">
      <w:pPr>
        <w:pStyle w:val="4"/>
        <w:spacing w:before="156" w:line="219" w:lineRule="auto"/>
        <w:ind w:left="485"/>
        <w:rPr>
          <w:sz w:val="24"/>
          <w:szCs w:val="24"/>
          <w:highlight w:val="none"/>
        </w:rPr>
      </w:pPr>
      <w:r>
        <w:rPr>
          <w:b/>
          <w:bCs/>
          <w:spacing w:val="-2"/>
          <w:sz w:val="24"/>
          <w:szCs w:val="24"/>
          <w:highlight w:val="none"/>
        </w:rPr>
        <w:t>20.4.1</w:t>
      </w:r>
      <w:r>
        <w:rPr>
          <w:spacing w:val="-43"/>
          <w:sz w:val="24"/>
          <w:szCs w:val="24"/>
          <w:highlight w:val="none"/>
        </w:rPr>
        <w:t xml:space="preserve"> </w:t>
      </w:r>
      <w:r>
        <w:rPr>
          <w:spacing w:val="-2"/>
          <w:sz w:val="24"/>
          <w:szCs w:val="24"/>
          <w:highlight w:val="none"/>
        </w:rPr>
        <w:t>在投标截止时间之后，投标供应商不得补充、修改电子化投标文件。</w:t>
      </w:r>
    </w:p>
    <w:p w14:paraId="686289C8">
      <w:pPr>
        <w:pStyle w:val="4"/>
        <w:spacing w:before="52" w:line="220" w:lineRule="auto"/>
        <w:ind w:left="3825"/>
        <w:outlineLvl w:val="0"/>
        <w:rPr>
          <w:sz w:val="36"/>
          <w:szCs w:val="36"/>
          <w:highlight w:val="none"/>
        </w:rPr>
      </w:pPr>
      <w:r>
        <w:rPr>
          <w:b/>
          <w:bCs/>
          <w:spacing w:val="-8"/>
          <w:sz w:val="36"/>
          <w:szCs w:val="36"/>
          <w:highlight w:val="none"/>
        </w:rPr>
        <w:t>五、开标</w:t>
      </w:r>
    </w:p>
    <w:p w14:paraId="4DD6495D">
      <w:pPr>
        <w:pStyle w:val="4"/>
        <w:spacing w:before="113" w:line="220" w:lineRule="auto"/>
        <w:ind w:left="440"/>
        <w:rPr>
          <w:sz w:val="24"/>
          <w:szCs w:val="24"/>
          <w:highlight w:val="none"/>
        </w:rPr>
      </w:pPr>
      <w:r>
        <w:rPr>
          <w:b/>
          <w:bCs/>
          <w:spacing w:val="-5"/>
          <w:sz w:val="24"/>
          <w:szCs w:val="24"/>
          <w:highlight w:val="none"/>
        </w:rPr>
        <w:t>21.开标</w:t>
      </w:r>
    </w:p>
    <w:p w14:paraId="05061436">
      <w:pPr>
        <w:pStyle w:val="4"/>
        <w:spacing w:before="122" w:line="360" w:lineRule="auto"/>
        <w:ind w:firstLine="430"/>
        <w:rPr>
          <w:sz w:val="24"/>
          <w:szCs w:val="24"/>
          <w:highlight w:val="none"/>
        </w:rPr>
      </w:pPr>
      <w:r>
        <w:rPr>
          <w:b/>
          <w:bCs/>
          <w:spacing w:val="-5"/>
          <w:sz w:val="24"/>
          <w:szCs w:val="24"/>
          <w:highlight w:val="none"/>
        </w:rPr>
        <w:t>21.1</w:t>
      </w:r>
      <w:r>
        <w:rPr>
          <w:spacing w:val="-47"/>
          <w:sz w:val="24"/>
          <w:szCs w:val="24"/>
          <w:highlight w:val="none"/>
        </w:rPr>
        <w:t xml:space="preserve"> </w:t>
      </w:r>
      <w:r>
        <w:rPr>
          <w:spacing w:val="-5"/>
          <w:sz w:val="24"/>
          <w:szCs w:val="24"/>
          <w:highlight w:val="none"/>
        </w:rPr>
        <w:t>本项目采用电子化、无纸化进行招标， 开标</w:t>
      </w:r>
      <w:r>
        <w:rPr>
          <w:spacing w:val="-6"/>
          <w:sz w:val="24"/>
          <w:szCs w:val="24"/>
          <w:highlight w:val="none"/>
        </w:rPr>
        <w:t>当日，投标供应商无需到开标现场</w:t>
      </w:r>
      <w:r>
        <w:rPr>
          <w:spacing w:val="-1"/>
          <w:sz w:val="24"/>
          <w:szCs w:val="24"/>
          <w:highlight w:val="none"/>
        </w:rPr>
        <w:t>参加开标会议，投标供应商应当在投标截止时</w:t>
      </w:r>
      <w:r>
        <w:rPr>
          <w:spacing w:val="-2"/>
          <w:sz w:val="24"/>
          <w:szCs w:val="24"/>
          <w:highlight w:val="none"/>
        </w:rPr>
        <w:t>间前，登陆不见面开标大厅选择登陆三门</w:t>
      </w:r>
      <w:r>
        <w:rPr>
          <w:spacing w:val="-12"/>
          <w:sz w:val="24"/>
          <w:szCs w:val="24"/>
          <w:highlight w:val="none"/>
        </w:rPr>
        <w:t>峡</w:t>
      </w:r>
      <w:r>
        <w:rPr>
          <w:spacing w:val="97"/>
          <w:sz w:val="24"/>
          <w:szCs w:val="24"/>
          <w:highlight w:val="none"/>
        </w:rPr>
        <w:t xml:space="preserve"> </w:t>
      </w:r>
      <w:r>
        <w:rPr>
          <w:spacing w:val="-12"/>
          <w:sz w:val="24"/>
          <w:szCs w:val="24"/>
          <w:highlight w:val="none"/>
        </w:rPr>
        <w:t>市</w:t>
      </w:r>
      <w:r>
        <w:rPr>
          <w:spacing w:val="98"/>
          <w:sz w:val="24"/>
          <w:szCs w:val="24"/>
          <w:highlight w:val="none"/>
        </w:rPr>
        <w:t xml:space="preserve"> </w:t>
      </w:r>
      <w:r>
        <w:rPr>
          <w:spacing w:val="-12"/>
          <w:sz w:val="24"/>
          <w:szCs w:val="24"/>
          <w:highlight w:val="none"/>
        </w:rPr>
        <w:t>公</w:t>
      </w:r>
      <w:r>
        <w:rPr>
          <w:spacing w:val="90"/>
          <w:sz w:val="24"/>
          <w:szCs w:val="24"/>
          <w:highlight w:val="none"/>
        </w:rPr>
        <w:t xml:space="preserve"> </w:t>
      </w:r>
      <w:r>
        <w:rPr>
          <w:spacing w:val="-12"/>
          <w:sz w:val="24"/>
          <w:szCs w:val="24"/>
          <w:highlight w:val="none"/>
        </w:rPr>
        <w:t>共</w:t>
      </w:r>
      <w:r>
        <w:rPr>
          <w:spacing w:val="102"/>
          <w:sz w:val="24"/>
          <w:szCs w:val="24"/>
          <w:highlight w:val="none"/>
        </w:rPr>
        <w:t xml:space="preserve"> </w:t>
      </w:r>
      <w:r>
        <w:rPr>
          <w:spacing w:val="-12"/>
          <w:sz w:val="24"/>
          <w:szCs w:val="24"/>
          <w:highlight w:val="none"/>
        </w:rPr>
        <w:t>资</w:t>
      </w:r>
      <w:r>
        <w:rPr>
          <w:spacing w:val="90"/>
          <w:sz w:val="24"/>
          <w:szCs w:val="24"/>
          <w:highlight w:val="none"/>
        </w:rPr>
        <w:t xml:space="preserve"> </w:t>
      </w:r>
      <w:r>
        <w:rPr>
          <w:spacing w:val="-12"/>
          <w:sz w:val="24"/>
          <w:szCs w:val="24"/>
          <w:highlight w:val="none"/>
        </w:rPr>
        <w:t>源  电  子</w:t>
      </w:r>
      <w:r>
        <w:rPr>
          <w:spacing w:val="92"/>
          <w:sz w:val="24"/>
          <w:szCs w:val="24"/>
          <w:highlight w:val="none"/>
        </w:rPr>
        <w:t xml:space="preserve"> </w:t>
      </w:r>
      <w:r>
        <w:rPr>
          <w:spacing w:val="-12"/>
          <w:sz w:val="24"/>
          <w:szCs w:val="24"/>
          <w:highlight w:val="none"/>
        </w:rPr>
        <w:t>招</w:t>
      </w:r>
      <w:r>
        <w:rPr>
          <w:spacing w:val="94"/>
          <w:sz w:val="24"/>
          <w:szCs w:val="24"/>
          <w:highlight w:val="none"/>
        </w:rPr>
        <w:t xml:space="preserve"> </w:t>
      </w:r>
      <w:r>
        <w:rPr>
          <w:spacing w:val="-12"/>
          <w:sz w:val="24"/>
          <w:szCs w:val="24"/>
          <w:highlight w:val="none"/>
        </w:rPr>
        <w:t>投</w:t>
      </w:r>
      <w:r>
        <w:rPr>
          <w:spacing w:val="91"/>
          <w:sz w:val="24"/>
          <w:szCs w:val="24"/>
          <w:highlight w:val="none"/>
        </w:rPr>
        <w:t xml:space="preserve"> </w:t>
      </w:r>
      <w:r>
        <w:rPr>
          <w:spacing w:val="-12"/>
          <w:sz w:val="24"/>
          <w:szCs w:val="24"/>
          <w:highlight w:val="none"/>
        </w:rPr>
        <w:t>标</w:t>
      </w:r>
      <w:r>
        <w:rPr>
          <w:spacing w:val="96"/>
          <w:sz w:val="24"/>
          <w:szCs w:val="24"/>
          <w:highlight w:val="none"/>
        </w:rPr>
        <w:t xml:space="preserve"> </w:t>
      </w:r>
      <w:r>
        <w:rPr>
          <w:spacing w:val="-12"/>
          <w:sz w:val="24"/>
          <w:szCs w:val="24"/>
          <w:highlight w:val="none"/>
        </w:rPr>
        <w:t>系</w:t>
      </w:r>
      <w:r>
        <w:rPr>
          <w:spacing w:val="97"/>
          <w:sz w:val="24"/>
          <w:szCs w:val="24"/>
          <w:highlight w:val="none"/>
        </w:rPr>
        <w:t xml:space="preserve"> </w:t>
      </w:r>
      <w:r>
        <w:rPr>
          <w:spacing w:val="-12"/>
          <w:sz w:val="24"/>
          <w:szCs w:val="24"/>
          <w:highlight w:val="none"/>
        </w:rPr>
        <w:t>统</w:t>
      </w:r>
      <w:r>
        <w:rPr>
          <w:spacing w:val="89"/>
          <w:sz w:val="24"/>
          <w:szCs w:val="24"/>
          <w:highlight w:val="none"/>
        </w:rPr>
        <w:t xml:space="preserve"> </w:t>
      </w:r>
      <w:r>
        <w:rPr>
          <w:spacing w:val="-12"/>
          <w:sz w:val="24"/>
          <w:szCs w:val="24"/>
          <w:highlight w:val="none"/>
        </w:rPr>
        <w:t>进</w:t>
      </w:r>
      <w:r>
        <w:rPr>
          <w:spacing w:val="95"/>
          <w:sz w:val="24"/>
          <w:szCs w:val="24"/>
          <w:highlight w:val="none"/>
        </w:rPr>
        <w:t xml:space="preserve"> </w:t>
      </w:r>
      <w:r>
        <w:rPr>
          <w:spacing w:val="-12"/>
          <w:sz w:val="24"/>
          <w:szCs w:val="24"/>
          <w:highlight w:val="none"/>
        </w:rPr>
        <w:t>行</w:t>
      </w:r>
      <w:r>
        <w:rPr>
          <w:spacing w:val="96"/>
          <w:sz w:val="24"/>
          <w:szCs w:val="24"/>
          <w:highlight w:val="none"/>
        </w:rPr>
        <w:t xml:space="preserve"> </w:t>
      </w:r>
      <w:r>
        <w:rPr>
          <w:spacing w:val="-12"/>
          <w:sz w:val="24"/>
          <w:szCs w:val="24"/>
          <w:highlight w:val="none"/>
        </w:rPr>
        <w:t>登  陆</w:t>
      </w:r>
      <w:r>
        <w:rPr>
          <w:spacing w:val="81"/>
          <w:sz w:val="24"/>
          <w:szCs w:val="24"/>
          <w:highlight w:val="none"/>
        </w:rPr>
        <w:t xml:space="preserve"> </w:t>
      </w:r>
      <w:r>
        <w:rPr>
          <w:spacing w:val="-12"/>
          <w:sz w:val="24"/>
          <w:szCs w:val="24"/>
          <w:highlight w:val="none"/>
        </w:rPr>
        <w:t xml:space="preserve">（ </w:t>
      </w:r>
      <w:r>
        <w:rPr>
          <w:spacing w:val="-13"/>
          <w:sz w:val="24"/>
          <w:szCs w:val="24"/>
          <w:highlight w:val="none"/>
        </w:rPr>
        <w:t xml:space="preserve"> 网  址  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sz w:val="24"/>
          <w:szCs w:val="24"/>
          <w:highlight w:val="none"/>
        </w:rPr>
        <w:t>http://120.194.249.36:10094/BidOpening/bidopeninghallaction/hall/login</w:t>
      </w:r>
      <w:r>
        <w:rPr>
          <w:sz w:val="24"/>
          <w:szCs w:val="24"/>
          <w:highlight w:val="none"/>
        </w:rPr>
        <w:fldChar w:fldCharType="end"/>
      </w:r>
      <w:r>
        <w:rPr>
          <w:spacing w:val="-54"/>
          <w:sz w:val="24"/>
          <w:szCs w:val="24"/>
          <w:highlight w:val="none"/>
        </w:rPr>
        <w:t xml:space="preserve"> </w:t>
      </w:r>
      <w:r>
        <w:rPr>
          <w:sz w:val="24"/>
          <w:szCs w:val="24"/>
          <w:highlight w:val="none"/>
        </w:rPr>
        <w:t>）,在</w:t>
      </w:r>
      <w:r>
        <w:rPr>
          <w:spacing w:val="-2"/>
          <w:sz w:val="24"/>
          <w:szCs w:val="24"/>
          <w:highlight w:val="none"/>
        </w:rPr>
        <w:t>线准时参加开标活动并进行投标文件解密等。</w:t>
      </w:r>
    </w:p>
    <w:p w14:paraId="67402BC1">
      <w:pPr>
        <w:pStyle w:val="4"/>
        <w:spacing w:before="2" w:line="361" w:lineRule="auto"/>
        <w:ind w:left="3" w:right="2" w:firstLine="426"/>
        <w:rPr>
          <w:sz w:val="24"/>
          <w:szCs w:val="24"/>
          <w:highlight w:val="none"/>
        </w:rPr>
      </w:pPr>
      <w:r>
        <w:rPr>
          <w:b/>
          <w:bCs/>
          <w:spacing w:val="-2"/>
          <w:sz w:val="24"/>
          <w:szCs w:val="24"/>
          <w:highlight w:val="none"/>
        </w:rPr>
        <w:t>21.2</w:t>
      </w:r>
      <w:r>
        <w:rPr>
          <w:spacing w:val="-2"/>
          <w:sz w:val="24"/>
          <w:szCs w:val="24"/>
          <w:highlight w:val="none"/>
        </w:rPr>
        <w:t xml:space="preserve"> 电子化投标文件采用一次加密方式。开标时，由投标供应商使用</w:t>
      </w:r>
      <w:r>
        <w:rPr>
          <w:spacing w:val="-50"/>
          <w:sz w:val="24"/>
          <w:szCs w:val="24"/>
          <w:highlight w:val="none"/>
        </w:rPr>
        <w:t xml:space="preserve"> </w:t>
      </w:r>
      <w:r>
        <w:rPr>
          <w:spacing w:val="-3"/>
          <w:sz w:val="24"/>
          <w:szCs w:val="24"/>
          <w:highlight w:val="none"/>
        </w:rPr>
        <w:t>CA 证书，在规定时间内对其电子化投标文件进行解密。每</w:t>
      </w:r>
      <w:r>
        <w:rPr>
          <w:spacing w:val="-4"/>
          <w:sz w:val="24"/>
          <w:szCs w:val="24"/>
          <w:highlight w:val="none"/>
        </w:rPr>
        <w:t>位投标供应商的解密时间为开标时间起</w:t>
      </w:r>
      <w:r>
        <w:rPr>
          <w:spacing w:val="-45"/>
          <w:sz w:val="24"/>
          <w:szCs w:val="24"/>
          <w:highlight w:val="none"/>
        </w:rPr>
        <w:t xml:space="preserve"> </w:t>
      </w:r>
      <w:r>
        <w:rPr>
          <w:spacing w:val="-4"/>
          <w:sz w:val="24"/>
          <w:szCs w:val="24"/>
          <w:highlight w:val="none"/>
        </w:rPr>
        <w:t>30</w:t>
      </w:r>
    </w:p>
    <w:p w14:paraId="58F285D3">
      <w:pPr>
        <w:spacing w:line="361" w:lineRule="auto"/>
        <w:rPr>
          <w:sz w:val="24"/>
          <w:szCs w:val="24"/>
          <w:highlight w:val="none"/>
        </w:rPr>
        <w:sectPr>
          <w:footerReference r:id="rId17" w:type="default"/>
          <w:pgSz w:w="11907" w:h="16839"/>
          <w:pgMar w:top="1431" w:right="1414" w:bottom="1159" w:left="1425" w:header="0" w:footer="957" w:gutter="0"/>
          <w:cols w:space="720" w:num="1"/>
        </w:sectPr>
      </w:pPr>
    </w:p>
    <w:p w14:paraId="520512F8">
      <w:pPr>
        <w:pStyle w:val="4"/>
        <w:spacing w:before="122" w:line="360" w:lineRule="auto"/>
        <w:ind w:left="19" w:right="84" w:hanging="16"/>
        <w:rPr>
          <w:sz w:val="24"/>
          <w:szCs w:val="24"/>
          <w:highlight w:val="none"/>
        </w:rPr>
      </w:pPr>
      <w:r>
        <w:rPr>
          <w:spacing w:val="-2"/>
          <w:sz w:val="24"/>
          <w:szCs w:val="24"/>
          <w:highlight w:val="none"/>
        </w:rPr>
        <w:t>分钟内，如在规定时间内未完成解密的，其投标文件不予开标、唱标。每位投标供应商</w:t>
      </w:r>
      <w:r>
        <w:rPr>
          <w:spacing w:val="-5"/>
          <w:sz w:val="24"/>
          <w:szCs w:val="24"/>
          <w:highlight w:val="none"/>
        </w:rPr>
        <w:t>的解密时间为开标时间起</w:t>
      </w:r>
      <w:r>
        <w:rPr>
          <w:spacing w:val="-34"/>
          <w:sz w:val="24"/>
          <w:szCs w:val="24"/>
          <w:highlight w:val="none"/>
        </w:rPr>
        <w:t xml:space="preserve"> </w:t>
      </w:r>
      <w:r>
        <w:rPr>
          <w:spacing w:val="-5"/>
          <w:sz w:val="24"/>
          <w:szCs w:val="24"/>
          <w:highlight w:val="none"/>
        </w:rPr>
        <w:t>30</w:t>
      </w:r>
      <w:r>
        <w:rPr>
          <w:spacing w:val="-48"/>
          <w:sz w:val="24"/>
          <w:szCs w:val="24"/>
          <w:highlight w:val="none"/>
        </w:rPr>
        <w:t xml:space="preserve"> </w:t>
      </w:r>
      <w:r>
        <w:rPr>
          <w:spacing w:val="-5"/>
          <w:sz w:val="24"/>
          <w:szCs w:val="24"/>
          <w:highlight w:val="none"/>
        </w:rPr>
        <w:t>分钟内完成。</w:t>
      </w:r>
    </w:p>
    <w:p w14:paraId="7B5ACF9B">
      <w:pPr>
        <w:pStyle w:val="4"/>
        <w:spacing w:line="219" w:lineRule="auto"/>
        <w:ind w:left="428"/>
        <w:rPr>
          <w:sz w:val="24"/>
          <w:szCs w:val="24"/>
          <w:highlight w:val="none"/>
        </w:rPr>
      </w:pPr>
      <w:r>
        <w:rPr>
          <w:b/>
          <w:bCs/>
          <w:spacing w:val="-4"/>
          <w:sz w:val="24"/>
          <w:szCs w:val="24"/>
          <w:highlight w:val="none"/>
        </w:rPr>
        <w:t>21.3</w:t>
      </w:r>
      <w:r>
        <w:rPr>
          <w:spacing w:val="53"/>
          <w:sz w:val="24"/>
          <w:szCs w:val="24"/>
          <w:highlight w:val="none"/>
        </w:rPr>
        <w:t xml:space="preserve"> </w:t>
      </w:r>
      <w:r>
        <w:rPr>
          <w:spacing w:val="-4"/>
          <w:sz w:val="24"/>
          <w:szCs w:val="24"/>
          <w:highlight w:val="none"/>
        </w:rPr>
        <w:t>电子化投标文件解密异常的处理</w:t>
      </w:r>
    </w:p>
    <w:p w14:paraId="6B6D6A4B">
      <w:pPr>
        <w:pStyle w:val="4"/>
        <w:spacing w:before="182" w:line="360" w:lineRule="auto"/>
        <w:ind w:right="87" w:firstLine="426"/>
        <w:rPr>
          <w:sz w:val="24"/>
          <w:szCs w:val="24"/>
          <w:highlight w:val="none"/>
        </w:rPr>
      </w:pPr>
      <w:r>
        <w:rPr>
          <w:sz w:val="24"/>
          <w:szCs w:val="24"/>
          <w:highlight w:val="none"/>
        </w:rPr>
        <w:t>如出现投标供应商的电子投标文件无法解密等异常情况，投标供</w:t>
      </w:r>
      <w:r>
        <w:rPr>
          <w:spacing w:val="-1"/>
          <w:sz w:val="24"/>
          <w:szCs w:val="24"/>
          <w:highlight w:val="none"/>
        </w:rPr>
        <w:t>应商应及时致电中</w:t>
      </w:r>
      <w:r>
        <w:rPr>
          <w:spacing w:val="-3"/>
          <w:sz w:val="24"/>
          <w:szCs w:val="24"/>
          <w:highlight w:val="none"/>
        </w:rPr>
        <w:t>介服务机构说明。投标文件异常，按以下步骤进行处理：</w:t>
      </w:r>
    </w:p>
    <w:p w14:paraId="06C452F2">
      <w:pPr>
        <w:pStyle w:val="4"/>
        <w:spacing w:line="219" w:lineRule="auto"/>
        <w:ind w:left="429"/>
        <w:rPr>
          <w:sz w:val="24"/>
          <w:szCs w:val="24"/>
          <w:highlight w:val="none"/>
        </w:rPr>
      </w:pPr>
      <w:r>
        <w:rPr>
          <w:spacing w:val="-3"/>
          <w:sz w:val="24"/>
          <w:szCs w:val="24"/>
          <w:highlight w:val="none"/>
        </w:rPr>
        <w:t>（1）首先由技术人员进行问题排查。</w:t>
      </w:r>
    </w:p>
    <w:p w14:paraId="61C663C0">
      <w:pPr>
        <w:pStyle w:val="4"/>
        <w:spacing w:before="183" w:line="360" w:lineRule="auto"/>
        <w:ind w:left="3" w:right="97" w:firstLine="425"/>
        <w:rPr>
          <w:sz w:val="24"/>
          <w:szCs w:val="24"/>
          <w:highlight w:val="none"/>
        </w:rPr>
      </w:pPr>
      <w:r>
        <w:rPr>
          <w:spacing w:val="-4"/>
          <w:sz w:val="24"/>
          <w:szCs w:val="24"/>
          <w:highlight w:val="none"/>
        </w:rPr>
        <w:t>（2）经技术人员排查后，是投标供应商文件自身问题导致投标文件无法解密的，该</w:t>
      </w:r>
      <w:r>
        <w:rPr>
          <w:spacing w:val="-2"/>
          <w:sz w:val="24"/>
          <w:szCs w:val="24"/>
          <w:highlight w:val="none"/>
        </w:rPr>
        <w:t>投标文件将不予接收、解密和唱标。开标会议继续进行。</w:t>
      </w:r>
    </w:p>
    <w:p w14:paraId="113903EF">
      <w:pPr>
        <w:pStyle w:val="4"/>
        <w:spacing w:before="4" w:line="359" w:lineRule="auto"/>
        <w:ind w:left="28" w:right="84" w:firstLine="401"/>
        <w:rPr>
          <w:sz w:val="24"/>
          <w:szCs w:val="24"/>
          <w:highlight w:val="none"/>
        </w:rPr>
      </w:pPr>
      <w:r>
        <w:rPr>
          <w:spacing w:val="-3"/>
          <w:sz w:val="24"/>
          <w:szCs w:val="24"/>
          <w:highlight w:val="none"/>
        </w:rPr>
        <w:t>（3）经技术人员排查后，如果是电子化交易</w:t>
      </w:r>
      <w:r>
        <w:rPr>
          <w:spacing w:val="-4"/>
          <w:sz w:val="24"/>
          <w:szCs w:val="24"/>
          <w:highlight w:val="none"/>
        </w:rPr>
        <w:t>系统问题造成投标文件无法解密的，将</w:t>
      </w:r>
      <w:r>
        <w:rPr>
          <w:spacing w:val="-5"/>
          <w:sz w:val="24"/>
          <w:szCs w:val="24"/>
          <w:highlight w:val="none"/>
        </w:rPr>
        <w:t>由技术人员对问题进行处理。如短时间内问题无法解决的， 将</w:t>
      </w:r>
      <w:r>
        <w:rPr>
          <w:spacing w:val="-6"/>
          <w:sz w:val="24"/>
          <w:szCs w:val="24"/>
          <w:highlight w:val="none"/>
        </w:rPr>
        <w:t>由中介服务机构向监督部</w:t>
      </w:r>
      <w:r>
        <w:rPr>
          <w:spacing w:val="-2"/>
          <w:sz w:val="24"/>
          <w:szCs w:val="24"/>
          <w:highlight w:val="none"/>
        </w:rPr>
        <w:t>门申请，经监督部门同意后，暂停开标会议，待问题</w:t>
      </w:r>
      <w:r>
        <w:rPr>
          <w:spacing w:val="-3"/>
          <w:sz w:val="24"/>
          <w:szCs w:val="24"/>
          <w:highlight w:val="none"/>
        </w:rPr>
        <w:t>解决后继续开标。</w:t>
      </w:r>
    </w:p>
    <w:p w14:paraId="6EB1A779">
      <w:pPr>
        <w:pStyle w:val="4"/>
        <w:spacing w:before="2" w:line="359" w:lineRule="auto"/>
        <w:ind w:left="3" w:right="87" w:firstLine="424"/>
        <w:rPr>
          <w:sz w:val="24"/>
          <w:szCs w:val="24"/>
          <w:highlight w:val="none"/>
        </w:rPr>
      </w:pPr>
      <w:r>
        <w:rPr>
          <w:b/>
          <w:bCs/>
          <w:spacing w:val="-4"/>
          <w:sz w:val="24"/>
          <w:szCs w:val="24"/>
          <w:highlight w:val="none"/>
        </w:rPr>
        <w:t>21.4</w:t>
      </w:r>
      <w:r>
        <w:rPr>
          <w:spacing w:val="-4"/>
          <w:sz w:val="24"/>
          <w:szCs w:val="24"/>
          <w:highlight w:val="none"/>
        </w:rPr>
        <w:t xml:space="preserve"> 待所有投标供应商投标文件解密完成后，由中介服务机构操作，对所有已解密</w:t>
      </w:r>
      <w:r>
        <w:rPr>
          <w:spacing w:val="-2"/>
          <w:sz w:val="24"/>
          <w:szCs w:val="24"/>
          <w:highlight w:val="none"/>
        </w:rPr>
        <w:t>投标文件进行唱标。</w:t>
      </w:r>
    </w:p>
    <w:p w14:paraId="3305838C">
      <w:pPr>
        <w:pStyle w:val="4"/>
        <w:spacing w:before="2" w:line="361" w:lineRule="auto"/>
        <w:ind w:firstLine="426"/>
        <w:jc w:val="both"/>
        <w:rPr>
          <w:sz w:val="24"/>
          <w:szCs w:val="24"/>
          <w:highlight w:val="none"/>
        </w:rPr>
      </w:pPr>
      <w:r>
        <w:rPr>
          <w:spacing w:val="-4"/>
          <w:sz w:val="24"/>
          <w:szCs w:val="24"/>
          <w:highlight w:val="none"/>
        </w:rPr>
        <w:t>投标供应商应保证在开标期间电话、电脑、网络能够正常工</w:t>
      </w:r>
      <w:r>
        <w:rPr>
          <w:spacing w:val="-5"/>
          <w:sz w:val="24"/>
          <w:szCs w:val="24"/>
          <w:highlight w:val="none"/>
        </w:rPr>
        <w:t>作，投标供应商因停电、</w:t>
      </w:r>
      <w:r>
        <w:rPr>
          <w:spacing w:val="-6"/>
          <w:sz w:val="24"/>
          <w:szCs w:val="24"/>
          <w:highlight w:val="none"/>
        </w:rPr>
        <w:t>电脑病毒、网络堵塞等原因，</w:t>
      </w:r>
      <w:r>
        <w:rPr>
          <w:spacing w:val="50"/>
          <w:sz w:val="24"/>
          <w:szCs w:val="24"/>
          <w:highlight w:val="none"/>
        </w:rPr>
        <w:t xml:space="preserve"> </w:t>
      </w:r>
      <w:r>
        <w:rPr>
          <w:spacing w:val="-6"/>
          <w:sz w:val="24"/>
          <w:szCs w:val="24"/>
          <w:highlight w:val="none"/>
        </w:rPr>
        <w:t>未在规定的解密时间内对投标文件进行解密的，其投</w:t>
      </w:r>
      <w:r>
        <w:rPr>
          <w:spacing w:val="-7"/>
          <w:sz w:val="24"/>
          <w:szCs w:val="24"/>
          <w:highlight w:val="none"/>
        </w:rPr>
        <w:t>标文</w:t>
      </w:r>
      <w:r>
        <w:rPr>
          <w:spacing w:val="-5"/>
          <w:sz w:val="24"/>
          <w:szCs w:val="24"/>
          <w:highlight w:val="none"/>
        </w:rPr>
        <w:t>件不予接收、唱标。</w:t>
      </w:r>
    </w:p>
    <w:p w14:paraId="2F2769B7">
      <w:pPr>
        <w:pStyle w:val="4"/>
        <w:spacing w:before="30" w:line="339" w:lineRule="auto"/>
        <w:ind w:left="1" w:right="83" w:firstLine="436"/>
        <w:rPr>
          <w:sz w:val="24"/>
          <w:szCs w:val="24"/>
          <w:highlight w:val="none"/>
        </w:rPr>
      </w:pPr>
      <w:r>
        <w:rPr>
          <w:b/>
          <w:bCs/>
          <w:sz w:val="24"/>
          <w:szCs w:val="24"/>
          <w:highlight w:val="none"/>
        </w:rPr>
        <w:t>21.5</w:t>
      </w:r>
      <w:r>
        <w:rPr>
          <w:sz w:val="24"/>
          <w:szCs w:val="24"/>
          <w:highlight w:val="none"/>
        </w:rPr>
        <w:t xml:space="preserve"> 开标时投标供应商可登录到交易</w:t>
      </w:r>
      <w:r>
        <w:rPr>
          <w:spacing w:val="-1"/>
          <w:sz w:val="24"/>
          <w:szCs w:val="24"/>
          <w:highlight w:val="none"/>
        </w:rPr>
        <w:t>系统中在开标大厅中点击开标一览表查看自</w:t>
      </w:r>
      <w:r>
        <w:rPr>
          <w:spacing w:val="-4"/>
          <w:sz w:val="24"/>
          <w:szCs w:val="24"/>
          <w:highlight w:val="none"/>
        </w:rPr>
        <w:t>己的投标报价。如对自己的唱标内容有异议的，</w:t>
      </w:r>
      <w:r>
        <w:rPr>
          <w:spacing w:val="-5"/>
          <w:sz w:val="24"/>
          <w:szCs w:val="24"/>
          <w:highlight w:val="none"/>
        </w:rPr>
        <w:t xml:space="preserve"> 应在唱标内容显示后10分钟内向中介服</w:t>
      </w:r>
      <w:r>
        <w:rPr>
          <w:spacing w:val="-2"/>
          <w:sz w:val="24"/>
          <w:szCs w:val="24"/>
          <w:highlight w:val="none"/>
        </w:rPr>
        <w:t>务机构电话质疑。中介服务机构应在监督人员的监督下进行免提通话接受投标供应商的</w:t>
      </w:r>
      <w:r>
        <w:rPr>
          <w:sz w:val="24"/>
          <w:szCs w:val="24"/>
          <w:highlight w:val="none"/>
        </w:rPr>
        <w:t>质疑并做好书面记录。投标供应商未在规定时间内提出质</w:t>
      </w:r>
      <w:r>
        <w:rPr>
          <w:spacing w:val="-1"/>
          <w:sz w:val="24"/>
          <w:szCs w:val="24"/>
          <w:highlight w:val="none"/>
        </w:rPr>
        <w:t>疑的，视为认可唱标内容。</w:t>
      </w:r>
    </w:p>
    <w:p w14:paraId="24F40C39">
      <w:pPr>
        <w:pStyle w:val="4"/>
        <w:spacing w:before="28" w:line="369" w:lineRule="auto"/>
        <w:ind w:right="88" w:firstLine="437"/>
        <w:rPr>
          <w:sz w:val="24"/>
          <w:szCs w:val="24"/>
          <w:highlight w:val="none"/>
        </w:rPr>
      </w:pPr>
      <w:r>
        <w:rPr>
          <w:b/>
          <w:bCs/>
          <w:spacing w:val="-3"/>
          <w:sz w:val="24"/>
          <w:szCs w:val="24"/>
          <w:highlight w:val="none"/>
        </w:rPr>
        <w:t>21.6开标会议结束后，由采购人和采购代理机构人员按照招标文件第二章投标</w:t>
      </w:r>
      <w:r>
        <w:rPr>
          <w:b/>
          <w:bCs/>
          <w:spacing w:val="-4"/>
          <w:sz w:val="24"/>
          <w:szCs w:val="24"/>
          <w:highlight w:val="none"/>
        </w:rPr>
        <w:t>供应</w:t>
      </w:r>
      <w:r>
        <w:rPr>
          <w:b/>
          <w:bCs/>
          <w:spacing w:val="-2"/>
          <w:sz w:val="24"/>
          <w:szCs w:val="24"/>
          <w:highlight w:val="none"/>
        </w:rPr>
        <w:t>商须知前附表第2.1项的要求，对投标供应商进行资格审查，有一项不符合的，视为未</w:t>
      </w:r>
      <w:r>
        <w:rPr>
          <w:b/>
          <w:bCs/>
          <w:spacing w:val="-4"/>
          <w:sz w:val="24"/>
          <w:szCs w:val="24"/>
          <w:highlight w:val="none"/>
        </w:rPr>
        <w:t>通过资格审查，不得进入下一评标过程。</w:t>
      </w:r>
    </w:p>
    <w:p w14:paraId="23B9ED21">
      <w:pPr>
        <w:pStyle w:val="4"/>
        <w:spacing w:before="1" w:line="218" w:lineRule="auto"/>
        <w:ind w:left="438"/>
        <w:rPr>
          <w:sz w:val="24"/>
          <w:szCs w:val="24"/>
          <w:highlight w:val="none"/>
        </w:rPr>
      </w:pPr>
      <w:r>
        <w:rPr>
          <w:b/>
          <w:bCs/>
          <w:spacing w:val="-1"/>
          <w:sz w:val="24"/>
          <w:szCs w:val="24"/>
          <w:highlight w:val="none"/>
        </w:rPr>
        <w:t>21.7</w:t>
      </w:r>
      <w:r>
        <w:rPr>
          <w:spacing w:val="-1"/>
          <w:sz w:val="24"/>
          <w:szCs w:val="24"/>
          <w:highlight w:val="none"/>
        </w:rPr>
        <w:t>采购人将符合资格审查的电子化投标文件提交于评标委员会进行详细评审及</w:t>
      </w:r>
    </w:p>
    <w:p w14:paraId="2388EF64">
      <w:pPr>
        <w:pStyle w:val="4"/>
        <w:spacing w:before="195" w:line="222" w:lineRule="auto"/>
        <w:ind w:left="27"/>
        <w:rPr>
          <w:sz w:val="24"/>
          <w:szCs w:val="24"/>
          <w:highlight w:val="none"/>
        </w:rPr>
      </w:pPr>
      <w:r>
        <w:rPr>
          <w:spacing w:val="-16"/>
          <w:sz w:val="24"/>
          <w:szCs w:val="24"/>
          <w:highlight w:val="none"/>
        </w:rPr>
        <w:t>比较。</w:t>
      </w:r>
    </w:p>
    <w:p w14:paraId="33006AE6">
      <w:pPr>
        <w:pStyle w:val="4"/>
        <w:spacing w:before="58" w:line="220" w:lineRule="auto"/>
        <w:ind w:left="3277"/>
        <w:outlineLvl w:val="0"/>
        <w:rPr>
          <w:sz w:val="36"/>
          <w:szCs w:val="36"/>
          <w:highlight w:val="none"/>
        </w:rPr>
      </w:pPr>
      <w:r>
        <w:rPr>
          <w:b/>
          <w:bCs/>
          <w:spacing w:val="-5"/>
          <w:sz w:val="36"/>
          <w:szCs w:val="36"/>
          <w:highlight w:val="none"/>
        </w:rPr>
        <w:t>六、评标与定标</w:t>
      </w:r>
    </w:p>
    <w:p w14:paraId="5D179148">
      <w:pPr>
        <w:pStyle w:val="4"/>
        <w:spacing w:before="115" w:line="219" w:lineRule="auto"/>
        <w:ind w:left="483"/>
        <w:rPr>
          <w:sz w:val="24"/>
          <w:szCs w:val="24"/>
          <w:highlight w:val="none"/>
        </w:rPr>
      </w:pPr>
      <w:r>
        <w:rPr>
          <w:b/>
          <w:bCs/>
          <w:spacing w:val="-4"/>
          <w:sz w:val="24"/>
          <w:szCs w:val="24"/>
          <w:highlight w:val="none"/>
        </w:rPr>
        <w:t>22.评标委员会</w:t>
      </w:r>
    </w:p>
    <w:p w14:paraId="76F51DEB">
      <w:pPr>
        <w:pStyle w:val="4"/>
        <w:spacing w:before="154" w:line="219" w:lineRule="auto"/>
        <w:ind w:left="483"/>
        <w:rPr>
          <w:sz w:val="24"/>
          <w:szCs w:val="24"/>
          <w:highlight w:val="none"/>
        </w:rPr>
      </w:pPr>
      <w:r>
        <w:rPr>
          <w:b/>
          <w:bCs/>
          <w:spacing w:val="-3"/>
          <w:sz w:val="24"/>
          <w:szCs w:val="24"/>
          <w:highlight w:val="none"/>
        </w:rPr>
        <w:t>22.1</w:t>
      </w:r>
      <w:r>
        <w:rPr>
          <w:spacing w:val="-36"/>
          <w:sz w:val="24"/>
          <w:szCs w:val="24"/>
          <w:highlight w:val="none"/>
        </w:rPr>
        <w:t xml:space="preserve"> </w:t>
      </w:r>
      <w:r>
        <w:rPr>
          <w:spacing w:val="-3"/>
          <w:sz w:val="24"/>
          <w:szCs w:val="24"/>
          <w:highlight w:val="none"/>
        </w:rPr>
        <w:t>评标委员会由采购人依法组建，负责评标活动。</w:t>
      </w:r>
    </w:p>
    <w:p w14:paraId="50DEFDAB">
      <w:pPr>
        <w:pStyle w:val="4"/>
        <w:spacing w:before="149" w:line="330" w:lineRule="auto"/>
        <w:ind w:left="14" w:right="94" w:firstLine="469"/>
        <w:rPr>
          <w:spacing w:val="-4"/>
          <w:sz w:val="24"/>
          <w:szCs w:val="24"/>
          <w:highlight w:val="none"/>
        </w:rPr>
      </w:pPr>
      <w:r>
        <w:rPr>
          <w:b/>
          <w:bCs/>
          <w:spacing w:val="-4"/>
          <w:sz w:val="24"/>
          <w:szCs w:val="24"/>
          <w:highlight w:val="none"/>
        </w:rPr>
        <w:t>22.2</w:t>
      </w:r>
      <w:r>
        <w:rPr>
          <w:spacing w:val="-4"/>
          <w:sz w:val="24"/>
          <w:szCs w:val="24"/>
          <w:highlight w:val="none"/>
        </w:rPr>
        <w:t xml:space="preserve"> 评标委员会由 </w:t>
      </w:r>
      <w:r>
        <w:rPr>
          <w:rFonts w:hint="eastAsia"/>
          <w:spacing w:val="-4"/>
          <w:sz w:val="24"/>
          <w:szCs w:val="24"/>
          <w:highlight w:val="none"/>
          <w:lang w:val="en-US" w:eastAsia="zh-CN"/>
        </w:rPr>
        <w:t>7</w:t>
      </w:r>
      <w:r>
        <w:rPr>
          <w:spacing w:val="-4"/>
          <w:sz w:val="24"/>
          <w:szCs w:val="24"/>
          <w:highlight w:val="none"/>
        </w:rPr>
        <w:t xml:space="preserve"> 人组成：评审专家从河南省政府采购评标专家库中随机抽取。</w:t>
      </w:r>
    </w:p>
    <w:p w14:paraId="04F313CF">
      <w:pPr>
        <w:pStyle w:val="4"/>
        <w:spacing w:before="149" w:line="330" w:lineRule="auto"/>
        <w:ind w:left="14" w:right="94" w:firstLine="469"/>
        <w:rPr>
          <w:sz w:val="24"/>
          <w:szCs w:val="24"/>
          <w:highlight w:val="none"/>
        </w:rPr>
      </w:pPr>
      <w:r>
        <w:rPr>
          <w:b/>
          <w:bCs/>
          <w:spacing w:val="1"/>
          <w:sz w:val="24"/>
          <w:szCs w:val="24"/>
          <w:highlight w:val="none"/>
        </w:rPr>
        <w:t>22.3</w:t>
      </w:r>
      <w:r>
        <w:rPr>
          <w:spacing w:val="1"/>
          <w:sz w:val="24"/>
          <w:szCs w:val="24"/>
          <w:highlight w:val="none"/>
        </w:rPr>
        <w:t xml:space="preserve"> 参加评标的专家由采购人在评标前从河南省政府采购评标专家库中随机抽取</w:t>
      </w:r>
      <w:r>
        <w:rPr>
          <w:spacing w:val="-2"/>
          <w:sz w:val="24"/>
          <w:szCs w:val="24"/>
          <w:highlight w:val="none"/>
        </w:rPr>
        <w:t>随机选定。与投标供应商有利害关系的人不得进入评标委员会。</w:t>
      </w:r>
    </w:p>
    <w:p w14:paraId="30EB41AB">
      <w:pPr>
        <w:pStyle w:val="4"/>
        <w:spacing w:before="1" w:line="218" w:lineRule="auto"/>
        <w:ind w:left="483"/>
        <w:rPr>
          <w:sz w:val="24"/>
          <w:szCs w:val="24"/>
          <w:highlight w:val="none"/>
        </w:rPr>
      </w:pPr>
      <w:r>
        <w:rPr>
          <w:b/>
          <w:bCs/>
          <w:spacing w:val="-2"/>
          <w:sz w:val="24"/>
          <w:szCs w:val="24"/>
          <w:highlight w:val="none"/>
        </w:rPr>
        <w:t>22.4</w:t>
      </w:r>
      <w:r>
        <w:rPr>
          <w:spacing w:val="-38"/>
          <w:sz w:val="24"/>
          <w:szCs w:val="24"/>
          <w:highlight w:val="none"/>
        </w:rPr>
        <w:t xml:space="preserve"> </w:t>
      </w:r>
      <w:r>
        <w:rPr>
          <w:spacing w:val="-2"/>
          <w:sz w:val="24"/>
          <w:szCs w:val="24"/>
          <w:highlight w:val="none"/>
        </w:rPr>
        <w:t>开标结束后，开始评标。评标工作在相关部门监督下，采用保密方式进行。</w:t>
      </w:r>
    </w:p>
    <w:p w14:paraId="70BA776C">
      <w:pPr>
        <w:pStyle w:val="4"/>
        <w:spacing w:before="147" w:line="220" w:lineRule="auto"/>
        <w:ind w:left="486"/>
        <w:rPr>
          <w:sz w:val="24"/>
          <w:szCs w:val="24"/>
          <w:highlight w:val="none"/>
        </w:rPr>
      </w:pPr>
      <w:r>
        <w:rPr>
          <w:b/>
          <w:bCs/>
          <w:spacing w:val="-4"/>
          <w:sz w:val="24"/>
          <w:szCs w:val="24"/>
          <w:highlight w:val="none"/>
        </w:rPr>
        <w:t>23.评标过程的保密</w:t>
      </w:r>
    </w:p>
    <w:p w14:paraId="65E7C56D">
      <w:pPr>
        <w:pStyle w:val="4"/>
        <w:spacing w:before="143" w:line="219" w:lineRule="auto"/>
        <w:ind w:left="469"/>
        <w:rPr>
          <w:sz w:val="24"/>
          <w:szCs w:val="24"/>
          <w:highlight w:val="none"/>
        </w:rPr>
      </w:pPr>
      <w:r>
        <w:rPr>
          <w:b/>
          <w:bCs/>
          <w:spacing w:val="-1"/>
          <w:sz w:val="24"/>
          <w:szCs w:val="24"/>
          <w:highlight w:val="none"/>
        </w:rPr>
        <w:t>23.1</w:t>
      </w:r>
      <w:r>
        <w:rPr>
          <w:spacing w:val="-1"/>
          <w:sz w:val="24"/>
          <w:szCs w:val="24"/>
          <w:highlight w:val="none"/>
        </w:rPr>
        <w:t xml:space="preserve"> 开标后，直至授予中标供应商合同为止，凡</w:t>
      </w:r>
      <w:r>
        <w:rPr>
          <w:spacing w:val="-2"/>
          <w:sz w:val="24"/>
          <w:szCs w:val="24"/>
          <w:highlight w:val="none"/>
        </w:rPr>
        <w:t>属于对电子化投标文件的审查、</w:t>
      </w:r>
    </w:p>
    <w:p w14:paraId="461B586F">
      <w:pPr>
        <w:pStyle w:val="4"/>
        <w:spacing w:before="146" w:line="330" w:lineRule="auto"/>
        <w:ind w:right="88"/>
        <w:rPr>
          <w:sz w:val="24"/>
          <w:szCs w:val="24"/>
          <w:highlight w:val="none"/>
        </w:rPr>
      </w:pPr>
      <w:r>
        <w:rPr>
          <w:spacing w:val="-7"/>
          <w:sz w:val="24"/>
          <w:szCs w:val="24"/>
          <w:highlight w:val="none"/>
        </w:rPr>
        <w:t>澄清、评价和比较有关的资料，</w:t>
      </w:r>
      <w:r>
        <w:rPr>
          <w:spacing w:val="85"/>
          <w:sz w:val="24"/>
          <w:szCs w:val="24"/>
          <w:highlight w:val="none"/>
        </w:rPr>
        <w:t xml:space="preserve"> </w:t>
      </w:r>
      <w:r>
        <w:rPr>
          <w:spacing w:val="-7"/>
          <w:sz w:val="24"/>
          <w:szCs w:val="24"/>
          <w:highlight w:val="none"/>
        </w:rPr>
        <w:t>中标候选供应商的推荐情况，及其他任何与评标有关的</w:t>
      </w:r>
      <w:r>
        <w:rPr>
          <w:spacing w:val="-5"/>
          <w:sz w:val="24"/>
          <w:szCs w:val="24"/>
          <w:highlight w:val="none"/>
        </w:rPr>
        <w:t>情况均应严格保密。</w:t>
      </w:r>
    </w:p>
    <w:p w14:paraId="73570816">
      <w:pPr>
        <w:pStyle w:val="4"/>
        <w:spacing w:before="1" w:line="331" w:lineRule="auto"/>
        <w:ind w:left="23" w:firstLine="445"/>
        <w:rPr>
          <w:sz w:val="24"/>
          <w:szCs w:val="24"/>
          <w:highlight w:val="none"/>
        </w:rPr>
      </w:pPr>
      <w:r>
        <w:rPr>
          <w:b/>
          <w:bCs/>
          <w:sz w:val="24"/>
          <w:szCs w:val="24"/>
          <w:highlight w:val="none"/>
        </w:rPr>
        <w:t>23.2</w:t>
      </w:r>
      <w:r>
        <w:rPr>
          <w:sz w:val="24"/>
          <w:szCs w:val="24"/>
          <w:highlight w:val="none"/>
        </w:rPr>
        <w:t xml:space="preserve"> 在电子化投标文件的评审和比较</w:t>
      </w:r>
      <w:r>
        <w:rPr>
          <w:spacing w:val="-1"/>
          <w:sz w:val="24"/>
          <w:szCs w:val="24"/>
          <w:highlight w:val="none"/>
        </w:rPr>
        <w:t>、中标候选供应商推荐以及授予合同的过程</w:t>
      </w:r>
      <w:r>
        <w:rPr>
          <w:spacing w:val="-6"/>
          <w:sz w:val="24"/>
          <w:szCs w:val="24"/>
          <w:highlight w:val="none"/>
        </w:rPr>
        <w:t>中，投标供应商向采购人和评标委员会施加影响的任何行为，都将会导致其投标被拒</w:t>
      </w:r>
      <w:r>
        <w:rPr>
          <w:spacing w:val="-7"/>
          <w:sz w:val="24"/>
          <w:szCs w:val="24"/>
          <w:highlight w:val="none"/>
        </w:rPr>
        <w:t>绝。</w:t>
      </w:r>
    </w:p>
    <w:p w14:paraId="2423CC0A">
      <w:pPr>
        <w:pStyle w:val="4"/>
        <w:spacing w:before="2" w:line="330" w:lineRule="auto"/>
        <w:ind w:right="88" w:firstLine="468"/>
        <w:rPr>
          <w:sz w:val="24"/>
          <w:szCs w:val="24"/>
          <w:highlight w:val="none"/>
        </w:rPr>
      </w:pPr>
      <w:r>
        <w:rPr>
          <w:b/>
          <w:bCs/>
          <w:spacing w:val="-1"/>
          <w:sz w:val="24"/>
          <w:szCs w:val="24"/>
          <w:highlight w:val="none"/>
        </w:rPr>
        <w:t>23.3</w:t>
      </w:r>
      <w:r>
        <w:rPr>
          <w:spacing w:val="35"/>
          <w:sz w:val="24"/>
          <w:szCs w:val="24"/>
          <w:highlight w:val="none"/>
        </w:rPr>
        <w:t xml:space="preserve"> </w:t>
      </w:r>
      <w:r>
        <w:rPr>
          <w:spacing w:val="-1"/>
          <w:sz w:val="24"/>
          <w:szCs w:val="24"/>
          <w:highlight w:val="none"/>
        </w:rPr>
        <w:t>中标供应商确定后，采购人不对未中标</w:t>
      </w:r>
      <w:r>
        <w:rPr>
          <w:spacing w:val="-2"/>
          <w:sz w:val="24"/>
          <w:szCs w:val="24"/>
          <w:highlight w:val="none"/>
        </w:rPr>
        <w:t>供应商就评标过程以及未能中标原因做出任何解释。未中标供应商不得向评标委员会组成人员或其他有关人员索问评标过程</w:t>
      </w:r>
      <w:r>
        <w:rPr>
          <w:spacing w:val="-6"/>
          <w:sz w:val="24"/>
          <w:szCs w:val="24"/>
          <w:highlight w:val="none"/>
        </w:rPr>
        <w:t>的情况和材料。</w:t>
      </w:r>
    </w:p>
    <w:p w14:paraId="4495AA17">
      <w:pPr>
        <w:pStyle w:val="4"/>
        <w:spacing w:before="1" w:line="219" w:lineRule="auto"/>
        <w:ind w:left="469"/>
        <w:rPr>
          <w:sz w:val="24"/>
          <w:szCs w:val="24"/>
          <w:highlight w:val="none"/>
        </w:rPr>
      </w:pPr>
      <w:r>
        <w:rPr>
          <w:b/>
          <w:bCs/>
          <w:spacing w:val="-4"/>
          <w:sz w:val="24"/>
          <w:szCs w:val="24"/>
          <w:highlight w:val="none"/>
        </w:rPr>
        <w:t>24.评标纪律</w:t>
      </w:r>
    </w:p>
    <w:p w14:paraId="4351EFEE">
      <w:pPr>
        <w:pStyle w:val="4"/>
        <w:spacing w:before="145" w:line="331" w:lineRule="auto"/>
        <w:ind w:left="13" w:right="165" w:firstLine="456"/>
        <w:rPr>
          <w:sz w:val="24"/>
          <w:szCs w:val="24"/>
          <w:highlight w:val="none"/>
        </w:rPr>
      </w:pPr>
      <w:r>
        <w:rPr>
          <w:b/>
          <w:bCs/>
          <w:sz w:val="24"/>
          <w:szCs w:val="24"/>
          <w:highlight w:val="none"/>
        </w:rPr>
        <w:t>24.1</w:t>
      </w:r>
      <w:r>
        <w:rPr>
          <w:sz w:val="24"/>
          <w:szCs w:val="24"/>
          <w:highlight w:val="none"/>
        </w:rPr>
        <w:t xml:space="preserve"> 评标委员会成员和参与评标工作的有</w:t>
      </w:r>
      <w:r>
        <w:rPr>
          <w:spacing w:val="-1"/>
          <w:sz w:val="24"/>
          <w:szCs w:val="24"/>
          <w:highlight w:val="none"/>
        </w:rPr>
        <w:t>关人员不得透露对电子化投标文件的评</w:t>
      </w:r>
      <w:r>
        <w:rPr>
          <w:spacing w:val="-2"/>
          <w:sz w:val="24"/>
          <w:szCs w:val="24"/>
          <w:highlight w:val="none"/>
        </w:rPr>
        <w:t>审和比较、中标候选供应商的推荐情况以及与评标有关的其它情况。</w:t>
      </w:r>
    </w:p>
    <w:p w14:paraId="4C0CE673">
      <w:pPr>
        <w:pStyle w:val="4"/>
        <w:spacing w:before="2" w:line="330" w:lineRule="auto"/>
        <w:ind w:right="149" w:firstLine="485"/>
        <w:rPr>
          <w:sz w:val="24"/>
          <w:szCs w:val="24"/>
          <w:highlight w:val="none"/>
        </w:rPr>
      </w:pPr>
      <w:r>
        <w:rPr>
          <w:b/>
          <w:bCs/>
          <w:sz w:val="24"/>
          <w:szCs w:val="24"/>
          <w:highlight w:val="none"/>
        </w:rPr>
        <w:t>24.2</w:t>
      </w:r>
      <w:r>
        <w:rPr>
          <w:sz w:val="24"/>
          <w:szCs w:val="24"/>
          <w:highlight w:val="none"/>
        </w:rPr>
        <w:t xml:space="preserve"> 除投标须知第28条款的规定以外，</w:t>
      </w:r>
      <w:r>
        <w:rPr>
          <w:spacing w:val="-1"/>
          <w:sz w:val="24"/>
          <w:szCs w:val="24"/>
          <w:highlight w:val="none"/>
        </w:rPr>
        <w:t>开标以后至授予中标通知书前，任何投标</w:t>
      </w:r>
      <w:r>
        <w:rPr>
          <w:sz w:val="24"/>
          <w:szCs w:val="24"/>
          <w:highlight w:val="none"/>
        </w:rPr>
        <w:t>供应商均不得就与其电子化投标文件有关的问题主动与采购人</w:t>
      </w:r>
      <w:r>
        <w:rPr>
          <w:spacing w:val="-1"/>
          <w:sz w:val="24"/>
          <w:szCs w:val="24"/>
          <w:highlight w:val="none"/>
        </w:rPr>
        <w:t>和采购代理机构发生联</w:t>
      </w:r>
      <w:r>
        <w:rPr>
          <w:spacing w:val="-12"/>
          <w:sz w:val="24"/>
          <w:szCs w:val="24"/>
          <w:highlight w:val="none"/>
        </w:rPr>
        <w:t>系。</w:t>
      </w:r>
    </w:p>
    <w:p w14:paraId="01C1E2E4">
      <w:pPr>
        <w:pStyle w:val="4"/>
        <w:spacing w:before="1" w:line="330" w:lineRule="auto"/>
        <w:ind w:left="20" w:right="167" w:firstLine="448"/>
        <w:rPr>
          <w:sz w:val="24"/>
          <w:szCs w:val="24"/>
          <w:highlight w:val="none"/>
        </w:rPr>
      </w:pPr>
      <w:r>
        <w:rPr>
          <w:b/>
          <w:bCs/>
          <w:sz w:val="24"/>
          <w:szCs w:val="24"/>
          <w:highlight w:val="none"/>
        </w:rPr>
        <w:t>24.3</w:t>
      </w:r>
      <w:r>
        <w:rPr>
          <w:sz w:val="24"/>
          <w:szCs w:val="24"/>
          <w:highlight w:val="none"/>
        </w:rPr>
        <w:t xml:space="preserve"> 如果投标供应商试图对评标委员</w:t>
      </w:r>
      <w:r>
        <w:rPr>
          <w:spacing w:val="-1"/>
          <w:sz w:val="24"/>
          <w:szCs w:val="24"/>
          <w:highlight w:val="none"/>
        </w:rPr>
        <w:t>会的评标施加影响，则将导致该投标供应商</w:t>
      </w:r>
      <w:r>
        <w:rPr>
          <w:spacing w:val="-5"/>
          <w:sz w:val="24"/>
          <w:szCs w:val="24"/>
          <w:highlight w:val="none"/>
        </w:rPr>
        <w:t>的电子化投标文件被拒绝。</w:t>
      </w:r>
    </w:p>
    <w:p w14:paraId="3682205D">
      <w:pPr>
        <w:pStyle w:val="4"/>
        <w:spacing w:before="1" w:line="219" w:lineRule="auto"/>
        <w:ind w:left="469"/>
        <w:rPr>
          <w:sz w:val="24"/>
          <w:szCs w:val="24"/>
          <w:highlight w:val="none"/>
        </w:rPr>
      </w:pPr>
      <w:r>
        <w:rPr>
          <w:b/>
          <w:bCs/>
          <w:spacing w:val="-3"/>
          <w:sz w:val="24"/>
          <w:szCs w:val="24"/>
          <w:highlight w:val="none"/>
        </w:rPr>
        <w:t>25.电子化投标文件的澄清</w:t>
      </w:r>
    </w:p>
    <w:p w14:paraId="18C3D918">
      <w:pPr>
        <w:pStyle w:val="4"/>
        <w:spacing w:before="144" w:line="331" w:lineRule="auto"/>
        <w:ind w:right="85" w:firstLine="468"/>
        <w:jc w:val="both"/>
        <w:rPr>
          <w:sz w:val="24"/>
          <w:szCs w:val="24"/>
          <w:highlight w:val="none"/>
        </w:rPr>
      </w:pPr>
      <w:r>
        <w:rPr>
          <w:b/>
          <w:bCs/>
          <w:sz w:val="24"/>
          <w:szCs w:val="24"/>
          <w:highlight w:val="none"/>
        </w:rPr>
        <w:t>25.1</w:t>
      </w:r>
      <w:r>
        <w:rPr>
          <w:sz w:val="24"/>
          <w:szCs w:val="24"/>
          <w:highlight w:val="none"/>
        </w:rPr>
        <w:t xml:space="preserve"> 为有助于电子化投标文件的审查</w:t>
      </w:r>
      <w:r>
        <w:rPr>
          <w:spacing w:val="-1"/>
          <w:sz w:val="24"/>
          <w:szCs w:val="24"/>
          <w:highlight w:val="none"/>
        </w:rPr>
        <w:t>、评价和比较，评标委员会可以以书面形式</w:t>
      </w:r>
      <w:r>
        <w:rPr>
          <w:spacing w:val="-2"/>
          <w:sz w:val="24"/>
          <w:szCs w:val="24"/>
          <w:highlight w:val="none"/>
        </w:rPr>
        <w:t>要求投标供应商对电子化投标文件含义不明确的内容作必要的澄清或说明，投标供应商应采用书面形式进行澄清或说明，但不得超出电子化投标文件的范围或改变电子化投标</w:t>
      </w:r>
      <w:r>
        <w:rPr>
          <w:spacing w:val="-5"/>
          <w:sz w:val="24"/>
          <w:szCs w:val="24"/>
          <w:highlight w:val="none"/>
        </w:rPr>
        <w:t>文件的实质性内容。根据本须知规定， 凡属于评标委员会在评标中发现的计算错误并进</w:t>
      </w:r>
      <w:r>
        <w:rPr>
          <w:spacing w:val="-4"/>
          <w:sz w:val="24"/>
          <w:szCs w:val="24"/>
          <w:highlight w:val="none"/>
        </w:rPr>
        <w:t>行核实的修改不在此列。</w:t>
      </w:r>
    </w:p>
    <w:p w14:paraId="5E1E590B">
      <w:pPr>
        <w:pStyle w:val="4"/>
        <w:spacing w:line="219" w:lineRule="auto"/>
        <w:ind w:left="483"/>
        <w:rPr>
          <w:sz w:val="24"/>
          <w:szCs w:val="24"/>
          <w:highlight w:val="none"/>
        </w:rPr>
      </w:pPr>
      <w:r>
        <w:rPr>
          <w:b/>
          <w:bCs/>
          <w:spacing w:val="-3"/>
          <w:sz w:val="24"/>
          <w:szCs w:val="24"/>
          <w:highlight w:val="none"/>
        </w:rPr>
        <w:t>26.电子化投标文件的初步评审</w:t>
      </w:r>
    </w:p>
    <w:p w14:paraId="622A77CC">
      <w:pPr>
        <w:pStyle w:val="4"/>
        <w:spacing w:before="148" w:line="331" w:lineRule="auto"/>
        <w:ind w:firstLine="483"/>
        <w:jc w:val="both"/>
        <w:rPr>
          <w:sz w:val="24"/>
          <w:szCs w:val="24"/>
          <w:highlight w:val="none"/>
        </w:rPr>
      </w:pPr>
      <w:r>
        <w:rPr>
          <w:b/>
          <w:bCs/>
          <w:sz w:val="24"/>
          <w:szCs w:val="24"/>
          <w:highlight w:val="none"/>
        </w:rPr>
        <w:t>26.1</w:t>
      </w:r>
      <w:r>
        <w:rPr>
          <w:sz w:val="24"/>
          <w:szCs w:val="24"/>
          <w:highlight w:val="none"/>
        </w:rPr>
        <w:t xml:space="preserve"> 评标时，评标委员会将首先评定</w:t>
      </w:r>
      <w:r>
        <w:rPr>
          <w:spacing w:val="-1"/>
          <w:sz w:val="24"/>
          <w:szCs w:val="24"/>
          <w:highlight w:val="none"/>
        </w:rPr>
        <w:t>每份电子化投标文件是否在实质上响应了招</w:t>
      </w:r>
      <w:r>
        <w:rPr>
          <w:spacing w:val="-5"/>
          <w:sz w:val="24"/>
          <w:szCs w:val="24"/>
          <w:highlight w:val="none"/>
        </w:rPr>
        <w:t>标文件的要求。所谓实质上响应，是指电子化投标</w:t>
      </w:r>
      <w:r>
        <w:rPr>
          <w:spacing w:val="-6"/>
          <w:sz w:val="24"/>
          <w:szCs w:val="24"/>
          <w:highlight w:val="none"/>
        </w:rPr>
        <w:t>文件应与招标文件的所有实质性条款、</w:t>
      </w:r>
      <w:r>
        <w:rPr>
          <w:spacing w:val="-2"/>
          <w:sz w:val="24"/>
          <w:szCs w:val="24"/>
          <w:highlight w:val="none"/>
        </w:rPr>
        <w:t>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49A5A4D1">
      <w:pPr>
        <w:spacing w:line="331" w:lineRule="auto"/>
        <w:rPr>
          <w:sz w:val="24"/>
          <w:szCs w:val="24"/>
          <w:highlight w:val="none"/>
        </w:rPr>
        <w:sectPr>
          <w:footerReference r:id="rId18" w:type="default"/>
          <w:pgSz w:w="11907" w:h="16839"/>
          <w:pgMar w:top="1431" w:right="1329" w:bottom="1159" w:left="1427" w:header="0" w:footer="959" w:gutter="0"/>
          <w:cols w:space="720" w:num="1"/>
        </w:sectPr>
      </w:pPr>
    </w:p>
    <w:p w14:paraId="642ACEAF">
      <w:pPr>
        <w:pStyle w:val="4"/>
        <w:spacing w:before="148" w:line="331" w:lineRule="auto"/>
        <w:ind w:right="59" w:firstLine="483"/>
        <w:rPr>
          <w:sz w:val="24"/>
          <w:szCs w:val="24"/>
          <w:highlight w:val="none"/>
        </w:rPr>
      </w:pPr>
      <w:r>
        <w:rPr>
          <w:b/>
          <w:bCs/>
          <w:sz w:val="24"/>
          <w:szCs w:val="24"/>
          <w:highlight w:val="none"/>
        </w:rPr>
        <w:t>26.2</w:t>
      </w:r>
      <w:r>
        <w:rPr>
          <w:sz w:val="24"/>
          <w:szCs w:val="24"/>
          <w:highlight w:val="none"/>
        </w:rPr>
        <w:t xml:space="preserve"> 如果电子化投标文件实质上不响</w:t>
      </w:r>
      <w:r>
        <w:rPr>
          <w:spacing w:val="-1"/>
          <w:sz w:val="24"/>
          <w:szCs w:val="24"/>
          <w:highlight w:val="none"/>
        </w:rPr>
        <w:t>应招标文件的各项要求，评标委员会将予以</w:t>
      </w:r>
      <w:r>
        <w:rPr>
          <w:spacing w:val="-2"/>
          <w:sz w:val="24"/>
          <w:szCs w:val="24"/>
          <w:highlight w:val="none"/>
        </w:rPr>
        <w:t>拒绝，并且不允许投标供应商通过修改或撤销其不符合要求的差异或保留，使之成为具</w:t>
      </w:r>
      <w:r>
        <w:rPr>
          <w:spacing w:val="-5"/>
          <w:sz w:val="24"/>
          <w:szCs w:val="24"/>
          <w:highlight w:val="none"/>
        </w:rPr>
        <w:t>有响应性的投标。</w:t>
      </w:r>
    </w:p>
    <w:p w14:paraId="1F133848">
      <w:pPr>
        <w:pStyle w:val="4"/>
        <w:spacing w:before="1" w:line="218" w:lineRule="auto"/>
        <w:ind w:left="483"/>
        <w:rPr>
          <w:sz w:val="24"/>
          <w:szCs w:val="24"/>
          <w:highlight w:val="none"/>
        </w:rPr>
      </w:pPr>
      <w:r>
        <w:rPr>
          <w:b/>
          <w:bCs/>
          <w:spacing w:val="-3"/>
          <w:sz w:val="24"/>
          <w:szCs w:val="24"/>
          <w:highlight w:val="none"/>
        </w:rPr>
        <w:t>26.3</w:t>
      </w:r>
      <w:r>
        <w:rPr>
          <w:spacing w:val="40"/>
          <w:sz w:val="24"/>
          <w:szCs w:val="24"/>
          <w:highlight w:val="none"/>
        </w:rPr>
        <w:t xml:space="preserve"> </w:t>
      </w:r>
      <w:r>
        <w:rPr>
          <w:spacing w:val="-3"/>
          <w:sz w:val="24"/>
          <w:szCs w:val="24"/>
          <w:highlight w:val="none"/>
        </w:rPr>
        <w:t>电子化投标文件有下列情形之一的，由评标委员会初审后按无效标</w:t>
      </w:r>
      <w:r>
        <w:rPr>
          <w:spacing w:val="-4"/>
          <w:sz w:val="24"/>
          <w:szCs w:val="24"/>
          <w:highlight w:val="none"/>
        </w:rPr>
        <w:t>处理：</w:t>
      </w:r>
    </w:p>
    <w:p w14:paraId="230989CE">
      <w:pPr>
        <w:pStyle w:val="4"/>
        <w:spacing w:before="144" w:line="219" w:lineRule="auto"/>
        <w:ind w:left="487"/>
        <w:rPr>
          <w:sz w:val="24"/>
          <w:szCs w:val="24"/>
          <w:highlight w:val="none"/>
        </w:rPr>
      </w:pPr>
      <w:r>
        <w:rPr>
          <w:spacing w:val="-3"/>
          <w:sz w:val="24"/>
          <w:szCs w:val="24"/>
          <w:highlight w:val="none"/>
        </w:rPr>
        <w:t>（1）电子化投标文件附有采购人不能接受的条件的；</w:t>
      </w:r>
    </w:p>
    <w:p w14:paraId="1890A447">
      <w:pPr>
        <w:pStyle w:val="4"/>
        <w:spacing w:before="145" w:line="218" w:lineRule="auto"/>
        <w:ind w:left="487"/>
        <w:rPr>
          <w:sz w:val="24"/>
          <w:szCs w:val="24"/>
          <w:highlight w:val="none"/>
        </w:rPr>
      </w:pPr>
      <w:r>
        <w:rPr>
          <w:spacing w:val="-4"/>
          <w:sz w:val="24"/>
          <w:szCs w:val="24"/>
          <w:highlight w:val="none"/>
        </w:rPr>
        <w:t>（2）投标报价高于招标文件中投标最高限价的；</w:t>
      </w:r>
    </w:p>
    <w:p w14:paraId="59AC1011">
      <w:pPr>
        <w:pStyle w:val="4"/>
        <w:spacing w:before="147" w:line="330" w:lineRule="auto"/>
        <w:ind w:left="5" w:right="77" w:firstLine="481"/>
        <w:rPr>
          <w:sz w:val="24"/>
          <w:szCs w:val="24"/>
          <w:highlight w:val="none"/>
        </w:rPr>
      </w:pPr>
      <w:r>
        <w:rPr>
          <w:spacing w:val="1"/>
          <w:sz w:val="24"/>
          <w:szCs w:val="24"/>
          <w:highlight w:val="none"/>
        </w:rPr>
        <w:t>（3）以他人的名义投标、串通投标、以行贿手段谋取中标或者以其他弄虚作假方</w:t>
      </w:r>
      <w:r>
        <w:rPr>
          <w:spacing w:val="-12"/>
          <w:sz w:val="24"/>
          <w:szCs w:val="24"/>
          <w:highlight w:val="none"/>
        </w:rPr>
        <w:t>式投标的；</w:t>
      </w:r>
    </w:p>
    <w:p w14:paraId="70DFE376">
      <w:pPr>
        <w:pStyle w:val="4"/>
        <w:spacing w:before="1" w:line="218" w:lineRule="auto"/>
        <w:ind w:left="487"/>
        <w:rPr>
          <w:sz w:val="24"/>
          <w:szCs w:val="24"/>
          <w:highlight w:val="none"/>
        </w:rPr>
      </w:pPr>
      <w:r>
        <w:rPr>
          <w:spacing w:val="-4"/>
          <w:sz w:val="24"/>
          <w:szCs w:val="24"/>
          <w:highlight w:val="none"/>
        </w:rPr>
        <w:t>（4）采取不正当手段谋取中标的。</w:t>
      </w:r>
    </w:p>
    <w:p w14:paraId="0FCFAE94">
      <w:pPr>
        <w:pStyle w:val="4"/>
        <w:spacing w:before="147" w:line="220" w:lineRule="auto"/>
        <w:ind w:left="483"/>
        <w:rPr>
          <w:sz w:val="24"/>
          <w:szCs w:val="24"/>
          <w:highlight w:val="none"/>
        </w:rPr>
      </w:pPr>
      <w:r>
        <w:rPr>
          <w:b/>
          <w:bCs/>
          <w:spacing w:val="-3"/>
          <w:sz w:val="24"/>
          <w:szCs w:val="24"/>
          <w:highlight w:val="none"/>
        </w:rPr>
        <w:t>27.电子化投标文件计算错误的修正</w:t>
      </w:r>
    </w:p>
    <w:p w14:paraId="4D8843D5">
      <w:pPr>
        <w:pStyle w:val="4"/>
        <w:spacing w:before="146" w:line="330" w:lineRule="auto"/>
        <w:ind w:firstLine="482"/>
        <w:rPr>
          <w:sz w:val="24"/>
          <w:szCs w:val="24"/>
          <w:highlight w:val="none"/>
        </w:rPr>
      </w:pPr>
      <w:r>
        <w:rPr>
          <w:b/>
          <w:bCs/>
          <w:spacing w:val="-2"/>
          <w:sz w:val="24"/>
          <w:szCs w:val="24"/>
          <w:highlight w:val="none"/>
        </w:rPr>
        <w:t>27.1</w:t>
      </w:r>
      <w:r>
        <w:rPr>
          <w:spacing w:val="-49"/>
          <w:sz w:val="24"/>
          <w:szCs w:val="24"/>
          <w:highlight w:val="none"/>
        </w:rPr>
        <w:t xml:space="preserve"> </w:t>
      </w:r>
      <w:r>
        <w:rPr>
          <w:spacing w:val="-2"/>
          <w:sz w:val="24"/>
          <w:szCs w:val="24"/>
          <w:highlight w:val="none"/>
        </w:rPr>
        <w:t>评标委员会将对确定为实质上响应招标文件要求的电子化投</w:t>
      </w:r>
      <w:r>
        <w:rPr>
          <w:spacing w:val="-3"/>
          <w:sz w:val="24"/>
          <w:szCs w:val="24"/>
          <w:highlight w:val="none"/>
        </w:rPr>
        <w:t>标文件进行校核，看其是否有计算或表达上的错误，修正错误的原则如下：</w:t>
      </w:r>
    </w:p>
    <w:p w14:paraId="74DA29BD">
      <w:pPr>
        <w:pStyle w:val="4"/>
        <w:spacing w:before="1" w:line="219" w:lineRule="auto"/>
        <w:ind w:left="483"/>
        <w:rPr>
          <w:sz w:val="24"/>
          <w:szCs w:val="24"/>
          <w:highlight w:val="none"/>
        </w:rPr>
      </w:pPr>
      <w:r>
        <w:rPr>
          <w:b/>
          <w:bCs/>
          <w:spacing w:val="-3"/>
          <w:sz w:val="24"/>
          <w:szCs w:val="24"/>
          <w:highlight w:val="none"/>
        </w:rPr>
        <w:t>27.1.1</w:t>
      </w:r>
      <w:r>
        <w:rPr>
          <w:spacing w:val="-3"/>
          <w:sz w:val="24"/>
          <w:szCs w:val="24"/>
          <w:highlight w:val="none"/>
        </w:rPr>
        <w:t xml:space="preserve"> 电子化投标文件中的大写金</w:t>
      </w:r>
      <w:r>
        <w:rPr>
          <w:spacing w:val="-4"/>
          <w:sz w:val="24"/>
          <w:szCs w:val="24"/>
          <w:highlight w:val="none"/>
        </w:rPr>
        <w:t>额和小写金额不一致的，以大写金额为准；</w:t>
      </w:r>
    </w:p>
    <w:p w14:paraId="6DC4D943">
      <w:pPr>
        <w:pStyle w:val="4"/>
        <w:spacing w:before="144" w:line="219" w:lineRule="auto"/>
        <w:ind w:left="483"/>
        <w:rPr>
          <w:sz w:val="24"/>
          <w:szCs w:val="24"/>
          <w:highlight w:val="none"/>
        </w:rPr>
      </w:pPr>
      <w:r>
        <w:rPr>
          <w:b/>
          <w:bCs/>
          <w:spacing w:val="-2"/>
          <w:sz w:val="24"/>
          <w:szCs w:val="24"/>
          <w:highlight w:val="none"/>
        </w:rPr>
        <w:t>27.1.2</w:t>
      </w:r>
      <w:r>
        <w:rPr>
          <w:spacing w:val="-41"/>
          <w:sz w:val="24"/>
          <w:szCs w:val="24"/>
          <w:highlight w:val="none"/>
        </w:rPr>
        <w:t xml:space="preserve"> </w:t>
      </w:r>
      <w:r>
        <w:rPr>
          <w:spacing w:val="-2"/>
          <w:sz w:val="24"/>
          <w:szCs w:val="24"/>
          <w:highlight w:val="none"/>
        </w:rPr>
        <w:t>对不同文字文本电子化投标文件的解释发生异议的，以中文文本为准。</w:t>
      </w:r>
    </w:p>
    <w:p w14:paraId="63B10703">
      <w:pPr>
        <w:pStyle w:val="4"/>
        <w:spacing w:before="146" w:line="331" w:lineRule="auto"/>
        <w:ind w:right="59" w:firstLine="482"/>
        <w:rPr>
          <w:sz w:val="24"/>
          <w:szCs w:val="24"/>
          <w:highlight w:val="none"/>
        </w:rPr>
      </w:pPr>
      <w:r>
        <w:rPr>
          <w:b/>
          <w:bCs/>
          <w:spacing w:val="-4"/>
          <w:sz w:val="24"/>
          <w:szCs w:val="24"/>
          <w:highlight w:val="none"/>
        </w:rPr>
        <w:t>27.2</w:t>
      </w:r>
      <w:r>
        <w:rPr>
          <w:spacing w:val="-40"/>
          <w:sz w:val="24"/>
          <w:szCs w:val="24"/>
          <w:highlight w:val="none"/>
        </w:rPr>
        <w:t xml:space="preserve"> </w:t>
      </w:r>
      <w:r>
        <w:rPr>
          <w:spacing w:val="-4"/>
          <w:sz w:val="24"/>
          <w:szCs w:val="24"/>
          <w:highlight w:val="none"/>
        </w:rPr>
        <w:t>按上述修正错误的原则及方法调整或修正电子化投标文件的投标报价，投标供</w:t>
      </w:r>
      <w:r>
        <w:rPr>
          <w:spacing w:val="-2"/>
          <w:sz w:val="24"/>
          <w:szCs w:val="24"/>
          <w:highlight w:val="none"/>
        </w:rPr>
        <w:t>应商同意后，调整后的投标报价对投标供应商起约束作用。</w:t>
      </w:r>
    </w:p>
    <w:p w14:paraId="2E948798">
      <w:pPr>
        <w:pStyle w:val="4"/>
        <w:spacing w:line="219" w:lineRule="auto"/>
        <w:ind w:left="483"/>
        <w:rPr>
          <w:sz w:val="24"/>
          <w:szCs w:val="24"/>
          <w:highlight w:val="none"/>
        </w:rPr>
      </w:pPr>
      <w:r>
        <w:rPr>
          <w:b/>
          <w:bCs/>
          <w:spacing w:val="-3"/>
          <w:sz w:val="24"/>
          <w:szCs w:val="24"/>
          <w:highlight w:val="none"/>
        </w:rPr>
        <w:t>28.电子化投标文件的评审、比较和否决</w:t>
      </w:r>
    </w:p>
    <w:p w14:paraId="17D50747">
      <w:pPr>
        <w:pStyle w:val="4"/>
        <w:spacing w:before="146" w:line="330" w:lineRule="auto"/>
        <w:ind w:left="3" w:right="59" w:firstLine="480"/>
        <w:rPr>
          <w:sz w:val="24"/>
          <w:szCs w:val="24"/>
          <w:highlight w:val="none"/>
        </w:rPr>
      </w:pPr>
      <w:r>
        <w:rPr>
          <w:b/>
          <w:bCs/>
          <w:spacing w:val="-4"/>
          <w:sz w:val="24"/>
          <w:szCs w:val="24"/>
          <w:highlight w:val="none"/>
        </w:rPr>
        <w:t>28.1</w:t>
      </w:r>
      <w:r>
        <w:rPr>
          <w:spacing w:val="-40"/>
          <w:sz w:val="24"/>
          <w:szCs w:val="24"/>
          <w:highlight w:val="none"/>
        </w:rPr>
        <w:t xml:space="preserve"> </w:t>
      </w:r>
      <w:r>
        <w:rPr>
          <w:spacing w:val="-4"/>
          <w:sz w:val="24"/>
          <w:szCs w:val="24"/>
          <w:highlight w:val="none"/>
        </w:rPr>
        <w:t>评标委员会将按照招标文件的规定，仅对在实质上响应招标文件要求的电子化投标文件进行评估和比较。</w:t>
      </w:r>
    </w:p>
    <w:p w14:paraId="452D284F">
      <w:pPr>
        <w:pStyle w:val="4"/>
        <w:spacing w:line="331" w:lineRule="auto"/>
        <w:ind w:left="1" w:right="61" w:firstLine="481"/>
        <w:rPr>
          <w:sz w:val="24"/>
          <w:szCs w:val="24"/>
          <w:highlight w:val="none"/>
        </w:rPr>
      </w:pPr>
      <w:r>
        <w:rPr>
          <w:b/>
          <w:bCs/>
          <w:spacing w:val="-4"/>
          <w:sz w:val="24"/>
          <w:szCs w:val="24"/>
          <w:highlight w:val="none"/>
        </w:rPr>
        <w:t>28.2</w:t>
      </w:r>
      <w:r>
        <w:rPr>
          <w:spacing w:val="-42"/>
          <w:sz w:val="24"/>
          <w:szCs w:val="24"/>
          <w:highlight w:val="none"/>
        </w:rPr>
        <w:t xml:space="preserve"> </w:t>
      </w:r>
      <w:r>
        <w:rPr>
          <w:spacing w:val="-4"/>
          <w:sz w:val="24"/>
          <w:szCs w:val="24"/>
          <w:highlight w:val="none"/>
        </w:rPr>
        <w:t>根据相关法律法规及有关招投标文件规定，结合本项目具体情况，制定本次招</w:t>
      </w:r>
      <w:r>
        <w:rPr>
          <w:spacing w:val="-2"/>
          <w:sz w:val="24"/>
          <w:szCs w:val="24"/>
          <w:highlight w:val="none"/>
        </w:rPr>
        <w:t>标评标办法。并按照“公平、公正、科学、择优”的原则进行评标。采用综合评分法进</w:t>
      </w:r>
      <w:r>
        <w:rPr>
          <w:spacing w:val="-9"/>
          <w:sz w:val="24"/>
          <w:szCs w:val="24"/>
          <w:highlight w:val="none"/>
        </w:rPr>
        <w:t>行评比。</w:t>
      </w:r>
    </w:p>
    <w:p w14:paraId="2B573304">
      <w:pPr>
        <w:pStyle w:val="4"/>
        <w:spacing w:before="2" w:line="330" w:lineRule="auto"/>
        <w:ind w:left="23" w:right="61" w:firstLine="460"/>
        <w:rPr>
          <w:sz w:val="24"/>
          <w:szCs w:val="24"/>
          <w:highlight w:val="none"/>
        </w:rPr>
      </w:pPr>
      <w:r>
        <w:rPr>
          <w:b/>
          <w:bCs/>
          <w:spacing w:val="-4"/>
          <w:sz w:val="24"/>
          <w:szCs w:val="24"/>
          <w:highlight w:val="none"/>
        </w:rPr>
        <w:t>28.3</w:t>
      </w:r>
      <w:r>
        <w:rPr>
          <w:spacing w:val="-42"/>
          <w:sz w:val="24"/>
          <w:szCs w:val="24"/>
          <w:highlight w:val="none"/>
        </w:rPr>
        <w:t xml:space="preserve"> </w:t>
      </w:r>
      <w:r>
        <w:rPr>
          <w:spacing w:val="-4"/>
          <w:sz w:val="24"/>
          <w:szCs w:val="24"/>
          <w:highlight w:val="none"/>
        </w:rPr>
        <w:t>在评审过程中，评标委员会可以以书面形式要求投标供应商就电子化投标文件</w:t>
      </w:r>
      <w:r>
        <w:rPr>
          <w:spacing w:val="-3"/>
          <w:sz w:val="24"/>
          <w:szCs w:val="24"/>
          <w:highlight w:val="none"/>
        </w:rPr>
        <w:t>中含义不明确的内容进行书面说明并提供相关材料。</w:t>
      </w:r>
    </w:p>
    <w:p w14:paraId="78B6A2E1">
      <w:pPr>
        <w:pStyle w:val="4"/>
        <w:spacing w:before="1" w:line="330" w:lineRule="auto"/>
        <w:ind w:left="24" w:right="61" w:firstLine="459"/>
        <w:rPr>
          <w:sz w:val="24"/>
          <w:szCs w:val="24"/>
          <w:highlight w:val="none"/>
        </w:rPr>
      </w:pPr>
      <w:r>
        <w:rPr>
          <w:b/>
          <w:bCs/>
          <w:spacing w:val="1"/>
          <w:sz w:val="24"/>
          <w:szCs w:val="24"/>
          <w:highlight w:val="none"/>
        </w:rPr>
        <w:t>28.4</w:t>
      </w:r>
      <w:r>
        <w:rPr>
          <w:spacing w:val="1"/>
          <w:sz w:val="24"/>
          <w:szCs w:val="24"/>
          <w:highlight w:val="none"/>
        </w:rPr>
        <w:t xml:space="preserve"> 评标时，投标报价是评标的重要依据，但不是唯一依据，采购人不承诺将合</w:t>
      </w:r>
      <w:r>
        <w:rPr>
          <w:spacing w:val="-4"/>
          <w:sz w:val="24"/>
          <w:szCs w:val="24"/>
          <w:highlight w:val="none"/>
        </w:rPr>
        <w:t>同授予报价最低或最高的投标供应商。</w:t>
      </w:r>
    </w:p>
    <w:p w14:paraId="02150806">
      <w:pPr>
        <w:pStyle w:val="4"/>
        <w:spacing w:before="5" w:line="330" w:lineRule="auto"/>
        <w:ind w:left="1" w:right="59" w:firstLine="481"/>
        <w:rPr>
          <w:sz w:val="24"/>
          <w:szCs w:val="24"/>
          <w:highlight w:val="none"/>
        </w:rPr>
      </w:pPr>
      <w:r>
        <w:rPr>
          <w:b/>
          <w:bCs/>
          <w:spacing w:val="1"/>
          <w:sz w:val="24"/>
          <w:szCs w:val="24"/>
          <w:highlight w:val="none"/>
        </w:rPr>
        <w:t>28.5</w:t>
      </w:r>
      <w:r>
        <w:rPr>
          <w:spacing w:val="1"/>
          <w:sz w:val="24"/>
          <w:szCs w:val="24"/>
          <w:highlight w:val="none"/>
        </w:rPr>
        <w:t xml:space="preserve"> 评标委员会认为投标供应商的报价明显低于其他通过符合性审查投标供应商</w:t>
      </w:r>
      <w:r>
        <w:rPr>
          <w:spacing w:val="-2"/>
          <w:sz w:val="24"/>
          <w:szCs w:val="24"/>
          <w:highlight w:val="none"/>
        </w:rPr>
        <w:t>的报价，有可能影响产品质量或者不能诚信履约的，应当要求其在评标现场合理的时间内提供书面说明，必要时提交相关证明材料；投标供应商不能证明其报价合理性的，评</w:t>
      </w:r>
      <w:r>
        <w:rPr>
          <w:spacing w:val="-3"/>
          <w:sz w:val="24"/>
          <w:szCs w:val="24"/>
          <w:highlight w:val="none"/>
        </w:rPr>
        <w:t>标委员会应当将其作为无效投标处理。</w:t>
      </w:r>
    </w:p>
    <w:p w14:paraId="5CC775C0">
      <w:pPr>
        <w:pStyle w:val="4"/>
        <w:spacing w:before="2" w:line="331" w:lineRule="auto"/>
        <w:ind w:left="27" w:right="61" w:firstLine="396"/>
        <w:outlineLvl w:val="0"/>
        <w:rPr>
          <w:sz w:val="24"/>
          <w:szCs w:val="24"/>
          <w:highlight w:val="none"/>
        </w:rPr>
      </w:pPr>
      <w:r>
        <w:rPr>
          <w:b/>
          <w:bCs/>
          <w:spacing w:val="-3"/>
          <w:sz w:val="24"/>
          <w:szCs w:val="24"/>
          <w:highlight w:val="none"/>
        </w:rPr>
        <w:t>28.6</w:t>
      </w:r>
      <w:r>
        <w:rPr>
          <w:spacing w:val="-3"/>
          <w:sz w:val="24"/>
          <w:szCs w:val="24"/>
          <w:highlight w:val="none"/>
        </w:rPr>
        <w:t xml:space="preserve"> 评标委员会依据本须知规定的评标标准</w:t>
      </w:r>
      <w:r>
        <w:rPr>
          <w:spacing w:val="-4"/>
          <w:sz w:val="24"/>
          <w:szCs w:val="24"/>
          <w:highlight w:val="none"/>
        </w:rPr>
        <w:t>和方法，对电子化投标文件进行评审和</w:t>
      </w:r>
      <w:r>
        <w:rPr>
          <w:spacing w:val="-2"/>
          <w:sz w:val="24"/>
          <w:szCs w:val="24"/>
          <w:highlight w:val="none"/>
        </w:rPr>
        <w:t>比较，向采购人提供书面评标报告，并按顺序推荐中标候选人数3名。</w:t>
      </w:r>
    </w:p>
    <w:p w14:paraId="5B2F4C18">
      <w:pPr>
        <w:spacing w:line="331" w:lineRule="auto"/>
        <w:rPr>
          <w:sz w:val="24"/>
          <w:szCs w:val="24"/>
          <w:highlight w:val="none"/>
        </w:rPr>
        <w:sectPr>
          <w:footerReference r:id="rId19" w:type="default"/>
          <w:pgSz w:w="11907" w:h="16839"/>
          <w:pgMar w:top="1431" w:right="1356" w:bottom="1159" w:left="1427" w:header="0" w:footer="957" w:gutter="0"/>
          <w:cols w:space="720" w:num="1"/>
        </w:sectPr>
      </w:pPr>
    </w:p>
    <w:p w14:paraId="7FA59ACE">
      <w:pPr>
        <w:pStyle w:val="4"/>
        <w:spacing w:before="149" w:line="311" w:lineRule="auto"/>
        <w:ind w:left="1" w:right="64" w:firstLine="484"/>
        <w:jc w:val="both"/>
        <w:rPr>
          <w:sz w:val="24"/>
          <w:szCs w:val="24"/>
          <w:highlight w:val="none"/>
        </w:rPr>
      </w:pPr>
      <w:r>
        <w:rPr>
          <w:b/>
          <w:bCs/>
          <w:spacing w:val="-6"/>
          <w:sz w:val="24"/>
          <w:szCs w:val="24"/>
          <w:highlight w:val="none"/>
        </w:rPr>
        <w:t>28.7</w:t>
      </w:r>
      <w:r>
        <w:rPr>
          <w:spacing w:val="-47"/>
          <w:sz w:val="24"/>
          <w:szCs w:val="24"/>
          <w:highlight w:val="none"/>
        </w:rPr>
        <w:t xml:space="preserve"> </w:t>
      </w:r>
      <w:r>
        <w:rPr>
          <w:spacing w:val="-6"/>
          <w:sz w:val="24"/>
          <w:szCs w:val="24"/>
          <w:highlight w:val="none"/>
        </w:rPr>
        <w:t>本项目采用综合评分法，按评审后得分由高到低顺序排列</w:t>
      </w:r>
      <w:r>
        <w:rPr>
          <w:spacing w:val="-7"/>
          <w:sz w:val="24"/>
          <w:szCs w:val="24"/>
          <w:highlight w:val="none"/>
        </w:rPr>
        <w:t>。得分相同的，</w:t>
      </w:r>
      <w:r>
        <w:rPr>
          <w:spacing w:val="-30"/>
          <w:sz w:val="24"/>
          <w:szCs w:val="24"/>
          <w:highlight w:val="none"/>
        </w:rPr>
        <w:t xml:space="preserve"> </w:t>
      </w:r>
      <w:r>
        <w:rPr>
          <w:spacing w:val="-7"/>
          <w:sz w:val="24"/>
          <w:szCs w:val="24"/>
          <w:highlight w:val="none"/>
        </w:rPr>
        <w:t>按投</w:t>
      </w:r>
      <w:r>
        <w:rPr>
          <w:spacing w:val="-5"/>
          <w:sz w:val="24"/>
          <w:szCs w:val="24"/>
          <w:highlight w:val="none"/>
        </w:rPr>
        <w:t>标报价由低到高的顺序排列。得分且投标报价相同的， 按技术标得分由高到低的顺序排</w:t>
      </w:r>
      <w:r>
        <w:rPr>
          <w:spacing w:val="-6"/>
          <w:sz w:val="24"/>
          <w:szCs w:val="24"/>
          <w:highlight w:val="none"/>
        </w:rPr>
        <w:t>列。技术指标仍相同的，</w:t>
      </w:r>
      <w:r>
        <w:rPr>
          <w:spacing w:val="53"/>
          <w:sz w:val="24"/>
          <w:szCs w:val="24"/>
          <w:highlight w:val="none"/>
        </w:rPr>
        <w:t xml:space="preserve"> </w:t>
      </w:r>
      <w:r>
        <w:rPr>
          <w:spacing w:val="-6"/>
          <w:sz w:val="24"/>
          <w:szCs w:val="24"/>
          <w:highlight w:val="none"/>
        </w:rPr>
        <w:t>按综合标由高到低的顺序排列，以上各项都相同的</w:t>
      </w:r>
      <w:r>
        <w:rPr>
          <w:spacing w:val="-7"/>
          <w:sz w:val="24"/>
          <w:szCs w:val="24"/>
          <w:highlight w:val="none"/>
        </w:rPr>
        <w:t>，由评标委</w:t>
      </w:r>
      <w:r>
        <w:rPr>
          <w:spacing w:val="-3"/>
          <w:sz w:val="24"/>
          <w:szCs w:val="24"/>
          <w:highlight w:val="none"/>
        </w:rPr>
        <w:t>员会确定排名第一的为中标候选人。</w:t>
      </w:r>
    </w:p>
    <w:p w14:paraId="4ED9CFCF">
      <w:pPr>
        <w:pStyle w:val="4"/>
        <w:spacing w:before="1" w:line="220" w:lineRule="auto"/>
        <w:ind w:left="3664"/>
        <w:outlineLvl w:val="0"/>
        <w:rPr>
          <w:sz w:val="36"/>
          <w:szCs w:val="36"/>
          <w:highlight w:val="none"/>
        </w:rPr>
      </w:pPr>
      <w:bookmarkStart w:id="4" w:name="bookmark19"/>
      <w:bookmarkEnd w:id="4"/>
      <w:r>
        <w:rPr>
          <w:b/>
          <w:bCs/>
          <w:spacing w:val="-5"/>
          <w:sz w:val="36"/>
          <w:szCs w:val="36"/>
          <w:highlight w:val="none"/>
        </w:rPr>
        <w:t>七、授予合同</w:t>
      </w:r>
    </w:p>
    <w:p w14:paraId="7F6185C6">
      <w:pPr>
        <w:pStyle w:val="4"/>
        <w:spacing w:before="102" w:line="220" w:lineRule="auto"/>
        <w:ind w:left="423"/>
        <w:outlineLvl w:val="0"/>
        <w:rPr>
          <w:sz w:val="24"/>
          <w:szCs w:val="24"/>
          <w:highlight w:val="none"/>
        </w:rPr>
      </w:pPr>
      <w:r>
        <w:rPr>
          <w:b/>
          <w:bCs/>
          <w:spacing w:val="-3"/>
          <w:sz w:val="24"/>
          <w:szCs w:val="24"/>
          <w:highlight w:val="none"/>
        </w:rPr>
        <w:t>29.合同授予标准</w:t>
      </w:r>
    </w:p>
    <w:p w14:paraId="56ACF020">
      <w:pPr>
        <w:pStyle w:val="4"/>
        <w:spacing w:before="143" w:line="219" w:lineRule="auto"/>
        <w:ind w:left="423"/>
        <w:outlineLvl w:val="0"/>
        <w:rPr>
          <w:sz w:val="24"/>
          <w:szCs w:val="24"/>
          <w:highlight w:val="none"/>
        </w:rPr>
      </w:pPr>
      <w:r>
        <w:rPr>
          <w:b/>
          <w:bCs/>
          <w:spacing w:val="-2"/>
          <w:sz w:val="24"/>
          <w:szCs w:val="24"/>
          <w:highlight w:val="none"/>
        </w:rPr>
        <w:t>29.1</w:t>
      </w:r>
      <w:r>
        <w:rPr>
          <w:spacing w:val="-2"/>
          <w:sz w:val="24"/>
          <w:szCs w:val="24"/>
          <w:highlight w:val="none"/>
        </w:rPr>
        <w:t xml:space="preserve"> 本招标项目的合同将授予按本评标办法确定的中标供应商。</w:t>
      </w:r>
    </w:p>
    <w:p w14:paraId="7A31E6E8">
      <w:pPr>
        <w:pStyle w:val="4"/>
        <w:spacing w:before="145" w:line="331" w:lineRule="auto"/>
        <w:ind w:right="64" w:firstLine="423"/>
        <w:outlineLvl w:val="0"/>
        <w:rPr>
          <w:sz w:val="24"/>
          <w:szCs w:val="24"/>
          <w:highlight w:val="none"/>
        </w:rPr>
      </w:pPr>
      <w:r>
        <w:rPr>
          <w:b/>
          <w:bCs/>
          <w:spacing w:val="-3"/>
          <w:sz w:val="24"/>
          <w:szCs w:val="24"/>
          <w:highlight w:val="none"/>
        </w:rPr>
        <w:t>29.2</w:t>
      </w:r>
      <w:r>
        <w:rPr>
          <w:spacing w:val="-3"/>
          <w:sz w:val="24"/>
          <w:szCs w:val="24"/>
          <w:highlight w:val="none"/>
        </w:rPr>
        <w:t xml:space="preserve"> 评标委员会经采购人授权，确定排名第</w:t>
      </w:r>
      <w:r>
        <w:rPr>
          <w:spacing w:val="-4"/>
          <w:sz w:val="24"/>
          <w:szCs w:val="24"/>
          <w:highlight w:val="none"/>
        </w:rPr>
        <w:t>一的中标候选供应商为中标供应商。当</w:t>
      </w:r>
      <w:r>
        <w:rPr>
          <w:spacing w:val="-2"/>
          <w:sz w:val="24"/>
          <w:szCs w:val="24"/>
          <w:highlight w:val="none"/>
        </w:rPr>
        <w:t>确定中标供应商放弃中标或因不可抗力提出不能履行合同的，采购人可以按照评审报告推荐的中标候选供应商名单，确定下一中标候选供应商为中标供应商，也可以重新开展</w:t>
      </w:r>
      <w:r>
        <w:rPr>
          <w:spacing w:val="-6"/>
          <w:sz w:val="24"/>
          <w:szCs w:val="24"/>
          <w:highlight w:val="none"/>
        </w:rPr>
        <w:t>政府采购活动。</w:t>
      </w:r>
    </w:p>
    <w:p w14:paraId="187253BD">
      <w:pPr>
        <w:pStyle w:val="4"/>
        <w:spacing w:line="224" w:lineRule="auto"/>
        <w:ind w:left="425"/>
        <w:outlineLvl w:val="0"/>
        <w:rPr>
          <w:sz w:val="24"/>
          <w:szCs w:val="24"/>
          <w:highlight w:val="none"/>
        </w:rPr>
      </w:pPr>
      <w:r>
        <w:rPr>
          <w:b/>
          <w:bCs/>
          <w:spacing w:val="-5"/>
          <w:sz w:val="24"/>
          <w:szCs w:val="24"/>
          <w:highlight w:val="none"/>
        </w:rPr>
        <w:t>30./。</w:t>
      </w:r>
    </w:p>
    <w:p w14:paraId="5F71F999">
      <w:pPr>
        <w:pStyle w:val="4"/>
        <w:spacing w:before="137" w:line="219" w:lineRule="auto"/>
        <w:ind w:left="425"/>
        <w:outlineLvl w:val="0"/>
        <w:rPr>
          <w:sz w:val="24"/>
          <w:szCs w:val="24"/>
          <w:highlight w:val="none"/>
        </w:rPr>
      </w:pPr>
      <w:r>
        <w:rPr>
          <w:b/>
          <w:bCs/>
          <w:spacing w:val="-3"/>
          <w:sz w:val="24"/>
          <w:szCs w:val="24"/>
          <w:highlight w:val="none"/>
        </w:rPr>
        <w:t>31.采购人拒绝投标的权利</w:t>
      </w:r>
    </w:p>
    <w:p w14:paraId="36CD041B">
      <w:pPr>
        <w:pStyle w:val="4"/>
        <w:spacing w:before="145" w:line="218" w:lineRule="auto"/>
        <w:ind w:left="425"/>
        <w:outlineLvl w:val="0"/>
        <w:rPr>
          <w:sz w:val="24"/>
          <w:szCs w:val="24"/>
          <w:highlight w:val="none"/>
        </w:rPr>
      </w:pPr>
      <w:r>
        <w:rPr>
          <w:b/>
          <w:bCs/>
          <w:spacing w:val="-2"/>
          <w:sz w:val="24"/>
          <w:szCs w:val="24"/>
          <w:highlight w:val="none"/>
        </w:rPr>
        <w:t>31.1</w:t>
      </w:r>
      <w:r>
        <w:rPr>
          <w:spacing w:val="-2"/>
          <w:sz w:val="24"/>
          <w:szCs w:val="24"/>
          <w:highlight w:val="none"/>
        </w:rPr>
        <w:t xml:space="preserve"> 采购人不承诺将合同授予报价最低的或最高的中标候选供应商。</w:t>
      </w:r>
    </w:p>
    <w:p w14:paraId="114783C9">
      <w:pPr>
        <w:pStyle w:val="4"/>
        <w:spacing w:before="147" w:line="220" w:lineRule="auto"/>
        <w:ind w:left="430"/>
        <w:rPr>
          <w:sz w:val="24"/>
          <w:szCs w:val="24"/>
          <w:highlight w:val="none"/>
        </w:rPr>
      </w:pPr>
      <w:r>
        <w:rPr>
          <w:b/>
          <w:bCs/>
          <w:spacing w:val="-4"/>
          <w:sz w:val="24"/>
          <w:szCs w:val="24"/>
          <w:highlight w:val="none"/>
        </w:rPr>
        <w:t>32、中标通知</w:t>
      </w:r>
    </w:p>
    <w:p w14:paraId="2F27A5EE">
      <w:pPr>
        <w:pStyle w:val="4"/>
        <w:spacing w:before="144" w:line="331" w:lineRule="auto"/>
        <w:ind w:left="6" w:firstLine="423"/>
        <w:rPr>
          <w:sz w:val="24"/>
          <w:szCs w:val="24"/>
          <w:highlight w:val="none"/>
        </w:rPr>
      </w:pPr>
      <w:r>
        <w:rPr>
          <w:b/>
          <w:bCs/>
          <w:spacing w:val="-3"/>
          <w:sz w:val="24"/>
          <w:szCs w:val="24"/>
          <w:highlight w:val="none"/>
        </w:rPr>
        <w:t>32.1</w:t>
      </w:r>
      <w:r>
        <w:rPr>
          <w:spacing w:val="43"/>
          <w:sz w:val="24"/>
          <w:szCs w:val="24"/>
          <w:highlight w:val="none"/>
        </w:rPr>
        <w:t xml:space="preserve"> </w:t>
      </w:r>
      <w:r>
        <w:rPr>
          <w:spacing w:val="-3"/>
          <w:sz w:val="24"/>
          <w:szCs w:val="24"/>
          <w:highlight w:val="none"/>
        </w:rPr>
        <w:t>中标供应商确定后，采购人将于15日内向有关部门提交招标情况的书面报告，并在发布本项目招标公告的媒介上发布中标公告。</w:t>
      </w:r>
    </w:p>
    <w:p w14:paraId="594142C4">
      <w:pPr>
        <w:pStyle w:val="4"/>
        <w:spacing w:before="2" w:line="218" w:lineRule="auto"/>
        <w:ind w:left="430"/>
        <w:rPr>
          <w:sz w:val="24"/>
          <w:szCs w:val="24"/>
          <w:highlight w:val="none"/>
        </w:rPr>
      </w:pPr>
      <w:r>
        <w:rPr>
          <w:b/>
          <w:bCs/>
          <w:spacing w:val="-5"/>
          <w:sz w:val="24"/>
          <w:szCs w:val="24"/>
          <w:highlight w:val="none"/>
        </w:rPr>
        <w:t>32.2</w:t>
      </w:r>
      <w:r>
        <w:rPr>
          <w:spacing w:val="39"/>
          <w:sz w:val="24"/>
          <w:szCs w:val="24"/>
          <w:highlight w:val="none"/>
        </w:rPr>
        <w:t xml:space="preserve"> </w:t>
      </w:r>
      <w:r>
        <w:rPr>
          <w:spacing w:val="-5"/>
          <w:sz w:val="24"/>
          <w:szCs w:val="24"/>
          <w:highlight w:val="none"/>
        </w:rPr>
        <w:t>中标通知书是合同的组成部分。</w:t>
      </w:r>
    </w:p>
    <w:p w14:paraId="106849A0">
      <w:pPr>
        <w:pStyle w:val="4"/>
        <w:spacing w:before="146" w:line="330" w:lineRule="auto"/>
        <w:ind w:left="8" w:right="65" w:firstLine="422"/>
        <w:rPr>
          <w:sz w:val="24"/>
          <w:szCs w:val="24"/>
          <w:highlight w:val="none"/>
        </w:rPr>
      </w:pPr>
      <w:r>
        <w:rPr>
          <w:b/>
          <w:bCs/>
          <w:spacing w:val="-4"/>
          <w:sz w:val="24"/>
          <w:szCs w:val="24"/>
          <w:highlight w:val="none"/>
        </w:rPr>
        <w:t>32.3</w:t>
      </w:r>
      <w:r>
        <w:rPr>
          <w:spacing w:val="-4"/>
          <w:sz w:val="24"/>
          <w:szCs w:val="24"/>
          <w:highlight w:val="none"/>
        </w:rPr>
        <w:t xml:space="preserve"> 对未中标的投标供应商，不做任何未中标原因的解释。所有电子化投标文件不</w:t>
      </w:r>
      <w:r>
        <w:rPr>
          <w:spacing w:val="-10"/>
          <w:sz w:val="24"/>
          <w:szCs w:val="24"/>
          <w:highlight w:val="none"/>
        </w:rPr>
        <w:t>予退还。</w:t>
      </w:r>
    </w:p>
    <w:p w14:paraId="2945DD3A">
      <w:pPr>
        <w:pStyle w:val="4"/>
        <w:spacing w:before="1" w:line="218" w:lineRule="auto"/>
        <w:ind w:left="430"/>
        <w:rPr>
          <w:sz w:val="24"/>
          <w:szCs w:val="24"/>
          <w:highlight w:val="none"/>
        </w:rPr>
      </w:pPr>
      <w:r>
        <w:rPr>
          <w:b/>
          <w:bCs/>
          <w:spacing w:val="-3"/>
          <w:sz w:val="24"/>
          <w:szCs w:val="24"/>
          <w:highlight w:val="none"/>
        </w:rPr>
        <w:t>33.合同协议书的签署</w:t>
      </w:r>
    </w:p>
    <w:p w14:paraId="3929E7E0">
      <w:pPr>
        <w:pStyle w:val="4"/>
        <w:spacing w:before="149" w:line="330" w:lineRule="auto"/>
        <w:ind w:right="63" w:firstLine="432"/>
        <w:rPr>
          <w:sz w:val="24"/>
          <w:szCs w:val="24"/>
          <w:highlight w:val="none"/>
        </w:rPr>
      </w:pPr>
      <w:r>
        <w:rPr>
          <w:b/>
          <w:bCs/>
          <w:sz w:val="24"/>
          <w:szCs w:val="24"/>
          <w:highlight w:val="none"/>
        </w:rPr>
        <w:t>33.1</w:t>
      </w:r>
      <w:r>
        <w:rPr>
          <w:sz w:val="24"/>
          <w:szCs w:val="24"/>
          <w:highlight w:val="none"/>
        </w:rPr>
        <w:t xml:space="preserve"> 采购人与中标供应商将于中标通</w:t>
      </w:r>
      <w:r>
        <w:rPr>
          <w:spacing w:val="-1"/>
          <w:sz w:val="24"/>
          <w:szCs w:val="24"/>
          <w:highlight w:val="none"/>
        </w:rPr>
        <w:t>知书发出之日起2个工作日内，按照招标文件</w:t>
      </w:r>
      <w:r>
        <w:rPr>
          <w:spacing w:val="-2"/>
          <w:sz w:val="24"/>
          <w:szCs w:val="24"/>
          <w:highlight w:val="none"/>
        </w:rPr>
        <w:t>及中标供应商的电子化投标文件订立书面承包合同，采购人和中标供应商不得再行订立</w:t>
      </w:r>
      <w:r>
        <w:rPr>
          <w:spacing w:val="-3"/>
          <w:sz w:val="24"/>
          <w:szCs w:val="24"/>
          <w:highlight w:val="none"/>
        </w:rPr>
        <w:t>背离合同实质性内容的其他协议。</w:t>
      </w:r>
    </w:p>
    <w:p w14:paraId="28AB8845">
      <w:pPr>
        <w:pStyle w:val="4"/>
        <w:spacing w:before="2" w:line="332" w:lineRule="auto"/>
        <w:ind w:left="1" w:right="70" w:firstLine="486"/>
        <w:rPr>
          <w:sz w:val="24"/>
          <w:szCs w:val="24"/>
          <w:highlight w:val="none"/>
        </w:rPr>
      </w:pPr>
      <w:r>
        <w:rPr>
          <w:b/>
          <w:bCs/>
          <w:sz w:val="24"/>
          <w:szCs w:val="24"/>
          <w:highlight w:val="none"/>
        </w:rPr>
        <w:t>33.2</w:t>
      </w:r>
      <w:r>
        <w:rPr>
          <w:spacing w:val="38"/>
          <w:sz w:val="24"/>
          <w:szCs w:val="24"/>
          <w:highlight w:val="none"/>
        </w:rPr>
        <w:t xml:space="preserve"> </w:t>
      </w:r>
      <w:r>
        <w:rPr>
          <w:sz w:val="24"/>
          <w:szCs w:val="24"/>
          <w:highlight w:val="none"/>
        </w:rPr>
        <w:t>中标供应商如不按本投标须知的规定与采购人订立合同，则采购人将废除授</w:t>
      </w:r>
      <w:r>
        <w:rPr>
          <w:spacing w:val="-1"/>
          <w:sz w:val="24"/>
          <w:szCs w:val="24"/>
          <w:highlight w:val="none"/>
        </w:rPr>
        <w:t>标，给采购人造成损失的，应当予以赔偿，</w:t>
      </w:r>
      <w:r>
        <w:rPr>
          <w:spacing w:val="-2"/>
          <w:sz w:val="24"/>
          <w:szCs w:val="24"/>
          <w:highlight w:val="none"/>
        </w:rPr>
        <w:t>同时依法承担相应法律责任。</w:t>
      </w:r>
    </w:p>
    <w:p w14:paraId="16A21758">
      <w:pPr>
        <w:pStyle w:val="4"/>
        <w:spacing w:before="12" w:line="220" w:lineRule="auto"/>
        <w:ind w:left="3628"/>
        <w:rPr>
          <w:sz w:val="36"/>
          <w:szCs w:val="36"/>
          <w:highlight w:val="none"/>
        </w:rPr>
      </w:pPr>
      <w:r>
        <w:rPr>
          <w:b/>
          <w:bCs/>
          <w:spacing w:val="-9"/>
          <w:sz w:val="36"/>
          <w:szCs w:val="36"/>
          <w:highlight w:val="none"/>
        </w:rPr>
        <w:t>八、其他</w:t>
      </w:r>
    </w:p>
    <w:p w14:paraId="18EFAD58">
      <w:pPr>
        <w:pStyle w:val="4"/>
        <w:spacing w:before="105" w:line="220" w:lineRule="auto"/>
        <w:ind w:left="488"/>
        <w:rPr>
          <w:sz w:val="24"/>
          <w:szCs w:val="24"/>
          <w:highlight w:val="none"/>
        </w:rPr>
      </w:pPr>
      <w:r>
        <w:rPr>
          <w:b/>
          <w:bCs/>
          <w:spacing w:val="-3"/>
          <w:sz w:val="24"/>
          <w:szCs w:val="24"/>
          <w:highlight w:val="none"/>
        </w:rPr>
        <w:t>34.</w:t>
      </w:r>
      <w:r>
        <w:rPr>
          <w:spacing w:val="-3"/>
          <w:sz w:val="24"/>
          <w:szCs w:val="24"/>
          <w:highlight w:val="none"/>
        </w:rPr>
        <w:t>未尽事宜按国家有关规定执行。</w:t>
      </w:r>
    </w:p>
    <w:p w14:paraId="54A8950C">
      <w:pPr>
        <w:pStyle w:val="4"/>
        <w:spacing w:before="144" w:line="219" w:lineRule="auto"/>
        <w:ind w:left="485"/>
        <w:rPr>
          <w:sz w:val="24"/>
          <w:szCs w:val="24"/>
          <w:highlight w:val="none"/>
        </w:rPr>
      </w:pPr>
      <w:r>
        <w:rPr>
          <w:b/>
          <w:bCs/>
          <w:spacing w:val="-3"/>
          <w:sz w:val="24"/>
          <w:szCs w:val="24"/>
          <w:highlight w:val="none"/>
        </w:rPr>
        <w:t>35.</w:t>
      </w:r>
      <w:r>
        <w:rPr>
          <w:spacing w:val="-3"/>
          <w:sz w:val="24"/>
          <w:szCs w:val="24"/>
          <w:highlight w:val="none"/>
        </w:rPr>
        <w:t>本招标文件最终解释权归采购人。</w:t>
      </w:r>
    </w:p>
    <w:p w14:paraId="02C689A4">
      <w:pPr>
        <w:spacing w:line="219" w:lineRule="auto"/>
        <w:rPr>
          <w:sz w:val="24"/>
          <w:szCs w:val="24"/>
          <w:highlight w:val="none"/>
        </w:rPr>
        <w:sectPr>
          <w:footerReference r:id="rId20" w:type="default"/>
          <w:pgSz w:w="11907" w:h="16839"/>
          <w:pgMar w:top="1431" w:right="1350" w:bottom="1159" w:left="1427" w:header="0" w:footer="959" w:gutter="0"/>
          <w:cols w:space="720" w:num="1"/>
        </w:sectPr>
      </w:pPr>
    </w:p>
    <w:p w14:paraId="12187B85">
      <w:pPr>
        <w:pStyle w:val="4"/>
        <w:spacing w:before="141" w:line="219" w:lineRule="auto"/>
        <w:ind w:left="1969"/>
        <w:jc w:val="center"/>
        <w:rPr>
          <w:sz w:val="36"/>
          <w:szCs w:val="36"/>
          <w:highlight w:val="none"/>
        </w:rPr>
      </w:pPr>
      <w:r>
        <w:rPr>
          <w:b/>
          <w:bCs/>
          <w:spacing w:val="-3"/>
          <w:sz w:val="36"/>
          <w:szCs w:val="36"/>
          <w:highlight w:val="none"/>
        </w:rPr>
        <w:t>第三章</w:t>
      </w:r>
      <w:r>
        <w:rPr>
          <w:spacing w:val="-3"/>
          <w:sz w:val="36"/>
          <w:szCs w:val="36"/>
          <w:highlight w:val="none"/>
        </w:rPr>
        <w:t xml:space="preserve">  </w:t>
      </w:r>
      <w:r>
        <w:rPr>
          <w:b/>
          <w:bCs/>
          <w:spacing w:val="-3"/>
          <w:sz w:val="36"/>
          <w:szCs w:val="36"/>
          <w:highlight w:val="none"/>
        </w:rPr>
        <w:t>采购内容及参数要求</w:t>
      </w:r>
    </w:p>
    <w:p w14:paraId="373229E5">
      <w:pPr>
        <w:spacing w:line="454" w:lineRule="auto"/>
        <w:rPr>
          <w:rFonts w:ascii="Arial"/>
          <w:sz w:val="21"/>
          <w:highlight w:val="none"/>
        </w:rPr>
      </w:pPr>
    </w:p>
    <w:p w14:paraId="277B1612">
      <w:pPr>
        <w:jc w:val="left"/>
        <w:rPr>
          <w:rFonts w:hint="default"/>
          <w:b/>
          <w:bCs/>
          <w:sz w:val="36"/>
          <w:szCs w:val="36"/>
          <w:highlight w:val="none"/>
          <w:lang w:val="en-US" w:eastAsia="zh-CN"/>
        </w:rPr>
      </w:pPr>
      <w:r>
        <w:rPr>
          <w:rFonts w:hint="eastAsia"/>
          <w:b/>
          <w:bCs/>
          <w:sz w:val="36"/>
          <w:szCs w:val="36"/>
          <w:highlight w:val="none"/>
          <w:lang w:val="en-US" w:eastAsia="zh-CN"/>
        </w:rPr>
        <w:t>A包：</w:t>
      </w: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701"/>
        <w:gridCol w:w="1050"/>
        <w:gridCol w:w="8748"/>
        <w:gridCol w:w="1169"/>
      </w:tblGrid>
      <w:tr w14:paraId="0862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31" w:type="dxa"/>
            <w:vAlign w:val="center"/>
          </w:tcPr>
          <w:p w14:paraId="6DF44582">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序号</w:t>
            </w:r>
          </w:p>
        </w:tc>
        <w:tc>
          <w:tcPr>
            <w:tcW w:w="1701" w:type="dxa"/>
            <w:vAlign w:val="center"/>
          </w:tcPr>
          <w:p w14:paraId="3A2AB1A0">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名称</w:t>
            </w:r>
          </w:p>
        </w:tc>
        <w:tc>
          <w:tcPr>
            <w:tcW w:w="1050" w:type="dxa"/>
            <w:vAlign w:val="center"/>
          </w:tcPr>
          <w:p w14:paraId="5B326F45">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数量</w:t>
            </w:r>
          </w:p>
        </w:tc>
        <w:tc>
          <w:tcPr>
            <w:tcW w:w="8748" w:type="dxa"/>
            <w:vAlign w:val="center"/>
          </w:tcPr>
          <w:p w14:paraId="4594A139">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通用参数</w:t>
            </w:r>
          </w:p>
        </w:tc>
        <w:tc>
          <w:tcPr>
            <w:tcW w:w="1169" w:type="dxa"/>
            <w:shd w:val="clear" w:color="auto" w:fill="auto"/>
            <w:vAlign w:val="center"/>
          </w:tcPr>
          <w:p w14:paraId="7B961E07">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eastAsia="zh-CN"/>
              </w:rPr>
              <w:t>备注</w:t>
            </w:r>
          </w:p>
        </w:tc>
      </w:tr>
      <w:tr w14:paraId="07BD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5DA6A740">
            <w:pPr>
              <w:widowControl w:val="0"/>
              <w:jc w:val="center"/>
              <w:rPr>
                <w:rFonts w:hint="default" w:eastAsiaTheme="minorEastAsia"/>
                <w:sz w:val="24"/>
                <w:szCs w:val="24"/>
                <w:highlight w:val="none"/>
                <w:vertAlign w:val="baseline"/>
                <w:lang w:val="en-US" w:eastAsia="zh-CN"/>
              </w:rPr>
            </w:pPr>
            <w:r>
              <w:rPr>
                <w:rFonts w:hint="default"/>
                <w:sz w:val="24"/>
                <w:szCs w:val="24"/>
                <w:highlight w:val="none"/>
                <w:vertAlign w:val="baseline"/>
                <w:lang w:val="en-US" w:eastAsia="zh-CN"/>
              </w:rPr>
              <w:t>1</w:t>
            </w:r>
          </w:p>
        </w:tc>
        <w:tc>
          <w:tcPr>
            <w:tcW w:w="1701" w:type="dxa"/>
            <w:vAlign w:val="center"/>
          </w:tcPr>
          <w:p w14:paraId="3540D0BD">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1.5T</w:t>
            </w:r>
            <w:r>
              <w:rPr>
                <w:rFonts w:hint="eastAsia"/>
                <w:sz w:val="24"/>
                <w:szCs w:val="24"/>
                <w:highlight w:val="none"/>
                <w:vertAlign w:val="baseline"/>
                <w:lang w:val="en-US" w:eastAsia="zh-CN"/>
              </w:rPr>
              <w:t>核磁共振</w:t>
            </w:r>
          </w:p>
        </w:tc>
        <w:tc>
          <w:tcPr>
            <w:tcW w:w="1050" w:type="dxa"/>
            <w:vAlign w:val="center"/>
          </w:tcPr>
          <w:p w14:paraId="73784726">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10A813D5">
            <w:pPr>
              <w:widowControl w:val="0"/>
              <w:jc w:val="left"/>
              <w:rPr>
                <w:rFonts w:hint="eastAsia"/>
                <w:b/>
                <w:bCs/>
                <w:sz w:val="21"/>
                <w:szCs w:val="21"/>
                <w:vertAlign w:val="baseline"/>
              </w:rPr>
            </w:pPr>
            <w:r>
              <w:rPr>
                <w:rFonts w:hint="eastAsia"/>
                <w:b/>
                <w:bCs/>
                <w:sz w:val="21"/>
                <w:szCs w:val="21"/>
                <w:vertAlign w:val="baseline"/>
              </w:rPr>
              <w:t>一、核心磁体系统</w:t>
            </w:r>
          </w:p>
          <w:p w14:paraId="562750AD">
            <w:pPr>
              <w:widowControl w:val="0"/>
              <w:jc w:val="left"/>
              <w:rPr>
                <w:rFonts w:hint="eastAsia"/>
                <w:sz w:val="21"/>
                <w:szCs w:val="21"/>
                <w:vertAlign w:val="baseline"/>
              </w:rPr>
            </w:pPr>
            <w:r>
              <w:rPr>
                <w:rFonts w:hint="eastAsia"/>
                <w:sz w:val="21"/>
                <w:szCs w:val="21"/>
                <w:vertAlign w:val="baseline"/>
              </w:rPr>
              <w:t>1. 场强：1.45T - 1.5T（在等中心点测量）。</w:t>
            </w:r>
          </w:p>
          <w:p w14:paraId="5B320F87">
            <w:pPr>
              <w:widowControl w:val="0"/>
              <w:jc w:val="left"/>
              <w:rPr>
                <w:rFonts w:hint="eastAsia"/>
                <w:sz w:val="21"/>
                <w:szCs w:val="21"/>
                <w:vertAlign w:val="baseline"/>
              </w:rPr>
            </w:pPr>
            <w:r>
              <w:rPr>
                <w:rFonts w:hint="eastAsia"/>
                <w:sz w:val="21"/>
                <w:szCs w:val="21"/>
                <w:vertAlign w:val="baseline"/>
              </w:rPr>
              <w:t>2. 磁场均匀性：0.1 ppm（或更优）在一个 40 cm DSV 内。</w:t>
            </w:r>
          </w:p>
          <w:p w14:paraId="1A714470">
            <w:pPr>
              <w:widowControl w:val="0"/>
              <w:jc w:val="left"/>
              <w:rPr>
                <w:rFonts w:hint="eastAsia"/>
                <w:sz w:val="21"/>
                <w:szCs w:val="21"/>
                <w:vertAlign w:val="baseline"/>
              </w:rPr>
            </w:pPr>
            <w:r>
              <w:rPr>
                <w:rFonts w:hint="eastAsia"/>
                <w:sz w:val="21"/>
                <w:szCs w:val="21"/>
                <w:vertAlign w:val="baseline"/>
              </w:rPr>
              <w:t xml:space="preserve">   · 测量球体：40 cm DSV 。</w:t>
            </w:r>
          </w:p>
          <w:p w14:paraId="0BE02A8A">
            <w:pPr>
              <w:widowControl w:val="0"/>
              <w:jc w:val="left"/>
              <w:rPr>
                <w:rFonts w:hint="eastAsia"/>
                <w:sz w:val="21"/>
                <w:szCs w:val="21"/>
                <w:vertAlign w:val="baseline"/>
              </w:rPr>
            </w:pPr>
            <w:r>
              <w:rPr>
                <w:rFonts w:hint="eastAsia"/>
                <w:sz w:val="21"/>
                <w:szCs w:val="21"/>
                <w:vertAlign w:val="baseline"/>
              </w:rPr>
              <w:t>3. 磁场稳定性：≤ 0.1 ppm/小时。</w:t>
            </w:r>
          </w:p>
          <w:p w14:paraId="09C114DF">
            <w:pPr>
              <w:widowControl w:val="0"/>
              <w:jc w:val="left"/>
              <w:rPr>
                <w:rFonts w:hint="eastAsia"/>
                <w:sz w:val="21"/>
                <w:szCs w:val="21"/>
                <w:vertAlign w:val="baseline"/>
              </w:rPr>
            </w:pPr>
            <w:r>
              <w:rPr>
                <w:rFonts w:hint="eastAsia"/>
                <w:sz w:val="21"/>
                <w:szCs w:val="21"/>
                <w:vertAlign w:val="baseline"/>
              </w:rPr>
              <w:t>4. 磁体类型：</w:t>
            </w:r>
          </w:p>
          <w:p w14:paraId="1317565C">
            <w:pPr>
              <w:widowControl w:val="0"/>
              <w:jc w:val="left"/>
              <w:rPr>
                <w:rFonts w:hint="eastAsia"/>
                <w:sz w:val="21"/>
                <w:szCs w:val="21"/>
                <w:vertAlign w:val="baseline"/>
              </w:rPr>
            </w:pPr>
            <w:r>
              <w:rPr>
                <w:rFonts w:hint="eastAsia"/>
                <w:sz w:val="21"/>
                <w:szCs w:val="21"/>
                <w:vertAlign w:val="baseline"/>
              </w:rPr>
              <w:t xml:space="preserve">   · 超导磁体</w:t>
            </w:r>
            <w:r>
              <w:rPr>
                <w:rFonts w:hint="eastAsia"/>
                <w:sz w:val="21"/>
                <w:szCs w:val="21"/>
                <w:vertAlign w:val="baseline"/>
                <w:lang w:eastAsia="zh-CN"/>
              </w:rPr>
              <w:t>，</w:t>
            </w:r>
            <w:r>
              <w:rPr>
                <w:rFonts w:hint="eastAsia"/>
                <w:sz w:val="21"/>
                <w:szCs w:val="21"/>
                <w:vertAlign w:val="baseline"/>
              </w:rPr>
              <w:t>使用液氦冷却线圈至超导状态。</w:t>
            </w:r>
          </w:p>
          <w:p w14:paraId="19D4A538">
            <w:pPr>
              <w:widowControl w:val="0"/>
              <w:jc w:val="left"/>
              <w:rPr>
                <w:rFonts w:hint="eastAsia"/>
                <w:sz w:val="21"/>
                <w:szCs w:val="21"/>
                <w:vertAlign w:val="baseline"/>
              </w:rPr>
            </w:pPr>
            <w:r>
              <w:rPr>
                <w:rFonts w:hint="eastAsia"/>
                <w:sz w:val="21"/>
                <w:szCs w:val="21"/>
                <w:vertAlign w:val="baseline"/>
              </w:rPr>
              <w:t xml:space="preserve">   · 液氦容量：磁体采用低失超技术，“零挥发”</w:t>
            </w:r>
            <w:r>
              <w:rPr>
                <w:rFonts w:hint="eastAsia"/>
                <w:sz w:val="21"/>
                <w:szCs w:val="21"/>
                <w:vertAlign w:val="baseline"/>
                <w:lang w:val="en-US" w:eastAsia="zh-CN"/>
              </w:rPr>
              <w:t>或</w:t>
            </w:r>
            <w:r>
              <w:rPr>
                <w:rFonts w:hint="eastAsia"/>
                <w:sz w:val="21"/>
                <w:szCs w:val="21"/>
                <w:vertAlign w:val="baseline"/>
              </w:rPr>
              <w:t>“7年</w:t>
            </w:r>
            <w:r>
              <w:rPr>
                <w:rFonts w:hint="eastAsia"/>
                <w:sz w:val="21"/>
                <w:szCs w:val="21"/>
                <w:vertAlign w:val="baseline"/>
                <w:lang w:val="en-US" w:eastAsia="zh-CN"/>
              </w:rPr>
              <w:t>内</w:t>
            </w:r>
            <w:r>
              <w:rPr>
                <w:rFonts w:hint="eastAsia"/>
                <w:sz w:val="21"/>
                <w:szCs w:val="21"/>
                <w:vertAlign w:val="baseline"/>
              </w:rPr>
              <w:t>免添加”。</w:t>
            </w:r>
          </w:p>
          <w:p w14:paraId="53234D19">
            <w:pPr>
              <w:widowControl w:val="0"/>
              <w:numPr>
                <w:ilvl w:val="0"/>
                <w:numId w:val="0"/>
              </w:numPr>
              <w:jc w:val="left"/>
              <w:rPr>
                <w:rFonts w:hint="eastAsia"/>
                <w:sz w:val="21"/>
                <w:szCs w:val="21"/>
                <w:vertAlign w:val="baseline"/>
              </w:rPr>
            </w:pPr>
            <w:r>
              <w:rPr>
                <w:rFonts w:hint="eastAsia"/>
                <w:sz w:val="21"/>
                <w:szCs w:val="21"/>
                <w:vertAlign w:val="baseline"/>
                <w:lang w:eastAsia="zh-CN"/>
              </w:rPr>
              <w:t>５</w:t>
            </w:r>
            <w:r>
              <w:rPr>
                <w:rFonts w:hint="eastAsia"/>
                <w:sz w:val="21"/>
                <w:szCs w:val="21"/>
                <w:vertAlign w:val="baseline"/>
                <w:lang w:val="en-US" w:eastAsia="zh-CN"/>
              </w:rPr>
              <w:t>.</w:t>
            </w:r>
            <w:r>
              <w:rPr>
                <w:rFonts w:hint="eastAsia"/>
                <w:sz w:val="21"/>
                <w:szCs w:val="21"/>
                <w:vertAlign w:val="baseline"/>
              </w:rPr>
              <w:t>高斯线范围：在磁体中心向外的 3.5 - 4.5 米处。</w:t>
            </w:r>
          </w:p>
          <w:p w14:paraId="5B246444">
            <w:pPr>
              <w:widowControl w:val="0"/>
              <w:jc w:val="left"/>
              <w:rPr>
                <w:rFonts w:hint="eastAsia"/>
                <w:b/>
                <w:bCs/>
                <w:sz w:val="21"/>
                <w:szCs w:val="21"/>
                <w:vertAlign w:val="baseline"/>
              </w:rPr>
            </w:pPr>
            <w:r>
              <w:rPr>
                <w:rFonts w:hint="eastAsia"/>
                <w:b/>
                <w:bCs/>
                <w:sz w:val="21"/>
                <w:szCs w:val="21"/>
                <w:vertAlign w:val="baseline"/>
              </w:rPr>
              <w:t>二、梯度系统</w:t>
            </w:r>
          </w:p>
          <w:p w14:paraId="76EDFAF8">
            <w:pPr>
              <w:widowControl w:val="0"/>
              <w:jc w:val="left"/>
              <w:rPr>
                <w:rFonts w:hint="eastAsia"/>
                <w:sz w:val="21"/>
                <w:szCs w:val="21"/>
                <w:vertAlign w:val="baseline"/>
              </w:rPr>
            </w:pPr>
            <w:r>
              <w:rPr>
                <w:rFonts w:hint="eastAsia"/>
                <w:sz w:val="21"/>
                <w:szCs w:val="21"/>
                <w:vertAlign w:val="baseline"/>
              </w:rPr>
              <w:t>1. 梯度场强：30 - 45 mT/m。</w:t>
            </w:r>
          </w:p>
          <w:p w14:paraId="5E2CE33B">
            <w:pPr>
              <w:widowControl w:val="0"/>
              <w:jc w:val="left"/>
              <w:rPr>
                <w:rFonts w:hint="eastAsia"/>
                <w:sz w:val="21"/>
                <w:szCs w:val="21"/>
                <w:vertAlign w:val="baseline"/>
              </w:rPr>
            </w:pPr>
            <w:r>
              <w:rPr>
                <w:rFonts w:hint="eastAsia"/>
                <w:sz w:val="21"/>
                <w:szCs w:val="21"/>
                <w:vertAlign w:val="baseline"/>
              </w:rPr>
              <w:t>2. 梯度切换率：100 - 200 mT/m/ms。</w:t>
            </w:r>
          </w:p>
          <w:p w14:paraId="103ED689">
            <w:pPr>
              <w:widowControl w:val="0"/>
              <w:jc w:val="left"/>
              <w:rPr>
                <w:rFonts w:hint="eastAsia"/>
                <w:sz w:val="21"/>
                <w:szCs w:val="21"/>
                <w:vertAlign w:val="baseline"/>
              </w:rPr>
            </w:pPr>
            <w:r>
              <w:rPr>
                <w:rFonts w:hint="eastAsia"/>
                <w:sz w:val="21"/>
                <w:szCs w:val="21"/>
                <w:vertAlign w:val="baseline"/>
              </w:rPr>
              <w:t>3. 梯度工作周期：在不过热的情况下</w:t>
            </w:r>
            <w:r>
              <w:rPr>
                <w:rFonts w:hint="eastAsia"/>
                <w:sz w:val="21"/>
                <w:szCs w:val="21"/>
                <w:vertAlign w:val="baseline"/>
                <w:lang w:eastAsia="zh-CN"/>
              </w:rPr>
              <w:t>可以</w:t>
            </w:r>
            <w:r>
              <w:rPr>
                <w:rFonts w:hint="eastAsia"/>
                <w:sz w:val="21"/>
                <w:szCs w:val="21"/>
                <w:vertAlign w:val="baseline"/>
              </w:rPr>
              <w:t>持续工作</w:t>
            </w:r>
            <w:r>
              <w:rPr>
                <w:rFonts w:hint="eastAsia"/>
                <w:sz w:val="21"/>
                <w:szCs w:val="21"/>
                <w:vertAlign w:val="baseline"/>
                <w:lang w:eastAsia="zh-CN"/>
              </w:rPr>
              <w:t>。</w:t>
            </w:r>
          </w:p>
          <w:p w14:paraId="5C64F4B4">
            <w:pPr>
              <w:widowControl w:val="0"/>
              <w:jc w:val="left"/>
              <w:rPr>
                <w:rFonts w:hint="eastAsia"/>
                <w:b/>
                <w:bCs/>
                <w:sz w:val="21"/>
                <w:szCs w:val="21"/>
                <w:vertAlign w:val="baseline"/>
              </w:rPr>
            </w:pPr>
            <w:r>
              <w:rPr>
                <w:rFonts w:hint="eastAsia"/>
                <w:b/>
                <w:bCs/>
                <w:sz w:val="21"/>
                <w:szCs w:val="21"/>
                <w:vertAlign w:val="baseline"/>
              </w:rPr>
              <w:t>三、射频系统</w:t>
            </w:r>
          </w:p>
          <w:p w14:paraId="08B2CB7F">
            <w:pPr>
              <w:widowControl w:val="0"/>
              <w:jc w:val="left"/>
              <w:rPr>
                <w:rFonts w:hint="eastAsia"/>
                <w:sz w:val="21"/>
                <w:szCs w:val="21"/>
                <w:vertAlign w:val="baseline"/>
              </w:rPr>
            </w:pPr>
            <w:r>
              <w:rPr>
                <w:rFonts w:hint="eastAsia"/>
                <w:sz w:val="21"/>
                <w:szCs w:val="21"/>
                <w:vertAlign w:val="baseline"/>
              </w:rPr>
              <w:t>1. 射频发射通道：双通道发射。</w:t>
            </w:r>
          </w:p>
          <w:p w14:paraId="65DA2AB9">
            <w:pPr>
              <w:widowControl w:val="0"/>
              <w:jc w:val="left"/>
              <w:rPr>
                <w:rFonts w:hint="eastAsia"/>
                <w:sz w:val="21"/>
                <w:szCs w:val="21"/>
                <w:vertAlign w:val="baseline"/>
              </w:rPr>
            </w:pPr>
            <w:r>
              <w:rPr>
                <w:rFonts w:hint="eastAsia"/>
                <w:sz w:val="21"/>
                <w:szCs w:val="21"/>
                <w:vertAlign w:val="baseline"/>
              </w:rPr>
              <w:t>2. 射频接收通道：64通道或更高。</w:t>
            </w:r>
          </w:p>
          <w:p w14:paraId="76D34947">
            <w:pPr>
              <w:widowControl w:val="0"/>
              <w:jc w:val="left"/>
              <w:rPr>
                <w:rFonts w:hint="eastAsia"/>
                <w:sz w:val="21"/>
                <w:szCs w:val="21"/>
                <w:vertAlign w:val="baseline"/>
              </w:rPr>
            </w:pPr>
            <w:r>
              <w:rPr>
                <w:rFonts w:hint="eastAsia"/>
                <w:sz w:val="21"/>
                <w:szCs w:val="21"/>
                <w:vertAlign w:val="baseline"/>
              </w:rPr>
              <w:t>3. 射频放大器功率：15 kW - 35 kW。</w:t>
            </w:r>
          </w:p>
          <w:p w14:paraId="35F1243B">
            <w:pPr>
              <w:widowControl w:val="0"/>
              <w:jc w:val="left"/>
              <w:rPr>
                <w:rFonts w:hint="eastAsia"/>
                <w:b/>
                <w:bCs/>
                <w:sz w:val="21"/>
                <w:szCs w:val="21"/>
                <w:vertAlign w:val="baseline"/>
              </w:rPr>
            </w:pPr>
            <w:r>
              <w:rPr>
                <w:rFonts w:hint="eastAsia"/>
                <w:b/>
                <w:bCs/>
                <w:sz w:val="21"/>
                <w:szCs w:val="21"/>
                <w:vertAlign w:val="baseline"/>
              </w:rPr>
              <w:t>四、计算机与软件系统</w:t>
            </w:r>
          </w:p>
          <w:p w14:paraId="20ADBEB5">
            <w:pPr>
              <w:widowControl w:val="0"/>
              <w:jc w:val="left"/>
              <w:rPr>
                <w:rFonts w:hint="eastAsia"/>
                <w:sz w:val="21"/>
                <w:szCs w:val="21"/>
                <w:vertAlign w:val="baseline"/>
              </w:rPr>
            </w:pPr>
            <w:r>
              <w:rPr>
                <w:rFonts w:hint="eastAsia"/>
                <w:sz w:val="21"/>
                <w:szCs w:val="21"/>
                <w:vertAlign w:val="baseline"/>
              </w:rPr>
              <w:t>1. 计算机平台：</w:t>
            </w:r>
          </w:p>
          <w:p w14:paraId="7EA5AC0C">
            <w:pPr>
              <w:widowControl w:val="0"/>
              <w:jc w:val="left"/>
              <w:rPr>
                <w:rFonts w:hint="eastAsia"/>
                <w:sz w:val="21"/>
                <w:szCs w:val="21"/>
                <w:vertAlign w:val="baseline"/>
              </w:rPr>
            </w:pPr>
            <w:r>
              <w:rPr>
                <w:rFonts w:hint="eastAsia"/>
                <w:sz w:val="21"/>
                <w:szCs w:val="21"/>
                <w:vertAlign w:val="baseline"/>
              </w:rPr>
              <w:t xml:space="preserve">   · 架构：基于标准的工业计算机或工作站，运行定制化的操作系统（如UNIX或Windows嵌入式系统）。</w:t>
            </w:r>
          </w:p>
          <w:p w14:paraId="3E7ACB06">
            <w:pPr>
              <w:widowControl w:val="0"/>
              <w:jc w:val="left"/>
              <w:rPr>
                <w:rFonts w:hint="eastAsia"/>
                <w:sz w:val="21"/>
                <w:szCs w:val="21"/>
                <w:vertAlign w:val="baseline"/>
              </w:rPr>
            </w:pPr>
            <w:r>
              <w:rPr>
                <w:rFonts w:hint="eastAsia"/>
                <w:sz w:val="21"/>
                <w:szCs w:val="21"/>
                <w:vertAlign w:val="baseline"/>
              </w:rPr>
              <w:t xml:space="preserve">   · 重建矩阵：1024 x 1024 或更高。</w:t>
            </w:r>
          </w:p>
          <w:p w14:paraId="60A72B3A">
            <w:pPr>
              <w:widowControl w:val="0"/>
              <w:jc w:val="left"/>
              <w:rPr>
                <w:rFonts w:hint="eastAsia"/>
                <w:sz w:val="21"/>
                <w:szCs w:val="21"/>
                <w:vertAlign w:val="baseline"/>
              </w:rPr>
            </w:pPr>
            <w:r>
              <w:rPr>
                <w:rFonts w:hint="eastAsia"/>
                <w:sz w:val="21"/>
                <w:szCs w:val="21"/>
                <w:vertAlign w:val="baseline"/>
              </w:rPr>
              <w:t xml:space="preserve">   · 重建速度：实时或近实时重建，支持在线迭代重建、压缩感知等高级技术。</w:t>
            </w:r>
          </w:p>
          <w:p w14:paraId="085D5446">
            <w:pPr>
              <w:widowControl w:val="0"/>
              <w:jc w:val="left"/>
              <w:rPr>
                <w:rFonts w:hint="eastAsia"/>
                <w:sz w:val="21"/>
                <w:szCs w:val="21"/>
                <w:vertAlign w:val="baseline"/>
              </w:rPr>
            </w:pPr>
            <w:r>
              <w:rPr>
                <w:rFonts w:hint="eastAsia"/>
                <w:sz w:val="21"/>
                <w:szCs w:val="21"/>
                <w:vertAlign w:val="baseline"/>
              </w:rPr>
              <w:t>2. 软件功能包：</w:t>
            </w:r>
          </w:p>
          <w:p w14:paraId="7C8A44E9">
            <w:pPr>
              <w:widowControl w:val="0"/>
              <w:jc w:val="left"/>
              <w:rPr>
                <w:rFonts w:hint="eastAsia"/>
                <w:sz w:val="21"/>
                <w:szCs w:val="21"/>
                <w:vertAlign w:val="baseline"/>
              </w:rPr>
            </w:pPr>
            <w:r>
              <w:rPr>
                <w:rFonts w:hint="eastAsia"/>
                <w:sz w:val="21"/>
                <w:szCs w:val="21"/>
                <w:vertAlign w:val="baseline"/>
              </w:rPr>
              <w:t xml:space="preserve"> · 基础临床应用：神经、体部、骨关节、心血管、脊柱等。</w:t>
            </w:r>
          </w:p>
          <w:p w14:paraId="121F53E5">
            <w:pPr>
              <w:widowControl w:val="0"/>
              <w:jc w:val="left"/>
              <w:rPr>
                <w:rFonts w:hint="eastAsia"/>
                <w:sz w:val="21"/>
                <w:szCs w:val="21"/>
                <w:vertAlign w:val="baseline"/>
              </w:rPr>
            </w:pPr>
            <w:r>
              <w:rPr>
                <w:rFonts w:hint="eastAsia"/>
                <w:sz w:val="21"/>
                <w:szCs w:val="21"/>
                <w:vertAlign w:val="baseline"/>
              </w:rPr>
              <w:t xml:space="preserve">   · 高级应用：</w:t>
            </w:r>
          </w:p>
          <w:p w14:paraId="5DFD0997">
            <w:pPr>
              <w:widowControl w:val="0"/>
              <w:jc w:val="left"/>
              <w:rPr>
                <w:rFonts w:hint="eastAsia"/>
                <w:sz w:val="21"/>
                <w:szCs w:val="21"/>
                <w:vertAlign w:val="baseline"/>
              </w:rPr>
            </w:pPr>
            <w:r>
              <w:rPr>
                <w:rFonts w:hint="eastAsia"/>
                <w:sz w:val="21"/>
                <w:szCs w:val="21"/>
                <w:vertAlign w:val="baseline"/>
              </w:rPr>
              <w:t xml:space="preserve">     · 弥散加权成像</w:t>
            </w:r>
            <w:r>
              <w:rPr>
                <w:rFonts w:hint="eastAsia"/>
                <w:sz w:val="21"/>
                <w:szCs w:val="21"/>
                <w:vertAlign w:val="baseline"/>
                <w:lang w:eastAsia="zh-CN"/>
              </w:rPr>
              <w:t>：</w:t>
            </w:r>
            <w:r>
              <w:rPr>
                <w:rFonts w:hint="eastAsia"/>
                <w:sz w:val="21"/>
                <w:szCs w:val="21"/>
                <w:vertAlign w:val="baseline"/>
              </w:rPr>
              <w:t>标准DWI、高b值、张量成像。</w:t>
            </w:r>
          </w:p>
          <w:p w14:paraId="5141838C">
            <w:pPr>
              <w:widowControl w:val="0"/>
              <w:jc w:val="left"/>
              <w:rPr>
                <w:rFonts w:hint="eastAsia"/>
                <w:sz w:val="21"/>
                <w:szCs w:val="21"/>
                <w:vertAlign w:val="baseline"/>
              </w:rPr>
            </w:pPr>
            <w:r>
              <w:rPr>
                <w:rFonts w:hint="eastAsia"/>
                <w:sz w:val="21"/>
                <w:szCs w:val="21"/>
                <w:vertAlign w:val="baseline"/>
              </w:rPr>
              <w:t xml:space="preserve">     · 灌注加权成像：动态磁敏感对比、动脉自旋标记。</w:t>
            </w:r>
          </w:p>
          <w:p w14:paraId="7464680D">
            <w:pPr>
              <w:widowControl w:val="0"/>
              <w:jc w:val="left"/>
              <w:rPr>
                <w:rFonts w:hint="eastAsia"/>
                <w:sz w:val="21"/>
                <w:szCs w:val="21"/>
                <w:vertAlign w:val="baseline"/>
              </w:rPr>
            </w:pPr>
            <w:r>
              <w:rPr>
                <w:rFonts w:hint="eastAsia"/>
                <w:sz w:val="21"/>
                <w:szCs w:val="21"/>
                <w:vertAlign w:val="baseline"/>
              </w:rPr>
              <w:t xml:space="preserve">     · 磁敏感加权成像：用于出血、静脉血管显示。</w:t>
            </w:r>
          </w:p>
          <w:p w14:paraId="770C6BF9">
            <w:pPr>
              <w:widowControl w:val="0"/>
              <w:jc w:val="left"/>
              <w:rPr>
                <w:rFonts w:hint="eastAsia"/>
                <w:sz w:val="21"/>
                <w:szCs w:val="21"/>
                <w:vertAlign w:val="baseline"/>
              </w:rPr>
            </w:pPr>
            <w:r>
              <w:rPr>
                <w:rFonts w:hint="eastAsia"/>
                <w:sz w:val="21"/>
                <w:szCs w:val="21"/>
                <w:vertAlign w:val="baseline"/>
              </w:rPr>
              <w:t xml:space="preserve">     · 磁共振波谱：单体素、多体素化学位移成像。</w:t>
            </w:r>
          </w:p>
          <w:p w14:paraId="3899AC3E">
            <w:pPr>
              <w:widowControl w:val="0"/>
              <w:jc w:val="left"/>
              <w:rPr>
                <w:rFonts w:hint="eastAsia"/>
                <w:sz w:val="21"/>
                <w:szCs w:val="21"/>
                <w:vertAlign w:val="baseline"/>
              </w:rPr>
            </w:pPr>
            <w:r>
              <w:rPr>
                <w:rFonts w:hint="eastAsia"/>
                <w:sz w:val="21"/>
                <w:szCs w:val="21"/>
                <w:vertAlign w:val="baseline"/>
              </w:rPr>
              <w:t xml:space="preserve">     · 血管成像：时间飞跃法、相位对比法、对比增强MRA。</w:t>
            </w:r>
          </w:p>
          <w:p w14:paraId="269F8EA4">
            <w:pPr>
              <w:widowControl w:val="0"/>
              <w:jc w:val="left"/>
              <w:rPr>
                <w:rFonts w:hint="eastAsia"/>
                <w:sz w:val="21"/>
                <w:szCs w:val="21"/>
                <w:vertAlign w:val="baseline"/>
              </w:rPr>
            </w:pPr>
            <w:r>
              <w:rPr>
                <w:rFonts w:hint="eastAsia"/>
                <w:sz w:val="21"/>
                <w:szCs w:val="21"/>
                <w:vertAlign w:val="baseline"/>
              </w:rPr>
              <w:t xml:space="preserve">     · 功能MRI：任务态、静息态。</w:t>
            </w:r>
          </w:p>
          <w:p w14:paraId="7003BB53">
            <w:pPr>
              <w:widowControl w:val="0"/>
              <w:jc w:val="left"/>
              <w:rPr>
                <w:rFonts w:hint="eastAsia"/>
                <w:sz w:val="21"/>
                <w:szCs w:val="21"/>
                <w:vertAlign w:val="baseline"/>
              </w:rPr>
            </w:pPr>
            <w:r>
              <w:rPr>
                <w:rFonts w:hint="eastAsia"/>
                <w:sz w:val="21"/>
                <w:szCs w:val="21"/>
                <w:vertAlign w:val="baseline"/>
              </w:rPr>
              <w:t xml:space="preserve">   · 定量成像：T1 mapping，T2 mapping，脂肪定量等。</w:t>
            </w:r>
          </w:p>
          <w:p w14:paraId="25DCCCFD">
            <w:pPr>
              <w:widowControl w:val="0"/>
              <w:jc w:val="left"/>
              <w:rPr>
                <w:rFonts w:hint="eastAsia"/>
                <w:b/>
                <w:bCs/>
                <w:sz w:val="21"/>
                <w:szCs w:val="21"/>
                <w:vertAlign w:val="baseline"/>
              </w:rPr>
            </w:pPr>
            <w:r>
              <w:rPr>
                <w:rFonts w:hint="eastAsia"/>
                <w:b/>
                <w:bCs/>
                <w:sz w:val="21"/>
                <w:szCs w:val="21"/>
                <w:vertAlign w:val="baseline"/>
              </w:rPr>
              <w:t>五、物理规格与配套设施</w:t>
            </w:r>
          </w:p>
          <w:p w14:paraId="1D6945D3">
            <w:pPr>
              <w:widowControl w:val="0"/>
              <w:jc w:val="left"/>
              <w:rPr>
                <w:rFonts w:hint="eastAsia"/>
                <w:sz w:val="21"/>
                <w:szCs w:val="21"/>
                <w:vertAlign w:val="baseline"/>
              </w:rPr>
            </w:pPr>
            <w:r>
              <w:rPr>
                <w:rFonts w:hint="eastAsia"/>
                <w:sz w:val="21"/>
                <w:szCs w:val="21"/>
                <w:vertAlign w:val="baseline"/>
              </w:rPr>
              <w:t>1. 磁体长度：</w:t>
            </w:r>
          </w:p>
          <w:p w14:paraId="178E3CE9">
            <w:pPr>
              <w:widowControl w:val="0"/>
              <w:jc w:val="left"/>
              <w:rPr>
                <w:rFonts w:hint="eastAsia"/>
                <w:sz w:val="21"/>
                <w:szCs w:val="21"/>
                <w:vertAlign w:val="baseline"/>
              </w:rPr>
            </w:pPr>
            <w:r>
              <w:rPr>
                <w:rFonts w:hint="eastAsia"/>
                <w:sz w:val="21"/>
                <w:szCs w:val="21"/>
                <w:vertAlign w:val="baseline"/>
              </w:rPr>
              <w:t xml:space="preserve">   · 短磁体：约1.6 - 1.7 米。</w:t>
            </w:r>
          </w:p>
          <w:p w14:paraId="43F7B8C4">
            <w:pPr>
              <w:widowControl w:val="0"/>
              <w:jc w:val="left"/>
              <w:rPr>
                <w:rFonts w:hint="eastAsia"/>
                <w:sz w:val="21"/>
                <w:szCs w:val="21"/>
                <w:vertAlign w:val="baseline"/>
              </w:rPr>
            </w:pPr>
            <w:r>
              <w:rPr>
                <w:rFonts w:hint="eastAsia"/>
                <w:sz w:val="21"/>
                <w:szCs w:val="21"/>
                <w:vertAlign w:val="baseline"/>
              </w:rPr>
              <w:t xml:space="preserve">   · 标准磁体：约2.0 米。</w:t>
            </w:r>
          </w:p>
          <w:p w14:paraId="5946676A">
            <w:pPr>
              <w:widowControl w:val="0"/>
              <w:jc w:val="left"/>
              <w:rPr>
                <w:rFonts w:hint="eastAsia"/>
                <w:sz w:val="21"/>
                <w:szCs w:val="21"/>
                <w:vertAlign w:val="baseline"/>
              </w:rPr>
            </w:pPr>
            <w:r>
              <w:rPr>
                <w:rFonts w:hint="eastAsia"/>
                <w:sz w:val="21"/>
                <w:szCs w:val="21"/>
                <w:vertAlign w:val="baseline"/>
              </w:rPr>
              <w:t>2. 扫描孔径直径：</w:t>
            </w:r>
            <w:r>
              <w:rPr>
                <w:rFonts w:hint="eastAsia"/>
                <w:sz w:val="21"/>
                <w:szCs w:val="21"/>
                <w:vertAlign w:val="baseline"/>
                <w:lang w:eastAsia="zh-CN"/>
              </w:rPr>
              <w:t>≥</w:t>
            </w:r>
            <w:r>
              <w:rPr>
                <w:rFonts w:hint="eastAsia"/>
                <w:sz w:val="21"/>
                <w:szCs w:val="21"/>
                <w:vertAlign w:val="baseline"/>
              </w:rPr>
              <w:t>60 cm。足够容纳绝大多数患者和线圈。</w:t>
            </w:r>
          </w:p>
          <w:p w14:paraId="0BD92256">
            <w:pPr>
              <w:widowControl w:val="0"/>
              <w:jc w:val="left"/>
              <w:rPr>
                <w:rFonts w:hint="eastAsia"/>
                <w:sz w:val="21"/>
                <w:szCs w:val="21"/>
                <w:vertAlign w:val="baseline"/>
              </w:rPr>
            </w:pPr>
            <w:r>
              <w:rPr>
                <w:rFonts w:hint="eastAsia"/>
                <w:sz w:val="21"/>
                <w:szCs w:val="21"/>
                <w:vertAlign w:val="baseline"/>
              </w:rPr>
              <w:t>3. 设备重量与尺寸：</w:t>
            </w:r>
          </w:p>
          <w:p w14:paraId="3054A9EB">
            <w:pPr>
              <w:widowControl w:val="0"/>
              <w:jc w:val="left"/>
              <w:rPr>
                <w:rFonts w:hint="eastAsia"/>
                <w:sz w:val="21"/>
                <w:szCs w:val="21"/>
                <w:vertAlign w:val="baseline"/>
              </w:rPr>
            </w:pPr>
            <w:r>
              <w:rPr>
                <w:rFonts w:hint="eastAsia"/>
                <w:sz w:val="21"/>
                <w:szCs w:val="21"/>
                <w:vertAlign w:val="baseline"/>
              </w:rPr>
              <w:t xml:space="preserve">   · 磁体重量：4,000 - 6,000 公斤。</w:t>
            </w:r>
          </w:p>
          <w:p w14:paraId="592C9A86">
            <w:pPr>
              <w:widowControl w:val="0"/>
              <w:jc w:val="left"/>
              <w:rPr>
                <w:rFonts w:hint="eastAsia"/>
                <w:sz w:val="21"/>
                <w:szCs w:val="21"/>
                <w:vertAlign w:val="baseline"/>
              </w:rPr>
            </w:pPr>
            <w:r>
              <w:rPr>
                <w:rFonts w:hint="eastAsia"/>
                <w:sz w:val="21"/>
                <w:szCs w:val="21"/>
                <w:vertAlign w:val="baseline"/>
              </w:rPr>
              <w:t xml:space="preserve">   · 机房要求：需严格遵循制造商提供的场地指南，包括面积、高度、承重、电磁屏蔽、水电、空调等。</w:t>
            </w:r>
          </w:p>
          <w:p w14:paraId="48BD9CBE">
            <w:pPr>
              <w:widowControl w:val="0"/>
              <w:jc w:val="left"/>
              <w:rPr>
                <w:rFonts w:hint="eastAsia"/>
                <w:sz w:val="21"/>
                <w:szCs w:val="21"/>
                <w:vertAlign w:val="baseline"/>
              </w:rPr>
            </w:pPr>
            <w:r>
              <w:rPr>
                <w:rFonts w:hint="eastAsia"/>
                <w:sz w:val="21"/>
                <w:szCs w:val="21"/>
                <w:vertAlign w:val="baseline"/>
              </w:rPr>
              <w:t>4. 冷却系统：</w:t>
            </w:r>
          </w:p>
          <w:p w14:paraId="28F8F561">
            <w:pPr>
              <w:widowControl w:val="0"/>
              <w:jc w:val="left"/>
              <w:rPr>
                <w:rFonts w:hint="eastAsia" w:eastAsiaTheme="minorEastAsia"/>
                <w:sz w:val="21"/>
                <w:szCs w:val="21"/>
                <w:highlight w:val="none"/>
                <w:vertAlign w:val="baseline"/>
                <w:lang w:val="en-US" w:eastAsia="zh-CN"/>
              </w:rPr>
            </w:pPr>
            <w:r>
              <w:rPr>
                <w:rFonts w:hint="eastAsia"/>
                <w:sz w:val="21"/>
                <w:szCs w:val="21"/>
                <w:vertAlign w:val="baseline"/>
              </w:rPr>
              <w:t xml:space="preserve">   · 水冷系统：独立的冷水机组和循环水。</w:t>
            </w:r>
          </w:p>
        </w:tc>
        <w:tc>
          <w:tcPr>
            <w:tcW w:w="1169" w:type="dxa"/>
            <w:shd w:val="clear" w:color="auto" w:fill="auto"/>
            <w:vAlign w:val="center"/>
          </w:tcPr>
          <w:p w14:paraId="3E30AEF3">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20BA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370E2B81">
            <w:pPr>
              <w:widowControl w:val="0"/>
              <w:jc w:val="center"/>
              <w:rPr>
                <w:rFonts w:hint="default" w:eastAsiaTheme="minorEastAsia"/>
                <w:sz w:val="24"/>
                <w:szCs w:val="24"/>
                <w:highlight w:val="none"/>
                <w:vertAlign w:val="baseline"/>
                <w:lang w:val="en-US" w:eastAsia="zh-CN"/>
              </w:rPr>
            </w:pPr>
            <w:r>
              <w:rPr>
                <w:rFonts w:hint="default"/>
                <w:sz w:val="24"/>
                <w:szCs w:val="24"/>
                <w:highlight w:val="none"/>
                <w:vertAlign w:val="baseline"/>
                <w:lang w:val="en-US" w:eastAsia="zh-CN"/>
              </w:rPr>
              <w:t>2</w:t>
            </w:r>
          </w:p>
        </w:tc>
        <w:tc>
          <w:tcPr>
            <w:tcW w:w="1701" w:type="dxa"/>
            <w:vAlign w:val="center"/>
          </w:tcPr>
          <w:p w14:paraId="6910A8E7">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128</w:t>
            </w:r>
            <w:r>
              <w:rPr>
                <w:rFonts w:hint="eastAsia"/>
                <w:sz w:val="24"/>
                <w:szCs w:val="24"/>
                <w:highlight w:val="none"/>
                <w:vertAlign w:val="baseline"/>
                <w:lang w:val="en-US" w:eastAsia="zh-CN"/>
              </w:rPr>
              <w:t>排螺旋</w:t>
            </w:r>
            <w:r>
              <w:rPr>
                <w:rFonts w:hint="default"/>
                <w:sz w:val="24"/>
                <w:szCs w:val="24"/>
                <w:highlight w:val="none"/>
                <w:vertAlign w:val="baseline"/>
                <w:lang w:val="en-US"/>
              </w:rPr>
              <w:t>CT</w:t>
            </w:r>
          </w:p>
        </w:tc>
        <w:tc>
          <w:tcPr>
            <w:tcW w:w="1050" w:type="dxa"/>
            <w:vAlign w:val="center"/>
          </w:tcPr>
          <w:p w14:paraId="1C30A252">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2F7DD97C">
            <w:pPr>
              <w:widowControl w:val="0"/>
              <w:jc w:val="left"/>
              <w:rPr>
                <w:rFonts w:hint="eastAsia"/>
                <w:b/>
                <w:bCs/>
                <w:sz w:val="21"/>
                <w:szCs w:val="21"/>
                <w:vertAlign w:val="baseline"/>
                <w:lang w:eastAsia="zh-CN"/>
              </w:rPr>
            </w:pPr>
            <w:r>
              <w:rPr>
                <w:rFonts w:hint="eastAsia"/>
                <w:b/>
                <w:bCs/>
                <w:sz w:val="21"/>
                <w:szCs w:val="21"/>
                <w:vertAlign w:val="baseline"/>
                <w:lang w:eastAsia="zh-CN"/>
              </w:rPr>
              <w:t>一．核心定位</w:t>
            </w:r>
          </w:p>
          <w:p w14:paraId="21FB2F74">
            <w:pPr>
              <w:widowControl w:val="0"/>
              <w:jc w:val="left"/>
              <w:rPr>
                <w:rFonts w:hint="eastAsia" w:eastAsiaTheme="minorEastAsia"/>
                <w:sz w:val="21"/>
                <w:szCs w:val="21"/>
                <w:vertAlign w:val="baseline"/>
                <w:lang w:val="en-US" w:eastAsia="zh-CN"/>
              </w:rPr>
            </w:pPr>
            <w:r>
              <w:rPr>
                <w:rFonts w:hint="eastAsia"/>
                <w:sz w:val="21"/>
                <w:szCs w:val="21"/>
                <w:vertAlign w:val="baseline"/>
                <w:lang w:eastAsia="zh-CN"/>
              </w:rPr>
              <w:t>　　探测器在</w:t>
            </w:r>
            <w:r>
              <w:rPr>
                <w:rFonts w:hint="default"/>
                <w:sz w:val="21"/>
                <w:szCs w:val="21"/>
                <w:vertAlign w:val="baseline"/>
                <w:lang w:val="en-US" w:eastAsia="zh-CN"/>
              </w:rPr>
              <w:t>Z</w:t>
            </w:r>
            <w:r>
              <w:rPr>
                <w:rFonts w:hint="eastAsia"/>
                <w:sz w:val="21"/>
                <w:szCs w:val="21"/>
                <w:vertAlign w:val="baseline"/>
                <w:lang w:eastAsia="zh-CN"/>
              </w:rPr>
              <w:t>轴（身体长轴）方向排列的阵列数达到</w:t>
            </w:r>
            <w:r>
              <w:rPr>
                <w:rFonts w:hint="default"/>
                <w:sz w:val="21"/>
                <w:szCs w:val="21"/>
                <w:vertAlign w:val="baseline"/>
                <w:lang w:val="en-US" w:eastAsia="zh-CN"/>
              </w:rPr>
              <w:t>128</w:t>
            </w:r>
            <w:r>
              <w:rPr>
                <w:rFonts w:hint="eastAsia"/>
                <w:sz w:val="21"/>
                <w:szCs w:val="21"/>
                <w:vertAlign w:val="baseline"/>
                <w:lang w:eastAsia="zh-CN"/>
              </w:rPr>
              <w:t>个</w:t>
            </w:r>
            <w:r>
              <w:rPr>
                <w:rFonts w:hint="eastAsia"/>
                <w:sz w:val="21"/>
                <w:szCs w:val="21"/>
                <w:vertAlign w:val="baseline"/>
                <w:lang w:val="en-US" w:eastAsia="zh-CN"/>
              </w:rPr>
              <w:t>。</w:t>
            </w:r>
          </w:p>
          <w:p w14:paraId="0F5A8644">
            <w:pPr>
              <w:widowControl w:val="0"/>
              <w:jc w:val="left"/>
              <w:rPr>
                <w:rFonts w:hint="eastAsia"/>
                <w:b/>
                <w:bCs/>
                <w:sz w:val="21"/>
                <w:szCs w:val="21"/>
                <w:vertAlign w:val="baseline"/>
              </w:rPr>
            </w:pPr>
            <w:r>
              <w:rPr>
                <w:rFonts w:hint="eastAsia"/>
                <w:b/>
                <w:bCs/>
                <w:sz w:val="21"/>
                <w:szCs w:val="21"/>
                <w:vertAlign w:val="baseline"/>
                <w:lang w:eastAsia="zh-CN"/>
              </w:rPr>
              <w:t>二．</w:t>
            </w:r>
            <w:r>
              <w:rPr>
                <w:rFonts w:hint="eastAsia"/>
                <w:b/>
                <w:bCs/>
                <w:sz w:val="21"/>
                <w:szCs w:val="21"/>
                <w:vertAlign w:val="baseline"/>
              </w:rPr>
              <w:t>关键硬件与技术参数</w:t>
            </w:r>
          </w:p>
          <w:p w14:paraId="076D7F47">
            <w:pPr>
              <w:widowControl w:val="0"/>
              <w:jc w:val="left"/>
              <w:rPr>
                <w:rFonts w:hint="eastAsia"/>
                <w:sz w:val="21"/>
                <w:szCs w:val="21"/>
                <w:vertAlign w:val="baseline"/>
              </w:rPr>
            </w:pPr>
            <w:r>
              <w:rPr>
                <w:rFonts w:hint="eastAsia"/>
                <w:sz w:val="21"/>
                <w:szCs w:val="21"/>
                <w:vertAlign w:val="baseline"/>
              </w:rPr>
              <w:t>1. 扫描架系统</w:t>
            </w:r>
          </w:p>
          <w:p w14:paraId="2D6974E4">
            <w:pPr>
              <w:widowControl w:val="0"/>
              <w:jc w:val="left"/>
              <w:rPr>
                <w:rFonts w:hint="eastAsia"/>
                <w:sz w:val="21"/>
                <w:szCs w:val="21"/>
                <w:vertAlign w:val="baseline"/>
              </w:rPr>
            </w:pPr>
            <w:r>
              <w:rPr>
                <w:rFonts w:hint="eastAsia"/>
                <w:sz w:val="21"/>
                <w:szCs w:val="21"/>
                <w:vertAlign w:val="baseline"/>
              </w:rPr>
              <w:t>· 旋转速度：≤0.35秒/圈。</w:t>
            </w:r>
          </w:p>
          <w:p w14:paraId="7586DF03">
            <w:pPr>
              <w:widowControl w:val="0"/>
              <w:jc w:val="left"/>
              <w:rPr>
                <w:rFonts w:hint="eastAsia" w:eastAsiaTheme="minorEastAsia"/>
                <w:sz w:val="21"/>
                <w:szCs w:val="21"/>
                <w:vertAlign w:val="baseline"/>
                <w:lang w:eastAsia="zh-CN"/>
              </w:rPr>
            </w:pPr>
            <w:r>
              <w:rPr>
                <w:rFonts w:hint="eastAsia"/>
                <w:sz w:val="21"/>
                <w:szCs w:val="21"/>
                <w:vertAlign w:val="baseline"/>
              </w:rPr>
              <w:t>· 探测器宽度（Z轴覆盖）： ≥4cm</w:t>
            </w:r>
            <w:r>
              <w:rPr>
                <w:rFonts w:hint="eastAsia"/>
                <w:sz w:val="21"/>
                <w:szCs w:val="21"/>
                <w:vertAlign w:val="baseline"/>
                <w:lang w:eastAsia="zh-CN"/>
              </w:rPr>
              <w:t>。</w:t>
            </w:r>
          </w:p>
          <w:p w14:paraId="14BE1F6F">
            <w:pPr>
              <w:widowControl w:val="0"/>
              <w:jc w:val="left"/>
              <w:rPr>
                <w:rFonts w:hint="eastAsia"/>
                <w:sz w:val="21"/>
                <w:szCs w:val="21"/>
                <w:vertAlign w:val="baseline"/>
              </w:rPr>
            </w:pPr>
            <w:r>
              <w:rPr>
                <w:rFonts w:hint="eastAsia"/>
                <w:sz w:val="21"/>
                <w:szCs w:val="21"/>
                <w:vertAlign w:val="baseline"/>
              </w:rPr>
              <w:t>· 空间分辨率：高对比度分辨率 ≥ 20 lp/cm；各向同性分辨率 ≤ 0.30mm。</w:t>
            </w:r>
          </w:p>
          <w:p w14:paraId="59047A67">
            <w:pPr>
              <w:widowControl w:val="0"/>
              <w:jc w:val="left"/>
              <w:rPr>
                <w:rFonts w:hint="eastAsia"/>
                <w:sz w:val="21"/>
                <w:szCs w:val="21"/>
                <w:vertAlign w:val="baseline"/>
              </w:rPr>
            </w:pPr>
            <w:r>
              <w:rPr>
                <w:rFonts w:hint="eastAsia"/>
                <w:sz w:val="21"/>
                <w:szCs w:val="21"/>
                <w:vertAlign w:val="baseline"/>
              </w:rPr>
              <w:t>· 球管热容量 &amp; 散热率：热容量 ≥ 8.0MHU，散热率 ≥ 2000 kHU/min。</w:t>
            </w:r>
          </w:p>
          <w:p w14:paraId="568BE95D">
            <w:pPr>
              <w:widowControl w:val="0"/>
              <w:jc w:val="left"/>
              <w:rPr>
                <w:rFonts w:hint="eastAsia"/>
                <w:sz w:val="21"/>
                <w:szCs w:val="21"/>
                <w:vertAlign w:val="baseline"/>
              </w:rPr>
            </w:pPr>
            <w:r>
              <w:rPr>
                <w:rFonts w:hint="eastAsia"/>
                <w:sz w:val="21"/>
                <w:szCs w:val="21"/>
                <w:vertAlign w:val="baseline"/>
              </w:rPr>
              <w:t>2. 高压发生器与球管</w:t>
            </w:r>
          </w:p>
          <w:p w14:paraId="13464AAB">
            <w:pPr>
              <w:widowControl w:val="0"/>
              <w:jc w:val="left"/>
              <w:rPr>
                <w:rFonts w:hint="eastAsia"/>
                <w:sz w:val="21"/>
                <w:szCs w:val="21"/>
                <w:vertAlign w:val="baseline"/>
              </w:rPr>
            </w:pPr>
            <w:r>
              <w:rPr>
                <w:rFonts w:hint="eastAsia"/>
                <w:sz w:val="21"/>
                <w:szCs w:val="21"/>
                <w:vertAlign w:val="baseline"/>
              </w:rPr>
              <w:t>· 高压发生器功率：≥ 100 kW。</w:t>
            </w:r>
          </w:p>
          <w:p w14:paraId="4540599A">
            <w:pPr>
              <w:widowControl w:val="0"/>
              <w:jc w:val="left"/>
              <w:rPr>
                <w:rFonts w:hint="eastAsia"/>
                <w:sz w:val="21"/>
                <w:szCs w:val="21"/>
                <w:vertAlign w:val="baseline"/>
              </w:rPr>
            </w:pPr>
            <w:r>
              <w:rPr>
                <w:rFonts w:hint="eastAsia"/>
                <w:sz w:val="21"/>
                <w:szCs w:val="21"/>
                <w:vertAlign w:val="baseline"/>
              </w:rPr>
              <w:t>· 球管阳极倾角：7°- 9°。</w:t>
            </w:r>
          </w:p>
          <w:p w14:paraId="1F2538CF">
            <w:pPr>
              <w:widowControl w:val="0"/>
              <w:jc w:val="left"/>
              <w:rPr>
                <w:rFonts w:hint="eastAsia"/>
                <w:sz w:val="21"/>
                <w:szCs w:val="21"/>
                <w:vertAlign w:val="baseline"/>
              </w:rPr>
            </w:pPr>
            <w:r>
              <w:rPr>
                <w:rFonts w:hint="eastAsia"/>
                <w:sz w:val="21"/>
                <w:szCs w:val="21"/>
                <w:vertAlign w:val="baseline"/>
              </w:rPr>
              <w:t>· 飞焦点技术：标配。</w:t>
            </w:r>
          </w:p>
          <w:p w14:paraId="2C457BD0">
            <w:pPr>
              <w:widowControl w:val="0"/>
              <w:jc w:val="left"/>
              <w:rPr>
                <w:rFonts w:hint="eastAsia"/>
                <w:sz w:val="21"/>
                <w:szCs w:val="21"/>
                <w:vertAlign w:val="baseline"/>
              </w:rPr>
            </w:pPr>
            <w:r>
              <w:rPr>
                <w:rFonts w:hint="eastAsia"/>
                <w:sz w:val="21"/>
                <w:szCs w:val="21"/>
                <w:vertAlign w:val="baseline"/>
              </w:rPr>
              <w:t>3. 图像重建与处理系统</w:t>
            </w:r>
          </w:p>
          <w:p w14:paraId="76A5D4DB">
            <w:pPr>
              <w:widowControl w:val="0"/>
              <w:jc w:val="left"/>
              <w:rPr>
                <w:rFonts w:hint="eastAsia"/>
                <w:sz w:val="21"/>
                <w:szCs w:val="21"/>
                <w:vertAlign w:val="baseline"/>
              </w:rPr>
            </w:pPr>
            <w:r>
              <w:rPr>
                <w:rFonts w:hint="eastAsia"/>
                <w:sz w:val="21"/>
                <w:szCs w:val="21"/>
                <w:vertAlign w:val="baseline"/>
              </w:rPr>
              <w:t>· 重建矩阵：1024x1024 超高分辨率扫描。</w:t>
            </w:r>
          </w:p>
          <w:p w14:paraId="73FE8B37">
            <w:pPr>
              <w:widowControl w:val="0"/>
              <w:jc w:val="left"/>
              <w:rPr>
                <w:rFonts w:hint="eastAsia"/>
                <w:sz w:val="21"/>
                <w:szCs w:val="21"/>
                <w:vertAlign w:val="baseline"/>
              </w:rPr>
            </w:pPr>
            <w:r>
              <w:rPr>
                <w:rFonts w:hint="eastAsia"/>
                <w:sz w:val="21"/>
                <w:szCs w:val="21"/>
                <w:vertAlign w:val="baseline"/>
              </w:rPr>
              <w:t>· 迭代重建算法：高级/基于模型的迭代重建算法。</w:t>
            </w:r>
          </w:p>
          <w:p w14:paraId="01273214">
            <w:pPr>
              <w:widowControl w:val="0"/>
              <w:jc w:val="left"/>
              <w:rPr>
                <w:rFonts w:hint="eastAsia"/>
                <w:sz w:val="21"/>
                <w:szCs w:val="21"/>
                <w:vertAlign w:val="baseline"/>
              </w:rPr>
            </w:pPr>
            <w:r>
              <w:rPr>
                <w:rFonts w:hint="eastAsia"/>
                <w:sz w:val="21"/>
                <w:szCs w:val="21"/>
                <w:vertAlign w:val="baseline"/>
              </w:rPr>
              <w:t>· 重建速度：≥ 20幅/秒（全视野、全分辨率）。</w:t>
            </w:r>
          </w:p>
          <w:p w14:paraId="192BC84C">
            <w:pPr>
              <w:widowControl w:val="0"/>
              <w:jc w:val="left"/>
              <w:rPr>
                <w:rFonts w:hint="eastAsia"/>
                <w:b/>
                <w:bCs/>
                <w:sz w:val="21"/>
                <w:szCs w:val="21"/>
                <w:vertAlign w:val="baseline"/>
              </w:rPr>
            </w:pPr>
            <w:r>
              <w:rPr>
                <w:rFonts w:hint="eastAsia"/>
                <w:b/>
                <w:bCs/>
                <w:sz w:val="21"/>
                <w:szCs w:val="21"/>
                <w:vertAlign w:val="baseline"/>
                <w:lang w:eastAsia="zh-CN"/>
              </w:rPr>
              <w:t>三</w:t>
            </w:r>
            <w:r>
              <w:rPr>
                <w:rFonts w:hint="eastAsia"/>
                <w:b/>
                <w:bCs/>
                <w:sz w:val="21"/>
                <w:szCs w:val="21"/>
                <w:vertAlign w:val="baseline"/>
              </w:rPr>
              <w:t>、核心软件与临床应用功能</w:t>
            </w:r>
          </w:p>
          <w:p w14:paraId="0A9EA004">
            <w:pPr>
              <w:widowControl w:val="0"/>
              <w:jc w:val="left"/>
              <w:rPr>
                <w:rFonts w:hint="eastAsia"/>
                <w:sz w:val="21"/>
                <w:szCs w:val="21"/>
                <w:vertAlign w:val="baseline"/>
              </w:rPr>
            </w:pPr>
            <w:r>
              <w:rPr>
                <w:rFonts w:hint="eastAsia"/>
                <w:sz w:val="21"/>
                <w:szCs w:val="21"/>
                <w:vertAlign w:val="baseline"/>
              </w:rPr>
              <w:t>1. 常规与高级成像</w:t>
            </w:r>
          </w:p>
          <w:p w14:paraId="2A0DF800">
            <w:pPr>
              <w:widowControl w:val="0"/>
              <w:jc w:val="left"/>
              <w:rPr>
                <w:rFonts w:hint="eastAsia"/>
                <w:sz w:val="21"/>
                <w:szCs w:val="21"/>
                <w:vertAlign w:val="baseline"/>
              </w:rPr>
            </w:pPr>
            <w:r>
              <w:rPr>
                <w:rFonts w:hint="eastAsia"/>
                <w:sz w:val="21"/>
                <w:szCs w:val="21"/>
                <w:vertAlign w:val="baseline"/>
              </w:rPr>
              <w:t>· 全身各部位扫描协议：头颈、胸腹、脊柱、四肢骨骼等精细化预设协议。</w:t>
            </w:r>
          </w:p>
          <w:p w14:paraId="752AD56D">
            <w:pPr>
              <w:widowControl w:val="0"/>
              <w:jc w:val="left"/>
              <w:rPr>
                <w:rFonts w:hint="eastAsia"/>
                <w:sz w:val="21"/>
                <w:szCs w:val="21"/>
                <w:vertAlign w:val="baseline"/>
              </w:rPr>
            </w:pPr>
            <w:r>
              <w:rPr>
                <w:rFonts w:hint="eastAsia"/>
                <w:sz w:val="21"/>
                <w:szCs w:val="21"/>
                <w:vertAlign w:val="baseline"/>
              </w:rPr>
              <w:t>· 心脏冠脉成像：</w:t>
            </w:r>
          </w:p>
          <w:p w14:paraId="64357A26">
            <w:pPr>
              <w:widowControl w:val="0"/>
              <w:jc w:val="left"/>
              <w:rPr>
                <w:rFonts w:hint="eastAsia"/>
                <w:sz w:val="21"/>
                <w:szCs w:val="21"/>
                <w:vertAlign w:val="baseline"/>
              </w:rPr>
            </w:pPr>
            <w:r>
              <w:rPr>
                <w:rFonts w:hint="eastAsia"/>
                <w:sz w:val="21"/>
                <w:szCs w:val="21"/>
                <w:vertAlign w:val="baseline"/>
              </w:rPr>
              <w:t xml:space="preserve">  · 心率适应性扫描（单扇区重建时间 ≤ 135ms）。</w:t>
            </w:r>
          </w:p>
          <w:p w14:paraId="0DB73F40">
            <w:pPr>
              <w:widowControl w:val="0"/>
              <w:jc w:val="left"/>
              <w:rPr>
                <w:rFonts w:hint="eastAsia"/>
                <w:sz w:val="21"/>
                <w:szCs w:val="21"/>
                <w:vertAlign w:val="baseline"/>
              </w:rPr>
            </w:pPr>
            <w:r>
              <w:rPr>
                <w:rFonts w:hint="eastAsia"/>
                <w:sz w:val="21"/>
                <w:szCs w:val="21"/>
                <w:vertAlign w:val="baseline"/>
              </w:rPr>
              <w:t xml:space="preserve">  · 冠脉斑块分析、狭窄程度测量、心功能分析（射血分数、室壁运动）。</w:t>
            </w:r>
          </w:p>
          <w:p w14:paraId="2F0CD085">
            <w:pPr>
              <w:widowControl w:val="0"/>
              <w:jc w:val="left"/>
              <w:rPr>
                <w:rFonts w:hint="eastAsia"/>
                <w:sz w:val="21"/>
                <w:szCs w:val="21"/>
                <w:vertAlign w:val="baseline"/>
              </w:rPr>
            </w:pPr>
            <w:r>
              <w:rPr>
                <w:rFonts w:hint="eastAsia"/>
                <w:sz w:val="21"/>
                <w:szCs w:val="21"/>
                <w:vertAlign w:val="baseline"/>
              </w:rPr>
              <w:t>· 血管成像：全身各部位CTA（头颈、主动脉、下肢等），支持自动触发、智能追踪。</w:t>
            </w:r>
          </w:p>
          <w:p w14:paraId="78E01E2A">
            <w:pPr>
              <w:widowControl w:val="0"/>
              <w:jc w:val="left"/>
              <w:rPr>
                <w:rFonts w:hint="eastAsia"/>
                <w:sz w:val="21"/>
                <w:szCs w:val="21"/>
                <w:vertAlign w:val="baseline"/>
              </w:rPr>
            </w:pPr>
            <w:r>
              <w:rPr>
                <w:rFonts w:hint="eastAsia"/>
                <w:sz w:val="21"/>
                <w:szCs w:val="21"/>
                <w:vertAlign w:val="baseline"/>
              </w:rPr>
              <w:t>· 低剂量技术：自动管电压/电流调节、迭代重建、器官剂量报告等。</w:t>
            </w:r>
          </w:p>
          <w:p w14:paraId="55D1B188">
            <w:pPr>
              <w:widowControl w:val="0"/>
              <w:jc w:val="left"/>
              <w:rPr>
                <w:rFonts w:hint="eastAsia"/>
                <w:sz w:val="21"/>
                <w:szCs w:val="21"/>
                <w:vertAlign w:val="baseline"/>
              </w:rPr>
            </w:pPr>
            <w:r>
              <w:rPr>
                <w:rFonts w:hint="eastAsia"/>
                <w:sz w:val="21"/>
                <w:szCs w:val="21"/>
                <w:vertAlign w:val="baseline"/>
              </w:rPr>
              <w:t>2. 能谱/双能成像（具备</w:t>
            </w:r>
            <w:r>
              <w:rPr>
                <w:rFonts w:hint="eastAsia"/>
                <w:sz w:val="21"/>
                <w:szCs w:val="21"/>
                <w:vertAlign w:val="baseline"/>
                <w:lang w:eastAsia="zh-CN"/>
              </w:rPr>
              <w:t>或可选</w:t>
            </w:r>
            <w:r>
              <w:rPr>
                <w:rFonts w:hint="eastAsia"/>
                <w:sz w:val="21"/>
                <w:szCs w:val="21"/>
                <w:vertAlign w:val="baseline"/>
              </w:rPr>
              <w:t>）</w:t>
            </w:r>
          </w:p>
          <w:p w14:paraId="525EE928">
            <w:pPr>
              <w:widowControl w:val="0"/>
              <w:jc w:val="left"/>
              <w:rPr>
                <w:rFonts w:hint="eastAsia"/>
                <w:sz w:val="21"/>
                <w:szCs w:val="21"/>
                <w:vertAlign w:val="baseline"/>
              </w:rPr>
            </w:pPr>
            <w:r>
              <w:rPr>
                <w:rFonts w:hint="eastAsia"/>
                <w:sz w:val="21"/>
                <w:szCs w:val="21"/>
                <w:vertAlign w:val="baseline"/>
              </w:rPr>
              <w:t>· 实现方式：快速千伏切换、双源或双层探测器。</w:t>
            </w:r>
          </w:p>
          <w:p w14:paraId="7CB55D50">
            <w:pPr>
              <w:widowControl w:val="0"/>
              <w:jc w:val="left"/>
              <w:rPr>
                <w:rFonts w:hint="eastAsia"/>
                <w:sz w:val="21"/>
                <w:szCs w:val="21"/>
                <w:vertAlign w:val="baseline"/>
              </w:rPr>
            </w:pPr>
            <w:r>
              <w:rPr>
                <w:rFonts w:hint="eastAsia"/>
                <w:sz w:val="21"/>
                <w:szCs w:val="21"/>
                <w:vertAlign w:val="baseline"/>
              </w:rPr>
              <w:t>· 功能：物质分离（水/碘、尿酸）、虚拟平扫、单能量成像、有效原子序数图等。</w:t>
            </w:r>
          </w:p>
          <w:p w14:paraId="008FB995">
            <w:pPr>
              <w:widowControl w:val="0"/>
              <w:jc w:val="left"/>
              <w:rPr>
                <w:rFonts w:hint="eastAsia"/>
                <w:sz w:val="21"/>
                <w:szCs w:val="21"/>
                <w:vertAlign w:val="baseline"/>
              </w:rPr>
            </w:pPr>
            <w:r>
              <w:rPr>
                <w:rFonts w:hint="eastAsia"/>
                <w:sz w:val="21"/>
                <w:szCs w:val="21"/>
                <w:vertAlign w:val="baseline"/>
              </w:rPr>
              <w:t>3. 灌注与功能成像</w:t>
            </w:r>
          </w:p>
          <w:p w14:paraId="4C7F789B">
            <w:pPr>
              <w:widowControl w:val="0"/>
              <w:jc w:val="left"/>
              <w:rPr>
                <w:rFonts w:hint="eastAsia"/>
                <w:sz w:val="21"/>
                <w:szCs w:val="21"/>
                <w:vertAlign w:val="baseline"/>
              </w:rPr>
            </w:pPr>
            <w:r>
              <w:rPr>
                <w:rFonts w:hint="eastAsia"/>
                <w:sz w:val="21"/>
                <w:szCs w:val="21"/>
                <w:vertAlign w:val="baseline"/>
              </w:rPr>
              <w:t>· 脑灌注/体部灌注：</w:t>
            </w:r>
            <w:r>
              <w:rPr>
                <w:rFonts w:hint="eastAsia"/>
                <w:sz w:val="21"/>
                <w:szCs w:val="21"/>
                <w:vertAlign w:val="baseline"/>
                <w:lang w:eastAsia="zh-CN"/>
              </w:rPr>
              <w:t>可</w:t>
            </w:r>
            <w:r>
              <w:rPr>
                <w:rFonts w:hint="eastAsia"/>
                <w:sz w:val="21"/>
                <w:szCs w:val="21"/>
                <w:vertAlign w:val="baseline"/>
              </w:rPr>
              <w:t>评估组织血流动力学。</w:t>
            </w:r>
          </w:p>
          <w:p w14:paraId="6896A42D">
            <w:pPr>
              <w:widowControl w:val="0"/>
              <w:jc w:val="left"/>
              <w:rPr>
                <w:rFonts w:hint="eastAsia"/>
                <w:sz w:val="21"/>
                <w:szCs w:val="21"/>
                <w:vertAlign w:val="baseline"/>
              </w:rPr>
            </w:pPr>
            <w:r>
              <w:rPr>
                <w:rFonts w:hint="eastAsia"/>
                <w:sz w:val="21"/>
                <w:szCs w:val="21"/>
                <w:vertAlign w:val="baseline"/>
              </w:rPr>
              <w:t>· 肺功能分析与气道评估：肺气肿定量、支气管三维导航。</w:t>
            </w:r>
          </w:p>
          <w:p w14:paraId="1C10D7C4">
            <w:pPr>
              <w:widowControl w:val="0"/>
              <w:jc w:val="left"/>
              <w:rPr>
                <w:rFonts w:hint="eastAsia"/>
                <w:sz w:val="21"/>
                <w:szCs w:val="21"/>
                <w:vertAlign w:val="baseline"/>
              </w:rPr>
            </w:pPr>
            <w:r>
              <w:rPr>
                <w:rFonts w:hint="eastAsia"/>
                <w:sz w:val="21"/>
                <w:szCs w:val="21"/>
                <w:vertAlign w:val="baseline"/>
              </w:rPr>
              <w:t>4. 后处理工作站</w:t>
            </w:r>
          </w:p>
          <w:p w14:paraId="1ABAB103">
            <w:pPr>
              <w:widowControl w:val="0"/>
              <w:jc w:val="left"/>
              <w:rPr>
                <w:rFonts w:hint="eastAsia"/>
                <w:sz w:val="21"/>
                <w:szCs w:val="21"/>
                <w:vertAlign w:val="baseline"/>
              </w:rPr>
            </w:pPr>
            <w:r>
              <w:rPr>
                <w:rFonts w:hint="eastAsia"/>
                <w:sz w:val="21"/>
                <w:szCs w:val="21"/>
                <w:vertAlign w:val="baseline"/>
              </w:rPr>
              <w:t>· 高级可视化工具：多平面重建（MPR）、最大密度投影（MIP）、容积再现（VR）、曲面重建（CPR）。</w:t>
            </w:r>
          </w:p>
          <w:p w14:paraId="7730020A">
            <w:pPr>
              <w:widowControl w:val="0"/>
              <w:jc w:val="left"/>
              <w:rPr>
                <w:rFonts w:hint="eastAsia"/>
                <w:sz w:val="21"/>
                <w:szCs w:val="21"/>
                <w:vertAlign w:val="baseline"/>
              </w:rPr>
            </w:pPr>
            <w:r>
              <w:rPr>
                <w:rFonts w:hint="eastAsia"/>
                <w:sz w:val="21"/>
                <w:szCs w:val="21"/>
                <w:vertAlign w:val="baseline"/>
              </w:rPr>
              <w:t>· 专用分析模块：冠脉分析、肿瘤随访、骨科手术规划、虚拟内窥镜等。</w:t>
            </w:r>
          </w:p>
          <w:p w14:paraId="66FB264A">
            <w:pPr>
              <w:widowControl w:val="0"/>
              <w:jc w:val="left"/>
              <w:rPr>
                <w:rFonts w:hint="eastAsia"/>
                <w:b/>
                <w:bCs/>
                <w:sz w:val="21"/>
                <w:szCs w:val="21"/>
                <w:vertAlign w:val="baseline"/>
              </w:rPr>
            </w:pPr>
            <w:r>
              <w:rPr>
                <w:rFonts w:hint="eastAsia"/>
                <w:b/>
                <w:bCs/>
                <w:sz w:val="21"/>
                <w:szCs w:val="21"/>
                <w:vertAlign w:val="baseline"/>
                <w:lang w:eastAsia="zh-CN"/>
              </w:rPr>
              <w:t>四</w:t>
            </w:r>
            <w:r>
              <w:rPr>
                <w:rFonts w:hint="eastAsia"/>
                <w:b/>
                <w:bCs/>
                <w:sz w:val="21"/>
                <w:szCs w:val="21"/>
                <w:vertAlign w:val="baseline"/>
              </w:rPr>
              <w:t>、重要通用性能指标</w:t>
            </w:r>
          </w:p>
          <w:p w14:paraId="6CFFE6BB">
            <w:pPr>
              <w:widowControl w:val="0"/>
              <w:jc w:val="left"/>
              <w:rPr>
                <w:rFonts w:hint="eastAsia"/>
                <w:sz w:val="21"/>
                <w:szCs w:val="21"/>
                <w:vertAlign w:val="baseline"/>
              </w:rPr>
            </w:pPr>
            <w:r>
              <w:rPr>
                <w:rFonts w:hint="eastAsia"/>
                <w:sz w:val="21"/>
                <w:szCs w:val="21"/>
                <w:vertAlign w:val="baseline"/>
              </w:rPr>
              <w:t>· 扫描范围：最大连续螺旋扫描范围 ≥ 200 cm。</w:t>
            </w:r>
          </w:p>
          <w:p w14:paraId="343CCED6">
            <w:pPr>
              <w:widowControl w:val="0"/>
              <w:jc w:val="left"/>
              <w:rPr>
                <w:rFonts w:hint="eastAsia"/>
                <w:sz w:val="21"/>
                <w:szCs w:val="21"/>
                <w:vertAlign w:val="baseline"/>
              </w:rPr>
            </w:pPr>
            <w:r>
              <w:rPr>
                <w:rFonts w:hint="eastAsia"/>
                <w:sz w:val="21"/>
                <w:szCs w:val="21"/>
                <w:vertAlign w:val="baseline"/>
              </w:rPr>
              <w:t>· 扫描层厚：最薄采集层厚 ≤ 0.5 mm。</w:t>
            </w:r>
          </w:p>
          <w:p w14:paraId="2E431F1A">
            <w:pPr>
              <w:widowControl w:val="0"/>
              <w:jc w:val="left"/>
              <w:rPr>
                <w:rFonts w:hint="eastAsia"/>
                <w:sz w:val="21"/>
                <w:szCs w:val="21"/>
                <w:vertAlign w:val="baseline"/>
              </w:rPr>
            </w:pPr>
            <w:r>
              <w:rPr>
                <w:rFonts w:hint="eastAsia"/>
                <w:sz w:val="21"/>
                <w:szCs w:val="21"/>
                <w:vertAlign w:val="baseline"/>
              </w:rPr>
              <w:t>· 低剂量表现：成人头部常规扫描CTDIvol &lt; 60 mGy，胸部平扫CTDIvol &lt; 8 mGy。</w:t>
            </w:r>
          </w:p>
          <w:p w14:paraId="63B657A9">
            <w:pPr>
              <w:widowControl w:val="0"/>
              <w:jc w:val="left"/>
              <w:rPr>
                <w:rFonts w:hint="eastAsia"/>
                <w:sz w:val="21"/>
                <w:szCs w:val="21"/>
                <w:vertAlign w:val="baseline"/>
              </w:rPr>
            </w:pPr>
            <w:r>
              <w:rPr>
                <w:rFonts w:hint="eastAsia"/>
                <w:sz w:val="21"/>
                <w:szCs w:val="21"/>
                <w:vertAlign w:val="baseline"/>
              </w:rPr>
              <w:t>· 图像均匀性与噪声：在水模测试中，整个扫描野内CT值偏差应 &lt; 5 HU，噪声符合国家标准。</w:t>
            </w:r>
          </w:p>
          <w:p w14:paraId="2255E1FF">
            <w:pPr>
              <w:widowControl w:val="0"/>
              <w:jc w:val="left"/>
              <w:rPr>
                <w:rFonts w:hint="eastAsia"/>
                <w:sz w:val="21"/>
                <w:szCs w:val="21"/>
                <w:vertAlign w:val="baseline"/>
              </w:rPr>
            </w:pPr>
            <w:r>
              <w:rPr>
                <w:rFonts w:hint="eastAsia"/>
                <w:sz w:val="21"/>
                <w:szCs w:val="21"/>
                <w:vertAlign w:val="baseline"/>
              </w:rPr>
              <w:t>· 患者承重：扫描床承重 ≥ 205 kg。</w:t>
            </w:r>
          </w:p>
          <w:p w14:paraId="2C11C2F7">
            <w:pPr>
              <w:widowControl w:val="0"/>
              <w:numPr>
                <w:ilvl w:val="0"/>
                <w:numId w:val="0"/>
              </w:numPr>
              <w:jc w:val="left"/>
              <w:rPr>
                <w:rFonts w:hint="eastAsia"/>
                <w:sz w:val="21"/>
                <w:szCs w:val="21"/>
                <w:vertAlign w:val="baseline"/>
              </w:rPr>
            </w:pPr>
            <w:r>
              <w:rPr>
                <w:rFonts w:hint="eastAsia"/>
                <w:sz w:val="21"/>
                <w:szCs w:val="21"/>
                <w:vertAlign w:val="baseline"/>
              </w:rPr>
              <w:t>· 扫描孔径直径：</w:t>
            </w:r>
            <w:r>
              <w:rPr>
                <w:rFonts w:hint="eastAsia"/>
                <w:sz w:val="21"/>
                <w:szCs w:val="21"/>
                <w:vertAlign w:val="baseline"/>
                <w:lang w:eastAsia="zh-CN"/>
              </w:rPr>
              <w:t>≥</w:t>
            </w:r>
            <w:r>
              <w:rPr>
                <w:rFonts w:hint="default"/>
                <w:sz w:val="21"/>
                <w:szCs w:val="21"/>
                <w:vertAlign w:val="baseline"/>
                <w:lang w:val="en-US"/>
              </w:rPr>
              <w:t>7</w:t>
            </w:r>
            <w:r>
              <w:rPr>
                <w:rFonts w:hint="eastAsia"/>
                <w:sz w:val="21"/>
                <w:szCs w:val="21"/>
                <w:vertAlign w:val="baseline"/>
              </w:rPr>
              <w:t>0 cm。</w:t>
            </w:r>
          </w:p>
          <w:p w14:paraId="5074141B">
            <w:pPr>
              <w:widowControl w:val="0"/>
              <w:numPr>
                <w:ilvl w:val="0"/>
                <w:numId w:val="0"/>
              </w:numPr>
              <w:jc w:val="left"/>
              <w:rPr>
                <w:rFonts w:hint="eastAsia"/>
                <w:b/>
                <w:bCs/>
                <w:sz w:val="21"/>
                <w:szCs w:val="21"/>
                <w:vertAlign w:val="baseline"/>
              </w:rPr>
            </w:pPr>
            <w:r>
              <w:rPr>
                <w:rFonts w:hint="eastAsia" w:cstheme="minorBidi"/>
                <w:b/>
                <w:bCs/>
                <w:kern w:val="2"/>
                <w:sz w:val="21"/>
                <w:szCs w:val="21"/>
                <w:vertAlign w:val="baseline"/>
                <w:lang w:val="en-US" w:eastAsia="zh-CN" w:bidi="ar-SA"/>
              </w:rPr>
              <w:t>五</w:t>
            </w:r>
            <w:r>
              <w:rPr>
                <w:rFonts w:hint="eastAsia" w:asciiTheme="minorHAnsi" w:hAnsiTheme="minorHAnsi" w:eastAsiaTheme="minorEastAsia" w:cstheme="minorBidi"/>
                <w:b/>
                <w:bCs/>
                <w:kern w:val="2"/>
                <w:sz w:val="21"/>
                <w:szCs w:val="21"/>
                <w:vertAlign w:val="baseline"/>
                <w:lang w:val="en-US" w:eastAsia="zh-CN" w:bidi="ar-SA"/>
              </w:rPr>
              <w:t>、</w:t>
            </w:r>
            <w:r>
              <w:rPr>
                <w:rFonts w:hint="eastAsia"/>
                <w:b/>
                <w:bCs/>
                <w:sz w:val="21"/>
                <w:szCs w:val="21"/>
                <w:vertAlign w:val="baseline"/>
              </w:rPr>
              <w:t>设备物理与工作条件</w:t>
            </w:r>
          </w:p>
          <w:p w14:paraId="6BADE300">
            <w:pPr>
              <w:widowControl w:val="0"/>
              <w:jc w:val="left"/>
              <w:rPr>
                <w:rFonts w:hint="eastAsia"/>
                <w:sz w:val="21"/>
                <w:szCs w:val="21"/>
                <w:vertAlign w:val="baseline"/>
              </w:rPr>
            </w:pPr>
            <w:r>
              <w:rPr>
                <w:rFonts w:hint="eastAsia"/>
                <w:sz w:val="21"/>
                <w:szCs w:val="21"/>
                <w:vertAlign w:val="baseline"/>
              </w:rPr>
              <w:t>· 机房要求：面积 ≥ 30 ㎡。</w:t>
            </w:r>
          </w:p>
          <w:p w14:paraId="515E38BF">
            <w:pPr>
              <w:widowControl w:val="0"/>
              <w:jc w:val="left"/>
              <w:rPr>
                <w:rFonts w:hint="eastAsia"/>
                <w:sz w:val="21"/>
                <w:szCs w:val="21"/>
                <w:vertAlign w:val="baseline"/>
              </w:rPr>
            </w:pPr>
            <w:r>
              <w:rPr>
                <w:rFonts w:hint="eastAsia"/>
                <w:sz w:val="21"/>
                <w:szCs w:val="21"/>
                <w:vertAlign w:val="baseline"/>
              </w:rPr>
              <w:t>· 电源容量：≥ 100 kVA。</w:t>
            </w:r>
          </w:p>
          <w:p w14:paraId="7EED8ABD">
            <w:pPr>
              <w:widowControl w:val="0"/>
              <w:jc w:val="left"/>
              <w:rPr>
                <w:rFonts w:hint="default"/>
                <w:sz w:val="21"/>
                <w:szCs w:val="21"/>
                <w:highlight w:val="none"/>
                <w:vertAlign w:val="baseline"/>
                <w:lang w:val="en-US"/>
              </w:rPr>
            </w:pPr>
            <w:r>
              <w:rPr>
                <w:rFonts w:hint="eastAsia"/>
                <w:sz w:val="21"/>
                <w:szCs w:val="21"/>
                <w:vertAlign w:val="baseline"/>
              </w:rPr>
              <w:t>· DICOM 3.0兼容：标准配置，确保与医院PACS/RIS系统无缝集成。</w:t>
            </w:r>
          </w:p>
        </w:tc>
        <w:tc>
          <w:tcPr>
            <w:tcW w:w="1169" w:type="dxa"/>
            <w:shd w:val="clear" w:color="auto" w:fill="auto"/>
            <w:vAlign w:val="center"/>
          </w:tcPr>
          <w:p w14:paraId="1E298D9A">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718F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48526D39">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3</w:t>
            </w:r>
          </w:p>
        </w:tc>
        <w:tc>
          <w:tcPr>
            <w:tcW w:w="1701" w:type="dxa"/>
            <w:vAlign w:val="center"/>
          </w:tcPr>
          <w:p w14:paraId="16440BD9">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移动DR</w:t>
            </w:r>
          </w:p>
        </w:tc>
        <w:tc>
          <w:tcPr>
            <w:tcW w:w="1050" w:type="dxa"/>
            <w:vAlign w:val="center"/>
          </w:tcPr>
          <w:p w14:paraId="730A122B">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55EDBA8A">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1. X射线发生系统 </w:t>
            </w:r>
          </w:p>
          <w:p w14:paraId="554B3437">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输出功率：30–50 kW；</w:t>
            </w:r>
          </w:p>
          <w:p w14:paraId="2AA8E305">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管电压：40–125 kV</w:t>
            </w:r>
          </w:p>
          <w:p w14:paraId="0670A229">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管电流：10–80 mA（静态）</w:t>
            </w:r>
          </w:p>
          <w:p w14:paraId="4257FBC2">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焦点：1.0–1.2 mm</w:t>
            </w:r>
          </w:p>
          <w:p w14:paraId="6A627FA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最短曝光：≤ 4 ms，减少运动伪影</w:t>
            </w:r>
          </w:p>
          <w:p w14:paraId="16C8291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2. 平板探测器</w:t>
            </w:r>
          </w:p>
          <w:p w14:paraId="1E0D041B">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类型：碘化铯+非晶硅（a-Si） </w:t>
            </w:r>
          </w:p>
          <w:p w14:paraId="6241A22A">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尺寸： 17×17英寸</w:t>
            </w:r>
          </w:p>
          <w:p w14:paraId="5A60583E">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像素矩阵：≥ 2048×2048</w:t>
            </w:r>
          </w:p>
          <w:p w14:paraId="37164AF4">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像素间距：100–140 μm</w:t>
            </w:r>
          </w:p>
          <w:p w14:paraId="24F4E382">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分辨率：≥ 30 lp/cm，</w:t>
            </w:r>
          </w:p>
          <w:p w14:paraId="61AE1B37">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DQE：≥ 60%，</w:t>
            </w:r>
          </w:p>
          <w:p w14:paraId="4B874210">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传输：无线+有线双模式 </w:t>
            </w:r>
          </w:p>
          <w:p w14:paraId="259B97A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3. 移动机架与整机 </w:t>
            </w:r>
          </w:p>
          <w:p w14:paraId="71BEC99C">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整机重量： &lt; 100 kg</w:t>
            </w:r>
          </w:p>
          <w:p w14:paraId="1824839D">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移动方式：电动/手动，带刹车与防倾倒</w:t>
            </w:r>
          </w:p>
          <w:p w14:paraId="3A7DD714">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升降范围：球管离地 70–200 cm</w:t>
            </w:r>
          </w:p>
          <w:p w14:paraId="766EE475">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续航：锂电池，连续曝光≥200次，待机≥8 h</w:t>
            </w:r>
          </w:p>
          <w:p w14:paraId="08EE96ED">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工作站：标配DICOM，支持PACS/HIS/RIS，自带图像处理工具</w:t>
            </w:r>
          </w:p>
        </w:tc>
        <w:tc>
          <w:tcPr>
            <w:tcW w:w="1169" w:type="dxa"/>
            <w:shd w:val="clear" w:color="auto" w:fill="auto"/>
            <w:vAlign w:val="center"/>
          </w:tcPr>
          <w:p w14:paraId="18D25A6A">
            <w:pPr>
              <w:widowControl w:val="0"/>
              <w:jc w:val="left"/>
              <w:rPr>
                <w:rFonts w:hint="eastAsia" w:asciiTheme="minorHAnsi" w:hAnsiTheme="minorHAnsi" w:eastAsiaTheme="minorEastAsia" w:cstheme="minorBidi"/>
                <w:kern w:val="2"/>
                <w:sz w:val="24"/>
                <w:szCs w:val="24"/>
                <w:highlight w:val="none"/>
                <w:vertAlign w:val="baseline"/>
                <w:lang w:val="en-US" w:eastAsia="zh-CN" w:bidi="ar-SA"/>
              </w:rPr>
            </w:pPr>
          </w:p>
        </w:tc>
      </w:tr>
      <w:tr w14:paraId="76CD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7BCD216E">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4</w:t>
            </w:r>
          </w:p>
        </w:tc>
        <w:tc>
          <w:tcPr>
            <w:tcW w:w="1701" w:type="dxa"/>
            <w:vAlign w:val="center"/>
          </w:tcPr>
          <w:p w14:paraId="03E19F08">
            <w:pPr>
              <w:widowControl w:val="0"/>
              <w:jc w:val="center"/>
              <w:rPr>
                <w:rFonts w:hint="eastAsia" w:eastAsiaTheme="minorEastAsia"/>
                <w:sz w:val="24"/>
                <w:szCs w:val="24"/>
                <w:highlight w:val="none"/>
                <w:vertAlign w:val="baseline"/>
                <w:lang w:eastAsia="zh-CN"/>
              </w:rPr>
            </w:pPr>
            <w:r>
              <w:rPr>
                <w:rFonts w:hint="default"/>
                <w:sz w:val="24"/>
                <w:szCs w:val="24"/>
                <w:highlight w:val="none"/>
                <w:vertAlign w:val="baseline"/>
                <w:lang w:val="en-US" w:eastAsia="zh-CN"/>
              </w:rPr>
              <w:t>C</w:t>
            </w:r>
            <w:r>
              <w:rPr>
                <w:rFonts w:hint="eastAsia"/>
                <w:sz w:val="24"/>
                <w:szCs w:val="24"/>
                <w:highlight w:val="none"/>
                <w:vertAlign w:val="baseline"/>
                <w:lang w:val="en-US" w:eastAsia="zh-CN"/>
              </w:rPr>
              <w:t>型臂成像系统</w:t>
            </w:r>
          </w:p>
        </w:tc>
        <w:tc>
          <w:tcPr>
            <w:tcW w:w="1050" w:type="dxa"/>
            <w:vAlign w:val="center"/>
          </w:tcPr>
          <w:p w14:paraId="55309DC1">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3C501EFE">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一、 成像链核心参数</w:t>
            </w:r>
          </w:p>
          <w:p w14:paraId="1A348FF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X射线发生器</w:t>
            </w:r>
          </w:p>
          <w:p w14:paraId="7C16781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功率： 0.5 kW 到 1.2 kW 之间。</w:t>
            </w:r>
          </w:p>
          <w:p w14:paraId="2115661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管电压范围：35 - 75 kVp。</w:t>
            </w:r>
          </w:p>
          <w:p w14:paraId="4A81AC5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管电流： &lt; 1 mA。</w:t>
            </w:r>
          </w:p>
          <w:p w14:paraId="5F51E017">
            <w:pPr>
              <w:widowControl w:val="0"/>
              <w:jc w:val="left"/>
              <w:rPr>
                <w:rFonts w:hint="default"/>
                <w:sz w:val="21"/>
                <w:szCs w:val="21"/>
                <w:vertAlign w:val="baseline"/>
                <w:lang w:val="en-US" w:eastAsia="zh-CN"/>
              </w:rPr>
            </w:pPr>
            <w:r>
              <w:rPr>
                <w:rFonts w:hint="eastAsia" w:eastAsiaTheme="minorEastAsia"/>
                <w:sz w:val="21"/>
                <w:szCs w:val="21"/>
                <w:vertAlign w:val="baseline"/>
                <w:lang w:val="en-US" w:eastAsia="zh-CN"/>
              </w:rPr>
              <w:t xml:space="preserve">   · 曝光控制：全自动，系统根据探测器接收信号自动调整</w:t>
            </w:r>
            <w:r>
              <w:rPr>
                <w:rFonts w:hint="eastAsia"/>
                <w:sz w:val="21"/>
                <w:szCs w:val="21"/>
                <w:vertAlign w:val="baseline"/>
                <w:lang w:val="en-US" w:eastAsia="zh-CN"/>
              </w:rPr>
              <w:t>。</w:t>
            </w:r>
          </w:p>
          <w:p w14:paraId="68C75AFE">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脉冲透视：连续低剂量透视。</w:t>
            </w:r>
          </w:p>
          <w:p w14:paraId="2B1D535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影像探测器</w:t>
            </w:r>
          </w:p>
          <w:p w14:paraId="7C71A01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探测器类型：数字平板探测器。</w:t>
            </w:r>
          </w:p>
          <w:p w14:paraId="7DBC572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探测器尺寸：</w:t>
            </w:r>
          </w:p>
          <w:p w14:paraId="6F1A41D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5英寸 x 5英寸：提供</w:t>
            </w:r>
            <w:r>
              <w:rPr>
                <w:rFonts w:hint="eastAsia"/>
                <w:sz w:val="21"/>
                <w:szCs w:val="21"/>
                <w:vertAlign w:val="baseline"/>
                <w:lang w:val="en-US" w:eastAsia="zh-CN"/>
              </w:rPr>
              <w:t>较</w:t>
            </w:r>
            <w:r>
              <w:rPr>
                <w:rFonts w:hint="eastAsia" w:eastAsiaTheme="minorEastAsia"/>
                <w:sz w:val="21"/>
                <w:szCs w:val="21"/>
                <w:vertAlign w:val="baseline"/>
                <w:lang w:val="en-US" w:eastAsia="zh-CN"/>
              </w:rPr>
              <w:t>大的视野，能一次看到更多结构，如整个前臂远端或跟骨。</w:t>
            </w:r>
          </w:p>
          <w:p w14:paraId="163FE08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像素矩阵：1024 x 1024，空间分辨率达 3.5 lp/mm 至 5 lp/mm 甚至更高。</w:t>
            </w:r>
          </w:p>
          <w:p w14:paraId="1AD77B5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探测器位置：探测器与球管一体化封装在一个紧凑的机头内，不可移动。</w:t>
            </w:r>
          </w:p>
          <w:p w14:paraId="5797910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图像处理</w:t>
            </w:r>
          </w:p>
          <w:p w14:paraId="19F2A8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图像增强：边缘增强、对比度优化、降噪等算法，专门针对骨骼和软组织对比。</w:t>
            </w:r>
          </w:p>
          <w:p w14:paraId="711349E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图像反转（黑白反转）：方便医生以熟悉的“胶片”模式（骨为白色）或“透视”模式（骨为黑色）查看。</w:t>
            </w:r>
          </w:p>
          <w:p w14:paraId="6086A87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图像拼接：支持图像拼接，用于拍摄长骨（如尺桡骨、胫腓骨）的全长图像。</w:t>
            </w:r>
          </w:p>
          <w:p w14:paraId="08E6F0D8">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二、 机械结构与操作参数</w:t>
            </w:r>
          </w:p>
          <w:p w14:paraId="40C9563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机械设计</w:t>
            </w:r>
          </w:p>
          <w:p w14:paraId="26673D9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结构：一体式悬臂。整个成像机头（球管+探测器）通过一个灵活的机械臂连接。</w:t>
            </w:r>
          </w:p>
          <w:p w14:paraId="11D0A91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等中心：等中心设计。成像靠移动机头对准部位。</w:t>
            </w:r>
          </w:p>
          <w:p w14:paraId="12CBF47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机头厚度：&lt;15cm，便于术中多角度摆放。</w:t>
            </w:r>
          </w:p>
          <w:p w14:paraId="38933572">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运动自由度</w:t>
            </w:r>
          </w:p>
          <w:p w14:paraId="55B01FB1">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机头旋转：可围绕其轴线旋转≥ 180°，轻松实现正位、侧位、斜位投照，无需移动患者肢体。</w:t>
            </w:r>
          </w:p>
          <w:p w14:paraId="2C7CD07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C臂摆动：机头本身可在一定角度内倾斜。</w:t>
            </w:r>
          </w:p>
          <w:p w14:paraId="652CF49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悬臂运动：支持上下、前后、左右的大范围移动和锁定，实现快速定位。</w:t>
            </w:r>
          </w:p>
          <w:p w14:paraId="055A3BD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水平位移：检查床可水平移动，方便对长骨进行分段扫描或拼接。</w:t>
            </w:r>
          </w:p>
          <w:p w14:paraId="3C3B837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患者支撑</w:t>
            </w:r>
          </w:p>
          <w:p w14:paraId="016F93B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检查台/支撑面：标配一个小型、可透X线的检查台，高度可调，用于放置患者肢体。台面</w:t>
            </w:r>
            <w:r>
              <w:rPr>
                <w:rFonts w:hint="eastAsia"/>
                <w:sz w:val="21"/>
                <w:szCs w:val="21"/>
                <w:vertAlign w:val="baseline"/>
                <w:lang w:val="en-US" w:eastAsia="zh-CN"/>
              </w:rPr>
              <w:t>需</w:t>
            </w:r>
            <w:r>
              <w:rPr>
                <w:rFonts w:hint="eastAsia" w:eastAsiaTheme="minorEastAsia"/>
                <w:sz w:val="21"/>
                <w:szCs w:val="21"/>
                <w:vertAlign w:val="baseline"/>
                <w:lang w:val="en-US" w:eastAsia="zh-CN"/>
              </w:rPr>
              <w:t>配有固定带或软垫。</w:t>
            </w:r>
          </w:p>
          <w:p w14:paraId="46A4894F">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三、 辐射安全参数</w:t>
            </w:r>
          </w:p>
          <w:p w14:paraId="76676CE1">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剂量水平：</w:t>
            </w:r>
            <w:r>
              <w:rPr>
                <w:rFonts w:hint="eastAsia"/>
                <w:sz w:val="21"/>
                <w:szCs w:val="21"/>
                <w:vertAlign w:val="baseline"/>
                <w:lang w:val="en-US" w:eastAsia="zh-CN"/>
              </w:rPr>
              <w:t>低</w:t>
            </w:r>
            <w:r>
              <w:rPr>
                <w:rFonts w:hint="eastAsia" w:eastAsiaTheme="minorEastAsia"/>
                <w:sz w:val="21"/>
                <w:szCs w:val="21"/>
                <w:vertAlign w:val="baseline"/>
                <w:lang w:val="en-US" w:eastAsia="zh-CN"/>
              </w:rPr>
              <w:t>辐射剂量</w:t>
            </w:r>
            <w:r>
              <w:rPr>
                <w:rFonts w:hint="eastAsia"/>
                <w:sz w:val="21"/>
                <w:szCs w:val="21"/>
                <w:vertAlign w:val="baseline"/>
                <w:lang w:val="en-US" w:eastAsia="zh-CN"/>
              </w:rPr>
              <w:t>。</w:t>
            </w:r>
          </w:p>
          <w:p w14:paraId="7A7494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典型单次曝光剂量：为标准大型C臂的 1/10 到 1/100。</w:t>
            </w:r>
          </w:p>
          <w:p w14:paraId="329D6E5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术者剂量：</w:t>
            </w:r>
            <w:r>
              <w:rPr>
                <w:rFonts w:hint="eastAsia"/>
                <w:sz w:val="21"/>
                <w:szCs w:val="21"/>
                <w:vertAlign w:val="baseline"/>
                <w:lang w:val="en-US" w:eastAsia="zh-CN"/>
              </w:rPr>
              <w:t>满足</w:t>
            </w:r>
            <w:r>
              <w:rPr>
                <w:rFonts w:hint="eastAsia" w:eastAsiaTheme="minorEastAsia"/>
                <w:sz w:val="21"/>
                <w:szCs w:val="21"/>
                <w:vertAlign w:val="baseline"/>
                <w:lang w:val="en-US" w:eastAsia="zh-CN"/>
              </w:rPr>
              <w:t>术者只需佩戴铅围裙或使用简易防护即可。</w:t>
            </w:r>
          </w:p>
          <w:p w14:paraId="6CD1B41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局部照射：射线束被严格准直在探测器区域，对患者非目标区域和环境的辐射污染小。</w:t>
            </w:r>
          </w:p>
          <w:p w14:paraId="175ACB8E">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四、 软件与功能参数</w:t>
            </w:r>
          </w:p>
          <w:p w14:paraId="3AAD599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标准功能</w:t>
            </w:r>
          </w:p>
          <w:p w14:paraId="0572834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实时透视</w:t>
            </w:r>
          </w:p>
          <w:p w14:paraId="228B167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静态点片采集</w:t>
            </w:r>
          </w:p>
          <w:p w14:paraId="655A001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图像存储（内置硬盘）、回放、导出（USB）</w:t>
            </w:r>
          </w:p>
          <w:p w14:paraId="75AAF75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长度和角度测量工具</w:t>
            </w:r>
          </w:p>
          <w:p w14:paraId="65771DAE">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注释功能</w:t>
            </w:r>
          </w:p>
          <w:p w14:paraId="06AD471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高级功能（选配）</w:t>
            </w:r>
          </w:p>
          <w:p w14:paraId="334B780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双能量成像：</w:t>
            </w:r>
            <w:r>
              <w:rPr>
                <w:rFonts w:hint="eastAsia"/>
                <w:sz w:val="21"/>
                <w:szCs w:val="21"/>
                <w:vertAlign w:val="baseline"/>
                <w:lang w:val="en-US" w:eastAsia="zh-CN"/>
              </w:rPr>
              <w:t>可</w:t>
            </w:r>
            <w:r>
              <w:rPr>
                <w:rFonts w:hint="eastAsia" w:eastAsiaTheme="minorEastAsia"/>
                <w:sz w:val="21"/>
                <w:szCs w:val="21"/>
                <w:vertAlign w:val="baseline"/>
                <w:lang w:val="en-US" w:eastAsia="zh-CN"/>
              </w:rPr>
              <w:t>区分骨与金属植入物，或评估软组织钙化。</w:t>
            </w:r>
          </w:p>
          <w:p w14:paraId="35C58E1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图像拼接（如前所述）。</w:t>
            </w:r>
          </w:p>
          <w:p w14:paraId="150A1A0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DICOM 发送：连接PACS系统。</w:t>
            </w:r>
          </w:p>
          <w:p w14:paraId="21B5C62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骨密度评估：辅助工具。</w:t>
            </w:r>
          </w:p>
          <w:p w14:paraId="63DFEDE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五、 系统集成与人机工程</w:t>
            </w:r>
          </w:p>
          <w:p w14:paraId="23A3617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显示器：单个</w:t>
            </w:r>
            <w:r>
              <w:rPr>
                <w:rFonts w:hint="default"/>
                <w:sz w:val="21"/>
                <w:szCs w:val="21"/>
                <w:vertAlign w:val="baseline"/>
                <w:lang w:val="en-US" w:eastAsia="zh-CN"/>
              </w:rPr>
              <w:t>18-20</w:t>
            </w:r>
            <w:r>
              <w:rPr>
                <w:rFonts w:hint="eastAsia" w:eastAsiaTheme="minorEastAsia"/>
                <w:sz w:val="21"/>
                <w:szCs w:val="21"/>
                <w:vertAlign w:val="baseline"/>
                <w:lang w:val="en-US" w:eastAsia="zh-CN"/>
              </w:rPr>
              <w:t>英寸的高亮度医用显示器，集成在设备立柱或推车上，可多角度旋转。</w:t>
            </w:r>
          </w:p>
          <w:p w14:paraId="0AA08D3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控制面板：非常简洁，防水键盘或触控屏，常用功能（如曝光、采集、反转、测量）一键直达。</w:t>
            </w:r>
          </w:p>
          <w:p w14:paraId="1C2865E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移动性：设备带轮，可轻松在手术室间移动。占地面积小（&lt;1平方米）。</w:t>
            </w:r>
          </w:p>
          <w:p w14:paraId="5D10B52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 电源：</w:t>
            </w:r>
            <w:r>
              <w:rPr>
                <w:rFonts w:hint="eastAsia"/>
                <w:sz w:val="21"/>
                <w:szCs w:val="21"/>
                <w:vertAlign w:val="baseline"/>
                <w:lang w:val="en-US" w:eastAsia="zh-CN"/>
              </w:rPr>
              <w:t>可</w:t>
            </w:r>
            <w:r>
              <w:rPr>
                <w:rFonts w:hint="eastAsia" w:eastAsiaTheme="minorEastAsia"/>
                <w:sz w:val="21"/>
                <w:szCs w:val="21"/>
                <w:vertAlign w:val="baseline"/>
                <w:lang w:val="en-US" w:eastAsia="zh-CN"/>
              </w:rPr>
              <w:t>直接接入普通墙壁插座（110V/220V），无需专用电力改造。</w:t>
            </w:r>
          </w:p>
          <w:p w14:paraId="1898E291">
            <w:pPr>
              <w:widowControl w:val="0"/>
              <w:jc w:val="left"/>
              <w:rPr>
                <w:rFonts w:hint="default"/>
                <w:sz w:val="21"/>
                <w:szCs w:val="21"/>
                <w:highlight w:val="none"/>
                <w:vertAlign w:val="baseline"/>
                <w:lang w:val="en-US"/>
              </w:rPr>
            </w:pPr>
            <w:r>
              <w:rPr>
                <w:rFonts w:hint="eastAsia" w:eastAsiaTheme="minorEastAsia"/>
                <w:sz w:val="21"/>
                <w:szCs w:val="21"/>
                <w:vertAlign w:val="baseline"/>
                <w:lang w:val="en-US" w:eastAsia="zh-CN"/>
              </w:rPr>
              <w:t>5. 清洁消毒：机头表面和检查台需能耐受快速擦拭消毒。</w:t>
            </w:r>
          </w:p>
        </w:tc>
        <w:tc>
          <w:tcPr>
            <w:tcW w:w="1169" w:type="dxa"/>
            <w:shd w:val="clear" w:color="auto" w:fill="auto"/>
            <w:vAlign w:val="center"/>
          </w:tcPr>
          <w:p w14:paraId="51A1524C">
            <w:pPr>
              <w:widowControl w:val="0"/>
              <w:jc w:val="left"/>
              <w:rPr>
                <w:rFonts w:hint="default" w:asciiTheme="minorHAnsi" w:hAnsiTheme="minorHAnsi" w:eastAsiaTheme="minorEastAsia" w:cstheme="minorBidi"/>
                <w:kern w:val="2"/>
                <w:sz w:val="24"/>
                <w:szCs w:val="24"/>
                <w:highlight w:val="none"/>
                <w:vertAlign w:val="baseline"/>
                <w:lang w:val="en-US" w:eastAsia="zh-CN" w:bidi="ar-SA"/>
              </w:rPr>
            </w:pPr>
          </w:p>
        </w:tc>
      </w:tr>
    </w:tbl>
    <w:p w14:paraId="6A48A4A6">
      <w:pPr>
        <w:spacing w:line="118" w:lineRule="exact"/>
        <w:rPr>
          <w:rFonts w:hint="eastAsia" w:eastAsia="宋体"/>
          <w:highlight w:val="none"/>
          <w:lang w:eastAsia="zh-CN"/>
        </w:rPr>
      </w:pPr>
    </w:p>
    <w:p w14:paraId="6BC1C34B">
      <w:pPr>
        <w:spacing w:line="118" w:lineRule="exact"/>
        <w:rPr>
          <w:rFonts w:hint="eastAsia" w:eastAsia="宋体"/>
          <w:highlight w:val="none"/>
          <w:lang w:eastAsia="zh-CN"/>
        </w:rPr>
      </w:pPr>
    </w:p>
    <w:p w14:paraId="62284B27">
      <w:pPr>
        <w:jc w:val="left"/>
        <w:rPr>
          <w:rFonts w:hint="eastAsia" w:ascii="宋体" w:hAnsi="宋体" w:eastAsia="宋体" w:cs="宋体"/>
          <w:sz w:val="44"/>
          <w:szCs w:val="44"/>
          <w:highlight w:val="none"/>
          <w:vertAlign w:val="baseline"/>
          <w:lang w:val="en-US" w:eastAsia="zh-CN"/>
        </w:rPr>
      </w:pPr>
    </w:p>
    <w:p w14:paraId="7A7225E5">
      <w:pPr>
        <w:jc w:val="left"/>
        <w:rPr>
          <w:rFonts w:hint="eastAsia" w:ascii="宋体" w:hAnsi="宋体" w:eastAsia="宋体" w:cs="宋体"/>
          <w:sz w:val="44"/>
          <w:szCs w:val="44"/>
          <w:highlight w:val="none"/>
          <w:vertAlign w:val="baseline"/>
          <w:lang w:val="en-US" w:eastAsia="zh-CN"/>
        </w:rPr>
      </w:pPr>
    </w:p>
    <w:p w14:paraId="7607E4A3">
      <w:pPr>
        <w:jc w:val="left"/>
        <w:rPr>
          <w:rFonts w:hint="eastAsia" w:ascii="宋体" w:hAnsi="宋体" w:eastAsia="宋体" w:cs="宋体"/>
          <w:sz w:val="44"/>
          <w:szCs w:val="44"/>
          <w:highlight w:val="none"/>
          <w:vertAlign w:val="baseline"/>
          <w:lang w:val="en-US" w:eastAsia="zh-CN"/>
        </w:rPr>
      </w:pPr>
    </w:p>
    <w:p w14:paraId="1221D56A">
      <w:pPr>
        <w:jc w:val="left"/>
        <w:rPr>
          <w:rFonts w:hint="eastAsia" w:ascii="宋体" w:hAnsi="宋体" w:eastAsia="宋体" w:cs="宋体"/>
          <w:sz w:val="44"/>
          <w:szCs w:val="44"/>
          <w:highlight w:val="none"/>
          <w:vertAlign w:val="baseline"/>
          <w:lang w:val="en-US" w:eastAsia="zh-CN"/>
        </w:rPr>
      </w:pPr>
    </w:p>
    <w:p w14:paraId="651991F3">
      <w:pPr>
        <w:jc w:val="left"/>
        <w:rPr>
          <w:rFonts w:hint="eastAsia" w:ascii="宋体" w:hAnsi="宋体" w:eastAsia="宋体" w:cs="宋体"/>
          <w:sz w:val="44"/>
          <w:szCs w:val="44"/>
          <w:highlight w:val="none"/>
          <w:vertAlign w:val="baseline"/>
          <w:lang w:val="en-US" w:eastAsia="zh-CN"/>
        </w:rPr>
      </w:pPr>
    </w:p>
    <w:p w14:paraId="1487CFE4">
      <w:pPr>
        <w:jc w:val="left"/>
        <w:rPr>
          <w:rFonts w:hint="eastAsia" w:ascii="宋体" w:hAnsi="宋体" w:eastAsia="宋体" w:cs="宋体"/>
          <w:sz w:val="44"/>
          <w:szCs w:val="44"/>
          <w:highlight w:val="none"/>
          <w:vertAlign w:val="baseline"/>
          <w:lang w:val="en-US" w:eastAsia="zh-CN"/>
        </w:rPr>
      </w:pPr>
      <w:r>
        <w:rPr>
          <w:rFonts w:hint="eastAsia" w:ascii="宋体" w:hAnsi="宋体" w:eastAsia="宋体" w:cs="宋体"/>
          <w:sz w:val="44"/>
          <w:szCs w:val="44"/>
          <w:highlight w:val="none"/>
          <w:vertAlign w:val="baseline"/>
          <w:lang w:val="en-US" w:eastAsia="zh-CN"/>
        </w:rPr>
        <w:t>B包：</w:t>
      </w:r>
    </w:p>
    <w:p w14:paraId="5007E967">
      <w:pPr>
        <w:rPr>
          <w:rFonts w:ascii="Arial"/>
          <w:sz w:val="21"/>
          <w:highlight w:val="none"/>
        </w:rPr>
      </w:pP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3594"/>
        <w:gridCol w:w="990"/>
        <w:gridCol w:w="7230"/>
        <w:gridCol w:w="1169"/>
      </w:tblGrid>
      <w:tr w14:paraId="666D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Align w:val="center"/>
          </w:tcPr>
          <w:p w14:paraId="2D3036A0">
            <w:pPr>
              <w:widowControl w:val="0"/>
              <w:jc w:val="center"/>
              <w:rPr>
                <w:rFonts w:hint="default" w:eastAsiaTheme="minorEastAsia"/>
                <w:sz w:val="24"/>
                <w:szCs w:val="24"/>
                <w:highlight w:val="none"/>
                <w:vertAlign w:val="baseline"/>
                <w:lang w:val="en-US" w:eastAsia="zh-CN"/>
              </w:rPr>
            </w:pPr>
            <w:r>
              <w:rPr>
                <w:rFonts w:hint="eastAsia" w:eastAsiaTheme="minorEastAsia"/>
                <w:sz w:val="24"/>
                <w:szCs w:val="24"/>
                <w:highlight w:val="none"/>
                <w:vertAlign w:val="baseline"/>
                <w:lang w:val="en-US" w:eastAsia="zh-CN"/>
              </w:rPr>
              <w:t>1</w:t>
            </w:r>
          </w:p>
        </w:tc>
        <w:tc>
          <w:tcPr>
            <w:tcW w:w="3594" w:type="dxa"/>
            <w:vAlign w:val="center"/>
          </w:tcPr>
          <w:p w14:paraId="1BFD541B">
            <w:pPr>
              <w:widowControl w:val="0"/>
              <w:jc w:val="center"/>
              <w:rPr>
                <w:rFonts w:hint="default" w:eastAsiaTheme="minorEastAsia"/>
                <w:sz w:val="24"/>
                <w:szCs w:val="24"/>
                <w:highlight w:val="none"/>
                <w:vertAlign w:val="baseline"/>
                <w:lang w:val="en-US" w:eastAsia="zh-CN"/>
              </w:rPr>
            </w:pPr>
            <w:r>
              <w:rPr>
                <w:rFonts w:hint="default" w:eastAsiaTheme="minorEastAsia"/>
                <w:sz w:val="24"/>
                <w:szCs w:val="24"/>
                <w:highlight w:val="none"/>
                <w:vertAlign w:val="baseline"/>
                <w:lang w:val="en-US" w:eastAsia="zh-CN"/>
              </w:rPr>
              <w:t>超高清腹腔内窥镜手术系统</w:t>
            </w:r>
          </w:p>
        </w:tc>
        <w:tc>
          <w:tcPr>
            <w:tcW w:w="990" w:type="dxa"/>
            <w:vAlign w:val="center"/>
          </w:tcPr>
          <w:p w14:paraId="53350DE5">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7230" w:type="dxa"/>
            <w:vAlign w:val="center"/>
          </w:tcPr>
          <w:p w14:paraId="41D86A36">
            <w:pPr>
              <w:widowControl w:val="0"/>
              <w:jc w:val="left"/>
              <w:rPr>
                <w:rFonts w:hint="default" w:eastAsiaTheme="minorEastAsia"/>
                <w:sz w:val="21"/>
                <w:szCs w:val="21"/>
                <w:highlight w:val="none"/>
                <w:vertAlign w:val="baseline"/>
                <w:lang w:val="en-US" w:eastAsia="zh-CN"/>
              </w:rPr>
            </w:pPr>
          </w:p>
          <w:p w14:paraId="3F76FA2C">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一、超高清腹腔镜主机系统</w:t>
            </w:r>
          </w:p>
          <w:p w14:paraId="5F8FDDB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1、高质量图像输出，分辨率可达3840*2160像素、4096*2160像素。</w:t>
            </w:r>
          </w:p>
          <w:p w14:paraId="0FA86FB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2、*亮度可调有≥16级亮度调节，≥16种色调调整，提供更丰富的腔镜观察色彩。</w:t>
            </w:r>
          </w:p>
          <w:p w14:paraId="2A62435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3、*色域符合BT.2020标准，更接近于人眼视觉。</w:t>
            </w:r>
          </w:p>
          <w:p w14:paraId="4488AF6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4、具备自动曝光增强功能。</w:t>
            </w:r>
          </w:p>
          <w:p w14:paraId="07C94FF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5、信号系统：4K和HD，信号输出（传输方式）3G-SGI或HD-SDI。</w:t>
            </w:r>
          </w:p>
          <w:p w14:paraId="036A751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6、自动增益控制（AGC）内镜先端距离目标较远而导致光线不足时，可以对画面进行电子放大。</w:t>
            </w:r>
          </w:p>
          <w:p w14:paraId="5205CEF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7、特殊光观察模式：具备特殊光早癌筛查功能。</w:t>
            </w:r>
          </w:p>
          <w:p w14:paraId="2BFDBD1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8、内窥镜遥控按钮功能：用户可以预设内窥镜上遥控按钮的功能。</w:t>
            </w:r>
          </w:p>
          <w:p w14:paraId="3EA5913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9、原装进口品牌。</w:t>
            </w:r>
          </w:p>
          <w:p w14:paraId="2BADAF0F">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二、光源</w:t>
            </w:r>
          </w:p>
          <w:p w14:paraId="2A6EDB6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1、检查灯：短电弧氙灯300W/LED灯。</w:t>
            </w:r>
          </w:p>
          <w:p w14:paraId="2FB5FB6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2、灯泡平均寿命：可持续使用大于500小时。</w:t>
            </w:r>
          </w:p>
          <w:p w14:paraId="3E80B9A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3、强度模式： 正常或高强度。</w:t>
            </w:r>
          </w:p>
          <w:p w14:paraId="067E6C41">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4、*特殊光观察模式,可进行早癌筛查。</w:t>
            </w:r>
          </w:p>
          <w:p w14:paraId="59426D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5、应急灯 ：卤素灯12V 35W,应急灯泡平均使用寿命约500小时。</w:t>
            </w:r>
          </w:p>
          <w:p w14:paraId="3D38F9D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6、原装进口与摄像主机同一品牌。</w:t>
            </w:r>
          </w:p>
          <w:p w14:paraId="13EF4F74">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三、超高清摄像头</w:t>
            </w:r>
          </w:p>
          <w:p w14:paraId="51925C9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1、*采像系统采用4K超高清背照型CMOS传感器感光性能是表面照射型传感器的两倍，弱光条件下可得到更纯净的画质、更少的噪点。</w:t>
            </w:r>
          </w:p>
          <w:p w14:paraId="6D09965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2、具备一键自动对焦功能。</w:t>
            </w:r>
          </w:p>
          <w:p w14:paraId="3064064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3、有特殊光观察模式。</w:t>
            </w:r>
          </w:p>
          <w:p w14:paraId="55E038D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4、有电子快门功能、电子放大功能</w:t>
            </w:r>
          </w:p>
          <w:p w14:paraId="51D99CD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5、可浸泡在消毒液中清洗/消毒/灭菌。</w:t>
            </w:r>
          </w:p>
          <w:p w14:paraId="37650DD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6、可以环氧乙烷/低温等离子灭菌。</w:t>
            </w:r>
          </w:p>
          <w:p w14:paraId="01B8BC6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7、原装进口与摄像主机同一品牌。</w:t>
            </w:r>
          </w:p>
          <w:p w14:paraId="1AB4813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四、腹腔镜</w:t>
            </w:r>
          </w:p>
          <w:p w14:paraId="3F69F22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1、30°光学试管一条，直径10mm。</w:t>
            </w:r>
          </w:p>
          <w:p w14:paraId="2F843A4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2、可耐受高温高压消毒灭菌，配消毒盒一个。</w:t>
            </w:r>
          </w:p>
          <w:p w14:paraId="562F8604">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3、原装进口与摄像主机同一品牌。</w:t>
            </w:r>
          </w:p>
          <w:p w14:paraId="0BCFE688">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五、导光束</w:t>
            </w:r>
          </w:p>
          <w:p w14:paraId="760BE80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1、光纤长度≥3M。</w:t>
            </w:r>
          </w:p>
          <w:p w14:paraId="5775D4E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2、两端接口可拆卸，可根据需要更换不同接口，同其他品牌相对接。</w:t>
            </w:r>
          </w:p>
          <w:p w14:paraId="1B87225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3、原装进口与摄像主机同一品牌。</w:t>
            </w:r>
          </w:p>
          <w:p w14:paraId="39247115">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六、高频电刀</w:t>
            </w:r>
          </w:p>
          <w:p w14:paraId="68E62883">
            <w:pPr>
              <w:widowControl w:val="0"/>
              <w:jc w:val="left"/>
              <w:rPr>
                <w:rFonts w:hint="eastAsia" w:eastAsiaTheme="minorEastAsia"/>
                <w:sz w:val="21"/>
                <w:szCs w:val="21"/>
                <w:vertAlign w:val="baseline"/>
                <w:lang w:val="en-US" w:eastAsia="zh-CN"/>
              </w:rPr>
            </w:pPr>
            <w:r>
              <w:rPr>
                <w:rFonts w:hint="default" w:eastAsiaTheme="minorEastAsia"/>
                <w:sz w:val="21"/>
                <w:szCs w:val="21"/>
                <w:vertAlign w:val="baseline"/>
                <w:lang w:val="en-US" w:eastAsia="zh-CN"/>
              </w:rPr>
              <w:t>1</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功率：≥300W</w:t>
            </w:r>
            <w:r>
              <w:rPr>
                <w:rFonts w:hint="eastAsia" w:eastAsiaTheme="minorEastAsia"/>
                <w:sz w:val="21"/>
                <w:szCs w:val="21"/>
                <w:vertAlign w:val="baseline"/>
                <w:lang w:val="en-US" w:eastAsia="zh-CN"/>
              </w:rPr>
              <w:t>。</w:t>
            </w:r>
          </w:p>
          <w:p w14:paraId="14A72B2A">
            <w:pPr>
              <w:widowControl w:val="0"/>
              <w:jc w:val="left"/>
              <w:rPr>
                <w:rFonts w:hint="eastAsia" w:eastAsiaTheme="minorEastAsia"/>
                <w:sz w:val="21"/>
                <w:szCs w:val="21"/>
                <w:vertAlign w:val="baseline"/>
                <w:lang w:val="en-US" w:eastAsia="zh-CN"/>
              </w:rPr>
            </w:pPr>
            <w:r>
              <w:rPr>
                <w:rFonts w:hint="default" w:eastAsiaTheme="minorEastAsia"/>
                <w:sz w:val="21"/>
                <w:szCs w:val="21"/>
                <w:vertAlign w:val="baseline"/>
                <w:lang w:val="en-US" w:eastAsia="zh-CN"/>
              </w:rPr>
              <w:t>2</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拥有多种切割、凝血模式，具备单极、双极</w:t>
            </w:r>
            <w:r>
              <w:rPr>
                <w:rFonts w:hint="eastAsia" w:eastAsiaTheme="minorEastAsia"/>
                <w:sz w:val="21"/>
                <w:szCs w:val="21"/>
                <w:vertAlign w:val="baseline"/>
                <w:lang w:val="en-US" w:eastAsia="zh-CN"/>
              </w:rPr>
              <w:t>等离子</w:t>
            </w:r>
            <w:r>
              <w:rPr>
                <w:rFonts w:hint="default" w:eastAsiaTheme="minorEastAsia"/>
                <w:sz w:val="21"/>
                <w:szCs w:val="21"/>
                <w:vertAlign w:val="baseline"/>
                <w:lang w:val="en-US" w:eastAsia="zh-CN"/>
              </w:rPr>
              <w:t>输出功能。适用于开放、腹腔镜、内镜手术</w:t>
            </w:r>
            <w:r>
              <w:rPr>
                <w:rFonts w:hint="eastAsia" w:eastAsiaTheme="minorEastAsia"/>
                <w:sz w:val="21"/>
                <w:szCs w:val="21"/>
                <w:vertAlign w:val="baseline"/>
                <w:lang w:val="en-US" w:eastAsia="zh-CN"/>
              </w:rPr>
              <w:t>。</w:t>
            </w:r>
          </w:p>
          <w:p w14:paraId="5265C7A4">
            <w:pPr>
              <w:widowControl w:val="0"/>
              <w:jc w:val="left"/>
              <w:rPr>
                <w:rFonts w:hint="default" w:eastAsiaTheme="minorEastAsia"/>
                <w:sz w:val="21"/>
                <w:szCs w:val="21"/>
                <w:vertAlign w:val="baseline"/>
                <w:lang w:val="en-US" w:eastAsia="zh-CN"/>
              </w:rPr>
            </w:pPr>
            <w:r>
              <w:rPr>
                <w:rFonts w:hint="default" w:eastAsiaTheme="minorEastAsia"/>
                <w:sz w:val="21"/>
                <w:szCs w:val="21"/>
                <w:vertAlign w:val="baseline"/>
                <w:lang w:val="en-US" w:eastAsia="zh-CN"/>
              </w:rPr>
              <w:t>3</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防电击保护类型 IEC 1类 ,  防电击保护程度CF型</w:t>
            </w:r>
            <w:r>
              <w:rPr>
                <w:rFonts w:hint="eastAsia" w:eastAsiaTheme="minorEastAsia"/>
                <w:sz w:val="21"/>
                <w:szCs w:val="21"/>
                <w:vertAlign w:val="baseline"/>
                <w:lang w:val="en-US" w:eastAsia="zh-CN"/>
              </w:rPr>
              <w:t>。</w:t>
            </w:r>
          </w:p>
          <w:p w14:paraId="1E5FE451">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七、等离子电切镜</w:t>
            </w:r>
          </w:p>
          <w:p w14:paraId="41C9490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1、电切镜光学试管一个：4 mm, 12°视野方向，可高温高压灭菌。</w:t>
            </w:r>
          </w:p>
          <w:p w14:paraId="4A93C55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2、*操作手件一把，用于盐水下双极等离子电切，被动式，开放型 。</w:t>
            </w:r>
          </w:p>
          <w:p w14:paraId="35995D3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3、连续冲洗外层镜鞘一个，8.5mm外径，持续灌流，可360°旋转，所有组件可以高温高压灭菌。</w:t>
            </w:r>
          </w:p>
          <w:p w14:paraId="7E89C46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4、内层连续冲洗镜鞘及闭孔器各一个。</w:t>
            </w:r>
          </w:p>
          <w:p w14:paraId="72096E8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5、环形电极1支。</w:t>
            </w:r>
          </w:p>
          <w:p w14:paraId="2049C6EA">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6、高频双极连接电缆一根。</w:t>
            </w:r>
          </w:p>
          <w:p w14:paraId="7761BA0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八、液晶监视器</w:t>
            </w:r>
          </w:p>
          <w:p w14:paraId="46D511C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1、黑曜面板技术提供更高的对比度画面，减少色彩差异。</w:t>
            </w:r>
          </w:p>
          <w:p w14:paraId="3332ADC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2、≥32寸显示器，支持4K分辨率3840*2160,提供更宽广的色域。</w:t>
            </w:r>
          </w:p>
          <w:p w14:paraId="711FBE4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3、输入：HDMI输入、DVI-D输入、SDI输入、连续远程输入。</w:t>
            </w:r>
          </w:p>
          <w:p w14:paraId="547E437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4、输出：DVI-D输出、SDI输出、DC输出。</w:t>
            </w:r>
          </w:p>
          <w:p w14:paraId="0528EF2C">
            <w:pPr>
              <w:widowControl w:val="0"/>
              <w:jc w:val="left"/>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九、气腹机</w:t>
            </w:r>
          </w:p>
          <w:p w14:paraId="6C99E4B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1.每分钟进气量≥43L,配备大流量穿刺器；</w:t>
            </w:r>
          </w:p>
          <w:p w14:paraId="6747386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2.*具备针对儿科、盆腔及后腹手术需要的（3-15mmHg）低腹气压模式及常规（3-25mmHg）的常规腹部气压模式；</w:t>
            </w:r>
          </w:p>
          <w:p w14:paraId="5AE56ED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3.3种流速设置：高速、中速、低速，最小流量为 0.1L每分钟，适用于儿童手术需要；</w:t>
            </w:r>
          </w:p>
          <w:p w14:paraId="2D1DFFD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4.自动减压功能：当腹腔压力太高时，会激活报警灯并报警，并释放多余的气体。</w:t>
            </w:r>
          </w:p>
          <w:p w14:paraId="3F6F9D1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5.可支持钢瓶供气和中央供气</w:t>
            </w:r>
          </w:p>
          <w:p w14:paraId="11CAC9CC">
            <w:pPr>
              <w:widowControl w:val="0"/>
              <w:jc w:val="left"/>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十、智能排烟机</w:t>
            </w:r>
          </w:p>
          <w:p w14:paraId="527BB46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1、排烟系统含紫外线杀菌模块，配套高效率电子镇流器，广谱杀菌效率≥99.98%；</w:t>
            </w:r>
          </w:p>
          <w:p w14:paraId="26049D22">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2、排烟系统含负离子过滤模块，去除率≥99%；</w:t>
            </w:r>
          </w:p>
          <w:p w14:paraId="65D684A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3、可连接至少2种能量器械在术中同时使用，方便医生同时使用超声刀和电刀的手术习惯；</w:t>
            </w:r>
          </w:p>
          <w:p w14:paraId="0108CB2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4、液晶触摸屏，排烟吸力≥5 档。拥有排烟延迟关闭功能，可调节排烟的延迟关闭时间范围，范围从0秒-30秒。</w:t>
            </w:r>
          </w:p>
          <w:p w14:paraId="49D33C5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十一、多功能专用仪器车</w:t>
            </w:r>
          </w:p>
          <w:p w14:paraId="7E93D4D0">
            <w:pPr>
              <w:widowControl w:val="0"/>
              <w:rPr>
                <w:rFonts w:hint="default"/>
                <w:sz w:val="21"/>
                <w:szCs w:val="21"/>
                <w:highlight w:val="none"/>
                <w:vertAlign w:val="baseline"/>
                <w:lang w:val="en-US"/>
              </w:rPr>
            </w:pPr>
            <w:r>
              <w:rPr>
                <w:rFonts w:hint="eastAsia" w:eastAsiaTheme="minorEastAsia"/>
                <w:sz w:val="21"/>
                <w:szCs w:val="21"/>
                <w:vertAlign w:val="baseline"/>
                <w:lang w:val="en-US" w:eastAsia="zh-CN"/>
              </w:rPr>
              <w:t>1 、分拆式，多功能台车，多层设计，有监视器支臂。</w:t>
            </w:r>
          </w:p>
        </w:tc>
        <w:tc>
          <w:tcPr>
            <w:tcW w:w="1169" w:type="dxa"/>
            <w:vAlign w:val="center"/>
          </w:tcPr>
          <w:p w14:paraId="6A625986">
            <w:pPr>
              <w:widowControl w:val="0"/>
              <w:jc w:val="left"/>
              <w:rPr>
                <w:sz w:val="24"/>
                <w:szCs w:val="24"/>
                <w:highlight w:val="none"/>
                <w:vertAlign w:val="baseline"/>
              </w:rPr>
            </w:pPr>
          </w:p>
        </w:tc>
      </w:tr>
      <w:tr w14:paraId="554D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Align w:val="center"/>
          </w:tcPr>
          <w:p w14:paraId="1F66501A">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2</w:t>
            </w:r>
          </w:p>
        </w:tc>
        <w:tc>
          <w:tcPr>
            <w:tcW w:w="3594" w:type="dxa"/>
            <w:vAlign w:val="center"/>
          </w:tcPr>
          <w:p w14:paraId="2BB19993">
            <w:pPr>
              <w:widowControl w:val="0"/>
              <w:jc w:val="center"/>
              <w:rPr>
                <w:rFonts w:hint="eastAsia"/>
                <w:sz w:val="24"/>
                <w:szCs w:val="24"/>
                <w:highlight w:val="none"/>
                <w:vertAlign w:val="baseline"/>
                <w:lang w:eastAsia="zh-CN"/>
              </w:rPr>
            </w:pPr>
            <w:r>
              <w:rPr>
                <w:rFonts w:hint="eastAsia"/>
                <w:sz w:val="24"/>
                <w:szCs w:val="24"/>
                <w:highlight w:val="none"/>
                <w:vertAlign w:val="baseline"/>
                <w:lang w:val="en-US" w:eastAsia="zh-CN"/>
              </w:rPr>
              <w:t>电子胃肠镜</w:t>
            </w:r>
          </w:p>
        </w:tc>
        <w:tc>
          <w:tcPr>
            <w:tcW w:w="990" w:type="dxa"/>
            <w:vAlign w:val="center"/>
          </w:tcPr>
          <w:p w14:paraId="2FDFAFE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eastAsia="zh-CN"/>
              </w:rPr>
              <w:t>１</w:t>
            </w:r>
          </w:p>
        </w:tc>
        <w:tc>
          <w:tcPr>
            <w:tcW w:w="7230" w:type="dxa"/>
            <w:vAlign w:val="center"/>
          </w:tcPr>
          <w:p w14:paraId="4EFEB5AC">
            <w:pPr>
              <w:widowControl w:val="0"/>
              <w:numPr>
                <w:ilvl w:val="0"/>
                <w:numId w:val="0"/>
              </w:numPr>
              <w:jc w:val="left"/>
              <w:rPr>
                <w:rFonts w:hint="eastAsia" w:cstheme="minorBidi"/>
                <w:b/>
                <w:bCs/>
                <w:kern w:val="2"/>
                <w:sz w:val="21"/>
                <w:szCs w:val="21"/>
                <w:vertAlign w:val="baseline"/>
                <w:lang w:val="en-US" w:eastAsia="zh-CN" w:bidi="ar-SA"/>
              </w:rPr>
            </w:pPr>
            <w:r>
              <w:rPr>
                <w:rFonts w:hint="eastAsia" w:cstheme="minorBidi"/>
                <w:b/>
                <w:bCs/>
                <w:kern w:val="2"/>
                <w:sz w:val="21"/>
                <w:szCs w:val="21"/>
                <w:vertAlign w:val="baseline"/>
                <w:lang w:val="en-US" w:eastAsia="zh-CN" w:bidi="ar-SA"/>
              </w:rPr>
              <w:t>一．主机设备参数</w:t>
            </w:r>
          </w:p>
          <w:p w14:paraId="3841B5E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（一）核心成像系统参数</w:t>
            </w:r>
          </w:p>
          <w:p w14:paraId="25E16F9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图像传感器类型</w:t>
            </w:r>
          </w:p>
          <w:p w14:paraId="20C1F579">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CMOS：主流技术，功耗低、读取速度快、可集成更多功能（如CBI、LCI）。</w:t>
            </w:r>
          </w:p>
          <w:p w14:paraId="08465B9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分辨率</w:t>
            </w:r>
          </w:p>
          <w:p w14:paraId="1C5D5AA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超高清/4K： 3840x2160像素，能提供极致的细节。</w:t>
            </w:r>
          </w:p>
          <w:p w14:paraId="5327E95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图像处理技术</w:t>
            </w:r>
          </w:p>
          <w:p w14:paraId="53E01CA6">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窄带成像： 通过特定波长的窄带光照射，增强黏膜表层血管和结构的对比度，满足早癌筛查需要。</w:t>
            </w:r>
          </w:p>
          <w:p w14:paraId="2FF7214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智能电子/光学染色： 通过数字或光学方式增强不同组织的颜色对比，辅助诊断。</w:t>
            </w:r>
          </w:p>
          <w:p w14:paraId="7C89F49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自适应红光增强/智能分光比色技术： 优化红光输出，改善深部血管和出血点的可视性。</w:t>
            </w:r>
          </w:p>
          <w:p w14:paraId="6A75D02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高动态范围：优化明暗区域的细节，避免过曝或过暗。</w:t>
            </w:r>
          </w:p>
          <w:p w14:paraId="5DF9B40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4. 帧率</w:t>
            </w:r>
          </w:p>
          <w:p w14:paraId="6A00DA5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标准：30帧/秒或60帧/秒，满足常规检查。</w:t>
            </w:r>
          </w:p>
          <w:p w14:paraId="34DE08BD">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高帧率：可达120帧/秒或更高，确保在快速移动（如十二指肠镜检查）或精细操作时画面无拖影、更流畅。</w:t>
            </w:r>
          </w:p>
          <w:p w14:paraId="6195C91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（二）光源系统参数</w:t>
            </w:r>
          </w:p>
          <w:p w14:paraId="6DD5FC2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光源类型</w:t>
            </w:r>
          </w:p>
          <w:p w14:paraId="686440E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氙气灯：传统高亮度光源，色温接近日光，但寿命有限（约500小时）。</w:t>
            </w:r>
          </w:p>
          <w:p w14:paraId="6FD00AE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LED光源：现代主流，寿命长（约2万小时以上），即开即亮，发热低，功耗小，并能精确控制不同波段的光谱，实现特殊光成像。</w:t>
            </w:r>
          </w:p>
          <w:p w14:paraId="03AA177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光输出强度</w:t>
            </w:r>
          </w:p>
          <w:p w14:paraId="6A6B276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单位为流明或勒克斯。</w:t>
            </w:r>
          </w:p>
          <w:p w14:paraId="7A24D874">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特殊光模式</w:t>
            </w:r>
          </w:p>
          <w:p w14:paraId="46860B4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主机需支持与内镜匹配的特殊光成像模式，并能快速一键切换。</w:t>
            </w:r>
          </w:p>
          <w:p w14:paraId="24189C8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（三）显示与记录系统</w:t>
            </w:r>
          </w:p>
          <w:p w14:paraId="7ACB725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显示器</w:t>
            </w:r>
          </w:p>
          <w:p w14:paraId="47EB65F7">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尺寸与分辨率：至少与主机最高输出分辨率匹配（如4K主机需配4K监视器），尺寸为19寸至32寸。</w:t>
            </w:r>
          </w:p>
          <w:p w14:paraId="31B8F8F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色彩还原：高色域覆盖（如sRGB &gt;99%）和色彩精度，确保诊断颜色无偏差。</w:t>
            </w:r>
          </w:p>
          <w:p w14:paraId="2F1BEEC9">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图像/视频记录</w:t>
            </w:r>
          </w:p>
          <w:p w14:paraId="0069C85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存储介质：内置硬盘或SSD，容量通常为500GB至数TB。</w:t>
            </w:r>
          </w:p>
          <w:p w14:paraId="040BBE0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记录格式：支持高分辨率静态图像（JPEG、TIFF）和动态视频（MP4、AVI）录制，并支持病人信息关联存储。</w:t>
            </w:r>
          </w:p>
          <w:p w14:paraId="24EE6467">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实时输出：提供高清/4K视频输出接口（如HDMI、SDI），用于连接外部记录设备或示教系统。</w:t>
            </w:r>
          </w:p>
          <w:p w14:paraId="62A0A8D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（四）系统功能与集成参数</w:t>
            </w:r>
          </w:p>
          <w:p w14:paraId="6E4C639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兼容性</w:t>
            </w:r>
          </w:p>
          <w:p w14:paraId="48C6D76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内镜兼容：支持品牌旗下不同系列、不同型号的胃镜、肠镜、十二指肠镜、超声内镜等。</w:t>
            </w:r>
          </w:p>
          <w:p w14:paraId="0C30529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外围设备集成：支持与高频电刀、氩气刀、CO2送气泵、送水泵、内镜送气送水泵等治疗附件联动控制。</w:t>
            </w:r>
          </w:p>
          <w:p w14:paraId="7DB8DB1C">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用户界面与操作</w:t>
            </w:r>
          </w:p>
          <w:p w14:paraId="731F1154">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控制面板：按键布局是否合理，有可自定义功能的快捷键。</w:t>
            </w:r>
          </w:p>
          <w:p w14:paraId="589B4C46">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触摸屏：配备触摸屏，操作可直观。</w:t>
            </w:r>
          </w:p>
          <w:p w14:paraId="14A015F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语音控制：支持，便于在无菌操作中控制拍照、录像等。</w:t>
            </w:r>
          </w:p>
          <w:p w14:paraId="342E44F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软件功能</w:t>
            </w:r>
          </w:p>
          <w:p w14:paraId="0250158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图像测量：实时距离、面积测量。</w:t>
            </w:r>
          </w:p>
          <w:p w14:paraId="32517BC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图像标注：在图像上添加文字或箭头标注。</w:t>
            </w:r>
          </w:p>
          <w:p w14:paraId="440F60FD">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报告生成：集成或兼容报告生成系统，快速生成图文报告。</w:t>
            </w:r>
          </w:p>
          <w:p w14:paraId="6671215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AI辅助诊断：集成AI实时辅助检测息肉、早癌等病变。</w:t>
            </w:r>
          </w:p>
          <w:p w14:paraId="6A0E9BF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（五）物理与安全参数</w:t>
            </w:r>
          </w:p>
          <w:p w14:paraId="7B1C6C7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物理规格</w:t>
            </w:r>
          </w:p>
          <w:p w14:paraId="2D02D89C">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尺寸与重量：为移动式推车或壁挂式。</w:t>
            </w:r>
          </w:p>
          <w:p w14:paraId="226EB4F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散热与噪音：良好的散热设计和低噪音运行。</w:t>
            </w:r>
          </w:p>
          <w:p w14:paraId="7F2323C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电气与安全</w:t>
            </w:r>
          </w:p>
          <w:p w14:paraId="4A9A041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电源要求：输入电压范围（如100-240V AC）。</w:t>
            </w:r>
          </w:p>
          <w:p w14:paraId="53F0E4A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安全认证：必须通过所在国家/地区的医疗设备认证，如中国的NMPA认证，美国的FDA认证，欧盟的CE认证。</w:t>
            </w:r>
          </w:p>
          <w:p w14:paraId="3291706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防水防尘等级：控制面板应具备一定的防液体泼溅能力。</w:t>
            </w:r>
          </w:p>
          <w:p w14:paraId="4AA29D0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消毒与感染控制</w:t>
            </w:r>
          </w:p>
          <w:p w14:paraId="0C6A761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主机表面材料需易于清洁和消毒，符合院内感染控制规范。</w:t>
            </w:r>
          </w:p>
          <w:p w14:paraId="165829BA">
            <w:pPr>
              <w:widowControl w:val="0"/>
              <w:numPr>
                <w:ilvl w:val="0"/>
                <w:numId w:val="0"/>
              </w:numPr>
              <w:jc w:val="left"/>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二．</w:t>
            </w:r>
            <w:r>
              <w:rPr>
                <w:rFonts w:hint="eastAsia"/>
                <w:b/>
                <w:bCs/>
                <w:sz w:val="21"/>
                <w:szCs w:val="21"/>
                <w:vertAlign w:val="baseline"/>
                <w:lang w:eastAsia="zh-CN"/>
              </w:rPr>
              <w:t>镜体参数</w:t>
            </w:r>
          </w:p>
          <w:p w14:paraId="02BEFC5E">
            <w:pPr>
              <w:widowControl w:val="0"/>
              <w:numPr>
                <w:ilvl w:val="0"/>
                <w:numId w:val="0"/>
              </w:numPr>
              <w:jc w:val="left"/>
              <w:rPr>
                <w:rFonts w:hint="eastAsia"/>
                <w:sz w:val="21"/>
                <w:szCs w:val="21"/>
                <w:vertAlign w:val="baseline"/>
              </w:rPr>
            </w:pPr>
            <w:r>
              <w:rPr>
                <w:rFonts w:hint="eastAsia"/>
                <w:sz w:val="21"/>
                <w:szCs w:val="21"/>
                <w:vertAlign w:val="baseline"/>
                <w:lang w:eastAsia="zh-CN"/>
              </w:rPr>
              <w:t>（一）</w:t>
            </w:r>
            <w:r>
              <w:rPr>
                <w:rFonts w:hint="eastAsia"/>
                <w:sz w:val="21"/>
                <w:szCs w:val="21"/>
                <w:vertAlign w:val="baseline"/>
              </w:rPr>
              <w:t>胃镜参数</w:t>
            </w:r>
          </w:p>
          <w:p w14:paraId="47051A08">
            <w:pPr>
              <w:widowControl w:val="0"/>
              <w:jc w:val="left"/>
              <w:rPr>
                <w:rFonts w:hint="eastAsia"/>
                <w:sz w:val="21"/>
                <w:szCs w:val="21"/>
                <w:vertAlign w:val="baseline"/>
              </w:rPr>
            </w:pPr>
            <w:r>
              <w:rPr>
                <w:rFonts w:hint="eastAsia"/>
                <w:sz w:val="21"/>
                <w:szCs w:val="21"/>
                <w:vertAlign w:val="baseline"/>
              </w:rPr>
              <w:t>1. 插入部直径：9.0 - 10.5 mm。有更细的经鼻胃镜（约5-6mm）。</w:t>
            </w:r>
          </w:p>
          <w:p w14:paraId="6F202B0B">
            <w:pPr>
              <w:widowControl w:val="0"/>
              <w:jc w:val="left"/>
              <w:rPr>
                <w:rFonts w:hint="eastAsia"/>
                <w:sz w:val="21"/>
                <w:szCs w:val="21"/>
                <w:vertAlign w:val="baseline"/>
              </w:rPr>
            </w:pPr>
            <w:r>
              <w:rPr>
                <w:rFonts w:hint="eastAsia"/>
                <w:sz w:val="21"/>
                <w:szCs w:val="21"/>
                <w:vertAlign w:val="baseline"/>
              </w:rPr>
              <w:t>2. 工作长度：胃镜长约 100 - 110 cm。</w:t>
            </w:r>
          </w:p>
          <w:p w14:paraId="2F97BA42">
            <w:pPr>
              <w:widowControl w:val="0"/>
              <w:jc w:val="left"/>
              <w:rPr>
                <w:rFonts w:hint="eastAsia"/>
                <w:sz w:val="21"/>
                <w:szCs w:val="21"/>
                <w:vertAlign w:val="baseline"/>
              </w:rPr>
            </w:pPr>
            <w:r>
              <w:rPr>
                <w:rFonts w:hint="eastAsia"/>
                <w:sz w:val="21"/>
                <w:szCs w:val="21"/>
                <w:vertAlign w:val="baseline"/>
              </w:rPr>
              <w:t>3. 视野角：140°超广角。</w:t>
            </w:r>
          </w:p>
          <w:p w14:paraId="5A8EDF63">
            <w:pPr>
              <w:widowControl w:val="0"/>
              <w:jc w:val="left"/>
              <w:rPr>
                <w:rFonts w:hint="eastAsia"/>
                <w:sz w:val="21"/>
                <w:szCs w:val="21"/>
                <w:vertAlign w:val="baseline"/>
              </w:rPr>
            </w:pPr>
            <w:r>
              <w:rPr>
                <w:rFonts w:hint="eastAsia"/>
                <w:sz w:val="21"/>
                <w:szCs w:val="21"/>
                <w:vertAlign w:val="baseline"/>
              </w:rPr>
              <w:t>4. 先端弯曲角度：上 210°， 下 90°， 左 100°， 右 100°。</w:t>
            </w:r>
          </w:p>
          <w:p w14:paraId="5970DABF">
            <w:pPr>
              <w:widowControl w:val="0"/>
              <w:jc w:val="left"/>
              <w:rPr>
                <w:rFonts w:hint="eastAsia"/>
                <w:sz w:val="21"/>
                <w:szCs w:val="21"/>
                <w:vertAlign w:val="baseline"/>
              </w:rPr>
            </w:pPr>
            <w:r>
              <w:rPr>
                <w:rFonts w:hint="eastAsia"/>
                <w:sz w:val="21"/>
                <w:szCs w:val="21"/>
                <w:vertAlign w:val="baseline"/>
              </w:rPr>
              <w:t>5. 钳道直径：2.8mm 或 3.2mm（治疗镜）。</w:t>
            </w:r>
          </w:p>
          <w:p w14:paraId="6BBFDC01">
            <w:pPr>
              <w:widowControl w:val="0"/>
              <w:jc w:val="left"/>
              <w:rPr>
                <w:rFonts w:hint="eastAsia"/>
                <w:sz w:val="21"/>
                <w:szCs w:val="21"/>
                <w:vertAlign w:val="baseline"/>
              </w:rPr>
            </w:pPr>
            <w:r>
              <w:rPr>
                <w:rFonts w:hint="eastAsia"/>
                <w:sz w:val="21"/>
                <w:szCs w:val="21"/>
                <w:vertAlign w:val="baseline"/>
              </w:rPr>
              <w:t>6. 成像模式：</w:t>
            </w:r>
          </w:p>
          <w:p w14:paraId="784C57C1">
            <w:pPr>
              <w:widowControl w:val="0"/>
              <w:jc w:val="left"/>
              <w:rPr>
                <w:rFonts w:hint="eastAsia"/>
                <w:sz w:val="21"/>
                <w:szCs w:val="21"/>
                <w:vertAlign w:val="baseline"/>
              </w:rPr>
            </w:pPr>
            <w:r>
              <w:rPr>
                <w:rFonts w:hint="eastAsia"/>
                <w:sz w:val="21"/>
                <w:szCs w:val="21"/>
                <w:vertAlign w:val="baseline"/>
              </w:rPr>
              <w:t xml:space="preserve">   · 白光成像：基础观察。</w:t>
            </w:r>
          </w:p>
          <w:p w14:paraId="6C6393AF">
            <w:pPr>
              <w:widowControl w:val="0"/>
              <w:jc w:val="left"/>
              <w:rPr>
                <w:rFonts w:hint="eastAsia"/>
                <w:sz w:val="21"/>
                <w:szCs w:val="21"/>
                <w:vertAlign w:val="baseline"/>
              </w:rPr>
            </w:pPr>
            <w:r>
              <w:rPr>
                <w:rFonts w:hint="eastAsia"/>
                <w:sz w:val="21"/>
                <w:szCs w:val="21"/>
                <w:vertAlign w:val="baseline"/>
              </w:rPr>
              <w:t xml:space="preserve">   · 窄带成像：突出黏膜表面结构和毛细血管形态，用于早期癌症筛查。</w:t>
            </w:r>
          </w:p>
          <w:p w14:paraId="5C520024">
            <w:pPr>
              <w:widowControl w:val="0"/>
              <w:jc w:val="left"/>
              <w:rPr>
                <w:rFonts w:hint="eastAsia"/>
                <w:sz w:val="21"/>
                <w:szCs w:val="21"/>
                <w:vertAlign w:val="baseline"/>
              </w:rPr>
            </w:pPr>
            <w:r>
              <w:rPr>
                <w:rFonts w:hint="eastAsia"/>
                <w:sz w:val="21"/>
                <w:szCs w:val="21"/>
                <w:vertAlign w:val="baseline"/>
              </w:rPr>
              <w:t xml:space="preserve">   · 电子染色/图像增强： 如奥林巴斯的OE、富士的LCI/BLI等，增强病变与正常组织的对比。</w:t>
            </w:r>
          </w:p>
          <w:p w14:paraId="20AC692B">
            <w:pPr>
              <w:widowControl w:val="0"/>
              <w:jc w:val="left"/>
              <w:rPr>
                <w:rFonts w:hint="eastAsia"/>
                <w:sz w:val="21"/>
                <w:szCs w:val="21"/>
                <w:vertAlign w:val="baseline"/>
              </w:rPr>
            </w:pPr>
            <w:r>
              <w:rPr>
                <w:rFonts w:hint="eastAsia"/>
                <w:sz w:val="21"/>
                <w:szCs w:val="21"/>
                <w:vertAlign w:val="baseline"/>
              </w:rPr>
              <w:t>7. 充气与吸引： 手动控制。检查过程中会间断充气（</w:t>
            </w:r>
            <w:r>
              <w:rPr>
                <w:rFonts w:hint="eastAsia"/>
                <w:sz w:val="21"/>
                <w:szCs w:val="21"/>
                <w:vertAlign w:val="baseline"/>
                <w:lang w:eastAsia="zh-CN"/>
              </w:rPr>
              <w:t>可用</w:t>
            </w:r>
            <w:r>
              <w:rPr>
                <w:rFonts w:hint="eastAsia"/>
                <w:sz w:val="21"/>
                <w:szCs w:val="21"/>
                <w:vertAlign w:val="baseline"/>
              </w:rPr>
              <w:t>空气，</w:t>
            </w:r>
            <w:r>
              <w:rPr>
                <w:rFonts w:hint="eastAsia"/>
                <w:sz w:val="21"/>
                <w:szCs w:val="21"/>
                <w:vertAlign w:val="baseline"/>
                <w:lang w:eastAsia="zh-CN"/>
              </w:rPr>
              <w:t>亦</w:t>
            </w:r>
            <w:r>
              <w:rPr>
                <w:rFonts w:hint="eastAsia"/>
                <w:sz w:val="21"/>
                <w:szCs w:val="21"/>
                <w:vertAlign w:val="baseline"/>
              </w:rPr>
              <w:t>可用CO₂减少腹胀）以撑开胃壁，并吸引液体和气泡。</w:t>
            </w:r>
          </w:p>
          <w:p w14:paraId="1D7D0669">
            <w:pPr>
              <w:widowControl w:val="0"/>
              <w:jc w:val="left"/>
              <w:rPr>
                <w:rFonts w:hint="eastAsia"/>
                <w:sz w:val="21"/>
                <w:szCs w:val="21"/>
                <w:vertAlign w:val="baseline"/>
              </w:rPr>
            </w:pPr>
            <w:r>
              <w:rPr>
                <w:rFonts w:hint="eastAsia"/>
                <w:sz w:val="21"/>
                <w:szCs w:val="21"/>
                <w:vertAlign w:val="baseline"/>
                <w:lang w:eastAsia="zh-CN"/>
              </w:rPr>
              <w:t>（二）</w:t>
            </w:r>
            <w:r>
              <w:rPr>
                <w:rFonts w:hint="eastAsia"/>
                <w:sz w:val="21"/>
                <w:szCs w:val="21"/>
                <w:vertAlign w:val="baseline"/>
              </w:rPr>
              <w:t>肠镜参数</w:t>
            </w:r>
          </w:p>
          <w:p w14:paraId="1E7E2603">
            <w:pPr>
              <w:widowControl w:val="0"/>
              <w:jc w:val="left"/>
              <w:rPr>
                <w:rFonts w:hint="eastAsia"/>
                <w:sz w:val="21"/>
                <w:szCs w:val="21"/>
                <w:vertAlign w:val="baseline"/>
              </w:rPr>
            </w:pPr>
            <w:r>
              <w:rPr>
                <w:rFonts w:hint="eastAsia"/>
                <w:sz w:val="21"/>
                <w:szCs w:val="21"/>
                <w:vertAlign w:val="baseline"/>
              </w:rPr>
              <w:t>1. 插入部直径：12 - 13.5 mm。</w:t>
            </w:r>
          </w:p>
          <w:p w14:paraId="3F60E1F6">
            <w:pPr>
              <w:widowControl w:val="0"/>
              <w:jc w:val="left"/>
              <w:rPr>
                <w:rFonts w:hint="eastAsia"/>
                <w:sz w:val="21"/>
                <w:szCs w:val="21"/>
                <w:vertAlign w:val="baseline"/>
              </w:rPr>
            </w:pPr>
            <w:r>
              <w:rPr>
                <w:rFonts w:hint="eastAsia"/>
                <w:sz w:val="21"/>
                <w:szCs w:val="21"/>
                <w:vertAlign w:val="baseline"/>
              </w:rPr>
              <w:t>2. 工作长度： 结肠镜长约 130 - 170 cm。</w:t>
            </w:r>
          </w:p>
          <w:p w14:paraId="063D7363">
            <w:pPr>
              <w:widowControl w:val="0"/>
              <w:jc w:val="left"/>
              <w:rPr>
                <w:rFonts w:hint="eastAsia"/>
                <w:sz w:val="21"/>
                <w:szCs w:val="21"/>
                <w:vertAlign w:val="baseline"/>
              </w:rPr>
            </w:pPr>
            <w:r>
              <w:rPr>
                <w:rFonts w:hint="eastAsia"/>
                <w:sz w:val="21"/>
                <w:szCs w:val="21"/>
                <w:vertAlign w:val="baseline"/>
              </w:rPr>
              <w:t>3. 视野角：为 140°。</w:t>
            </w:r>
          </w:p>
          <w:p w14:paraId="15820051">
            <w:pPr>
              <w:widowControl w:val="0"/>
              <w:jc w:val="left"/>
              <w:rPr>
                <w:rFonts w:hint="eastAsia"/>
                <w:sz w:val="21"/>
                <w:szCs w:val="21"/>
                <w:vertAlign w:val="baseline"/>
              </w:rPr>
            </w:pPr>
            <w:r>
              <w:rPr>
                <w:rFonts w:hint="eastAsia"/>
                <w:sz w:val="21"/>
                <w:szCs w:val="21"/>
                <w:vertAlign w:val="baseline"/>
              </w:rPr>
              <w:t>4. 先端弯曲角度： 上 180°， 下 180°， 左 160°， 右 160°。</w:t>
            </w:r>
          </w:p>
          <w:p w14:paraId="3A54D236">
            <w:pPr>
              <w:widowControl w:val="0"/>
              <w:jc w:val="left"/>
              <w:rPr>
                <w:rFonts w:hint="eastAsia"/>
                <w:sz w:val="21"/>
                <w:szCs w:val="21"/>
                <w:vertAlign w:val="baseline"/>
              </w:rPr>
            </w:pPr>
            <w:r>
              <w:rPr>
                <w:rFonts w:hint="eastAsia"/>
                <w:sz w:val="21"/>
                <w:szCs w:val="21"/>
                <w:vertAlign w:val="baseline"/>
              </w:rPr>
              <w:t>5. 钳道直径： 3.2mm 或 3.7/3.8mm（治疗镜），便于息肉切除等操作。</w:t>
            </w:r>
          </w:p>
          <w:p w14:paraId="3BD64CBA">
            <w:pPr>
              <w:widowControl w:val="0"/>
              <w:jc w:val="left"/>
              <w:rPr>
                <w:rFonts w:hint="eastAsia"/>
                <w:sz w:val="21"/>
                <w:szCs w:val="21"/>
                <w:vertAlign w:val="baseline"/>
              </w:rPr>
            </w:pPr>
            <w:r>
              <w:rPr>
                <w:rFonts w:hint="eastAsia"/>
                <w:sz w:val="21"/>
                <w:szCs w:val="21"/>
                <w:vertAlign w:val="baseline"/>
              </w:rPr>
              <w:t>6. 成像模式： 具备白光和各种电子染色技术。</w:t>
            </w:r>
          </w:p>
          <w:p w14:paraId="3463F755">
            <w:pPr>
              <w:widowControl w:val="0"/>
              <w:jc w:val="left"/>
              <w:rPr>
                <w:rFonts w:hint="eastAsia"/>
                <w:sz w:val="21"/>
                <w:szCs w:val="21"/>
                <w:vertAlign w:val="baseline"/>
              </w:rPr>
            </w:pPr>
            <w:r>
              <w:rPr>
                <w:rFonts w:hint="eastAsia"/>
                <w:sz w:val="21"/>
                <w:szCs w:val="21"/>
                <w:vertAlign w:val="baseline"/>
              </w:rPr>
              <w:t>7. 辅助功能：</w:t>
            </w:r>
          </w:p>
          <w:p w14:paraId="6967EC22">
            <w:pPr>
              <w:widowControl w:val="0"/>
              <w:jc w:val="left"/>
              <w:rPr>
                <w:rFonts w:hint="eastAsia"/>
                <w:sz w:val="21"/>
                <w:szCs w:val="21"/>
                <w:vertAlign w:val="baseline"/>
              </w:rPr>
            </w:pPr>
            <w:r>
              <w:rPr>
                <w:rFonts w:hint="eastAsia"/>
                <w:sz w:val="21"/>
                <w:szCs w:val="21"/>
                <w:vertAlign w:val="baseline"/>
              </w:rPr>
              <w:t xml:space="preserve">   · 注水功能：冲洗肠道内容物和黏膜，获得清晰视野。</w:t>
            </w:r>
          </w:p>
          <w:p w14:paraId="747C7864">
            <w:pPr>
              <w:widowControl w:val="0"/>
              <w:jc w:val="left"/>
              <w:rPr>
                <w:rFonts w:hint="eastAsia"/>
                <w:sz w:val="21"/>
                <w:szCs w:val="21"/>
                <w:vertAlign w:val="baseline"/>
              </w:rPr>
            </w:pPr>
            <w:r>
              <w:rPr>
                <w:rFonts w:hint="eastAsia"/>
                <w:sz w:val="21"/>
                <w:szCs w:val="21"/>
                <w:vertAlign w:val="baseline"/>
              </w:rPr>
              <w:t xml:space="preserve">   · 硬度调节：镜身硬度可调节，便于通过困难的肠段。</w:t>
            </w:r>
          </w:p>
          <w:p w14:paraId="1A728407">
            <w:pPr>
              <w:widowControl w:val="0"/>
              <w:numPr>
                <w:ilvl w:val="0"/>
                <w:numId w:val="0"/>
              </w:numPr>
              <w:jc w:val="left"/>
              <w:rPr>
                <w:rFonts w:hint="eastAsia"/>
                <w:b/>
                <w:bCs/>
                <w:sz w:val="21"/>
                <w:szCs w:val="21"/>
                <w:vertAlign w:val="baseline"/>
                <w:lang w:eastAsia="zh-CN"/>
              </w:rPr>
            </w:pPr>
            <w:r>
              <w:rPr>
                <w:rFonts w:hint="eastAsia" w:asciiTheme="minorHAnsi" w:hAnsiTheme="minorHAnsi" w:eastAsiaTheme="minorEastAsia" w:cstheme="minorBidi"/>
                <w:b/>
                <w:bCs/>
                <w:kern w:val="2"/>
                <w:sz w:val="21"/>
                <w:szCs w:val="21"/>
                <w:vertAlign w:val="baseline"/>
                <w:lang w:val="en-US" w:eastAsia="zh-CN" w:bidi="ar-SA"/>
              </w:rPr>
              <w:t>三．</w:t>
            </w:r>
            <w:r>
              <w:rPr>
                <w:rFonts w:hint="eastAsia"/>
                <w:b/>
                <w:bCs/>
                <w:sz w:val="21"/>
                <w:szCs w:val="21"/>
                <w:vertAlign w:val="baseline"/>
                <w:lang w:eastAsia="zh-CN"/>
              </w:rPr>
              <w:t>周边设备参数</w:t>
            </w:r>
          </w:p>
          <w:p w14:paraId="0376CAB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（一）通用性核心参数</w:t>
            </w:r>
          </w:p>
          <w:p w14:paraId="24F298F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1. 接口类型与标准</w:t>
            </w:r>
          </w:p>
          <w:p w14:paraId="776E24F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光源接口： LG口或CLV-S/X系列接口。必须与主机厂家的光源型号匹配。</w:t>
            </w:r>
          </w:p>
          <w:p w14:paraId="1B332D0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送气/送水接口： 标准化的AW接口（Air/Water）。</w:t>
            </w:r>
          </w:p>
          <w:p w14:paraId="1647322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吸引接口： 标准化的SU接口（Suction）。</w:t>
            </w:r>
          </w:p>
          <w:p w14:paraId="7816172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电气/信号接口：</w:t>
            </w:r>
          </w:p>
          <w:p w14:paraId="7C6DC1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视频接口： HDMI、DVI、SDI</w:t>
            </w:r>
          </w:p>
          <w:p w14:paraId="429CAD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数据接口： USB 2.0/3.0、Gigabit Ethernet（千兆网，用于PACS连接）。</w:t>
            </w:r>
          </w:p>
          <w:p w14:paraId="60C143E5">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控制接口： RS-232（串口，用于与内镜吊塔、冷冻泵等外部设备通信）。</w:t>
            </w:r>
          </w:p>
          <w:p w14:paraId="6887AC9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2. 内镜兼容性</w:t>
            </w:r>
          </w:p>
          <w:p w14:paraId="4B31E0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品牌系列兼容：明确支持主机和镜体的特定型号。</w:t>
            </w:r>
          </w:p>
          <w:p w14:paraId="2AE3808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镜种兼容： 支持胃镜（Gastroscope）、结肠镜（Colonoscope）、十二指肠镜（Duodenoscope）、超声内镜（EUS）、支气管镜（Bronchoscope）等。</w:t>
            </w:r>
          </w:p>
          <w:p w14:paraId="77ED3DF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光学类型兼容： 兼容白光、NBI/FICE/BLI（电子染色）、AFI（自体荧光）等特殊光模式。</w:t>
            </w:r>
          </w:p>
          <w:p w14:paraId="7D2D46C7">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3. 系统与软件兼容性</w:t>
            </w:r>
          </w:p>
          <w:p w14:paraId="2084DC6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操作系统： 基于Windows 10/11 IoT企业版，确保长期稳定支持。</w:t>
            </w:r>
          </w:p>
          <w:p w14:paraId="1BD68C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图像处理软件版本： 需与内镜主机处理器的软件版本匹配。</w:t>
            </w:r>
          </w:p>
          <w:p w14:paraId="638272D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医院信息系统集成： 支持HL7、DICOM标准，能与医院的HIS（医院信息系统）、RIS（放射信息系统）、PACS（影像归档和通信系统）无缝对接，实现患者信息自动调取和图像归档。</w:t>
            </w:r>
          </w:p>
          <w:p w14:paraId="08DE26F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（二）功能性参数（按设备类别）</w:t>
            </w:r>
          </w:p>
          <w:p w14:paraId="73EC81E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A. 图像处理与显示设备（视频处理器、监视器）</w:t>
            </w:r>
          </w:p>
          <w:p w14:paraId="49C3D0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分辨率： 大于1920x1080（全高清2K），可提供更佳细节。</w:t>
            </w:r>
          </w:p>
          <w:p w14:paraId="2472C86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图像处理能力： 支持实时图像增强、数字降噪、宽动态范围，优化黏膜和血管显示。</w:t>
            </w:r>
          </w:p>
          <w:p w14:paraId="02D04FA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色彩还原度： sRGB或Adobe RGB色域覆盖，确保染色内镜和窄带成像的颜色准确性。</w:t>
            </w:r>
          </w:p>
          <w:p w14:paraId="277662F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监视器规格： 尺寸（≥24寸）、亮度（≥500 cd/m²）、对比度、可视角度。</w:t>
            </w:r>
          </w:p>
          <w:p w14:paraId="130FAE3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B. 送气送水与吸引设备（如：气泵、水瓶、吸引器）</w:t>
            </w:r>
          </w:p>
          <w:p w14:paraId="7CE0739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送气功能：</w:t>
            </w:r>
          </w:p>
          <w:p w14:paraId="73FA198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气压范围与可调性： 通常可调（如0-2.0 kPa），避免过度充气。</w:t>
            </w:r>
          </w:p>
          <w:p w14:paraId="60FD3AD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气体类型： 普通空气或CO₂（二氧化碳，吸收更快，患者术后腹胀感轻）。</w:t>
            </w:r>
          </w:p>
          <w:p w14:paraId="1F4CCEA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送水功能：</w:t>
            </w:r>
          </w:p>
          <w:p w14:paraId="5F4DA52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水压与流速： 足够冲刷镜头和黏膜，可调节。</w:t>
            </w:r>
          </w:p>
          <w:p w14:paraId="26F3E01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水瓶容量与无菌设计： 1.0L或1.5L，一次性使用，无菌包装。</w:t>
            </w:r>
          </w:p>
          <w:p w14:paraId="6A8FEAD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吸引功能：</w:t>
            </w:r>
          </w:p>
          <w:p w14:paraId="759D0C7C">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负压值： 可调范围（-10kPa 至 -80kPa），能吸除液体和少量组织。</w:t>
            </w:r>
          </w:p>
          <w:p w14:paraId="6B2F0D1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吸引瓶容量与防逆流设计： 2.0L或4.0L，有一次性防逆流阀和细菌过滤器。</w:t>
            </w:r>
          </w:p>
          <w:p w14:paraId="3323BFE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C. 治疗与辅助设备</w:t>
            </w:r>
          </w:p>
          <w:p w14:paraId="774ED69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高频电外科设备（电刀）：</w:t>
            </w:r>
          </w:p>
          <w:p w14:paraId="2EC8299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输出模式： 切割、凝血、混合模式。</w:t>
            </w:r>
          </w:p>
          <w:p w14:paraId="6A8B1C8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功率范围： 切割（1-300W）、凝血（1-120W），可精确调节。</w:t>
            </w:r>
          </w:p>
          <w:p w14:paraId="6113543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安全性： 具备患者回路电极监测、组织阻抗监测、电弧控制等功能。</w:t>
            </w:r>
          </w:p>
          <w:p w14:paraId="5A83A97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内镜用送水泵：</w:t>
            </w:r>
          </w:p>
          <w:p w14:paraId="539C73C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喷射压力与时间： 高压喷射（如3.5 MPa）用于ESD/EFTR等治疗中的黏膜下剥离，可设置脉冲时间。</w:t>
            </w:r>
          </w:p>
          <w:p w14:paraId="6ABA284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二氧化碳送气机：</w:t>
            </w:r>
          </w:p>
          <w:p w14:paraId="08A7690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流量控制： 自动调节进气流量（如0.5-5.0 L/min），维持腔内稳定压力。</w:t>
            </w:r>
          </w:p>
          <w:p w14:paraId="76A2911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D. 清洗消毒设备（非常重要）</w:t>
            </w:r>
          </w:p>
          <w:p w14:paraId="1B2AAED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清洗消毒机：</w:t>
            </w:r>
          </w:p>
          <w:p w14:paraId="7EC38BA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流程合规性： 遵循国家卫健委WS 507-2016《软式内镜清洗消毒技术规范》。</w:t>
            </w:r>
          </w:p>
          <w:p w14:paraId="58B7EFA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消毒剂兼容性： 兼容邻苯二甲醛、过氧乙酸、戊二醛等主流消毒剂。</w:t>
            </w:r>
          </w:p>
          <w:p w14:paraId="3290541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关键参数： 消毒液温度、浸泡时间、漂洗水质量（过滤水/无菌水）、干燥空气质量。</w:t>
            </w:r>
          </w:p>
          <w:p w14:paraId="379F909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E. 存储与记录设备</w:t>
            </w:r>
          </w:p>
          <w:p w14:paraId="5781BFE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图像存储： 支持JPEG、DICOM格式，单张图像大小（2-10 MB）。</w:t>
            </w:r>
          </w:p>
          <w:p w14:paraId="483D4C9C">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视频录制： 支持MPEG-4、H.264格式，录制分辨率与帧率（1080p @ 30fps/60fps）。</w:t>
            </w:r>
          </w:p>
          <w:p w14:paraId="05BA4568">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存储容量： 内置硬盘容量（1TB起），支持外接存储或网络存储。</w:t>
            </w:r>
          </w:p>
          <w:p w14:paraId="3E5A7E4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（三）安全、合规与物理参数</w:t>
            </w:r>
          </w:p>
          <w:p w14:paraId="5BFB892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1. 电气安全：</w:t>
            </w:r>
          </w:p>
          <w:p w14:paraId="27486CE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认证标准： 必须符合IEC 60601-1（医用电气设备通用安全标准）及其并列标准（如IEC 60601-1-2电磁兼容）。</w:t>
            </w:r>
          </w:p>
          <w:p w14:paraId="2125053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防护等级： 防电击类型（通常是CF型，允许直接用于心脏）、IP防水等级（如IPX1防滴漏）。</w:t>
            </w:r>
          </w:p>
          <w:p w14:paraId="25B623F8">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2. 生物安全与材料：</w:t>
            </w:r>
          </w:p>
          <w:p w14:paraId="29D0742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与患者接触部件： 必须无菌或高水平消毒，材料需生物相容性认证。</w:t>
            </w:r>
          </w:p>
          <w:p w14:paraId="46937EA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外壳材料： 耐腐蚀、易清洁消毒。</w:t>
            </w:r>
          </w:p>
          <w:p w14:paraId="11E4735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3. 环境要求：</w:t>
            </w:r>
          </w:p>
          <w:p w14:paraId="163B57D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工作温度/湿度： 10°C - 40°C温度， 30% - 75%相对湿度（非冷凝）。</w:t>
            </w:r>
          </w:p>
          <w:p w14:paraId="5B394B27">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存储温度/湿度复合行业标准要求。</w:t>
            </w:r>
          </w:p>
          <w:p w14:paraId="72FA7F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大气压力范围复合行业标准要求。</w:t>
            </w:r>
          </w:p>
          <w:p w14:paraId="411C6DD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4. 物理规格：</w:t>
            </w:r>
          </w:p>
          <w:p w14:paraId="76D63BD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尺寸与重量： 不影响移动和摆放。</w:t>
            </w:r>
          </w:p>
          <w:p w14:paraId="22A5E49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供电要求： 电压（AC 220-240V）、频率（50/60 Hz）、功耗。</w:t>
            </w:r>
          </w:p>
          <w:p w14:paraId="77EE45E9">
            <w:pPr>
              <w:widowControl w:val="0"/>
              <w:jc w:val="left"/>
              <w:rPr>
                <w:rFonts w:hint="default"/>
                <w:sz w:val="21"/>
                <w:szCs w:val="21"/>
                <w:highlight w:val="none"/>
                <w:vertAlign w:val="baseline"/>
                <w:lang w:val="en-US"/>
              </w:rPr>
            </w:pPr>
            <w:r>
              <w:rPr>
                <w:rFonts w:hint="eastAsia"/>
                <w:sz w:val="21"/>
                <w:szCs w:val="21"/>
                <w:vertAlign w:val="baseline"/>
                <w:lang w:eastAsia="zh-CN"/>
              </w:rPr>
              <w:t xml:space="preserve">   · 噪声水平： 吸引泵和清洗机，需低于</w:t>
            </w:r>
            <w:r>
              <w:rPr>
                <w:rFonts w:hint="default"/>
                <w:sz w:val="21"/>
                <w:szCs w:val="21"/>
                <w:vertAlign w:val="baseline"/>
                <w:lang w:val="en-US" w:eastAsia="zh-CN"/>
              </w:rPr>
              <w:t>55</w:t>
            </w:r>
            <w:r>
              <w:rPr>
                <w:rFonts w:hint="eastAsia"/>
                <w:sz w:val="21"/>
                <w:szCs w:val="21"/>
                <w:vertAlign w:val="baseline"/>
                <w:lang w:eastAsia="zh-CN"/>
              </w:rPr>
              <w:t>分贝。</w:t>
            </w:r>
          </w:p>
        </w:tc>
        <w:tc>
          <w:tcPr>
            <w:tcW w:w="1169" w:type="dxa"/>
            <w:vAlign w:val="center"/>
          </w:tcPr>
          <w:p w14:paraId="7BC822A4">
            <w:pPr>
              <w:widowControl w:val="0"/>
              <w:jc w:val="left"/>
              <w:rPr>
                <w:rFonts w:hint="default" w:eastAsia="宋体"/>
                <w:sz w:val="24"/>
                <w:szCs w:val="24"/>
                <w:highlight w:val="none"/>
                <w:vertAlign w:val="baseline"/>
                <w:lang w:val="en-US" w:eastAsia="zh-CN"/>
              </w:rPr>
            </w:pPr>
          </w:p>
        </w:tc>
      </w:tr>
      <w:tr w14:paraId="7F0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shd w:val="clear" w:color="auto" w:fill="auto"/>
            <w:vAlign w:val="center"/>
          </w:tcPr>
          <w:p w14:paraId="557C2507">
            <w:pPr>
              <w:widowControl w:val="0"/>
              <w:jc w:val="center"/>
              <w:rPr>
                <w:rFonts w:hint="eastAsia" w:ascii="Arial" w:hAnsi="Arial" w:eastAsia="宋体" w:cs="Arial"/>
                <w:snapToGrid w:val="0"/>
                <w:color w:val="000000"/>
                <w:kern w:val="0"/>
                <w:sz w:val="24"/>
                <w:szCs w:val="24"/>
                <w:highlight w:val="none"/>
                <w:vertAlign w:val="baseline"/>
                <w:lang w:val="en-US" w:eastAsia="zh-CN" w:bidi="ar-SA"/>
              </w:rPr>
            </w:pPr>
            <w:r>
              <w:rPr>
                <w:rFonts w:hint="eastAsia" w:eastAsia="宋体"/>
                <w:sz w:val="24"/>
                <w:szCs w:val="24"/>
                <w:highlight w:val="none"/>
                <w:vertAlign w:val="baseline"/>
                <w:lang w:val="en-US" w:eastAsia="zh-CN"/>
              </w:rPr>
              <w:t>3</w:t>
            </w:r>
          </w:p>
        </w:tc>
        <w:tc>
          <w:tcPr>
            <w:tcW w:w="3594" w:type="dxa"/>
            <w:shd w:val="clear" w:color="auto" w:fill="auto"/>
            <w:vAlign w:val="center"/>
          </w:tcPr>
          <w:p w14:paraId="605AD72F">
            <w:pPr>
              <w:widowControl w:val="0"/>
              <w:jc w:val="center"/>
              <w:rPr>
                <w:rFonts w:hint="eastAsia" w:ascii="Arial" w:hAnsi="Arial" w:eastAsia="Arial" w:cs="Arial"/>
                <w:snapToGrid w:val="0"/>
                <w:color w:val="000000"/>
                <w:kern w:val="0"/>
                <w:sz w:val="24"/>
                <w:szCs w:val="24"/>
                <w:highlight w:val="none"/>
                <w:vertAlign w:val="baseline"/>
                <w:lang w:val="en-US" w:eastAsia="zh-CN" w:bidi="ar-SA"/>
              </w:rPr>
            </w:pPr>
            <w:r>
              <w:rPr>
                <w:rFonts w:hint="default"/>
                <w:sz w:val="24"/>
                <w:szCs w:val="24"/>
                <w:highlight w:val="none"/>
                <w:vertAlign w:val="baseline"/>
                <w:lang w:val="en-US"/>
              </w:rPr>
              <w:t>耳鼻喉</w:t>
            </w:r>
            <w:r>
              <w:rPr>
                <w:rFonts w:hint="eastAsia"/>
                <w:sz w:val="24"/>
                <w:szCs w:val="24"/>
                <w:highlight w:val="none"/>
                <w:vertAlign w:val="baseline"/>
                <w:lang w:val="en-US" w:eastAsia="zh-CN"/>
              </w:rPr>
              <w:t>专用</w:t>
            </w:r>
            <w:r>
              <w:rPr>
                <w:rFonts w:hint="default"/>
                <w:sz w:val="24"/>
                <w:szCs w:val="24"/>
                <w:highlight w:val="none"/>
                <w:vertAlign w:val="baseline"/>
                <w:lang w:val="en-US"/>
              </w:rPr>
              <w:t>内镜检查系统</w:t>
            </w:r>
            <w:r>
              <w:rPr>
                <w:rFonts w:hint="eastAsia"/>
                <w:sz w:val="24"/>
                <w:szCs w:val="24"/>
                <w:highlight w:val="none"/>
                <w:vertAlign w:val="baseline"/>
                <w:lang w:val="en-US" w:eastAsia="zh-CN"/>
              </w:rPr>
              <w:t>（含</w:t>
            </w:r>
            <w:r>
              <w:rPr>
                <w:rFonts w:hint="default"/>
                <w:sz w:val="24"/>
                <w:szCs w:val="24"/>
                <w:highlight w:val="none"/>
                <w:vertAlign w:val="baseline"/>
                <w:lang w:val="en-US"/>
              </w:rPr>
              <w:t>内镜系统配套的图文工作站</w:t>
            </w:r>
            <w:r>
              <w:rPr>
                <w:rFonts w:hint="eastAsia"/>
                <w:sz w:val="24"/>
                <w:szCs w:val="24"/>
                <w:highlight w:val="none"/>
                <w:vertAlign w:val="baseline"/>
                <w:lang w:val="en-US" w:eastAsia="zh-CN"/>
              </w:rPr>
              <w:t>）</w:t>
            </w:r>
          </w:p>
        </w:tc>
        <w:tc>
          <w:tcPr>
            <w:tcW w:w="990" w:type="dxa"/>
            <w:shd w:val="clear" w:color="auto" w:fill="auto"/>
            <w:vAlign w:val="center"/>
          </w:tcPr>
          <w:p w14:paraId="44D205FC">
            <w:pPr>
              <w:widowControl w:val="0"/>
              <w:jc w:val="center"/>
              <w:rPr>
                <w:rFonts w:hint="default" w:ascii="Arial" w:hAnsi="Arial" w:eastAsia="Arial" w:cs="Arial"/>
                <w:snapToGrid w:val="0"/>
                <w:color w:val="000000"/>
                <w:kern w:val="0"/>
                <w:sz w:val="24"/>
                <w:szCs w:val="24"/>
                <w:highlight w:val="none"/>
                <w:vertAlign w:val="baseline"/>
                <w:lang w:val="en-US" w:eastAsia="zh-CN" w:bidi="ar-SA"/>
              </w:rPr>
            </w:pPr>
            <w:r>
              <w:rPr>
                <w:rFonts w:hint="default"/>
                <w:sz w:val="24"/>
                <w:szCs w:val="24"/>
                <w:highlight w:val="none"/>
                <w:vertAlign w:val="baseline"/>
                <w:lang w:val="en-US" w:eastAsia="zh-CN"/>
              </w:rPr>
              <w:t>1</w:t>
            </w:r>
          </w:p>
        </w:tc>
        <w:tc>
          <w:tcPr>
            <w:tcW w:w="7230" w:type="dxa"/>
            <w:shd w:val="clear" w:color="auto" w:fill="auto"/>
            <w:vAlign w:val="center"/>
          </w:tcPr>
          <w:p w14:paraId="3733711C">
            <w:pPr>
              <w:widowControl w:val="0"/>
              <w:jc w:val="both"/>
              <w:rPr>
                <w:rFonts w:hint="eastAsia"/>
                <w:b/>
                <w:bCs/>
                <w:sz w:val="21"/>
                <w:szCs w:val="21"/>
                <w:vertAlign w:val="baseline"/>
              </w:rPr>
            </w:pPr>
            <w:r>
              <w:rPr>
                <w:rFonts w:hint="eastAsia"/>
                <w:b/>
                <w:bCs/>
                <w:sz w:val="21"/>
                <w:szCs w:val="21"/>
                <w:vertAlign w:val="baseline"/>
              </w:rPr>
              <w:t>第一部分：内镜与摄像系统</w:t>
            </w:r>
          </w:p>
          <w:p w14:paraId="68953E80">
            <w:pPr>
              <w:widowControl w:val="0"/>
              <w:jc w:val="both"/>
              <w:rPr>
                <w:rFonts w:hint="eastAsia"/>
                <w:b/>
                <w:bCs/>
                <w:sz w:val="21"/>
                <w:szCs w:val="21"/>
                <w:vertAlign w:val="baseline"/>
              </w:rPr>
            </w:pPr>
            <w:r>
              <w:rPr>
                <w:rFonts w:hint="eastAsia"/>
                <w:b/>
                <w:bCs/>
                <w:sz w:val="21"/>
                <w:szCs w:val="21"/>
                <w:vertAlign w:val="baseline"/>
              </w:rPr>
              <w:t>一、内镜本体（硬镜与软镜）参数</w:t>
            </w:r>
          </w:p>
          <w:p w14:paraId="0BB4DDD3">
            <w:pPr>
              <w:widowControl w:val="0"/>
              <w:jc w:val="both"/>
              <w:rPr>
                <w:rFonts w:hint="eastAsia"/>
                <w:sz w:val="21"/>
                <w:szCs w:val="21"/>
                <w:vertAlign w:val="baseline"/>
              </w:rPr>
            </w:pPr>
            <w:r>
              <w:rPr>
                <w:rFonts w:hint="eastAsia"/>
                <w:sz w:val="21"/>
                <w:szCs w:val="21"/>
                <w:vertAlign w:val="baseline"/>
              </w:rPr>
              <w:t>1. 类型与直径</w:t>
            </w:r>
          </w:p>
          <w:p w14:paraId="7A2FCBC5">
            <w:pPr>
              <w:widowControl w:val="0"/>
              <w:jc w:val="both"/>
              <w:rPr>
                <w:rFonts w:hint="eastAsia"/>
                <w:sz w:val="21"/>
                <w:szCs w:val="21"/>
                <w:vertAlign w:val="baseline"/>
              </w:rPr>
            </w:pPr>
            <w:r>
              <w:rPr>
                <w:rFonts w:hint="eastAsia"/>
                <w:sz w:val="21"/>
                <w:szCs w:val="21"/>
                <w:vertAlign w:val="baseline"/>
              </w:rPr>
              <w:t xml:space="preserve">   · 硬性内镜：</w:t>
            </w:r>
          </w:p>
          <w:p w14:paraId="2C6C1F4B">
            <w:pPr>
              <w:widowControl w:val="0"/>
              <w:jc w:val="both"/>
              <w:rPr>
                <w:rFonts w:hint="eastAsia"/>
                <w:sz w:val="21"/>
                <w:szCs w:val="21"/>
                <w:vertAlign w:val="baseline"/>
              </w:rPr>
            </w:pPr>
            <w:r>
              <w:rPr>
                <w:rFonts w:hint="eastAsia"/>
                <w:sz w:val="21"/>
                <w:szCs w:val="21"/>
                <w:vertAlign w:val="baseline"/>
              </w:rPr>
              <w:t xml:space="preserve">     · 直径： 常见规格有 2.7mm（常用于鼻腔、鼻咽部）、4.0mm（通用型，用于鼻窦、喉部）、1.9mm/2.4mm（超细，用于耳道、小儿鼻腔）。</w:t>
            </w:r>
          </w:p>
          <w:p w14:paraId="7F0B2BFF">
            <w:pPr>
              <w:widowControl w:val="0"/>
              <w:jc w:val="both"/>
              <w:rPr>
                <w:rFonts w:hint="eastAsia"/>
                <w:sz w:val="21"/>
                <w:szCs w:val="21"/>
                <w:vertAlign w:val="baseline"/>
              </w:rPr>
            </w:pPr>
            <w:r>
              <w:rPr>
                <w:rFonts w:hint="eastAsia"/>
                <w:sz w:val="21"/>
                <w:szCs w:val="21"/>
                <w:vertAlign w:val="baseline"/>
              </w:rPr>
              <w:t xml:space="preserve">     · 长度： 通常为 18cm 或 30cm。</w:t>
            </w:r>
          </w:p>
          <w:p w14:paraId="577608A1">
            <w:pPr>
              <w:widowControl w:val="0"/>
              <w:jc w:val="both"/>
              <w:rPr>
                <w:rFonts w:hint="eastAsia"/>
                <w:sz w:val="21"/>
                <w:szCs w:val="21"/>
                <w:vertAlign w:val="baseline"/>
              </w:rPr>
            </w:pPr>
            <w:r>
              <w:rPr>
                <w:rFonts w:hint="eastAsia"/>
                <w:sz w:val="21"/>
                <w:szCs w:val="21"/>
                <w:vertAlign w:val="baseline"/>
              </w:rPr>
              <w:t xml:space="preserve">   · 软性电子鼻咽喉镜：</w:t>
            </w:r>
          </w:p>
          <w:p w14:paraId="270D7A38">
            <w:pPr>
              <w:widowControl w:val="0"/>
              <w:jc w:val="both"/>
              <w:rPr>
                <w:rFonts w:hint="eastAsia"/>
                <w:sz w:val="21"/>
                <w:szCs w:val="21"/>
                <w:vertAlign w:val="baseline"/>
              </w:rPr>
            </w:pPr>
            <w:r>
              <w:rPr>
                <w:rFonts w:hint="eastAsia"/>
                <w:sz w:val="21"/>
                <w:szCs w:val="21"/>
                <w:vertAlign w:val="baseline"/>
              </w:rPr>
              <w:t xml:space="preserve">     · 插入部外径： 通常为 3.5mm - 4.9mm。超细款可小于3mm，适合儿童或狭窄鼻腔。</w:t>
            </w:r>
          </w:p>
          <w:p w14:paraId="5C4EB1B7">
            <w:pPr>
              <w:widowControl w:val="0"/>
              <w:jc w:val="both"/>
              <w:rPr>
                <w:rFonts w:hint="eastAsia"/>
                <w:sz w:val="21"/>
                <w:szCs w:val="21"/>
                <w:vertAlign w:val="baseline"/>
              </w:rPr>
            </w:pPr>
            <w:r>
              <w:rPr>
                <w:rFonts w:hint="eastAsia"/>
                <w:sz w:val="21"/>
                <w:szCs w:val="21"/>
                <w:vertAlign w:val="baseline"/>
              </w:rPr>
              <w:t xml:space="preserve">     · 工作长度： 通常为 55cm - 65cm，足够到达喉部及下咽。</w:t>
            </w:r>
          </w:p>
          <w:p w14:paraId="3CF1F0EF">
            <w:pPr>
              <w:widowControl w:val="0"/>
              <w:jc w:val="both"/>
              <w:rPr>
                <w:rFonts w:hint="eastAsia"/>
                <w:sz w:val="21"/>
                <w:szCs w:val="21"/>
                <w:vertAlign w:val="baseline"/>
              </w:rPr>
            </w:pPr>
            <w:r>
              <w:rPr>
                <w:rFonts w:hint="eastAsia"/>
                <w:sz w:val="21"/>
                <w:szCs w:val="21"/>
                <w:vertAlign w:val="baseline"/>
              </w:rPr>
              <w:t>2. 视角与视向角</w:t>
            </w:r>
          </w:p>
          <w:p w14:paraId="193D872D">
            <w:pPr>
              <w:widowControl w:val="0"/>
              <w:jc w:val="both"/>
              <w:rPr>
                <w:rFonts w:hint="eastAsia"/>
                <w:sz w:val="21"/>
                <w:szCs w:val="21"/>
                <w:vertAlign w:val="baseline"/>
              </w:rPr>
            </w:pPr>
            <w:r>
              <w:rPr>
                <w:rFonts w:hint="eastAsia"/>
                <w:sz w:val="21"/>
                <w:szCs w:val="21"/>
                <w:vertAlign w:val="baseline"/>
              </w:rPr>
              <w:t xml:space="preserve">   · 视角： 硬镜 0°、30°、70°、90°。</w:t>
            </w:r>
          </w:p>
          <w:p w14:paraId="4A84E2F4">
            <w:pPr>
              <w:widowControl w:val="0"/>
              <w:jc w:val="both"/>
              <w:rPr>
                <w:rFonts w:hint="eastAsia"/>
                <w:sz w:val="21"/>
                <w:szCs w:val="21"/>
                <w:vertAlign w:val="baseline"/>
              </w:rPr>
            </w:pPr>
            <w:r>
              <w:rPr>
                <w:rFonts w:hint="eastAsia"/>
                <w:sz w:val="21"/>
                <w:szCs w:val="21"/>
                <w:vertAlign w:val="baseline"/>
              </w:rPr>
              <w:t xml:space="preserve">   · 视场角： 60° - 120° 之间。</w:t>
            </w:r>
          </w:p>
          <w:p w14:paraId="4C6D39BD">
            <w:pPr>
              <w:widowControl w:val="0"/>
              <w:jc w:val="both"/>
              <w:rPr>
                <w:rFonts w:hint="eastAsia"/>
                <w:sz w:val="21"/>
                <w:szCs w:val="21"/>
                <w:vertAlign w:val="baseline"/>
              </w:rPr>
            </w:pPr>
            <w:r>
              <w:rPr>
                <w:rFonts w:hint="eastAsia"/>
                <w:sz w:val="21"/>
                <w:szCs w:val="21"/>
                <w:vertAlign w:val="baseline"/>
              </w:rPr>
              <w:t>3. 景深</w:t>
            </w:r>
          </w:p>
          <w:p w14:paraId="5F309733">
            <w:pPr>
              <w:widowControl w:val="0"/>
              <w:jc w:val="both"/>
              <w:rPr>
                <w:rFonts w:hint="eastAsia"/>
                <w:sz w:val="21"/>
                <w:szCs w:val="21"/>
                <w:vertAlign w:val="baseline"/>
              </w:rPr>
            </w:pPr>
            <w:r>
              <w:rPr>
                <w:rFonts w:hint="eastAsia"/>
                <w:sz w:val="21"/>
                <w:szCs w:val="21"/>
                <w:vertAlign w:val="baseline"/>
              </w:rPr>
              <w:t xml:space="preserve">   · 景深 3mm 至 50/100mm</w:t>
            </w:r>
            <w:r>
              <w:rPr>
                <w:rFonts w:hint="eastAsia"/>
                <w:sz w:val="21"/>
                <w:szCs w:val="21"/>
                <w:vertAlign w:val="baseline"/>
                <w:lang w:eastAsia="zh-CN"/>
              </w:rPr>
              <w:t>。</w:t>
            </w:r>
            <w:r>
              <w:rPr>
                <w:rFonts w:hint="eastAsia"/>
                <w:sz w:val="21"/>
                <w:szCs w:val="21"/>
                <w:vertAlign w:val="baseline"/>
              </w:rPr>
              <w:t>在狭窄腔道内操作时，前后移动仍能保持图像清晰。</w:t>
            </w:r>
          </w:p>
          <w:p w14:paraId="07F4C30C">
            <w:pPr>
              <w:widowControl w:val="0"/>
              <w:jc w:val="both"/>
              <w:rPr>
                <w:rFonts w:hint="eastAsia"/>
                <w:sz w:val="21"/>
                <w:szCs w:val="21"/>
                <w:vertAlign w:val="baseline"/>
              </w:rPr>
            </w:pPr>
            <w:r>
              <w:rPr>
                <w:rFonts w:hint="eastAsia"/>
                <w:sz w:val="21"/>
                <w:szCs w:val="21"/>
                <w:vertAlign w:val="baseline"/>
              </w:rPr>
              <w:t>4. 光学分辨率</w:t>
            </w:r>
          </w:p>
          <w:p w14:paraId="4177C4CC">
            <w:pPr>
              <w:widowControl w:val="0"/>
              <w:jc w:val="both"/>
              <w:rPr>
                <w:rFonts w:hint="eastAsia"/>
                <w:sz w:val="21"/>
                <w:szCs w:val="21"/>
                <w:vertAlign w:val="baseline"/>
              </w:rPr>
            </w:pPr>
            <w:r>
              <w:rPr>
                <w:rFonts w:hint="eastAsia"/>
                <w:sz w:val="21"/>
                <w:szCs w:val="21"/>
                <w:vertAlign w:val="baseline"/>
              </w:rPr>
              <w:t xml:space="preserve">   ·</w:t>
            </w:r>
            <w:r>
              <w:rPr>
                <w:rFonts w:hint="eastAsia"/>
                <w:sz w:val="21"/>
                <w:szCs w:val="21"/>
                <w:vertAlign w:val="baseline"/>
                <w:lang w:eastAsia="zh-CN"/>
              </w:rPr>
              <w:t>分辨率高，</w:t>
            </w:r>
            <w:r>
              <w:rPr>
                <w:rFonts w:hint="eastAsia"/>
                <w:sz w:val="21"/>
                <w:szCs w:val="21"/>
                <w:vertAlign w:val="baseline"/>
              </w:rPr>
              <w:t>无像素感。</w:t>
            </w:r>
          </w:p>
          <w:p w14:paraId="5B513A4E">
            <w:pPr>
              <w:widowControl w:val="0"/>
              <w:jc w:val="both"/>
              <w:rPr>
                <w:rFonts w:hint="eastAsia"/>
                <w:b/>
                <w:bCs/>
                <w:sz w:val="21"/>
                <w:szCs w:val="21"/>
                <w:vertAlign w:val="baseline"/>
              </w:rPr>
            </w:pPr>
            <w:r>
              <w:rPr>
                <w:rFonts w:hint="eastAsia"/>
                <w:b/>
                <w:bCs/>
                <w:sz w:val="21"/>
                <w:szCs w:val="21"/>
                <w:vertAlign w:val="baseline"/>
              </w:rPr>
              <w:t>二、摄像系统核心参数</w:t>
            </w:r>
          </w:p>
          <w:p w14:paraId="6DD1C0B3">
            <w:pPr>
              <w:widowControl w:val="0"/>
              <w:jc w:val="both"/>
              <w:rPr>
                <w:rFonts w:hint="eastAsia"/>
                <w:sz w:val="21"/>
                <w:szCs w:val="21"/>
                <w:vertAlign w:val="baseline"/>
              </w:rPr>
            </w:pPr>
            <w:r>
              <w:rPr>
                <w:rFonts w:hint="eastAsia"/>
                <w:sz w:val="21"/>
                <w:szCs w:val="21"/>
                <w:vertAlign w:val="baseline"/>
              </w:rPr>
              <w:t>1. 图像传感器</w:t>
            </w:r>
          </w:p>
          <w:p w14:paraId="5B591598">
            <w:pPr>
              <w:widowControl w:val="0"/>
              <w:jc w:val="both"/>
              <w:rPr>
                <w:rFonts w:hint="eastAsia"/>
                <w:sz w:val="21"/>
                <w:szCs w:val="21"/>
                <w:vertAlign w:val="baseline"/>
              </w:rPr>
            </w:pPr>
            <w:r>
              <w:rPr>
                <w:rFonts w:hint="eastAsia"/>
                <w:sz w:val="21"/>
                <w:szCs w:val="21"/>
                <w:vertAlign w:val="baseline"/>
              </w:rPr>
              <w:t xml:space="preserve">   · 类型：CMOS（主流）或 CCD。</w:t>
            </w:r>
          </w:p>
          <w:p w14:paraId="684A4F16">
            <w:pPr>
              <w:widowControl w:val="0"/>
              <w:jc w:val="both"/>
              <w:rPr>
                <w:rFonts w:hint="eastAsia"/>
                <w:sz w:val="21"/>
                <w:szCs w:val="21"/>
                <w:vertAlign w:val="baseline"/>
              </w:rPr>
            </w:pPr>
            <w:r>
              <w:rPr>
                <w:rFonts w:hint="eastAsia"/>
                <w:sz w:val="21"/>
                <w:szCs w:val="21"/>
                <w:vertAlign w:val="baseline"/>
              </w:rPr>
              <w:t xml:space="preserve">   · 位置：分为摄像头式（传感器位于外部摄像头内，硬镜使用）和内镜先端式（传感器集成在软镜先端，即电子镜）。</w:t>
            </w:r>
          </w:p>
          <w:p w14:paraId="43535878">
            <w:pPr>
              <w:widowControl w:val="0"/>
              <w:jc w:val="both"/>
              <w:rPr>
                <w:rFonts w:hint="eastAsia"/>
                <w:sz w:val="21"/>
                <w:szCs w:val="21"/>
                <w:vertAlign w:val="baseline"/>
              </w:rPr>
            </w:pPr>
            <w:r>
              <w:rPr>
                <w:rFonts w:hint="eastAsia"/>
                <w:sz w:val="21"/>
                <w:szCs w:val="21"/>
                <w:vertAlign w:val="baseline"/>
              </w:rPr>
              <w:t xml:space="preserve">   · 分辨率：必须与内镜光学分辨率匹配。</w:t>
            </w:r>
          </w:p>
          <w:p w14:paraId="01FAEE69">
            <w:pPr>
              <w:widowControl w:val="0"/>
              <w:jc w:val="both"/>
              <w:rPr>
                <w:rFonts w:hint="eastAsia"/>
                <w:sz w:val="21"/>
                <w:szCs w:val="21"/>
                <w:vertAlign w:val="baseline"/>
              </w:rPr>
            </w:pPr>
            <w:r>
              <w:rPr>
                <w:rFonts w:hint="eastAsia"/>
                <w:sz w:val="21"/>
                <w:szCs w:val="21"/>
                <w:vertAlign w:val="baseline"/>
              </w:rPr>
              <w:t xml:space="preserve">   · 高清标准：至少为 1920 x 1080 像素（1080p / Full HD）。</w:t>
            </w:r>
          </w:p>
          <w:p w14:paraId="31D4A09D">
            <w:pPr>
              <w:widowControl w:val="0"/>
              <w:jc w:val="both"/>
              <w:rPr>
                <w:rFonts w:hint="eastAsia"/>
                <w:sz w:val="21"/>
                <w:szCs w:val="21"/>
                <w:vertAlign w:val="baseline"/>
              </w:rPr>
            </w:pPr>
            <w:r>
              <w:rPr>
                <w:rFonts w:hint="eastAsia"/>
                <w:sz w:val="21"/>
                <w:szCs w:val="21"/>
                <w:vertAlign w:val="baseline"/>
              </w:rPr>
              <w:t xml:space="preserve">   · 全高清/超高清：1920 x 1200 或 3840 x 2160（4K UHD），提供极佳细节，利于微小病变诊断。</w:t>
            </w:r>
          </w:p>
          <w:p w14:paraId="70702576">
            <w:pPr>
              <w:widowControl w:val="0"/>
              <w:jc w:val="both"/>
              <w:rPr>
                <w:rFonts w:hint="eastAsia"/>
                <w:sz w:val="21"/>
                <w:szCs w:val="21"/>
                <w:vertAlign w:val="baseline"/>
              </w:rPr>
            </w:pPr>
            <w:r>
              <w:rPr>
                <w:rFonts w:hint="eastAsia"/>
                <w:sz w:val="21"/>
                <w:szCs w:val="21"/>
                <w:vertAlign w:val="baseline"/>
              </w:rPr>
              <w:t>2. 色彩还原与白平衡</w:t>
            </w:r>
          </w:p>
          <w:p w14:paraId="1B21453B">
            <w:pPr>
              <w:widowControl w:val="0"/>
              <w:jc w:val="both"/>
              <w:rPr>
                <w:rFonts w:hint="eastAsia"/>
                <w:sz w:val="21"/>
                <w:szCs w:val="21"/>
                <w:vertAlign w:val="baseline"/>
              </w:rPr>
            </w:pPr>
            <w:r>
              <w:rPr>
                <w:rFonts w:hint="eastAsia"/>
                <w:sz w:val="21"/>
                <w:szCs w:val="21"/>
                <w:vertAlign w:val="baseline"/>
              </w:rPr>
              <w:t xml:space="preserve">   · 需具备自动/一键式白平衡功能，确保在不同光源下组织颜色真实（如黏膜的粉红色、病变的苍白或充血）。</w:t>
            </w:r>
          </w:p>
          <w:p w14:paraId="256865FB">
            <w:pPr>
              <w:widowControl w:val="0"/>
              <w:jc w:val="both"/>
              <w:rPr>
                <w:rFonts w:hint="eastAsia"/>
                <w:sz w:val="21"/>
                <w:szCs w:val="21"/>
                <w:vertAlign w:val="baseline"/>
              </w:rPr>
            </w:pPr>
            <w:r>
              <w:rPr>
                <w:rFonts w:hint="eastAsia"/>
                <w:sz w:val="21"/>
                <w:szCs w:val="21"/>
                <w:vertAlign w:val="baseline"/>
              </w:rPr>
              <w:t xml:space="preserve">   · 色彩深度</w:t>
            </w:r>
            <w:r>
              <w:rPr>
                <w:rFonts w:hint="eastAsia"/>
                <w:sz w:val="21"/>
                <w:szCs w:val="21"/>
                <w:vertAlign w:val="baseline"/>
                <w:lang w:eastAsia="zh-CN"/>
              </w:rPr>
              <w:t>：</w:t>
            </w:r>
            <w:r>
              <w:rPr>
                <w:rFonts w:hint="eastAsia"/>
                <w:sz w:val="21"/>
                <w:szCs w:val="21"/>
                <w:vertAlign w:val="baseline"/>
              </w:rPr>
              <w:t xml:space="preserve"> 24位（真彩色） 或更高，能显示数百万种颜色。</w:t>
            </w:r>
          </w:p>
          <w:p w14:paraId="6A87126A">
            <w:pPr>
              <w:widowControl w:val="0"/>
              <w:jc w:val="both"/>
              <w:rPr>
                <w:rFonts w:hint="eastAsia"/>
                <w:sz w:val="21"/>
                <w:szCs w:val="21"/>
                <w:vertAlign w:val="baseline"/>
              </w:rPr>
            </w:pPr>
            <w:r>
              <w:rPr>
                <w:rFonts w:hint="eastAsia"/>
                <w:sz w:val="21"/>
                <w:szCs w:val="21"/>
                <w:vertAlign w:val="baseline"/>
              </w:rPr>
              <w:t>3. 摄像主机处理能力</w:t>
            </w:r>
          </w:p>
          <w:p w14:paraId="75D23F82">
            <w:pPr>
              <w:widowControl w:val="0"/>
              <w:jc w:val="both"/>
              <w:rPr>
                <w:rFonts w:hint="eastAsia"/>
                <w:sz w:val="21"/>
                <w:szCs w:val="21"/>
                <w:vertAlign w:val="baseline"/>
              </w:rPr>
            </w:pPr>
            <w:r>
              <w:rPr>
                <w:rFonts w:hint="eastAsia"/>
                <w:sz w:val="21"/>
                <w:szCs w:val="21"/>
                <w:vertAlign w:val="baseline"/>
              </w:rPr>
              <w:t xml:space="preserve">   · 图像处理芯片：负责降噪、边缘增强、色彩优化等，直接影响图像流畅度和质感。</w:t>
            </w:r>
          </w:p>
          <w:p w14:paraId="146FCFED">
            <w:pPr>
              <w:widowControl w:val="0"/>
              <w:jc w:val="both"/>
              <w:rPr>
                <w:rFonts w:hint="eastAsia"/>
                <w:sz w:val="21"/>
                <w:szCs w:val="21"/>
                <w:vertAlign w:val="baseline"/>
              </w:rPr>
            </w:pPr>
            <w:r>
              <w:rPr>
                <w:rFonts w:hint="eastAsia"/>
                <w:sz w:val="21"/>
                <w:szCs w:val="21"/>
                <w:vertAlign w:val="baseline"/>
              </w:rPr>
              <w:t xml:space="preserve">   · 输出接口：至少具备 HDMI 和/或 SDI 接口，用于连接监视器和图文工作站。</w:t>
            </w:r>
          </w:p>
          <w:p w14:paraId="78B08369">
            <w:pPr>
              <w:widowControl w:val="0"/>
              <w:jc w:val="both"/>
              <w:rPr>
                <w:rFonts w:hint="eastAsia"/>
                <w:b/>
                <w:bCs/>
                <w:sz w:val="21"/>
                <w:szCs w:val="21"/>
                <w:vertAlign w:val="baseline"/>
              </w:rPr>
            </w:pPr>
            <w:r>
              <w:rPr>
                <w:rFonts w:hint="eastAsia"/>
                <w:b/>
                <w:bCs/>
                <w:sz w:val="21"/>
                <w:szCs w:val="21"/>
                <w:vertAlign w:val="baseline"/>
              </w:rPr>
              <w:t>三、照明系统参数</w:t>
            </w:r>
          </w:p>
          <w:p w14:paraId="5445E62C">
            <w:pPr>
              <w:widowControl w:val="0"/>
              <w:jc w:val="both"/>
              <w:rPr>
                <w:rFonts w:hint="eastAsia"/>
                <w:sz w:val="21"/>
                <w:szCs w:val="21"/>
                <w:vertAlign w:val="baseline"/>
              </w:rPr>
            </w:pPr>
            <w:r>
              <w:rPr>
                <w:rFonts w:hint="eastAsia"/>
                <w:sz w:val="21"/>
                <w:szCs w:val="21"/>
                <w:vertAlign w:val="baseline"/>
              </w:rPr>
              <w:t>1. 冷光源</w:t>
            </w:r>
          </w:p>
          <w:p w14:paraId="137F7629">
            <w:pPr>
              <w:widowControl w:val="0"/>
              <w:jc w:val="both"/>
              <w:rPr>
                <w:rFonts w:hint="eastAsia"/>
                <w:sz w:val="21"/>
                <w:szCs w:val="21"/>
                <w:vertAlign w:val="baseline"/>
              </w:rPr>
            </w:pPr>
            <w:r>
              <w:rPr>
                <w:rFonts w:hint="eastAsia"/>
                <w:sz w:val="21"/>
                <w:szCs w:val="21"/>
                <w:vertAlign w:val="baseline"/>
              </w:rPr>
              <w:t xml:space="preserve">   · 光源类型：LED光源是绝对主流。优势：寿命长（2-3万小时）、低发热、即开即亮、色温稳定。</w:t>
            </w:r>
          </w:p>
          <w:p w14:paraId="0C722903">
            <w:pPr>
              <w:widowControl w:val="0"/>
              <w:jc w:val="both"/>
              <w:rPr>
                <w:rFonts w:hint="eastAsia"/>
                <w:sz w:val="21"/>
                <w:szCs w:val="21"/>
                <w:vertAlign w:val="baseline"/>
              </w:rPr>
            </w:pPr>
            <w:r>
              <w:rPr>
                <w:rFonts w:hint="eastAsia"/>
                <w:sz w:val="21"/>
                <w:szCs w:val="21"/>
                <w:vertAlign w:val="baseline"/>
              </w:rPr>
              <w:t xml:space="preserve">   · 光强度：可调节，以满足从耳道（需较低光强）到深部鼻窦（需较高光强）的不同需求。</w:t>
            </w:r>
          </w:p>
          <w:p w14:paraId="7C9C7604">
            <w:pPr>
              <w:widowControl w:val="0"/>
              <w:jc w:val="both"/>
              <w:rPr>
                <w:rFonts w:hint="eastAsia"/>
                <w:sz w:val="21"/>
                <w:szCs w:val="21"/>
                <w:vertAlign w:val="baseline"/>
              </w:rPr>
            </w:pPr>
            <w:r>
              <w:rPr>
                <w:rFonts w:hint="eastAsia"/>
                <w:sz w:val="21"/>
                <w:szCs w:val="21"/>
                <w:vertAlign w:val="baseline"/>
              </w:rPr>
              <w:t xml:space="preserve">   · 色温：通常为 4000K - 6000K，接近自然日光，便于准确判断组织颜色。</w:t>
            </w:r>
          </w:p>
          <w:p w14:paraId="47E4B7B7">
            <w:pPr>
              <w:widowControl w:val="0"/>
              <w:jc w:val="both"/>
              <w:rPr>
                <w:rFonts w:hint="eastAsia"/>
                <w:b/>
                <w:bCs/>
                <w:sz w:val="21"/>
                <w:szCs w:val="21"/>
                <w:vertAlign w:val="baseline"/>
              </w:rPr>
            </w:pPr>
            <w:r>
              <w:rPr>
                <w:rFonts w:hint="eastAsia"/>
                <w:b/>
                <w:bCs/>
                <w:sz w:val="21"/>
                <w:szCs w:val="21"/>
                <w:vertAlign w:val="baseline"/>
              </w:rPr>
              <w:t>第二部分：图文信息工作站</w:t>
            </w:r>
          </w:p>
          <w:p w14:paraId="52BBDDD0">
            <w:pPr>
              <w:widowControl w:val="0"/>
              <w:jc w:val="both"/>
              <w:rPr>
                <w:rFonts w:hint="eastAsia"/>
                <w:b/>
                <w:bCs/>
                <w:sz w:val="21"/>
                <w:szCs w:val="21"/>
                <w:vertAlign w:val="baseline"/>
              </w:rPr>
            </w:pPr>
            <w:r>
              <w:rPr>
                <w:rFonts w:hint="eastAsia"/>
                <w:b/>
                <w:bCs/>
                <w:sz w:val="21"/>
                <w:szCs w:val="21"/>
                <w:vertAlign w:val="baseline"/>
              </w:rPr>
              <w:t>一、硬件配置</w:t>
            </w:r>
          </w:p>
          <w:p w14:paraId="4F7DD984">
            <w:pPr>
              <w:widowControl w:val="0"/>
              <w:jc w:val="both"/>
              <w:rPr>
                <w:rFonts w:hint="eastAsia"/>
                <w:sz w:val="21"/>
                <w:szCs w:val="21"/>
                <w:vertAlign w:val="baseline"/>
              </w:rPr>
            </w:pPr>
            <w:r>
              <w:rPr>
                <w:rFonts w:hint="eastAsia"/>
                <w:sz w:val="21"/>
                <w:szCs w:val="21"/>
                <w:vertAlign w:val="baseline"/>
              </w:rPr>
              <w:t>1. 计算机基础</w:t>
            </w:r>
          </w:p>
          <w:p w14:paraId="61DF1C5D">
            <w:pPr>
              <w:widowControl w:val="0"/>
              <w:jc w:val="both"/>
              <w:rPr>
                <w:rFonts w:hint="eastAsia"/>
                <w:sz w:val="21"/>
                <w:szCs w:val="21"/>
                <w:vertAlign w:val="baseline"/>
              </w:rPr>
            </w:pPr>
            <w:r>
              <w:rPr>
                <w:rFonts w:hint="eastAsia"/>
                <w:sz w:val="21"/>
                <w:szCs w:val="21"/>
                <w:vertAlign w:val="baseline"/>
              </w:rPr>
              <w:t xml:space="preserve">   · 处理器： 多核高性能CPU（如Intel i5或以上）。</w:t>
            </w:r>
          </w:p>
          <w:p w14:paraId="35BD8903">
            <w:pPr>
              <w:widowControl w:val="0"/>
              <w:jc w:val="both"/>
              <w:rPr>
                <w:rFonts w:hint="eastAsia"/>
                <w:sz w:val="21"/>
                <w:szCs w:val="21"/>
                <w:vertAlign w:val="baseline"/>
              </w:rPr>
            </w:pPr>
            <w:r>
              <w:rPr>
                <w:rFonts w:hint="eastAsia"/>
                <w:sz w:val="21"/>
                <w:szCs w:val="21"/>
                <w:vertAlign w:val="baseline"/>
              </w:rPr>
              <w:t xml:space="preserve">   · 内存： ≥ 8GB RAM，推荐16GB，确保多任务流畅。</w:t>
            </w:r>
          </w:p>
          <w:p w14:paraId="0F3BA853">
            <w:pPr>
              <w:widowControl w:val="0"/>
              <w:jc w:val="both"/>
              <w:rPr>
                <w:rFonts w:hint="eastAsia"/>
                <w:sz w:val="21"/>
                <w:szCs w:val="21"/>
                <w:vertAlign w:val="baseline"/>
              </w:rPr>
            </w:pPr>
            <w:r>
              <w:rPr>
                <w:rFonts w:hint="eastAsia"/>
                <w:sz w:val="21"/>
                <w:szCs w:val="21"/>
                <w:vertAlign w:val="baseline"/>
              </w:rPr>
              <w:t xml:space="preserve">   · 存储： 固态硬盘（SSD） 用于系统和软件，大容量机械硬盘（≥1TB） 或网络存储（NAS） 用于海量影像存储。</w:t>
            </w:r>
          </w:p>
          <w:p w14:paraId="0163E653">
            <w:pPr>
              <w:widowControl w:val="0"/>
              <w:jc w:val="both"/>
              <w:rPr>
                <w:rFonts w:hint="eastAsia"/>
                <w:sz w:val="21"/>
                <w:szCs w:val="21"/>
                <w:vertAlign w:val="baseline"/>
              </w:rPr>
            </w:pPr>
            <w:r>
              <w:rPr>
                <w:rFonts w:hint="eastAsia"/>
                <w:sz w:val="21"/>
                <w:szCs w:val="21"/>
                <w:vertAlign w:val="baseline"/>
              </w:rPr>
              <w:t xml:space="preserve">   · 显示： 至少一台医用级高清彩色监视器（23-27英寸），色彩准确，低眩光。</w:t>
            </w:r>
          </w:p>
          <w:p w14:paraId="04DDC1F4">
            <w:pPr>
              <w:widowControl w:val="0"/>
              <w:jc w:val="both"/>
              <w:rPr>
                <w:rFonts w:hint="eastAsia"/>
                <w:b/>
                <w:bCs/>
                <w:sz w:val="21"/>
                <w:szCs w:val="21"/>
                <w:vertAlign w:val="baseline"/>
              </w:rPr>
            </w:pPr>
            <w:r>
              <w:rPr>
                <w:rFonts w:hint="eastAsia"/>
                <w:b/>
                <w:bCs/>
                <w:sz w:val="21"/>
                <w:szCs w:val="21"/>
                <w:vertAlign w:val="baseline"/>
              </w:rPr>
              <w:t>二、软件功能参数</w:t>
            </w:r>
          </w:p>
          <w:p w14:paraId="435C51EE">
            <w:pPr>
              <w:widowControl w:val="0"/>
              <w:jc w:val="both"/>
              <w:rPr>
                <w:rFonts w:hint="eastAsia"/>
                <w:sz w:val="21"/>
                <w:szCs w:val="21"/>
                <w:vertAlign w:val="baseline"/>
              </w:rPr>
            </w:pPr>
            <w:r>
              <w:rPr>
                <w:rFonts w:hint="eastAsia"/>
                <w:sz w:val="21"/>
                <w:szCs w:val="21"/>
                <w:vertAlign w:val="baseline"/>
              </w:rPr>
              <w:t>1. 图像采集与处理</w:t>
            </w:r>
          </w:p>
          <w:p w14:paraId="66B474DC">
            <w:pPr>
              <w:widowControl w:val="0"/>
              <w:jc w:val="both"/>
              <w:rPr>
                <w:rFonts w:hint="eastAsia"/>
                <w:sz w:val="21"/>
                <w:szCs w:val="21"/>
                <w:vertAlign w:val="baseline"/>
              </w:rPr>
            </w:pPr>
            <w:r>
              <w:rPr>
                <w:rFonts w:hint="eastAsia"/>
                <w:sz w:val="21"/>
                <w:szCs w:val="21"/>
                <w:vertAlign w:val="baseline"/>
              </w:rPr>
              <w:t xml:space="preserve">   · 采集方式： 支持实时动态录像和高分辨率静态抓图。</w:t>
            </w:r>
          </w:p>
          <w:p w14:paraId="40C1120C">
            <w:pPr>
              <w:widowControl w:val="0"/>
              <w:jc w:val="both"/>
              <w:rPr>
                <w:rFonts w:hint="eastAsia"/>
                <w:sz w:val="21"/>
                <w:szCs w:val="21"/>
                <w:vertAlign w:val="baseline"/>
              </w:rPr>
            </w:pPr>
            <w:r>
              <w:rPr>
                <w:rFonts w:hint="eastAsia"/>
                <w:sz w:val="21"/>
                <w:szCs w:val="21"/>
                <w:vertAlign w:val="baseline"/>
              </w:rPr>
              <w:t xml:space="preserve">   · 视频格式： 支持主流格式（如MP4， AVI），编码效率高。</w:t>
            </w:r>
          </w:p>
          <w:p w14:paraId="235A1587">
            <w:pPr>
              <w:widowControl w:val="0"/>
              <w:jc w:val="both"/>
              <w:rPr>
                <w:rFonts w:hint="eastAsia"/>
                <w:sz w:val="21"/>
                <w:szCs w:val="21"/>
                <w:vertAlign w:val="baseline"/>
              </w:rPr>
            </w:pPr>
            <w:r>
              <w:rPr>
                <w:rFonts w:hint="eastAsia"/>
                <w:sz w:val="21"/>
                <w:szCs w:val="21"/>
                <w:vertAlign w:val="baseline"/>
              </w:rPr>
              <w:t xml:space="preserve">   · 图像处理工具： 至少包括亮度/对比度调节、锐化、缩放、旋转、图像拼接（用于构建全景图）、测量工具（长度、角度、面积）。</w:t>
            </w:r>
          </w:p>
          <w:p w14:paraId="6CCE8694">
            <w:pPr>
              <w:widowControl w:val="0"/>
              <w:jc w:val="both"/>
              <w:rPr>
                <w:rFonts w:hint="eastAsia"/>
                <w:sz w:val="21"/>
                <w:szCs w:val="21"/>
                <w:vertAlign w:val="baseline"/>
              </w:rPr>
            </w:pPr>
            <w:r>
              <w:rPr>
                <w:rFonts w:hint="eastAsia"/>
                <w:sz w:val="21"/>
                <w:szCs w:val="21"/>
                <w:vertAlign w:val="baseline"/>
              </w:rPr>
              <w:t>2. 患者信息与报告管理</w:t>
            </w:r>
          </w:p>
          <w:p w14:paraId="69BF78CA">
            <w:pPr>
              <w:widowControl w:val="0"/>
              <w:jc w:val="both"/>
              <w:rPr>
                <w:rFonts w:hint="eastAsia"/>
                <w:sz w:val="21"/>
                <w:szCs w:val="21"/>
                <w:vertAlign w:val="baseline"/>
              </w:rPr>
            </w:pPr>
            <w:r>
              <w:rPr>
                <w:rFonts w:hint="eastAsia"/>
                <w:sz w:val="21"/>
                <w:szCs w:val="21"/>
                <w:vertAlign w:val="baseline"/>
              </w:rPr>
              <w:t xml:space="preserve">   · 数据库：结构化数据库，支持按患者姓名、ID、检查日期、诊断结果等多条件快速检索。</w:t>
            </w:r>
          </w:p>
          <w:p w14:paraId="6A2EF6A9">
            <w:pPr>
              <w:widowControl w:val="0"/>
              <w:jc w:val="both"/>
              <w:rPr>
                <w:rFonts w:hint="eastAsia"/>
                <w:sz w:val="21"/>
                <w:szCs w:val="21"/>
                <w:vertAlign w:val="baseline"/>
              </w:rPr>
            </w:pPr>
            <w:r>
              <w:rPr>
                <w:rFonts w:hint="eastAsia"/>
                <w:sz w:val="21"/>
                <w:szCs w:val="21"/>
                <w:vertAlign w:val="baseline"/>
              </w:rPr>
              <w:t xml:space="preserve">   · 报告模板：内置丰富的专科标准化报告模板（如鼻炎、鼻窦炎、声带病变、中耳炎等），支持自定义。</w:t>
            </w:r>
          </w:p>
          <w:p w14:paraId="472F1B78">
            <w:pPr>
              <w:widowControl w:val="0"/>
              <w:jc w:val="both"/>
              <w:rPr>
                <w:rFonts w:hint="eastAsia"/>
                <w:sz w:val="21"/>
                <w:szCs w:val="21"/>
                <w:vertAlign w:val="baseline"/>
              </w:rPr>
            </w:pPr>
            <w:r>
              <w:rPr>
                <w:rFonts w:hint="eastAsia"/>
                <w:sz w:val="21"/>
                <w:szCs w:val="21"/>
                <w:vertAlign w:val="baseline"/>
              </w:rPr>
              <w:t xml:space="preserve">   · 报告生成：可快速将选中的图像和视频片段插入报告，并添加文字描述、诊断结论及建议。支持中文语音输入为重要加分项。</w:t>
            </w:r>
          </w:p>
          <w:p w14:paraId="7F96124E">
            <w:pPr>
              <w:widowControl w:val="0"/>
              <w:jc w:val="both"/>
              <w:rPr>
                <w:rFonts w:hint="eastAsia"/>
                <w:sz w:val="21"/>
                <w:szCs w:val="21"/>
                <w:vertAlign w:val="baseline"/>
              </w:rPr>
            </w:pPr>
            <w:r>
              <w:rPr>
                <w:rFonts w:hint="eastAsia"/>
                <w:sz w:val="21"/>
                <w:szCs w:val="21"/>
                <w:vertAlign w:val="baseline"/>
              </w:rPr>
              <w:t>3. 数据安全与互联互通</w:t>
            </w:r>
          </w:p>
          <w:p w14:paraId="2B5B4FAB">
            <w:pPr>
              <w:widowControl w:val="0"/>
              <w:jc w:val="both"/>
              <w:rPr>
                <w:rFonts w:hint="eastAsia"/>
                <w:sz w:val="21"/>
                <w:szCs w:val="21"/>
                <w:vertAlign w:val="baseline"/>
              </w:rPr>
            </w:pPr>
            <w:r>
              <w:rPr>
                <w:rFonts w:hint="eastAsia"/>
                <w:sz w:val="21"/>
                <w:szCs w:val="21"/>
                <w:vertAlign w:val="baseline"/>
              </w:rPr>
              <w:t xml:space="preserve">   · 用户权限管理：多级密码保护（医生、护士、管理员），操作日志可追溯。</w:t>
            </w:r>
          </w:p>
          <w:p w14:paraId="0608BB0F">
            <w:pPr>
              <w:widowControl w:val="0"/>
              <w:jc w:val="both"/>
              <w:rPr>
                <w:rFonts w:hint="eastAsia"/>
                <w:sz w:val="21"/>
                <w:szCs w:val="21"/>
                <w:vertAlign w:val="baseline"/>
              </w:rPr>
            </w:pPr>
            <w:r>
              <w:rPr>
                <w:rFonts w:hint="eastAsia"/>
                <w:sz w:val="21"/>
                <w:szCs w:val="21"/>
                <w:vertAlign w:val="baseline"/>
              </w:rPr>
              <w:t xml:space="preserve">   · 数据备份：支持自动或手动备份至外部设备或服务器。</w:t>
            </w:r>
          </w:p>
          <w:p w14:paraId="5A3E25F0">
            <w:pPr>
              <w:widowControl w:val="0"/>
              <w:jc w:val="both"/>
              <w:rPr>
                <w:rFonts w:hint="eastAsia"/>
                <w:sz w:val="21"/>
                <w:szCs w:val="21"/>
                <w:vertAlign w:val="baseline"/>
              </w:rPr>
            </w:pPr>
            <w:r>
              <w:rPr>
                <w:rFonts w:hint="eastAsia"/>
                <w:sz w:val="21"/>
                <w:szCs w:val="21"/>
                <w:vertAlign w:val="baseline"/>
              </w:rPr>
              <w:t xml:space="preserve">   · 标准化接口：支持 DICOM 接口，可连接PACS（影像归档和通信系统）；支持 HL7 接口，可连接医院HIS（医院信息系统）/EMR（电子病历），实现信息共享。</w:t>
            </w:r>
          </w:p>
          <w:p w14:paraId="5CD54A30">
            <w:pPr>
              <w:widowControl w:val="0"/>
              <w:jc w:val="both"/>
              <w:rPr>
                <w:rFonts w:hint="eastAsia"/>
                <w:sz w:val="21"/>
                <w:szCs w:val="21"/>
                <w:vertAlign w:val="baseline"/>
              </w:rPr>
            </w:pPr>
            <w:r>
              <w:rPr>
                <w:rFonts w:hint="eastAsia"/>
                <w:sz w:val="21"/>
                <w:szCs w:val="21"/>
                <w:vertAlign w:val="baseline"/>
              </w:rPr>
              <w:t>4. 教学与协作功能</w:t>
            </w:r>
          </w:p>
          <w:p w14:paraId="7E97BB26">
            <w:pPr>
              <w:widowControl w:val="0"/>
              <w:jc w:val="both"/>
              <w:rPr>
                <w:rFonts w:hint="eastAsia"/>
                <w:sz w:val="21"/>
                <w:szCs w:val="21"/>
                <w:vertAlign w:val="baseline"/>
              </w:rPr>
            </w:pPr>
            <w:r>
              <w:rPr>
                <w:rFonts w:hint="eastAsia"/>
                <w:sz w:val="21"/>
                <w:szCs w:val="21"/>
                <w:vertAlign w:val="baseline"/>
              </w:rPr>
              <w:t xml:space="preserve">   · 标记与标注：可在图像上添加箭头、文字等标注，用于教学或与患者沟通。</w:t>
            </w:r>
          </w:p>
          <w:p w14:paraId="1ADC5805">
            <w:pPr>
              <w:widowControl w:val="0"/>
              <w:jc w:val="both"/>
              <w:rPr>
                <w:rFonts w:hint="eastAsia"/>
                <w:sz w:val="21"/>
                <w:szCs w:val="21"/>
                <w:vertAlign w:val="baseline"/>
              </w:rPr>
            </w:pPr>
            <w:r>
              <w:rPr>
                <w:rFonts w:hint="eastAsia"/>
                <w:sz w:val="21"/>
                <w:szCs w:val="21"/>
                <w:vertAlign w:val="baseline"/>
              </w:rPr>
              <w:t xml:space="preserve">   · 对比查看：可同屏对比同一患者多次检查的图像，便于随访。</w:t>
            </w:r>
          </w:p>
          <w:p w14:paraId="0C134A52">
            <w:pPr>
              <w:widowControl w:val="0"/>
              <w:jc w:val="left"/>
              <w:rPr>
                <w:rFonts w:hint="default" w:ascii="Arial" w:hAnsi="Arial" w:eastAsia="Arial" w:cs="Arial"/>
                <w:snapToGrid w:val="0"/>
                <w:color w:val="000000"/>
                <w:kern w:val="0"/>
                <w:sz w:val="21"/>
                <w:szCs w:val="21"/>
                <w:highlight w:val="none"/>
                <w:vertAlign w:val="baseline"/>
                <w:lang w:val="en-US" w:eastAsia="en-US" w:bidi="ar-SA"/>
              </w:rPr>
            </w:pPr>
            <w:r>
              <w:rPr>
                <w:rFonts w:hint="eastAsia"/>
                <w:sz w:val="21"/>
                <w:szCs w:val="21"/>
                <w:vertAlign w:val="baseline"/>
              </w:rPr>
              <w:t xml:space="preserve">   · 输出与共享：支持将报告和图像导出为PDF、JPEG等通用格式，或刻录光盘提供给患者。</w:t>
            </w:r>
          </w:p>
        </w:tc>
        <w:tc>
          <w:tcPr>
            <w:tcW w:w="1169" w:type="dxa"/>
            <w:vAlign w:val="center"/>
          </w:tcPr>
          <w:p w14:paraId="6AA06DC0">
            <w:pPr>
              <w:widowControl w:val="0"/>
              <w:jc w:val="left"/>
              <w:rPr>
                <w:sz w:val="24"/>
                <w:szCs w:val="24"/>
                <w:highlight w:val="none"/>
                <w:vertAlign w:val="baseline"/>
              </w:rPr>
            </w:pPr>
          </w:p>
        </w:tc>
      </w:tr>
    </w:tbl>
    <w:p w14:paraId="0C1B849B">
      <w:pPr>
        <w:rPr>
          <w:rFonts w:hint="eastAsia" w:eastAsia="宋体" w:cs="Arial"/>
          <w:sz w:val="44"/>
          <w:szCs w:val="44"/>
          <w:highlight w:val="none"/>
          <w:lang w:eastAsia="zh-CN"/>
        </w:rPr>
      </w:pPr>
    </w:p>
    <w:p w14:paraId="6A9FEE9C">
      <w:pPr>
        <w:rPr>
          <w:rFonts w:hint="eastAsia" w:eastAsia="宋体" w:cs="Arial"/>
          <w:sz w:val="44"/>
          <w:szCs w:val="44"/>
          <w:highlight w:val="none"/>
          <w:lang w:eastAsia="zh-CN"/>
        </w:rPr>
      </w:pPr>
    </w:p>
    <w:p w14:paraId="3804EE97">
      <w:pPr>
        <w:rPr>
          <w:rFonts w:hint="eastAsia" w:eastAsia="宋体" w:cs="Arial"/>
          <w:sz w:val="44"/>
          <w:szCs w:val="44"/>
          <w:highlight w:val="none"/>
          <w:lang w:eastAsia="zh-CN"/>
        </w:rPr>
      </w:pPr>
    </w:p>
    <w:p w14:paraId="23D35BF6">
      <w:pPr>
        <w:rPr>
          <w:rFonts w:hint="eastAsia" w:eastAsia="宋体" w:cs="Arial"/>
          <w:sz w:val="44"/>
          <w:szCs w:val="44"/>
          <w:highlight w:val="none"/>
          <w:lang w:eastAsia="zh-CN"/>
        </w:rPr>
      </w:pPr>
    </w:p>
    <w:p w14:paraId="382D4E40">
      <w:pPr>
        <w:rPr>
          <w:rFonts w:hint="eastAsia" w:eastAsia="宋体" w:cs="Arial"/>
          <w:sz w:val="44"/>
          <w:szCs w:val="44"/>
          <w:highlight w:val="none"/>
          <w:lang w:eastAsia="zh-CN"/>
        </w:rPr>
      </w:pPr>
    </w:p>
    <w:p w14:paraId="16DDB52D">
      <w:pPr>
        <w:rPr>
          <w:rFonts w:hint="eastAsia" w:eastAsia="宋体" w:cs="Arial"/>
          <w:sz w:val="44"/>
          <w:szCs w:val="44"/>
          <w:highlight w:val="none"/>
          <w:lang w:eastAsia="zh-CN"/>
        </w:rPr>
      </w:pPr>
    </w:p>
    <w:p w14:paraId="0A7B8E79">
      <w:pPr>
        <w:rPr>
          <w:rFonts w:hint="eastAsia" w:eastAsia="宋体" w:cs="Arial"/>
          <w:sz w:val="44"/>
          <w:szCs w:val="44"/>
          <w:highlight w:val="none"/>
          <w:lang w:val="en-US" w:eastAsia="zh-CN"/>
        </w:rPr>
      </w:pPr>
      <w:r>
        <w:rPr>
          <w:rFonts w:hint="eastAsia" w:eastAsia="宋体" w:cs="Arial"/>
          <w:sz w:val="44"/>
          <w:szCs w:val="44"/>
          <w:highlight w:val="none"/>
          <w:lang w:eastAsia="zh-CN"/>
        </w:rPr>
        <w:t>C</w:t>
      </w:r>
      <w:r>
        <w:rPr>
          <w:rFonts w:hint="eastAsia" w:eastAsia="宋体" w:cs="Arial"/>
          <w:sz w:val="44"/>
          <w:szCs w:val="44"/>
          <w:highlight w:val="none"/>
          <w:lang w:val="en-US" w:eastAsia="zh-CN"/>
        </w:rPr>
        <w:t>包：</w:t>
      </w:r>
    </w:p>
    <w:p w14:paraId="07B63B95">
      <w:pPr>
        <w:rPr>
          <w:rFonts w:hint="eastAsia" w:eastAsia="宋体" w:cs="Arial"/>
          <w:sz w:val="44"/>
          <w:szCs w:val="44"/>
          <w:highlight w:val="none"/>
          <w:lang w:val="en-US" w:eastAsia="zh-CN"/>
        </w:rPr>
      </w:pP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3279"/>
        <w:gridCol w:w="990"/>
        <w:gridCol w:w="7230"/>
        <w:gridCol w:w="1169"/>
      </w:tblGrid>
      <w:tr w14:paraId="46FB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3DCC8B73">
            <w:pPr>
              <w:widowControl w:val="0"/>
              <w:tabs>
                <w:tab w:val="left" w:pos="662"/>
              </w:tabs>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279" w:type="dxa"/>
            <w:shd w:val="clear" w:color="auto" w:fill="auto"/>
            <w:vAlign w:val="center"/>
          </w:tcPr>
          <w:p w14:paraId="0F574567">
            <w:pPr>
              <w:widowControl w:val="0"/>
              <w:tabs>
                <w:tab w:val="left" w:pos="662"/>
              </w:tabs>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val="en-US" w:eastAsia="zh-CN"/>
              </w:rPr>
              <w:t>全自动凝血分析仪</w:t>
            </w:r>
          </w:p>
        </w:tc>
        <w:tc>
          <w:tcPr>
            <w:tcW w:w="990" w:type="dxa"/>
            <w:vAlign w:val="center"/>
          </w:tcPr>
          <w:p w14:paraId="76735983">
            <w:pPr>
              <w:widowControl w:val="0"/>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１</w:t>
            </w:r>
          </w:p>
        </w:tc>
        <w:tc>
          <w:tcPr>
            <w:tcW w:w="7230" w:type="dxa"/>
            <w:vAlign w:val="center"/>
          </w:tcPr>
          <w:p w14:paraId="53424711">
            <w:pPr>
              <w:widowControl w:val="0"/>
              <w:jc w:val="left"/>
              <w:rPr>
                <w:rFonts w:hint="eastAsia"/>
                <w:b/>
                <w:bCs/>
                <w:sz w:val="21"/>
                <w:szCs w:val="21"/>
                <w:vertAlign w:val="baseline"/>
              </w:rPr>
            </w:pPr>
            <w:r>
              <w:rPr>
                <w:rFonts w:hint="eastAsia"/>
                <w:b/>
                <w:bCs/>
                <w:sz w:val="21"/>
                <w:szCs w:val="21"/>
                <w:vertAlign w:val="baseline"/>
              </w:rPr>
              <w:t>一、核心性能参数</w:t>
            </w:r>
          </w:p>
          <w:p w14:paraId="2616A954">
            <w:pPr>
              <w:widowControl w:val="0"/>
              <w:jc w:val="left"/>
              <w:rPr>
                <w:rFonts w:hint="eastAsia"/>
                <w:sz w:val="21"/>
                <w:szCs w:val="21"/>
                <w:vertAlign w:val="baseline"/>
              </w:rPr>
            </w:pPr>
            <w:r>
              <w:rPr>
                <w:rFonts w:hint="eastAsia"/>
                <w:sz w:val="21"/>
                <w:szCs w:val="21"/>
                <w:vertAlign w:val="baseline"/>
              </w:rPr>
              <w:t>1. 检测方法学</w:t>
            </w:r>
          </w:p>
          <w:p w14:paraId="5555EF9F">
            <w:pPr>
              <w:widowControl w:val="0"/>
              <w:jc w:val="left"/>
              <w:rPr>
                <w:rFonts w:hint="eastAsia"/>
                <w:sz w:val="21"/>
                <w:szCs w:val="21"/>
                <w:vertAlign w:val="baseline"/>
              </w:rPr>
            </w:pPr>
            <w:r>
              <w:rPr>
                <w:rFonts w:hint="eastAsia"/>
                <w:sz w:val="21"/>
                <w:szCs w:val="21"/>
                <w:vertAlign w:val="baseline"/>
              </w:rPr>
              <w:t xml:space="preserve">   · 光学法（比浊法）：</w:t>
            </w:r>
            <w:r>
              <w:rPr>
                <w:rFonts w:hint="eastAsia"/>
                <w:sz w:val="21"/>
                <w:szCs w:val="21"/>
                <w:vertAlign w:val="baseline"/>
                <w:lang w:val="en-US" w:eastAsia="zh-CN"/>
              </w:rPr>
              <w:t>具备</w:t>
            </w:r>
            <w:r>
              <w:rPr>
                <w:rFonts w:hint="eastAsia"/>
                <w:sz w:val="21"/>
                <w:szCs w:val="21"/>
                <w:vertAlign w:val="baseline"/>
              </w:rPr>
              <w:t>。</w:t>
            </w:r>
          </w:p>
          <w:p w14:paraId="0FFF5324">
            <w:pPr>
              <w:widowControl w:val="0"/>
              <w:jc w:val="left"/>
              <w:rPr>
                <w:rFonts w:hint="eastAsia"/>
                <w:sz w:val="21"/>
                <w:szCs w:val="21"/>
                <w:vertAlign w:val="baseline"/>
              </w:rPr>
            </w:pPr>
            <w:r>
              <w:rPr>
                <w:rFonts w:hint="eastAsia"/>
                <w:sz w:val="21"/>
                <w:szCs w:val="21"/>
                <w:vertAlign w:val="baseline"/>
              </w:rPr>
              <w:t xml:space="preserve">   · 磁珠法（机械法）：</w:t>
            </w:r>
            <w:r>
              <w:rPr>
                <w:rFonts w:hint="eastAsia"/>
                <w:sz w:val="21"/>
                <w:szCs w:val="21"/>
                <w:vertAlign w:val="baseline"/>
                <w:lang w:eastAsia="zh-CN"/>
              </w:rPr>
              <w:t>具备</w:t>
            </w:r>
            <w:r>
              <w:rPr>
                <w:rFonts w:hint="eastAsia"/>
                <w:sz w:val="21"/>
                <w:szCs w:val="21"/>
                <w:vertAlign w:val="baseline"/>
              </w:rPr>
              <w:t>。</w:t>
            </w:r>
          </w:p>
          <w:p w14:paraId="158BB488">
            <w:pPr>
              <w:widowControl w:val="0"/>
              <w:jc w:val="left"/>
              <w:rPr>
                <w:rFonts w:hint="eastAsia"/>
                <w:sz w:val="21"/>
                <w:szCs w:val="21"/>
                <w:vertAlign w:val="baseline"/>
              </w:rPr>
            </w:pPr>
            <w:r>
              <w:rPr>
                <w:rFonts w:hint="eastAsia"/>
                <w:sz w:val="21"/>
                <w:szCs w:val="21"/>
                <w:vertAlign w:val="baseline"/>
              </w:rPr>
              <w:t xml:space="preserve">   · 发色底物法：</w:t>
            </w:r>
            <w:r>
              <w:rPr>
                <w:rFonts w:hint="eastAsia"/>
                <w:sz w:val="21"/>
                <w:szCs w:val="21"/>
                <w:vertAlign w:val="baseline"/>
                <w:lang w:eastAsia="zh-CN"/>
              </w:rPr>
              <w:t>具备</w:t>
            </w:r>
            <w:r>
              <w:rPr>
                <w:rFonts w:hint="eastAsia"/>
                <w:sz w:val="21"/>
                <w:szCs w:val="21"/>
                <w:vertAlign w:val="baseline"/>
              </w:rPr>
              <w:t>。</w:t>
            </w:r>
          </w:p>
          <w:p w14:paraId="66B243BE">
            <w:pPr>
              <w:widowControl w:val="0"/>
              <w:jc w:val="left"/>
              <w:rPr>
                <w:rFonts w:hint="eastAsia"/>
                <w:sz w:val="21"/>
                <w:szCs w:val="21"/>
                <w:vertAlign w:val="baseline"/>
              </w:rPr>
            </w:pPr>
            <w:r>
              <w:rPr>
                <w:rFonts w:hint="eastAsia"/>
                <w:sz w:val="21"/>
                <w:szCs w:val="21"/>
                <w:vertAlign w:val="baseline"/>
              </w:rPr>
              <w:t xml:space="preserve">   · 免疫比浊法：</w:t>
            </w:r>
            <w:r>
              <w:rPr>
                <w:rFonts w:hint="eastAsia"/>
                <w:sz w:val="21"/>
                <w:szCs w:val="21"/>
                <w:vertAlign w:val="baseline"/>
                <w:lang w:eastAsia="zh-CN"/>
              </w:rPr>
              <w:t>具备</w:t>
            </w:r>
            <w:r>
              <w:rPr>
                <w:rFonts w:hint="eastAsia"/>
                <w:sz w:val="21"/>
                <w:szCs w:val="21"/>
                <w:vertAlign w:val="baseline"/>
              </w:rPr>
              <w:t>。</w:t>
            </w:r>
          </w:p>
          <w:p w14:paraId="0E05B06A">
            <w:pPr>
              <w:widowControl w:val="0"/>
              <w:jc w:val="left"/>
              <w:rPr>
                <w:rFonts w:hint="eastAsia"/>
                <w:sz w:val="21"/>
                <w:szCs w:val="21"/>
                <w:vertAlign w:val="baseline"/>
              </w:rPr>
            </w:pPr>
            <w:r>
              <w:rPr>
                <w:rFonts w:hint="eastAsia"/>
                <w:sz w:val="21"/>
                <w:szCs w:val="21"/>
                <w:vertAlign w:val="baseline"/>
              </w:rPr>
              <w:t>2. 检测通道与项目</w:t>
            </w:r>
          </w:p>
          <w:p w14:paraId="7061AF98">
            <w:pPr>
              <w:widowControl w:val="0"/>
              <w:jc w:val="left"/>
              <w:rPr>
                <w:rFonts w:hint="eastAsia"/>
                <w:sz w:val="21"/>
                <w:szCs w:val="21"/>
                <w:vertAlign w:val="baseline"/>
              </w:rPr>
            </w:pPr>
            <w:r>
              <w:rPr>
                <w:rFonts w:hint="eastAsia"/>
                <w:sz w:val="21"/>
                <w:szCs w:val="21"/>
                <w:vertAlign w:val="baseline"/>
              </w:rPr>
              <w:t xml:space="preserve">   · 检测通道数：</w:t>
            </w:r>
            <w:r>
              <w:rPr>
                <w:rFonts w:hint="eastAsia"/>
                <w:sz w:val="21"/>
                <w:szCs w:val="21"/>
                <w:vertAlign w:val="baseline"/>
                <w:lang w:eastAsia="zh-CN"/>
              </w:rPr>
              <w:t>≥</w:t>
            </w:r>
            <w:r>
              <w:rPr>
                <w:rFonts w:hint="default"/>
                <w:sz w:val="21"/>
                <w:szCs w:val="21"/>
                <w:vertAlign w:val="baseline"/>
                <w:lang w:val="en-US" w:eastAsia="zh-CN"/>
              </w:rPr>
              <w:t>4</w:t>
            </w:r>
            <w:r>
              <w:rPr>
                <w:rFonts w:hint="eastAsia"/>
                <w:sz w:val="21"/>
                <w:szCs w:val="21"/>
                <w:vertAlign w:val="baseline"/>
                <w:lang w:val="en-US" w:eastAsia="zh-CN"/>
              </w:rPr>
              <w:t>独立光学通道＋</w:t>
            </w:r>
            <w:r>
              <w:rPr>
                <w:rFonts w:hint="default"/>
                <w:sz w:val="21"/>
                <w:szCs w:val="21"/>
                <w:vertAlign w:val="baseline"/>
                <w:lang w:val="en-US" w:eastAsia="zh-CN"/>
              </w:rPr>
              <w:t>2</w:t>
            </w:r>
            <w:r>
              <w:rPr>
                <w:rFonts w:hint="eastAsia"/>
                <w:sz w:val="21"/>
                <w:szCs w:val="21"/>
                <w:vertAlign w:val="baseline"/>
                <w:lang w:val="en-US" w:eastAsia="zh-CN"/>
              </w:rPr>
              <w:t>个独立磁珠通道</w:t>
            </w:r>
            <w:r>
              <w:rPr>
                <w:rFonts w:hint="eastAsia"/>
                <w:sz w:val="21"/>
                <w:szCs w:val="21"/>
                <w:vertAlign w:val="baseline"/>
              </w:rPr>
              <w:t xml:space="preserve"> </w:t>
            </w:r>
          </w:p>
          <w:p w14:paraId="53537049">
            <w:pPr>
              <w:widowControl w:val="0"/>
              <w:jc w:val="left"/>
              <w:rPr>
                <w:rFonts w:hint="eastAsia"/>
                <w:sz w:val="21"/>
                <w:szCs w:val="21"/>
                <w:vertAlign w:val="baseline"/>
              </w:rPr>
            </w:pPr>
            <w:r>
              <w:rPr>
                <w:rFonts w:hint="eastAsia"/>
                <w:sz w:val="21"/>
                <w:szCs w:val="21"/>
                <w:vertAlign w:val="baseline"/>
              </w:rPr>
              <w:t>3. 处理能力（通量）</w:t>
            </w:r>
          </w:p>
          <w:p w14:paraId="386C98F3">
            <w:pPr>
              <w:widowControl w:val="0"/>
              <w:jc w:val="left"/>
              <w:rPr>
                <w:rFonts w:hint="eastAsia"/>
                <w:sz w:val="21"/>
                <w:szCs w:val="21"/>
                <w:vertAlign w:val="baseline"/>
              </w:rPr>
            </w:pPr>
            <w:r>
              <w:rPr>
                <w:rFonts w:hint="eastAsia"/>
                <w:sz w:val="21"/>
                <w:szCs w:val="21"/>
                <w:vertAlign w:val="baseline"/>
              </w:rPr>
              <w:t xml:space="preserve">   · 测试速度：测试速度 PT/APTT：≥ 300测试/小时</w:t>
            </w:r>
          </w:p>
          <w:p w14:paraId="66CD651A">
            <w:pPr>
              <w:widowControl w:val="0"/>
              <w:ind w:firstLine="630" w:firstLineChars="300"/>
              <w:jc w:val="left"/>
              <w:rPr>
                <w:rFonts w:hint="eastAsia"/>
                <w:sz w:val="21"/>
                <w:szCs w:val="21"/>
                <w:vertAlign w:val="baseline"/>
              </w:rPr>
            </w:pPr>
            <w:r>
              <w:rPr>
                <w:rFonts w:hint="eastAsia"/>
                <w:sz w:val="21"/>
                <w:szCs w:val="21"/>
                <w:vertAlign w:val="baseline"/>
              </w:rPr>
              <w:t>综合通量</w:t>
            </w:r>
            <w:r>
              <w:rPr>
                <w:rFonts w:hint="default"/>
                <w:sz w:val="21"/>
                <w:szCs w:val="21"/>
                <w:vertAlign w:val="baseline"/>
                <w:lang w:val="en-US"/>
              </w:rPr>
              <w:t>:</w:t>
            </w:r>
            <w:r>
              <w:rPr>
                <w:rFonts w:hint="eastAsia"/>
                <w:sz w:val="21"/>
                <w:szCs w:val="21"/>
                <w:vertAlign w:val="baseline"/>
              </w:rPr>
              <w:t xml:space="preserve"> ≥ 200测试/小时</w:t>
            </w:r>
          </w:p>
          <w:p w14:paraId="6A2A28C3">
            <w:pPr>
              <w:widowControl w:val="0"/>
              <w:jc w:val="left"/>
              <w:rPr>
                <w:rFonts w:hint="eastAsia"/>
                <w:b/>
                <w:bCs/>
                <w:sz w:val="21"/>
                <w:szCs w:val="21"/>
                <w:vertAlign w:val="baseline"/>
              </w:rPr>
            </w:pPr>
            <w:r>
              <w:rPr>
                <w:rFonts w:hint="eastAsia"/>
                <w:b/>
                <w:bCs/>
                <w:sz w:val="21"/>
                <w:szCs w:val="21"/>
                <w:vertAlign w:val="baseline"/>
              </w:rPr>
              <w:t>二、自动化与操作参数</w:t>
            </w:r>
          </w:p>
          <w:p w14:paraId="6ACE1BB8">
            <w:pPr>
              <w:widowControl w:val="0"/>
              <w:jc w:val="left"/>
              <w:rPr>
                <w:rFonts w:hint="eastAsia"/>
                <w:sz w:val="21"/>
                <w:szCs w:val="21"/>
                <w:vertAlign w:val="baseline"/>
              </w:rPr>
            </w:pPr>
            <w:r>
              <w:rPr>
                <w:rFonts w:hint="eastAsia"/>
                <w:sz w:val="21"/>
                <w:szCs w:val="21"/>
                <w:vertAlign w:val="baseline"/>
              </w:rPr>
              <w:t>1. 样本处理系统</w:t>
            </w:r>
          </w:p>
          <w:p w14:paraId="2A932050">
            <w:pPr>
              <w:widowControl w:val="0"/>
              <w:jc w:val="left"/>
              <w:rPr>
                <w:rFonts w:hint="eastAsia"/>
                <w:sz w:val="21"/>
                <w:szCs w:val="21"/>
                <w:vertAlign w:val="baseline"/>
              </w:rPr>
            </w:pPr>
            <w:r>
              <w:rPr>
                <w:rFonts w:hint="eastAsia"/>
                <w:sz w:val="21"/>
                <w:szCs w:val="21"/>
                <w:vertAlign w:val="baseline"/>
              </w:rPr>
              <w:t xml:space="preserve">   · 样本位容量：可一次性装载的原始采血管数量</w:t>
            </w:r>
            <w:r>
              <w:rPr>
                <w:rFonts w:hint="eastAsia"/>
                <w:sz w:val="21"/>
                <w:szCs w:val="21"/>
                <w:vertAlign w:val="baseline"/>
                <w:lang w:eastAsia="zh-CN"/>
              </w:rPr>
              <w:t>≥</w:t>
            </w:r>
            <w:r>
              <w:rPr>
                <w:rFonts w:hint="default"/>
                <w:sz w:val="21"/>
                <w:szCs w:val="21"/>
                <w:vertAlign w:val="baseline"/>
                <w:lang w:val="en-US" w:eastAsia="zh-CN"/>
              </w:rPr>
              <w:t>150</w:t>
            </w:r>
            <w:r>
              <w:rPr>
                <w:rFonts w:hint="eastAsia"/>
                <w:sz w:val="21"/>
                <w:szCs w:val="21"/>
                <w:vertAlign w:val="baseline"/>
              </w:rPr>
              <w:t>位等。</w:t>
            </w:r>
          </w:p>
          <w:p w14:paraId="74E58E3D">
            <w:pPr>
              <w:widowControl w:val="0"/>
              <w:jc w:val="left"/>
              <w:rPr>
                <w:rFonts w:hint="eastAsia"/>
                <w:sz w:val="21"/>
                <w:szCs w:val="21"/>
                <w:vertAlign w:val="baseline"/>
              </w:rPr>
            </w:pPr>
            <w:r>
              <w:rPr>
                <w:rFonts w:hint="eastAsia"/>
                <w:sz w:val="21"/>
                <w:szCs w:val="21"/>
                <w:vertAlign w:val="baseline"/>
              </w:rPr>
              <w:t xml:space="preserve">   · 样本针：有液面探测、凝块检测、防撞保护、自动冲洗功能。支持连续/随机上样。</w:t>
            </w:r>
          </w:p>
          <w:p w14:paraId="63756DB6">
            <w:pPr>
              <w:widowControl w:val="0"/>
              <w:jc w:val="left"/>
              <w:rPr>
                <w:rFonts w:hint="eastAsia"/>
                <w:sz w:val="21"/>
                <w:szCs w:val="21"/>
                <w:vertAlign w:val="baseline"/>
              </w:rPr>
            </w:pPr>
            <w:r>
              <w:rPr>
                <w:rFonts w:hint="eastAsia"/>
                <w:sz w:val="21"/>
                <w:szCs w:val="21"/>
                <w:vertAlign w:val="baseline"/>
              </w:rPr>
              <w:t xml:space="preserve">   · 急诊功能：支持急诊样本优先插入检测。</w:t>
            </w:r>
          </w:p>
          <w:p w14:paraId="24C13D0B">
            <w:pPr>
              <w:widowControl w:val="0"/>
              <w:jc w:val="left"/>
              <w:rPr>
                <w:rFonts w:hint="eastAsia"/>
                <w:sz w:val="21"/>
                <w:szCs w:val="21"/>
                <w:vertAlign w:val="baseline"/>
              </w:rPr>
            </w:pPr>
            <w:r>
              <w:rPr>
                <w:rFonts w:hint="eastAsia"/>
                <w:sz w:val="21"/>
                <w:szCs w:val="21"/>
                <w:vertAlign w:val="baseline"/>
              </w:rPr>
              <w:t>2. 试剂处理系统</w:t>
            </w:r>
          </w:p>
          <w:p w14:paraId="06A84DCC">
            <w:pPr>
              <w:widowControl w:val="0"/>
              <w:jc w:val="left"/>
              <w:rPr>
                <w:rFonts w:hint="eastAsia"/>
                <w:sz w:val="21"/>
                <w:szCs w:val="21"/>
                <w:vertAlign w:val="baseline"/>
              </w:rPr>
            </w:pPr>
            <w:r>
              <w:rPr>
                <w:rFonts w:hint="eastAsia"/>
                <w:sz w:val="21"/>
                <w:szCs w:val="21"/>
                <w:vertAlign w:val="baseline"/>
              </w:rPr>
              <w:t xml:space="preserve">   · 试剂位容量与冷藏：试剂仓位数</w:t>
            </w:r>
            <w:r>
              <w:rPr>
                <w:rFonts w:hint="eastAsia"/>
                <w:sz w:val="21"/>
                <w:szCs w:val="21"/>
                <w:vertAlign w:val="baseline"/>
                <w:lang w:eastAsia="zh-CN"/>
              </w:rPr>
              <w:t>大于等于</w:t>
            </w:r>
            <w:r>
              <w:rPr>
                <w:rFonts w:hint="default"/>
                <w:sz w:val="21"/>
                <w:szCs w:val="21"/>
                <w:vertAlign w:val="baseline"/>
                <w:lang w:val="en-US"/>
              </w:rPr>
              <w:t>40</w:t>
            </w:r>
            <w:r>
              <w:rPr>
                <w:rFonts w:hint="eastAsia"/>
                <w:sz w:val="21"/>
                <w:szCs w:val="21"/>
                <w:vertAlign w:val="baseline"/>
              </w:rPr>
              <w:t>个，具备4-15℃恒温冷藏功能（对试剂稳定性至关重要）。</w:t>
            </w:r>
          </w:p>
          <w:p w14:paraId="183B1C37">
            <w:pPr>
              <w:widowControl w:val="0"/>
              <w:jc w:val="left"/>
              <w:rPr>
                <w:rFonts w:hint="eastAsia"/>
                <w:sz w:val="21"/>
                <w:szCs w:val="21"/>
                <w:vertAlign w:val="baseline"/>
              </w:rPr>
            </w:pPr>
            <w:r>
              <w:rPr>
                <w:rFonts w:hint="eastAsia"/>
                <w:sz w:val="21"/>
                <w:szCs w:val="21"/>
                <w:vertAlign w:val="baseline"/>
              </w:rPr>
              <w:t xml:space="preserve">   · 试剂管理：具备条码识别、余量监控、自动稀释、开瓶有效期管理等智能功能。</w:t>
            </w:r>
          </w:p>
          <w:p w14:paraId="31249FB2">
            <w:pPr>
              <w:widowControl w:val="0"/>
              <w:jc w:val="left"/>
              <w:rPr>
                <w:rFonts w:hint="eastAsia"/>
                <w:sz w:val="21"/>
                <w:szCs w:val="21"/>
                <w:vertAlign w:val="baseline"/>
              </w:rPr>
            </w:pPr>
            <w:r>
              <w:rPr>
                <w:rFonts w:hint="eastAsia"/>
                <w:sz w:val="21"/>
                <w:szCs w:val="21"/>
                <w:vertAlign w:val="baseline"/>
              </w:rPr>
              <w:t>3. 反应杯/反应体系</w:t>
            </w:r>
          </w:p>
          <w:p w14:paraId="5993967F">
            <w:pPr>
              <w:widowControl w:val="0"/>
              <w:jc w:val="left"/>
              <w:rPr>
                <w:rFonts w:hint="eastAsia"/>
                <w:sz w:val="21"/>
                <w:szCs w:val="21"/>
                <w:vertAlign w:val="baseline"/>
              </w:rPr>
            </w:pPr>
            <w:r>
              <w:rPr>
                <w:rFonts w:hint="eastAsia"/>
                <w:sz w:val="21"/>
                <w:szCs w:val="21"/>
                <w:vertAlign w:val="baseline"/>
              </w:rPr>
              <w:t xml:space="preserve">   · 反应杯类型：一次性耗材</w:t>
            </w:r>
            <w:r>
              <w:rPr>
                <w:rFonts w:hint="eastAsia"/>
                <w:sz w:val="21"/>
                <w:szCs w:val="21"/>
                <w:vertAlign w:val="baseline"/>
                <w:lang w:val="en-US" w:eastAsia="zh-CN"/>
              </w:rPr>
              <w:t>或</w:t>
            </w:r>
            <w:r>
              <w:rPr>
                <w:rFonts w:hint="eastAsia"/>
                <w:sz w:val="21"/>
                <w:szCs w:val="21"/>
                <w:vertAlign w:val="baseline"/>
              </w:rPr>
              <w:t>可循环使用的比色杯（需配套清洗系统）。</w:t>
            </w:r>
          </w:p>
          <w:p w14:paraId="1B641FC3">
            <w:pPr>
              <w:widowControl w:val="0"/>
              <w:jc w:val="left"/>
              <w:rPr>
                <w:rFonts w:hint="eastAsia"/>
                <w:sz w:val="21"/>
                <w:szCs w:val="21"/>
                <w:vertAlign w:val="baseline"/>
                <w:lang w:eastAsia="zh-CN"/>
              </w:rPr>
            </w:pPr>
            <w:r>
              <w:rPr>
                <w:rFonts w:hint="eastAsia"/>
                <w:sz w:val="21"/>
                <w:szCs w:val="21"/>
                <w:vertAlign w:val="baseline"/>
              </w:rPr>
              <w:t xml:space="preserve">   · 最小反应体积：</w:t>
            </w:r>
            <w:r>
              <w:rPr>
                <w:rFonts w:hint="eastAsia"/>
                <w:sz w:val="21"/>
                <w:szCs w:val="21"/>
                <w:vertAlign w:val="baseline"/>
                <w:lang w:eastAsia="zh-CN"/>
              </w:rPr>
              <w:t>低于同类设备。</w:t>
            </w:r>
          </w:p>
          <w:p w14:paraId="4F3F98A8">
            <w:pPr>
              <w:widowControl w:val="0"/>
              <w:jc w:val="left"/>
              <w:rPr>
                <w:rFonts w:hint="eastAsia"/>
                <w:b/>
                <w:bCs/>
                <w:sz w:val="21"/>
                <w:szCs w:val="21"/>
                <w:vertAlign w:val="baseline"/>
              </w:rPr>
            </w:pPr>
            <w:r>
              <w:rPr>
                <w:rFonts w:hint="eastAsia"/>
                <w:b/>
                <w:bCs/>
                <w:sz w:val="21"/>
                <w:szCs w:val="21"/>
                <w:vertAlign w:val="baseline"/>
              </w:rPr>
              <w:t>三、系统与软件参数</w:t>
            </w:r>
          </w:p>
          <w:p w14:paraId="11D2DE1C">
            <w:pPr>
              <w:widowControl w:val="0"/>
              <w:jc w:val="left"/>
              <w:rPr>
                <w:rFonts w:hint="eastAsia"/>
                <w:sz w:val="21"/>
                <w:szCs w:val="21"/>
                <w:vertAlign w:val="baseline"/>
              </w:rPr>
            </w:pPr>
            <w:r>
              <w:rPr>
                <w:rFonts w:hint="eastAsia"/>
                <w:sz w:val="21"/>
                <w:szCs w:val="21"/>
                <w:vertAlign w:val="baseline"/>
              </w:rPr>
              <w:t>1. 校准与质控</w:t>
            </w:r>
          </w:p>
          <w:p w14:paraId="0E254032">
            <w:pPr>
              <w:widowControl w:val="0"/>
              <w:jc w:val="left"/>
              <w:rPr>
                <w:rFonts w:hint="eastAsia"/>
                <w:sz w:val="21"/>
                <w:szCs w:val="21"/>
                <w:vertAlign w:val="baseline"/>
              </w:rPr>
            </w:pPr>
            <w:r>
              <w:rPr>
                <w:rFonts w:hint="eastAsia"/>
                <w:sz w:val="21"/>
                <w:szCs w:val="21"/>
                <w:vertAlign w:val="baseline"/>
              </w:rPr>
              <w:t xml:space="preserve">   · 校准方式：自动/手动校准，多点校准曲线。</w:t>
            </w:r>
          </w:p>
          <w:p w14:paraId="085CE9E8">
            <w:pPr>
              <w:widowControl w:val="0"/>
              <w:jc w:val="left"/>
              <w:rPr>
                <w:rFonts w:hint="eastAsia"/>
                <w:sz w:val="21"/>
                <w:szCs w:val="21"/>
                <w:vertAlign w:val="baseline"/>
              </w:rPr>
            </w:pPr>
            <w:r>
              <w:rPr>
                <w:rFonts w:hint="eastAsia"/>
                <w:sz w:val="21"/>
                <w:szCs w:val="21"/>
                <w:vertAlign w:val="baseline"/>
              </w:rPr>
              <w:t xml:space="preserve">   · 质控功能：支持多水平质控品（正常值、异常值）的自动运行、存储和Westgard规则自动判读，并能生成Levey-Jennings质控图。</w:t>
            </w:r>
          </w:p>
          <w:p w14:paraId="0FD57B28">
            <w:pPr>
              <w:widowControl w:val="0"/>
              <w:jc w:val="left"/>
              <w:rPr>
                <w:rFonts w:hint="eastAsia"/>
                <w:sz w:val="21"/>
                <w:szCs w:val="21"/>
                <w:vertAlign w:val="baseline"/>
              </w:rPr>
            </w:pPr>
            <w:r>
              <w:rPr>
                <w:rFonts w:hint="eastAsia"/>
                <w:sz w:val="21"/>
                <w:szCs w:val="21"/>
                <w:vertAlign w:val="baseline"/>
              </w:rPr>
              <w:t>2. 数据处理与软件</w:t>
            </w:r>
          </w:p>
          <w:p w14:paraId="0A52EBAC">
            <w:pPr>
              <w:widowControl w:val="0"/>
              <w:jc w:val="left"/>
              <w:rPr>
                <w:rFonts w:hint="eastAsia"/>
                <w:sz w:val="21"/>
                <w:szCs w:val="21"/>
                <w:vertAlign w:val="baseline"/>
              </w:rPr>
            </w:pPr>
            <w:r>
              <w:rPr>
                <w:rFonts w:hint="eastAsia"/>
                <w:sz w:val="21"/>
                <w:szCs w:val="21"/>
                <w:vertAlign w:val="baseline"/>
              </w:rPr>
              <w:t xml:space="preserve">   · 操作系统：嵌入式或Windows系统，界面友好。</w:t>
            </w:r>
          </w:p>
          <w:p w14:paraId="4721E5DE">
            <w:pPr>
              <w:widowControl w:val="0"/>
              <w:jc w:val="left"/>
              <w:rPr>
                <w:rFonts w:hint="eastAsia"/>
                <w:sz w:val="21"/>
                <w:szCs w:val="21"/>
                <w:vertAlign w:val="baseline"/>
              </w:rPr>
            </w:pPr>
            <w:r>
              <w:rPr>
                <w:rFonts w:hint="eastAsia"/>
                <w:sz w:val="21"/>
                <w:szCs w:val="21"/>
                <w:vertAlign w:val="baseline"/>
              </w:rPr>
              <w:t xml:space="preserve">   · LIS/HIS连接：支持双向通信，自动接收医嘱和发送报告。</w:t>
            </w:r>
          </w:p>
          <w:p w14:paraId="19DB2605">
            <w:pPr>
              <w:widowControl w:val="0"/>
              <w:jc w:val="left"/>
              <w:rPr>
                <w:rFonts w:hint="eastAsia"/>
                <w:sz w:val="21"/>
                <w:szCs w:val="21"/>
                <w:vertAlign w:val="baseline"/>
              </w:rPr>
            </w:pPr>
            <w:r>
              <w:rPr>
                <w:rFonts w:hint="eastAsia"/>
                <w:sz w:val="21"/>
                <w:szCs w:val="21"/>
                <w:vertAlign w:val="baseline"/>
              </w:rPr>
              <w:t xml:space="preserve">   · 结果审核与存储：</w:t>
            </w:r>
            <w:r>
              <w:rPr>
                <w:rFonts w:hint="eastAsia"/>
                <w:sz w:val="21"/>
                <w:szCs w:val="21"/>
                <w:vertAlign w:val="baseline"/>
                <w:lang w:eastAsia="zh-CN"/>
              </w:rPr>
              <w:t>具备</w:t>
            </w:r>
            <w:r>
              <w:rPr>
                <w:rFonts w:hint="eastAsia"/>
                <w:sz w:val="21"/>
                <w:szCs w:val="21"/>
                <w:vertAlign w:val="baseline"/>
              </w:rPr>
              <w:t>自动提示异常结果、历史结果对比、数据存储和回溯能力。</w:t>
            </w:r>
          </w:p>
          <w:p w14:paraId="56968910">
            <w:pPr>
              <w:widowControl w:val="0"/>
              <w:jc w:val="left"/>
              <w:rPr>
                <w:rFonts w:hint="eastAsia"/>
                <w:sz w:val="21"/>
                <w:szCs w:val="21"/>
                <w:vertAlign w:val="baseline"/>
              </w:rPr>
            </w:pPr>
            <w:r>
              <w:rPr>
                <w:rFonts w:hint="eastAsia"/>
                <w:sz w:val="21"/>
                <w:szCs w:val="21"/>
                <w:vertAlign w:val="baseline"/>
              </w:rPr>
              <w:t>3. 仪器尺寸与公用设施</w:t>
            </w:r>
          </w:p>
          <w:p w14:paraId="30A2CC40">
            <w:pPr>
              <w:widowControl w:val="0"/>
              <w:jc w:val="left"/>
              <w:rPr>
                <w:rFonts w:hint="eastAsia"/>
                <w:sz w:val="21"/>
                <w:szCs w:val="21"/>
                <w:vertAlign w:val="baseline"/>
              </w:rPr>
            </w:pPr>
            <w:r>
              <w:rPr>
                <w:rFonts w:hint="eastAsia"/>
                <w:sz w:val="21"/>
                <w:szCs w:val="21"/>
                <w:vertAlign w:val="baseline"/>
              </w:rPr>
              <w:t xml:space="preserve">   · 尺寸（长×宽×高）：</w:t>
            </w:r>
            <w:r>
              <w:rPr>
                <w:rFonts w:hint="eastAsia"/>
                <w:sz w:val="21"/>
                <w:szCs w:val="21"/>
                <w:vertAlign w:val="baseline"/>
                <w:lang w:eastAsia="zh-CN"/>
              </w:rPr>
              <w:t>小于同类设备</w:t>
            </w:r>
            <w:r>
              <w:rPr>
                <w:rFonts w:hint="eastAsia"/>
                <w:sz w:val="21"/>
                <w:szCs w:val="21"/>
                <w:vertAlign w:val="baseline"/>
              </w:rPr>
              <w:t>。</w:t>
            </w:r>
          </w:p>
          <w:p w14:paraId="49B3B6E4">
            <w:pPr>
              <w:widowControl w:val="0"/>
              <w:jc w:val="left"/>
              <w:rPr>
                <w:rFonts w:hint="default"/>
                <w:sz w:val="21"/>
                <w:szCs w:val="21"/>
                <w:highlight w:val="none"/>
                <w:vertAlign w:val="baseline"/>
                <w:lang w:val="en-US"/>
              </w:rPr>
            </w:pPr>
            <w:r>
              <w:rPr>
                <w:rFonts w:hint="eastAsia"/>
                <w:sz w:val="21"/>
                <w:szCs w:val="21"/>
                <w:vertAlign w:val="baseline"/>
              </w:rPr>
              <w:t xml:space="preserve">   · 重量</w:t>
            </w:r>
            <w:r>
              <w:rPr>
                <w:rFonts w:hint="eastAsia"/>
                <w:sz w:val="21"/>
                <w:szCs w:val="21"/>
                <w:vertAlign w:val="baseline"/>
                <w:lang w:eastAsia="zh-CN"/>
              </w:rPr>
              <w:t>：低于同类设备。</w:t>
            </w:r>
          </w:p>
        </w:tc>
        <w:tc>
          <w:tcPr>
            <w:tcW w:w="1169" w:type="dxa"/>
            <w:vAlign w:val="center"/>
          </w:tcPr>
          <w:p w14:paraId="5E84B688">
            <w:pPr>
              <w:widowControl w:val="0"/>
              <w:jc w:val="left"/>
              <w:rPr>
                <w:sz w:val="24"/>
                <w:szCs w:val="24"/>
                <w:highlight w:val="none"/>
                <w:vertAlign w:val="baseline"/>
              </w:rPr>
            </w:pPr>
          </w:p>
        </w:tc>
      </w:tr>
      <w:tr w14:paraId="7437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1431" w:type="dxa"/>
            <w:shd w:val="clear" w:color="auto" w:fill="auto"/>
            <w:vAlign w:val="center"/>
          </w:tcPr>
          <w:p w14:paraId="35914D0A">
            <w:pPr>
              <w:widowControl w:val="0"/>
              <w:jc w:val="center"/>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2</w:t>
            </w:r>
          </w:p>
        </w:tc>
        <w:tc>
          <w:tcPr>
            <w:tcW w:w="3279" w:type="dxa"/>
            <w:shd w:val="clear" w:color="auto" w:fill="auto"/>
            <w:vAlign w:val="center"/>
          </w:tcPr>
          <w:p w14:paraId="5D999719">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rPr>
              <w:t>全自动血液细胞分析仪</w:t>
            </w:r>
          </w:p>
        </w:tc>
        <w:tc>
          <w:tcPr>
            <w:tcW w:w="990" w:type="dxa"/>
            <w:vAlign w:val="center"/>
          </w:tcPr>
          <w:p w14:paraId="1C75E59B">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79456B69">
            <w:pPr>
              <w:widowControl w:val="0"/>
              <w:jc w:val="left"/>
              <w:rPr>
                <w:rFonts w:hint="eastAsia"/>
                <w:b/>
                <w:bCs/>
                <w:sz w:val="21"/>
                <w:szCs w:val="21"/>
                <w:vertAlign w:val="baseline"/>
              </w:rPr>
            </w:pPr>
            <w:r>
              <w:rPr>
                <w:rFonts w:hint="eastAsia"/>
                <w:b/>
                <w:bCs/>
                <w:sz w:val="21"/>
                <w:szCs w:val="21"/>
                <w:vertAlign w:val="baseline"/>
              </w:rPr>
              <w:t>一、 核心分析参数与性能</w:t>
            </w:r>
          </w:p>
          <w:p w14:paraId="5983764A">
            <w:pPr>
              <w:widowControl w:val="0"/>
              <w:jc w:val="left"/>
              <w:rPr>
                <w:rFonts w:hint="eastAsia"/>
                <w:sz w:val="21"/>
                <w:szCs w:val="21"/>
                <w:vertAlign w:val="baseline"/>
              </w:rPr>
            </w:pPr>
            <w:r>
              <w:rPr>
                <w:rFonts w:hint="eastAsia"/>
                <w:sz w:val="21"/>
                <w:szCs w:val="21"/>
                <w:vertAlign w:val="baseline"/>
              </w:rPr>
              <w:t>1. 检测参数范围：</w:t>
            </w:r>
          </w:p>
          <w:p w14:paraId="0D51BCF4">
            <w:pPr>
              <w:widowControl w:val="0"/>
              <w:jc w:val="left"/>
              <w:rPr>
                <w:rFonts w:hint="eastAsia"/>
                <w:sz w:val="21"/>
                <w:szCs w:val="21"/>
                <w:vertAlign w:val="baseline"/>
              </w:rPr>
            </w:pPr>
            <w:r>
              <w:rPr>
                <w:rFonts w:hint="eastAsia"/>
                <w:sz w:val="21"/>
                <w:szCs w:val="21"/>
                <w:vertAlign w:val="baseline"/>
              </w:rPr>
              <w:t xml:space="preserve">   · 血常规（CBC）：白细胞计数、红细胞计数、血红蛋白浓度、红细胞压积、血小板计数等。</w:t>
            </w:r>
          </w:p>
          <w:p w14:paraId="4A1F45A7">
            <w:pPr>
              <w:widowControl w:val="0"/>
              <w:jc w:val="left"/>
              <w:rPr>
                <w:rFonts w:hint="eastAsia"/>
                <w:sz w:val="21"/>
                <w:szCs w:val="21"/>
                <w:vertAlign w:val="baseline"/>
              </w:rPr>
            </w:pPr>
            <w:r>
              <w:rPr>
                <w:rFonts w:hint="eastAsia"/>
                <w:sz w:val="21"/>
                <w:szCs w:val="21"/>
                <w:vertAlign w:val="baseline"/>
              </w:rPr>
              <w:t xml:space="preserve">   · 白细胞分类（DIFF）：</w:t>
            </w:r>
          </w:p>
          <w:p w14:paraId="54919609">
            <w:pPr>
              <w:widowControl w:val="0"/>
              <w:jc w:val="left"/>
              <w:rPr>
                <w:rFonts w:hint="eastAsia"/>
                <w:sz w:val="21"/>
                <w:szCs w:val="21"/>
                <w:vertAlign w:val="baseline"/>
              </w:rPr>
            </w:pPr>
            <w:r>
              <w:rPr>
                <w:rFonts w:hint="eastAsia"/>
                <w:sz w:val="21"/>
                <w:szCs w:val="21"/>
                <w:vertAlign w:val="baseline"/>
              </w:rPr>
              <w:t xml:space="preserve">     · 五分类：中性粒细胞、淋巴细胞、单核细胞、嗜酸性粒细胞、嗜碱性粒细胞。</w:t>
            </w:r>
          </w:p>
          <w:p w14:paraId="0A6A2027">
            <w:pPr>
              <w:widowControl w:val="0"/>
              <w:jc w:val="left"/>
              <w:rPr>
                <w:rFonts w:hint="eastAsia"/>
                <w:sz w:val="21"/>
                <w:szCs w:val="21"/>
                <w:vertAlign w:val="baseline"/>
              </w:rPr>
            </w:pPr>
            <w:r>
              <w:rPr>
                <w:rFonts w:hint="eastAsia"/>
                <w:sz w:val="21"/>
                <w:szCs w:val="21"/>
                <w:vertAlign w:val="baseline"/>
              </w:rPr>
              <w:t xml:space="preserve">   · 红细胞参数：平均红细胞体积、平均红细胞血红蛋白量、平均红细胞血红蛋白浓度、红细胞分布宽度。</w:t>
            </w:r>
          </w:p>
          <w:p w14:paraId="531BCBC0">
            <w:pPr>
              <w:widowControl w:val="0"/>
              <w:jc w:val="left"/>
              <w:rPr>
                <w:rFonts w:hint="eastAsia"/>
                <w:sz w:val="21"/>
                <w:szCs w:val="21"/>
                <w:vertAlign w:val="baseline"/>
              </w:rPr>
            </w:pPr>
            <w:r>
              <w:rPr>
                <w:rFonts w:hint="eastAsia"/>
                <w:sz w:val="21"/>
                <w:szCs w:val="21"/>
                <w:vertAlign w:val="baseline"/>
              </w:rPr>
              <w:t xml:space="preserve">   · 血小板参数：平均血小板体积、血小板分布宽度、血小板压积。</w:t>
            </w:r>
          </w:p>
          <w:p w14:paraId="2705BDBC">
            <w:pPr>
              <w:widowControl w:val="0"/>
              <w:jc w:val="left"/>
              <w:rPr>
                <w:rFonts w:hint="eastAsia"/>
                <w:sz w:val="21"/>
                <w:szCs w:val="21"/>
                <w:vertAlign w:val="baseline"/>
              </w:rPr>
            </w:pPr>
            <w:r>
              <w:rPr>
                <w:rFonts w:hint="eastAsia"/>
                <w:sz w:val="21"/>
                <w:szCs w:val="21"/>
                <w:vertAlign w:val="baseline"/>
              </w:rPr>
              <w:t xml:space="preserve">   · 扩展参数：有核红细胞计数、网织红细胞计数（高端机型）、未成熟粒细胞、造血祖细胞等。</w:t>
            </w:r>
          </w:p>
          <w:p w14:paraId="36F37FD6">
            <w:pPr>
              <w:widowControl w:val="0"/>
              <w:jc w:val="left"/>
              <w:rPr>
                <w:rFonts w:hint="eastAsia"/>
                <w:sz w:val="21"/>
                <w:szCs w:val="21"/>
                <w:vertAlign w:val="baseline"/>
              </w:rPr>
            </w:pPr>
            <w:r>
              <w:rPr>
                <w:rFonts w:hint="eastAsia"/>
                <w:sz w:val="21"/>
                <w:szCs w:val="21"/>
                <w:vertAlign w:val="baseline"/>
              </w:rPr>
              <w:t>2. 线性范围与携带污染率：</w:t>
            </w:r>
          </w:p>
          <w:p w14:paraId="75F62061">
            <w:pPr>
              <w:widowControl w:val="0"/>
              <w:jc w:val="left"/>
              <w:rPr>
                <w:rFonts w:hint="eastAsia"/>
                <w:sz w:val="21"/>
                <w:szCs w:val="21"/>
                <w:vertAlign w:val="baseline"/>
              </w:rPr>
            </w:pPr>
            <w:r>
              <w:rPr>
                <w:rFonts w:hint="eastAsia"/>
                <w:sz w:val="21"/>
                <w:szCs w:val="21"/>
                <w:vertAlign w:val="baseline"/>
              </w:rPr>
              <w:t xml:space="preserve">   · 线性范围：WBC: 0 - 400 x 10⁹/L。   </w:t>
            </w:r>
          </w:p>
          <w:p w14:paraId="65714636">
            <w:pPr>
              <w:widowControl w:val="0"/>
              <w:jc w:val="left"/>
              <w:rPr>
                <w:rFonts w:hint="eastAsia"/>
                <w:sz w:val="21"/>
                <w:szCs w:val="21"/>
                <w:vertAlign w:val="baseline"/>
              </w:rPr>
            </w:pPr>
            <w:r>
              <w:rPr>
                <w:rFonts w:hint="eastAsia"/>
                <w:sz w:val="21"/>
                <w:szCs w:val="21"/>
                <w:vertAlign w:val="baseline"/>
                <w:lang w:eastAsia="zh-CN"/>
              </w:rPr>
              <w:t>　　</w:t>
            </w:r>
            <w:r>
              <w:rPr>
                <w:rFonts w:hint="eastAsia"/>
                <w:sz w:val="21"/>
                <w:szCs w:val="21"/>
                <w:vertAlign w:val="baseline"/>
              </w:rPr>
              <w:t>· 携带污染率：&lt; 1%（如WBC, RBC, HGB, PLT）。</w:t>
            </w:r>
          </w:p>
          <w:p w14:paraId="1CD50CFC">
            <w:pPr>
              <w:widowControl w:val="0"/>
              <w:jc w:val="left"/>
              <w:rPr>
                <w:rFonts w:hint="eastAsia"/>
                <w:sz w:val="21"/>
                <w:szCs w:val="21"/>
                <w:vertAlign w:val="baseline"/>
              </w:rPr>
            </w:pPr>
            <w:r>
              <w:rPr>
                <w:rFonts w:hint="eastAsia"/>
                <w:sz w:val="21"/>
                <w:szCs w:val="21"/>
                <w:vertAlign w:val="baseline"/>
              </w:rPr>
              <w:t>3. 精密度与准确度：</w:t>
            </w:r>
          </w:p>
          <w:p w14:paraId="61886390">
            <w:pPr>
              <w:widowControl w:val="0"/>
              <w:jc w:val="left"/>
              <w:rPr>
                <w:rFonts w:hint="eastAsia"/>
                <w:sz w:val="21"/>
                <w:szCs w:val="21"/>
                <w:vertAlign w:val="baseline"/>
              </w:rPr>
            </w:pPr>
            <w:r>
              <w:rPr>
                <w:rFonts w:hint="eastAsia"/>
                <w:sz w:val="21"/>
                <w:szCs w:val="21"/>
                <w:vertAlign w:val="baseline"/>
              </w:rPr>
              <w:t xml:space="preserve">   · 精密度（重复性）：CV(低值) &lt; 10%， CV(正常值) &lt; 3%。</w:t>
            </w:r>
          </w:p>
          <w:p w14:paraId="32F8A330">
            <w:pPr>
              <w:widowControl w:val="0"/>
              <w:jc w:val="left"/>
              <w:rPr>
                <w:rFonts w:hint="eastAsia"/>
                <w:sz w:val="21"/>
                <w:szCs w:val="21"/>
                <w:vertAlign w:val="baseline"/>
              </w:rPr>
            </w:pPr>
            <w:r>
              <w:rPr>
                <w:rFonts w:hint="eastAsia"/>
                <w:sz w:val="21"/>
                <w:szCs w:val="21"/>
                <w:vertAlign w:val="baseline"/>
              </w:rPr>
              <w:t xml:space="preserve">   · 准确度：通过定期校准和室间质评来保证。</w:t>
            </w:r>
          </w:p>
          <w:p w14:paraId="105BDCE6">
            <w:pPr>
              <w:widowControl w:val="0"/>
              <w:jc w:val="left"/>
              <w:rPr>
                <w:rFonts w:hint="eastAsia"/>
                <w:b/>
                <w:bCs/>
                <w:sz w:val="21"/>
                <w:szCs w:val="21"/>
                <w:vertAlign w:val="baseline"/>
              </w:rPr>
            </w:pPr>
            <w:r>
              <w:rPr>
                <w:rFonts w:hint="eastAsia"/>
                <w:b/>
                <w:bCs/>
                <w:sz w:val="21"/>
                <w:szCs w:val="21"/>
                <w:vertAlign w:val="baseline"/>
              </w:rPr>
              <w:t>二、 检测原理与技术</w:t>
            </w:r>
          </w:p>
          <w:p w14:paraId="480517D7">
            <w:pPr>
              <w:widowControl w:val="0"/>
              <w:jc w:val="left"/>
              <w:rPr>
                <w:rFonts w:hint="eastAsia"/>
                <w:sz w:val="21"/>
                <w:szCs w:val="21"/>
                <w:vertAlign w:val="baseline"/>
              </w:rPr>
            </w:pPr>
            <w:r>
              <w:rPr>
                <w:rFonts w:hint="eastAsia"/>
                <w:sz w:val="21"/>
                <w:szCs w:val="21"/>
                <w:vertAlign w:val="baseline"/>
              </w:rPr>
              <w:t>1. 主要计数原理：</w:t>
            </w:r>
          </w:p>
          <w:p w14:paraId="77335948">
            <w:pPr>
              <w:widowControl w:val="0"/>
              <w:jc w:val="left"/>
              <w:rPr>
                <w:rFonts w:hint="eastAsia"/>
                <w:sz w:val="21"/>
                <w:szCs w:val="21"/>
                <w:vertAlign w:val="baseline"/>
              </w:rPr>
            </w:pPr>
            <w:r>
              <w:rPr>
                <w:rFonts w:hint="eastAsia"/>
                <w:sz w:val="21"/>
                <w:szCs w:val="21"/>
                <w:vertAlign w:val="baseline"/>
              </w:rPr>
              <w:t xml:space="preserve">   · 电阻抗法（库尔特原理）：</w:t>
            </w:r>
            <w:r>
              <w:rPr>
                <w:rFonts w:hint="eastAsia"/>
                <w:sz w:val="21"/>
                <w:szCs w:val="21"/>
                <w:vertAlign w:val="baseline"/>
                <w:lang w:eastAsia="zh-CN"/>
              </w:rPr>
              <w:t>支持</w:t>
            </w:r>
            <w:r>
              <w:rPr>
                <w:rFonts w:hint="eastAsia"/>
                <w:sz w:val="21"/>
                <w:szCs w:val="21"/>
                <w:vertAlign w:val="baseline"/>
              </w:rPr>
              <w:t>。</w:t>
            </w:r>
          </w:p>
          <w:p w14:paraId="28140E13">
            <w:pPr>
              <w:widowControl w:val="0"/>
              <w:jc w:val="left"/>
              <w:rPr>
                <w:rFonts w:hint="eastAsia"/>
                <w:sz w:val="21"/>
                <w:szCs w:val="21"/>
                <w:vertAlign w:val="baseline"/>
              </w:rPr>
            </w:pPr>
            <w:r>
              <w:rPr>
                <w:rFonts w:hint="eastAsia"/>
                <w:sz w:val="21"/>
                <w:szCs w:val="21"/>
                <w:vertAlign w:val="baseline"/>
              </w:rPr>
              <w:t xml:space="preserve">   · 光学散射法/荧光法：</w:t>
            </w:r>
            <w:r>
              <w:rPr>
                <w:rFonts w:hint="eastAsia"/>
                <w:sz w:val="21"/>
                <w:szCs w:val="21"/>
                <w:vertAlign w:val="baseline"/>
                <w:lang w:eastAsia="zh-CN"/>
              </w:rPr>
              <w:t>支持</w:t>
            </w:r>
            <w:r>
              <w:rPr>
                <w:rFonts w:hint="eastAsia"/>
                <w:sz w:val="21"/>
                <w:szCs w:val="21"/>
                <w:vertAlign w:val="baseline"/>
              </w:rPr>
              <w:t>。</w:t>
            </w:r>
          </w:p>
          <w:p w14:paraId="2D0BA373">
            <w:pPr>
              <w:widowControl w:val="0"/>
              <w:jc w:val="left"/>
              <w:rPr>
                <w:rFonts w:hint="eastAsia"/>
                <w:sz w:val="21"/>
                <w:szCs w:val="21"/>
                <w:vertAlign w:val="baseline"/>
              </w:rPr>
            </w:pPr>
            <w:r>
              <w:rPr>
                <w:rFonts w:hint="eastAsia"/>
                <w:sz w:val="21"/>
                <w:szCs w:val="21"/>
                <w:vertAlign w:val="baseline"/>
              </w:rPr>
              <w:t xml:space="preserve">   · 流式细胞术+激光散射：</w:t>
            </w:r>
            <w:r>
              <w:rPr>
                <w:rFonts w:hint="eastAsia"/>
                <w:sz w:val="21"/>
                <w:szCs w:val="21"/>
                <w:vertAlign w:val="baseline"/>
                <w:lang w:eastAsia="zh-CN"/>
              </w:rPr>
              <w:t>支持</w:t>
            </w:r>
            <w:r>
              <w:rPr>
                <w:rFonts w:hint="eastAsia"/>
                <w:sz w:val="21"/>
                <w:szCs w:val="21"/>
                <w:vertAlign w:val="baseline"/>
              </w:rPr>
              <w:t>。</w:t>
            </w:r>
          </w:p>
          <w:p w14:paraId="37C453F4">
            <w:pPr>
              <w:widowControl w:val="0"/>
              <w:jc w:val="left"/>
              <w:rPr>
                <w:rFonts w:hint="eastAsia"/>
                <w:sz w:val="21"/>
                <w:szCs w:val="21"/>
                <w:vertAlign w:val="baseline"/>
              </w:rPr>
            </w:pPr>
            <w:r>
              <w:rPr>
                <w:rFonts w:hint="eastAsia"/>
                <w:sz w:val="21"/>
                <w:szCs w:val="21"/>
                <w:vertAlign w:val="baseline"/>
              </w:rPr>
              <w:t xml:space="preserve">   · 核酸荧光染色：</w:t>
            </w:r>
            <w:r>
              <w:rPr>
                <w:rFonts w:hint="eastAsia"/>
                <w:sz w:val="21"/>
                <w:szCs w:val="21"/>
                <w:vertAlign w:val="baseline"/>
                <w:lang w:eastAsia="zh-CN"/>
              </w:rPr>
              <w:t>支持</w:t>
            </w:r>
            <w:r>
              <w:rPr>
                <w:rFonts w:hint="eastAsia"/>
                <w:sz w:val="21"/>
                <w:szCs w:val="21"/>
                <w:vertAlign w:val="baseline"/>
              </w:rPr>
              <w:t>。</w:t>
            </w:r>
          </w:p>
          <w:p w14:paraId="3FB69C1C">
            <w:pPr>
              <w:widowControl w:val="0"/>
              <w:jc w:val="left"/>
              <w:rPr>
                <w:rFonts w:hint="eastAsia"/>
                <w:sz w:val="21"/>
                <w:szCs w:val="21"/>
                <w:vertAlign w:val="baseline"/>
              </w:rPr>
            </w:pPr>
            <w:r>
              <w:rPr>
                <w:rFonts w:hint="eastAsia"/>
                <w:sz w:val="21"/>
                <w:szCs w:val="21"/>
                <w:vertAlign w:val="baseline"/>
              </w:rPr>
              <w:t xml:space="preserve">   · 比色法：</w:t>
            </w:r>
            <w:r>
              <w:rPr>
                <w:rFonts w:hint="eastAsia"/>
                <w:sz w:val="21"/>
                <w:szCs w:val="21"/>
                <w:vertAlign w:val="baseline"/>
                <w:lang w:eastAsia="zh-CN"/>
              </w:rPr>
              <w:t>支持</w:t>
            </w:r>
            <w:r>
              <w:rPr>
                <w:rFonts w:hint="eastAsia"/>
                <w:sz w:val="21"/>
                <w:szCs w:val="21"/>
                <w:vertAlign w:val="baseline"/>
              </w:rPr>
              <w:t>。</w:t>
            </w:r>
          </w:p>
          <w:p w14:paraId="78DC08FD">
            <w:pPr>
              <w:widowControl w:val="0"/>
              <w:jc w:val="left"/>
              <w:rPr>
                <w:rFonts w:hint="eastAsia"/>
                <w:sz w:val="21"/>
                <w:szCs w:val="21"/>
                <w:vertAlign w:val="baseline"/>
              </w:rPr>
            </w:pPr>
            <w:r>
              <w:rPr>
                <w:rFonts w:hint="eastAsia"/>
                <w:sz w:val="21"/>
                <w:szCs w:val="21"/>
                <w:vertAlign w:val="baseline"/>
              </w:rPr>
              <w:t>2. 血红蛋白测量技术：采用十二烷基硫酸钠血红蛋白法，避免氰化物试剂的使用。</w:t>
            </w:r>
          </w:p>
          <w:p w14:paraId="6BC5F151">
            <w:pPr>
              <w:widowControl w:val="0"/>
              <w:jc w:val="left"/>
              <w:rPr>
                <w:rFonts w:hint="eastAsia"/>
                <w:b/>
                <w:bCs/>
                <w:sz w:val="21"/>
                <w:szCs w:val="21"/>
                <w:vertAlign w:val="baseline"/>
              </w:rPr>
            </w:pPr>
            <w:r>
              <w:rPr>
                <w:rFonts w:hint="eastAsia"/>
                <w:b/>
                <w:bCs/>
                <w:sz w:val="21"/>
                <w:szCs w:val="21"/>
                <w:vertAlign w:val="baseline"/>
              </w:rPr>
              <w:t>三、 样本处理与操作系统</w:t>
            </w:r>
          </w:p>
          <w:p w14:paraId="74708589">
            <w:pPr>
              <w:widowControl w:val="0"/>
              <w:jc w:val="left"/>
              <w:rPr>
                <w:rFonts w:hint="eastAsia"/>
                <w:sz w:val="21"/>
                <w:szCs w:val="21"/>
                <w:vertAlign w:val="baseline"/>
              </w:rPr>
            </w:pPr>
            <w:r>
              <w:rPr>
                <w:rFonts w:hint="eastAsia"/>
                <w:sz w:val="21"/>
                <w:szCs w:val="21"/>
                <w:vertAlign w:val="baseline"/>
              </w:rPr>
              <w:t>1. 样本类型：全血（静脉血、末梢血）、预稀释血。</w:t>
            </w:r>
          </w:p>
          <w:p w14:paraId="24F2AFDA">
            <w:pPr>
              <w:widowControl w:val="0"/>
              <w:jc w:val="left"/>
              <w:rPr>
                <w:rFonts w:hint="eastAsia"/>
                <w:sz w:val="21"/>
                <w:szCs w:val="21"/>
                <w:vertAlign w:val="baseline"/>
              </w:rPr>
            </w:pPr>
            <w:r>
              <w:rPr>
                <w:rFonts w:hint="eastAsia"/>
                <w:sz w:val="21"/>
                <w:szCs w:val="21"/>
                <w:vertAlign w:val="baseline"/>
              </w:rPr>
              <w:t>2. 进样模式：</w:t>
            </w:r>
          </w:p>
          <w:p w14:paraId="5234FEC5">
            <w:pPr>
              <w:widowControl w:val="0"/>
              <w:jc w:val="left"/>
              <w:rPr>
                <w:rFonts w:hint="eastAsia"/>
                <w:sz w:val="21"/>
                <w:szCs w:val="21"/>
                <w:vertAlign w:val="baseline"/>
              </w:rPr>
            </w:pPr>
            <w:r>
              <w:rPr>
                <w:rFonts w:hint="eastAsia"/>
                <w:sz w:val="21"/>
                <w:szCs w:val="21"/>
                <w:vertAlign w:val="baseline"/>
              </w:rPr>
              <w:t xml:space="preserve">   · 封闭式全血进样：直接从采血管中吸取，生物安全性高。</w:t>
            </w:r>
          </w:p>
          <w:p w14:paraId="67F1DB01">
            <w:pPr>
              <w:widowControl w:val="0"/>
              <w:jc w:val="left"/>
              <w:rPr>
                <w:rFonts w:hint="eastAsia"/>
                <w:sz w:val="21"/>
                <w:szCs w:val="21"/>
                <w:vertAlign w:val="baseline"/>
              </w:rPr>
            </w:pPr>
            <w:r>
              <w:rPr>
                <w:rFonts w:hint="eastAsia"/>
                <w:sz w:val="21"/>
                <w:szCs w:val="21"/>
                <w:vertAlign w:val="baseline"/>
              </w:rPr>
              <w:t xml:space="preserve">   · 开放式进样：适用于微量血或试管盖已开的样本。</w:t>
            </w:r>
          </w:p>
          <w:p w14:paraId="29076FA0">
            <w:pPr>
              <w:widowControl w:val="0"/>
              <w:jc w:val="left"/>
              <w:rPr>
                <w:rFonts w:hint="eastAsia"/>
                <w:sz w:val="21"/>
                <w:szCs w:val="21"/>
                <w:vertAlign w:val="baseline"/>
              </w:rPr>
            </w:pPr>
            <w:r>
              <w:rPr>
                <w:rFonts w:hint="eastAsia"/>
                <w:sz w:val="21"/>
                <w:szCs w:val="21"/>
                <w:vertAlign w:val="baseline"/>
              </w:rPr>
              <w:t xml:space="preserve">   · 自动进样：具有样本架或轨道式进样系统，可连续加载数十至上百个样本，实现“无人值守”批量处理。</w:t>
            </w:r>
          </w:p>
          <w:p w14:paraId="3B881C85">
            <w:pPr>
              <w:widowControl w:val="0"/>
              <w:jc w:val="left"/>
              <w:rPr>
                <w:rFonts w:hint="eastAsia"/>
                <w:sz w:val="21"/>
                <w:szCs w:val="21"/>
                <w:vertAlign w:val="baseline"/>
              </w:rPr>
            </w:pPr>
            <w:r>
              <w:rPr>
                <w:rFonts w:hint="eastAsia"/>
                <w:sz w:val="21"/>
                <w:szCs w:val="21"/>
                <w:vertAlign w:val="baseline"/>
              </w:rPr>
              <w:t>3. 测试速度：100-200样本/小时以上。</w:t>
            </w:r>
          </w:p>
          <w:p w14:paraId="345447D6">
            <w:pPr>
              <w:widowControl w:val="0"/>
              <w:jc w:val="left"/>
              <w:rPr>
                <w:rFonts w:hint="eastAsia"/>
                <w:sz w:val="21"/>
                <w:szCs w:val="21"/>
                <w:vertAlign w:val="baseline"/>
              </w:rPr>
            </w:pPr>
            <w:r>
              <w:rPr>
                <w:rFonts w:hint="eastAsia"/>
                <w:sz w:val="21"/>
                <w:szCs w:val="21"/>
                <w:vertAlign w:val="baseline"/>
              </w:rPr>
              <w:t>4. 首结果时间：30 - 60秒 左右。</w:t>
            </w:r>
          </w:p>
          <w:p w14:paraId="6D4A0FDC">
            <w:pPr>
              <w:widowControl w:val="0"/>
              <w:jc w:val="left"/>
              <w:rPr>
                <w:rFonts w:hint="eastAsia"/>
                <w:sz w:val="21"/>
                <w:szCs w:val="21"/>
                <w:vertAlign w:val="baseline"/>
              </w:rPr>
            </w:pPr>
            <w:r>
              <w:rPr>
                <w:rFonts w:hint="eastAsia"/>
                <w:sz w:val="21"/>
                <w:szCs w:val="21"/>
                <w:vertAlign w:val="baseline"/>
              </w:rPr>
              <w:t>5. 样本量需求：静脉血所需为 100 - 250 µL。末梢血或预稀释模式需求20 µL。</w:t>
            </w:r>
          </w:p>
          <w:p w14:paraId="77F54B70">
            <w:pPr>
              <w:widowControl w:val="0"/>
              <w:jc w:val="left"/>
              <w:rPr>
                <w:rFonts w:hint="eastAsia"/>
                <w:b/>
                <w:bCs/>
                <w:sz w:val="21"/>
                <w:szCs w:val="21"/>
                <w:vertAlign w:val="baseline"/>
              </w:rPr>
            </w:pPr>
            <w:r>
              <w:rPr>
                <w:rFonts w:hint="eastAsia"/>
                <w:b/>
                <w:bCs/>
                <w:sz w:val="21"/>
                <w:szCs w:val="21"/>
                <w:vertAlign w:val="baseline"/>
              </w:rPr>
              <w:t>四、 智能功能与软件系统</w:t>
            </w:r>
          </w:p>
          <w:p w14:paraId="6CB7B0E6">
            <w:pPr>
              <w:widowControl w:val="0"/>
              <w:jc w:val="left"/>
              <w:rPr>
                <w:rFonts w:hint="eastAsia"/>
                <w:sz w:val="21"/>
                <w:szCs w:val="21"/>
                <w:vertAlign w:val="baseline"/>
              </w:rPr>
            </w:pPr>
            <w:r>
              <w:rPr>
                <w:rFonts w:hint="eastAsia"/>
                <w:sz w:val="21"/>
                <w:szCs w:val="21"/>
                <w:vertAlign w:val="baseline"/>
              </w:rPr>
              <w:t>1. 自动复检与验证规则：内置智能软件，可根据预设规则（如IPU、实验室自定义规则）自动筛选异常结果，提示涂片镜检或进行自动复测。</w:t>
            </w:r>
          </w:p>
          <w:p w14:paraId="5E4732EA">
            <w:pPr>
              <w:widowControl w:val="0"/>
              <w:jc w:val="left"/>
              <w:rPr>
                <w:rFonts w:hint="eastAsia"/>
                <w:sz w:val="21"/>
                <w:szCs w:val="21"/>
                <w:vertAlign w:val="baseline"/>
              </w:rPr>
            </w:pPr>
            <w:r>
              <w:rPr>
                <w:rFonts w:hint="eastAsia"/>
                <w:sz w:val="21"/>
                <w:szCs w:val="21"/>
                <w:vertAlign w:val="baseline"/>
              </w:rPr>
              <w:t>2. 报警与提示功能：对异常细胞（如异型淋巴细胞、幼稚细胞）、血小板聚集、溶血干扰、红细胞凝集等进行标记和报警。</w:t>
            </w:r>
          </w:p>
          <w:p w14:paraId="297856D7">
            <w:pPr>
              <w:widowControl w:val="0"/>
              <w:jc w:val="left"/>
              <w:rPr>
                <w:rFonts w:hint="eastAsia"/>
                <w:sz w:val="21"/>
                <w:szCs w:val="21"/>
                <w:vertAlign w:val="baseline"/>
              </w:rPr>
            </w:pPr>
            <w:r>
              <w:rPr>
                <w:rFonts w:hint="eastAsia"/>
                <w:sz w:val="21"/>
                <w:szCs w:val="21"/>
                <w:vertAlign w:val="baseline"/>
              </w:rPr>
              <w:t>3. 数据管理与LIS/HIS接口：强大的数据存储、查询、统计功能和标准通信接口（如HL7），实现与实验室信息系统、医院信息系统的无缝对接。</w:t>
            </w:r>
          </w:p>
          <w:p w14:paraId="2A6AC601">
            <w:pPr>
              <w:widowControl w:val="0"/>
              <w:jc w:val="left"/>
              <w:rPr>
                <w:rFonts w:hint="eastAsia"/>
                <w:sz w:val="21"/>
                <w:szCs w:val="21"/>
                <w:vertAlign w:val="baseline"/>
              </w:rPr>
            </w:pPr>
            <w:r>
              <w:rPr>
                <w:rFonts w:hint="eastAsia"/>
                <w:sz w:val="21"/>
                <w:szCs w:val="21"/>
                <w:vertAlign w:val="baseline"/>
              </w:rPr>
              <w:t>4. 质控管理：支持多水平质控品检测、Levey-Jennings质控图绘制和Westgard规则自动判读。</w:t>
            </w:r>
          </w:p>
          <w:p w14:paraId="4B28251E">
            <w:pPr>
              <w:widowControl w:val="0"/>
              <w:jc w:val="left"/>
              <w:rPr>
                <w:rFonts w:hint="eastAsia"/>
                <w:b/>
                <w:bCs/>
                <w:sz w:val="21"/>
                <w:szCs w:val="21"/>
                <w:vertAlign w:val="baseline"/>
              </w:rPr>
            </w:pPr>
            <w:r>
              <w:rPr>
                <w:rFonts w:hint="eastAsia"/>
                <w:b/>
                <w:bCs/>
                <w:sz w:val="21"/>
                <w:szCs w:val="21"/>
                <w:vertAlign w:val="baseline"/>
              </w:rPr>
              <w:t>五、 仪器物理与运行参数</w:t>
            </w:r>
          </w:p>
          <w:p w14:paraId="6F72FFB3">
            <w:pPr>
              <w:widowControl w:val="0"/>
              <w:jc w:val="left"/>
              <w:rPr>
                <w:rFonts w:hint="eastAsia"/>
                <w:sz w:val="21"/>
                <w:szCs w:val="21"/>
                <w:vertAlign w:val="baseline"/>
              </w:rPr>
            </w:pPr>
            <w:r>
              <w:rPr>
                <w:rFonts w:hint="eastAsia"/>
                <w:sz w:val="21"/>
                <w:szCs w:val="21"/>
                <w:vertAlign w:val="baseline"/>
              </w:rPr>
              <w:t>1. 外形尺寸与重量：</w:t>
            </w:r>
            <w:r>
              <w:rPr>
                <w:rFonts w:hint="eastAsia"/>
                <w:sz w:val="21"/>
                <w:szCs w:val="21"/>
                <w:vertAlign w:val="baseline"/>
                <w:lang w:eastAsia="zh-CN"/>
              </w:rPr>
              <w:t>小于市场同类设备均值</w:t>
            </w:r>
            <w:r>
              <w:rPr>
                <w:rFonts w:hint="eastAsia"/>
                <w:sz w:val="21"/>
                <w:szCs w:val="21"/>
                <w:vertAlign w:val="baseline"/>
              </w:rPr>
              <w:t>。</w:t>
            </w:r>
          </w:p>
          <w:p w14:paraId="0F1850BC">
            <w:pPr>
              <w:widowControl w:val="0"/>
              <w:jc w:val="left"/>
              <w:rPr>
                <w:rFonts w:hint="eastAsia"/>
                <w:sz w:val="21"/>
                <w:szCs w:val="21"/>
                <w:vertAlign w:val="baseline"/>
              </w:rPr>
            </w:pPr>
            <w:r>
              <w:rPr>
                <w:rFonts w:hint="eastAsia"/>
                <w:sz w:val="21"/>
                <w:szCs w:val="21"/>
                <w:vertAlign w:val="baseline"/>
              </w:rPr>
              <w:t>2. 电源要求：AC 220V ± 10%， 50/60 Hz。</w:t>
            </w:r>
          </w:p>
          <w:p w14:paraId="6563890F">
            <w:pPr>
              <w:widowControl w:val="0"/>
              <w:jc w:val="left"/>
              <w:rPr>
                <w:rFonts w:hint="eastAsia"/>
                <w:sz w:val="21"/>
                <w:szCs w:val="21"/>
                <w:vertAlign w:val="baseline"/>
              </w:rPr>
            </w:pPr>
            <w:r>
              <w:rPr>
                <w:rFonts w:hint="eastAsia"/>
                <w:sz w:val="21"/>
                <w:szCs w:val="21"/>
                <w:vertAlign w:val="baseline"/>
              </w:rPr>
              <w:t>3. 环境要求：运行温度（15-30°C）、湿度范围</w:t>
            </w:r>
            <w:r>
              <w:rPr>
                <w:rFonts w:hint="eastAsia"/>
                <w:sz w:val="21"/>
                <w:szCs w:val="21"/>
                <w:vertAlign w:val="baseline"/>
                <w:lang w:eastAsia="zh-CN"/>
              </w:rPr>
              <w:t>低于</w:t>
            </w:r>
            <w:r>
              <w:rPr>
                <w:rFonts w:hint="default"/>
                <w:sz w:val="21"/>
                <w:szCs w:val="21"/>
                <w:vertAlign w:val="baseline"/>
                <w:lang w:val="en-US" w:eastAsia="zh-CN"/>
              </w:rPr>
              <w:t>80%</w:t>
            </w:r>
            <w:r>
              <w:rPr>
                <w:rFonts w:hint="eastAsia"/>
                <w:sz w:val="21"/>
                <w:szCs w:val="21"/>
                <w:vertAlign w:val="baseline"/>
              </w:rPr>
              <w:t>。</w:t>
            </w:r>
          </w:p>
          <w:p w14:paraId="573068AC">
            <w:pPr>
              <w:widowControl w:val="0"/>
              <w:jc w:val="left"/>
              <w:rPr>
                <w:rFonts w:hint="eastAsia"/>
                <w:sz w:val="21"/>
                <w:szCs w:val="21"/>
                <w:vertAlign w:val="baseline"/>
              </w:rPr>
            </w:pPr>
            <w:r>
              <w:rPr>
                <w:rFonts w:hint="eastAsia"/>
                <w:sz w:val="21"/>
                <w:szCs w:val="21"/>
                <w:vertAlign w:val="baseline"/>
              </w:rPr>
              <w:t>4. 试剂系统：</w:t>
            </w:r>
          </w:p>
          <w:p w14:paraId="0E1FA56A">
            <w:pPr>
              <w:widowControl w:val="0"/>
              <w:jc w:val="left"/>
              <w:rPr>
                <w:rFonts w:hint="eastAsia"/>
                <w:sz w:val="21"/>
                <w:szCs w:val="21"/>
                <w:vertAlign w:val="baseline"/>
              </w:rPr>
            </w:pPr>
            <w:r>
              <w:rPr>
                <w:rFonts w:hint="eastAsia"/>
                <w:sz w:val="21"/>
                <w:szCs w:val="21"/>
                <w:vertAlign w:val="baseline"/>
              </w:rPr>
              <w:t xml:space="preserve">   · 试剂种类：稀释液、溶血剂、清洗液、染液</w:t>
            </w:r>
            <w:r>
              <w:rPr>
                <w:rFonts w:hint="eastAsia"/>
                <w:sz w:val="21"/>
                <w:szCs w:val="21"/>
                <w:vertAlign w:val="baseline"/>
                <w:lang w:eastAsia="zh-CN"/>
              </w:rPr>
              <w:t>需</w:t>
            </w:r>
            <w:r>
              <w:rPr>
                <w:rFonts w:hint="eastAsia"/>
                <w:sz w:val="21"/>
                <w:szCs w:val="21"/>
                <w:vertAlign w:val="baseline"/>
              </w:rPr>
              <w:t>大包装。</w:t>
            </w:r>
          </w:p>
          <w:p w14:paraId="56475837">
            <w:pPr>
              <w:widowControl w:val="0"/>
              <w:jc w:val="left"/>
              <w:rPr>
                <w:rFonts w:hint="eastAsia"/>
                <w:sz w:val="21"/>
                <w:szCs w:val="21"/>
                <w:vertAlign w:val="baseline"/>
              </w:rPr>
            </w:pPr>
            <w:r>
              <w:rPr>
                <w:rFonts w:hint="eastAsia"/>
                <w:sz w:val="21"/>
                <w:szCs w:val="21"/>
                <w:vertAlign w:val="baseline"/>
              </w:rPr>
              <w:t xml:space="preserve">   · 试剂消耗量：单测试所需各试剂的体积</w:t>
            </w:r>
            <w:r>
              <w:rPr>
                <w:rFonts w:hint="eastAsia"/>
                <w:sz w:val="21"/>
                <w:szCs w:val="21"/>
                <w:vertAlign w:val="baseline"/>
                <w:lang w:val="en-US" w:eastAsia="zh-CN"/>
              </w:rPr>
              <w:t>低于同类设备</w:t>
            </w:r>
            <w:r>
              <w:rPr>
                <w:rFonts w:hint="eastAsia"/>
                <w:sz w:val="21"/>
                <w:szCs w:val="21"/>
                <w:vertAlign w:val="baseline"/>
                <w:lang w:eastAsia="zh-CN"/>
              </w:rPr>
              <w:t>均值</w:t>
            </w:r>
            <w:r>
              <w:rPr>
                <w:rFonts w:hint="eastAsia"/>
                <w:sz w:val="21"/>
                <w:szCs w:val="21"/>
                <w:vertAlign w:val="baseline"/>
              </w:rPr>
              <w:t>。</w:t>
            </w:r>
          </w:p>
          <w:p w14:paraId="1A5C52F4">
            <w:pPr>
              <w:widowControl w:val="0"/>
              <w:jc w:val="left"/>
              <w:rPr>
                <w:rFonts w:hint="eastAsia"/>
                <w:sz w:val="21"/>
                <w:szCs w:val="21"/>
                <w:vertAlign w:val="baseline"/>
              </w:rPr>
            </w:pPr>
            <w:r>
              <w:rPr>
                <w:rFonts w:hint="eastAsia"/>
                <w:sz w:val="21"/>
                <w:szCs w:val="21"/>
                <w:vertAlign w:val="baseline"/>
              </w:rPr>
              <w:t xml:space="preserve">   · 试剂在位状态监测：实时监控余量并预警。</w:t>
            </w:r>
          </w:p>
          <w:p w14:paraId="438DA0C3">
            <w:pPr>
              <w:widowControl w:val="0"/>
              <w:jc w:val="left"/>
              <w:rPr>
                <w:rFonts w:hint="eastAsia"/>
                <w:sz w:val="21"/>
                <w:szCs w:val="21"/>
                <w:vertAlign w:val="baseline"/>
              </w:rPr>
            </w:pPr>
            <w:r>
              <w:rPr>
                <w:rFonts w:hint="eastAsia"/>
                <w:sz w:val="21"/>
                <w:szCs w:val="21"/>
                <w:vertAlign w:val="baseline"/>
              </w:rPr>
              <w:t>5. 废液容量：废液桶的体积</w:t>
            </w:r>
            <w:r>
              <w:rPr>
                <w:rFonts w:hint="eastAsia"/>
                <w:sz w:val="21"/>
                <w:szCs w:val="21"/>
                <w:vertAlign w:val="baseline"/>
                <w:lang w:eastAsia="zh-CN"/>
              </w:rPr>
              <w:t>大于同类设备均值</w:t>
            </w:r>
            <w:r>
              <w:rPr>
                <w:rFonts w:hint="eastAsia"/>
                <w:sz w:val="21"/>
                <w:szCs w:val="21"/>
                <w:vertAlign w:val="baseline"/>
              </w:rPr>
              <w:t>。</w:t>
            </w:r>
          </w:p>
          <w:p w14:paraId="012CA10A">
            <w:pPr>
              <w:widowControl w:val="0"/>
              <w:jc w:val="left"/>
              <w:rPr>
                <w:rFonts w:hint="default"/>
                <w:sz w:val="21"/>
                <w:szCs w:val="21"/>
                <w:highlight w:val="none"/>
                <w:vertAlign w:val="baseline"/>
                <w:lang w:val="en-US"/>
              </w:rPr>
            </w:pPr>
            <w:r>
              <w:rPr>
                <w:rFonts w:hint="eastAsia"/>
                <w:sz w:val="21"/>
                <w:szCs w:val="21"/>
                <w:vertAlign w:val="baseline"/>
              </w:rPr>
              <w:t>6. 日常维护：</w:t>
            </w:r>
            <w:r>
              <w:rPr>
                <w:rFonts w:hint="eastAsia"/>
                <w:sz w:val="21"/>
                <w:szCs w:val="21"/>
                <w:vertAlign w:val="baseline"/>
                <w:lang w:eastAsia="zh-CN"/>
              </w:rPr>
              <w:t>有</w:t>
            </w:r>
            <w:r>
              <w:rPr>
                <w:rFonts w:hint="eastAsia"/>
                <w:sz w:val="21"/>
                <w:szCs w:val="21"/>
                <w:vertAlign w:val="baseline"/>
              </w:rPr>
              <w:t>每日/每周/每月执行清洗、保养程序，以及自动清洗功能。</w:t>
            </w:r>
          </w:p>
        </w:tc>
        <w:tc>
          <w:tcPr>
            <w:tcW w:w="1169" w:type="dxa"/>
            <w:vAlign w:val="center"/>
          </w:tcPr>
          <w:p w14:paraId="50C576A0">
            <w:pPr>
              <w:widowControl w:val="0"/>
              <w:jc w:val="left"/>
              <w:rPr>
                <w:sz w:val="24"/>
                <w:szCs w:val="24"/>
                <w:highlight w:val="none"/>
                <w:vertAlign w:val="baseline"/>
              </w:rPr>
            </w:pPr>
          </w:p>
        </w:tc>
      </w:tr>
      <w:tr w14:paraId="2E8F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0404776F">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3</w:t>
            </w:r>
          </w:p>
        </w:tc>
        <w:tc>
          <w:tcPr>
            <w:tcW w:w="3279" w:type="dxa"/>
            <w:shd w:val="clear" w:color="auto" w:fill="auto"/>
            <w:vAlign w:val="center"/>
          </w:tcPr>
          <w:p w14:paraId="3C050CAD">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全自动生化分析仪</w:t>
            </w:r>
          </w:p>
        </w:tc>
        <w:tc>
          <w:tcPr>
            <w:tcW w:w="990" w:type="dxa"/>
            <w:vAlign w:val="center"/>
          </w:tcPr>
          <w:p w14:paraId="54E236D0">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69F24011">
            <w:pPr>
              <w:widowControl w:val="0"/>
              <w:jc w:val="left"/>
              <w:rPr>
                <w:rFonts w:hint="eastAsia"/>
                <w:b/>
                <w:bCs/>
                <w:sz w:val="21"/>
                <w:szCs w:val="21"/>
                <w:vertAlign w:val="baseline"/>
              </w:rPr>
            </w:pPr>
            <w:r>
              <w:rPr>
                <w:rFonts w:hint="eastAsia"/>
                <w:b/>
                <w:bCs/>
                <w:sz w:val="21"/>
                <w:szCs w:val="21"/>
                <w:vertAlign w:val="baseline"/>
              </w:rPr>
              <w:t>一、分析性能参数</w:t>
            </w:r>
          </w:p>
          <w:p w14:paraId="621C65B3">
            <w:pPr>
              <w:widowControl w:val="0"/>
              <w:jc w:val="left"/>
              <w:rPr>
                <w:rFonts w:hint="eastAsia"/>
                <w:sz w:val="21"/>
                <w:szCs w:val="21"/>
                <w:vertAlign w:val="baseline"/>
              </w:rPr>
            </w:pPr>
            <w:r>
              <w:rPr>
                <w:rFonts w:hint="eastAsia"/>
                <w:sz w:val="21"/>
                <w:szCs w:val="21"/>
                <w:vertAlign w:val="baseline"/>
              </w:rPr>
              <w:t>1. 分析原理</w:t>
            </w:r>
          </w:p>
          <w:p w14:paraId="2ED532CC">
            <w:pPr>
              <w:widowControl w:val="0"/>
              <w:jc w:val="left"/>
              <w:rPr>
                <w:rFonts w:hint="eastAsia"/>
                <w:sz w:val="21"/>
                <w:szCs w:val="21"/>
                <w:vertAlign w:val="baseline"/>
              </w:rPr>
            </w:pPr>
            <w:r>
              <w:rPr>
                <w:rFonts w:hint="eastAsia"/>
                <w:sz w:val="21"/>
                <w:szCs w:val="21"/>
                <w:vertAlign w:val="baseline"/>
              </w:rPr>
              <w:t xml:space="preserve">   · 光度分析法：终点法、固定时间法、连续监测法（速率法）、比浊法。</w:t>
            </w:r>
          </w:p>
          <w:p w14:paraId="55AB4CC3">
            <w:pPr>
              <w:widowControl w:val="0"/>
              <w:jc w:val="left"/>
              <w:rPr>
                <w:rFonts w:hint="eastAsia"/>
                <w:sz w:val="21"/>
                <w:szCs w:val="21"/>
                <w:vertAlign w:val="baseline"/>
              </w:rPr>
            </w:pPr>
            <w:r>
              <w:rPr>
                <w:rFonts w:hint="eastAsia"/>
                <w:sz w:val="21"/>
                <w:szCs w:val="21"/>
                <w:vertAlign w:val="baseline"/>
              </w:rPr>
              <w:t xml:space="preserve">   · 离子选择电极法：用于电解质（Na⁺, K⁺, Cl⁻, Ca²⁺等）测定。</w:t>
            </w:r>
          </w:p>
          <w:p w14:paraId="317BC5C4">
            <w:pPr>
              <w:widowControl w:val="0"/>
              <w:jc w:val="left"/>
              <w:rPr>
                <w:rFonts w:hint="eastAsia"/>
                <w:sz w:val="21"/>
                <w:szCs w:val="21"/>
                <w:vertAlign w:val="baseline"/>
              </w:rPr>
            </w:pPr>
            <w:r>
              <w:rPr>
                <w:rFonts w:hint="eastAsia"/>
                <w:sz w:val="21"/>
                <w:szCs w:val="21"/>
                <w:vertAlign w:val="baseline"/>
              </w:rPr>
              <w:t>2. 光学系统</w:t>
            </w:r>
          </w:p>
          <w:p w14:paraId="02B75EFE">
            <w:pPr>
              <w:widowControl w:val="0"/>
              <w:jc w:val="left"/>
              <w:rPr>
                <w:rFonts w:hint="eastAsia"/>
                <w:sz w:val="21"/>
                <w:szCs w:val="21"/>
                <w:vertAlign w:val="baseline"/>
              </w:rPr>
            </w:pPr>
            <w:r>
              <w:rPr>
                <w:rFonts w:hint="eastAsia"/>
                <w:sz w:val="21"/>
                <w:szCs w:val="21"/>
                <w:vertAlign w:val="baseline"/>
              </w:rPr>
              <w:t xml:space="preserve">   · 光源：LED灯。</w:t>
            </w:r>
          </w:p>
          <w:p w14:paraId="787D93BE">
            <w:pPr>
              <w:widowControl w:val="0"/>
              <w:jc w:val="left"/>
              <w:rPr>
                <w:rFonts w:hint="eastAsia"/>
                <w:sz w:val="21"/>
                <w:szCs w:val="21"/>
                <w:vertAlign w:val="baseline"/>
              </w:rPr>
            </w:pPr>
            <w:r>
              <w:rPr>
                <w:rFonts w:hint="eastAsia"/>
                <w:sz w:val="21"/>
                <w:szCs w:val="21"/>
                <w:vertAlign w:val="baseline"/>
              </w:rPr>
              <w:t xml:space="preserve">   · 分光方式：后分光（主流，光路稳定，误差小）。</w:t>
            </w:r>
          </w:p>
          <w:p w14:paraId="39F6A793">
            <w:pPr>
              <w:widowControl w:val="0"/>
              <w:jc w:val="left"/>
              <w:rPr>
                <w:rFonts w:hint="eastAsia"/>
                <w:sz w:val="21"/>
                <w:szCs w:val="21"/>
                <w:vertAlign w:val="baseline"/>
              </w:rPr>
            </w:pPr>
            <w:r>
              <w:rPr>
                <w:rFonts w:hint="eastAsia"/>
                <w:sz w:val="21"/>
                <w:szCs w:val="21"/>
                <w:vertAlign w:val="baseline"/>
              </w:rPr>
              <w:t xml:space="preserve">   · 单色器：光栅（衍射光栅，主流）。</w:t>
            </w:r>
          </w:p>
          <w:p w14:paraId="26845147">
            <w:pPr>
              <w:widowControl w:val="0"/>
              <w:jc w:val="left"/>
              <w:rPr>
                <w:rFonts w:hint="eastAsia"/>
                <w:sz w:val="21"/>
                <w:szCs w:val="21"/>
                <w:vertAlign w:val="baseline"/>
              </w:rPr>
            </w:pPr>
            <w:r>
              <w:rPr>
                <w:rFonts w:hint="eastAsia"/>
                <w:sz w:val="21"/>
                <w:szCs w:val="21"/>
                <w:vertAlign w:val="baseline"/>
              </w:rPr>
              <w:t xml:space="preserve">   · 波长范围：340-800nm。</w:t>
            </w:r>
          </w:p>
          <w:p w14:paraId="42635419">
            <w:pPr>
              <w:widowControl w:val="0"/>
              <w:jc w:val="left"/>
              <w:rPr>
                <w:rFonts w:hint="eastAsia"/>
                <w:sz w:val="21"/>
                <w:szCs w:val="21"/>
                <w:vertAlign w:val="baseline"/>
              </w:rPr>
            </w:pPr>
            <w:r>
              <w:rPr>
                <w:rFonts w:hint="eastAsia"/>
                <w:sz w:val="21"/>
                <w:szCs w:val="21"/>
                <w:vertAlign w:val="baseline"/>
              </w:rPr>
              <w:t xml:space="preserve">   · 波长数量：8-16个，固定波长或可选波长，越多越灵活。</w:t>
            </w:r>
          </w:p>
          <w:p w14:paraId="7F5D0A76">
            <w:pPr>
              <w:widowControl w:val="0"/>
              <w:jc w:val="left"/>
              <w:rPr>
                <w:rFonts w:hint="eastAsia"/>
                <w:sz w:val="21"/>
                <w:szCs w:val="21"/>
                <w:vertAlign w:val="baseline"/>
              </w:rPr>
            </w:pPr>
            <w:r>
              <w:rPr>
                <w:rFonts w:hint="eastAsia"/>
                <w:sz w:val="21"/>
                <w:szCs w:val="21"/>
                <w:vertAlign w:val="baseline"/>
              </w:rPr>
              <w:t xml:space="preserve">   · 检测器：光电二极管阵列。</w:t>
            </w:r>
          </w:p>
          <w:p w14:paraId="659C97AD">
            <w:pPr>
              <w:widowControl w:val="0"/>
              <w:jc w:val="left"/>
              <w:rPr>
                <w:rFonts w:hint="eastAsia"/>
                <w:sz w:val="21"/>
                <w:szCs w:val="21"/>
                <w:vertAlign w:val="baseline"/>
              </w:rPr>
            </w:pPr>
            <w:r>
              <w:rPr>
                <w:rFonts w:hint="eastAsia"/>
                <w:sz w:val="21"/>
                <w:szCs w:val="21"/>
                <w:vertAlign w:val="baseline"/>
              </w:rPr>
              <w:t>3. 准确性与精密度</w:t>
            </w:r>
          </w:p>
          <w:p w14:paraId="17B66FE3">
            <w:pPr>
              <w:widowControl w:val="0"/>
              <w:jc w:val="left"/>
              <w:rPr>
                <w:rFonts w:hint="eastAsia"/>
                <w:sz w:val="21"/>
                <w:szCs w:val="21"/>
                <w:vertAlign w:val="baseline"/>
              </w:rPr>
            </w:pPr>
            <w:r>
              <w:rPr>
                <w:rFonts w:hint="eastAsia"/>
                <w:sz w:val="21"/>
                <w:szCs w:val="21"/>
                <w:vertAlign w:val="baseline"/>
              </w:rPr>
              <w:t xml:space="preserve">   · 精密度（CV%）：</w:t>
            </w:r>
          </w:p>
          <w:p w14:paraId="4A9CC2A8">
            <w:pPr>
              <w:widowControl w:val="0"/>
              <w:jc w:val="left"/>
              <w:rPr>
                <w:rFonts w:hint="eastAsia"/>
                <w:sz w:val="21"/>
                <w:szCs w:val="21"/>
                <w:vertAlign w:val="baseline"/>
              </w:rPr>
            </w:pPr>
            <w:r>
              <w:rPr>
                <w:rFonts w:hint="eastAsia"/>
                <w:sz w:val="21"/>
                <w:szCs w:val="21"/>
                <w:vertAlign w:val="baseline"/>
              </w:rPr>
              <w:t xml:space="preserve">     · 批内精密度：&lt; 1.5%（常规项目）， &lt; 3.0%（超低浓度项目如CRP、肿瘤标志物）。</w:t>
            </w:r>
          </w:p>
          <w:p w14:paraId="02DF9BB5">
            <w:pPr>
              <w:widowControl w:val="0"/>
              <w:jc w:val="left"/>
              <w:rPr>
                <w:rFonts w:hint="eastAsia"/>
                <w:sz w:val="21"/>
                <w:szCs w:val="21"/>
                <w:vertAlign w:val="baseline"/>
              </w:rPr>
            </w:pPr>
            <w:r>
              <w:rPr>
                <w:rFonts w:hint="eastAsia"/>
                <w:sz w:val="21"/>
                <w:szCs w:val="21"/>
                <w:vertAlign w:val="baseline"/>
              </w:rPr>
              <w:t xml:space="preserve">     · 日间精密度：&lt; 3.0%（常规项目）。</w:t>
            </w:r>
          </w:p>
          <w:p w14:paraId="5A23FDB6">
            <w:pPr>
              <w:widowControl w:val="0"/>
              <w:jc w:val="left"/>
              <w:rPr>
                <w:rFonts w:hint="eastAsia"/>
                <w:sz w:val="21"/>
                <w:szCs w:val="21"/>
                <w:vertAlign w:val="baseline"/>
              </w:rPr>
            </w:pPr>
            <w:r>
              <w:rPr>
                <w:rFonts w:hint="eastAsia"/>
                <w:sz w:val="21"/>
                <w:szCs w:val="21"/>
                <w:vertAlign w:val="baseline"/>
              </w:rPr>
              <w:t xml:space="preserve">   · 携带污染率： &lt; 0.1%。</w:t>
            </w:r>
          </w:p>
          <w:p w14:paraId="40E81F79">
            <w:pPr>
              <w:widowControl w:val="0"/>
              <w:jc w:val="left"/>
              <w:rPr>
                <w:rFonts w:hint="eastAsia"/>
                <w:sz w:val="21"/>
                <w:szCs w:val="21"/>
                <w:vertAlign w:val="baseline"/>
              </w:rPr>
            </w:pPr>
            <w:r>
              <w:rPr>
                <w:rFonts w:hint="eastAsia"/>
                <w:sz w:val="21"/>
                <w:szCs w:val="21"/>
                <w:vertAlign w:val="baseline"/>
              </w:rPr>
              <w:t xml:space="preserve">   · 线性范围：仪器能直接测定的浓度范围宽</w:t>
            </w:r>
            <w:r>
              <w:rPr>
                <w:rFonts w:hint="eastAsia"/>
                <w:sz w:val="21"/>
                <w:szCs w:val="21"/>
                <w:vertAlign w:val="baseline"/>
                <w:lang w:eastAsia="zh-CN"/>
              </w:rPr>
              <w:t>于同类设备均值</w:t>
            </w:r>
            <w:r>
              <w:rPr>
                <w:rFonts w:hint="eastAsia"/>
                <w:sz w:val="21"/>
                <w:szCs w:val="21"/>
                <w:vertAlign w:val="baseline"/>
              </w:rPr>
              <w:t>。</w:t>
            </w:r>
          </w:p>
          <w:p w14:paraId="578BB946">
            <w:pPr>
              <w:widowControl w:val="0"/>
              <w:jc w:val="left"/>
              <w:rPr>
                <w:rFonts w:hint="eastAsia"/>
                <w:sz w:val="21"/>
                <w:szCs w:val="21"/>
                <w:vertAlign w:val="baseline"/>
              </w:rPr>
            </w:pPr>
            <w:r>
              <w:rPr>
                <w:rFonts w:hint="eastAsia"/>
                <w:sz w:val="21"/>
                <w:szCs w:val="21"/>
                <w:vertAlign w:val="baseline"/>
              </w:rPr>
              <w:t xml:space="preserve">   · 稳定性：吸光度基线漂移小，长时间运行结果稳定。</w:t>
            </w:r>
          </w:p>
          <w:p w14:paraId="19E9CD6E">
            <w:pPr>
              <w:widowControl w:val="0"/>
              <w:jc w:val="left"/>
              <w:rPr>
                <w:rFonts w:hint="eastAsia"/>
                <w:sz w:val="21"/>
                <w:szCs w:val="21"/>
                <w:vertAlign w:val="baseline"/>
              </w:rPr>
            </w:pPr>
            <w:r>
              <w:rPr>
                <w:rFonts w:hint="eastAsia"/>
                <w:sz w:val="21"/>
                <w:szCs w:val="21"/>
                <w:vertAlign w:val="baseline"/>
              </w:rPr>
              <w:t>4. 试剂系统</w:t>
            </w:r>
          </w:p>
          <w:p w14:paraId="5A982EA5">
            <w:pPr>
              <w:widowControl w:val="0"/>
              <w:jc w:val="left"/>
              <w:rPr>
                <w:rFonts w:hint="eastAsia"/>
                <w:sz w:val="21"/>
                <w:szCs w:val="21"/>
                <w:vertAlign w:val="baseline"/>
              </w:rPr>
            </w:pPr>
            <w:r>
              <w:rPr>
                <w:rFonts w:hint="eastAsia"/>
                <w:sz w:val="21"/>
                <w:szCs w:val="21"/>
                <w:vertAlign w:val="baseline"/>
              </w:rPr>
              <w:t xml:space="preserve">   · 试剂位：60-150个冷藏试剂位（2-10℃）。</w:t>
            </w:r>
          </w:p>
          <w:p w14:paraId="5DBDDA5B">
            <w:pPr>
              <w:widowControl w:val="0"/>
              <w:jc w:val="left"/>
              <w:rPr>
                <w:rFonts w:hint="eastAsia"/>
                <w:sz w:val="21"/>
                <w:szCs w:val="21"/>
                <w:vertAlign w:val="baseline"/>
              </w:rPr>
            </w:pPr>
            <w:r>
              <w:rPr>
                <w:rFonts w:hint="eastAsia"/>
                <w:sz w:val="21"/>
                <w:szCs w:val="21"/>
                <w:vertAlign w:val="baseline"/>
              </w:rPr>
              <w:t xml:space="preserve">   · 试剂瓶规格：支持多种规格（20ml, 50ml, 100ml等）。</w:t>
            </w:r>
          </w:p>
          <w:p w14:paraId="50CAC624">
            <w:pPr>
              <w:widowControl w:val="0"/>
              <w:jc w:val="left"/>
              <w:rPr>
                <w:rFonts w:hint="eastAsia"/>
                <w:sz w:val="21"/>
                <w:szCs w:val="21"/>
                <w:vertAlign w:val="baseline"/>
              </w:rPr>
            </w:pPr>
            <w:r>
              <w:rPr>
                <w:rFonts w:hint="eastAsia"/>
                <w:sz w:val="21"/>
                <w:szCs w:val="21"/>
                <w:vertAlign w:val="baseline"/>
              </w:rPr>
              <w:t xml:space="preserve">   · 试剂冷藏方式：直接试剂盘制冷或整机冷藏。</w:t>
            </w:r>
          </w:p>
          <w:p w14:paraId="588D9E0E">
            <w:pPr>
              <w:widowControl w:val="0"/>
              <w:jc w:val="left"/>
              <w:rPr>
                <w:rFonts w:hint="eastAsia"/>
                <w:sz w:val="21"/>
                <w:szCs w:val="21"/>
                <w:vertAlign w:val="baseline"/>
              </w:rPr>
            </w:pPr>
            <w:r>
              <w:rPr>
                <w:rFonts w:hint="eastAsia"/>
                <w:sz w:val="21"/>
                <w:szCs w:val="21"/>
                <w:vertAlign w:val="baseline"/>
              </w:rPr>
              <w:t xml:space="preserve">   · 试剂管理：条码扫描、余量监测、自动更换、开瓶稳定性追踪。</w:t>
            </w:r>
          </w:p>
          <w:p w14:paraId="4245A9E3">
            <w:pPr>
              <w:widowControl w:val="0"/>
              <w:jc w:val="left"/>
              <w:rPr>
                <w:rFonts w:hint="eastAsia"/>
                <w:sz w:val="21"/>
                <w:szCs w:val="21"/>
                <w:vertAlign w:val="baseline"/>
              </w:rPr>
            </w:pPr>
            <w:r>
              <w:rPr>
                <w:rFonts w:hint="eastAsia"/>
                <w:sz w:val="21"/>
                <w:szCs w:val="21"/>
                <w:vertAlign w:val="baseline"/>
              </w:rPr>
              <w:t xml:space="preserve">   · 试剂灵活性：支持开放通道（可使用第三方试剂）和封闭试剂。</w:t>
            </w:r>
          </w:p>
          <w:p w14:paraId="6589648D">
            <w:pPr>
              <w:widowControl w:val="0"/>
              <w:jc w:val="left"/>
              <w:rPr>
                <w:rFonts w:hint="eastAsia"/>
                <w:b/>
                <w:bCs/>
                <w:sz w:val="21"/>
                <w:szCs w:val="21"/>
                <w:vertAlign w:val="baseline"/>
              </w:rPr>
            </w:pPr>
            <w:r>
              <w:rPr>
                <w:rFonts w:hint="eastAsia"/>
                <w:b/>
                <w:bCs/>
                <w:sz w:val="21"/>
                <w:szCs w:val="21"/>
                <w:vertAlign w:val="baseline"/>
              </w:rPr>
              <w:t>二、处理能力与自动化参数</w:t>
            </w:r>
          </w:p>
          <w:p w14:paraId="58089F6B">
            <w:pPr>
              <w:widowControl w:val="0"/>
              <w:jc w:val="left"/>
              <w:rPr>
                <w:rFonts w:hint="eastAsia"/>
                <w:sz w:val="21"/>
                <w:szCs w:val="21"/>
                <w:vertAlign w:val="baseline"/>
              </w:rPr>
            </w:pPr>
            <w:r>
              <w:rPr>
                <w:rFonts w:hint="eastAsia"/>
                <w:sz w:val="21"/>
                <w:szCs w:val="21"/>
                <w:vertAlign w:val="baseline"/>
              </w:rPr>
              <w:t>1. 样本系统</w:t>
            </w:r>
          </w:p>
          <w:p w14:paraId="72375248">
            <w:pPr>
              <w:widowControl w:val="0"/>
              <w:jc w:val="left"/>
              <w:rPr>
                <w:rFonts w:hint="eastAsia"/>
                <w:sz w:val="21"/>
                <w:szCs w:val="21"/>
                <w:vertAlign w:val="baseline"/>
              </w:rPr>
            </w:pPr>
            <w:r>
              <w:rPr>
                <w:rFonts w:hint="eastAsia"/>
                <w:sz w:val="21"/>
                <w:szCs w:val="21"/>
                <w:vertAlign w:val="baseline"/>
              </w:rPr>
              <w:t xml:space="preserve">   · 样本位：急诊位、常规位（60-300个以上）。</w:t>
            </w:r>
          </w:p>
          <w:p w14:paraId="19A23A25">
            <w:pPr>
              <w:widowControl w:val="0"/>
              <w:jc w:val="left"/>
              <w:rPr>
                <w:rFonts w:hint="eastAsia"/>
                <w:sz w:val="21"/>
                <w:szCs w:val="21"/>
                <w:vertAlign w:val="baseline"/>
              </w:rPr>
            </w:pPr>
            <w:r>
              <w:rPr>
                <w:rFonts w:hint="eastAsia"/>
                <w:sz w:val="21"/>
                <w:szCs w:val="21"/>
                <w:vertAlign w:val="baseline"/>
              </w:rPr>
              <w:t xml:space="preserve">   · 样本类型：血清、血浆、尿液、脑脊液等。</w:t>
            </w:r>
          </w:p>
          <w:p w14:paraId="2E170DBA">
            <w:pPr>
              <w:widowControl w:val="0"/>
              <w:jc w:val="left"/>
              <w:rPr>
                <w:rFonts w:hint="eastAsia"/>
                <w:sz w:val="21"/>
                <w:szCs w:val="21"/>
                <w:vertAlign w:val="baseline"/>
              </w:rPr>
            </w:pPr>
            <w:r>
              <w:rPr>
                <w:rFonts w:hint="eastAsia"/>
                <w:sz w:val="21"/>
                <w:szCs w:val="21"/>
                <w:vertAlign w:val="baseline"/>
              </w:rPr>
              <w:t xml:space="preserve">   · 样本管规格：支持多种试管（13×75mm， 13×100mm， 微量管等）。</w:t>
            </w:r>
          </w:p>
          <w:p w14:paraId="1298AB1F">
            <w:pPr>
              <w:widowControl w:val="0"/>
              <w:jc w:val="left"/>
              <w:rPr>
                <w:rFonts w:hint="eastAsia"/>
                <w:sz w:val="21"/>
                <w:szCs w:val="21"/>
                <w:vertAlign w:val="baseline"/>
              </w:rPr>
            </w:pPr>
            <w:r>
              <w:rPr>
                <w:rFonts w:hint="eastAsia"/>
                <w:sz w:val="21"/>
                <w:szCs w:val="21"/>
                <w:vertAlign w:val="baseline"/>
              </w:rPr>
              <w:t xml:space="preserve">   · 样本量：最小反应体积，通常2-5μL，微量仪器可达0.5-1μL。</w:t>
            </w:r>
          </w:p>
          <w:p w14:paraId="0AFF122E">
            <w:pPr>
              <w:widowControl w:val="0"/>
              <w:jc w:val="left"/>
              <w:rPr>
                <w:rFonts w:hint="eastAsia"/>
                <w:sz w:val="21"/>
                <w:szCs w:val="21"/>
                <w:vertAlign w:val="baseline"/>
              </w:rPr>
            </w:pPr>
            <w:r>
              <w:rPr>
                <w:rFonts w:hint="eastAsia"/>
                <w:sz w:val="21"/>
                <w:szCs w:val="21"/>
                <w:vertAlign w:val="baseline"/>
              </w:rPr>
              <w:t xml:space="preserve">   · 样本针：是否带液面感应、凝块检测、防撞功能。</w:t>
            </w:r>
          </w:p>
          <w:p w14:paraId="522466A3">
            <w:pPr>
              <w:widowControl w:val="0"/>
              <w:jc w:val="left"/>
              <w:rPr>
                <w:rFonts w:hint="eastAsia"/>
                <w:sz w:val="21"/>
                <w:szCs w:val="21"/>
                <w:vertAlign w:val="baseline"/>
              </w:rPr>
            </w:pPr>
            <w:r>
              <w:rPr>
                <w:rFonts w:hint="eastAsia"/>
                <w:sz w:val="21"/>
                <w:szCs w:val="21"/>
                <w:vertAlign w:val="baseline"/>
              </w:rPr>
              <w:t>2. 处理速度</w:t>
            </w:r>
          </w:p>
          <w:p w14:paraId="0A111A7C">
            <w:pPr>
              <w:widowControl w:val="0"/>
              <w:jc w:val="left"/>
              <w:rPr>
                <w:rFonts w:hint="eastAsia"/>
                <w:sz w:val="21"/>
                <w:szCs w:val="21"/>
                <w:vertAlign w:val="baseline"/>
              </w:rPr>
            </w:pPr>
            <w:r>
              <w:rPr>
                <w:rFonts w:hint="eastAsia"/>
                <w:sz w:val="21"/>
                <w:szCs w:val="21"/>
                <w:vertAlign w:val="baseline"/>
              </w:rPr>
              <w:t xml:space="preserve">   · 恒速（Throughput）：最关键参数。指每小时能完成多少个测试。通常分为：</w:t>
            </w:r>
          </w:p>
          <w:p w14:paraId="7F9AF499">
            <w:pPr>
              <w:widowControl w:val="0"/>
              <w:jc w:val="left"/>
              <w:rPr>
                <w:rFonts w:hint="eastAsia"/>
                <w:sz w:val="21"/>
                <w:szCs w:val="21"/>
                <w:vertAlign w:val="baseline"/>
              </w:rPr>
            </w:pPr>
            <w:r>
              <w:rPr>
                <w:rFonts w:hint="eastAsia"/>
                <w:sz w:val="21"/>
                <w:szCs w:val="21"/>
                <w:vertAlign w:val="baseline"/>
              </w:rPr>
              <w:t xml:space="preserve">     · 生化恒速：400-1600测试/小时（T/H）或更高。</w:t>
            </w:r>
          </w:p>
          <w:p w14:paraId="11C3974C">
            <w:pPr>
              <w:widowControl w:val="0"/>
              <w:jc w:val="left"/>
              <w:rPr>
                <w:rFonts w:hint="eastAsia"/>
                <w:sz w:val="21"/>
                <w:szCs w:val="21"/>
                <w:vertAlign w:val="baseline"/>
              </w:rPr>
            </w:pPr>
            <w:r>
              <w:rPr>
                <w:rFonts w:hint="eastAsia"/>
                <w:sz w:val="21"/>
                <w:szCs w:val="21"/>
                <w:vertAlign w:val="baseline"/>
              </w:rPr>
              <w:t xml:space="preserve">     · 带ISE（电解质）总恒速：可达2000 T/H以上。</w:t>
            </w:r>
          </w:p>
          <w:p w14:paraId="66CEBE92">
            <w:pPr>
              <w:widowControl w:val="0"/>
              <w:jc w:val="left"/>
              <w:rPr>
                <w:rFonts w:hint="eastAsia"/>
                <w:sz w:val="21"/>
                <w:szCs w:val="21"/>
                <w:vertAlign w:val="baseline"/>
              </w:rPr>
            </w:pPr>
            <w:r>
              <w:rPr>
                <w:rFonts w:hint="eastAsia"/>
                <w:sz w:val="21"/>
                <w:szCs w:val="21"/>
                <w:vertAlign w:val="baseline"/>
              </w:rPr>
              <w:t xml:space="preserve">   · 首结果时间（Time to First Result）：从加载样本到出第一个报告的时间，通常8-15分钟，影响急诊效率。</w:t>
            </w:r>
          </w:p>
          <w:p w14:paraId="63FAF376">
            <w:pPr>
              <w:widowControl w:val="0"/>
              <w:jc w:val="left"/>
              <w:rPr>
                <w:rFonts w:hint="eastAsia"/>
                <w:sz w:val="21"/>
                <w:szCs w:val="21"/>
                <w:vertAlign w:val="baseline"/>
              </w:rPr>
            </w:pPr>
            <w:r>
              <w:rPr>
                <w:rFonts w:hint="eastAsia"/>
                <w:sz w:val="21"/>
                <w:szCs w:val="21"/>
                <w:vertAlign w:val="baseline"/>
              </w:rPr>
              <w:t>3. 反应与检测系统</w:t>
            </w:r>
          </w:p>
          <w:p w14:paraId="2582E3CB">
            <w:pPr>
              <w:widowControl w:val="0"/>
              <w:jc w:val="left"/>
              <w:rPr>
                <w:rFonts w:hint="eastAsia"/>
                <w:sz w:val="21"/>
                <w:szCs w:val="21"/>
                <w:vertAlign w:val="baseline"/>
              </w:rPr>
            </w:pPr>
            <w:r>
              <w:rPr>
                <w:rFonts w:hint="eastAsia"/>
                <w:sz w:val="21"/>
                <w:szCs w:val="21"/>
                <w:vertAlign w:val="baseline"/>
              </w:rPr>
              <w:t xml:space="preserve">   · 反应杯类型：硬质玻璃杯、石英杯、塑料杯（一次性或循环使用）。</w:t>
            </w:r>
          </w:p>
          <w:p w14:paraId="587B4CFC">
            <w:pPr>
              <w:widowControl w:val="0"/>
              <w:jc w:val="left"/>
              <w:rPr>
                <w:rFonts w:hint="eastAsia"/>
                <w:sz w:val="21"/>
                <w:szCs w:val="21"/>
                <w:vertAlign w:val="baseline"/>
              </w:rPr>
            </w:pPr>
            <w:r>
              <w:rPr>
                <w:rFonts w:hint="eastAsia"/>
                <w:sz w:val="21"/>
                <w:szCs w:val="21"/>
                <w:vertAlign w:val="baseline"/>
              </w:rPr>
              <w:t xml:space="preserve">   · 反应杯清洗：温水清洗、烘干、空白检测。</w:t>
            </w:r>
          </w:p>
          <w:p w14:paraId="12E54D2E">
            <w:pPr>
              <w:widowControl w:val="0"/>
              <w:jc w:val="left"/>
              <w:rPr>
                <w:rFonts w:hint="eastAsia"/>
                <w:sz w:val="21"/>
                <w:szCs w:val="21"/>
                <w:vertAlign w:val="baseline"/>
              </w:rPr>
            </w:pPr>
            <w:r>
              <w:rPr>
                <w:rFonts w:hint="eastAsia"/>
                <w:sz w:val="21"/>
                <w:szCs w:val="21"/>
                <w:vertAlign w:val="baseline"/>
              </w:rPr>
              <w:t xml:space="preserve">   · 反应盘数量与温度：单个或多个反应盘，恒温37℃（±0.1℃）。</w:t>
            </w:r>
          </w:p>
          <w:p w14:paraId="34269915">
            <w:pPr>
              <w:widowControl w:val="0"/>
              <w:jc w:val="left"/>
              <w:rPr>
                <w:rFonts w:hint="eastAsia"/>
                <w:sz w:val="21"/>
                <w:szCs w:val="21"/>
                <w:vertAlign w:val="baseline"/>
              </w:rPr>
            </w:pPr>
            <w:r>
              <w:rPr>
                <w:rFonts w:hint="eastAsia"/>
                <w:sz w:val="21"/>
                <w:szCs w:val="21"/>
                <w:vertAlign w:val="baseline"/>
              </w:rPr>
              <w:t xml:space="preserve">   · 反应体积：总反应体积通常120-300μL，趋势是微量、节省试剂。</w:t>
            </w:r>
          </w:p>
          <w:p w14:paraId="6FE0D177">
            <w:pPr>
              <w:widowControl w:val="0"/>
              <w:jc w:val="left"/>
              <w:rPr>
                <w:rFonts w:hint="eastAsia"/>
                <w:sz w:val="21"/>
                <w:szCs w:val="21"/>
                <w:vertAlign w:val="baseline"/>
              </w:rPr>
            </w:pPr>
            <w:r>
              <w:rPr>
                <w:rFonts w:hint="eastAsia"/>
                <w:sz w:val="21"/>
                <w:szCs w:val="21"/>
                <w:vertAlign w:val="baseline"/>
              </w:rPr>
              <w:t xml:space="preserve">   · 搅拌方式：高效旋转式搅拌棒，具有防携带污染清洗装置。</w:t>
            </w:r>
          </w:p>
          <w:p w14:paraId="71673BAC">
            <w:pPr>
              <w:widowControl w:val="0"/>
              <w:jc w:val="left"/>
              <w:rPr>
                <w:rFonts w:hint="eastAsia"/>
                <w:sz w:val="21"/>
                <w:szCs w:val="21"/>
                <w:vertAlign w:val="baseline"/>
              </w:rPr>
            </w:pPr>
            <w:r>
              <w:rPr>
                <w:rFonts w:hint="eastAsia"/>
                <w:sz w:val="21"/>
                <w:szCs w:val="21"/>
                <w:vertAlign w:val="baseline"/>
              </w:rPr>
              <w:t>4. 急诊与重测功能</w:t>
            </w:r>
          </w:p>
          <w:p w14:paraId="7A75975A">
            <w:pPr>
              <w:widowControl w:val="0"/>
              <w:jc w:val="left"/>
              <w:rPr>
                <w:rFonts w:hint="eastAsia"/>
                <w:sz w:val="21"/>
                <w:szCs w:val="21"/>
                <w:vertAlign w:val="baseline"/>
              </w:rPr>
            </w:pPr>
            <w:r>
              <w:rPr>
                <w:rFonts w:hint="eastAsia"/>
                <w:sz w:val="21"/>
                <w:szCs w:val="21"/>
                <w:vertAlign w:val="baseline"/>
              </w:rPr>
              <w:t xml:space="preserve">   · 急诊优先通道：可随时插入急诊样本，中断常规流程优先处理。</w:t>
            </w:r>
          </w:p>
          <w:p w14:paraId="78ABC30A">
            <w:pPr>
              <w:widowControl w:val="0"/>
              <w:jc w:val="left"/>
              <w:rPr>
                <w:rFonts w:hint="eastAsia"/>
                <w:sz w:val="21"/>
                <w:szCs w:val="21"/>
                <w:vertAlign w:val="baseline"/>
              </w:rPr>
            </w:pPr>
            <w:r>
              <w:rPr>
                <w:rFonts w:hint="eastAsia"/>
                <w:sz w:val="21"/>
                <w:szCs w:val="21"/>
                <w:vertAlign w:val="baseline"/>
              </w:rPr>
              <w:t xml:space="preserve">   · 自动重测/稀释：对超出线性范围的结果，自动按预设程序稀释重测。</w:t>
            </w:r>
          </w:p>
          <w:p w14:paraId="6D301564">
            <w:pPr>
              <w:widowControl w:val="0"/>
              <w:jc w:val="left"/>
              <w:rPr>
                <w:rFonts w:hint="eastAsia"/>
                <w:b/>
                <w:bCs/>
                <w:sz w:val="21"/>
                <w:szCs w:val="21"/>
                <w:vertAlign w:val="baseline"/>
              </w:rPr>
            </w:pPr>
            <w:r>
              <w:rPr>
                <w:rFonts w:hint="eastAsia"/>
                <w:b/>
                <w:bCs/>
                <w:sz w:val="21"/>
                <w:szCs w:val="21"/>
                <w:vertAlign w:val="baseline"/>
              </w:rPr>
              <w:t>三、配置与系统参数</w:t>
            </w:r>
          </w:p>
          <w:p w14:paraId="63F11142">
            <w:pPr>
              <w:widowControl w:val="0"/>
              <w:jc w:val="left"/>
              <w:rPr>
                <w:rFonts w:hint="eastAsia"/>
                <w:sz w:val="21"/>
                <w:szCs w:val="21"/>
                <w:vertAlign w:val="baseline"/>
              </w:rPr>
            </w:pPr>
            <w:r>
              <w:rPr>
                <w:rFonts w:hint="eastAsia"/>
                <w:sz w:val="21"/>
                <w:szCs w:val="21"/>
                <w:vertAlign w:val="baseline"/>
              </w:rPr>
              <w:t>1. 软件与数据管理</w:t>
            </w:r>
          </w:p>
          <w:p w14:paraId="2ED7ACC0">
            <w:pPr>
              <w:widowControl w:val="0"/>
              <w:jc w:val="left"/>
              <w:rPr>
                <w:rFonts w:hint="eastAsia"/>
                <w:sz w:val="21"/>
                <w:szCs w:val="21"/>
                <w:vertAlign w:val="baseline"/>
              </w:rPr>
            </w:pPr>
            <w:r>
              <w:rPr>
                <w:rFonts w:hint="eastAsia"/>
                <w:sz w:val="21"/>
                <w:szCs w:val="21"/>
                <w:vertAlign w:val="baseline"/>
              </w:rPr>
              <w:t xml:space="preserve">   · 操作系统：Windows/Linux。</w:t>
            </w:r>
          </w:p>
          <w:p w14:paraId="2B976FF5">
            <w:pPr>
              <w:widowControl w:val="0"/>
              <w:jc w:val="left"/>
              <w:rPr>
                <w:rFonts w:hint="eastAsia"/>
                <w:sz w:val="21"/>
                <w:szCs w:val="21"/>
                <w:vertAlign w:val="baseline"/>
              </w:rPr>
            </w:pPr>
            <w:r>
              <w:rPr>
                <w:rFonts w:hint="eastAsia"/>
                <w:sz w:val="21"/>
                <w:szCs w:val="21"/>
                <w:vertAlign w:val="baseline"/>
              </w:rPr>
              <w:t xml:space="preserve">   · 操作界面：中文图形化界面，直观易用。</w:t>
            </w:r>
          </w:p>
          <w:p w14:paraId="6E53D843">
            <w:pPr>
              <w:widowControl w:val="0"/>
              <w:jc w:val="left"/>
              <w:rPr>
                <w:rFonts w:hint="eastAsia"/>
                <w:sz w:val="21"/>
                <w:szCs w:val="21"/>
                <w:vertAlign w:val="baseline"/>
              </w:rPr>
            </w:pPr>
            <w:r>
              <w:rPr>
                <w:rFonts w:hint="eastAsia"/>
                <w:sz w:val="21"/>
                <w:szCs w:val="21"/>
                <w:vertAlign w:val="baseline"/>
              </w:rPr>
              <w:t xml:space="preserve">   · LIS/HIS接口：无缝连接实验室和医院信息系统。</w:t>
            </w:r>
          </w:p>
          <w:p w14:paraId="6E0C2AC7">
            <w:pPr>
              <w:widowControl w:val="0"/>
              <w:jc w:val="left"/>
              <w:rPr>
                <w:rFonts w:hint="eastAsia"/>
                <w:sz w:val="21"/>
                <w:szCs w:val="21"/>
                <w:vertAlign w:val="baseline"/>
              </w:rPr>
            </w:pPr>
            <w:r>
              <w:rPr>
                <w:rFonts w:hint="eastAsia"/>
                <w:sz w:val="21"/>
                <w:szCs w:val="21"/>
                <w:vertAlign w:val="baseline"/>
              </w:rPr>
              <w:t xml:space="preserve">   · 数据存储与回溯：长期存储原始数据、校准曲线、质控记录。</w:t>
            </w:r>
          </w:p>
          <w:p w14:paraId="707A79C5">
            <w:pPr>
              <w:widowControl w:val="0"/>
              <w:jc w:val="left"/>
              <w:rPr>
                <w:rFonts w:hint="eastAsia"/>
                <w:sz w:val="21"/>
                <w:szCs w:val="21"/>
                <w:vertAlign w:val="baseline"/>
              </w:rPr>
            </w:pPr>
            <w:r>
              <w:rPr>
                <w:rFonts w:hint="eastAsia"/>
                <w:sz w:val="21"/>
                <w:szCs w:val="21"/>
                <w:vertAlign w:val="baseline"/>
              </w:rPr>
              <w:t xml:space="preserve">   · 远程监控与诊断：厂家可远程查看仪器状态，协助故障排查。</w:t>
            </w:r>
          </w:p>
          <w:p w14:paraId="218ABDF5">
            <w:pPr>
              <w:widowControl w:val="0"/>
              <w:jc w:val="left"/>
              <w:rPr>
                <w:rFonts w:hint="eastAsia"/>
                <w:sz w:val="21"/>
                <w:szCs w:val="21"/>
                <w:vertAlign w:val="baseline"/>
              </w:rPr>
            </w:pPr>
            <w:r>
              <w:rPr>
                <w:rFonts w:hint="eastAsia"/>
                <w:sz w:val="21"/>
                <w:szCs w:val="21"/>
                <w:vertAlign w:val="baseline"/>
              </w:rPr>
              <w:t>2. 质控与校准</w:t>
            </w:r>
          </w:p>
          <w:p w14:paraId="4A2E1C21">
            <w:pPr>
              <w:widowControl w:val="0"/>
              <w:jc w:val="left"/>
              <w:rPr>
                <w:rFonts w:hint="eastAsia"/>
                <w:sz w:val="21"/>
                <w:szCs w:val="21"/>
                <w:vertAlign w:val="baseline"/>
              </w:rPr>
            </w:pPr>
            <w:r>
              <w:rPr>
                <w:rFonts w:hint="eastAsia"/>
                <w:sz w:val="21"/>
                <w:szCs w:val="21"/>
                <w:vertAlign w:val="baseline"/>
              </w:rPr>
              <w:t xml:space="preserve">   · 质控管理：支持多规则质控（Westgard规则），图形化显示。</w:t>
            </w:r>
          </w:p>
          <w:p w14:paraId="3D614EDA">
            <w:pPr>
              <w:widowControl w:val="0"/>
              <w:jc w:val="left"/>
              <w:rPr>
                <w:rFonts w:hint="eastAsia"/>
                <w:sz w:val="21"/>
                <w:szCs w:val="21"/>
                <w:vertAlign w:val="baseline"/>
              </w:rPr>
            </w:pPr>
            <w:r>
              <w:rPr>
                <w:rFonts w:hint="eastAsia"/>
                <w:sz w:val="21"/>
                <w:szCs w:val="21"/>
                <w:vertAlign w:val="baseline"/>
              </w:rPr>
              <w:t xml:space="preserve">   · 校准方式：单点/多点校准、线性/非线性拟合。</w:t>
            </w:r>
          </w:p>
          <w:p w14:paraId="53843B85">
            <w:pPr>
              <w:widowControl w:val="0"/>
              <w:jc w:val="left"/>
              <w:rPr>
                <w:rFonts w:hint="eastAsia"/>
                <w:sz w:val="21"/>
                <w:szCs w:val="21"/>
                <w:vertAlign w:val="baseline"/>
              </w:rPr>
            </w:pPr>
            <w:r>
              <w:rPr>
                <w:rFonts w:hint="eastAsia"/>
                <w:sz w:val="21"/>
                <w:szCs w:val="21"/>
                <w:vertAlign w:val="baseline"/>
              </w:rPr>
              <w:t xml:space="preserve">   · 校准频次：可设置固定时间或根据质控结果触发。</w:t>
            </w:r>
          </w:p>
          <w:p w14:paraId="1A6CD770">
            <w:pPr>
              <w:widowControl w:val="0"/>
              <w:jc w:val="left"/>
              <w:rPr>
                <w:rFonts w:hint="eastAsia"/>
                <w:sz w:val="21"/>
                <w:szCs w:val="21"/>
                <w:vertAlign w:val="baseline"/>
              </w:rPr>
            </w:pPr>
            <w:r>
              <w:rPr>
                <w:rFonts w:hint="eastAsia"/>
                <w:sz w:val="21"/>
                <w:szCs w:val="21"/>
                <w:vertAlign w:val="baseline"/>
              </w:rPr>
              <w:t>3. 物理参数</w:t>
            </w:r>
          </w:p>
          <w:p w14:paraId="59088AF6">
            <w:pPr>
              <w:widowControl w:val="0"/>
              <w:jc w:val="left"/>
              <w:rPr>
                <w:rFonts w:hint="eastAsia"/>
                <w:sz w:val="21"/>
                <w:szCs w:val="21"/>
                <w:vertAlign w:val="baseline"/>
              </w:rPr>
            </w:pPr>
            <w:r>
              <w:rPr>
                <w:rFonts w:hint="eastAsia"/>
                <w:sz w:val="21"/>
                <w:szCs w:val="21"/>
                <w:vertAlign w:val="baseline"/>
              </w:rPr>
              <w:t xml:space="preserve">   · 尺寸：长×宽×高。</w:t>
            </w:r>
          </w:p>
          <w:p w14:paraId="686AF275">
            <w:pPr>
              <w:widowControl w:val="0"/>
              <w:jc w:val="left"/>
              <w:rPr>
                <w:rFonts w:hint="eastAsia"/>
                <w:sz w:val="21"/>
                <w:szCs w:val="21"/>
                <w:vertAlign w:val="baseline"/>
              </w:rPr>
            </w:pPr>
            <w:r>
              <w:rPr>
                <w:rFonts w:hint="eastAsia"/>
                <w:sz w:val="21"/>
                <w:szCs w:val="21"/>
                <w:vertAlign w:val="baseline"/>
              </w:rPr>
              <w:t xml:space="preserve">   · 重量</w:t>
            </w:r>
            <w:r>
              <w:rPr>
                <w:rFonts w:hint="eastAsia"/>
                <w:sz w:val="21"/>
                <w:szCs w:val="21"/>
                <w:vertAlign w:val="baseline"/>
                <w:lang w:eastAsia="zh-CN"/>
              </w:rPr>
              <w:t>：低于同类设备重量均值</w:t>
            </w:r>
            <w:r>
              <w:rPr>
                <w:rFonts w:hint="eastAsia"/>
                <w:sz w:val="21"/>
                <w:szCs w:val="21"/>
                <w:vertAlign w:val="baseline"/>
              </w:rPr>
              <w:t>。</w:t>
            </w:r>
          </w:p>
          <w:p w14:paraId="2789A1CF">
            <w:pPr>
              <w:widowControl w:val="0"/>
              <w:jc w:val="left"/>
              <w:rPr>
                <w:rFonts w:hint="eastAsia"/>
                <w:sz w:val="21"/>
                <w:szCs w:val="21"/>
                <w:vertAlign w:val="baseline"/>
              </w:rPr>
            </w:pPr>
            <w:r>
              <w:rPr>
                <w:rFonts w:hint="eastAsia"/>
                <w:sz w:val="21"/>
                <w:szCs w:val="21"/>
                <w:vertAlign w:val="baseline"/>
              </w:rPr>
              <w:t xml:space="preserve">   · 电源要求：220V/50Hz。</w:t>
            </w:r>
          </w:p>
          <w:p w14:paraId="1F98DC8A">
            <w:pPr>
              <w:widowControl w:val="0"/>
              <w:jc w:val="left"/>
              <w:rPr>
                <w:rFonts w:hint="eastAsia"/>
                <w:sz w:val="21"/>
                <w:szCs w:val="21"/>
                <w:vertAlign w:val="baseline"/>
              </w:rPr>
            </w:pPr>
            <w:r>
              <w:rPr>
                <w:rFonts w:hint="eastAsia"/>
                <w:sz w:val="21"/>
                <w:szCs w:val="21"/>
                <w:vertAlign w:val="baseline"/>
              </w:rPr>
              <w:t xml:space="preserve">   · 用水要求：纯水消耗量（L/小时或L/天），水质要求（电阻率≥10MΩ·cm）。</w:t>
            </w:r>
          </w:p>
          <w:p w14:paraId="1826CF8D">
            <w:pPr>
              <w:widowControl w:val="0"/>
              <w:jc w:val="left"/>
              <w:rPr>
                <w:rFonts w:hint="eastAsia"/>
                <w:sz w:val="21"/>
                <w:szCs w:val="21"/>
                <w:vertAlign w:val="baseline"/>
              </w:rPr>
            </w:pPr>
            <w:r>
              <w:rPr>
                <w:rFonts w:hint="eastAsia"/>
                <w:sz w:val="21"/>
                <w:szCs w:val="21"/>
                <w:vertAlign w:val="baseline"/>
              </w:rPr>
              <w:t xml:space="preserve">   · 废液处理：分类废液（反应废液、清洗废液等）。</w:t>
            </w:r>
          </w:p>
          <w:p w14:paraId="14FCD5C4">
            <w:pPr>
              <w:widowControl w:val="0"/>
              <w:jc w:val="left"/>
              <w:rPr>
                <w:rFonts w:hint="default" w:eastAsiaTheme="minorEastAsia"/>
                <w:sz w:val="21"/>
                <w:szCs w:val="21"/>
                <w:highlight w:val="none"/>
                <w:vertAlign w:val="baseline"/>
                <w:lang w:val="en-US" w:eastAsia="zh-CN"/>
              </w:rPr>
            </w:pPr>
            <w:r>
              <w:rPr>
                <w:rFonts w:hint="eastAsia"/>
                <w:sz w:val="21"/>
                <w:szCs w:val="21"/>
                <w:vertAlign w:val="baseline"/>
              </w:rPr>
              <w:t xml:space="preserve">   · 噪音水平：&lt; 60 dB。</w:t>
            </w:r>
          </w:p>
        </w:tc>
        <w:tc>
          <w:tcPr>
            <w:tcW w:w="1169" w:type="dxa"/>
            <w:vAlign w:val="center"/>
          </w:tcPr>
          <w:p w14:paraId="73FCD4B3">
            <w:pPr>
              <w:widowControl w:val="0"/>
              <w:jc w:val="left"/>
              <w:rPr>
                <w:sz w:val="24"/>
                <w:szCs w:val="24"/>
                <w:highlight w:val="none"/>
                <w:vertAlign w:val="baseline"/>
              </w:rPr>
            </w:pPr>
          </w:p>
        </w:tc>
      </w:tr>
      <w:tr w14:paraId="56F4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3492FD6C">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4</w:t>
            </w:r>
          </w:p>
        </w:tc>
        <w:tc>
          <w:tcPr>
            <w:tcW w:w="3279" w:type="dxa"/>
            <w:vAlign w:val="center"/>
          </w:tcPr>
          <w:p w14:paraId="215634AA">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电子显微镜</w:t>
            </w:r>
          </w:p>
        </w:tc>
        <w:tc>
          <w:tcPr>
            <w:tcW w:w="990" w:type="dxa"/>
            <w:vAlign w:val="center"/>
          </w:tcPr>
          <w:p w14:paraId="5D63DF7E">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5FD06F33">
            <w:pPr>
              <w:widowControl w:val="0"/>
              <w:jc w:val="left"/>
              <w:rPr>
                <w:rFonts w:hint="eastAsia"/>
                <w:b/>
                <w:bCs/>
                <w:sz w:val="21"/>
                <w:szCs w:val="21"/>
                <w:vertAlign w:val="baseline"/>
              </w:rPr>
            </w:pPr>
            <w:r>
              <w:rPr>
                <w:rFonts w:hint="eastAsia"/>
                <w:b/>
                <w:bCs/>
                <w:sz w:val="21"/>
                <w:szCs w:val="21"/>
                <w:vertAlign w:val="baseline"/>
              </w:rPr>
              <w:t>一、核心性能参数</w:t>
            </w:r>
          </w:p>
          <w:p w14:paraId="29BE6CF5">
            <w:pPr>
              <w:widowControl w:val="0"/>
              <w:jc w:val="left"/>
              <w:rPr>
                <w:rFonts w:hint="eastAsia"/>
                <w:sz w:val="21"/>
                <w:szCs w:val="21"/>
                <w:vertAlign w:val="baseline"/>
              </w:rPr>
            </w:pPr>
            <w:r>
              <w:rPr>
                <w:rFonts w:hint="eastAsia"/>
                <w:sz w:val="21"/>
                <w:szCs w:val="21"/>
                <w:vertAlign w:val="baseline"/>
              </w:rPr>
              <w:t>1. 分辨率</w:t>
            </w:r>
          </w:p>
          <w:p w14:paraId="7F798891">
            <w:pPr>
              <w:widowControl w:val="0"/>
              <w:jc w:val="left"/>
              <w:rPr>
                <w:rFonts w:hint="eastAsia"/>
                <w:sz w:val="21"/>
                <w:szCs w:val="21"/>
                <w:vertAlign w:val="baseline"/>
              </w:rPr>
            </w:pPr>
            <w:r>
              <w:rPr>
                <w:rFonts w:hint="eastAsia"/>
                <w:sz w:val="21"/>
                <w:szCs w:val="21"/>
                <w:vertAlign w:val="baseline"/>
              </w:rPr>
              <w:t>· 透射电镜（TEM）：0.1 nm 至 0.5 nm。</w:t>
            </w:r>
          </w:p>
          <w:p w14:paraId="798C9A7C">
            <w:pPr>
              <w:widowControl w:val="0"/>
              <w:jc w:val="left"/>
              <w:rPr>
                <w:rFonts w:hint="eastAsia"/>
                <w:sz w:val="21"/>
                <w:szCs w:val="21"/>
                <w:vertAlign w:val="baseline"/>
              </w:rPr>
            </w:pPr>
            <w:r>
              <w:rPr>
                <w:rFonts w:hint="eastAsia"/>
                <w:sz w:val="21"/>
                <w:szCs w:val="21"/>
                <w:vertAlign w:val="baseline"/>
              </w:rPr>
              <w:t>2. 加速电压</w:t>
            </w:r>
          </w:p>
          <w:p w14:paraId="7337AF1E">
            <w:pPr>
              <w:widowControl w:val="0"/>
              <w:jc w:val="left"/>
              <w:rPr>
                <w:rFonts w:hint="eastAsia"/>
                <w:sz w:val="21"/>
                <w:szCs w:val="21"/>
                <w:vertAlign w:val="baseline"/>
              </w:rPr>
            </w:pPr>
            <w:r>
              <w:rPr>
                <w:rFonts w:hint="eastAsia"/>
                <w:sz w:val="21"/>
                <w:szCs w:val="21"/>
                <w:vertAlign w:val="baseline"/>
              </w:rPr>
              <w:t>· TEM： 80 kV 至 200 kV 之间。</w:t>
            </w:r>
          </w:p>
          <w:p w14:paraId="6940FF2D">
            <w:pPr>
              <w:widowControl w:val="0"/>
              <w:jc w:val="left"/>
              <w:rPr>
                <w:rFonts w:hint="eastAsia"/>
                <w:sz w:val="21"/>
                <w:szCs w:val="21"/>
                <w:vertAlign w:val="baseline"/>
              </w:rPr>
            </w:pPr>
            <w:r>
              <w:rPr>
                <w:rFonts w:hint="eastAsia"/>
                <w:sz w:val="21"/>
                <w:szCs w:val="21"/>
                <w:vertAlign w:val="baseline"/>
              </w:rPr>
              <w:t>3. 放大倍数</w:t>
            </w:r>
          </w:p>
          <w:p w14:paraId="2FF70A5F">
            <w:pPr>
              <w:widowControl w:val="0"/>
              <w:jc w:val="left"/>
              <w:rPr>
                <w:rFonts w:hint="eastAsia"/>
                <w:sz w:val="21"/>
                <w:szCs w:val="21"/>
                <w:vertAlign w:val="baseline"/>
              </w:rPr>
            </w:pPr>
            <w:r>
              <w:rPr>
                <w:rFonts w:hint="eastAsia"/>
                <w:sz w:val="21"/>
                <w:szCs w:val="21"/>
                <w:vertAlign w:val="baseline"/>
              </w:rPr>
              <w:t>· TEM：50x 到 2,000,000x 以上。</w:t>
            </w:r>
          </w:p>
          <w:p w14:paraId="5F0A3F57">
            <w:pPr>
              <w:widowControl w:val="0"/>
              <w:jc w:val="left"/>
              <w:rPr>
                <w:rFonts w:hint="eastAsia"/>
                <w:sz w:val="21"/>
                <w:szCs w:val="21"/>
                <w:vertAlign w:val="baseline"/>
              </w:rPr>
            </w:pPr>
            <w:r>
              <w:rPr>
                <w:rFonts w:hint="eastAsia"/>
                <w:sz w:val="21"/>
                <w:szCs w:val="21"/>
                <w:vertAlign w:val="baseline"/>
              </w:rPr>
              <w:t>4. 探测器类型</w:t>
            </w:r>
          </w:p>
          <w:p w14:paraId="787819B9">
            <w:pPr>
              <w:widowControl w:val="0"/>
              <w:jc w:val="left"/>
              <w:rPr>
                <w:rFonts w:hint="eastAsia"/>
                <w:sz w:val="21"/>
                <w:szCs w:val="21"/>
                <w:vertAlign w:val="baseline"/>
              </w:rPr>
            </w:pPr>
            <w:r>
              <w:rPr>
                <w:rFonts w:hint="eastAsia"/>
                <w:sz w:val="21"/>
                <w:szCs w:val="21"/>
                <w:vertAlign w:val="baseline"/>
              </w:rPr>
              <w:t>· 二次电子探测器： 获取样品表面形貌信息，图像立体感强。</w:t>
            </w:r>
          </w:p>
          <w:p w14:paraId="5EE3D127">
            <w:pPr>
              <w:widowControl w:val="0"/>
              <w:jc w:val="left"/>
              <w:rPr>
                <w:rFonts w:hint="eastAsia"/>
                <w:sz w:val="21"/>
                <w:szCs w:val="21"/>
                <w:vertAlign w:val="baseline"/>
              </w:rPr>
            </w:pPr>
            <w:r>
              <w:rPr>
                <w:rFonts w:hint="eastAsia"/>
                <w:sz w:val="21"/>
                <w:szCs w:val="21"/>
                <w:vertAlign w:val="baseline"/>
              </w:rPr>
              <w:t>· 背散射电子探测器： 获取成分对比信息（平均原子序数），用于区分不同组织成分。</w:t>
            </w:r>
          </w:p>
          <w:p w14:paraId="5E214C92">
            <w:pPr>
              <w:widowControl w:val="0"/>
              <w:jc w:val="left"/>
              <w:rPr>
                <w:rFonts w:hint="eastAsia"/>
                <w:sz w:val="21"/>
                <w:szCs w:val="21"/>
                <w:vertAlign w:val="baseline"/>
              </w:rPr>
            </w:pPr>
            <w:r>
              <w:rPr>
                <w:rFonts w:hint="eastAsia"/>
                <w:sz w:val="21"/>
                <w:szCs w:val="21"/>
                <w:vertAlign w:val="baseline"/>
              </w:rPr>
              <w:t>· 能谱仪： 用于元素成分的定性和半定量分析（选配，</w:t>
            </w:r>
            <w:r>
              <w:rPr>
                <w:rFonts w:hint="eastAsia"/>
                <w:sz w:val="21"/>
                <w:szCs w:val="21"/>
                <w:vertAlign w:val="baseline"/>
                <w:lang w:eastAsia="zh-CN"/>
              </w:rPr>
              <w:t>可</w:t>
            </w:r>
            <w:r>
              <w:rPr>
                <w:rFonts w:hint="eastAsia"/>
                <w:sz w:val="21"/>
                <w:szCs w:val="21"/>
                <w:vertAlign w:val="baseline"/>
              </w:rPr>
              <w:t>对病原体鉴定、异物分析）。</w:t>
            </w:r>
          </w:p>
          <w:p w14:paraId="05709D67">
            <w:pPr>
              <w:widowControl w:val="0"/>
              <w:numPr>
                <w:ilvl w:val="0"/>
                <w:numId w:val="0"/>
              </w:numPr>
              <w:jc w:val="left"/>
              <w:rPr>
                <w:rFonts w:hint="eastAsia"/>
                <w:b/>
                <w:bCs/>
                <w:sz w:val="21"/>
                <w:szCs w:val="21"/>
                <w:vertAlign w:val="baseline"/>
              </w:rPr>
            </w:pPr>
            <w:r>
              <w:rPr>
                <w:rFonts w:hint="eastAsia"/>
                <w:b/>
                <w:bCs/>
                <w:sz w:val="21"/>
                <w:szCs w:val="21"/>
                <w:vertAlign w:val="baseline"/>
                <w:lang w:eastAsia="zh-CN"/>
              </w:rPr>
              <w:t>二、</w:t>
            </w:r>
            <w:r>
              <w:rPr>
                <w:rFonts w:hint="eastAsia"/>
                <w:b/>
                <w:bCs/>
                <w:sz w:val="21"/>
                <w:szCs w:val="21"/>
                <w:vertAlign w:val="baseline"/>
              </w:rPr>
              <w:t>系统配置参数</w:t>
            </w:r>
          </w:p>
          <w:p w14:paraId="46D8B346">
            <w:pPr>
              <w:widowControl w:val="0"/>
              <w:numPr>
                <w:ilvl w:val="0"/>
                <w:numId w:val="0"/>
              </w:numPr>
              <w:jc w:val="left"/>
              <w:rPr>
                <w:rFonts w:hint="eastAsia"/>
                <w:sz w:val="21"/>
                <w:szCs w:val="21"/>
                <w:vertAlign w:val="baseline"/>
              </w:rPr>
            </w:pPr>
            <w:r>
              <w:rPr>
                <w:rFonts w:hint="eastAsia"/>
                <w:sz w:val="21"/>
                <w:szCs w:val="21"/>
                <w:vertAlign w:val="baseline"/>
              </w:rPr>
              <w:t>1. 样品室与样品台</w:t>
            </w:r>
          </w:p>
          <w:p w14:paraId="114317E4">
            <w:pPr>
              <w:widowControl w:val="0"/>
              <w:jc w:val="left"/>
              <w:rPr>
                <w:rFonts w:hint="eastAsia"/>
                <w:sz w:val="21"/>
                <w:szCs w:val="21"/>
                <w:vertAlign w:val="baseline"/>
              </w:rPr>
            </w:pPr>
            <w:r>
              <w:rPr>
                <w:rFonts w:hint="eastAsia"/>
                <w:sz w:val="21"/>
                <w:szCs w:val="21"/>
                <w:vertAlign w:val="baseline"/>
              </w:rPr>
              <w:t>· 样品尺寸： 可容纳直径 10 mm 至 100 mm 的样品台。</w:t>
            </w:r>
          </w:p>
          <w:p w14:paraId="426973FE">
            <w:pPr>
              <w:widowControl w:val="0"/>
              <w:jc w:val="left"/>
              <w:rPr>
                <w:rFonts w:hint="eastAsia"/>
                <w:sz w:val="21"/>
                <w:szCs w:val="21"/>
                <w:vertAlign w:val="baseline"/>
              </w:rPr>
            </w:pPr>
            <w:r>
              <w:rPr>
                <w:rFonts w:hint="eastAsia"/>
                <w:sz w:val="21"/>
                <w:szCs w:val="21"/>
                <w:vertAlign w:val="baseline"/>
              </w:rPr>
              <w:t>· 样品台移动范围： X/Y轴移动 ±25 mm 以上，Z轴可调，倾斜角度可达 ±90°，旋转360°。</w:t>
            </w:r>
          </w:p>
          <w:p w14:paraId="65237E3F">
            <w:pPr>
              <w:widowControl w:val="0"/>
              <w:jc w:val="left"/>
              <w:rPr>
                <w:rFonts w:hint="eastAsia"/>
                <w:sz w:val="21"/>
                <w:szCs w:val="21"/>
                <w:vertAlign w:val="baseline"/>
              </w:rPr>
            </w:pPr>
            <w:r>
              <w:rPr>
                <w:rFonts w:hint="eastAsia"/>
                <w:sz w:val="21"/>
                <w:szCs w:val="21"/>
                <w:vertAlign w:val="baseline"/>
              </w:rPr>
              <w:t>· 最大样品高度： 在 20 mm 至 50 mm。</w:t>
            </w:r>
          </w:p>
          <w:p w14:paraId="704479E0">
            <w:pPr>
              <w:widowControl w:val="0"/>
              <w:jc w:val="left"/>
              <w:rPr>
                <w:rFonts w:hint="eastAsia"/>
                <w:sz w:val="21"/>
                <w:szCs w:val="21"/>
                <w:vertAlign w:val="baseline"/>
              </w:rPr>
            </w:pPr>
            <w:r>
              <w:rPr>
                <w:rFonts w:hint="eastAsia"/>
                <w:sz w:val="21"/>
                <w:szCs w:val="21"/>
                <w:vertAlign w:val="baseline"/>
              </w:rPr>
              <w:t>2. 真空系统</w:t>
            </w:r>
          </w:p>
          <w:p w14:paraId="23E7DEE3">
            <w:pPr>
              <w:widowControl w:val="0"/>
              <w:jc w:val="left"/>
              <w:rPr>
                <w:rFonts w:hint="eastAsia"/>
                <w:sz w:val="21"/>
                <w:szCs w:val="21"/>
                <w:vertAlign w:val="baseline"/>
              </w:rPr>
            </w:pPr>
            <w:r>
              <w:rPr>
                <w:rFonts w:hint="eastAsia"/>
                <w:sz w:val="21"/>
                <w:szCs w:val="21"/>
                <w:vertAlign w:val="baseline"/>
              </w:rPr>
              <w:t>· 真空度： 样品室高真空模式优于 10^-3 Pa。许多现代SEM配备低真空/环境真空模式（10-500 Pa），可直接观察未镀导电膜的含水分样品，对生物医学检验至关重要。</w:t>
            </w:r>
          </w:p>
          <w:p w14:paraId="148EBDFA">
            <w:pPr>
              <w:widowControl w:val="0"/>
              <w:jc w:val="left"/>
              <w:rPr>
                <w:rFonts w:hint="eastAsia"/>
                <w:sz w:val="21"/>
                <w:szCs w:val="21"/>
                <w:vertAlign w:val="baseline"/>
              </w:rPr>
            </w:pPr>
            <w:r>
              <w:rPr>
                <w:rFonts w:hint="eastAsia"/>
                <w:sz w:val="21"/>
                <w:szCs w:val="21"/>
                <w:vertAlign w:val="baseline"/>
              </w:rPr>
              <w:t>3. 图像处理与记录系统</w:t>
            </w:r>
          </w:p>
          <w:p w14:paraId="6796DC95">
            <w:pPr>
              <w:widowControl w:val="0"/>
              <w:jc w:val="left"/>
              <w:rPr>
                <w:rFonts w:hint="eastAsia"/>
                <w:sz w:val="21"/>
                <w:szCs w:val="21"/>
                <w:vertAlign w:val="baseline"/>
              </w:rPr>
            </w:pPr>
            <w:r>
              <w:rPr>
                <w:rFonts w:hint="eastAsia"/>
                <w:sz w:val="21"/>
                <w:szCs w:val="21"/>
                <w:vertAlign w:val="baseline"/>
              </w:rPr>
              <w:t>· 数字图像分辨率： 标准为 1280x960 至 4096x3072 像素。</w:t>
            </w:r>
          </w:p>
          <w:p w14:paraId="27D79201">
            <w:pPr>
              <w:widowControl w:val="0"/>
              <w:jc w:val="left"/>
              <w:rPr>
                <w:rFonts w:hint="eastAsia"/>
                <w:sz w:val="21"/>
                <w:szCs w:val="21"/>
                <w:vertAlign w:val="baseline"/>
              </w:rPr>
            </w:pPr>
            <w:r>
              <w:rPr>
                <w:rFonts w:hint="eastAsia"/>
                <w:sz w:val="21"/>
                <w:szCs w:val="21"/>
                <w:vertAlign w:val="baseline"/>
              </w:rPr>
              <w:t>· 图像存储格式： TIFF， JPEG， BMP等。</w:t>
            </w:r>
          </w:p>
          <w:p w14:paraId="45B8748C">
            <w:pPr>
              <w:widowControl w:val="0"/>
              <w:jc w:val="left"/>
              <w:rPr>
                <w:rFonts w:hint="eastAsia"/>
                <w:sz w:val="21"/>
                <w:szCs w:val="21"/>
                <w:vertAlign w:val="baseline"/>
              </w:rPr>
            </w:pPr>
            <w:r>
              <w:rPr>
                <w:rFonts w:hint="eastAsia"/>
                <w:sz w:val="21"/>
                <w:szCs w:val="21"/>
                <w:vertAlign w:val="baseline"/>
              </w:rPr>
              <w:t>4. 特殊配置</w:t>
            </w:r>
          </w:p>
          <w:p w14:paraId="4DA4A66C">
            <w:pPr>
              <w:widowControl w:val="0"/>
              <w:jc w:val="left"/>
              <w:rPr>
                <w:rFonts w:hint="eastAsia"/>
                <w:sz w:val="21"/>
                <w:szCs w:val="21"/>
                <w:vertAlign w:val="baseline"/>
              </w:rPr>
            </w:pPr>
            <w:r>
              <w:rPr>
                <w:rFonts w:hint="eastAsia"/>
                <w:sz w:val="21"/>
                <w:szCs w:val="21"/>
                <w:vertAlign w:val="baseline"/>
              </w:rPr>
              <w:t>· 冷冻样品台/冷却传输系统：</w:t>
            </w:r>
            <w:r>
              <w:rPr>
                <w:rFonts w:hint="eastAsia"/>
                <w:sz w:val="21"/>
                <w:szCs w:val="21"/>
                <w:vertAlign w:val="baseline"/>
                <w:lang w:eastAsia="zh-CN"/>
              </w:rPr>
              <w:t>可</w:t>
            </w:r>
            <w:r>
              <w:rPr>
                <w:rFonts w:hint="eastAsia"/>
                <w:sz w:val="21"/>
                <w:szCs w:val="21"/>
                <w:vertAlign w:val="baseline"/>
              </w:rPr>
              <w:t>用于观察含水、易挥发样品。</w:t>
            </w:r>
          </w:p>
          <w:p w14:paraId="246A9C6C">
            <w:pPr>
              <w:widowControl w:val="0"/>
              <w:jc w:val="left"/>
              <w:rPr>
                <w:rFonts w:hint="eastAsia"/>
                <w:sz w:val="21"/>
                <w:szCs w:val="21"/>
                <w:vertAlign w:val="baseline"/>
              </w:rPr>
            </w:pPr>
            <w:r>
              <w:rPr>
                <w:rFonts w:hint="eastAsia"/>
                <w:sz w:val="21"/>
                <w:szCs w:val="21"/>
                <w:vertAlign w:val="baseline"/>
              </w:rPr>
              <w:t xml:space="preserve">· 临界点干燥仪、离子溅射仪/镀膜机： </w:t>
            </w:r>
            <w:r>
              <w:rPr>
                <w:rFonts w:hint="eastAsia"/>
                <w:sz w:val="21"/>
                <w:szCs w:val="21"/>
                <w:vertAlign w:val="baseline"/>
                <w:lang w:eastAsia="zh-CN"/>
              </w:rPr>
              <w:t>满足</w:t>
            </w:r>
            <w:r>
              <w:rPr>
                <w:rFonts w:hint="eastAsia"/>
                <w:sz w:val="21"/>
                <w:szCs w:val="21"/>
                <w:vertAlign w:val="baseline"/>
              </w:rPr>
              <w:t>常规生物样品制备</w:t>
            </w:r>
            <w:r>
              <w:rPr>
                <w:rFonts w:hint="eastAsia"/>
                <w:sz w:val="21"/>
                <w:szCs w:val="21"/>
                <w:vertAlign w:val="baseline"/>
                <w:lang w:eastAsia="zh-CN"/>
              </w:rPr>
              <w:t>需要</w:t>
            </w:r>
            <w:r>
              <w:rPr>
                <w:rFonts w:hint="eastAsia"/>
                <w:sz w:val="21"/>
                <w:szCs w:val="21"/>
                <w:vertAlign w:val="baseline"/>
              </w:rPr>
              <w:t>。</w:t>
            </w:r>
          </w:p>
          <w:p w14:paraId="33B784CD">
            <w:pPr>
              <w:widowControl w:val="0"/>
              <w:jc w:val="left"/>
              <w:rPr>
                <w:rFonts w:hint="eastAsia"/>
                <w:sz w:val="21"/>
                <w:szCs w:val="21"/>
                <w:vertAlign w:val="baseline"/>
              </w:rPr>
            </w:pPr>
            <w:r>
              <w:rPr>
                <w:rFonts w:hint="eastAsia"/>
                <w:sz w:val="21"/>
                <w:szCs w:val="21"/>
                <w:vertAlign w:val="baseline"/>
              </w:rPr>
              <w:t>· 显微切割台</w:t>
            </w:r>
            <w:r>
              <w:rPr>
                <w:rFonts w:hint="eastAsia"/>
                <w:sz w:val="21"/>
                <w:szCs w:val="21"/>
                <w:vertAlign w:val="baseline"/>
                <w:lang w:eastAsia="zh-CN"/>
              </w:rPr>
              <w:t>：</w:t>
            </w:r>
            <w:r>
              <w:rPr>
                <w:rFonts w:hint="eastAsia"/>
                <w:sz w:val="21"/>
                <w:szCs w:val="21"/>
                <w:vertAlign w:val="baseline"/>
              </w:rPr>
              <w:t xml:space="preserve"> 可在电镜下精确定位并切割特定细胞或区域。</w:t>
            </w:r>
          </w:p>
          <w:p w14:paraId="6AF897E8">
            <w:pPr>
              <w:widowControl w:val="0"/>
              <w:jc w:val="left"/>
              <w:rPr>
                <w:rFonts w:hint="eastAsia"/>
                <w:b/>
                <w:bCs/>
                <w:sz w:val="21"/>
                <w:szCs w:val="21"/>
                <w:vertAlign w:val="baseline"/>
              </w:rPr>
            </w:pPr>
            <w:r>
              <w:rPr>
                <w:rFonts w:hint="eastAsia"/>
                <w:b/>
                <w:bCs/>
                <w:sz w:val="21"/>
                <w:szCs w:val="21"/>
                <w:vertAlign w:val="baseline"/>
              </w:rPr>
              <w:t>三、工作环境与设施要求</w:t>
            </w:r>
          </w:p>
          <w:p w14:paraId="26959E7E">
            <w:pPr>
              <w:widowControl w:val="0"/>
              <w:jc w:val="left"/>
              <w:rPr>
                <w:rFonts w:hint="default"/>
                <w:sz w:val="21"/>
                <w:szCs w:val="21"/>
                <w:highlight w:val="none"/>
                <w:vertAlign w:val="baseline"/>
                <w:lang w:val="en-US"/>
              </w:rPr>
            </w:pPr>
            <w:r>
              <w:rPr>
                <w:rFonts w:hint="eastAsia"/>
                <w:sz w:val="21"/>
                <w:szCs w:val="21"/>
                <w:vertAlign w:val="baseline"/>
              </w:rPr>
              <w:t>电源： 稳定220V/50Hz电源，功率3 kW 至 8 kW，需配备稳压器和不间断电源。</w:t>
            </w:r>
          </w:p>
        </w:tc>
        <w:tc>
          <w:tcPr>
            <w:tcW w:w="1169" w:type="dxa"/>
            <w:vAlign w:val="center"/>
          </w:tcPr>
          <w:p w14:paraId="042DC38B">
            <w:pPr>
              <w:widowControl w:val="0"/>
              <w:jc w:val="left"/>
              <w:rPr>
                <w:sz w:val="24"/>
                <w:szCs w:val="24"/>
                <w:highlight w:val="none"/>
                <w:vertAlign w:val="baseline"/>
              </w:rPr>
            </w:pPr>
          </w:p>
        </w:tc>
      </w:tr>
      <w:tr w14:paraId="6E83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638EFE5A">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5</w:t>
            </w:r>
          </w:p>
        </w:tc>
        <w:tc>
          <w:tcPr>
            <w:tcW w:w="3279" w:type="dxa"/>
            <w:shd w:val="clear" w:color="auto" w:fill="auto"/>
            <w:vAlign w:val="center"/>
          </w:tcPr>
          <w:p w14:paraId="5C7BA17A">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溶浆机</w:t>
            </w:r>
          </w:p>
        </w:tc>
        <w:tc>
          <w:tcPr>
            <w:tcW w:w="990" w:type="dxa"/>
            <w:vAlign w:val="center"/>
          </w:tcPr>
          <w:p w14:paraId="36B504C2">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18EC7228">
            <w:pPr>
              <w:widowControl w:val="0"/>
              <w:jc w:val="left"/>
              <w:rPr>
                <w:rFonts w:hint="eastAsia"/>
                <w:b/>
                <w:bCs/>
                <w:sz w:val="21"/>
                <w:szCs w:val="21"/>
                <w:vertAlign w:val="baseline"/>
              </w:rPr>
            </w:pPr>
            <w:r>
              <w:rPr>
                <w:rFonts w:hint="eastAsia"/>
                <w:b/>
                <w:bCs/>
                <w:sz w:val="21"/>
                <w:szCs w:val="21"/>
                <w:vertAlign w:val="baseline"/>
              </w:rPr>
              <w:t>一、核心通用参数</w:t>
            </w:r>
          </w:p>
          <w:p w14:paraId="34F6EAD2">
            <w:pPr>
              <w:widowControl w:val="0"/>
              <w:jc w:val="left"/>
              <w:rPr>
                <w:rFonts w:hint="eastAsia"/>
                <w:sz w:val="21"/>
                <w:szCs w:val="21"/>
                <w:vertAlign w:val="baseline"/>
              </w:rPr>
            </w:pPr>
            <w:r>
              <w:rPr>
                <w:rFonts w:hint="eastAsia"/>
                <w:sz w:val="21"/>
                <w:szCs w:val="21"/>
                <w:vertAlign w:val="baseline"/>
              </w:rPr>
              <w:t>1. 温度控制</w:t>
            </w:r>
          </w:p>
          <w:p w14:paraId="51055DCB">
            <w:pPr>
              <w:widowControl w:val="0"/>
              <w:jc w:val="left"/>
              <w:rPr>
                <w:rFonts w:hint="eastAsia" w:eastAsiaTheme="minorEastAsia"/>
                <w:sz w:val="21"/>
                <w:szCs w:val="21"/>
                <w:vertAlign w:val="baseline"/>
                <w:lang w:eastAsia="zh-CN"/>
              </w:rPr>
            </w:pPr>
            <w:r>
              <w:rPr>
                <w:rFonts w:hint="eastAsia"/>
                <w:sz w:val="21"/>
                <w:szCs w:val="21"/>
                <w:vertAlign w:val="baseline"/>
              </w:rPr>
              <w:t xml:space="preserve">   · 融化温度范围：在 +35°C 至 +42°C 之间</w:t>
            </w:r>
            <w:r>
              <w:rPr>
                <w:rFonts w:hint="eastAsia"/>
                <w:sz w:val="21"/>
                <w:szCs w:val="21"/>
                <w:vertAlign w:val="baseline"/>
                <w:lang w:eastAsia="zh-CN"/>
              </w:rPr>
              <w:t>。</w:t>
            </w:r>
          </w:p>
          <w:p w14:paraId="66CCA87C">
            <w:pPr>
              <w:widowControl w:val="0"/>
              <w:jc w:val="left"/>
              <w:rPr>
                <w:rFonts w:hint="eastAsia"/>
                <w:sz w:val="21"/>
                <w:szCs w:val="21"/>
                <w:vertAlign w:val="baseline"/>
              </w:rPr>
            </w:pPr>
            <w:r>
              <w:rPr>
                <w:rFonts w:hint="eastAsia"/>
                <w:sz w:val="21"/>
                <w:szCs w:val="21"/>
                <w:vertAlign w:val="baseline"/>
              </w:rPr>
              <w:t xml:space="preserve">   · 控温精度：±0.5°C 或更高精度（如 ±0.3°C），确保温度恒定，保证血浆质量。</w:t>
            </w:r>
          </w:p>
          <w:p w14:paraId="7E77234C">
            <w:pPr>
              <w:widowControl w:val="0"/>
              <w:jc w:val="left"/>
              <w:rPr>
                <w:rFonts w:hint="eastAsia"/>
                <w:sz w:val="21"/>
                <w:szCs w:val="21"/>
                <w:vertAlign w:val="baseline"/>
              </w:rPr>
            </w:pPr>
            <w:r>
              <w:rPr>
                <w:rFonts w:hint="eastAsia"/>
                <w:sz w:val="21"/>
                <w:szCs w:val="21"/>
                <w:vertAlign w:val="baseline"/>
              </w:rPr>
              <w:t xml:space="preserve">   · 显示方式：数字式温度显示，实时监控。</w:t>
            </w:r>
          </w:p>
          <w:p w14:paraId="2B89291A">
            <w:pPr>
              <w:widowControl w:val="0"/>
              <w:jc w:val="left"/>
              <w:rPr>
                <w:rFonts w:hint="eastAsia"/>
                <w:sz w:val="21"/>
                <w:szCs w:val="21"/>
                <w:vertAlign w:val="baseline"/>
              </w:rPr>
            </w:pPr>
            <w:r>
              <w:rPr>
                <w:rFonts w:hint="eastAsia"/>
                <w:sz w:val="21"/>
                <w:szCs w:val="21"/>
                <w:vertAlign w:val="baseline"/>
              </w:rPr>
              <w:t>2. 融化容量与规格</w:t>
            </w:r>
          </w:p>
          <w:p w14:paraId="02FA6FB2">
            <w:pPr>
              <w:widowControl w:val="0"/>
              <w:jc w:val="left"/>
              <w:rPr>
                <w:rFonts w:hint="eastAsia"/>
                <w:sz w:val="21"/>
                <w:szCs w:val="21"/>
                <w:vertAlign w:val="baseline"/>
              </w:rPr>
            </w:pPr>
            <w:r>
              <w:rPr>
                <w:rFonts w:hint="eastAsia"/>
                <w:sz w:val="21"/>
                <w:szCs w:val="21"/>
                <w:vertAlign w:val="baseline"/>
              </w:rPr>
              <w:t xml:space="preserve">   · 同时融化袋数：常见规格有可同时融化 2袋、4袋、6袋、8袋、10袋 甚至更多的型号。</w:t>
            </w:r>
          </w:p>
          <w:p w14:paraId="21ED96E5">
            <w:pPr>
              <w:widowControl w:val="0"/>
              <w:jc w:val="left"/>
              <w:rPr>
                <w:rFonts w:hint="eastAsia"/>
                <w:sz w:val="21"/>
                <w:szCs w:val="21"/>
                <w:vertAlign w:val="baseline"/>
              </w:rPr>
            </w:pPr>
            <w:r>
              <w:rPr>
                <w:rFonts w:hint="eastAsia"/>
                <w:sz w:val="21"/>
                <w:szCs w:val="21"/>
                <w:vertAlign w:val="baseline"/>
              </w:rPr>
              <w:t xml:space="preserve">   · 兼容袋型：需兼容不同规格的单/双联冰冻血浆袋（如200ml， 300ml， 400ml）和冷沉淀袋。</w:t>
            </w:r>
          </w:p>
          <w:p w14:paraId="7D8929A2">
            <w:pPr>
              <w:widowControl w:val="0"/>
              <w:jc w:val="left"/>
              <w:rPr>
                <w:rFonts w:hint="eastAsia"/>
                <w:sz w:val="21"/>
                <w:szCs w:val="21"/>
                <w:vertAlign w:val="baseline"/>
              </w:rPr>
            </w:pPr>
            <w:r>
              <w:rPr>
                <w:rFonts w:hint="eastAsia"/>
                <w:sz w:val="21"/>
                <w:szCs w:val="21"/>
                <w:vertAlign w:val="baseline"/>
              </w:rPr>
              <w:t xml:space="preserve">   · 水槽容量：水槽容积（以升计）需与最大融化袋数匹配。</w:t>
            </w:r>
          </w:p>
          <w:p w14:paraId="0F22F728">
            <w:pPr>
              <w:widowControl w:val="0"/>
              <w:jc w:val="left"/>
              <w:rPr>
                <w:rFonts w:hint="eastAsia"/>
                <w:sz w:val="21"/>
                <w:szCs w:val="21"/>
                <w:vertAlign w:val="baseline"/>
              </w:rPr>
            </w:pPr>
            <w:r>
              <w:rPr>
                <w:rFonts w:hint="eastAsia"/>
                <w:sz w:val="21"/>
                <w:szCs w:val="21"/>
                <w:vertAlign w:val="baseline"/>
              </w:rPr>
              <w:t>3. 融化介质与方式</w:t>
            </w:r>
          </w:p>
          <w:p w14:paraId="417648C1">
            <w:pPr>
              <w:widowControl w:val="0"/>
              <w:jc w:val="left"/>
              <w:rPr>
                <w:rFonts w:hint="eastAsia"/>
                <w:sz w:val="21"/>
                <w:szCs w:val="21"/>
                <w:vertAlign w:val="baseline"/>
              </w:rPr>
            </w:pPr>
            <w:r>
              <w:rPr>
                <w:rFonts w:hint="eastAsia"/>
                <w:sz w:val="21"/>
                <w:szCs w:val="21"/>
                <w:vertAlign w:val="baseline"/>
              </w:rPr>
              <w:t xml:space="preserve">   · 介质：绝大多数为 水浴式，通过恒温循环水进行热传导。</w:t>
            </w:r>
          </w:p>
          <w:p w14:paraId="36C54D09">
            <w:pPr>
              <w:widowControl w:val="0"/>
              <w:jc w:val="left"/>
              <w:rPr>
                <w:rFonts w:hint="eastAsia"/>
                <w:sz w:val="21"/>
                <w:szCs w:val="21"/>
                <w:vertAlign w:val="baseline"/>
              </w:rPr>
            </w:pPr>
            <w:r>
              <w:rPr>
                <w:rFonts w:hint="eastAsia"/>
                <w:sz w:val="21"/>
                <w:szCs w:val="21"/>
                <w:vertAlign w:val="baseline"/>
              </w:rPr>
              <w:t xml:space="preserve">   · 循环系统：内置循环水泵，确保水槽内温度均匀，避免局部过热。</w:t>
            </w:r>
          </w:p>
          <w:p w14:paraId="0D8BB1B6">
            <w:pPr>
              <w:widowControl w:val="0"/>
              <w:jc w:val="left"/>
              <w:rPr>
                <w:rFonts w:hint="eastAsia"/>
                <w:sz w:val="21"/>
                <w:szCs w:val="21"/>
                <w:vertAlign w:val="baseline"/>
              </w:rPr>
            </w:pPr>
            <w:r>
              <w:rPr>
                <w:rFonts w:hint="eastAsia"/>
                <w:sz w:val="21"/>
                <w:szCs w:val="21"/>
                <w:vertAlign w:val="baseline"/>
              </w:rPr>
              <w:t xml:space="preserve">   · 摆动/振荡功能（关键参数）：许多高端型号具备自动摆动或振荡功能，能加速融化过程，并使血浆袋受热更均匀，防止局部过热。</w:t>
            </w:r>
          </w:p>
          <w:p w14:paraId="3BE9D111">
            <w:pPr>
              <w:widowControl w:val="0"/>
              <w:jc w:val="left"/>
              <w:rPr>
                <w:rFonts w:hint="eastAsia"/>
                <w:sz w:val="21"/>
                <w:szCs w:val="21"/>
                <w:vertAlign w:val="baseline"/>
              </w:rPr>
            </w:pPr>
            <w:r>
              <w:rPr>
                <w:rFonts w:hint="eastAsia"/>
                <w:sz w:val="21"/>
                <w:szCs w:val="21"/>
                <w:vertAlign w:val="baseline"/>
              </w:rPr>
              <w:t>4. 时间控制</w:t>
            </w:r>
          </w:p>
          <w:p w14:paraId="4FAF366D">
            <w:pPr>
              <w:widowControl w:val="0"/>
              <w:jc w:val="left"/>
              <w:rPr>
                <w:rFonts w:hint="eastAsia"/>
                <w:sz w:val="21"/>
                <w:szCs w:val="21"/>
                <w:vertAlign w:val="baseline"/>
              </w:rPr>
            </w:pPr>
            <w:r>
              <w:rPr>
                <w:rFonts w:hint="eastAsia"/>
                <w:sz w:val="21"/>
                <w:szCs w:val="21"/>
                <w:vertAlign w:val="baseline"/>
              </w:rPr>
              <w:t xml:space="preserve">   · 融化时间显示：实时显示已融化时间。</w:t>
            </w:r>
          </w:p>
          <w:p w14:paraId="1E5B60E3">
            <w:pPr>
              <w:widowControl w:val="0"/>
              <w:jc w:val="left"/>
              <w:rPr>
                <w:rFonts w:hint="eastAsia"/>
                <w:sz w:val="21"/>
                <w:szCs w:val="21"/>
                <w:vertAlign w:val="baseline"/>
              </w:rPr>
            </w:pPr>
            <w:r>
              <w:rPr>
                <w:rFonts w:hint="eastAsia"/>
                <w:sz w:val="21"/>
                <w:szCs w:val="21"/>
                <w:vertAlign w:val="baseline"/>
              </w:rPr>
              <w:t xml:space="preserve">   · 定时功能：可预设融化时间，到达后自动报警或转入保温模式。</w:t>
            </w:r>
          </w:p>
          <w:p w14:paraId="78B12744">
            <w:pPr>
              <w:widowControl w:val="0"/>
              <w:jc w:val="left"/>
              <w:rPr>
                <w:rFonts w:hint="eastAsia"/>
                <w:sz w:val="21"/>
                <w:szCs w:val="21"/>
                <w:vertAlign w:val="baseline"/>
              </w:rPr>
            </w:pPr>
            <w:r>
              <w:rPr>
                <w:rFonts w:hint="eastAsia"/>
                <w:sz w:val="21"/>
                <w:szCs w:val="21"/>
                <w:vertAlign w:val="baseline"/>
              </w:rPr>
              <w:t xml:space="preserve">   · 典型融化时间：在37°C水浴并摆动条件下，一袋200-300ml冰冻血浆在 10-20分钟内融化。</w:t>
            </w:r>
          </w:p>
          <w:p w14:paraId="1EF8C78F">
            <w:pPr>
              <w:widowControl w:val="0"/>
              <w:jc w:val="left"/>
              <w:rPr>
                <w:rFonts w:hint="eastAsia"/>
                <w:sz w:val="21"/>
                <w:szCs w:val="21"/>
                <w:vertAlign w:val="baseline"/>
              </w:rPr>
            </w:pPr>
            <w:r>
              <w:rPr>
                <w:rFonts w:hint="eastAsia"/>
                <w:sz w:val="21"/>
                <w:szCs w:val="21"/>
                <w:vertAlign w:val="baseline"/>
              </w:rPr>
              <w:t>5. 安全与报警功能</w:t>
            </w:r>
          </w:p>
          <w:p w14:paraId="1FFAC1FB">
            <w:pPr>
              <w:widowControl w:val="0"/>
              <w:jc w:val="left"/>
              <w:rPr>
                <w:rFonts w:hint="eastAsia"/>
                <w:sz w:val="21"/>
                <w:szCs w:val="21"/>
                <w:vertAlign w:val="baseline"/>
              </w:rPr>
            </w:pPr>
            <w:r>
              <w:rPr>
                <w:rFonts w:hint="eastAsia"/>
                <w:sz w:val="21"/>
                <w:szCs w:val="21"/>
                <w:vertAlign w:val="baseline"/>
              </w:rPr>
              <w:t xml:space="preserve">   · 超温报警与保护：温度超过设定安全阈值（如42°C）时，自动切断加热并声光报警。</w:t>
            </w:r>
          </w:p>
          <w:p w14:paraId="53737126">
            <w:pPr>
              <w:widowControl w:val="0"/>
              <w:jc w:val="left"/>
              <w:rPr>
                <w:rFonts w:hint="eastAsia"/>
                <w:sz w:val="21"/>
                <w:szCs w:val="21"/>
                <w:vertAlign w:val="baseline"/>
              </w:rPr>
            </w:pPr>
            <w:r>
              <w:rPr>
                <w:rFonts w:hint="eastAsia"/>
                <w:sz w:val="21"/>
                <w:szCs w:val="21"/>
                <w:vertAlign w:val="baseline"/>
              </w:rPr>
              <w:t xml:space="preserve">   · 低水位报警：防止干烧，保护加热器。</w:t>
            </w:r>
          </w:p>
          <w:p w14:paraId="2DECF0E5">
            <w:pPr>
              <w:widowControl w:val="0"/>
              <w:jc w:val="left"/>
              <w:rPr>
                <w:rFonts w:hint="eastAsia"/>
                <w:sz w:val="21"/>
                <w:szCs w:val="21"/>
                <w:vertAlign w:val="baseline"/>
              </w:rPr>
            </w:pPr>
            <w:r>
              <w:rPr>
                <w:rFonts w:hint="eastAsia"/>
                <w:sz w:val="21"/>
                <w:szCs w:val="21"/>
                <w:vertAlign w:val="baseline"/>
              </w:rPr>
              <w:t xml:space="preserve">   · 漏电保护：设备必须具备良好的电气安全设计。</w:t>
            </w:r>
          </w:p>
          <w:p w14:paraId="711C35DD">
            <w:pPr>
              <w:widowControl w:val="0"/>
              <w:jc w:val="left"/>
              <w:rPr>
                <w:rFonts w:hint="eastAsia"/>
                <w:sz w:val="21"/>
                <w:szCs w:val="21"/>
                <w:vertAlign w:val="baseline"/>
              </w:rPr>
            </w:pPr>
            <w:r>
              <w:rPr>
                <w:rFonts w:hint="eastAsia"/>
                <w:sz w:val="21"/>
                <w:szCs w:val="21"/>
                <w:vertAlign w:val="baseline"/>
              </w:rPr>
              <w:t xml:space="preserve">   · 门锁或盖锁（对于箱式）：防止操作中被意外打开，维持温度。</w:t>
            </w:r>
          </w:p>
          <w:p w14:paraId="247CB3D7">
            <w:pPr>
              <w:widowControl w:val="0"/>
              <w:jc w:val="left"/>
              <w:rPr>
                <w:rFonts w:hint="eastAsia"/>
                <w:sz w:val="21"/>
                <w:szCs w:val="21"/>
                <w:vertAlign w:val="baseline"/>
              </w:rPr>
            </w:pPr>
            <w:r>
              <w:rPr>
                <w:rFonts w:hint="eastAsia"/>
                <w:sz w:val="21"/>
                <w:szCs w:val="21"/>
                <w:vertAlign w:val="baseline"/>
              </w:rPr>
              <w:t xml:space="preserve">   · 结束报警：融化完成时提示。</w:t>
            </w:r>
          </w:p>
          <w:p w14:paraId="1CF724CC">
            <w:pPr>
              <w:widowControl w:val="0"/>
              <w:jc w:val="left"/>
              <w:rPr>
                <w:rFonts w:hint="eastAsia"/>
                <w:sz w:val="21"/>
                <w:szCs w:val="21"/>
                <w:vertAlign w:val="baseline"/>
              </w:rPr>
            </w:pPr>
            <w:r>
              <w:rPr>
                <w:rFonts w:hint="eastAsia"/>
                <w:sz w:val="21"/>
                <w:szCs w:val="21"/>
                <w:vertAlign w:val="baseline"/>
              </w:rPr>
              <w:t>6. 物理与结构参数</w:t>
            </w:r>
          </w:p>
          <w:p w14:paraId="7EEED2F4">
            <w:pPr>
              <w:widowControl w:val="0"/>
              <w:jc w:val="left"/>
              <w:rPr>
                <w:rFonts w:hint="eastAsia"/>
                <w:sz w:val="21"/>
                <w:szCs w:val="21"/>
                <w:vertAlign w:val="baseline"/>
              </w:rPr>
            </w:pPr>
            <w:r>
              <w:rPr>
                <w:rFonts w:hint="eastAsia"/>
                <w:sz w:val="21"/>
                <w:szCs w:val="21"/>
                <w:vertAlign w:val="baseline"/>
              </w:rPr>
              <w:t xml:space="preserve">   · 材质：</w:t>
            </w:r>
          </w:p>
          <w:p w14:paraId="590C64A9">
            <w:pPr>
              <w:widowControl w:val="0"/>
              <w:jc w:val="left"/>
              <w:rPr>
                <w:rFonts w:hint="eastAsia"/>
                <w:sz w:val="21"/>
                <w:szCs w:val="21"/>
                <w:vertAlign w:val="baseline"/>
              </w:rPr>
            </w:pPr>
            <w:r>
              <w:rPr>
                <w:rFonts w:hint="eastAsia"/>
                <w:sz w:val="21"/>
                <w:szCs w:val="21"/>
                <w:vertAlign w:val="baseline"/>
              </w:rPr>
              <w:t xml:space="preserve">     · 水槽：通常为优质不锈钢（如304或316L），耐腐蚀、易清洁。</w:t>
            </w:r>
          </w:p>
          <w:p w14:paraId="145BFC37">
            <w:pPr>
              <w:widowControl w:val="0"/>
              <w:jc w:val="left"/>
              <w:rPr>
                <w:rFonts w:hint="eastAsia"/>
                <w:sz w:val="21"/>
                <w:szCs w:val="21"/>
                <w:vertAlign w:val="baseline"/>
              </w:rPr>
            </w:pPr>
            <w:r>
              <w:rPr>
                <w:rFonts w:hint="eastAsia"/>
                <w:sz w:val="21"/>
                <w:szCs w:val="21"/>
                <w:vertAlign w:val="baseline"/>
              </w:rPr>
              <w:t xml:space="preserve">     · 外壳：防锈金属或高强度工程塑料。</w:t>
            </w:r>
          </w:p>
          <w:p w14:paraId="62BE9E71">
            <w:pPr>
              <w:widowControl w:val="0"/>
              <w:jc w:val="left"/>
              <w:rPr>
                <w:rFonts w:hint="eastAsia"/>
                <w:sz w:val="21"/>
                <w:szCs w:val="21"/>
                <w:vertAlign w:val="baseline"/>
              </w:rPr>
            </w:pPr>
            <w:r>
              <w:rPr>
                <w:rFonts w:hint="eastAsia"/>
                <w:sz w:val="21"/>
                <w:szCs w:val="21"/>
                <w:vertAlign w:val="baseline"/>
              </w:rPr>
              <w:t xml:space="preserve">   · 水位观察窗/标尺：方便观察和维持正确水位。</w:t>
            </w:r>
          </w:p>
          <w:p w14:paraId="46A7393D">
            <w:pPr>
              <w:widowControl w:val="0"/>
              <w:jc w:val="left"/>
              <w:rPr>
                <w:rFonts w:hint="eastAsia"/>
                <w:sz w:val="21"/>
                <w:szCs w:val="21"/>
                <w:vertAlign w:val="baseline"/>
              </w:rPr>
            </w:pPr>
            <w:r>
              <w:rPr>
                <w:rFonts w:hint="eastAsia"/>
                <w:sz w:val="21"/>
                <w:szCs w:val="21"/>
                <w:vertAlign w:val="baseline"/>
              </w:rPr>
              <w:t xml:space="preserve">   · 排水阀：便于快速更换和排空水槽用水。</w:t>
            </w:r>
          </w:p>
          <w:p w14:paraId="139CBF43">
            <w:pPr>
              <w:widowControl w:val="0"/>
              <w:jc w:val="left"/>
              <w:rPr>
                <w:rFonts w:hint="eastAsia"/>
                <w:sz w:val="21"/>
                <w:szCs w:val="21"/>
                <w:vertAlign w:val="baseline"/>
              </w:rPr>
            </w:pPr>
            <w:r>
              <w:rPr>
                <w:rFonts w:hint="eastAsia"/>
                <w:sz w:val="21"/>
                <w:szCs w:val="21"/>
                <w:vertAlign w:val="baseline"/>
              </w:rPr>
              <w:t xml:space="preserve">   · 提篮或搁架：用于放置血浆袋，通常为不锈钢多孔设计，利于水循环。</w:t>
            </w:r>
          </w:p>
          <w:p w14:paraId="0E318B50">
            <w:pPr>
              <w:widowControl w:val="0"/>
              <w:jc w:val="left"/>
              <w:rPr>
                <w:rFonts w:hint="eastAsia"/>
                <w:sz w:val="21"/>
                <w:szCs w:val="21"/>
                <w:vertAlign w:val="baseline"/>
              </w:rPr>
            </w:pPr>
            <w:r>
              <w:rPr>
                <w:rFonts w:hint="eastAsia"/>
                <w:sz w:val="21"/>
                <w:szCs w:val="21"/>
                <w:vertAlign w:val="baseline"/>
              </w:rPr>
              <w:t xml:space="preserve">   · 尺寸与重量：根据容量大小而异。</w:t>
            </w:r>
          </w:p>
          <w:p w14:paraId="71ED0B90">
            <w:pPr>
              <w:widowControl w:val="0"/>
              <w:jc w:val="left"/>
              <w:rPr>
                <w:rFonts w:hint="eastAsia"/>
                <w:sz w:val="21"/>
                <w:szCs w:val="21"/>
                <w:vertAlign w:val="baseline"/>
              </w:rPr>
            </w:pPr>
            <w:r>
              <w:rPr>
                <w:rFonts w:hint="eastAsia"/>
                <w:sz w:val="21"/>
                <w:szCs w:val="21"/>
                <w:vertAlign w:val="baseline"/>
              </w:rPr>
              <w:t>7. 电气参数</w:t>
            </w:r>
          </w:p>
          <w:p w14:paraId="6DCA9D2A">
            <w:pPr>
              <w:widowControl w:val="0"/>
              <w:jc w:val="left"/>
              <w:rPr>
                <w:rFonts w:hint="eastAsia"/>
                <w:sz w:val="21"/>
                <w:szCs w:val="21"/>
                <w:vertAlign w:val="baseline"/>
              </w:rPr>
            </w:pPr>
            <w:r>
              <w:rPr>
                <w:rFonts w:hint="eastAsia"/>
                <w:sz w:val="21"/>
                <w:szCs w:val="21"/>
                <w:vertAlign w:val="baseline"/>
              </w:rPr>
              <w:t xml:space="preserve">   · 电源：AC 220V， 50Hz（中国大陆标准）。</w:t>
            </w:r>
          </w:p>
          <w:p w14:paraId="598BB677">
            <w:pPr>
              <w:widowControl w:val="0"/>
              <w:jc w:val="left"/>
              <w:rPr>
                <w:rFonts w:hint="eastAsia"/>
                <w:sz w:val="21"/>
                <w:szCs w:val="21"/>
                <w:vertAlign w:val="baseline"/>
              </w:rPr>
            </w:pPr>
            <w:r>
              <w:rPr>
                <w:rFonts w:hint="eastAsia"/>
                <w:sz w:val="21"/>
                <w:szCs w:val="21"/>
                <w:vertAlign w:val="baseline"/>
              </w:rPr>
              <w:t xml:space="preserve">   · 功率：通常在500W至1500W之间，取决于容量和加热速度。</w:t>
            </w:r>
          </w:p>
          <w:p w14:paraId="37E1EB52">
            <w:pPr>
              <w:widowControl w:val="0"/>
              <w:jc w:val="left"/>
              <w:rPr>
                <w:rFonts w:hint="eastAsia"/>
                <w:b/>
                <w:bCs/>
                <w:sz w:val="21"/>
                <w:szCs w:val="21"/>
                <w:vertAlign w:val="baseline"/>
              </w:rPr>
            </w:pPr>
            <w:r>
              <w:rPr>
                <w:rFonts w:hint="eastAsia"/>
                <w:b/>
                <w:bCs/>
                <w:sz w:val="21"/>
                <w:szCs w:val="21"/>
                <w:vertAlign w:val="baseline"/>
              </w:rPr>
              <w:t>二、重要性能与认证要求</w:t>
            </w:r>
          </w:p>
          <w:p w14:paraId="08ACBC26">
            <w:pPr>
              <w:widowControl w:val="0"/>
              <w:jc w:val="left"/>
              <w:rPr>
                <w:rFonts w:hint="eastAsia"/>
                <w:sz w:val="21"/>
                <w:szCs w:val="21"/>
                <w:vertAlign w:val="baseline"/>
              </w:rPr>
            </w:pPr>
            <w:r>
              <w:rPr>
                <w:rFonts w:hint="eastAsia"/>
                <w:sz w:val="21"/>
                <w:szCs w:val="21"/>
                <w:vertAlign w:val="baseline"/>
              </w:rPr>
              <w:t>1. 温度均匀性：水槽各点温差应小于 ±0.5°C，这是衡量设备优劣的关键指标。</w:t>
            </w:r>
          </w:p>
          <w:p w14:paraId="18317E3F">
            <w:pPr>
              <w:widowControl w:val="0"/>
              <w:jc w:val="left"/>
              <w:rPr>
                <w:rFonts w:hint="eastAsia"/>
                <w:sz w:val="21"/>
                <w:szCs w:val="21"/>
                <w:vertAlign w:val="baseline"/>
              </w:rPr>
            </w:pPr>
            <w:r>
              <w:rPr>
                <w:rFonts w:hint="eastAsia"/>
                <w:sz w:val="21"/>
                <w:szCs w:val="21"/>
                <w:vertAlign w:val="baseline"/>
              </w:rPr>
              <w:t>2. 微生物控制：部分高端型号具备：</w:t>
            </w:r>
          </w:p>
          <w:p w14:paraId="69A59F60">
            <w:pPr>
              <w:widowControl w:val="0"/>
              <w:jc w:val="left"/>
              <w:rPr>
                <w:rFonts w:hint="eastAsia"/>
                <w:sz w:val="21"/>
                <w:szCs w:val="21"/>
                <w:vertAlign w:val="baseline"/>
              </w:rPr>
            </w:pPr>
            <w:r>
              <w:rPr>
                <w:rFonts w:hint="eastAsia"/>
                <w:sz w:val="21"/>
                <w:szCs w:val="21"/>
                <w:vertAlign w:val="baseline"/>
              </w:rPr>
              <w:t xml:space="preserve">   · 紫外消毒功能：定期对水槽内的水进行紫外照射，抑制细菌生长。</w:t>
            </w:r>
          </w:p>
          <w:p w14:paraId="0F01993E">
            <w:pPr>
              <w:widowControl w:val="0"/>
              <w:jc w:val="left"/>
              <w:rPr>
                <w:rFonts w:hint="eastAsia"/>
                <w:sz w:val="21"/>
                <w:szCs w:val="21"/>
                <w:vertAlign w:val="baseline"/>
              </w:rPr>
            </w:pPr>
            <w:r>
              <w:rPr>
                <w:rFonts w:hint="eastAsia"/>
                <w:sz w:val="21"/>
                <w:szCs w:val="21"/>
                <w:vertAlign w:val="baseline"/>
              </w:rPr>
              <w:t xml:space="preserve">   · 定时换水提醒：提醒操作人员定期更换水浴用水，防止细菌污染。实验室通常需每日或每次使用后更换去离子水/纯化水。</w:t>
            </w:r>
          </w:p>
          <w:p w14:paraId="008003D5">
            <w:pPr>
              <w:widowControl w:val="0"/>
              <w:jc w:val="left"/>
              <w:rPr>
                <w:rFonts w:hint="eastAsia"/>
                <w:sz w:val="21"/>
                <w:szCs w:val="21"/>
                <w:vertAlign w:val="baseline"/>
              </w:rPr>
            </w:pPr>
            <w:r>
              <w:rPr>
                <w:rFonts w:hint="eastAsia"/>
                <w:sz w:val="21"/>
                <w:szCs w:val="21"/>
                <w:vertAlign w:val="baseline"/>
              </w:rPr>
              <w:t>3. 数据记录与追溯：部分型号可连接电脑或打印机，记录每次融化的 温度曲线、开始/结束时间、操作员ID 等，满足质量体系（如ISO15189， GMP）的追溯要求。</w:t>
            </w:r>
          </w:p>
          <w:p w14:paraId="19F1D2AB">
            <w:pPr>
              <w:widowControl w:val="0"/>
              <w:jc w:val="left"/>
              <w:rPr>
                <w:rFonts w:hint="eastAsia"/>
                <w:sz w:val="21"/>
                <w:szCs w:val="21"/>
                <w:vertAlign w:val="baseline"/>
              </w:rPr>
            </w:pPr>
            <w:r>
              <w:rPr>
                <w:rFonts w:hint="eastAsia"/>
                <w:sz w:val="21"/>
                <w:szCs w:val="21"/>
                <w:vertAlign w:val="baseline"/>
              </w:rPr>
              <w:t>4. 合规与认证：</w:t>
            </w:r>
          </w:p>
          <w:p w14:paraId="7E91FF0D">
            <w:pPr>
              <w:widowControl w:val="0"/>
              <w:jc w:val="left"/>
              <w:rPr>
                <w:rFonts w:hint="eastAsia"/>
                <w:sz w:val="21"/>
                <w:szCs w:val="21"/>
                <w:vertAlign w:val="baseline"/>
              </w:rPr>
            </w:pPr>
            <w:r>
              <w:rPr>
                <w:rFonts w:hint="eastAsia"/>
                <w:sz w:val="21"/>
                <w:szCs w:val="21"/>
                <w:vertAlign w:val="baseline"/>
              </w:rPr>
              <w:t xml:space="preserve">   · 医疗器械注册证：必须具备。</w:t>
            </w:r>
          </w:p>
          <w:p w14:paraId="196F3BA8">
            <w:pPr>
              <w:widowControl w:val="0"/>
              <w:jc w:val="left"/>
              <w:rPr>
                <w:rFonts w:hint="default"/>
                <w:sz w:val="21"/>
                <w:szCs w:val="21"/>
                <w:highlight w:val="none"/>
                <w:vertAlign w:val="baseline"/>
                <w:lang w:val="en-US"/>
              </w:rPr>
            </w:pPr>
            <w:r>
              <w:rPr>
                <w:rFonts w:hint="eastAsia"/>
                <w:sz w:val="21"/>
                <w:szCs w:val="21"/>
                <w:vertAlign w:val="baseline"/>
              </w:rPr>
              <w:t xml:space="preserve">   · 符合相关血液制品处理规范。</w:t>
            </w:r>
          </w:p>
        </w:tc>
        <w:tc>
          <w:tcPr>
            <w:tcW w:w="1169" w:type="dxa"/>
            <w:vAlign w:val="center"/>
          </w:tcPr>
          <w:p w14:paraId="2F05D193">
            <w:pPr>
              <w:widowControl w:val="0"/>
              <w:jc w:val="left"/>
              <w:rPr>
                <w:sz w:val="24"/>
                <w:szCs w:val="24"/>
                <w:highlight w:val="none"/>
                <w:vertAlign w:val="baseline"/>
              </w:rPr>
            </w:pPr>
          </w:p>
        </w:tc>
      </w:tr>
      <w:tr w14:paraId="62A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01F67F0F">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6</w:t>
            </w:r>
          </w:p>
        </w:tc>
        <w:tc>
          <w:tcPr>
            <w:tcW w:w="3279" w:type="dxa"/>
            <w:shd w:val="clear" w:color="auto" w:fill="auto"/>
            <w:vAlign w:val="center"/>
          </w:tcPr>
          <w:p w14:paraId="530F7FDE">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rPr>
              <w:t>酶标仪</w:t>
            </w:r>
          </w:p>
        </w:tc>
        <w:tc>
          <w:tcPr>
            <w:tcW w:w="990" w:type="dxa"/>
            <w:shd w:val="clear" w:color="auto" w:fill="auto"/>
            <w:vAlign w:val="center"/>
          </w:tcPr>
          <w:p w14:paraId="537F93AA">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eastAsia="zh-CN"/>
              </w:rPr>
              <w:t>１</w:t>
            </w:r>
          </w:p>
        </w:tc>
        <w:tc>
          <w:tcPr>
            <w:tcW w:w="7230" w:type="dxa"/>
            <w:shd w:val="clear" w:color="auto" w:fill="auto"/>
            <w:vAlign w:val="center"/>
          </w:tcPr>
          <w:p w14:paraId="475A1021">
            <w:pPr>
              <w:widowControl w:val="0"/>
              <w:jc w:val="left"/>
              <w:rPr>
                <w:rFonts w:hint="eastAsia"/>
                <w:b/>
                <w:bCs/>
                <w:sz w:val="21"/>
                <w:szCs w:val="21"/>
                <w:vertAlign w:val="baseline"/>
              </w:rPr>
            </w:pPr>
            <w:r>
              <w:rPr>
                <w:rFonts w:hint="eastAsia"/>
                <w:b/>
                <w:bCs/>
                <w:sz w:val="21"/>
                <w:szCs w:val="21"/>
                <w:vertAlign w:val="baseline"/>
              </w:rPr>
              <w:t>一、核心光学与检测参数</w:t>
            </w:r>
          </w:p>
          <w:p w14:paraId="6CDBA315">
            <w:pPr>
              <w:widowControl w:val="0"/>
              <w:jc w:val="left"/>
              <w:rPr>
                <w:rFonts w:hint="eastAsia"/>
                <w:sz w:val="21"/>
                <w:szCs w:val="21"/>
                <w:vertAlign w:val="baseline"/>
              </w:rPr>
            </w:pPr>
            <w:r>
              <w:rPr>
                <w:rFonts w:hint="eastAsia"/>
                <w:sz w:val="21"/>
                <w:szCs w:val="21"/>
                <w:vertAlign w:val="baseline"/>
              </w:rPr>
              <w:t>1. 检测模式：</w:t>
            </w:r>
          </w:p>
          <w:p w14:paraId="64F585AC">
            <w:pPr>
              <w:widowControl w:val="0"/>
              <w:jc w:val="left"/>
              <w:rPr>
                <w:rFonts w:hint="eastAsia"/>
                <w:sz w:val="21"/>
                <w:szCs w:val="21"/>
                <w:vertAlign w:val="baseline"/>
              </w:rPr>
            </w:pPr>
            <w:r>
              <w:rPr>
                <w:rFonts w:hint="eastAsia"/>
                <w:sz w:val="21"/>
                <w:szCs w:val="21"/>
                <w:vertAlign w:val="baseline"/>
              </w:rPr>
              <w:t xml:space="preserve">   · 光吸收（Absorbance, OD值）：</w:t>
            </w:r>
            <w:r>
              <w:rPr>
                <w:rFonts w:hint="eastAsia"/>
                <w:sz w:val="21"/>
                <w:szCs w:val="21"/>
                <w:vertAlign w:val="baseline"/>
                <w:lang w:eastAsia="zh-CN"/>
              </w:rPr>
              <w:t>可</w:t>
            </w:r>
            <w:r>
              <w:rPr>
                <w:rFonts w:hint="eastAsia"/>
                <w:sz w:val="21"/>
                <w:szCs w:val="21"/>
                <w:vertAlign w:val="baseline"/>
              </w:rPr>
              <w:t>用于ELISA、细胞活力（MTT）、蛋白定量（BCA/Bradford）等。关键是波长范围和滤光片/单色器系统。</w:t>
            </w:r>
          </w:p>
          <w:p w14:paraId="37815F74">
            <w:pPr>
              <w:widowControl w:val="0"/>
              <w:jc w:val="left"/>
              <w:rPr>
                <w:rFonts w:hint="eastAsia"/>
                <w:sz w:val="21"/>
                <w:szCs w:val="21"/>
                <w:vertAlign w:val="baseline"/>
              </w:rPr>
            </w:pPr>
            <w:r>
              <w:rPr>
                <w:rFonts w:hint="eastAsia"/>
                <w:sz w:val="21"/>
                <w:szCs w:val="21"/>
                <w:vertAlign w:val="baseline"/>
              </w:rPr>
              <w:t xml:space="preserve">   · 荧光强度（Fluorescence Intensity, FI）：灵敏度高。参数包括激发/发射波长、光栅带宽、灵敏度（如可检测的荧光素浓度）。</w:t>
            </w:r>
          </w:p>
          <w:p w14:paraId="39D6AD36">
            <w:pPr>
              <w:widowControl w:val="0"/>
              <w:jc w:val="left"/>
              <w:rPr>
                <w:rFonts w:hint="eastAsia"/>
                <w:sz w:val="21"/>
                <w:szCs w:val="21"/>
                <w:vertAlign w:val="baseline"/>
              </w:rPr>
            </w:pPr>
            <w:r>
              <w:rPr>
                <w:rFonts w:hint="eastAsia"/>
                <w:sz w:val="21"/>
                <w:szCs w:val="21"/>
                <w:vertAlign w:val="baseline"/>
              </w:rPr>
              <w:t xml:space="preserve">   · 发光（Luminescence）：检测化学反应自身发光，无激发光，背景低，超灵敏。  </w:t>
            </w:r>
          </w:p>
          <w:p w14:paraId="50F27621">
            <w:pPr>
              <w:widowControl w:val="0"/>
              <w:jc w:val="left"/>
              <w:rPr>
                <w:rFonts w:hint="eastAsia" w:eastAsiaTheme="minorEastAsia"/>
                <w:sz w:val="21"/>
                <w:szCs w:val="21"/>
                <w:vertAlign w:val="baseline"/>
                <w:lang w:eastAsia="zh-CN"/>
              </w:rPr>
            </w:pPr>
            <w:r>
              <w:rPr>
                <w:rFonts w:hint="eastAsia"/>
                <w:sz w:val="21"/>
                <w:szCs w:val="21"/>
                <w:vertAlign w:val="baseline"/>
                <w:lang w:eastAsia="zh-CN"/>
              </w:rPr>
              <w:t>　</w:t>
            </w:r>
            <w:r>
              <w:rPr>
                <w:rFonts w:hint="eastAsia"/>
                <w:sz w:val="21"/>
                <w:szCs w:val="21"/>
                <w:vertAlign w:val="baseline"/>
              </w:rPr>
              <w:t xml:space="preserve"> · 时间分辨荧光（TRF）/荧光共振能量转移（FRET）：</w:t>
            </w:r>
            <w:r>
              <w:rPr>
                <w:rFonts w:hint="eastAsia"/>
                <w:sz w:val="21"/>
                <w:szCs w:val="21"/>
                <w:vertAlign w:val="baseline"/>
                <w:lang w:eastAsia="zh-CN"/>
              </w:rPr>
              <w:t>满足</w:t>
            </w:r>
            <w:r>
              <w:rPr>
                <w:rFonts w:hint="eastAsia"/>
                <w:sz w:val="21"/>
                <w:szCs w:val="21"/>
                <w:vertAlign w:val="baseline"/>
              </w:rPr>
              <w:t>高端功能</w:t>
            </w:r>
            <w:r>
              <w:rPr>
                <w:rFonts w:hint="eastAsia"/>
                <w:sz w:val="21"/>
                <w:szCs w:val="21"/>
                <w:vertAlign w:val="baseline"/>
                <w:lang w:eastAsia="zh-CN"/>
              </w:rPr>
              <w:t>。</w:t>
            </w:r>
          </w:p>
          <w:p w14:paraId="2987ABAA">
            <w:pPr>
              <w:widowControl w:val="0"/>
              <w:jc w:val="left"/>
              <w:rPr>
                <w:rFonts w:hint="eastAsia"/>
                <w:sz w:val="21"/>
                <w:szCs w:val="21"/>
                <w:vertAlign w:val="baseline"/>
              </w:rPr>
            </w:pPr>
            <w:r>
              <w:rPr>
                <w:rFonts w:hint="eastAsia"/>
                <w:sz w:val="21"/>
                <w:szCs w:val="21"/>
                <w:vertAlign w:val="baseline"/>
              </w:rPr>
              <w:t xml:space="preserve">   · 荧光偏振（FP）：用于分子结合、竞争性免疫分析等。</w:t>
            </w:r>
          </w:p>
          <w:p w14:paraId="50B69BC4">
            <w:pPr>
              <w:widowControl w:val="0"/>
              <w:jc w:val="left"/>
              <w:rPr>
                <w:rFonts w:hint="eastAsia"/>
                <w:sz w:val="21"/>
                <w:szCs w:val="21"/>
                <w:vertAlign w:val="baseline"/>
              </w:rPr>
            </w:pPr>
            <w:r>
              <w:rPr>
                <w:rFonts w:hint="eastAsia"/>
                <w:sz w:val="21"/>
                <w:szCs w:val="21"/>
                <w:vertAlign w:val="baseline"/>
              </w:rPr>
              <w:t>2. 波长系统：</w:t>
            </w:r>
          </w:p>
          <w:p w14:paraId="796A0B74">
            <w:pPr>
              <w:widowControl w:val="0"/>
              <w:jc w:val="left"/>
              <w:rPr>
                <w:rFonts w:hint="eastAsia"/>
                <w:sz w:val="21"/>
                <w:szCs w:val="21"/>
                <w:vertAlign w:val="baseline"/>
              </w:rPr>
            </w:pPr>
            <w:r>
              <w:rPr>
                <w:rFonts w:hint="eastAsia"/>
                <w:sz w:val="21"/>
                <w:szCs w:val="21"/>
                <w:vertAlign w:val="baseline"/>
              </w:rPr>
              <w:t xml:space="preserve">   · 滤光片型：预设波长，光通量大，信号强，滤光片数量及波长配置是否满足项目需求。</w:t>
            </w:r>
          </w:p>
          <w:p w14:paraId="10E0063D">
            <w:pPr>
              <w:widowControl w:val="0"/>
              <w:jc w:val="left"/>
              <w:rPr>
                <w:rFonts w:hint="eastAsia"/>
                <w:sz w:val="21"/>
                <w:szCs w:val="21"/>
                <w:vertAlign w:val="baseline"/>
              </w:rPr>
            </w:pPr>
            <w:r>
              <w:rPr>
                <w:rFonts w:hint="eastAsia"/>
                <w:sz w:val="21"/>
                <w:szCs w:val="21"/>
                <w:vertAlign w:val="baseline"/>
              </w:rPr>
              <w:t xml:space="preserve">   · 单色器型（光栅）：波长连续可调，灵活性高，适合研发和多项目。</w:t>
            </w:r>
          </w:p>
          <w:p w14:paraId="47B549D7">
            <w:pPr>
              <w:widowControl w:val="0"/>
              <w:jc w:val="left"/>
              <w:rPr>
                <w:rFonts w:hint="eastAsia"/>
                <w:sz w:val="21"/>
                <w:szCs w:val="21"/>
                <w:vertAlign w:val="baseline"/>
              </w:rPr>
            </w:pPr>
            <w:r>
              <w:rPr>
                <w:rFonts w:hint="eastAsia"/>
                <w:sz w:val="21"/>
                <w:szCs w:val="21"/>
                <w:vertAlign w:val="baseline"/>
              </w:rPr>
              <w:t xml:space="preserve">   · 混合型：结合两者优点，部分模式用滤光片，部分用单色器。</w:t>
            </w:r>
          </w:p>
          <w:p w14:paraId="22CBF82C">
            <w:pPr>
              <w:widowControl w:val="0"/>
              <w:jc w:val="left"/>
              <w:rPr>
                <w:rFonts w:hint="eastAsia"/>
                <w:sz w:val="21"/>
                <w:szCs w:val="21"/>
                <w:vertAlign w:val="baseline"/>
              </w:rPr>
            </w:pPr>
            <w:r>
              <w:rPr>
                <w:rFonts w:hint="eastAsia"/>
                <w:sz w:val="21"/>
                <w:szCs w:val="21"/>
                <w:vertAlign w:val="baseline"/>
              </w:rPr>
              <w:t>3. 检测波长范围：</w:t>
            </w:r>
          </w:p>
          <w:p w14:paraId="2393CD8C">
            <w:pPr>
              <w:widowControl w:val="0"/>
              <w:jc w:val="left"/>
              <w:rPr>
                <w:rFonts w:hint="eastAsia"/>
                <w:sz w:val="21"/>
                <w:szCs w:val="21"/>
                <w:vertAlign w:val="baseline"/>
              </w:rPr>
            </w:pPr>
            <w:r>
              <w:rPr>
                <w:rFonts w:hint="eastAsia"/>
                <w:sz w:val="21"/>
                <w:szCs w:val="21"/>
                <w:vertAlign w:val="baseline"/>
              </w:rPr>
              <w:t xml:space="preserve">   · 紫外-可见光范围：200-1000 nm。确保覆盖常用检测（如340nm NADH， 450nm， 492nm， 620nm等）。</w:t>
            </w:r>
          </w:p>
          <w:p w14:paraId="2318C0B4">
            <w:pPr>
              <w:widowControl w:val="0"/>
              <w:jc w:val="left"/>
              <w:rPr>
                <w:rFonts w:hint="eastAsia"/>
                <w:sz w:val="21"/>
                <w:szCs w:val="21"/>
                <w:vertAlign w:val="baseline"/>
              </w:rPr>
            </w:pPr>
            <w:r>
              <w:rPr>
                <w:rFonts w:hint="eastAsia"/>
                <w:sz w:val="21"/>
                <w:szCs w:val="21"/>
                <w:vertAlign w:val="baseline"/>
              </w:rPr>
              <w:t>4. 检测速度：在数秒到十几秒。</w:t>
            </w:r>
          </w:p>
          <w:p w14:paraId="4172AF27">
            <w:pPr>
              <w:widowControl w:val="0"/>
              <w:jc w:val="left"/>
              <w:rPr>
                <w:rFonts w:hint="eastAsia"/>
                <w:sz w:val="21"/>
                <w:szCs w:val="21"/>
                <w:vertAlign w:val="baseline"/>
              </w:rPr>
            </w:pPr>
            <w:r>
              <w:rPr>
                <w:rFonts w:hint="eastAsia"/>
                <w:sz w:val="21"/>
                <w:szCs w:val="21"/>
                <w:vertAlign w:val="baseline"/>
              </w:rPr>
              <w:t>5. 光程校正技术：</w:t>
            </w:r>
            <w:r>
              <w:rPr>
                <w:rFonts w:hint="eastAsia"/>
                <w:sz w:val="21"/>
                <w:szCs w:val="21"/>
                <w:vertAlign w:val="baseline"/>
                <w:lang w:eastAsia="zh-CN"/>
              </w:rPr>
              <w:t>可</w:t>
            </w:r>
            <w:r>
              <w:rPr>
                <w:rFonts w:hint="eastAsia"/>
                <w:sz w:val="21"/>
                <w:szCs w:val="21"/>
                <w:vertAlign w:val="baseline"/>
              </w:rPr>
              <w:t>校正液体蒸发或加样体积差异导致的吸光度误差。</w:t>
            </w:r>
          </w:p>
          <w:p w14:paraId="3AE03B94">
            <w:pPr>
              <w:widowControl w:val="0"/>
              <w:jc w:val="left"/>
              <w:rPr>
                <w:rFonts w:hint="eastAsia"/>
                <w:b/>
                <w:bCs/>
                <w:sz w:val="21"/>
                <w:szCs w:val="21"/>
                <w:vertAlign w:val="baseline"/>
              </w:rPr>
            </w:pPr>
            <w:r>
              <w:rPr>
                <w:rFonts w:hint="eastAsia"/>
                <w:b/>
                <w:bCs/>
                <w:sz w:val="21"/>
                <w:szCs w:val="21"/>
                <w:vertAlign w:val="baseline"/>
              </w:rPr>
              <w:t>二、仪器性能与精度参数</w:t>
            </w:r>
          </w:p>
          <w:p w14:paraId="5EC51853">
            <w:pPr>
              <w:widowControl w:val="0"/>
              <w:jc w:val="left"/>
              <w:rPr>
                <w:rFonts w:hint="eastAsia"/>
                <w:sz w:val="21"/>
                <w:szCs w:val="21"/>
                <w:vertAlign w:val="baseline"/>
              </w:rPr>
            </w:pPr>
            <w:r>
              <w:rPr>
                <w:rFonts w:hint="eastAsia"/>
                <w:sz w:val="21"/>
                <w:szCs w:val="21"/>
                <w:vertAlign w:val="baseline"/>
              </w:rPr>
              <w:t>1. 灵敏度：</w:t>
            </w:r>
          </w:p>
          <w:p w14:paraId="2823FBF8">
            <w:pPr>
              <w:widowControl w:val="0"/>
              <w:jc w:val="left"/>
              <w:rPr>
                <w:rFonts w:hint="eastAsia"/>
                <w:sz w:val="21"/>
                <w:szCs w:val="21"/>
                <w:vertAlign w:val="baseline"/>
              </w:rPr>
            </w:pPr>
            <w:r>
              <w:rPr>
                <w:rFonts w:hint="eastAsia"/>
                <w:sz w:val="21"/>
                <w:szCs w:val="21"/>
                <w:vertAlign w:val="baseline"/>
              </w:rPr>
              <w:t xml:space="preserve">   · 吸收：吸光度范围0-4 OD</w:t>
            </w:r>
            <w:r>
              <w:rPr>
                <w:rFonts w:hint="eastAsia"/>
                <w:sz w:val="21"/>
                <w:szCs w:val="21"/>
                <w:vertAlign w:val="baseline"/>
                <w:lang w:eastAsia="zh-CN"/>
              </w:rPr>
              <w:t>，</w:t>
            </w:r>
            <w:r>
              <w:rPr>
                <w:rFonts w:hint="eastAsia"/>
                <w:sz w:val="21"/>
                <w:szCs w:val="21"/>
                <w:vertAlign w:val="baseline"/>
              </w:rPr>
              <w:t>最低检测限</w:t>
            </w:r>
            <w:r>
              <w:rPr>
                <w:rFonts w:hint="eastAsia"/>
                <w:sz w:val="21"/>
                <w:szCs w:val="21"/>
                <w:vertAlign w:val="baseline"/>
                <w:lang w:eastAsia="zh-CN"/>
              </w:rPr>
              <w:t>优于同类设备</w:t>
            </w:r>
            <w:r>
              <w:rPr>
                <w:rFonts w:hint="eastAsia"/>
                <w:sz w:val="21"/>
                <w:szCs w:val="21"/>
                <w:vertAlign w:val="baseline"/>
              </w:rPr>
              <w:t>。</w:t>
            </w:r>
          </w:p>
          <w:p w14:paraId="4F15AF0E">
            <w:pPr>
              <w:widowControl w:val="0"/>
              <w:jc w:val="left"/>
              <w:rPr>
                <w:rFonts w:hint="eastAsia"/>
                <w:sz w:val="21"/>
                <w:szCs w:val="21"/>
                <w:vertAlign w:val="baseline"/>
              </w:rPr>
            </w:pPr>
            <w:r>
              <w:rPr>
                <w:rFonts w:hint="eastAsia"/>
                <w:sz w:val="21"/>
                <w:szCs w:val="21"/>
                <w:vertAlign w:val="baseline"/>
              </w:rPr>
              <w:t xml:space="preserve">   · 荧光：通常以信噪比（S/N） 表示，或用可检测的荧光素（如荧光素钠）最低浓度表示。</w:t>
            </w:r>
          </w:p>
          <w:p w14:paraId="551F4C87">
            <w:pPr>
              <w:widowControl w:val="0"/>
              <w:jc w:val="left"/>
              <w:rPr>
                <w:rFonts w:hint="eastAsia"/>
                <w:sz w:val="21"/>
                <w:szCs w:val="21"/>
                <w:vertAlign w:val="baseline"/>
              </w:rPr>
            </w:pPr>
            <w:r>
              <w:rPr>
                <w:rFonts w:hint="eastAsia"/>
                <w:sz w:val="21"/>
                <w:szCs w:val="21"/>
                <w:vertAlign w:val="baseline"/>
              </w:rPr>
              <w:t xml:space="preserve">   · 发光：以可检测的最低光粒子数（RLU） 或特定物质（如ATP）的摩尔数表示。</w:t>
            </w:r>
          </w:p>
          <w:p w14:paraId="60D5F767">
            <w:pPr>
              <w:widowControl w:val="0"/>
              <w:jc w:val="left"/>
              <w:rPr>
                <w:rFonts w:hint="eastAsia"/>
                <w:sz w:val="21"/>
                <w:szCs w:val="21"/>
                <w:vertAlign w:val="baseline"/>
              </w:rPr>
            </w:pPr>
            <w:r>
              <w:rPr>
                <w:rFonts w:hint="eastAsia"/>
                <w:sz w:val="21"/>
                <w:szCs w:val="21"/>
                <w:vertAlign w:val="baseline"/>
              </w:rPr>
              <w:t>2. 线性范围：仪器输出信号与被测物浓度成线性关系范围</w:t>
            </w:r>
            <w:r>
              <w:rPr>
                <w:rFonts w:hint="eastAsia"/>
                <w:sz w:val="21"/>
                <w:szCs w:val="21"/>
                <w:vertAlign w:val="baseline"/>
                <w:lang w:eastAsia="zh-CN"/>
              </w:rPr>
              <w:t>宽于同类设备</w:t>
            </w:r>
            <w:r>
              <w:rPr>
                <w:rFonts w:hint="eastAsia"/>
                <w:sz w:val="21"/>
                <w:szCs w:val="21"/>
                <w:vertAlign w:val="baseline"/>
              </w:rPr>
              <w:t>。</w:t>
            </w:r>
          </w:p>
          <w:p w14:paraId="71C7ED8B">
            <w:pPr>
              <w:widowControl w:val="0"/>
              <w:jc w:val="left"/>
              <w:rPr>
                <w:rFonts w:hint="eastAsia"/>
                <w:sz w:val="21"/>
                <w:szCs w:val="21"/>
                <w:vertAlign w:val="baseline"/>
              </w:rPr>
            </w:pPr>
            <w:r>
              <w:rPr>
                <w:rFonts w:hint="eastAsia"/>
                <w:sz w:val="21"/>
                <w:szCs w:val="21"/>
                <w:vertAlign w:val="baseline"/>
              </w:rPr>
              <w:t>3. 准确度与精密度：</w:t>
            </w:r>
          </w:p>
          <w:p w14:paraId="00493F91">
            <w:pPr>
              <w:widowControl w:val="0"/>
              <w:jc w:val="left"/>
              <w:rPr>
                <w:rFonts w:hint="eastAsia"/>
                <w:sz w:val="21"/>
                <w:szCs w:val="21"/>
                <w:vertAlign w:val="baseline"/>
              </w:rPr>
            </w:pPr>
            <w:r>
              <w:rPr>
                <w:rFonts w:hint="eastAsia"/>
                <w:sz w:val="21"/>
                <w:szCs w:val="21"/>
                <w:vertAlign w:val="baseline"/>
              </w:rPr>
              <w:t xml:space="preserve">   · 准确度：</w:t>
            </w:r>
            <w:r>
              <w:rPr>
                <w:rFonts w:hint="eastAsia"/>
                <w:sz w:val="21"/>
                <w:szCs w:val="21"/>
                <w:vertAlign w:val="baseline"/>
                <w:lang w:eastAsia="zh-CN"/>
              </w:rPr>
              <w:t>高于同类设备</w:t>
            </w:r>
            <w:r>
              <w:rPr>
                <w:rFonts w:hint="eastAsia"/>
                <w:sz w:val="21"/>
                <w:szCs w:val="21"/>
                <w:vertAlign w:val="baseline"/>
              </w:rPr>
              <w:t>。</w:t>
            </w:r>
          </w:p>
          <w:p w14:paraId="3BBB4057">
            <w:pPr>
              <w:widowControl w:val="0"/>
              <w:jc w:val="left"/>
              <w:rPr>
                <w:rFonts w:hint="eastAsia"/>
                <w:sz w:val="21"/>
                <w:szCs w:val="21"/>
                <w:vertAlign w:val="baseline"/>
              </w:rPr>
            </w:pPr>
            <w:r>
              <w:rPr>
                <w:rFonts w:hint="eastAsia"/>
                <w:sz w:val="21"/>
                <w:szCs w:val="21"/>
                <w:vertAlign w:val="baseline"/>
              </w:rPr>
              <w:t xml:space="preserve">   · 精密度：</w:t>
            </w:r>
            <w:r>
              <w:rPr>
                <w:rFonts w:hint="eastAsia"/>
                <w:sz w:val="21"/>
                <w:szCs w:val="21"/>
                <w:vertAlign w:val="baseline"/>
                <w:lang w:eastAsia="zh-CN"/>
              </w:rPr>
              <w:t>高于同类设备，</w:t>
            </w:r>
            <w:r>
              <w:rPr>
                <w:rFonts w:hint="eastAsia"/>
                <w:sz w:val="21"/>
                <w:szCs w:val="21"/>
                <w:vertAlign w:val="baseline"/>
              </w:rPr>
              <w:t>重复测量的变异程度</w:t>
            </w:r>
            <w:r>
              <w:rPr>
                <w:rFonts w:hint="eastAsia"/>
                <w:sz w:val="21"/>
                <w:szCs w:val="21"/>
                <w:vertAlign w:val="baseline"/>
                <w:lang w:eastAsia="zh-CN"/>
              </w:rPr>
              <w:t>小</w:t>
            </w:r>
            <w:r>
              <w:rPr>
                <w:rFonts w:hint="eastAsia"/>
                <w:sz w:val="21"/>
                <w:szCs w:val="21"/>
                <w:vertAlign w:val="baseline"/>
              </w:rPr>
              <w:t>。</w:t>
            </w:r>
          </w:p>
          <w:p w14:paraId="310F0452">
            <w:pPr>
              <w:widowControl w:val="0"/>
              <w:jc w:val="left"/>
              <w:rPr>
                <w:rFonts w:hint="eastAsia"/>
                <w:sz w:val="21"/>
                <w:szCs w:val="21"/>
                <w:vertAlign w:val="baseline"/>
              </w:rPr>
            </w:pPr>
            <w:r>
              <w:rPr>
                <w:rFonts w:hint="eastAsia"/>
                <w:sz w:val="21"/>
                <w:szCs w:val="21"/>
                <w:vertAlign w:val="baseline"/>
              </w:rPr>
              <w:t>4. 杂散光：影响高吸光度样本测定的准确性</w:t>
            </w:r>
            <w:r>
              <w:rPr>
                <w:rFonts w:hint="eastAsia"/>
                <w:sz w:val="21"/>
                <w:szCs w:val="21"/>
                <w:vertAlign w:val="baseline"/>
                <w:lang w:eastAsia="zh-CN"/>
              </w:rPr>
              <w:t>低于同类设备</w:t>
            </w:r>
            <w:r>
              <w:rPr>
                <w:rFonts w:hint="eastAsia"/>
                <w:sz w:val="21"/>
                <w:szCs w:val="21"/>
                <w:vertAlign w:val="baseline"/>
              </w:rPr>
              <w:t>。</w:t>
            </w:r>
          </w:p>
          <w:p w14:paraId="32431AAE">
            <w:pPr>
              <w:widowControl w:val="0"/>
              <w:jc w:val="left"/>
              <w:rPr>
                <w:rFonts w:hint="eastAsia"/>
                <w:b/>
                <w:bCs/>
                <w:sz w:val="21"/>
                <w:szCs w:val="21"/>
                <w:vertAlign w:val="baseline"/>
              </w:rPr>
            </w:pPr>
            <w:r>
              <w:rPr>
                <w:rFonts w:hint="eastAsia"/>
                <w:b/>
                <w:bCs/>
                <w:sz w:val="21"/>
                <w:szCs w:val="21"/>
                <w:vertAlign w:val="baseline"/>
              </w:rPr>
              <w:t>三、机械与操作参数</w:t>
            </w:r>
          </w:p>
          <w:p w14:paraId="0B36CF41">
            <w:pPr>
              <w:widowControl w:val="0"/>
              <w:jc w:val="left"/>
              <w:rPr>
                <w:rFonts w:hint="eastAsia"/>
                <w:sz w:val="21"/>
                <w:szCs w:val="21"/>
                <w:vertAlign w:val="baseline"/>
              </w:rPr>
            </w:pPr>
            <w:r>
              <w:rPr>
                <w:rFonts w:hint="eastAsia"/>
                <w:sz w:val="21"/>
                <w:szCs w:val="21"/>
                <w:vertAlign w:val="baseline"/>
              </w:rPr>
              <w:t>1. 读板格式：</w:t>
            </w:r>
          </w:p>
          <w:p w14:paraId="15327904">
            <w:pPr>
              <w:widowControl w:val="0"/>
              <w:jc w:val="left"/>
              <w:rPr>
                <w:rFonts w:hint="eastAsia"/>
                <w:sz w:val="21"/>
                <w:szCs w:val="21"/>
                <w:vertAlign w:val="baseline"/>
              </w:rPr>
            </w:pPr>
            <w:r>
              <w:rPr>
                <w:rFonts w:hint="eastAsia"/>
                <w:sz w:val="21"/>
                <w:szCs w:val="21"/>
                <w:vertAlign w:val="baseline"/>
              </w:rPr>
              <w:t xml:space="preserve">   · 标准：96孔板（必须）。</w:t>
            </w:r>
          </w:p>
          <w:p w14:paraId="4D77B2D9">
            <w:pPr>
              <w:widowControl w:val="0"/>
              <w:jc w:val="left"/>
              <w:rPr>
                <w:rFonts w:hint="eastAsia"/>
                <w:sz w:val="21"/>
                <w:szCs w:val="21"/>
                <w:vertAlign w:val="baseline"/>
              </w:rPr>
            </w:pPr>
            <w:r>
              <w:rPr>
                <w:rFonts w:hint="eastAsia"/>
                <w:sz w:val="21"/>
                <w:szCs w:val="21"/>
                <w:vertAlign w:val="baseline"/>
              </w:rPr>
              <w:t xml:space="preserve">   · 通量需求：支持 384孔板、1536孔板或低容量/特殊板型。</w:t>
            </w:r>
          </w:p>
          <w:p w14:paraId="53300198">
            <w:pPr>
              <w:widowControl w:val="0"/>
              <w:jc w:val="left"/>
              <w:rPr>
                <w:rFonts w:hint="eastAsia"/>
                <w:sz w:val="21"/>
                <w:szCs w:val="21"/>
                <w:vertAlign w:val="baseline"/>
              </w:rPr>
            </w:pPr>
            <w:r>
              <w:rPr>
                <w:rFonts w:hint="eastAsia"/>
                <w:sz w:val="21"/>
                <w:szCs w:val="21"/>
                <w:vertAlign w:val="baseline"/>
              </w:rPr>
              <w:t xml:space="preserve">   · 支持半板读取、自定义区域读取。</w:t>
            </w:r>
          </w:p>
          <w:p w14:paraId="10ED275D">
            <w:pPr>
              <w:widowControl w:val="0"/>
              <w:jc w:val="left"/>
              <w:rPr>
                <w:rFonts w:hint="eastAsia"/>
                <w:sz w:val="21"/>
                <w:szCs w:val="21"/>
                <w:vertAlign w:val="baseline"/>
              </w:rPr>
            </w:pPr>
            <w:r>
              <w:rPr>
                <w:rFonts w:hint="eastAsia"/>
                <w:sz w:val="21"/>
                <w:szCs w:val="21"/>
                <w:vertAlign w:val="baseline"/>
              </w:rPr>
              <w:t>2. 振荡与孵育：</w:t>
            </w:r>
          </w:p>
          <w:p w14:paraId="2DE7CF9A">
            <w:pPr>
              <w:widowControl w:val="0"/>
              <w:jc w:val="left"/>
              <w:rPr>
                <w:rFonts w:hint="eastAsia"/>
                <w:sz w:val="21"/>
                <w:szCs w:val="21"/>
                <w:vertAlign w:val="baseline"/>
              </w:rPr>
            </w:pPr>
            <w:r>
              <w:rPr>
                <w:rFonts w:hint="eastAsia"/>
                <w:sz w:val="21"/>
                <w:szCs w:val="21"/>
                <w:vertAlign w:val="baseline"/>
              </w:rPr>
              <w:t xml:space="preserve">   · 振荡功能：在读取前混匀反应液，均一性</w:t>
            </w:r>
            <w:r>
              <w:rPr>
                <w:rFonts w:hint="eastAsia"/>
                <w:sz w:val="21"/>
                <w:szCs w:val="21"/>
                <w:vertAlign w:val="baseline"/>
                <w:lang w:eastAsia="zh-CN"/>
              </w:rPr>
              <w:t>高</w:t>
            </w:r>
            <w:r>
              <w:rPr>
                <w:rFonts w:hint="eastAsia"/>
                <w:sz w:val="21"/>
                <w:szCs w:val="21"/>
                <w:vertAlign w:val="baseline"/>
              </w:rPr>
              <w:t>。</w:t>
            </w:r>
          </w:p>
          <w:p w14:paraId="658EE1CB">
            <w:pPr>
              <w:widowControl w:val="0"/>
              <w:jc w:val="left"/>
              <w:rPr>
                <w:rFonts w:hint="eastAsia"/>
                <w:sz w:val="21"/>
                <w:szCs w:val="21"/>
                <w:vertAlign w:val="baseline"/>
              </w:rPr>
            </w:pPr>
            <w:r>
              <w:rPr>
                <w:rFonts w:hint="eastAsia"/>
                <w:sz w:val="21"/>
                <w:szCs w:val="21"/>
                <w:vertAlign w:val="baseline"/>
              </w:rPr>
              <w:t xml:space="preserve">   · 内置孵育器：具备温控孵育功能，可实现“读取-孵育-读取”的动力学监测。</w:t>
            </w:r>
          </w:p>
          <w:p w14:paraId="2BEBC9D7">
            <w:pPr>
              <w:widowControl w:val="0"/>
              <w:jc w:val="left"/>
              <w:rPr>
                <w:rFonts w:hint="eastAsia"/>
                <w:sz w:val="21"/>
                <w:szCs w:val="21"/>
                <w:vertAlign w:val="baseline"/>
              </w:rPr>
            </w:pPr>
            <w:r>
              <w:rPr>
                <w:rFonts w:hint="eastAsia"/>
                <w:sz w:val="21"/>
                <w:szCs w:val="21"/>
                <w:vertAlign w:val="baseline"/>
              </w:rPr>
              <w:t>3. 自动进样器与堆板机接口：可与外部自动化系统连接，实现高通量全自动操作。</w:t>
            </w:r>
          </w:p>
          <w:p w14:paraId="414A570C">
            <w:pPr>
              <w:widowControl w:val="0"/>
              <w:jc w:val="left"/>
              <w:rPr>
                <w:rFonts w:hint="eastAsia"/>
                <w:b/>
                <w:bCs/>
                <w:sz w:val="21"/>
                <w:szCs w:val="21"/>
                <w:vertAlign w:val="baseline"/>
              </w:rPr>
            </w:pPr>
            <w:r>
              <w:rPr>
                <w:rFonts w:hint="eastAsia"/>
                <w:b/>
                <w:bCs/>
                <w:sz w:val="21"/>
                <w:szCs w:val="21"/>
                <w:vertAlign w:val="baseline"/>
              </w:rPr>
              <w:t>四、软件与数据处理参数</w:t>
            </w:r>
          </w:p>
          <w:p w14:paraId="3B59D325">
            <w:pPr>
              <w:widowControl w:val="0"/>
              <w:jc w:val="left"/>
              <w:rPr>
                <w:rFonts w:hint="eastAsia"/>
                <w:sz w:val="21"/>
                <w:szCs w:val="21"/>
                <w:vertAlign w:val="baseline"/>
              </w:rPr>
            </w:pPr>
            <w:r>
              <w:rPr>
                <w:rFonts w:hint="eastAsia"/>
                <w:sz w:val="21"/>
                <w:szCs w:val="21"/>
                <w:vertAlign w:val="baseline"/>
              </w:rPr>
              <w:t>1. 控制软件：</w:t>
            </w:r>
          </w:p>
          <w:p w14:paraId="19CF0FB9">
            <w:pPr>
              <w:widowControl w:val="0"/>
              <w:jc w:val="left"/>
              <w:rPr>
                <w:rFonts w:hint="eastAsia"/>
                <w:sz w:val="21"/>
                <w:szCs w:val="21"/>
                <w:vertAlign w:val="baseline"/>
              </w:rPr>
            </w:pPr>
            <w:r>
              <w:rPr>
                <w:rFonts w:hint="eastAsia"/>
                <w:sz w:val="21"/>
                <w:szCs w:val="21"/>
                <w:vertAlign w:val="baseline"/>
              </w:rPr>
              <w:t xml:space="preserve">   · 预置程序：包含常用检测（如ELISA、蛋白定量、细胞活性）的标准化、自动化分析流程。</w:t>
            </w:r>
          </w:p>
          <w:p w14:paraId="4154DDA0">
            <w:pPr>
              <w:widowControl w:val="0"/>
              <w:jc w:val="left"/>
              <w:rPr>
                <w:rFonts w:hint="eastAsia"/>
                <w:sz w:val="21"/>
                <w:szCs w:val="21"/>
                <w:vertAlign w:val="baseline"/>
              </w:rPr>
            </w:pPr>
            <w:r>
              <w:rPr>
                <w:rFonts w:hint="eastAsia"/>
                <w:sz w:val="21"/>
                <w:szCs w:val="21"/>
                <w:vertAlign w:val="baseline"/>
              </w:rPr>
              <w:t xml:space="preserve">   · 灵活性：支持自定义实验方案、动力学监测、多波长读取（如双波长校正）等。</w:t>
            </w:r>
          </w:p>
          <w:p w14:paraId="039F7116">
            <w:pPr>
              <w:widowControl w:val="0"/>
              <w:jc w:val="left"/>
              <w:rPr>
                <w:rFonts w:hint="eastAsia"/>
                <w:sz w:val="21"/>
                <w:szCs w:val="21"/>
                <w:vertAlign w:val="baseline"/>
              </w:rPr>
            </w:pPr>
            <w:r>
              <w:rPr>
                <w:rFonts w:hint="eastAsia"/>
                <w:sz w:val="21"/>
                <w:szCs w:val="21"/>
                <w:vertAlign w:val="baseline"/>
              </w:rPr>
              <w:t xml:space="preserve">   · 合规性：符合GLP/GMP规范，支持用户管理、审计追踪、电子签名（对规范化实验室重要）。</w:t>
            </w:r>
          </w:p>
          <w:p w14:paraId="0908D460">
            <w:pPr>
              <w:widowControl w:val="0"/>
              <w:jc w:val="left"/>
              <w:rPr>
                <w:rFonts w:hint="eastAsia"/>
                <w:sz w:val="21"/>
                <w:szCs w:val="21"/>
                <w:vertAlign w:val="baseline"/>
              </w:rPr>
            </w:pPr>
            <w:r>
              <w:rPr>
                <w:rFonts w:hint="eastAsia"/>
                <w:sz w:val="21"/>
                <w:szCs w:val="21"/>
                <w:vertAlign w:val="baseline"/>
              </w:rPr>
              <w:t>2. 数据输出与分析：</w:t>
            </w:r>
          </w:p>
          <w:p w14:paraId="377CC723">
            <w:pPr>
              <w:widowControl w:val="0"/>
              <w:jc w:val="left"/>
              <w:rPr>
                <w:rFonts w:hint="eastAsia"/>
                <w:sz w:val="21"/>
                <w:szCs w:val="21"/>
                <w:vertAlign w:val="baseline"/>
              </w:rPr>
            </w:pPr>
            <w:r>
              <w:rPr>
                <w:rFonts w:hint="eastAsia"/>
                <w:sz w:val="21"/>
                <w:szCs w:val="21"/>
                <w:vertAlign w:val="baseline"/>
              </w:rPr>
              <w:t xml:space="preserve">   · 输出格式：支持导出为Excel、CSV、PDF等通用格式。</w:t>
            </w:r>
          </w:p>
          <w:p w14:paraId="5D245BEC">
            <w:pPr>
              <w:widowControl w:val="0"/>
              <w:jc w:val="left"/>
              <w:rPr>
                <w:rFonts w:hint="eastAsia"/>
                <w:sz w:val="21"/>
                <w:szCs w:val="21"/>
                <w:vertAlign w:val="baseline"/>
              </w:rPr>
            </w:pPr>
            <w:r>
              <w:rPr>
                <w:rFonts w:hint="eastAsia"/>
                <w:sz w:val="21"/>
                <w:szCs w:val="21"/>
                <w:vertAlign w:val="baseline"/>
              </w:rPr>
              <w:t xml:space="preserve">   · 数据分析功能：自动计算标准曲线（线性、对数、四参数逻辑等）、浓度、平均值、SD、CV等。</w:t>
            </w:r>
          </w:p>
          <w:p w14:paraId="5D6830C4">
            <w:pPr>
              <w:widowControl w:val="0"/>
              <w:jc w:val="left"/>
              <w:rPr>
                <w:rFonts w:hint="eastAsia"/>
                <w:b/>
                <w:bCs/>
                <w:sz w:val="21"/>
                <w:szCs w:val="21"/>
                <w:vertAlign w:val="baseline"/>
              </w:rPr>
            </w:pPr>
            <w:r>
              <w:rPr>
                <w:rFonts w:hint="eastAsia"/>
                <w:b/>
                <w:bCs/>
                <w:sz w:val="21"/>
                <w:szCs w:val="21"/>
                <w:vertAlign w:val="baseline"/>
              </w:rPr>
              <w:t>五、物理与维护参数</w:t>
            </w:r>
          </w:p>
          <w:p w14:paraId="4BBF0B25">
            <w:pPr>
              <w:widowControl w:val="0"/>
              <w:jc w:val="left"/>
              <w:rPr>
                <w:rFonts w:hint="eastAsia"/>
                <w:sz w:val="21"/>
                <w:szCs w:val="21"/>
                <w:vertAlign w:val="baseline"/>
              </w:rPr>
            </w:pPr>
            <w:r>
              <w:rPr>
                <w:rFonts w:hint="eastAsia"/>
                <w:sz w:val="21"/>
                <w:szCs w:val="21"/>
                <w:vertAlign w:val="baseline"/>
              </w:rPr>
              <w:t>1. 尺寸与重量：</w:t>
            </w:r>
            <w:r>
              <w:rPr>
                <w:rFonts w:hint="eastAsia"/>
                <w:sz w:val="21"/>
                <w:szCs w:val="21"/>
                <w:vertAlign w:val="baseline"/>
                <w:lang w:eastAsia="zh-CN"/>
              </w:rPr>
              <w:t>小于市场同类设备均值</w:t>
            </w:r>
            <w:r>
              <w:rPr>
                <w:rFonts w:hint="eastAsia"/>
                <w:sz w:val="21"/>
                <w:szCs w:val="21"/>
                <w:vertAlign w:val="baseline"/>
              </w:rPr>
              <w:t>。</w:t>
            </w:r>
          </w:p>
          <w:p w14:paraId="25C7F1BE">
            <w:pPr>
              <w:widowControl w:val="0"/>
              <w:jc w:val="left"/>
              <w:rPr>
                <w:rFonts w:hint="eastAsia"/>
                <w:sz w:val="21"/>
                <w:szCs w:val="21"/>
                <w:vertAlign w:val="baseline"/>
              </w:rPr>
            </w:pPr>
            <w:r>
              <w:rPr>
                <w:rFonts w:hint="eastAsia"/>
                <w:sz w:val="21"/>
                <w:szCs w:val="21"/>
                <w:vertAlign w:val="baseline"/>
              </w:rPr>
              <w:t>2. 接口：USB、以太网、串口</w:t>
            </w:r>
            <w:r>
              <w:rPr>
                <w:rFonts w:hint="eastAsia"/>
                <w:sz w:val="21"/>
                <w:szCs w:val="21"/>
                <w:vertAlign w:val="baseline"/>
                <w:lang w:eastAsia="zh-CN"/>
              </w:rPr>
              <w:t>复合通用标准</w:t>
            </w:r>
            <w:r>
              <w:rPr>
                <w:rFonts w:hint="eastAsia"/>
                <w:sz w:val="21"/>
                <w:szCs w:val="21"/>
                <w:vertAlign w:val="baseline"/>
              </w:rPr>
              <w:t>。</w:t>
            </w:r>
          </w:p>
          <w:p w14:paraId="6167A71C">
            <w:pPr>
              <w:widowControl w:val="0"/>
              <w:jc w:val="left"/>
              <w:rPr>
                <w:rFonts w:hint="default" w:asciiTheme="minorHAnsi" w:hAnsiTheme="minorHAnsi" w:eastAsiaTheme="minorEastAsia" w:cstheme="minorBidi"/>
                <w:kern w:val="2"/>
                <w:sz w:val="21"/>
                <w:szCs w:val="21"/>
                <w:highlight w:val="none"/>
                <w:vertAlign w:val="baseline"/>
                <w:lang w:val="en-US" w:eastAsia="zh-CN" w:bidi="ar-SA"/>
              </w:rPr>
            </w:pPr>
            <w:r>
              <w:rPr>
                <w:rFonts w:hint="eastAsia"/>
                <w:sz w:val="21"/>
                <w:szCs w:val="21"/>
                <w:vertAlign w:val="baseline"/>
              </w:rPr>
              <w:t>3. 维护需求与成本：光源（氙灯、卤钨灯）寿命</w:t>
            </w:r>
            <w:r>
              <w:rPr>
                <w:rFonts w:hint="eastAsia"/>
                <w:sz w:val="21"/>
                <w:szCs w:val="21"/>
                <w:vertAlign w:val="baseline"/>
                <w:lang w:eastAsia="zh-CN"/>
              </w:rPr>
              <w:t>高于同类设备均值</w:t>
            </w:r>
            <w:r>
              <w:rPr>
                <w:rFonts w:hint="eastAsia"/>
                <w:sz w:val="21"/>
                <w:szCs w:val="21"/>
                <w:vertAlign w:val="baseline"/>
              </w:rPr>
              <w:t>。</w:t>
            </w:r>
          </w:p>
        </w:tc>
        <w:tc>
          <w:tcPr>
            <w:tcW w:w="1169" w:type="dxa"/>
            <w:vAlign w:val="center"/>
          </w:tcPr>
          <w:p w14:paraId="5F1A279D">
            <w:pPr>
              <w:widowControl w:val="0"/>
              <w:jc w:val="left"/>
              <w:rPr>
                <w:sz w:val="24"/>
                <w:szCs w:val="24"/>
                <w:highlight w:val="none"/>
                <w:vertAlign w:val="baseline"/>
              </w:rPr>
            </w:pPr>
          </w:p>
        </w:tc>
      </w:tr>
      <w:tr w14:paraId="7E91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534FDF36">
            <w:pPr>
              <w:widowControl w:val="0"/>
              <w:tabs>
                <w:tab w:val="left" w:pos="662"/>
              </w:tabs>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7</w:t>
            </w:r>
          </w:p>
        </w:tc>
        <w:tc>
          <w:tcPr>
            <w:tcW w:w="3279" w:type="dxa"/>
            <w:shd w:val="clear" w:color="auto" w:fill="auto"/>
            <w:vAlign w:val="center"/>
          </w:tcPr>
          <w:p w14:paraId="2E90D39F">
            <w:pPr>
              <w:widowControl w:val="0"/>
              <w:tabs>
                <w:tab w:val="left" w:pos="662"/>
              </w:tabs>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恒温水温箱</w:t>
            </w:r>
          </w:p>
        </w:tc>
        <w:tc>
          <w:tcPr>
            <w:tcW w:w="990" w:type="dxa"/>
            <w:vAlign w:val="center"/>
          </w:tcPr>
          <w:p w14:paraId="16FE4EE1">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460E9392">
            <w:pPr>
              <w:widowControl w:val="0"/>
              <w:jc w:val="left"/>
              <w:rPr>
                <w:rFonts w:hint="eastAsia"/>
                <w:b/>
                <w:bCs/>
                <w:sz w:val="21"/>
                <w:szCs w:val="21"/>
                <w:vertAlign w:val="baseline"/>
              </w:rPr>
            </w:pPr>
            <w:r>
              <w:rPr>
                <w:rFonts w:hint="eastAsia"/>
                <w:b/>
                <w:bCs/>
                <w:sz w:val="21"/>
                <w:szCs w:val="21"/>
                <w:vertAlign w:val="baseline"/>
              </w:rPr>
              <w:t>一、核心通用参数</w:t>
            </w:r>
          </w:p>
          <w:p w14:paraId="787C8D47">
            <w:pPr>
              <w:widowControl w:val="0"/>
              <w:jc w:val="left"/>
              <w:rPr>
                <w:rFonts w:hint="eastAsia"/>
                <w:sz w:val="21"/>
                <w:szCs w:val="21"/>
                <w:vertAlign w:val="baseline"/>
              </w:rPr>
            </w:pPr>
            <w:r>
              <w:rPr>
                <w:rFonts w:hint="eastAsia"/>
                <w:sz w:val="21"/>
                <w:szCs w:val="21"/>
                <w:vertAlign w:val="baseline"/>
              </w:rPr>
              <w:t>1. 温度控制范围</w:t>
            </w:r>
          </w:p>
          <w:p w14:paraId="4A4DF44B">
            <w:pPr>
              <w:widowControl w:val="0"/>
              <w:jc w:val="left"/>
              <w:rPr>
                <w:rFonts w:hint="eastAsia"/>
                <w:sz w:val="21"/>
                <w:szCs w:val="21"/>
                <w:vertAlign w:val="baseline"/>
              </w:rPr>
            </w:pPr>
            <w:r>
              <w:rPr>
                <w:rFonts w:hint="eastAsia"/>
                <w:sz w:val="21"/>
                <w:szCs w:val="21"/>
                <w:vertAlign w:val="baseline"/>
              </w:rPr>
              <w:t xml:space="preserve">   · 低温型： 0℃ ~ 100℃（带制冷功能）。</w:t>
            </w:r>
          </w:p>
          <w:p w14:paraId="650B1F21">
            <w:pPr>
              <w:widowControl w:val="0"/>
              <w:jc w:val="left"/>
              <w:rPr>
                <w:rFonts w:hint="eastAsia"/>
                <w:sz w:val="21"/>
                <w:szCs w:val="21"/>
                <w:vertAlign w:val="baseline"/>
              </w:rPr>
            </w:pPr>
            <w:r>
              <w:rPr>
                <w:rFonts w:hint="eastAsia"/>
                <w:sz w:val="21"/>
                <w:szCs w:val="21"/>
                <w:vertAlign w:val="baseline"/>
              </w:rPr>
              <w:t>2. 温度波动度/均匀性</w:t>
            </w:r>
          </w:p>
          <w:p w14:paraId="02167EA7">
            <w:pPr>
              <w:widowControl w:val="0"/>
              <w:jc w:val="left"/>
              <w:rPr>
                <w:rFonts w:hint="eastAsia"/>
                <w:sz w:val="21"/>
                <w:szCs w:val="21"/>
                <w:vertAlign w:val="baseline"/>
              </w:rPr>
            </w:pPr>
            <w:r>
              <w:rPr>
                <w:rFonts w:hint="eastAsia"/>
                <w:sz w:val="21"/>
                <w:szCs w:val="21"/>
                <w:vertAlign w:val="baseline"/>
              </w:rPr>
              <w:t xml:space="preserve">   · 波动度： ±0.1℃ ~ ±0.5℃。</w:t>
            </w:r>
          </w:p>
          <w:p w14:paraId="00196E11">
            <w:pPr>
              <w:widowControl w:val="0"/>
              <w:jc w:val="left"/>
              <w:rPr>
                <w:rFonts w:hint="eastAsia"/>
                <w:sz w:val="21"/>
                <w:szCs w:val="21"/>
                <w:vertAlign w:val="baseline"/>
              </w:rPr>
            </w:pPr>
            <w:r>
              <w:rPr>
                <w:rFonts w:hint="eastAsia"/>
                <w:sz w:val="21"/>
                <w:szCs w:val="21"/>
                <w:vertAlign w:val="baseline"/>
              </w:rPr>
              <w:t xml:space="preserve">   · 均匀性： ±0.1℃ ~ ±1.0℃。</w:t>
            </w:r>
          </w:p>
          <w:p w14:paraId="7D90B4B0">
            <w:pPr>
              <w:widowControl w:val="0"/>
              <w:jc w:val="left"/>
              <w:rPr>
                <w:rFonts w:hint="eastAsia"/>
                <w:sz w:val="21"/>
                <w:szCs w:val="21"/>
                <w:vertAlign w:val="baseline"/>
              </w:rPr>
            </w:pPr>
            <w:r>
              <w:rPr>
                <w:rFonts w:hint="eastAsia"/>
                <w:sz w:val="21"/>
                <w:szCs w:val="21"/>
                <w:vertAlign w:val="baseline"/>
              </w:rPr>
              <w:t>3. 控温精度/显示分辨率</w:t>
            </w:r>
          </w:p>
          <w:p w14:paraId="05B8563C">
            <w:pPr>
              <w:widowControl w:val="0"/>
              <w:jc w:val="left"/>
              <w:rPr>
                <w:rFonts w:hint="eastAsia"/>
                <w:sz w:val="21"/>
                <w:szCs w:val="21"/>
                <w:vertAlign w:val="baseline"/>
              </w:rPr>
            </w:pPr>
            <w:r>
              <w:rPr>
                <w:rFonts w:hint="eastAsia"/>
                <w:sz w:val="21"/>
                <w:szCs w:val="21"/>
                <w:vertAlign w:val="baseline"/>
              </w:rPr>
              <w:t xml:space="preserve">   · 精度： ±0.1℃ ~ ±0.5℃。</w:t>
            </w:r>
          </w:p>
          <w:p w14:paraId="2B7F091A">
            <w:pPr>
              <w:widowControl w:val="0"/>
              <w:jc w:val="left"/>
              <w:rPr>
                <w:rFonts w:hint="eastAsia"/>
                <w:sz w:val="21"/>
                <w:szCs w:val="21"/>
                <w:vertAlign w:val="baseline"/>
              </w:rPr>
            </w:pPr>
            <w:r>
              <w:rPr>
                <w:rFonts w:hint="eastAsia"/>
                <w:sz w:val="21"/>
                <w:szCs w:val="21"/>
                <w:vertAlign w:val="baseline"/>
              </w:rPr>
              <w:t xml:space="preserve">   · 分辨率：0.1℃。</w:t>
            </w:r>
          </w:p>
          <w:p w14:paraId="22E4B5D3">
            <w:pPr>
              <w:widowControl w:val="0"/>
              <w:jc w:val="left"/>
              <w:rPr>
                <w:rFonts w:hint="eastAsia"/>
                <w:sz w:val="21"/>
                <w:szCs w:val="21"/>
                <w:vertAlign w:val="baseline"/>
              </w:rPr>
            </w:pPr>
            <w:r>
              <w:rPr>
                <w:rFonts w:hint="eastAsia"/>
                <w:sz w:val="21"/>
                <w:szCs w:val="21"/>
                <w:vertAlign w:val="baseline"/>
              </w:rPr>
              <w:t>4. 容量与工作室尺寸</w:t>
            </w:r>
          </w:p>
          <w:p w14:paraId="11F90B67">
            <w:pPr>
              <w:widowControl w:val="0"/>
              <w:jc w:val="left"/>
              <w:rPr>
                <w:rFonts w:hint="eastAsia"/>
                <w:sz w:val="21"/>
                <w:szCs w:val="21"/>
                <w:vertAlign w:val="baseline"/>
              </w:rPr>
            </w:pPr>
            <w:r>
              <w:rPr>
                <w:rFonts w:hint="eastAsia"/>
                <w:sz w:val="21"/>
                <w:szCs w:val="21"/>
                <w:vertAlign w:val="baseline"/>
              </w:rPr>
              <w:t xml:space="preserve">   · 容量：大型50L。</w:t>
            </w:r>
          </w:p>
          <w:p w14:paraId="021A4059">
            <w:pPr>
              <w:widowControl w:val="0"/>
              <w:jc w:val="left"/>
              <w:rPr>
                <w:rFonts w:hint="eastAsia"/>
                <w:sz w:val="21"/>
                <w:szCs w:val="21"/>
                <w:vertAlign w:val="baseline"/>
              </w:rPr>
            </w:pPr>
            <w:r>
              <w:rPr>
                <w:rFonts w:hint="eastAsia"/>
                <w:sz w:val="21"/>
                <w:szCs w:val="21"/>
                <w:vertAlign w:val="baseline"/>
              </w:rPr>
              <w:t xml:space="preserve">   · 内胆尺寸：能容纳的</w:t>
            </w:r>
            <w:r>
              <w:rPr>
                <w:rFonts w:hint="eastAsia"/>
                <w:sz w:val="21"/>
                <w:szCs w:val="21"/>
                <w:vertAlign w:val="baseline"/>
                <w:lang w:eastAsia="zh-CN"/>
              </w:rPr>
              <w:t>较多</w:t>
            </w:r>
            <w:r>
              <w:rPr>
                <w:rFonts w:hint="eastAsia"/>
                <w:sz w:val="21"/>
                <w:szCs w:val="21"/>
                <w:vertAlign w:val="baseline"/>
              </w:rPr>
              <w:t>试管架、试剂瓶或微孔板。</w:t>
            </w:r>
          </w:p>
          <w:p w14:paraId="520D2C2D">
            <w:pPr>
              <w:widowControl w:val="0"/>
              <w:jc w:val="left"/>
              <w:rPr>
                <w:rFonts w:hint="eastAsia"/>
                <w:sz w:val="21"/>
                <w:szCs w:val="21"/>
                <w:vertAlign w:val="baseline"/>
              </w:rPr>
            </w:pPr>
            <w:r>
              <w:rPr>
                <w:rFonts w:hint="eastAsia"/>
                <w:sz w:val="21"/>
                <w:szCs w:val="21"/>
                <w:vertAlign w:val="baseline"/>
              </w:rPr>
              <w:t>5. 加热功率</w:t>
            </w:r>
          </w:p>
          <w:p w14:paraId="5B21191B">
            <w:pPr>
              <w:widowControl w:val="0"/>
              <w:jc w:val="left"/>
              <w:rPr>
                <w:rFonts w:hint="eastAsia"/>
                <w:sz w:val="21"/>
                <w:szCs w:val="21"/>
                <w:vertAlign w:val="baseline"/>
              </w:rPr>
            </w:pPr>
            <w:r>
              <w:rPr>
                <w:rFonts w:hint="eastAsia"/>
                <w:sz w:val="21"/>
                <w:szCs w:val="21"/>
                <w:vertAlign w:val="baseline"/>
              </w:rPr>
              <w:t xml:space="preserve">   ·  500W ~ 2000W 之间。</w:t>
            </w:r>
          </w:p>
          <w:p w14:paraId="078ACF9A">
            <w:pPr>
              <w:widowControl w:val="0"/>
              <w:jc w:val="left"/>
              <w:rPr>
                <w:rFonts w:hint="eastAsia"/>
                <w:sz w:val="21"/>
                <w:szCs w:val="21"/>
                <w:vertAlign w:val="baseline"/>
              </w:rPr>
            </w:pPr>
            <w:r>
              <w:rPr>
                <w:rFonts w:hint="eastAsia"/>
                <w:sz w:val="21"/>
                <w:szCs w:val="21"/>
                <w:vertAlign w:val="baseline"/>
              </w:rPr>
              <w:t>6. 材质</w:t>
            </w:r>
          </w:p>
          <w:p w14:paraId="14CE728F">
            <w:pPr>
              <w:widowControl w:val="0"/>
              <w:jc w:val="left"/>
              <w:rPr>
                <w:rFonts w:hint="eastAsia"/>
                <w:sz w:val="21"/>
                <w:szCs w:val="21"/>
                <w:vertAlign w:val="baseline"/>
              </w:rPr>
            </w:pPr>
            <w:r>
              <w:rPr>
                <w:rFonts w:hint="eastAsia"/>
                <w:sz w:val="21"/>
                <w:szCs w:val="21"/>
                <w:vertAlign w:val="baseline"/>
              </w:rPr>
              <w:t xml:space="preserve">   · 内胆/工作室： 优质不锈钢（如304或316），耐腐蚀、易清洁。</w:t>
            </w:r>
          </w:p>
          <w:p w14:paraId="76504F1B">
            <w:pPr>
              <w:widowControl w:val="0"/>
              <w:jc w:val="left"/>
              <w:rPr>
                <w:rFonts w:hint="eastAsia"/>
                <w:sz w:val="21"/>
                <w:szCs w:val="21"/>
                <w:vertAlign w:val="baseline"/>
              </w:rPr>
            </w:pPr>
            <w:r>
              <w:rPr>
                <w:rFonts w:hint="eastAsia"/>
                <w:sz w:val="21"/>
                <w:szCs w:val="21"/>
                <w:vertAlign w:val="baseline"/>
              </w:rPr>
              <w:t xml:space="preserve">   · 外壳： 冷轧钢板喷塑或不锈钢。</w:t>
            </w:r>
          </w:p>
          <w:p w14:paraId="55EB16CE">
            <w:pPr>
              <w:widowControl w:val="0"/>
              <w:jc w:val="left"/>
              <w:rPr>
                <w:rFonts w:hint="eastAsia"/>
                <w:sz w:val="21"/>
                <w:szCs w:val="21"/>
                <w:vertAlign w:val="baseline"/>
              </w:rPr>
            </w:pPr>
            <w:r>
              <w:rPr>
                <w:rFonts w:hint="eastAsia"/>
                <w:sz w:val="21"/>
                <w:szCs w:val="21"/>
                <w:vertAlign w:val="baseline"/>
              </w:rPr>
              <w:t xml:space="preserve">   · 盖板/孔板： 不锈钢或带保温层的分格盖板，以减少热量散失和蒸发。</w:t>
            </w:r>
          </w:p>
          <w:p w14:paraId="155A5CD4">
            <w:pPr>
              <w:widowControl w:val="0"/>
              <w:jc w:val="left"/>
              <w:rPr>
                <w:rFonts w:hint="eastAsia"/>
                <w:b/>
                <w:bCs/>
                <w:sz w:val="21"/>
                <w:szCs w:val="21"/>
                <w:vertAlign w:val="baseline"/>
              </w:rPr>
            </w:pPr>
            <w:r>
              <w:rPr>
                <w:rFonts w:hint="eastAsia"/>
                <w:b/>
                <w:bCs/>
                <w:sz w:val="21"/>
                <w:szCs w:val="21"/>
                <w:vertAlign w:val="baseline"/>
              </w:rPr>
              <w:t>二、功能与配置参数</w:t>
            </w:r>
          </w:p>
          <w:p w14:paraId="5A084660">
            <w:pPr>
              <w:widowControl w:val="0"/>
              <w:jc w:val="left"/>
              <w:rPr>
                <w:rFonts w:hint="eastAsia"/>
                <w:sz w:val="21"/>
                <w:szCs w:val="21"/>
                <w:vertAlign w:val="baseline"/>
              </w:rPr>
            </w:pPr>
            <w:r>
              <w:rPr>
                <w:rFonts w:hint="eastAsia"/>
                <w:sz w:val="21"/>
                <w:szCs w:val="21"/>
                <w:vertAlign w:val="baseline"/>
              </w:rPr>
              <w:t>1. 显示与操作</w:t>
            </w:r>
          </w:p>
          <w:p w14:paraId="2E2F6EBB">
            <w:pPr>
              <w:widowControl w:val="0"/>
              <w:jc w:val="left"/>
              <w:rPr>
                <w:rFonts w:hint="eastAsia"/>
                <w:sz w:val="21"/>
                <w:szCs w:val="21"/>
                <w:vertAlign w:val="baseline"/>
              </w:rPr>
            </w:pPr>
            <w:r>
              <w:rPr>
                <w:rFonts w:hint="eastAsia"/>
                <w:sz w:val="21"/>
                <w:szCs w:val="21"/>
                <w:vertAlign w:val="baseline"/>
              </w:rPr>
              <w:t xml:space="preserve">   · 控制器类型： 数字式微处理器PID控制器（主流），控温更精准。</w:t>
            </w:r>
          </w:p>
          <w:p w14:paraId="7309F96F">
            <w:pPr>
              <w:widowControl w:val="0"/>
              <w:jc w:val="left"/>
              <w:rPr>
                <w:rFonts w:hint="eastAsia"/>
                <w:sz w:val="21"/>
                <w:szCs w:val="21"/>
                <w:vertAlign w:val="baseline"/>
              </w:rPr>
            </w:pPr>
            <w:r>
              <w:rPr>
                <w:rFonts w:hint="eastAsia"/>
                <w:sz w:val="21"/>
                <w:szCs w:val="21"/>
                <w:vertAlign w:val="baseline"/>
              </w:rPr>
              <w:t xml:space="preserve">   · 显示屏： LED或LCD数显，实时显示设定温度和实际温度。</w:t>
            </w:r>
          </w:p>
          <w:p w14:paraId="5EE1447D">
            <w:pPr>
              <w:widowControl w:val="0"/>
              <w:jc w:val="left"/>
              <w:rPr>
                <w:rFonts w:hint="eastAsia"/>
                <w:sz w:val="21"/>
                <w:szCs w:val="21"/>
                <w:vertAlign w:val="baseline"/>
              </w:rPr>
            </w:pPr>
            <w:r>
              <w:rPr>
                <w:rFonts w:hint="eastAsia"/>
                <w:sz w:val="21"/>
                <w:szCs w:val="21"/>
                <w:vertAlign w:val="baseline"/>
              </w:rPr>
              <w:t xml:space="preserve">   · 控制方式： 按键式或旋钮式。</w:t>
            </w:r>
          </w:p>
          <w:p w14:paraId="6C1F25A5">
            <w:pPr>
              <w:widowControl w:val="0"/>
              <w:jc w:val="left"/>
              <w:rPr>
                <w:rFonts w:hint="eastAsia"/>
                <w:sz w:val="21"/>
                <w:szCs w:val="21"/>
                <w:vertAlign w:val="baseline"/>
              </w:rPr>
            </w:pPr>
            <w:r>
              <w:rPr>
                <w:rFonts w:hint="eastAsia"/>
                <w:sz w:val="21"/>
                <w:szCs w:val="21"/>
                <w:vertAlign w:val="baseline"/>
              </w:rPr>
              <w:t>2. 安全与保护功能</w:t>
            </w:r>
          </w:p>
          <w:p w14:paraId="2FD26B03">
            <w:pPr>
              <w:widowControl w:val="0"/>
              <w:jc w:val="left"/>
              <w:rPr>
                <w:rFonts w:hint="eastAsia"/>
                <w:sz w:val="21"/>
                <w:szCs w:val="21"/>
                <w:vertAlign w:val="baseline"/>
              </w:rPr>
            </w:pPr>
            <w:r>
              <w:rPr>
                <w:rFonts w:hint="eastAsia"/>
                <w:sz w:val="21"/>
                <w:szCs w:val="21"/>
                <w:vertAlign w:val="baseline"/>
              </w:rPr>
              <w:t xml:space="preserve">   · 超温保护： 独立于主控温系统的过热保护装置，防止“飞温”。</w:t>
            </w:r>
          </w:p>
          <w:p w14:paraId="79D4CB2C">
            <w:pPr>
              <w:widowControl w:val="0"/>
              <w:jc w:val="left"/>
              <w:rPr>
                <w:rFonts w:hint="eastAsia"/>
                <w:sz w:val="21"/>
                <w:szCs w:val="21"/>
                <w:vertAlign w:val="baseline"/>
              </w:rPr>
            </w:pPr>
            <w:r>
              <w:rPr>
                <w:rFonts w:hint="eastAsia"/>
                <w:sz w:val="21"/>
                <w:szCs w:val="21"/>
                <w:vertAlign w:val="baseline"/>
              </w:rPr>
              <w:t xml:space="preserve">   · 低水位保护/断电： 防止加热管干烧损坏。</w:t>
            </w:r>
          </w:p>
          <w:p w14:paraId="5863A978">
            <w:pPr>
              <w:widowControl w:val="0"/>
              <w:jc w:val="left"/>
              <w:rPr>
                <w:rFonts w:hint="eastAsia"/>
                <w:sz w:val="21"/>
                <w:szCs w:val="21"/>
                <w:vertAlign w:val="baseline"/>
              </w:rPr>
            </w:pPr>
            <w:r>
              <w:rPr>
                <w:rFonts w:hint="eastAsia"/>
                <w:sz w:val="21"/>
                <w:szCs w:val="21"/>
                <w:vertAlign w:val="baseline"/>
              </w:rPr>
              <w:t xml:space="preserve">   · 漏电保护： 保障操作人员安全。</w:t>
            </w:r>
          </w:p>
          <w:p w14:paraId="2607A2F9">
            <w:pPr>
              <w:widowControl w:val="0"/>
              <w:jc w:val="left"/>
              <w:rPr>
                <w:rFonts w:hint="eastAsia"/>
                <w:sz w:val="21"/>
                <w:szCs w:val="21"/>
                <w:vertAlign w:val="baseline"/>
              </w:rPr>
            </w:pPr>
            <w:r>
              <w:rPr>
                <w:rFonts w:hint="eastAsia"/>
                <w:sz w:val="21"/>
                <w:szCs w:val="21"/>
                <w:vertAlign w:val="baseline"/>
              </w:rPr>
              <w:t xml:space="preserve">   · 防凝露设计： 带低温功能，防止观察窗凝露。</w:t>
            </w:r>
          </w:p>
          <w:p w14:paraId="0CE924BA">
            <w:pPr>
              <w:widowControl w:val="0"/>
              <w:jc w:val="left"/>
              <w:rPr>
                <w:rFonts w:hint="eastAsia"/>
                <w:sz w:val="21"/>
                <w:szCs w:val="21"/>
                <w:vertAlign w:val="baseline"/>
              </w:rPr>
            </w:pPr>
            <w:r>
              <w:rPr>
                <w:rFonts w:hint="eastAsia"/>
                <w:sz w:val="21"/>
                <w:szCs w:val="21"/>
                <w:vertAlign w:val="baseline"/>
              </w:rPr>
              <w:t>3. 循环系统</w:t>
            </w:r>
          </w:p>
          <w:p w14:paraId="4FDF1B94">
            <w:pPr>
              <w:widowControl w:val="0"/>
              <w:jc w:val="left"/>
              <w:rPr>
                <w:rFonts w:hint="eastAsia"/>
                <w:sz w:val="21"/>
                <w:szCs w:val="21"/>
                <w:vertAlign w:val="baseline"/>
              </w:rPr>
            </w:pPr>
            <w:r>
              <w:rPr>
                <w:rFonts w:hint="eastAsia"/>
                <w:sz w:val="21"/>
                <w:szCs w:val="21"/>
                <w:vertAlign w:val="baseline"/>
              </w:rPr>
              <w:t xml:space="preserve">   · 强制循环（内置循环泵）： 通过水泵搅动水流，确保温度高度均匀和快速恢复。</w:t>
            </w:r>
          </w:p>
          <w:p w14:paraId="0BE82C84">
            <w:pPr>
              <w:widowControl w:val="0"/>
              <w:jc w:val="left"/>
              <w:rPr>
                <w:rFonts w:hint="eastAsia"/>
                <w:sz w:val="21"/>
                <w:szCs w:val="21"/>
                <w:vertAlign w:val="baseline"/>
              </w:rPr>
            </w:pPr>
            <w:r>
              <w:rPr>
                <w:rFonts w:hint="eastAsia"/>
                <w:sz w:val="21"/>
                <w:szCs w:val="21"/>
                <w:vertAlign w:val="baseline"/>
              </w:rPr>
              <w:t>4. 特殊附件与兼容性</w:t>
            </w:r>
          </w:p>
          <w:p w14:paraId="15740FD0">
            <w:pPr>
              <w:widowControl w:val="0"/>
              <w:jc w:val="left"/>
              <w:rPr>
                <w:rFonts w:hint="eastAsia"/>
                <w:sz w:val="21"/>
                <w:szCs w:val="21"/>
                <w:vertAlign w:val="baseline"/>
              </w:rPr>
            </w:pPr>
            <w:r>
              <w:rPr>
                <w:rFonts w:hint="eastAsia"/>
                <w:sz w:val="21"/>
                <w:szCs w:val="21"/>
                <w:vertAlign w:val="baseline"/>
              </w:rPr>
              <w:t xml:space="preserve">   · 试管架/载物架： 可适配不同规格的试管（如15ml、50ml离心管）、试剂瓶和微孔板架。</w:t>
            </w:r>
          </w:p>
          <w:p w14:paraId="3D440204">
            <w:pPr>
              <w:widowControl w:val="0"/>
              <w:jc w:val="left"/>
              <w:rPr>
                <w:rFonts w:hint="eastAsia"/>
                <w:sz w:val="21"/>
                <w:szCs w:val="21"/>
                <w:vertAlign w:val="baseline"/>
              </w:rPr>
            </w:pPr>
            <w:r>
              <w:rPr>
                <w:rFonts w:hint="eastAsia"/>
                <w:sz w:val="21"/>
                <w:szCs w:val="21"/>
                <w:vertAlign w:val="baseline"/>
              </w:rPr>
              <w:t xml:space="preserve">   · 孔板配置： 盖板通常带有可拆卸的孔圈，以适应不同直径的容器。</w:t>
            </w:r>
          </w:p>
          <w:p w14:paraId="73B0A86A">
            <w:pPr>
              <w:widowControl w:val="0"/>
              <w:jc w:val="left"/>
              <w:rPr>
                <w:rFonts w:hint="default" w:eastAsiaTheme="minorEastAsia"/>
                <w:sz w:val="21"/>
                <w:szCs w:val="21"/>
                <w:highlight w:val="none"/>
                <w:vertAlign w:val="baseline"/>
                <w:lang w:val="en-US" w:eastAsia="zh-CN"/>
              </w:rPr>
            </w:pPr>
            <w:r>
              <w:rPr>
                <w:rFonts w:hint="eastAsia"/>
                <w:sz w:val="21"/>
                <w:szCs w:val="21"/>
                <w:vertAlign w:val="baseline"/>
              </w:rPr>
              <w:t xml:space="preserve">   · 排水阀： 方便换水和清洁。</w:t>
            </w:r>
          </w:p>
        </w:tc>
        <w:tc>
          <w:tcPr>
            <w:tcW w:w="1169" w:type="dxa"/>
            <w:vAlign w:val="center"/>
          </w:tcPr>
          <w:p w14:paraId="6B920F48">
            <w:pPr>
              <w:widowControl w:val="0"/>
              <w:jc w:val="left"/>
              <w:rPr>
                <w:sz w:val="24"/>
                <w:szCs w:val="24"/>
                <w:highlight w:val="none"/>
                <w:vertAlign w:val="baseline"/>
              </w:rPr>
            </w:pPr>
          </w:p>
        </w:tc>
      </w:tr>
    </w:tbl>
    <w:p w14:paraId="623246B8">
      <w:pPr>
        <w:rPr>
          <w:rFonts w:hint="eastAsia" w:eastAsia="宋体" w:cs="Arial"/>
          <w:sz w:val="44"/>
          <w:szCs w:val="44"/>
          <w:highlight w:val="none"/>
          <w:lang w:val="en-US" w:eastAsia="zh-CN"/>
        </w:rPr>
      </w:pPr>
      <w:r>
        <w:rPr>
          <w:rFonts w:hint="eastAsia" w:eastAsia="宋体" w:cs="Arial"/>
          <w:sz w:val="44"/>
          <w:szCs w:val="44"/>
          <w:highlight w:val="none"/>
          <w:lang w:val="en-US" w:eastAsia="zh-CN"/>
        </w:rPr>
        <w:br w:type="page"/>
      </w:r>
    </w:p>
    <w:p w14:paraId="1D005406">
      <w:pPr>
        <w:rPr>
          <w:rFonts w:hint="eastAsia" w:eastAsia="宋体" w:cs="Arial"/>
          <w:sz w:val="44"/>
          <w:szCs w:val="44"/>
          <w:highlight w:val="none"/>
          <w:lang w:val="en-US" w:eastAsia="zh-CN"/>
        </w:rPr>
      </w:pPr>
      <w:r>
        <w:rPr>
          <w:rFonts w:hint="eastAsia" w:eastAsia="宋体" w:cs="Arial"/>
          <w:sz w:val="44"/>
          <w:szCs w:val="44"/>
          <w:highlight w:val="none"/>
          <w:lang w:val="en-US" w:eastAsia="zh-CN"/>
        </w:rPr>
        <w:t>D包：</w:t>
      </w:r>
    </w:p>
    <w:p w14:paraId="01469361">
      <w:pPr>
        <w:rPr>
          <w:rFonts w:hint="eastAsia" w:eastAsia="宋体" w:cs="Arial"/>
          <w:sz w:val="44"/>
          <w:szCs w:val="44"/>
          <w:highlight w:val="none"/>
          <w:lang w:val="en-US" w:eastAsia="zh-CN"/>
        </w:rPr>
      </w:pPr>
    </w:p>
    <w:tbl>
      <w:tblPr>
        <w:tblStyle w:val="8"/>
        <w:tblW w:w="13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3106"/>
        <w:gridCol w:w="937"/>
        <w:gridCol w:w="6849"/>
        <w:gridCol w:w="1107"/>
      </w:tblGrid>
      <w:tr w14:paraId="2508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06BB496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106" w:type="dxa"/>
            <w:vAlign w:val="center"/>
          </w:tcPr>
          <w:p w14:paraId="4C75D772">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手术麻醉机</w:t>
            </w:r>
          </w:p>
        </w:tc>
        <w:tc>
          <w:tcPr>
            <w:tcW w:w="937" w:type="dxa"/>
            <w:vAlign w:val="center"/>
          </w:tcPr>
          <w:p w14:paraId="5C115DF1">
            <w:pPr>
              <w:widowControl w:val="0"/>
              <w:jc w:val="center"/>
              <w:rPr>
                <w:rFonts w:hint="eastAsia"/>
                <w:sz w:val="24"/>
                <w:szCs w:val="24"/>
                <w:highlight w:val="none"/>
                <w:vertAlign w:val="baseline"/>
                <w:lang w:eastAsia="zh-CN"/>
              </w:rPr>
            </w:pPr>
            <w:r>
              <w:rPr>
                <w:rFonts w:hint="eastAsia"/>
                <w:sz w:val="24"/>
                <w:szCs w:val="24"/>
                <w:highlight w:val="none"/>
                <w:vertAlign w:val="baseline"/>
                <w:lang w:eastAsia="zh-CN"/>
              </w:rPr>
              <w:t>１</w:t>
            </w:r>
          </w:p>
        </w:tc>
        <w:tc>
          <w:tcPr>
            <w:tcW w:w="6849" w:type="dxa"/>
            <w:vAlign w:val="center"/>
          </w:tcPr>
          <w:p w14:paraId="68920283">
            <w:pPr>
              <w:widowControl w:val="0"/>
              <w:jc w:val="left"/>
              <w:rPr>
                <w:rFonts w:hint="eastAsia"/>
                <w:b/>
                <w:bCs/>
                <w:sz w:val="21"/>
                <w:szCs w:val="21"/>
                <w:vertAlign w:val="baseline"/>
              </w:rPr>
            </w:pPr>
            <w:r>
              <w:rPr>
                <w:rFonts w:hint="eastAsia"/>
                <w:b/>
                <w:bCs/>
                <w:sz w:val="21"/>
                <w:szCs w:val="21"/>
                <w:vertAlign w:val="baseline"/>
              </w:rPr>
              <w:t>一、气源与供气系统</w:t>
            </w:r>
          </w:p>
          <w:p w14:paraId="099A7873">
            <w:pPr>
              <w:widowControl w:val="0"/>
              <w:jc w:val="left"/>
              <w:rPr>
                <w:rFonts w:hint="eastAsia"/>
                <w:sz w:val="21"/>
                <w:szCs w:val="21"/>
                <w:vertAlign w:val="baseline"/>
              </w:rPr>
            </w:pPr>
            <w:r>
              <w:rPr>
                <w:rFonts w:hint="eastAsia"/>
                <w:sz w:val="21"/>
                <w:szCs w:val="21"/>
                <w:vertAlign w:val="baseline"/>
              </w:rPr>
              <w:t>1. 气源接口：</w:t>
            </w:r>
          </w:p>
          <w:p w14:paraId="38457D0A">
            <w:pPr>
              <w:widowControl w:val="0"/>
              <w:jc w:val="left"/>
              <w:rPr>
                <w:rFonts w:hint="eastAsia"/>
                <w:sz w:val="21"/>
                <w:szCs w:val="21"/>
                <w:vertAlign w:val="baseline"/>
              </w:rPr>
            </w:pPr>
            <w:r>
              <w:rPr>
                <w:rFonts w:hint="eastAsia"/>
                <w:sz w:val="21"/>
                <w:szCs w:val="21"/>
                <w:vertAlign w:val="baseline"/>
              </w:rPr>
              <w:t xml:space="preserve">   · 气体种类：氧气（O₂）、空气（Air）、笑气（N₂O），包括氦氧混合气等。</w:t>
            </w:r>
          </w:p>
          <w:p w14:paraId="45B52DE8">
            <w:pPr>
              <w:widowControl w:val="0"/>
              <w:jc w:val="left"/>
              <w:rPr>
                <w:rFonts w:hint="eastAsia"/>
                <w:sz w:val="21"/>
                <w:szCs w:val="21"/>
                <w:vertAlign w:val="baseline"/>
              </w:rPr>
            </w:pPr>
            <w:r>
              <w:rPr>
                <w:rFonts w:hint="eastAsia"/>
                <w:sz w:val="21"/>
                <w:szCs w:val="21"/>
                <w:vertAlign w:val="baseline"/>
              </w:rPr>
              <w:t xml:space="preserve">   · 接口标准：直径索引安全系统（DISS）或国标接口，防止误接。</w:t>
            </w:r>
          </w:p>
          <w:p w14:paraId="28F64654">
            <w:pPr>
              <w:widowControl w:val="0"/>
              <w:jc w:val="left"/>
              <w:rPr>
                <w:rFonts w:hint="eastAsia"/>
                <w:sz w:val="21"/>
                <w:szCs w:val="21"/>
                <w:vertAlign w:val="baseline"/>
              </w:rPr>
            </w:pPr>
            <w:r>
              <w:rPr>
                <w:rFonts w:hint="eastAsia"/>
                <w:sz w:val="21"/>
                <w:szCs w:val="21"/>
                <w:vertAlign w:val="baseline"/>
              </w:rPr>
              <w:t xml:space="preserve">   · 工作压力输入范围：0.28 - 0.6 MPa。</w:t>
            </w:r>
          </w:p>
          <w:p w14:paraId="3CF44E9B">
            <w:pPr>
              <w:widowControl w:val="0"/>
              <w:jc w:val="left"/>
              <w:rPr>
                <w:rFonts w:hint="eastAsia"/>
                <w:sz w:val="21"/>
                <w:szCs w:val="21"/>
                <w:vertAlign w:val="baseline"/>
              </w:rPr>
            </w:pPr>
            <w:r>
              <w:rPr>
                <w:rFonts w:hint="eastAsia"/>
                <w:sz w:val="21"/>
                <w:szCs w:val="21"/>
                <w:vertAlign w:val="baseline"/>
              </w:rPr>
              <w:t>2. 中央供气与备用气源：</w:t>
            </w:r>
          </w:p>
          <w:p w14:paraId="2DC21515">
            <w:pPr>
              <w:widowControl w:val="0"/>
              <w:jc w:val="left"/>
              <w:rPr>
                <w:rFonts w:hint="eastAsia"/>
                <w:sz w:val="21"/>
                <w:szCs w:val="21"/>
                <w:vertAlign w:val="baseline"/>
              </w:rPr>
            </w:pPr>
            <w:r>
              <w:rPr>
                <w:rFonts w:hint="eastAsia"/>
                <w:sz w:val="21"/>
                <w:szCs w:val="21"/>
                <w:vertAlign w:val="baseline"/>
              </w:rPr>
              <w:t xml:space="preserve">   · 气瓶备用：配备O₂和N₂O高压气瓶（通常为2+1），带压力表和减压阀。</w:t>
            </w:r>
          </w:p>
          <w:p w14:paraId="3735E740">
            <w:pPr>
              <w:widowControl w:val="0"/>
              <w:jc w:val="left"/>
              <w:rPr>
                <w:rFonts w:hint="eastAsia"/>
                <w:sz w:val="21"/>
                <w:szCs w:val="21"/>
                <w:vertAlign w:val="baseline"/>
              </w:rPr>
            </w:pPr>
            <w:r>
              <w:rPr>
                <w:rFonts w:hint="eastAsia"/>
                <w:sz w:val="21"/>
                <w:szCs w:val="21"/>
                <w:vertAlign w:val="baseline"/>
              </w:rPr>
              <w:t xml:space="preserve">   · 自动切换：中央供气失效时，自动无缝切换至备用气瓶，并发出报警。</w:t>
            </w:r>
          </w:p>
          <w:p w14:paraId="5D168F45">
            <w:pPr>
              <w:widowControl w:val="0"/>
              <w:jc w:val="left"/>
              <w:rPr>
                <w:rFonts w:hint="eastAsia"/>
                <w:sz w:val="21"/>
                <w:szCs w:val="21"/>
                <w:vertAlign w:val="baseline"/>
              </w:rPr>
            </w:pPr>
            <w:r>
              <w:rPr>
                <w:rFonts w:hint="eastAsia"/>
                <w:sz w:val="21"/>
                <w:szCs w:val="21"/>
                <w:vertAlign w:val="baseline"/>
              </w:rPr>
              <w:t xml:space="preserve">   · 气体压力监测与报警：实时监测供气压力，低压时报警。</w:t>
            </w:r>
          </w:p>
          <w:p w14:paraId="28E8A891">
            <w:pPr>
              <w:widowControl w:val="0"/>
              <w:jc w:val="left"/>
              <w:rPr>
                <w:rFonts w:hint="eastAsia"/>
                <w:b/>
                <w:bCs/>
                <w:sz w:val="21"/>
                <w:szCs w:val="21"/>
                <w:vertAlign w:val="baseline"/>
              </w:rPr>
            </w:pPr>
            <w:r>
              <w:rPr>
                <w:rFonts w:hint="eastAsia"/>
                <w:b/>
                <w:bCs/>
                <w:sz w:val="21"/>
                <w:szCs w:val="21"/>
                <w:vertAlign w:val="baseline"/>
              </w:rPr>
              <w:t>二、气体混合与输送系统</w:t>
            </w:r>
          </w:p>
          <w:p w14:paraId="36C1CEC6">
            <w:pPr>
              <w:widowControl w:val="0"/>
              <w:jc w:val="left"/>
              <w:rPr>
                <w:rFonts w:hint="eastAsia"/>
                <w:sz w:val="21"/>
                <w:szCs w:val="21"/>
                <w:vertAlign w:val="baseline"/>
              </w:rPr>
            </w:pPr>
            <w:r>
              <w:rPr>
                <w:rFonts w:hint="eastAsia"/>
                <w:sz w:val="21"/>
                <w:szCs w:val="21"/>
                <w:vertAlign w:val="baseline"/>
              </w:rPr>
              <w:t>1. 气体混合方式：</w:t>
            </w:r>
          </w:p>
          <w:p w14:paraId="0CAF93F8">
            <w:pPr>
              <w:widowControl w:val="0"/>
              <w:jc w:val="left"/>
              <w:rPr>
                <w:rFonts w:hint="eastAsia"/>
                <w:sz w:val="21"/>
                <w:szCs w:val="21"/>
                <w:vertAlign w:val="baseline"/>
              </w:rPr>
            </w:pPr>
            <w:r>
              <w:rPr>
                <w:rFonts w:hint="eastAsia"/>
                <w:sz w:val="21"/>
                <w:szCs w:val="21"/>
                <w:vertAlign w:val="baseline"/>
              </w:rPr>
              <w:t xml:space="preserve">   · 电控电驱动：完全由电路和电机控制。</w:t>
            </w:r>
          </w:p>
          <w:p w14:paraId="256BB754">
            <w:pPr>
              <w:widowControl w:val="0"/>
              <w:jc w:val="left"/>
              <w:rPr>
                <w:rFonts w:hint="eastAsia"/>
                <w:sz w:val="21"/>
                <w:szCs w:val="21"/>
                <w:vertAlign w:val="baseline"/>
              </w:rPr>
            </w:pPr>
            <w:r>
              <w:rPr>
                <w:rFonts w:hint="eastAsia"/>
                <w:sz w:val="21"/>
                <w:szCs w:val="21"/>
                <w:vertAlign w:val="baseline"/>
              </w:rPr>
              <w:t>2. 流量计：</w:t>
            </w:r>
          </w:p>
          <w:p w14:paraId="5DDC1682">
            <w:pPr>
              <w:widowControl w:val="0"/>
              <w:jc w:val="left"/>
              <w:rPr>
                <w:rFonts w:hint="eastAsia"/>
                <w:sz w:val="21"/>
                <w:szCs w:val="21"/>
                <w:vertAlign w:val="baseline"/>
              </w:rPr>
            </w:pPr>
            <w:r>
              <w:rPr>
                <w:rFonts w:hint="eastAsia"/>
                <w:sz w:val="21"/>
                <w:szCs w:val="21"/>
                <w:vertAlign w:val="baseline"/>
              </w:rPr>
              <w:t xml:space="preserve">   · 范围：O₂: 0.1 - 15 L/min， N₂O/Air: 0.1 - 10 L/min，最小刻度精细。</w:t>
            </w:r>
          </w:p>
          <w:p w14:paraId="52559113">
            <w:pPr>
              <w:widowControl w:val="0"/>
              <w:jc w:val="left"/>
              <w:rPr>
                <w:rFonts w:hint="eastAsia"/>
                <w:sz w:val="21"/>
                <w:szCs w:val="21"/>
                <w:vertAlign w:val="baseline"/>
              </w:rPr>
            </w:pPr>
            <w:r>
              <w:rPr>
                <w:rFonts w:hint="eastAsia"/>
                <w:sz w:val="21"/>
                <w:szCs w:val="21"/>
                <w:vertAlign w:val="baseline"/>
              </w:rPr>
              <w:t xml:space="preserve">   · 安全设计：O₂流量计位于最右侧（惯例），或采用O₂比例优先/笑气闭锁装置。</w:t>
            </w:r>
          </w:p>
          <w:p w14:paraId="63F02C17">
            <w:pPr>
              <w:widowControl w:val="0"/>
              <w:jc w:val="left"/>
              <w:rPr>
                <w:rFonts w:hint="eastAsia"/>
                <w:sz w:val="21"/>
                <w:szCs w:val="21"/>
                <w:vertAlign w:val="baseline"/>
              </w:rPr>
            </w:pPr>
            <w:r>
              <w:rPr>
                <w:rFonts w:hint="eastAsia"/>
                <w:sz w:val="21"/>
                <w:szCs w:val="21"/>
                <w:vertAlign w:val="baseline"/>
              </w:rPr>
              <w:t>3. 快速供氧：独立于流量计的快速充氧阀，提供 35 - 75 L/min 的高流量纯氧。</w:t>
            </w:r>
          </w:p>
          <w:p w14:paraId="158E870B">
            <w:pPr>
              <w:widowControl w:val="0"/>
              <w:jc w:val="left"/>
              <w:rPr>
                <w:rFonts w:hint="eastAsia"/>
                <w:b/>
                <w:bCs/>
                <w:sz w:val="21"/>
                <w:szCs w:val="21"/>
                <w:vertAlign w:val="baseline"/>
              </w:rPr>
            </w:pPr>
            <w:r>
              <w:rPr>
                <w:rFonts w:hint="eastAsia"/>
                <w:b/>
                <w:bCs/>
                <w:sz w:val="21"/>
                <w:szCs w:val="21"/>
                <w:vertAlign w:val="baseline"/>
              </w:rPr>
              <w:t>三、麻醉蒸发器</w:t>
            </w:r>
          </w:p>
          <w:p w14:paraId="5F4335B6">
            <w:pPr>
              <w:widowControl w:val="0"/>
              <w:jc w:val="left"/>
              <w:rPr>
                <w:rFonts w:hint="eastAsia"/>
                <w:sz w:val="21"/>
                <w:szCs w:val="21"/>
                <w:vertAlign w:val="baseline"/>
              </w:rPr>
            </w:pPr>
            <w:r>
              <w:rPr>
                <w:rFonts w:hint="eastAsia"/>
                <w:sz w:val="21"/>
                <w:szCs w:val="21"/>
                <w:vertAlign w:val="baseline"/>
              </w:rPr>
              <w:t>1. 类型：</w:t>
            </w:r>
          </w:p>
          <w:p w14:paraId="665EA0FE">
            <w:pPr>
              <w:widowControl w:val="0"/>
              <w:jc w:val="left"/>
              <w:rPr>
                <w:rFonts w:hint="eastAsia"/>
                <w:sz w:val="21"/>
                <w:szCs w:val="21"/>
                <w:vertAlign w:val="baseline"/>
              </w:rPr>
            </w:pPr>
            <w:r>
              <w:rPr>
                <w:rFonts w:hint="eastAsia"/>
                <w:sz w:val="21"/>
                <w:szCs w:val="21"/>
                <w:vertAlign w:val="baseline"/>
              </w:rPr>
              <w:t xml:space="preserve">   · 专用蒸发器：特定于某种吸入麻醉药（如七氟烷、异氟烷、地氟烷）。</w:t>
            </w:r>
          </w:p>
          <w:p w14:paraId="497FA481">
            <w:pPr>
              <w:widowControl w:val="0"/>
              <w:jc w:val="left"/>
              <w:rPr>
                <w:rFonts w:hint="eastAsia"/>
                <w:sz w:val="21"/>
                <w:szCs w:val="21"/>
                <w:vertAlign w:val="baseline"/>
              </w:rPr>
            </w:pPr>
            <w:r>
              <w:rPr>
                <w:rFonts w:hint="eastAsia"/>
                <w:sz w:val="21"/>
                <w:szCs w:val="21"/>
                <w:vertAlign w:val="baseline"/>
              </w:rPr>
              <w:t xml:space="preserve">   · 浓度校准：在特定温度、压力和载气下进行校准。</w:t>
            </w:r>
          </w:p>
          <w:p w14:paraId="28C53F7B">
            <w:pPr>
              <w:widowControl w:val="0"/>
              <w:jc w:val="left"/>
              <w:rPr>
                <w:rFonts w:hint="eastAsia"/>
                <w:sz w:val="21"/>
                <w:szCs w:val="21"/>
                <w:vertAlign w:val="baseline"/>
              </w:rPr>
            </w:pPr>
            <w:r>
              <w:rPr>
                <w:rFonts w:hint="eastAsia"/>
                <w:sz w:val="21"/>
                <w:szCs w:val="21"/>
                <w:vertAlign w:val="baseline"/>
              </w:rPr>
              <w:t>2. 工作方式：</w:t>
            </w:r>
          </w:p>
          <w:p w14:paraId="16CD98B8">
            <w:pPr>
              <w:widowControl w:val="0"/>
              <w:jc w:val="left"/>
              <w:rPr>
                <w:rFonts w:hint="eastAsia"/>
                <w:sz w:val="21"/>
                <w:szCs w:val="21"/>
                <w:vertAlign w:val="baseline"/>
              </w:rPr>
            </w:pPr>
            <w:r>
              <w:rPr>
                <w:rFonts w:hint="eastAsia"/>
                <w:sz w:val="21"/>
                <w:szCs w:val="21"/>
                <w:vertAlign w:val="baseline"/>
              </w:rPr>
              <w:t xml:space="preserve">   · 电控蒸发器：可集成至麻醉工作站，实现靶控吸入。</w:t>
            </w:r>
          </w:p>
          <w:p w14:paraId="04C7BD09">
            <w:pPr>
              <w:widowControl w:val="0"/>
              <w:jc w:val="left"/>
              <w:rPr>
                <w:rFonts w:hint="eastAsia"/>
                <w:sz w:val="21"/>
                <w:szCs w:val="21"/>
                <w:vertAlign w:val="baseline"/>
              </w:rPr>
            </w:pPr>
            <w:r>
              <w:rPr>
                <w:rFonts w:hint="eastAsia"/>
                <w:sz w:val="21"/>
                <w:szCs w:val="21"/>
                <w:vertAlign w:val="baseline"/>
              </w:rPr>
              <w:t>3. 关键参数：</w:t>
            </w:r>
          </w:p>
          <w:p w14:paraId="3D99EE3D">
            <w:pPr>
              <w:widowControl w:val="0"/>
              <w:jc w:val="left"/>
              <w:rPr>
                <w:rFonts w:hint="eastAsia"/>
                <w:sz w:val="21"/>
                <w:szCs w:val="21"/>
                <w:vertAlign w:val="baseline"/>
              </w:rPr>
            </w:pPr>
            <w:r>
              <w:rPr>
                <w:rFonts w:hint="eastAsia"/>
                <w:sz w:val="21"/>
                <w:szCs w:val="21"/>
                <w:vertAlign w:val="baseline"/>
              </w:rPr>
              <w:t xml:space="preserve">   · 浓度输出范围：0 - 8%（七氟烷可达更高）。</w:t>
            </w:r>
          </w:p>
          <w:p w14:paraId="43CE93C3">
            <w:pPr>
              <w:widowControl w:val="0"/>
              <w:jc w:val="left"/>
              <w:rPr>
                <w:rFonts w:hint="eastAsia"/>
                <w:sz w:val="21"/>
                <w:szCs w:val="21"/>
                <w:vertAlign w:val="baseline"/>
              </w:rPr>
            </w:pPr>
            <w:r>
              <w:rPr>
                <w:rFonts w:hint="eastAsia"/>
                <w:sz w:val="21"/>
                <w:szCs w:val="21"/>
                <w:vertAlign w:val="baseline"/>
              </w:rPr>
              <w:t xml:space="preserve">   · 输出精度：为设定值的 ±（15-20%）以内。</w:t>
            </w:r>
          </w:p>
          <w:p w14:paraId="2D5614D8">
            <w:pPr>
              <w:widowControl w:val="0"/>
              <w:jc w:val="left"/>
              <w:rPr>
                <w:rFonts w:hint="eastAsia"/>
                <w:sz w:val="21"/>
                <w:szCs w:val="21"/>
                <w:vertAlign w:val="baseline"/>
              </w:rPr>
            </w:pPr>
            <w:r>
              <w:rPr>
                <w:rFonts w:hint="eastAsia"/>
                <w:sz w:val="21"/>
                <w:szCs w:val="21"/>
                <w:vertAlign w:val="baseline"/>
              </w:rPr>
              <w:t xml:space="preserve">   · 填充系统：防误填设计（药瓶专用适配器）。</w:t>
            </w:r>
          </w:p>
          <w:p w14:paraId="56BC5B8C">
            <w:pPr>
              <w:widowControl w:val="0"/>
              <w:jc w:val="left"/>
              <w:rPr>
                <w:rFonts w:hint="eastAsia"/>
                <w:sz w:val="21"/>
                <w:szCs w:val="21"/>
                <w:vertAlign w:val="baseline"/>
              </w:rPr>
            </w:pPr>
            <w:r>
              <w:rPr>
                <w:rFonts w:hint="eastAsia"/>
                <w:sz w:val="21"/>
                <w:szCs w:val="21"/>
                <w:vertAlign w:val="baseline"/>
              </w:rPr>
              <w:t xml:space="preserve">   · 位置与联锁：多蒸发器时，互锁装置防止同时开启。</w:t>
            </w:r>
          </w:p>
          <w:p w14:paraId="1E3FA7F8">
            <w:pPr>
              <w:widowControl w:val="0"/>
              <w:jc w:val="left"/>
              <w:rPr>
                <w:rFonts w:hint="eastAsia"/>
                <w:sz w:val="21"/>
                <w:szCs w:val="21"/>
                <w:vertAlign w:val="baseline"/>
              </w:rPr>
            </w:pPr>
            <w:r>
              <w:rPr>
                <w:rFonts w:hint="eastAsia"/>
                <w:sz w:val="21"/>
                <w:szCs w:val="21"/>
                <w:vertAlign w:val="baseline"/>
              </w:rPr>
              <w:t xml:space="preserve">   · 温度和流量补偿：确保输出浓度稳定。</w:t>
            </w:r>
          </w:p>
          <w:p w14:paraId="25798CC6">
            <w:pPr>
              <w:widowControl w:val="0"/>
              <w:jc w:val="left"/>
              <w:rPr>
                <w:rFonts w:hint="eastAsia"/>
                <w:b/>
                <w:bCs/>
                <w:sz w:val="21"/>
                <w:szCs w:val="21"/>
                <w:vertAlign w:val="baseline"/>
              </w:rPr>
            </w:pPr>
            <w:r>
              <w:rPr>
                <w:rFonts w:hint="eastAsia"/>
                <w:b/>
                <w:bCs/>
                <w:sz w:val="21"/>
                <w:szCs w:val="21"/>
                <w:vertAlign w:val="baseline"/>
              </w:rPr>
              <w:t>四、呼吸回路系统</w:t>
            </w:r>
          </w:p>
          <w:p w14:paraId="35EDC8D0">
            <w:pPr>
              <w:widowControl w:val="0"/>
              <w:jc w:val="left"/>
              <w:rPr>
                <w:rFonts w:hint="eastAsia"/>
                <w:sz w:val="21"/>
                <w:szCs w:val="21"/>
                <w:vertAlign w:val="baseline"/>
              </w:rPr>
            </w:pPr>
            <w:r>
              <w:rPr>
                <w:rFonts w:hint="eastAsia"/>
                <w:sz w:val="21"/>
                <w:szCs w:val="21"/>
                <w:vertAlign w:val="baseline"/>
              </w:rPr>
              <w:t>1. 回路类型：</w:t>
            </w:r>
          </w:p>
          <w:p w14:paraId="4999F0B3">
            <w:pPr>
              <w:widowControl w:val="0"/>
              <w:jc w:val="left"/>
              <w:rPr>
                <w:rFonts w:hint="eastAsia"/>
                <w:sz w:val="21"/>
                <w:szCs w:val="21"/>
                <w:vertAlign w:val="baseline"/>
              </w:rPr>
            </w:pPr>
            <w:r>
              <w:rPr>
                <w:rFonts w:hint="eastAsia"/>
                <w:sz w:val="21"/>
                <w:szCs w:val="21"/>
                <w:vertAlign w:val="baseline"/>
              </w:rPr>
              <w:t xml:space="preserve">   · 循环回路：含吸气/呼气单向阀、贮气囊、APL阀、CO₂吸收罐。</w:t>
            </w:r>
          </w:p>
          <w:p w14:paraId="3A42B160">
            <w:pPr>
              <w:widowControl w:val="0"/>
              <w:jc w:val="left"/>
              <w:rPr>
                <w:rFonts w:hint="eastAsia"/>
                <w:sz w:val="21"/>
                <w:szCs w:val="21"/>
                <w:vertAlign w:val="baseline"/>
              </w:rPr>
            </w:pPr>
            <w:r>
              <w:rPr>
                <w:rFonts w:hint="eastAsia"/>
                <w:sz w:val="21"/>
                <w:szCs w:val="21"/>
                <w:vertAlign w:val="baseline"/>
              </w:rPr>
              <w:t xml:space="preserve">   · 回路材质：防静电、抗腐蚀、一次性或可消毒。</w:t>
            </w:r>
          </w:p>
          <w:p w14:paraId="7A81C620">
            <w:pPr>
              <w:widowControl w:val="0"/>
              <w:jc w:val="left"/>
              <w:rPr>
                <w:rFonts w:hint="eastAsia"/>
                <w:sz w:val="21"/>
                <w:szCs w:val="21"/>
                <w:vertAlign w:val="baseline"/>
              </w:rPr>
            </w:pPr>
            <w:r>
              <w:rPr>
                <w:rFonts w:hint="eastAsia"/>
                <w:sz w:val="21"/>
                <w:szCs w:val="21"/>
                <w:vertAlign w:val="baseline"/>
              </w:rPr>
              <w:t>2. CO₂吸收装置：</w:t>
            </w:r>
          </w:p>
          <w:p w14:paraId="3BCD96A7">
            <w:pPr>
              <w:widowControl w:val="0"/>
              <w:jc w:val="left"/>
              <w:rPr>
                <w:rFonts w:hint="eastAsia"/>
                <w:sz w:val="21"/>
                <w:szCs w:val="21"/>
                <w:vertAlign w:val="baseline"/>
              </w:rPr>
            </w:pPr>
            <w:r>
              <w:rPr>
                <w:rFonts w:hint="eastAsia"/>
                <w:sz w:val="21"/>
                <w:szCs w:val="21"/>
                <w:vertAlign w:val="baseline"/>
              </w:rPr>
              <w:t xml:space="preserve">   · 吸收罐容量：1-2升，透明可见。</w:t>
            </w:r>
          </w:p>
          <w:p w14:paraId="72E1C162">
            <w:pPr>
              <w:widowControl w:val="0"/>
              <w:jc w:val="left"/>
              <w:rPr>
                <w:rFonts w:hint="eastAsia"/>
                <w:sz w:val="21"/>
                <w:szCs w:val="21"/>
                <w:vertAlign w:val="baseline"/>
              </w:rPr>
            </w:pPr>
            <w:r>
              <w:rPr>
                <w:rFonts w:hint="eastAsia"/>
                <w:sz w:val="21"/>
                <w:szCs w:val="21"/>
                <w:vertAlign w:val="baseline"/>
              </w:rPr>
              <w:t xml:space="preserve">   · 吸收剂：钠石灰或钙石灰，指示剂颜色变化。</w:t>
            </w:r>
          </w:p>
          <w:p w14:paraId="037D2CA9">
            <w:pPr>
              <w:widowControl w:val="0"/>
              <w:jc w:val="left"/>
              <w:rPr>
                <w:rFonts w:hint="eastAsia"/>
                <w:sz w:val="21"/>
                <w:szCs w:val="21"/>
                <w:vertAlign w:val="baseline"/>
              </w:rPr>
            </w:pPr>
            <w:r>
              <w:rPr>
                <w:rFonts w:hint="eastAsia"/>
                <w:sz w:val="21"/>
                <w:szCs w:val="21"/>
                <w:vertAlign w:val="baseline"/>
              </w:rPr>
              <w:t>3. APL阀：可调节压力限制阀，用于手动通气时控制回路压力。</w:t>
            </w:r>
          </w:p>
          <w:p w14:paraId="486927C0">
            <w:pPr>
              <w:widowControl w:val="0"/>
              <w:jc w:val="left"/>
              <w:rPr>
                <w:rFonts w:hint="eastAsia"/>
                <w:b/>
                <w:bCs/>
                <w:sz w:val="21"/>
                <w:szCs w:val="21"/>
                <w:vertAlign w:val="baseline"/>
              </w:rPr>
            </w:pPr>
            <w:r>
              <w:rPr>
                <w:rFonts w:hint="eastAsia"/>
                <w:b/>
                <w:bCs/>
                <w:sz w:val="21"/>
                <w:szCs w:val="21"/>
                <w:vertAlign w:val="baseline"/>
              </w:rPr>
              <w:t>五、麻醉呼吸机</w:t>
            </w:r>
          </w:p>
          <w:p w14:paraId="1B2E7267">
            <w:pPr>
              <w:widowControl w:val="0"/>
              <w:jc w:val="left"/>
              <w:rPr>
                <w:rFonts w:hint="eastAsia"/>
                <w:sz w:val="21"/>
                <w:szCs w:val="21"/>
                <w:vertAlign w:val="baseline"/>
              </w:rPr>
            </w:pPr>
            <w:r>
              <w:rPr>
                <w:rFonts w:hint="eastAsia"/>
                <w:sz w:val="21"/>
                <w:szCs w:val="21"/>
                <w:vertAlign w:val="baseline"/>
              </w:rPr>
              <w:t>1. 驱动方式：</w:t>
            </w:r>
          </w:p>
          <w:p w14:paraId="02FFF2DC">
            <w:pPr>
              <w:widowControl w:val="0"/>
              <w:jc w:val="left"/>
              <w:rPr>
                <w:rFonts w:hint="eastAsia"/>
                <w:sz w:val="21"/>
                <w:szCs w:val="21"/>
                <w:vertAlign w:val="baseline"/>
              </w:rPr>
            </w:pPr>
            <w:r>
              <w:rPr>
                <w:rFonts w:hint="eastAsia"/>
                <w:sz w:val="21"/>
                <w:szCs w:val="21"/>
                <w:vertAlign w:val="baseline"/>
              </w:rPr>
              <w:t xml:space="preserve">   · 电动电控：电机直接驱动活塞或风箱，无需驱动气体。</w:t>
            </w:r>
          </w:p>
          <w:p w14:paraId="1FF6772A">
            <w:pPr>
              <w:widowControl w:val="0"/>
              <w:jc w:val="left"/>
              <w:rPr>
                <w:rFonts w:hint="eastAsia"/>
                <w:sz w:val="21"/>
                <w:szCs w:val="21"/>
                <w:vertAlign w:val="baseline"/>
              </w:rPr>
            </w:pPr>
            <w:r>
              <w:rPr>
                <w:rFonts w:hint="eastAsia"/>
                <w:sz w:val="21"/>
                <w:szCs w:val="21"/>
                <w:vertAlign w:val="baseline"/>
              </w:rPr>
              <w:t>2. 风箱类型：</w:t>
            </w:r>
          </w:p>
          <w:p w14:paraId="7B42DB2C">
            <w:pPr>
              <w:widowControl w:val="0"/>
              <w:jc w:val="left"/>
              <w:rPr>
                <w:rFonts w:hint="eastAsia"/>
                <w:sz w:val="21"/>
                <w:szCs w:val="21"/>
                <w:vertAlign w:val="baseline"/>
              </w:rPr>
            </w:pPr>
            <w:r>
              <w:rPr>
                <w:rFonts w:hint="eastAsia"/>
                <w:sz w:val="21"/>
                <w:szCs w:val="21"/>
                <w:vertAlign w:val="baseline"/>
              </w:rPr>
              <w:t xml:space="preserve">   · 上升式风箱（直立式）：呼气期上升，便于观察患者通气状态和回路泄漏。</w:t>
            </w:r>
          </w:p>
          <w:p w14:paraId="38811CD0">
            <w:pPr>
              <w:widowControl w:val="0"/>
              <w:jc w:val="left"/>
              <w:rPr>
                <w:rFonts w:hint="eastAsia"/>
                <w:sz w:val="21"/>
                <w:szCs w:val="21"/>
                <w:vertAlign w:val="baseline"/>
              </w:rPr>
            </w:pPr>
            <w:r>
              <w:rPr>
                <w:rFonts w:hint="eastAsia"/>
                <w:sz w:val="21"/>
                <w:szCs w:val="21"/>
                <w:vertAlign w:val="baseline"/>
              </w:rPr>
              <w:t>3. 通气模式：</w:t>
            </w:r>
          </w:p>
          <w:p w14:paraId="58C7A2B7">
            <w:pPr>
              <w:widowControl w:val="0"/>
              <w:jc w:val="left"/>
              <w:rPr>
                <w:rFonts w:hint="eastAsia"/>
                <w:sz w:val="21"/>
                <w:szCs w:val="21"/>
                <w:vertAlign w:val="baseline"/>
              </w:rPr>
            </w:pPr>
            <w:r>
              <w:rPr>
                <w:rFonts w:hint="eastAsia"/>
                <w:sz w:val="21"/>
                <w:szCs w:val="21"/>
                <w:vertAlign w:val="baseline"/>
              </w:rPr>
              <w:t xml:space="preserve">   · 容量控制通气：设定潮气量（VT）和频率（RR）。</w:t>
            </w:r>
          </w:p>
          <w:p w14:paraId="1A306A10">
            <w:pPr>
              <w:widowControl w:val="0"/>
              <w:jc w:val="left"/>
              <w:rPr>
                <w:rFonts w:hint="eastAsia"/>
                <w:sz w:val="21"/>
                <w:szCs w:val="21"/>
                <w:vertAlign w:val="baseline"/>
              </w:rPr>
            </w:pPr>
            <w:r>
              <w:rPr>
                <w:rFonts w:hint="eastAsia"/>
                <w:sz w:val="21"/>
                <w:szCs w:val="21"/>
                <w:vertAlign w:val="baseline"/>
              </w:rPr>
              <w:t xml:space="preserve">   · 压力控制通气：设定吸气压力（PC）和频率。</w:t>
            </w:r>
          </w:p>
          <w:p w14:paraId="326B88A7">
            <w:pPr>
              <w:widowControl w:val="0"/>
              <w:jc w:val="left"/>
              <w:rPr>
                <w:rFonts w:hint="eastAsia"/>
                <w:sz w:val="21"/>
                <w:szCs w:val="21"/>
                <w:vertAlign w:val="baseline"/>
              </w:rPr>
            </w:pPr>
            <w:r>
              <w:rPr>
                <w:rFonts w:hint="eastAsia"/>
                <w:sz w:val="21"/>
                <w:szCs w:val="21"/>
                <w:vertAlign w:val="baseline"/>
              </w:rPr>
              <w:t xml:space="preserve">   · 同步间歇指令通气：在自主呼吸基础上提供指令通气。</w:t>
            </w:r>
          </w:p>
          <w:p w14:paraId="3C16F397">
            <w:pPr>
              <w:widowControl w:val="0"/>
              <w:jc w:val="left"/>
              <w:rPr>
                <w:rFonts w:hint="eastAsia"/>
                <w:sz w:val="21"/>
                <w:szCs w:val="21"/>
                <w:vertAlign w:val="baseline"/>
              </w:rPr>
            </w:pPr>
            <w:r>
              <w:rPr>
                <w:rFonts w:hint="eastAsia"/>
                <w:sz w:val="21"/>
                <w:szCs w:val="21"/>
                <w:vertAlign w:val="baseline"/>
              </w:rPr>
              <w:t xml:space="preserve">   · 压力支持通气：辅助自主呼吸。</w:t>
            </w:r>
          </w:p>
          <w:p w14:paraId="6EC76094">
            <w:pPr>
              <w:widowControl w:val="0"/>
              <w:jc w:val="left"/>
              <w:rPr>
                <w:rFonts w:hint="eastAsia"/>
                <w:sz w:val="21"/>
                <w:szCs w:val="21"/>
                <w:vertAlign w:val="baseline"/>
              </w:rPr>
            </w:pPr>
            <w:r>
              <w:rPr>
                <w:rFonts w:hint="eastAsia"/>
                <w:sz w:val="21"/>
                <w:szCs w:val="21"/>
                <w:vertAlign w:val="baseline"/>
              </w:rPr>
              <w:t xml:space="preserve">   · 手动/自主通气：模式。</w:t>
            </w:r>
          </w:p>
          <w:p w14:paraId="1C77DA58">
            <w:pPr>
              <w:widowControl w:val="0"/>
              <w:jc w:val="left"/>
              <w:rPr>
                <w:rFonts w:hint="eastAsia"/>
                <w:sz w:val="21"/>
                <w:szCs w:val="21"/>
                <w:vertAlign w:val="baseline"/>
              </w:rPr>
            </w:pPr>
            <w:r>
              <w:rPr>
                <w:rFonts w:hint="eastAsia"/>
                <w:sz w:val="21"/>
                <w:szCs w:val="21"/>
                <w:vertAlign w:val="baseline"/>
              </w:rPr>
              <w:t>4. 通气参数范围：</w:t>
            </w:r>
          </w:p>
          <w:p w14:paraId="5CA01E74">
            <w:pPr>
              <w:widowControl w:val="0"/>
              <w:jc w:val="left"/>
              <w:rPr>
                <w:rFonts w:hint="eastAsia"/>
                <w:sz w:val="21"/>
                <w:szCs w:val="21"/>
                <w:vertAlign w:val="baseline"/>
              </w:rPr>
            </w:pPr>
            <w:r>
              <w:rPr>
                <w:rFonts w:hint="eastAsia"/>
                <w:sz w:val="21"/>
                <w:szCs w:val="21"/>
                <w:vertAlign w:val="baseline"/>
              </w:rPr>
              <w:t xml:space="preserve">   · 潮气量：小儿 20 - 1500 mL，成人 50 - 1400 mL。</w:t>
            </w:r>
          </w:p>
          <w:p w14:paraId="51A91745">
            <w:pPr>
              <w:widowControl w:val="0"/>
              <w:jc w:val="left"/>
              <w:rPr>
                <w:rFonts w:hint="eastAsia"/>
                <w:sz w:val="21"/>
                <w:szCs w:val="21"/>
                <w:vertAlign w:val="baseline"/>
              </w:rPr>
            </w:pPr>
            <w:r>
              <w:rPr>
                <w:rFonts w:hint="eastAsia"/>
                <w:sz w:val="21"/>
                <w:szCs w:val="21"/>
                <w:vertAlign w:val="baseline"/>
              </w:rPr>
              <w:t xml:space="preserve">   · 呼吸频率：4 - 80 bpm。</w:t>
            </w:r>
          </w:p>
          <w:p w14:paraId="69D05DA9">
            <w:pPr>
              <w:widowControl w:val="0"/>
              <w:jc w:val="left"/>
              <w:rPr>
                <w:rFonts w:hint="eastAsia"/>
                <w:sz w:val="21"/>
                <w:szCs w:val="21"/>
                <w:vertAlign w:val="baseline"/>
              </w:rPr>
            </w:pPr>
            <w:r>
              <w:rPr>
                <w:rFonts w:hint="eastAsia"/>
                <w:sz w:val="21"/>
                <w:szCs w:val="21"/>
                <w:vertAlign w:val="baseline"/>
              </w:rPr>
              <w:t xml:space="preserve">   · 吸呼比：1:4 至 4:1。</w:t>
            </w:r>
          </w:p>
          <w:p w14:paraId="02A80528">
            <w:pPr>
              <w:widowControl w:val="0"/>
              <w:jc w:val="left"/>
              <w:rPr>
                <w:rFonts w:hint="eastAsia"/>
                <w:sz w:val="21"/>
                <w:szCs w:val="21"/>
                <w:vertAlign w:val="baseline"/>
              </w:rPr>
            </w:pPr>
            <w:r>
              <w:rPr>
                <w:rFonts w:hint="eastAsia"/>
                <w:sz w:val="21"/>
                <w:szCs w:val="21"/>
                <w:vertAlign w:val="baseline"/>
              </w:rPr>
              <w:t xml:space="preserve">   · 气道压力限制：可调，最高压力报警限 60 - 80 cmH₂O。</w:t>
            </w:r>
          </w:p>
          <w:p w14:paraId="5CF5F243">
            <w:pPr>
              <w:widowControl w:val="0"/>
              <w:jc w:val="left"/>
              <w:rPr>
                <w:rFonts w:hint="eastAsia"/>
                <w:sz w:val="21"/>
                <w:szCs w:val="21"/>
                <w:vertAlign w:val="baseline"/>
              </w:rPr>
            </w:pPr>
            <w:r>
              <w:rPr>
                <w:rFonts w:hint="eastAsia"/>
                <w:sz w:val="21"/>
                <w:szCs w:val="21"/>
                <w:vertAlign w:val="baseline"/>
              </w:rPr>
              <w:t xml:space="preserve">   · 呼气末正压：0 - 20 cmH₂O。</w:t>
            </w:r>
          </w:p>
          <w:p w14:paraId="5D139BAF">
            <w:pPr>
              <w:widowControl w:val="0"/>
              <w:jc w:val="left"/>
              <w:rPr>
                <w:rFonts w:hint="eastAsia"/>
                <w:b/>
                <w:bCs/>
                <w:sz w:val="21"/>
                <w:szCs w:val="21"/>
                <w:vertAlign w:val="baseline"/>
              </w:rPr>
            </w:pPr>
            <w:r>
              <w:rPr>
                <w:rFonts w:hint="eastAsia"/>
                <w:b/>
                <w:bCs/>
                <w:sz w:val="21"/>
                <w:szCs w:val="21"/>
                <w:vertAlign w:val="baseline"/>
              </w:rPr>
              <w:t>六、监测与报警系统</w:t>
            </w:r>
          </w:p>
          <w:p w14:paraId="134C845C">
            <w:pPr>
              <w:widowControl w:val="0"/>
              <w:jc w:val="left"/>
              <w:rPr>
                <w:rFonts w:hint="eastAsia"/>
                <w:sz w:val="21"/>
                <w:szCs w:val="21"/>
                <w:vertAlign w:val="baseline"/>
              </w:rPr>
            </w:pPr>
            <w:r>
              <w:rPr>
                <w:rFonts w:hint="eastAsia"/>
                <w:sz w:val="21"/>
                <w:szCs w:val="21"/>
                <w:vertAlign w:val="baseline"/>
              </w:rPr>
              <w:t>1. 基本监测参数：</w:t>
            </w:r>
          </w:p>
          <w:p w14:paraId="5E502DC4">
            <w:pPr>
              <w:widowControl w:val="0"/>
              <w:jc w:val="left"/>
              <w:rPr>
                <w:rFonts w:hint="eastAsia"/>
                <w:sz w:val="21"/>
                <w:szCs w:val="21"/>
                <w:vertAlign w:val="baseline"/>
              </w:rPr>
            </w:pPr>
            <w:r>
              <w:rPr>
                <w:rFonts w:hint="eastAsia"/>
                <w:sz w:val="21"/>
                <w:szCs w:val="21"/>
                <w:vertAlign w:val="baseline"/>
              </w:rPr>
              <w:t xml:space="preserve">   · 气道压力：峰值压、平台压、平均压、呼气末压。</w:t>
            </w:r>
          </w:p>
          <w:p w14:paraId="6E930C98">
            <w:pPr>
              <w:widowControl w:val="0"/>
              <w:jc w:val="left"/>
              <w:rPr>
                <w:rFonts w:hint="eastAsia"/>
                <w:sz w:val="21"/>
                <w:szCs w:val="21"/>
                <w:vertAlign w:val="baseline"/>
              </w:rPr>
            </w:pPr>
            <w:r>
              <w:rPr>
                <w:rFonts w:hint="eastAsia"/>
                <w:sz w:val="21"/>
                <w:szCs w:val="21"/>
                <w:vertAlign w:val="baseline"/>
              </w:rPr>
              <w:t xml:space="preserve">   · 潮气量：吸入潮气量、呼出潮气量。</w:t>
            </w:r>
          </w:p>
          <w:p w14:paraId="1E5C46E6">
            <w:pPr>
              <w:widowControl w:val="0"/>
              <w:jc w:val="left"/>
              <w:rPr>
                <w:rFonts w:hint="eastAsia"/>
                <w:sz w:val="21"/>
                <w:szCs w:val="21"/>
                <w:vertAlign w:val="baseline"/>
              </w:rPr>
            </w:pPr>
            <w:r>
              <w:rPr>
                <w:rFonts w:hint="eastAsia"/>
                <w:sz w:val="21"/>
                <w:szCs w:val="21"/>
                <w:vertAlign w:val="baseline"/>
              </w:rPr>
              <w:t xml:space="preserve">   · 呼吸频率。</w:t>
            </w:r>
          </w:p>
          <w:p w14:paraId="3F2FA65C">
            <w:pPr>
              <w:widowControl w:val="0"/>
              <w:jc w:val="left"/>
              <w:rPr>
                <w:rFonts w:hint="eastAsia"/>
                <w:sz w:val="21"/>
                <w:szCs w:val="21"/>
                <w:vertAlign w:val="baseline"/>
              </w:rPr>
            </w:pPr>
            <w:r>
              <w:rPr>
                <w:rFonts w:hint="eastAsia"/>
                <w:sz w:val="21"/>
                <w:szCs w:val="21"/>
                <w:vertAlign w:val="baseline"/>
              </w:rPr>
              <w:t xml:space="preserve">   · 分钟通气量。</w:t>
            </w:r>
          </w:p>
          <w:p w14:paraId="5E5730FB">
            <w:pPr>
              <w:widowControl w:val="0"/>
              <w:jc w:val="left"/>
              <w:rPr>
                <w:rFonts w:hint="eastAsia"/>
                <w:sz w:val="21"/>
                <w:szCs w:val="21"/>
                <w:vertAlign w:val="baseline"/>
              </w:rPr>
            </w:pPr>
            <w:r>
              <w:rPr>
                <w:rFonts w:hint="eastAsia"/>
                <w:sz w:val="21"/>
                <w:szCs w:val="21"/>
                <w:vertAlign w:val="baseline"/>
              </w:rPr>
              <w:t xml:space="preserve">   · 氧浓度：吸入氧浓度（FiO₂）和呼出氧浓度。</w:t>
            </w:r>
          </w:p>
          <w:p w14:paraId="4E6D905C">
            <w:pPr>
              <w:widowControl w:val="0"/>
              <w:jc w:val="left"/>
              <w:rPr>
                <w:rFonts w:hint="eastAsia"/>
                <w:sz w:val="21"/>
                <w:szCs w:val="21"/>
                <w:vertAlign w:val="baseline"/>
              </w:rPr>
            </w:pPr>
            <w:r>
              <w:rPr>
                <w:rFonts w:hint="eastAsia"/>
                <w:sz w:val="21"/>
                <w:szCs w:val="21"/>
                <w:vertAlign w:val="baseline"/>
              </w:rPr>
              <w:t xml:space="preserve">   · 呼气末二氧化碳：波形及数值（PETCO₂）。</w:t>
            </w:r>
          </w:p>
          <w:p w14:paraId="033AC7DA">
            <w:pPr>
              <w:widowControl w:val="0"/>
              <w:jc w:val="left"/>
              <w:rPr>
                <w:rFonts w:hint="eastAsia"/>
                <w:sz w:val="21"/>
                <w:szCs w:val="21"/>
                <w:vertAlign w:val="baseline"/>
              </w:rPr>
            </w:pPr>
            <w:r>
              <w:rPr>
                <w:rFonts w:hint="eastAsia"/>
                <w:sz w:val="21"/>
                <w:szCs w:val="21"/>
                <w:vertAlign w:val="baseline"/>
              </w:rPr>
              <w:t xml:space="preserve">   · 麻醉气体浓度：呼气末和吸入端麻醉药浓度、笑气浓度。</w:t>
            </w:r>
          </w:p>
          <w:p w14:paraId="7F10BA31">
            <w:pPr>
              <w:widowControl w:val="0"/>
              <w:jc w:val="left"/>
              <w:rPr>
                <w:rFonts w:hint="eastAsia"/>
                <w:sz w:val="21"/>
                <w:szCs w:val="21"/>
                <w:vertAlign w:val="baseline"/>
              </w:rPr>
            </w:pPr>
            <w:r>
              <w:rPr>
                <w:rFonts w:hint="eastAsia"/>
                <w:sz w:val="21"/>
                <w:szCs w:val="21"/>
                <w:vertAlign w:val="baseline"/>
              </w:rPr>
              <w:t xml:space="preserve">   · 回路顺应性与阻力补偿：提高潮气量输送精度。</w:t>
            </w:r>
          </w:p>
          <w:p w14:paraId="1FC781C2">
            <w:pPr>
              <w:widowControl w:val="0"/>
              <w:jc w:val="left"/>
              <w:rPr>
                <w:rFonts w:hint="eastAsia"/>
                <w:sz w:val="21"/>
                <w:szCs w:val="21"/>
                <w:vertAlign w:val="baseline"/>
              </w:rPr>
            </w:pPr>
            <w:r>
              <w:rPr>
                <w:rFonts w:hint="eastAsia"/>
                <w:sz w:val="21"/>
                <w:szCs w:val="21"/>
                <w:vertAlign w:val="baseline"/>
              </w:rPr>
              <w:t>2. 集成监测扩展（可连接模块）：</w:t>
            </w:r>
          </w:p>
          <w:p w14:paraId="2E2DDEF0">
            <w:pPr>
              <w:widowControl w:val="0"/>
              <w:jc w:val="left"/>
              <w:rPr>
                <w:rFonts w:hint="eastAsia"/>
                <w:sz w:val="21"/>
                <w:szCs w:val="21"/>
                <w:vertAlign w:val="baseline"/>
              </w:rPr>
            </w:pPr>
            <w:r>
              <w:rPr>
                <w:rFonts w:hint="eastAsia"/>
                <w:sz w:val="21"/>
                <w:szCs w:val="21"/>
                <w:vertAlign w:val="baseline"/>
              </w:rPr>
              <w:t xml:space="preserve">   · 生命体征：心电图（ECG）、无创血压（NIBP）、血氧饱和度（SpO₂）、体温。</w:t>
            </w:r>
          </w:p>
          <w:p w14:paraId="3FA5E439">
            <w:pPr>
              <w:widowControl w:val="0"/>
              <w:jc w:val="left"/>
              <w:rPr>
                <w:rFonts w:hint="eastAsia"/>
                <w:sz w:val="21"/>
                <w:szCs w:val="21"/>
                <w:vertAlign w:val="baseline"/>
              </w:rPr>
            </w:pPr>
            <w:r>
              <w:rPr>
                <w:rFonts w:hint="eastAsia"/>
                <w:sz w:val="21"/>
                <w:szCs w:val="21"/>
                <w:vertAlign w:val="baseline"/>
              </w:rPr>
              <w:t xml:space="preserve">   · 高级监测：有创血压（IBP）、心输出量（CO）、脑电双频指数（BIS）等。</w:t>
            </w:r>
          </w:p>
          <w:p w14:paraId="33164A17">
            <w:pPr>
              <w:widowControl w:val="0"/>
              <w:jc w:val="left"/>
              <w:rPr>
                <w:rFonts w:hint="eastAsia"/>
                <w:sz w:val="21"/>
                <w:szCs w:val="21"/>
                <w:vertAlign w:val="baseline"/>
              </w:rPr>
            </w:pPr>
            <w:r>
              <w:rPr>
                <w:rFonts w:hint="eastAsia"/>
                <w:sz w:val="21"/>
                <w:szCs w:val="21"/>
                <w:vertAlign w:val="baseline"/>
              </w:rPr>
              <w:t>3. 报警系统：</w:t>
            </w:r>
          </w:p>
          <w:p w14:paraId="78E24323">
            <w:pPr>
              <w:widowControl w:val="0"/>
              <w:jc w:val="left"/>
              <w:rPr>
                <w:rFonts w:hint="eastAsia"/>
                <w:sz w:val="21"/>
                <w:szCs w:val="21"/>
                <w:vertAlign w:val="baseline"/>
              </w:rPr>
            </w:pPr>
            <w:r>
              <w:rPr>
                <w:rFonts w:hint="eastAsia"/>
                <w:sz w:val="21"/>
                <w:szCs w:val="21"/>
                <w:vertAlign w:val="baseline"/>
              </w:rPr>
              <w:t xml:space="preserve">   · 分级报警：高、中、低优先级，声光报警不同。</w:t>
            </w:r>
          </w:p>
          <w:p w14:paraId="46310E37">
            <w:pPr>
              <w:widowControl w:val="0"/>
              <w:jc w:val="left"/>
              <w:rPr>
                <w:rFonts w:hint="eastAsia"/>
                <w:sz w:val="21"/>
                <w:szCs w:val="21"/>
                <w:vertAlign w:val="baseline"/>
              </w:rPr>
            </w:pPr>
            <w:r>
              <w:rPr>
                <w:rFonts w:hint="eastAsia"/>
                <w:sz w:val="21"/>
                <w:szCs w:val="21"/>
                <w:vertAlign w:val="baseline"/>
              </w:rPr>
              <w:t xml:space="preserve">   · 自检功能：开机自检，包括回路泄漏测试、氧浓度传感器校准、流量传感器校准等。</w:t>
            </w:r>
          </w:p>
          <w:p w14:paraId="04E36CB3">
            <w:pPr>
              <w:widowControl w:val="0"/>
              <w:jc w:val="left"/>
              <w:rPr>
                <w:rFonts w:hint="eastAsia"/>
                <w:sz w:val="21"/>
                <w:szCs w:val="21"/>
                <w:vertAlign w:val="baseline"/>
              </w:rPr>
            </w:pPr>
            <w:r>
              <w:rPr>
                <w:rFonts w:hint="eastAsia"/>
                <w:sz w:val="21"/>
                <w:szCs w:val="21"/>
                <w:vertAlign w:val="baseline"/>
              </w:rPr>
              <w:t xml:space="preserve">   · 数据记录与趋势：存储和回顾数小时至数天的趋势数据。</w:t>
            </w:r>
          </w:p>
          <w:p w14:paraId="715B1668">
            <w:pPr>
              <w:widowControl w:val="0"/>
              <w:jc w:val="left"/>
              <w:rPr>
                <w:rFonts w:hint="eastAsia"/>
                <w:b/>
                <w:bCs/>
                <w:sz w:val="21"/>
                <w:szCs w:val="21"/>
                <w:vertAlign w:val="baseline"/>
              </w:rPr>
            </w:pPr>
            <w:r>
              <w:rPr>
                <w:rFonts w:hint="eastAsia"/>
                <w:b/>
                <w:bCs/>
                <w:sz w:val="21"/>
                <w:szCs w:val="21"/>
                <w:vertAlign w:val="baseline"/>
              </w:rPr>
              <w:t>七、安全系统</w:t>
            </w:r>
          </w:p>
          <w:p w14:paraId="46A9B055">
            <w:pPr>
              <w:widowControl w:val="0"/>
              <w:jc w:val="left"/>
              <w:rPr>
                <w:rFonts w:hint="eastAsia"/>
                <w:sz w:val="21"/>
                <w:szCs w:val="21"/>
                <w:vertAlign w:val="baseline"/>
              </w:rPr>
            </w:pPr>
            <w:r>
              <w:rPr>
                <w:rFonts w:hint="eastAsia"/>
                <w:sz w:val="21"/>
                <w:szCs w:val="21"/>
                <w:vertAlign w:val="baseline"/>
              </w:rPr>
              <w:t>1. 氧浓度监测与保护：</w:t>
            </w:r>
          </w:p>
          <w:p w14:paraId="0745DFA0">
            <w:pPr>
              <w:widowControl w:val="0"/>
              <w:jc w:val="left"/>
              <w:rPr>
                <w:rFonts w:hint="eastAsia"/>
                <w:sz w:val="21"/>
                <w:szCs w:val="21"/>
                <w:vertAlign w:val="baseline"/>
              </w:rPr>
            </w:pPr>
            <w:r>
              <w:rPr>
                <w:rFonts w:hint="eastAsia"/>
                <w:sz w:val="21"/>
                <w:szCs w:val="21"/>
                <w:vertAlign w:val="baseline"/>
              </w:rPr>
              <w:t xml:space="preserve">   · 最低氧浓度报警：可设置（默认25%），低氧浓度时自动切断笑气或输送纯氧。</w:t>
            </w:r>
          </w:p>
          <w:p w14:paraId="1D94D382">
            <w:pPr>
              <w:widowControl w:val="0"/>
              <w:jc w:val="left"/>
              <w:rPr>
                <w:rFonts w:hint="eastAsia"/>
                <w:sz w:val="21"/>
                <w:szCs w:val="21"/>
                <w:vertAlign w:val="baseline"/>
              </w:rPr>
            </w:pPr>
            <w:r>
              <w:rPr>
                <w:rFonts w:hint="eastAsia"/>
                <w:sz w:val="21"/>
                <w:szCs w:val="21"/>
                <w:vertAlign w:val="baseline"/>
              </w:rPr>
              <w:t xml:space="preserve">   · 氧浓度传感器：电化学或顺磁式，定期校准。</w:t>
            </w:r>
          </w:p>
          <w:p w14:paraId="1D78699F">
            <w:pPr>
              <w:widowControl w:val="0"/>
              <w:jc w:val="left"/>
              <w:rPr>
                <w:rFonts w:hint="eastAsia"/>
                <w:sz w:val="21"/>
                <w:szCs w:val="21"/>
                <w:vertAlign w:val="baseline"/>
              </w:rPr>
            </w:pPr>
            <w:r>
              <w:rPr>
                <w:rFonts w:hint="eastAsia"/>
                <w:sz w:val="21"/>
                <w:szCs w:val="21"/>
                <w:vertAlign w:val="baseline"/>
              </w:rPr>
              <w:t>2. 压力安全：高压和低压报警，减压阀防止回路压力过高。</w:t>
            </w:r>
          </w:p>
          <w:p w14:paraId="476F67A8">
            <w:pPr>
              <w:widowControl w:val="0"/>
              <w:jc w:val="left"/>
              <w:rPr>
                <w:rFonts w:hint="eastAsia"/>
                <w:sz w:val="21"/>
                <w:szCs w:val="21"/>
                <w:vertAlign w:val="baseline"/>
              </w:rPr>
            </w:pPr>
            <w:r>
              <w:rPr>
                <w:rFonts w:hint="eastAsia"/>
                <w:sz w:val="21"/>
                <w:szCs w:val="21"/>
                <w:vertAlign w:val="baseline"/>
              </w:rPr>
              <w:t>3. 电源安全：内置蓄电池，主电源中断时维持关键功能（报警、基本通气）30分钟以上。</w:t>
            </w:r>
          </w:p>
          <w:p w14:paraId="2B7A748A">
            <w:pPr>
              <w:widowControl w:val="0"/>
              <w:jc w:val="left"/>
              <w:rPr>
                <w:rFonts w:hint="eastAsia"/>
                <w:sz w:val="21"/>
                <w:szCs w:val="21"/>
                <w:vertAlign w:val="baseline"/>
              </w:rPr>
            </w:pPr>
            <w:r>
              <w:rPr>
                <w:rFonts w:hint="eastAsia"/>
                <w:sz w:val="21"/>
                <w:szCs w:val="21"/>
                <w:vertAlign w:val="baseline"/>
              </w:rPr>
              <w:t>4. 废气排放系统：主动或被动接口，连接手术室废气抽排系统。</w:t>
            </w:r>
          </w:p>
          <w:p w14:paraId="5F0853AD">
            <w:pPr>
              <w:widowControl w:val="0"/>
              <w:jc w:val="left"/>
              <w:rPr>
                <w:rFonts w:hint="eastAsia"/>
                <w:b/>
                <w:bCs/>
                <w:sz w:val="21"/>
                <w:szCs w:val="21"/>
                <w:vertAlign w:val="baseline"/>
              </w:rPr>
            </w:pPr>
            <w:r>
              <w:rPr>
                <w:rFonts w:hint="eastAsia"/>
                <w:b/>
                <w:bCs/>
                <w:sz w:val="21"/>
                <w:szCs w:val="21"/>
                <w:vertAlign w:val="baseline"/>
              </w:rPr>
              <w:t>八、 人机工程学与其它</w:t>
            </w:r>
          </w:p>
          <w:p w14:paraId="2FE8D98C">
            <w:pPr>
              <w:widowControl w:val="0"/>
              <w:jc w:val="left"/>
              <w:rPr>
                <w:rFonts w:hint="eastAsia"/>
                <w:sz w:val="21"/>
                <w:szCs w:val="21"/>
                <w:vertAlign w:val="baseline"/>
              </w:rPr>
            </w:pPr>
            <w:r>
              <w:rPr>
                <w:rFonts w:hint="eastAsia"/>
                <w:sz w:val="21"/>
                <w:szCs w:val="21"/>
                <w:vertAlign w:val="baseline"/>
              </w:rPr>
              <w:t>1. 用户界面：</w:t>
            </w:r>
          </w:p>
          <w:p w14:paraId="1375ECDE">
            <w:pPr>
              <w:widowControl w:val="0"/>
              <w:jc w:val="left"/>
              <w:rPr>
                <w:rFonts w:hint="eastAsia"/>
                <w:sz w:val="21"/>
                <w:szCs w:val="21"/>
                <w:vertAlign w:val="baseline"/>
              </w:rPr>
            </w:pPr>
            <w:r>
              <w:rPr>
                <w:rFonts w:hint="eastAsia"/>
                <w:sz w:val="21"/>
                <w:szCs w:val="21"/>
                <w:vertAlign w:val="baseline"/>
              </w:rPr>
              <w:t xml:space="preserve">   · 显示屏：大尺寸彩色触摸屏，多参数同屏显示。</w:t>
            </w:r>
          </w:p>
          <w:p w14:paraId="6EE7556F">
            <w:pPr>
              <w:widowControl w:val="0"/>
              <w:jc w:val="left"/>
              <w:rPr>
                <w:rFonts w:hint="eastAsia"/>
                <w:sz w:val="21"/>
                <w:szCs w:val="21"/>
                <w:vertAlign w:val="baseline"/>
              </w:rPr>
            </w:pPr>
            <w:r>
              <w:rPr>
                <w:rFonts w:hint="eastAsia"/>
                <w:sz w:val="21"/>
                <w:szCs w:val="21"/>
                <w:vertAlign w:val="baseline"/>
              </w:rPr>
              <w:t xml:space="preserve">   · 模块化设计：监测模块可灵活增减。</w:t>
            </w:r>
          </w:p>
          <w:p w14:paraId="72CC5247">
            <w:pPr>
              <w:widowControl w:val="0"/>
              <w:jc w:val="left"/>
              <w:rPr>
                <w:rFonts w:hint="eastAsia"/>
                <w:sz w:val="21"/>
                <w:szCs w:val="21"/>
                <w:vertAlign w:val="baseline"/>
              </w:rPr>
            </w:pPr>
            <w:r>
              <w:rPr>
                <w:rFonts w:hint="eastAsia"/>
                <w:sz w:val="21"/>
                <w:szCs w:val="21"/>
                <w:vertAlign w:val="baseline"/>
              </w:rPr>
              <w:t>2. 移动性：脚轮灵活，刹车稳固，管线收纳整齐。</w:t>
            </w:r>
          </w:p>
          <w:p w14:paraId="07F7705E">
            <w:pPr>
              <w:widowControl w:val="0"/>
              <w:jc w:val="left"/>
              <w:rPr>
                <w:rFonts w:hint="eastAsia"/>
                <w:sz w:val="21"/>
                <w:szCs w:val="21"/>
                <w:vertAlign w:val="baseline"/>
              </w:rPr>
            </w:pPr>
            <w:r>
              <w:rPr>
                <w:rFonts w:hint="eastAsia"/>
                <w:sz w:val="21"/>
                <w:szCs w:val="21"/>
                <w:vertAlign w:val="baseline"/>
              </w:rPr>
              <w:t>3. 消毒与兼容性：呼吸回路易于拆卸消毒或使用一次性回路。兼容各类呼吸过滤器、人工鼻等。</w:t>
            </w:r>
          </w:p>
          <w:p w14:paraId="41E710AC">
            <w:pPr>
              <w:widowControl w:val="0"/>
              <w:jc w:val="left"/>
              <w:rPr>
                <w:rFonts w:hint="default"/>
                <w:sz w:val="21"/>
                <w:szCs w:val="21"/>
                <w:highlight w:val="none"/>
                <w:vertAlign w:val="baseline"/>
                <w:lang w:val="en-US"/>
              </w:rPr>
            </w:pPr>
            <w:r>
              <w:rPr>
                <w:rFonts w:hint="eastAsia"/>
                <w:sz w:val="21"/>
                <w:szCs w:val="21"/>
                <w:vertAlign w:val="baseline"/>
              </w:rPr>
              <w:t>4. 适用人群：具备小儿/成人模式切换，或配置专用小儿回路和小儿通气软件。</w:t>
            </w:r>
          </w:p>
        </w:tc>
        <w:tc>
          <w:tcPr>
            <w:tcW w:w="1107" w:type="dxa"/>
            <w:shd w:val="clear" w:color="auto" w:fill="auto"/>
            <w:vAlign w:val="center"/>
          </w:tcPr>
          <w:p w14:paraId="7627604A">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1BD1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shd w:val="clear" w:color="auto" w:fill="auto"/>
            <w:vAlign w:val="center"/>
          </w:tcPr>
          <w:p w14:paraId="56ED95F7">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2</w:t>
            </w:r>
          </w:p>
        </w:tc>
        <w:tc>
          <w:tcPr>
            <w:tcW w:w="3106" w:type="dxa"/>
            <w:shd w:val="clear" w:color="auto" w:fill="auto"/>
            <w:vAlign w:val="center"/>
          </w:tcPr>
          <w:p w14:paraId="4CF6B9FC">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强脉冲光治疗仪</w:t>
            </w:r>
          </w:p>
        </w:tc>
        <w:tc>
          <w:tcPr>
            <w:tcW w:w="937" w:type="dxa"/>
            <w:vAlign w:val="center"/>
          </w:tcPr>
          <w:p w14:paraId="16453B56">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6849" w:type="dxa"/>
            <w:vAlign w:val="center"/>
          </w:tcPr>
          <w:p w14:paraId="425AAAE9">
            <w:pPr>
              <w:widowControl w:val="0"/>
              <w:jc w:val="both"/>
              <w:rPr>
                <w:rFonts w:hint="eastAsia"/>
                <w:b/>
                <w:bCs/>
                <w:sz w:val="21"/>
                <w:szCs w:val="21"/>
                <w:vertAlign w:val="baseline"/>
                <w:lang w:eastAsia="zh-CN"/>
              </w:rPr>
            </w:pPr>
            <w:r>
              <w:rPr>
                <w:rFonts w:hint="eastAsia"/>
                <w:b/>
                <w:bCs/>
                <w:sz w:val="21"/>
                <w:szCs w:val="21"/>
                <w:vertAlign w:val="baseline"/>
                <w:lang w:eastAsia="zh-CN"/>
              </w:rPr>
              <w:t>一、光源与核心部件</w:t>
            </w:r>
          </w:p>
          <w:p w14:paraId="154E5FBB">
            <w:pPr>
              <w:widowControl w:val="0"/>
              <w:jc w:val="both"/>
              <w:rPr>
                <w:rFonts w:hint="eastAsia"/>
                <w:sz w:val="21"/>
                <w:szCs w:val="21"/>
                <w:vertAlign w:val="baseline"/>
              </w:rPr>
            </w:pPr>
            <w:r>
              <w:rPr>
                <w:rFonts w:hint="eastAsia"/>
                <w:sz w:val="21"/>
                <w:szCs w:val="21"/>
                <w:vertAlign w:val="baseline"/>
              </w:rPr>
              <w:t>1、光源:进口氙灯芯片（提供报关单）</w:t>
            </w:r>
          </w:p>
          <w:p w14:paraId="420DB9B2">
            <w:pPr>
              <w:pStyle w:val="29"/>
              <w:jc w:val="both"/>
              <w:rPr>
                <w:rFonts w:hint="eastAsia"/>
              </w:rPr>
            </w:pPr>
            <w:r>
              <w:rPr>
                <w:rFonts w:hint="default"/>
                <w:sz w:val="21"/>
                <w:szCs w:val="21"/>
                <w:vertAlign w:val="baseline"/>
                <w:lang w:val="en-US" w:eastAsia="zh-CN"/>
              </w:rPr>
              <w:t>2.</w:t>
            </w:r>
            <w:r>
              <w:rPr>
                <w:rFonts w:hint="eastAsia"/>
                <w:sz w:val="21"/>
                <w:szCs w:val="21"/>
                <w:vertAlign w:val="baseline"/>
              </w:rPr>
              <w:t>蓝宝石透光晶体：蓝宝石接触式晶体探头，使出光口更加通透，光源充分 均匀的释放且耐磨损。</w:t>
            </w:r>
          </w:p>
          <w:p w14:paraId="39598DBA">
            <w:pPr>
              <w:widowControl w:val="0"/>
              <w:jc w:val="both"/>
              <w:rPr>
                <w:rFonts w:hint="eastAsia"/>
                <w:sz w:val="21"/>
                <w:szCs w:val="21"/>
                <w:vertAlign w:val="baseline"/>
                <w:lang w:val="en-US" w:eastAsia="zh-CN"/>
              </w:rPr>
            </w:pPr>
            <w:r>
              <w:rPr>
                <w:rFonts w:hint="default"/>
                <w:sz w:val="21"/>
                <w:szCs w:val="21"/>
                <w:vertAlign w:val="baseline"/>
                <w:lang w:val="en-US"/>
              </w:rPr>
              <w:t>3.</w:t>
            </w:r>
            <w:r>
              <w:rPr>
                <w:rFonts w:hint="eastAsia"/>
                <w:sz w:val="21"/>
                <w:szCs w:val="21"/>
                <w:vertAlign w:val="baseline"/>
              </w:rPr>
              <w:t>冷却方式: TEC 制冷、风冷、水冷，</w:t>
            </w:r>
            <w:r>
              <w:rPr>
                <w:rFonts w:hint="eastAsia"/>
                <w:sz w:val="21"/>
                <w:szCs w:val="21"/>
                <w:vertAlign w:val="baseline"/>
                <w:lang w:val="en-US" w:eastAsia="zh-CN"/>
              </w:rPr>
              <w:t>TEC</w:t>
            </w:r>
            <w:r>
              <w:rPr>
                <w:rFonts w:hint="eastAsia"/>
                <w:sz w:val="21"/>
                <w:szCs w:val="21"/>
                <w:vertAlign w:val="baseline"/>
              </w:rPr>
              <w:t>制冷模块可确保治疗头最低可达</w:t>
            </w:r>
            <w:r>
              <w:rPr>
                <w:rFonts w:hint="eastAsia"/>
                <w:sz w:val="21"/>
                <w:szCs w:val="21"/>
                <w:vertAlign w:val="baseline"/>
                <w:lang w:val="en-US" w:eastAsia="zh-CN"/>
              </w:rPr>
              <w:t>-4°C</w:t>
            </w:r>
          </w:p>
          <w:p w14:paraId="1DBE05BB">
            <w:pPr>
              <w:widowControl w:val="0"/>
              <w:jc w:val="both"/>
              <w:rPr>
                <w:rFonts w:hint="eastAsia"/>
                <w:b/>
                <w:bCs/>
                <w:sz w:val="21"/>
                <w:szCs w:val="21"/>
                <w:vertAlign w:val="baseline"/>
                <w:lang w:eastAsia="zh-CN"/>
              </w:rPr>
            </w:pPr>
            <w:r>
              <w:rPr>
                <w:rFonts w:hint="eastAsia"/>
                <w:b/>
                <w:bCs/>
                <w:sz w:val="21"/>
                <w:szCs w:val="21"/>
                <w:vertAlign w:val="baseline"/>
                <w:lang w:eastAsia="zh-CN"/>
              </w:rPr>
              <w:t>二．能量输出参数</w:t>
            </w:r>
          </w:p>
          <w:p w14:paraId="7BEE0754">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能量密度(治疗): ≥35J/cm²</w:t>
            </w:r>
          </w:p>
          <w:p w14:paraId="6F9B9D69">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脉宽：3ms~30ms可调</w:t>
            </w:r>
          </w:p>
          <w:p w14:paraId="186935CE">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脉冲间隔：3ms~30ms 可调</w:t>
            </w:r>
          </w:p>
          <w:p w14:paraId="7A395AC9">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脉冲个数: 1-3个 可调</w:t>
            </w:r>
          </w:p>
          <w:p w14:paraId="6BCB9608">
            <w:pPr>
              <w:widowControl w:val="0"/>
              <w:jc w:val="both"/>
              <w:rPr>
                <w:rFonts w:hint="eastAsia"/>
                <w:sz w:val="21"/>
                <w:szCs w:val="21"/>
                <w:vertAlign w:val="baseline"/>
                <w:lang w:val="en-US" w:eastAsia="zh-CN"/>
              </w:rPr>
            </w:pPr>
            <w:r>
              <w:rPr>
                <w:rFonts w:hint="default"/>
                <w:sz w:val="21"/>
                <w:szCs w:val="21"/>
                <w:vertAlign w:val="baseline"/>
                <w:lang w:val="en-US"/>
              </w:rPr>
              <w:t>5.</w:t>
            </w:r>
            <w:r>
              <w:rPr>
                <w:rFonts w:hint="eastAsia"/>
                <w:sz w:val="21"/>
                <w:szCs w:val="21"/>
                <w:vertAlign w:val="baseline"/>
              </w:rPr>
              <w:t>光谱范围：治疗：</w:t>
            </w:r>
            <w:r>
              <w:rPr>
                <w:rFonts w:hint="eastAsia"/>
                <w:sz w:val="21"/>
                <w:szCs w:val="21"/>
                <w:vertAlign w:val="baseline"/>
                <w:lang w:val="en-US" w:eastAsia="zh-CN"/>
              </w:rPr>
              <w:t>530nm-1200nm；</w:t>
            </w:r>
            <w:r>
              <w:rPr>
                <w:rFonts w:hint="eastAsia"/>
                <w:sz w:val="21"/>
                <w:szCs w:val="21"/>
                <w:vertAlign w:val="baseline"/>
              </w:rPr>
              <w:t>脱毛：</w:t>
            </w:r>
            <w:r>
              <w:rPr>
                <w:rFonts w:hint="eastAsia"/>
                <w:sz w:val="21"/>
                <w:szCs w:val="21"/>
                <w:vertAlign w:val="baseline"/>
                <w:lang w:val="en-US" w:eastAsia="zh-CN"/>
              </w:rPr>
              <w:t>610nm-1200nm</w:t>
            </w:r>
          </w:p>
          <w:p w14:paraId="2D386A63">
            <w:pPr>
              <w:widowControl w:val="0"/>
              <w:numPr>
                <w:ilvl w:val="0"/>
                <w:numId w:val="0"/>
              </w:numPr>
              <w:jc w:val="both"/>
              <w:rPr>
                <w:rFonts w:hint="eastAsia"/>
                <w:sz w:val="21"/>
                <w:szCs w:val="21"/>
                <w:vertAlign w:val="baseline"/>
              </w:rPr>
            </w:pPr>
            <w:r>
              <w:rPr>
                <w:rFonts w:hint="default"/>
                <w:sz w:val="21"/>
                <w:szCs w:val="21"/>
                <w:vertAlign w:val="baseline"/>
                <w:lang w:val="en-US"/>
              </w:rPr>
              <w:t>6.</w:t>
            </w:r>
            <w:r>
              <w:rPr>
                <w:rFonts w:hint="eastAsia"/>
                <w:sz w:val="21"/>
                <w:szCs w:val="21"/>
                <w:vertAlign w:val="baseline"/>
              </w:rPr>
              <w:t>发光质保次数：≥45万发</w:t>
            </w:r>
          </w:p>
          <w:p w14:paraId="4CC0D2B8">
            <w:pPr>
              <w:widowControl w:val="0"/>
              <w:numPr>
                <w:ilvl w:val="0"/>
                <w:numId w:val="0"/>
              </w:numPr>
              <w:ind w:left="0" w:leftChars="0" w:firstLine="0" w:firstLineChars="0"/>
              <w:jc w:val="both"/>
              <w:rPr>
                <w:rFonts w:hint="eastAsia"/>
                <w:b/>
                <w:bCs/>
                <w:lang w:eastAsia="zh-CN"/>
              </w:rPr>
            </w:pPr>
            <w:r>
              <w:rPr>
                <w:rFonts w:hint="eastAsia" w:cstheme="minorBidi"/>
                <w:b/>
                <w:bCs/>
                <w:kern w:val="2"/>
                <w:sz w:val="21"/>
                <w:szCs w:val="24"/>
                <w:lang w:val="en-US" w:eastAsia="zh-CN" w:bidi="ar-SA"/>
              </w:rPr>
              <w:t>三</w:t>
            </w:r>
            <w:r>
              <w:rPr>
                <w:rFonts w:hint="eastAsia" w:asciiTheme="minorHAnsi" w:hAnsiTheme="minorHAnsi" w:eastAsiaTheme="minorEastAsia" w:cstheme="minorBidi"/>
                <w:b/>
                <w:bCs/>
                <w:kern w:val="2"/>
                <w:sz w:val="21"/>
                <w:szCs w:val="24"/>
                <w:lang w:val="en-US" w:eastAsia="zh-CN" w:bidi="ar-SA"/>
              </w:rPr>
              <w:t>．</w:t>
            </w:r>
            <w:r>
              <w:rPr>
                <w:rFonts w:hint="eastAsia"/>
                <w:b/>
                <w:bCs/>
                <w:lang w:eastAsia="zh-CN"/>
              </w:rPr>
              <w:t>操作与安全参数</w:t>
            </w:r>
          </w:p>
          <w:p w14:paraId="22465479">
            <w:pPr>
              <w:widowControl w:val="0"/>
              <w:numPr>
                <w:ilvl w:val="0"/>
                <w:numId w:val="0"/>
              </w:numPr>
              <w:ind w:leftChars="0"/>
              <w:jc w:val="both"/>
              <w:rPr>
                <w:rFonts w:hint="eastAsia"/>
                <w:sz w:val="21"/>
                <w:szCs w:val="21"/>
                <w:vertAlign w:val="baseline"/>
              </w:rPr>
            </w:pPr>
            <w:r>
              <w:rPr>
                <w:rFonts w:hint="default"/>
                <w:sz w:val="21"/>
                <w:szCs w:val="21"/>
                <w:vertAlign w:val="baseline"/>
                <w:lang w:val="en-US" w:eastAsia="zh-CN"/>
              </w:rPr>
              <w:t>1.</w:t>
            </w:r>
            <w:r>
              <w:rPr>
                <w:rFonts w:hint="eastAsia"/>
                <w:sz w:val="21"/>
                <w:szCs w:val="21"/>
                <w:vertAlign w:val="baseline"/>
                <w:lang w:eastAsia="zh-CN"/>
              </w:rPr>
              <w:t>热管理：</w:t>
            </w:r>
            <w:r>
              <w:rPr>
                <w:rFonts w:hint="eastAsia"/>
                <w:sz w:val="21"/>
                <w:szCs w:val="21"/>
                <w:vertAlign w:val="baseline"/>
              </w:rPr>
              <w:t>发光后出光口表面温度≤</w:t>
            </w:r>
            <w:r>
              <w:rPr>
                <w:rFonts w:hint="eastAsia"/>
                <w:sz w:val="21"/>
                <w:szCs w:val="21"/>
                <w:vertAlign w:val="baseline"/>
                <w:lang w:eastAsia="zh-CN"/>
              </w:rPr>
              <w:t>3</w:t>
            </w:r>
            <w:r>
              <w:rPr>
                <w:rFonts w:hint="eastAsia"/>
                <w:sz w:val="21"/>
                <w:szCs w:val="21"/>
                <w:vertAlign w:val="baseline"/>
              </w:rPr>
              <w:t>7℃</w:t>
            </w:r>
          </w:p>
          <w:p w14:paraId="08E12F48">
            <w:pPr>
              <w:widowControl w:val="0"/>
              <w:jc w:val="both"/>
              <w:rPr>
                <w:rFonts w:hint="eastAsia"/>
                <w:sz w:val="21"/>
                <w:szCs w:val="21"/>
                <w:vertAlign w:val="baseline"/>
                <w:lang w:val="en-US" w:eastAsia="zh-CN"/>
              </w:rPr>
            </w:pPr>
            <w:r>
              <w:rPr>
                <w:rFonts w:hint="default"/>
                <w:lang w:val="en-US" w:eastAsia="zh-CN"/>
              </w:rPr>
              <w:t>2.</w:t>
            </w:r>
            <w:r>
              <w:rPr>
                <w:rFonts w:hint="eastAsia"/>
                <w:lang w:eastAsia="zh-CN"/>
              </w:rPr>
              <w:t>冷却温度：</w:t>
            </w:r>
            <w:r>
              <w:rPr>
                <w:rFonts w:hint="eastAsia"/>
                <w:sz w:val="21"/>
                <w:szCs w:val="21"/>
                <w:vertAlign w:val="baseline"/>
              </w:rPr>
              <w:t>治疗头最低可达</w:t>
            </w:r>
            <w:r>
              <w:rPr>
                <w:rFonts w:hint="eastAsia"/>
                <w:sz w:val="21"/>
                <w:szCs w:val="21"/>
                <w:vertAlign w:val="baseline"/>
                <w:lang w:val="en-US" w:eastAsia="zh-CN"/>
              </w:rPr>
              <w:t>-4°C</w:t>
            </w:r>
          </w:p>
          <w:p w14:paraId="4B91EAC1">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放电间隔: 1s-3s 可调</w:t>
            </w:r>
          </w:p>
          <w:p w14:paraId="67BEFD74">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高频触发技术：静音操作技术</w:t>
            </w:r>
          </w:p>
          <w:p w14:paraId="2E122E10">
            <w:pPr>
              <w:pStyle w:val="29"/>
              <w:numPr>
                <w:ilvl w:val="0"/>
                <w:numId w:val="0"/>
              </w:numPr>
              <w:jc w:val="both"/>
              <w:rPr>
                <w:rFonts w:hint="eastAsia"/>
                <w:b/>
                <w:bCs/>
                <w:lang w:eastAsia="zh-CN"/>
              </w:rPr>
            </w:pPr>
            <w:r>
              <w:rPr>
                <w:rFonts w:hint="eastAsia"/>
                <w:b/>
                <w:bCs/>
                <w:lang w:eastAsia="zh-CN"/>
              </w:rPr>
              <w:t>四．治疗功能与模式</w:t>
            </w:r>
          </w:p>
          <w:p w14:paraId="345FB0AA">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应用模式</w:t>
            </w:r>
            <w:r>
              <w:rPr>
                <w:rFonts w:hint="eastAsia"/>
                <w:sz w:val="21"/>
                <w:szCs w:val="21"/>
                <w:vertAlign w:val="baseline"/>
                <w:lang w:eastAsia="zh-CN"/>
              </w:rPr>
              <w:t>：</w:t>
            </w:r>
            <w:r>
              <w:rPr>
                <w:rFonts w:hint="eastAsia"/>
                <w:sz w:val="21"/>
                <w:szCs w:val="21"/>
                <w:vertAlign w:val="baseline"/>
              </w:rPr>
              <w:t>治疗、脱毛</w:t>
            </w:r>
          </w:p>
          <w:p w14:paraId="73D740AC">
            <w:pPr>
              <w:widowControl w:val="0"/>
              <w:jc w:val="both"/>
              <w:rPr>
                <w:rFonts w:hint="eastAsia"/>
                <w:sz w:val="21"/>
                <w:szCs w:val="21"/>
                <w:vertAlign w:val="baseline"/>
              </w:rPr>
            </w:pPr>
            <w:r>
              <w:rPr>
                <w:rFonts w:hint="default"/>
                <w:sz w:val="21"/>
                <w:szCs w:val="21"/>
                <w:vertAlign w:val="baseline"/>
                <w:lang w:val="en-US" w:eastAsia="zh-CN"/>
              </w:rPr>
              <w:t>2.</w:t>
            </w:r>
            <w:r>
              <w:rPr>
                <w:rFonts w:hint="eastAsia"/>
                <w:sz w:val="21"/>
                <w:szCs w:val="21"/>
                <w:vertAlign w:val="baseline"/>
                <w:lang w:eastAsia="zh-CN"/>
              </w:rPr>
              <w:t>智能技术：</w:t>
            </w:r>
            <w:r>
              <w:rPr>
                <w:rFonts w:hint="eastAsia"/>
                <w:sz w:val="21"/>
                <w:szCs w:val="21"/>
                <w:vertAlign w:val="baseline"/>
              </w:rPr>
              <w:t>智能独立可调参数：自动生成有效的脉宽能级参数</w:t>
            </w:r>
          </w:p>
          <w:p w14:paraId="0C14596C">
            <w:pPr>
              <w:widowControl w:val="0"/>
              <w:jc w:val="both"/>
              <w:rPr>
                <w:rFonts w:hint="eastAsia" w:eastAsiaTheme="minorEastAsia"/>
                <w:sz w:val="21"/>
                <w:szCs w:val="21"/>
                <w:vertAlign w:val="baseline"/>
                <w:lang w:eastAsia="zh-CN"/>
              </w:rPr>
            </w:pPr>
            <w:r>
              <w:rPr>
                <w:rFonts w:hint="default"/>
                <w:sz w:val="21"/>
                <w:szCs w:val="21"/>
                <w:vertAlign w:val="baseline"/>
                <w:lang w:val="en-US" w:eastAsia="zh-CN"/>
              </w:rPr>
              <w:t>3.</w:t>
            </w:r>
            <w:r>
              <w:rPr>
                <w:rFonts w:hint="eastAsia"/>
                <w:sz w:val="21"/>
                <w:szCs w:val="21"/>
                <w:vertAlign w:val="baseline"/>
                <w:lang w:eastAsia="zh-CN"/>
              </w:rPr>
              <w:t>手柄配置：</w:t>
            </w:r>
            <w:r>
              <w:rPr>
                <w:rFonts w:hint="eastAsia"/>
                <w:sz w:val="21"/>
                <w:szCs w:val="21"/>
                <w:vertAlign w:val="baseline"/>
                <w:lang w:val="en-US" w:eastAsia="zh-CN"/>
              </w:rPr>
              <w:t>两个独立治疗手柄</w:t>
            </w:r>
          </w:p>
          <w:p w14:paraId="02590D45">
            <w:pPr>
              <w:widowControl w:val="0"/>
              <w:jc w:val="both"/>
              <w:rPr>
                <w:rFonts w:hint="eastAsia"/>
                <w:sz w:val="21"/>
                <w:szCs w:val="21"/>
                <w:vertAlign w:val="baseline"/>
              </w:rPr>
            </w:pPr>
            <w:r>
              <w:rPr>
                <w:rFonts w:hint="default"/>
                <w:sz w:val="21"/>
                <w:szCs w:val="21"/>
                <w:vertAlign w:val="baseline"/>
                <w:lang w:val="en-US" w:eastAsia="zh-CN"/>
              </w:rPr>
              <w:t>4.</w:t>
            </w:r>
            <w:r>
              <w:rPr>
                <w:rFonts w:hint="eastAsia"/>
                <w:sz w:val="21"/>
                <w:szCs w:val="21"/>
                <w:vertAlign w:val="baseline"/>
                <w:lang w:eastAsia="zh-CN"/>
              </w:rPr>
              <w:t>手柄规格：</w:t>
            </w:r>
            <w:r>
              <w:rPr>
                <w:rFonts w:hint="eastAsia"/>
                <w:sz w:val="21"/>
                <w:szCs w:val="21"/>
                <w:vertAlign w:val="baseline"/>
              </w:rPr>
              <w:t>治疗手柄: 40mm × 8mm、脱毛手柄: 50mm × 10mm</w:t>
            </w:r>
          </w:p>
          <w:p w14:paraId="486E850C">
            <w:pPr>
              <w:widowControl w:val="0"/>
              <w:numPr>
                <w:ilvl w:val="0"/>
                <w:numId w:val="0"/>
              </w:numPr>
              <w:jc w:val="both"/>
              <w:rPr>
                <w:rFonts w:hint="eastAsia"/>
                <w:b/>
                <w:bCs/>
                <w:sz w:val="21"/>
                <w:szCs w:val="21"/>
                <w:vertAlign w:val="baseline"/>
              </w:rPr>
            </w:pPr>
            <w:r>
              <w:rPr>
                <w:rFonts w:hint="eastAsia"/>
                <w:b/>
                <w:bCs/>
                <w:sz w:val="21"/>
                <w:szCs w:val="21"/>
                <w:vertAlign w:val="baseline"/>
                <w:lang w:eastAsia="zh-CN"/>
              </w:rPr>
              <w:t>五．人机交互界面</w:t>
            </w:r>
          </w:p>
          <w:p w14:paraId="3A2DD0B1">
            <w:pPr>
              <w:widowControl w:val="0"/>
              <w:jc w:val="left"/>
              <w:rPr>
                <w:rFonts w:hint="default"/>
                <w:sz w:val="21"/>
                <w:szCs w:val="21"/>
                <w:highlight w:val="none"/>
                <w:vertAlign w:val="baseline"/>
                <w:lang w:val="en-US"/>
              </w:rPr>
            </w:pPr>
            <w:r>
              <w:rPr>
                <w:rFonts w:hint="eastAsia"/>
                <w:sz w:val="21"/>
                <w:szCs w:val="21"/>
                <w:vertAlign w:val="baseline"/>
              </w:rPr>
              <w:t>显示屏</w:t>
            </w:r>
            <w:r>
              <w:rPr>
                <w:rFonts w:hint="eastAsia"/>
                <w:sz w:val="21"/>
                <w:szCs w:val="21"/>
                <w:vertAlign w:val="baseline"/>
                <w:lang w:eastAsia="zh-CN"/>
              </w:rPr>
              <w:t>：</w:t>
            </w:r>
            <w:r>
              <w:rPr>
                <w:rFonts w:hint="eastAsia"/>
                <w:sz w:val="21"/>
                <w:szCs w:val="21"/>
                <w:vertAlign w:val="baseline"/>
              </w:rPr>
              <w:t>尺寸:</w:t>
            </w:r>
            <w:r>
              <w:rPr>
                <w:rFonts w:hint="eastAsia"/>
                <w:sz w:val="21"/>
                <w:szCs w:val="21"/>
                <w:vertAlign w:val="baseline"/>
                <w:lang w:val="en-US" w:eastAsia="zh-CN"/>
              </w:rPr>
              <w:t>8.0</w:t>
            </w:r>
            <w:r>
              <w:rPr>
                <w:rFonts w:hint="eastAsia"/>
                <w:sz w:val="21"/>
                <w:szCs w:val="21"/>
                <w:vertAlign w:val="baseline"/>
              </w:rPr>
              <w:t>寸彩色触摸屏</w:t>
            </w:r>
          </w:p>
        </w:tc>
        <w:tc>
          <w:tcPr>
            <w:tcW w:w="1107" w:type="dxa"/>
            <w:vAlign w:val="center"/>
          </w:tcPr>
          <w:p w14:paraId="1146EDF4">
            <w:pPr>
              <w:widowControl w:val="0"/>
              <w:jc w:val="left"/>
              <w:rPr>
                <w:sz w:val="24"/>
                <w:szCs w:val="24"/>
                <w:highlight w:val="none"/>
                <w:vertAlign w:val="baseline"/>
              </w:rPr>
            </w:pPr>
          </w:p>
        </w:tc>
      </w:tr>
      <w:tr w14:paraId="1B63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21221B2D">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3</w:t>
            </w:r>
          </w:p>
        </w:tc>
        <w:tc>
          <w:tcPr>
            <w:tcW w:w="3106" w:type="dxa"/>
            <w:vAlign w:val="center"/>
          </w:tcPr>
          <w:p w14:paraId="77F0A557">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Q</w:t>
            </w:r>
            <w:r>
              <w:rPr>
                <w:rFonts w:hint="eastAsia"/>
                <w:sz w:val="24"/>
                <w:szCs w:val="24"/>
                <w:highlight w:val="none"/>
                <w:vertAlign w:val="baseline"/>
                <w:lang w:val="en-US" w:eastAsia="zh-CN"/>
              </w:rPr>
              <w:t>开关</w:t>
            </w:r>
            <w:r>
              <w:rPr>
                <w:rFonts w:hint="default"/>
                <w:sz w:val="24"/>
                <w:szCs w:val="24"/>
                <w:highlight w:val="none"/>
                <w:vertAlign w:val="baseline"/>
                <w:lang w:val="en-US"/>
              </w:rPr>
              <w:t>ND</w:t>
            </w:r>
            <w:r>
              <w:rPr>
                <w:rFonts w:hint="eastAsia"/>
                <w:sz w:val="24"/>
                <w:szCs w:val="24"/>
                <w:highlight w:val="none"/>
                <w:vertAlign w:val="baseline"/>
                <w:lang w:val="en-US" w:eastAsia="zh-CN"/>
              </w:rPr>
              <w:t>：</w:t>
            </w:r>
            <w:r>
              <w:rPr>
                <w:rFonts w:hint="default"/>
                <w:sz w:val="24"/>
                <w:szCs w:val="24"/>
                <w:highlight w:val="none"/>
                <w:vertAlign w:val="baseline"/>
                <w:lang w:val="en-US"/>
              </w:rPr>
              <w:t>YAG</w:t>
            </w:r>
            <w:r>
              <w:rPr>
                <w:rFonts w:hint="eastAsia"/>
                <w:sz w:val="24"/>
                <w:szCs w:val="24"/>
                <w:highlight w:val="none"/>
                <w:vertAlign w:val="baseline"/>
                <w:lang w:val="en-US" w:eastAsia="zh-CN"/>
              </w:rPr>
              <w:t>激光治疗机</w:t>
            </w:r>
          </w:p>
        </w:tc>
        <w:tc>
          <w:tcPr>
            <w:tcW w:w="937" w:type="dxa"/>
            <w:vAlign w:val="center"/>
          </w:tcPr>
          <w:p w14:paraId="33B0AF1D">
            <w:pPr>
              <w:widowControl w:val="0"/>
              <w:jc w:val="center"/>
              <w:rPr>
                <w:rFonts w:hint="default" w:eastAsiaTheme="minorEastAsia"/>
                <w:sz w:val="24"/>
                <w:szCs w:val="24"/>
                <w:highlight w:val="none"/>
                <w:vertAlign w:val="baseline"/>
                <w:lang w:val="en-US" w:eastAsia="zh-CN"/>
              </w:rPr>
            </w:pPr>
            <w:r>
              <w:rPr>
                <w:rFonts w:hint="eastAsia"/>
                <w:sz w:val="24"/>
                <w:szCs w:val="24"/>
                <w:highlight w:val="none"/>
                <w:vertAlign w:val="baseline"/>
                <w:lang w:eastAsia="zh-CN"/>
              </w:rPr>
              <w:t>１</w:t>
            </w:r>
          </w:p>
        </w:tc>
        <w:tc>
          <w:tcPr>
            <w:tcW w:w="6849" w:type="dxa"/>
            <w:vAlign w:val="center"/>
          </w:tcPr>
          <w:p w14:paraId="093CB3E4">
            <w:pPr>
              <w:widowControl w:val="0"/>
              <w:numPr>
                <w:ilvl w:val="0"/>
                <w:numId w:val="0"/>
              </w:numPr>
              <w:jc w:val="both"/>
              <w:rPr>
                <w:rFonts w:hint="eastAsia"/>
                <w:sz w:val="21"/>
                <w:szCs w:val="21"/>
                <w:vertAlign w:val="baseline"/>
              </w:rPr>
            </w:pPr>
            <w:r>
              <w:rPr>
                <w:rFonts w:hint="eastAsia"/>
                <w:b/>
                <w:bCs/>
                <w:sz w:val="21"/>
                <w:szCs w:val="21"/>
                <w:vertAlign w:val="baseline"/>
                <w:lang w:eastAsia="zh-CN"/>
              </w:rPr>
              <w:t>一．</w:t>
            </w:r>
            <w:r>
              <w:rPr>
                <w:rFonts w:hint="eastAsia"/>
                <w:b/>
                <w:bCs/>
                <w:sz w:val="21"/>
                <w:szCs w:val="21"/>
                <w:vertAlign w:val="baseline"/>
              </w:rPr>
              <w:t>激光核心特性</w:t>
            </w:r>
            <w:r>
              <w:rPr>
                <w:rFonts w:hint="eastAsia"/>
                <w:sz w:val="21"/>
                <w:szCs w:val="21"/>
                <w:vertAlign w:val="baseline"/>
              </w:rPr>
              <w:t xml:space="preserve"> </w:t>
            </w:r>
          </w:p>
          <w:p w14:paraId="747B77CD">
            <w:pPr>
              <w:widowControl w:val="0"/>
              <w:numPr>
                <w:ilvl w:val="0"/>
                <w:numId w:val="0"/>
              </w:numPr>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激光波长</w:t>
            </w:r>
            <w:r>
              <w:rPr>
                <w:rFonts w:hint="eastAsia"/>
                <w:sz w:val="21"/>
                <w:szCs w:val="21"/>
                <w:vertAlign w:val="baseline"/>
                <w:lang w:eastAsia="zh-CN"/>
              </w:rPr>
              <w:t>：</w:t>
            </w:r>
            <w:r>
              <w:rPr>
                <w:rFonts w:hint="eastAsia"/>
                <w:sz w:val="21"/>
                <w:szCs w:val="21"/>
                <w:vertAlign w:val="baseline"/>
              </w:rPr>
              <w:t>1064nm / 532nm</w:t>
            </w:r>
          </w:p>
          <w:p w14:paraId="639C9313">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激光类型</w:t>
            </w:r>
            <w:r>
              <w:rPr>
                <w:rFonts w:hint="eastAsia"/>
                <w:sz w:val="21"/>
                <w:szCs w:val="21"/>
                <w:vertAlign w:val="baseline"/>
                <w:lang w:eastAsia="zh-CN"/>
              </w:rPr>
              <w:t>：</w:t>
            </w:r>
            <w:r>
              <w:rPr>
                <w:rFonts w:hint="eastAsia"/>
                <w:sz w:val="21"/>
                <w:szCs w:val="21"/>
                <w:vertAlign w:val="baseline"/>
              </w:rPr>
              <w:t>Q开关掺钕钇铝石榴石激光器</w:t>
            </w:r>
          </w:p>
          <w:p w14:paraId="48584D99">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最小脉宽</w:t>
            </w:r>
            <w:r>
              <w:rPr>
                <w:rFonts w:hint="eastAsia"/>
                <w:sz w:val="21"/>
                <w:szCs w:val="21"/>
                <w:vertAlign w:val="baseline"/>
                <w:lang w:eastAsia="zh-CN"/>
              </w:rPr>
              <w:t>：</w:t>
            </w:r>
            <w:r>
              <w:rPr>
                <w:rFonts w:hint="eastAsia"/>
                <w:sz w:val="21"/>
                <w:szCs w:val="21"/>
                <w:vertAlign w:val="baseline"/>
              </w:rPr>
              <w:t>1064nm：5.5ns±20%；532nm：6ns±20%</w:t>
            </w:r>
          </w:p>
          <w:p w14:paraId="5597310A">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引导光束</w:t>
            </w:r>
            <w:r>
              <w:rPr>
                <w:rFonts w:hint="eastAsia"/>
                <w:sz w:val="21"/>
                <w:szCs w:val="21"/>
                <w:vertAlign w:val="baseline"/>
                <w:lang w:eastAsia="zh-CN"/>
              </w:rPr>
              <w:t>：</w:t>
            </w:r>
            <w:r>
              <w:rPr>
                <w:rFonts w:hint="eastAsia"/>
                <w:sz w:val="21"/>
                <w:szCs w:val="21"/>
                <w:vertAlign w:val="baseline"/>
              </w:rPr>
              <w:t xml:space="preserve"> 红色激光（波长650nm，功率5mW）</w:t>
            </w:r>
          </w:p>
          <w:p w14:paraId="00CA5EDC">
            <w:pPr>
              <w:widowControl w:val="0"/>
              <w:jc w:val="both"/>
              <w:rPr>
                <w:rFonts w:hint="eastAsia"/>
                <w:sz w:val="21"/>
                <w:szCs w:val="21"/>
                <w:vertAlign w:val="baseline"/>
              </w:rPr>
            </w:pPr>
            <w:r>
              <w:rPr>
                <w:rFonts w:hint="eastAsia"/>
                <w:b/>
                <w:bCs/>
                <w:sz w:val="21"/>
                <w:szCs w:val="21"/>
                <w:vertAlign w:val="baseline"/>
                <w:lang w:eastAsia="zh-CN"/>
              </w:rPr>
              <w:t>二．</w:t>
            </w:r>
            <w:r>
              <w:rPr>
                <w:rFonts w:hint="eastAsia"/>
                <w:b/>
                <w:bCs/>
                <w:sz w:val="21"/>
                <w:szCs w:val="21"/>
                <w:vertAlign w:val="baseline"/>
              </w:rPr>
              <w:t>输出与工作参数</w:t>
            </w:r>
            <w:r>
              <w:rPr>
                <w:rFonts w:hint="eastAsia"/>
                <w:sz w:val="21"/>
                <w:szCs w:val="21"/>
                <w:vertAlign w:val="baseline"/>
              </w:rPr>
              <w:t xml:space="preserve"> </w:t>
            </w:r>
          </w:p>
          <w:p w14:paraId="61CDAE6F">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重复频率</w:t>
            </w:r>
            <w:r>
              <w:rPr>
                <w:rFonts w:hint="eastAsia"/>
                <w:sz w:val="21"/>
                <w:szCs w:val="21"/>
                <w:vertAlign w:val="baseline"/>
                <w:lang w:eastAsia="zh-CN"/>
              </w:rPr>
              <w:t>：</w:t>
            </w:r>
            <w:r>
              <w:rPr>
                <w:rFonts w:hint="eastAsia"/>
                <w:sz w:val="21"/>
                <w:szCs w:val="21"/>
                <w:vertAlign w:val="baseline"/>
              </w:rPr>
              <w:t xml:space="preserve"> 1～10Hz，1Hz步进</w:t>
            </w:r>
          </w:p>
          <w:p w14:paraId="4BAEEE05">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输出模式</w:t>
            </w:r>
            <w:r>
              <w:rPr>
                <w:rFonts w:hint="eastAsia"/>
                <w:sz w:val="21"/>
                <w:szCs w:val="21"/>
                <w:vertAlign w:val="baseline"/>
                <w:lang w:eastAsia="zh-CN"/>
              </w:rPr>
              <w:t>：</w:t>
            </w:r>
            <w:r>
              <w:rPr>
                <w:rFonts w:hint="eastAsia"/>
                <w:sz w:val="21"/>
                <w:szCs w:val="21"/>
                <w:vertAlign w:val="baseline"/>
              </w:rPr>
              <w:t xml:space="preserve"> ★1064nm：单脉冲/双脉冲(PTP)/长脉冲；532nm：单脉冲</w:t>
            </w:r>
          </w:p>
          <w:p w14:paraId="52C48C9A">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终端输出能量</w:t>
            </w:r>
            <w:r>
              <w:rPr>
                <w:rFonts w:hint="eastAsia"/>
                <w:sz w:val="21"/>
                <w:szCs w:val="21"/>
                <w:vertAlign w:val="baseline"/>
                <w:lang w:eastAsia="zh-CN"/>
              </w:rPr>
              <w:t>：</w:t>
            </w:r>
            <w:r>
              <w:rPr>
                <w:rFonts w:hint="eastAsia"/>
                <w:sz w:val="21"/>
                <w:szCs w:val="21"/>
                <w:vertAlign w:val="baseline"/>
              </w:rPr>
              <w:t xml:space="preserve"> ★1064nm：单脉冲1100mJ，双脉冲2000mJ，长脉冲3200mJ；532nm：单脉冲440mJ</w:t>
            </w:r>
          </w:p>
          <w:p w14:paraId="004F2713">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手具与光斑</w:t>
            </w:r>
            <w:r>
              <w:rPr>
                <w:rFonts w:hint="eastAsia"/>
                <w:sz w:val="21"/>
                <w:szCs w:val="21"/>
                <w:vertAlign w:val="baseline"/>
                <w:lang w:eastAsia="zh-CN"/>
              </w:rPr>
              <w:t>：</w:t>
            </w:r>
            <w:r>
              <w:rPr>
                <w:rFonts w:hint="eastAsia"/>
                <w:sz w:val="21"/>
                <w:szCs w:val="21"/>
                <w:vertAlign w:val="baseline"/>
              </w:rPr>
              <w:t xml:space="preserve"> ★新型多功能变焦旋转手具，光斑2-10mm连续可调，带能量密度传感与同步显示</w:t>
            </w:r>
          </w:p>
          <w:p w14:paraId="61E5D7F9">
            <w:pPr>
              <w:widowControl w:val="0"/>
              <w:numPr>
                <w:ilvl w:val="0"/>
                <w:numId w:val="0"/>
              </w:numPr>
              <w:jc w:val="both"/>
              <w:rPr>
                <w:rFonts w:hint="eastAsia"/>
                <w:sz w:val="21"/>
                <w:szCs w:val="21"/>
                <w:vertAlign w:val="baseline"/>
              </w:rPr>
            </w:pPr>
            <w:r>
              <w:rPr>
                <w:rFonts w:hint="eastAsia" w:asciiTheme="minorHAnsi" w:hAnsiTheme="minorHAnsi" w:eastAsiaTheme="minorEastAsia" w:cstheme="minorBidi"/>
                <w:kern w:val="2"/>
                <w:sz w:val="21"/>
                <w:szCs w:val="21"/>
                <w:vertAlign w:val="baseline"/>
                <w:lang w:val="en-US" w:eastAsia="zh-CN" w:bidi="ar-SA"/>
              </w:rPr>
              <w:t>三．</w:t>
            </w:r>
            <w:r>
              <w:rPr>
                <w:rFonts w:hint="eastAsia"/>
                <w:b/>
                <w:bCs/>
                <w:sz w:val="21"/>
                <w:szCs w:val="21"/>
                <w:vertAlign w:val="baseline"/>
              </w:rPr>
              <w:t>光学与硬件系统</w:t>
            </w:r>
            <w:r>
              <w:rPr>
                <w:rFonts w:hint="eastAsia"/>
                <w:sz w:val="21"/>
                <w:szCs w:val="21"/>
                <w:vertAlign w:val="baseline"/>
              </w:rPr>
              <w:t xml:space="preserve"> </w:t>
            </w:r>
          </w:p>
          <w:p w14:paraId="24DBE072">
            <w:pPr>
              <w:widowControl w:val="0"/>
              <w:numPr>
                <w:ilvl w:val="0"/>
                <w:numId w:val="0"/>
              </w:numPr>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光路系统</w:t>
            </w:r>
            <w:r>
              <w:rPr>
                <w:rFonts w:hint="eastAsia"/>
                <w:sz w:val="21"/>
                <w:szCs w:val="21"/>
                <w:vertAlign w:val="baseline"/>
                <w:lang w:eastAsia="zh-CN"/>
              </w:rPr>
              <w:t>：</w:t>
            </w:r>
            <w:r>
              <w:rPr>
                <w:rFonts w:hint="eastAsia"/>
                <w:sz w:val="21"/>
                <w:szCs w:val="21"/>
                <w:vertAlign w:val="baseline"/>
              </w:rPr>
              <w:t xml:space="preserve"> 采用陶瓷单灯、双棒技术</w:t>
            </w:r>
          </w:p>
          <w:p w14:paraId="246057E6">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激光发散角</w:t>
            </w:r>
            <w:r>
              <w:rPr>
                <w:rFonts w:hint="eastAsia"/>
                <w:sz w:val="21"/>
                <w:szCs w:val="21"/>
                <w:vertAlign w:val="baseline"/>
                <w:lang w:eastAsia="zh-CN"/>
              </w:rPr>
              <w:t>：</w:t>
            </w:r>
            <w:r>
              <w:rPr>
                <w:rFonts w:hint="eastAsia"/>
                <w:sz w:val="21"/>
                <w:szCs w:val="21"/>
                <w:vertAlign w:val="baseline"/>
              </w:rPr>
              <w:t xml:space="preserve"> ≤8毫弧度</w:t>
            </w:r>
          </w:p>
          <w:p w14:paraId="2C99C41C">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平行光输出</w:t>
            </w:r>
            <w:r>
              <w:rPr>
                <w:rFonts w:hint="eastAsia"/>
                <w:sz w:val="21"/>
                <w:szCs w:val="21"/>
                <w:vertAlign w:val="baseline"/>
                <w:lang w:eastAsia="zh-CN"/>
              </w:rPr>
              <w:t>：</w:t>
            </w:r>
            <w:r>
              <w:rPr>
                <w:rFonts w:hint="eastAsia"/>
                <w:sz w:val="21"/>
                <w:szCs w:val="21"/>
                <w:vertAlign w:val="baseline"/>
              </w:rPr>
              <w:t xml:space="preserve"> ≥8mm</w:t>
            </w:r>
          </w:p>
          <w:p w14:paraId="1218C131">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传输方式</w:t>
            </w:r>
            <w:r>
              <w:rPr>
                <w:rFonts w:hint="eastAsia"/>
                <w:sz w:val="21"/>
                <w:szCs w:val="21"/>
                <w:vertAlign w:val="baseline"/>
                <w:lang w:eastAsia="zh-CN"/>
              </w:rPr>
              <w:t>：</w:t>
            </w:r>
            <w:r>
              <w:rPr>
                <w:rFonts w:hint="eastAsia"/>
                <w:sz w:val="21"/>
                <w:szCs w:val="21"/>
                <w:vertAlign w:val="baseline"/>
              </w:rPr>
              <w:t xml:space="preserve"> 国际新型7关节平衡锤式导光臂，带能量密度调节及同步显示</w:t>
            </w:r>
          </w:p>
          <w:p w14:paraId="7AC662D3">
            <w:pPr>
              <w:widowControl w:val="0"/>
              <w:jc w:val="both"/>
              <w:rPr>
                <w:rFonts w:hint="eastAsia"/>
                <w:sz w:val="21"/>
                <w:szCs w:val="21"/>
                <w:vertAlign w:val="baseline"/>
              </w:rPr>
            </w:pPr>
            <w:r>
              <w:rPr>
                <w:rFonts w:hint="default"/>
                <w:sz w:val="21"/>
                <w:szCs w:val="21"/>
                <w:vertAlign w:val="baseline"/>
                <w:lang w:val="en-US"/>
              </w:rPr>
              <w:t>5.</w:t>
            </w:r>
            <w:r>
              <w:rPr>
                <w:rFonts w:hint="eastAsia"/>
                <w:sz w:val="21"/>
                <w:szCs w:val="21"/>
                <w:vertAlign w:val="baseline"/>
              </w:rPr>
              <w:t>冷却系统</w:t>
            </w:r>
            <w:r>
              <w:rPr>
                <w:rFonts w:hint="eastAsia"/>
                <w:sz w:val="21"/>
                <w:szCs w:val="21"/>
                <w:vertAlign w:val="baseline"/>
                <w:lang w:eastAsia="zh-CN"/>
              </w:rPr>
              <w:t>：</w:t>
            </w:r>
            <w:r>
              <w:rPr>
                <w:rFonts w:hint="eastAsia"/>
                <w:sz w:val="21"/>
                <w:szCs w:val="21"/>
                <w:vertAlign w:val="baseline"/>
              </w:rPr>
              <w:t xml:space="preserve"> 内置封闭水冷循环，智能温控，水温范围16°C-35°C</w:t>
            </w:r>
          </w:p>
          <w:p w14:paraId="3D53ED29">
            <w:pPr>
              <w:widowControl w:val="0"/>
              <w:numPr>
                <w:ilvl w:val="0"/>
                <w:numId w:val="0"/>
              </w:numPr>
              <w:ind w:left="0" w:leftChars="0" w:firstLine="0" w:firstLineChars="0"/>
              <w:jc w:val="both"/>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四．</w:t>
            </w:r>
            <w:r>
              <w:rPr>
                <w:rFonts w:hint="eastAsia"/>
                <w:b/>
                <w:bCs/>
                <w:sz w:val="21"/>
                <w:szCs w:val="21"/>
                <w:vertAlign w:val="baseline"/>
              </w:rPr>
              <w:t xml:space="preserve">控制与显示功能 </w:t>
            </w:r>
          </w:p>
          <w:p w14:paraId="31D0A262">
            <w:pPr>
              <w:widowControl w:val="0"/>
              <w:numPr>
                <w:ilvl w:val="0"/>
                <w:numId w:val="0"/>
              </w:numPr>
              <w:ind w:leftChars="0" w:firstLine="315" w:firstLineChars="150"/>
              <w:jc w:val="both"/>
              <w:rPr>
                <w:rFonts w:hint="eastAsia"/>
                <w:sz w:val="21"/>
                <w:szCs w:val="21"/>
                <w:vertAlign w:val="baseline"/>
              </w:rPr>
            </w:pPr>
            <w:r>
              <w:rPr>
                <w:rFonts w:hint="eastAsia"/>
                <w:sz w:val="21"/>
                <w:szCs w:val="21"/>
                <w:vertAlign w:val="baseline"/>
              </w:rPr>
              <w:t>显示与人机界面</w:t>
            </w:r>
            <w:r>
              <w:rPr>
                <w:rFonts w:hint="eastAsia"/>
                <w:sz w:val="21"/>
                <w:szCs w:val="21"/>
                <w:vertAlign w:val="baseline"/>
                <w:lang w:eastAsia="zh-CN"/>
              </w:rPr>
              <w:t>：</w:t>
            </w:r>
            <w:r>
              <w:rPr>
                <w:rFonts w:hint="eastAsia"/>
                <w:sz w:val="21"/>
                <w:szCs w:val="21"/>
                <w:vertAlign w:val="baseline"/>
              </w:rPr>
              <w:t xml:space="preserve"> ★≥8英寸彩色触摸屏，分医生/能量修正界面，显示腔体温度、计数、计时、故障语言、支持密码与数据储存</w:t>
            </w:r>
          </w:p>
          <w:p w14:paraId="1F73E1FF">
            <w:pPr>
              <w:widowControl w:val="0"/>
              <w:numPr>
                <w:ilvl w:val="0"/>
                <w:numId w:val="0"/>
              </w:numPr>
              <w:ind w:left="0" w:leftChars="0" w:firstLine="0" w:firstLineChars="0"/>
              <w:jc w:val="both"/>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五．</w:t>
            </w:r>
            <w:r>
              <w:rPr>
                <w:rFonts w:hint="eastAsia"/>
                <w:b/>
                <w:bCs/>
                <w:sz w:val="21"/>
                <w:szCs w:val="21"/>
                <w:vertAlign w:val="baseline"/>
              </w:rPr>
              <w:t>工作环境与条件</w:t>
            </w:r>
          </w:p>
          <w:p w14:paraId="1BA90AF1">
            <w:pPr>
              <w:widowControl w:val="0"/>
              <w:jc w:val="left"/>
              <w:rPr>
                <w:rFonts w:hint="default"/>
                <w:sz w:val="21"/>
                <w:szCs w:val="21"/>
                <w:highlight w:val="none"/>
                <w:vertAlign w:val="baseline"/>
                <w:lang w:val="en-US"/>
              </w:rPr>
            </w:pPr>
            <w:r>
              <w:rPr>
                <w:rFonts w:hint="eastAsia"/>
                <w:sz w:val="21"/>
                <w:szCs w:val="21"/>
                <w:vertAlign w:val="baseline"/>
              </w:rPr>
              <w:t xml:space="preserve"> </w:t>
            </w:r>
            <w:r>
              <w:rPr>
                <w:rFonts w:hint="default"/>
                <w:sz w:val="21"/>
                <w:szCs w:val="21"/>
                <w:vertAlign w:val="baseline"/>
                <w:lang w:val="en-US"/>
              </w:rPr>
              <w:t xml:space="preserve"> </w:t>
            </w:r>
            <w:r>
              <w:rPr>
                <w:rFonts w:hint="eastAsia"/>
                <w:sz w:val="21"/>
                <w:szCs w:val="21"/>
                <w:vertAlign w:val="baseline"/>
                <w:lang w:val="en-US" w:eastAsia="zh-CN"/>
              </w:rPr>
              <w:t>工作条件：</w:t>
            </w:r>
            <w:r>
              <w:rPr>
                <w:rFonts w:hint="eastAsia"/>
                <w:sz w:val="21"/>
                <w:szCs w:val="21"/>
                <w:vertAlign w:val="baseline"/>
              </w:rPr>
              <w:t>环境温度0℃以下可工作，湿度≤80%，气压70-106kPa</w:t>
            </w:r>
          </w:p>
        </w:tc>
        <w:tc>
          <w:tcPr>
            <w:tcW w:w="1107" w:type="dxa"/>
            <w:vAlign w:val="center"/>
          </w:tcPr>
          <w:p w14:paraId="23D976D1">
            <w:pPr>
              <w:widowControl w:val="0"/>
              <w:jc w:val="left"/>
              <w:rPr>
                <w:sz w:val="24"/>
                <w:szCs w:val="24"/>
                <w:highlight w:val="none"/>
                <w:vertAlign w:val="baseline"/>
              </w:rPr>
            </w:pPr>
          </w:p>
        </w:tc>
      </w:tr>
      <w:tr w14:paraId="0188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shd w:val="clear" w:color="auto" w:fill="auto"/>
            <w:vAlign w:val="center"/>
          </w:tcPr>
          <w:p w14:paraId="2059DD1F">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4</w:t>
            </w:r>
          </w:p>
        </w:tc>
        <w:tc>
          <w:tcPr>
            <w:tcW w:w="3106" w:type="dxa"/>
            <w:shd w:val="clear" w:color="auto" w:fill="auto"/>
            <w:vAlign w:val="center"/>
          </w:tcPr>
          <w:p w14:paraId="55167279">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裂隙灯</w:t>
            </w:r>
          </w:p>
        </w:tc>
        <w:tc>
          <w:tcPr>
            <w:tcW w:w="937" w:type="dxa"/>
            <w:vAlign w:val="center"/>
          </w:tcPr>
          <w:p w14:paraId="5B7AEC4C">
            <w:pPr>
              <w:widowControl w:val="0"/>
              <w:jc w:val="center"/>
              <w:rPr>
                <w:rFonts w:hint="default"/>
                <w:sz w:val="24"/>
                <w:szCs w:val="24"/>
                <w:highlight w:val="none"/>
                <w:vertAlign w:val="baseline"/>
                <w:lang w:val="en-US"/>
              </w:rPr>
            </w:pPr>
            <w:r>
              <w:rPr>
                <w:rFonts w:hint="default"/>
                <w:sz w:val="24"/>
                <w:szCs w:val="24"/>
                <w:highlight w:val="none"/>
                <w:vertAlign w:val="baseline"/>
                <w:lang w:val="en-US"/>
              </w:rPr>
              <w:t>1</w:t>
            </w:r>
          </w:p>
        </w:tc>
        <w:tc>
          <w:tcPr>
            <w:tcW w:w="6849" w:type="dxa"/>
            <w:vAlign w:val="center"/>
          </w:tcPr>
          <w:p w14:paraId="5E7A6879">
            <w:pPr>
              <w:widowControl w:val="0"/>
              <w:jc w:val="both"/>
              <w:rPr>
                <w:rFonts w:hint="eastAsia"/>
                <w:b/>
                <w:bCs/>
                <w:sz w:val="21"/>
                <w:szCs w:val="21"/>
                <w:vertAlign w:val="baseline"/>
              </w:rPr>
            </w:pPr>
            <w:r>
              <w:rPr>
                <w:rFonts w:hint="eastAsia"/>
                <w:b/>
                <w:bCs/>
                <w:sz w:val="21"/>
                <w:szCs w:val="21"/>
                <w:vertAlign w:val="baseline"/>
              </w:rPr>
              <w:t>一、核心光学系统参数</w:t>
            </w:r>
          </w:p>
          <w:p w14:paraId="597B4637">
            <w:pPr>
              <w:widowControl w:val="0"/>
              <w:jc w:val="both"/>
              <w:rPr>
                <w:rFonts w:hint="eastAsia"/>
                <w:sz w:val="21"/>
                <w:szCs w:val="21"/>
                <w:vertAlign w:val="baseline"/>
              </w:rPr>
            </w:pPr>
            <w:r>
              <w:rPr>
                <w:rFonts w:hint="eastAsia"/>
                <w:sz w:val="21"/>
                <w:szCs w:val="21"/>
                <w:vertAlign w:val="baseline"/>
              </w:rPr>
              <w:t>1. 放大倍率</w:t>
            </w:r>
          </w:p>
          <w:p w14:paraId="1CA85A26">
            <w:pPr>
              <w:widowControl w:val="0"/>
              <w:jc w:val="both"/>
              <w:rPr>
                <w:rFonts w:hint="eastAsia"/>
                <w:sz w:val="21"/>
                <w:szCs w:val="21"/>
                <w:vertAlign w:val="baseline"/>
              </w:rPr>
            </w:pPr>
            <w:r>
              <w:rPr>
                <w:rFonts w:hint="eastAsia"/>
                <w:sz w:val="21"/>
                <w:szCs w:val="21"/>
                <w:vertAlign w:val="baseline"/>
              </w:rPr>
              <w:t xml:space="preserve">   · 范围：6x 至 50x，或更高。</w:t>
            </w:r>
          </w:p>
          <w:p w14:paraId="173E5383">
            <w:pPr>
              <w:widowControl w:val="0"/>
              <w:jc w:val="both"/>
              <w:rPr>
                <w:rFonts w:hint="eastAsia"/>
                <w:sz w:val="21"/>
                <w:szCs w:val="21"/>
                <w:vertAlign w:val="baseline"/>
              </w:rPr>
            </w:pPr>
            <w:r>
              <w:rPr>
                <w:rFonts w:hint="eastAsia"/>
                <w:sz w:val="21"/>
                <w:szCs w:val="21"/>
                <w:vertAlign w:val="baseline"/>
              </w:rPr>
              <w:t xml:space="preserve">   · 常见配置：通过切换不同目镜和物镜，或使用变倍伽利略系统实现10x</w:t>
            </w:r>
            <w:r>
              <w:rPr>
                <w:rFonts w:hint="eastAsia"/>
                <w:sz w:val="21"/>
                <w:szCs w:val="21"/>
                <w:vertAlign w:val="baseline"/>
                <w:lang w:val="en-US" w:eastAsia="zh-CN"/>
              </w:rPr>
              <w:t>至</w:t>
            </w:r>
            <w:r>
              <w:rPr>
                <w:rFonts w:hint="eastAsia"/>
                <w:sz w:val="21"/>
                <w:szCs w:val="21"/>
                <w:vertAlign w:val="baseline"/>
              </w:rPr>
              <w:t>40x 倍率。</w:t>
            </w:r>
          </w:p>
          <w:p w14:paraId="138CF154">
            <w:pPr>
              <w:widowControl w:val="0"/>
              <w:jc w:val="both"/>
              <w:rPr>
                <w:rFonts w:hint="eastAsia"/>
                <w:sz w:val="21"/>
                <w:szCs w:val="21"/>
                <w:vertAlign w:val="baseline"/>
              </w:rPr>
            </w:pPr>
            <w:r>
              <w:rPr>
                <w:rFonts w:hint="eastAsia"/>
                <w:sz w:val="21"/>
                <w:szCs w:val="21"/>
                <w:vertAlign w:val="baseline"/>
              </w:rPr>
              <w:t xml:space="preserve">   · 标准配置：10x 广角目镜，搭配 1x 标准物镜，基础总倍率约为 10x。</w:t>
            </w:r>
          </w:p>
          <w:p w14:paraId="4BC8D03F">
            <w:pPr>
              <w:widowControl w:val="0"/>
              <w:jc w:val="both"/>
              <w:rPr>
                <w:rFonts w:hint="eastAsia"/>
                <w:sz w:val="21"/>
                <w:szCs w:val="21"/>
                <w:vertAlign w:val="baseline"/>
              </w:rPr>
            </w:pPr>
            <w:r>
              <w:rPr>
                <w:rFonts w:hint="eastAsia"/>
                <w:sz w:val="21"/>
                <w:szCs w:val="21"/>
                <w:vertAlign w:val="baseline"/>
              </w:rPr>
              <w:t>2. 变倍方式</w:t>
            </w:r>
          </w:p>
          <w:p w14:paraId="3A8C379B">
            <w:pPr>
              <w:widowControl w:val="0"/>
              <w:jc w:val="both"/>
              <w:rPr>
                <w:rFonts w:hint="eastAsia"/>
                <w:sz w:val="21"/>
                <w:szCs w:val="21"/>
                <w:vertAlign w:val="baseline"/>
              </w:rPr>
            </w:pPr>
            <w:r>
              <w:rPr>
                <w:rFonts w:hint="eastAsia"/>
                <w:sz w:val="21"/>
                <w:szCs w:val="21"/>
                <w:vertAlign w:val="baseline"/>
              </w:rPr>
              <w:t xml:space="preserve">   · 分级变倍：固定几个档位（如6.3x, 10x, 16x, 25x, 40x），光学稳定，成像质量高。</w:t>
            </w:r>
          </w:p>
          <w:p w14:paraId="407F3FF4">
            <w:pPr>
              <w:widowControl w:val="0"/>
              <w:jc w:val="both"/>
              <w:rPr>
                <w:rFonts w:hint="eastAsia"/>
                <w:sz w:val="21"/>
                <w:szCs w:val="21"/>
                <w:vertAlign w:val="baseline"/>
              </w:rPr>
            </w:pPr>
            <w:r>
              <w:rPr>
                <w:rFonts w:hint="eastAsia"/>
                <w:sz w:val="21"/>
                <w:szCs w:val="21"/>
                <w:vertAlign w:val="baseline"/>
              </w:rPr>
              <w:t xml:space="preserve">   · 连续变倍：可在一定范围内（如6.5x-40x）无级调节，操作灵活。</w:t>
            </w:r>
          </w:p>
          <w:p w14:paraId="61A2DB8A">
            <w:pPr>
              <w:widowControl w:val="0"/>
              <w:jc w:val="both"/>
              <w:rPr>
                <w:rFonts w:hint="eastAsia"/>
                <w:sz w:val="21"/>
                <w:szCs w:val="21"/>
                <w:vertAlign w:val="baseline"/>
              </w:rPr>
            </w:pPr>
            <w:r>
              <w:rPr>
                <w:rFonts w:hint="eastAsia"/>
                <w:sz w:val="21"/>
                <w:szCs w:val="21"/>
                <w:vertAlign w:val="baseline"/>
              </w:rPr>
              <w:t xml:space="preserve">   · 电动变倍：高端型号配备，通过手柄或触摸屏控制，方便且精准。</w:t>
            </w:r>
          </w:p>
          <w:p w14:paraId="7398C7D7">
            <w:pPr>
              <w:widowControl w:val="0"/>
              <w:jc w:val="both"/>
              <w:rPr>
                <w:rFonts w:hint="eastAsia"/>
                <w:sz w:val="21"/>
                <w:szCs w:val="21"/>
                <w:vertAlign w:val="baseline"/>
              </w:rPr>
            </w:pPr>
            <w:r>
              <w:rPr>
                <w:rFonts w:hint="eastAsia"/>
                <w:sz w:val="21"/>
                <w:szCs w:val="21"/>
                <w:vertAlign w:val="baseline"/>
              </w:rPr>
              <w:t>3. 工作距离</w:t>
            </w:r>
          </w:p>
          <w:p w14:paraId="6226B0FC">
            <w:pPr>
              <w:widowControl w:val="0"/>
              <w:jc w:val="both"/>
              <w:rPr>
                <w:rFonts w:hint="eastAsia"/>
                <w:sz w:val="21"/>
                <w:szCs w:val="21"/>
                <w:vertAlign w:val="baseline"/>
              </w:rPr>
            </w:pPr>
            <w:r>
              <w:rPr>
                <w:rFonts w:hint="eastAsia"/>
                <w:sz w:val="21"/>
                <w:szCs w:val="21"/>
                <w:vertAlign w:val="baseline"/>
              </w:rPr>
              <w:t xml:space="preserve">   · 定义：物镜前端到患者角膜的标准距离。</w:t>
            </w:r>
          </w:p>
          <w:p w14:paraId="7A98C91A">
            <w:pPr>
              <w:widowControl w:val="0"/>
              <w:jc w:val="both"/>
              <w:rPr>
                <w:rFonts w:hint="eastAsia"/>
                <w:sz w:val="21"/>
                <w:szCs w:val="21"/>
                <w:vertAlign w:val="baseline"/>
              </w:rPr>
            </w:pPr>
            <w:r>
              <w:rPr>
                <w:rFonts w:hint="eastAsia"/>
                <w:sz w:val="21"/>
                <w:szCs w:val="21"/>
                <w:vertAlign w:val="baseline"/>
              </w:rPr>
              <w:t xml:space="preserve">   · 通用值：绝大多数裂隙灯为 100mm 或 105mm。这个距离为医生操作提供了舒适空间，也兼容大部分辅助镜头（如房角镜、三面镜）。</w:t>
            </w:r>
          </w:p>
          <w:p w14:paraId="6EAEC6C5">
            <w:pPr>
              <w:widowControl w:val="0"/>
              <w:jc w:val="both"/>
              <w:rPr>
                <w:rFonts w:hint="eastAsia"/>
                <w:sz w:val="21"/>
                <w:szCs w:val="21"/>
                <w:vertAlign w:val="baseline"/>
              </w:rPr>
            </w:pPr>
            <w:r>
              <w:rPr>
                <w:rFonts w:hint="eastAsia"/>
                <w:sz w:val="21"/>
                <w:szCs w:val="21"/>
                <w:vertAlign w:val="baseline"/>
              </w:rPr>
              <w:t>4. 裂隙系统</w:t>
            </w:r>
          </w:p>
          <w:p w14:paraId="67CEBAD0">
            <w:pPr>
              <w:widowControl w:val="0"/>
              <w:jc w:val="both"/>
              <w:rPr>
                <w:rFonts w:hint="eastAsia"/>
                <w:sz w:val="21"/>
                <w:szCs w:val="21"/>
                <w:vertAlign w:val="baseline"/>
              </w:rPr>
            </w:pPr>
            <w:r>
              <w:rPr>
                <w:rFonts w:hint="eastAsia"/>
                <w:sz w:val="21"/>
                <w:szCs w:val="21"/>
                <w:vertAlign w:val="baseline"/>
              </w:rPr>
              <w:t xml:space="preserve">   · 裂隙宽度：可调范围通常为 0 至 14mm（完全闭合至完全开放）。精密型号可进行微米级调节。</w:t>
            </w:r>
          </w:p>
          <w:p w14:paraId="2A6D5E66">
            <w:pPr>
              <w:widowControl w:val="0"/>
              <w:jc w:val="both"/>
              <w:rPr>
                <w:rFonts w:hint="eastAsia"/>
                <w:sz w:val="21"/>
                <w:szCs w:val="21"/>
                <w:vertAlign w:val="baseline"/>
              </w:rPr>
            </w:pPr>
            <w:r>
              <w:rPr>
                <w:rFonts w:hint="eastAsia"/>
                <w:sz w:val="21"/>
                <w:szCs w:val="21"/>
                <w:vertAlign w:val="baseline"/>
              </w:rPr>
              <w:t xml:space="preserve">   · 裂隙长度：可调范围通常为 0 至 14mm（点状至长条形）。可旋转形成任意方向的裂隙。</w:t>
            </w:r>
          </w:p>
          <w:p w14:paraId="4B0FAD10">
            <w:pPr>
              <w:widowControl w:val="0"/>
              <w:jc w:val="both"/>
              <w:rPr>
                <w:rFonts w:hint="eastAsia"/>
                <w:sz w:val="21"/>
                <w:szCs w:val="21"/>
                <w:vertAlign w:val="baseline"/>
              </w:rPr>
            </w:pPr>
            <w:r>
              <w:rPr>
                <w:rFonts w:hint="eastAsia"/>
                <w:sz w:val="21"/>
                <w:szCs w:val="21"/>
                <w:vertAlign w:val="baseline"/>
              </w:rPr>
              <w:t xml:space="preserve">   · 裂隙旋转：通常为 0-180° 连续旋转。</w:t>
            </w:r>
          </w:p>
          <w:p w14:paraId="00B800EC">
            <w:pPr>
              <w:widowControl w:val="0"/>
              <w:jc w:val="both"/>
              <w:rPr>
                <w:rFonts w:hint="eastAsia"/>
                <w:sz w:val="21"/>
                <w:szCs w:val="21"/>
                <w:vertAlign w:val="baseline"/>
              </w:rPr>
            </w:pPr>
            <w:r>
              <w:rPr>
                <w:rFonts w:hint="eastAsia"/>
                <w:sz w:val="21"/>
                <w:szCs w:val="21"/>
                <w:vertAlign w:val="baseline"/>
              </w:rPr>
              <w:t xml:space="preserve">   · 光源类型：现代均为高亮度LED光源。优势：寿命长、色温稳定、亮度可调、低发热、节能。</w:t>
            </w:r>
          </w:p>
          <w:p w14:paraId="684651E9">
            <w:pPr>
              <w:widowControl w:val="0"/>
              <w:jc w:val="both"/>
              <w:rPr>
                <w:rFonts w:hint="eastAsia"/>
                <w:sz w:val="21"/>
                <w:szCs w:val="21"/>
                <w:vertAlign w:val="baseline"/>
              </w:rPr>
            </w:pPr>
            <w:r>
              <w:rPr>
                <w:rFonts w:hint="eastAsia"/>
                <w:sz w:val="21"/>
                <w:szCs w:val="21"/>
                <w:vertAlign w:val="baseline"/>
              </w:rPr>
              <w:t xml:space="preserve">   · 滤光片：标准配备包括：</w:t>
            </w:r>
          </w:p>
          <w:p w14:paraId="6A05A0B5">
            <w:pPr>
              <w:widowControl w:val="0"/>
              <w:jc w:val="both"/>
              <w:rPr>
                <w:rFonts w:hint="eastAsia"/>
                <w:sz w:val="21"/>
                <w:szCs w:val="21"/>
                <w:vertAlign w:val="baseline"/>
              </w:rPr>
            </w:pPr>
            <w:r>
              <w:rPr>
                <w:rFonts w:hint="eastAsia"/>
                <w:sz w:val="21"/>
                <w:szCs w:val="21"/>
                <w:vertAlign w:val="baseline"/>
              </w:rPr>
              <w:t xml:space="preserve">     · 钴蓝光滤片：用于荧光素染色检查（如角膜上皮缺损、Seidel试验）。</w:t>
            </w:r>
          </w:p>
          <w:p w14:paraId="0458DDDB">
            <w:pPr>
              <w:widowControl w:val="0"/>
              <w:jc w:val="both"/>
              <w:rPr>
                <w:rFonts w:hint="eastAsia"/>
                <w:sz w:val="21"/>
                <w:szCs w:val="21"/>
                <w:vertAlign w:val="baseline"/>
              </w:rPr>
            </w:pPr>
            <w:r>
              <w:rPr>
                <w:rFonts w:hint="eastAsia"/>
                <w:sz w:val="21"/>
                <w:szCs w:val="21"/>
                <w:vertAlign w:val="baseline"/>
              </w:rPr>
              <w:t xml:space="preserve">     · 无赤光（绿色）滤片：增强血管和神经的对比度，常用于观察视网膜和虹膜血管。</w:t>
            </w:r>
          </w:p>
          <w:p w14:paraId="10B68C04">
            <w:pPr>
              <w:widowControl w:val="0"/>
              <w:jc w:val="both"/>
              <w:rPr>
                <w:rFonts w:hint="eastAsia"/>
                <w:sz w:val="21"/>
                <w:szCs w:val="21"/>
                <w:vertAlign w:val="baseline"/>
              </w:rPr>
            </w:pPr>
            <w:r>
              <w:rPr>
                <w:rFonts w:hint="eastAsia"/>
                <w:sz w:val="21"/>
                <w:szCs w:val="21"/>
                <w:vertAlign w:val="baseline"/>
              </w:rPr>
              <w:t xml:space="preserve">     · 减光片/中性密度滤片：用于畏光患者或常规筛查。</w:t>
            </w:r>
          </w:p>
          <w:p w14:paraId="5125532B">
            <w:pPr>
              <w:widowControl w:val="0"/>
              <w:jc w:val="both"/>
              <w:rPr>
                <w:rFonts w:hint="eastAsia"/>
                <w:sz w:val="21"/>
                <w:szCs w:val="21"/>
                <w:vertAlign w:val="baseline"/>
              </w:rPr>
            </w:pPr>
            <w:r>
              <w:rPr>
                <w:rFonts w:hint="eastAsia"/>
                <w:sz w:val="21"/>
                <w:szCs w:val="21"/>
                <w:vertAlign w:val="baseline"/>
              </w:rPr>
              <w:t xml:space="preserve">     · 漫射滤片：用于弥散光照明，进行眼前节整体观察。</w:t>
            </w:r>
          </w:p>
          <w:p w14:paraId="5E01A61E">
            <w:pPr>
              <w:widowControl w:val="0"/>
              <w:jc w:val="both"/>
              <w:rPr>
                <w:rFonts w:hint="eastAsia"/>
                <w:b/>
                <w:bCs/>
                <w:sz w:val="21"/>
                <w:szCs w:val="21"/>
                <w:vertAlign w:val="baseline"/>
              </w:rPr>
            </w:pPr>
            <w:r>
              <w:rPr>
                <w:rFonts w:hint="eastAsia"/>
                <w:b/>
                <w:bCs/>
                <w:sz w:val="21"/>
                <w:szCs w:val="21"/>
                <w:vertAlign w:val="baseline"/>
              </w:rPr>
              <w:t>二、机械与操作参数</w:t>
            </w:r>
          </w:p>
          <w:p w14:paraId="2831B44D">
            <w:pPr>
              <w:widowControl w:val="0"/>
              <w:jc w:val="both"/>
              <w:rPr>
                <w:rFonts w:hint="eastAsia"/>
                <w:sz w:val="21"/>
                <w:szCs w:val="21"/>
                <w:vertAlign w:val="baseline"/>
              </w:rPr>
            </w:pPr>
            <w:r>
              <w:rPr>
                <w:rFonts w:hint="eastAsia"/>
                <w:sz w:val="21"/>
                <w:szCs w:val="21"/>
                <w:vertAlign w:val="baseline"/>
              </w:rPr>
              <w:t>1. 观察系统</w:t>
            </w:r>
          </w:p>
          <w:p w14:paraId="38B48D8E">
            <w:pPr>
              <w:widowControl w:val="0"/>
              <w:jc w:val="both"/>
              <w:rPr>
                <w:rFonts w:hint="eastAsia"/>
                <w:sz w:val="21"/>
                <w:szCs w:val="21"/>
                <w:vertAlign w:val="baseline"/>
              </w:rPr>
            </w:pPr>
            <w:r>
              <w:rPr>
                <w:rFonts w:hint="eastAsia"/>
                <w:sz w:val="21"/>
                <w:szCs w:val="21"/>
                <w:vertAlign w:val="baseline"/>
              </w:rPr>
              <w:t xml:space="preserve">   · 双目视差角：通常为 10°- 15°，提供良好的立体视。</w:t>
            </w:r>
          </w:p>
          <w:p w14:paraId="6806D7D8">
            <w:pPr>
              <w:widowControl w:val="0"/>
              <w:jc w:val="both"/>
              <w:rPr>
                <w:rFonts w:hint="eastAsia"/>
                <w:sz w:val="21"/>
                <w:szCs w:val="21"/>
                <w:vertAlign w:val="baseline"/>
              </w:rPr>
            </w:pPr>
            <w:r>
              <w:rPr>
                <w:rFonts w:hint="eastAsia"/>
                <w:sz w:val="21"/>
                <w:szCs w:val="21"/>
                <w:vertAlign w:val="baseline"/>
              </w:rPr>
              <w:t xml:space="preserve">   · 瞳距调节：范围通常为 50mm - 80mm，适应不同医生。</w:t>
            </w:r>
          </w:p>
          <w:p w14:paraId="2233050A">
            <w:pPr>
              <w:widowControl w:val="0"/>
              <w:jc w:val="both"/>
              <w:rPr>
                <w:rFonts w:hint="eastAsia"/>
                <w:sz w:val="21"/>
                <w:szCs w:val="21"/>
                <w:vertAlign w:val="baseline"/>
              </w:rPr>
            </w:pPr>
            <w:r>
              <w:rPr>
                <w:rFonts w:hint="eastAsia"/>
                <w:sz w:val="21"/>
                <w:szCs w:val="21"/>
                <w:vertAlign w:val="baseline"/>
              </w:rPr>
              <w:t xml:space="preserve">   · 屈光度补偿：目镜通常具有 ±5D 至 ±8D 的屈光度调节，方便未佩戴眼镜的医生使用。</w:t>
            </w:r>
          </w:p>
          <w:p w14:paraId="6DE1520F">
            <w:pPr>
              <w:widowControl w:val="0"/>
              <w:jc w:val="both"/>
              <w:rPr>
                <w:rFonts w:hint="eastAsia"/>
                <w:sz w:val="21"/>
                <w:szCs w:val="21"/>
                <w:vertAlign w:val="baseline"/>
              </w:rPr>
            </w:pPr>
            <w:r>
              <w:rPr>
                <w:rFonts w:hint="eastAsia"/>
                <w:sz w:val="21"/>
                <w:szCs w:val="21"/>
                <w:vertAlign w:val="baseline"/>
              </w:rPr>
              <w:t>2. 照明系统夹角</w:t>
            </w:r>
          </w:p>
          <w:p w14:paraId="540FEE1B">
            <w:pPr>
              <w:widowControl w:val="0"/>
              <w:jc w:val="both"/>
              <w:rPr>
                <w:rFonts w:hint="eastAsia"/>
                <w:sz w:val="21"/>
                <w:szCs w:val="21"/>
                <w:vertAlign w:val="baseline"/>
              </w:rPr>
            </w:pPr>
            <w:r>
              <w:rPr>
                <w:rFonts w:hint="eastAsia"/>
                <w:sz w:val="21"/>
                <w:szCs w:val="21"/>
                <w:vertAlign w:val="baseline"/>
              </w:rPr>
              <w:t xml:space="preserve">   · 共焦同轴：照明光路与观察光路焦点一致，是基本模式。</w:t>
            </w:r>
          </w:p>
          <w:p w14:paraId="7DB3634E">
            <w:pPr>
              <w:widowControl w:val="0"/>
              <w:jc w:val="both"/>
              <w:rPr>
                <w:rFonts w:hint="eastAsia"/>
                <w:sz w:val="21"/>
                <w:szCs w:val="21"/>
                <w:vertAlign w:val="baseline"/>
              </w:rPr>
            </w:pPr>
            <w:r>
              <w:rPr>
                <w:rFonts w:hint="eastAsia"/>
                <w:sz w:val="21"/>
                <w:szCs w:val="21"/>
                <w:vertAlign w:val="baseline"/>
              </w:rPr>
              <w:t xml:space="preserve">   · 夹角范围：照明臂可围绕观察轴旋转，常见范围 0° - 90° 或更广（某些型号可达180°），以实现不同照明法（如间接照明、镜面反射）。</w:t>
            </w:r>
          </w:p>
          <w:p w14:paraId="6B384BB6">
            <w:pPr>
              <w:widowControl w:val="0"/>
              <w:jc w:val="both"/>
              <w:rPr>
                <w:rFonts w:hint="eastAsia"/>
                <w:sz w:val="21"/>
                <w:szCs w:val="21"/>
                <w:vertAlign w:val="baseline"/>
              </w:rPr>
            </w:pPr>
            <w:r>
              <w:rPr>
                <w:rFonts w:hint="eastAsia"/>
                <w:sz w:val="21"/>
                <w:szCs w:val="21"/>
                <w:vertAlign w:val="baseline"/>
              </w:rPr>
              <w:t>3. 操控性与运动</w:t>
            </w:r>
          </w:p>
          <w:p w14:paraId="53BA9AE4">
            <w:pPr>
              <w:widowControl w:val="0"/>
              <w:jc w:val="both"/>
              <w:rPr>
                <w:rFonts w:hint="eastAsia"/>
                <w:sz w:val="21"/>
                <w:szCs w:val="21"/>
                <w:vertAlign w:val="baseline"/>
              </w:rPr>
            </w:pPr>
            <w:r>
              <w:rPr>
                <w:rFonts w:hint="eastAsia"/>
                <w:sz w:val="21"/>
                <w:szCs w:val="21"/>
                <w:vertAlign w:val="baseline"/>
              </w:rPr>
              <w:t xml:space="preserve">   · 移动范围：</w:t>
            </w:r>
          </w:p>
          <w:p w14:paraId="147008DC">
            <w:pPr>
              <w:widowControl w:val="0"/>
              <w:jc w:val="both"/>
              <w:rPr>
                <w:rFonts w:hint="eastAsia"/>
                <w:sz w:val="21"/>
                <w:szCs w:val="21"/>
                <w:vertAlign w:val="baseline"/>
              </w:rPr>
            </w:pPr>
            <w:r>
              <w:rPr>
                <w:rFonts w:hint="eastAsia"/>
                <w:sz w:val="21"/>
                <w:szCs w:val="21"/>
                <w:vertAlign w:val="baseline"/>
              </w:rPr>
              <w:t xml:space="preserve">     · 前后（Z轴）：通常 30-50mm（调焦）。</w:t>
            </w:r>
          </w:p>
          <w:p w14:paraId="09DF7AC2">
            <w:pPr>
              <w:widowControl w:val="0"/>
              <w:jc w:val="both"/>
              <w:rPr>
                <w:rFonts w:hint="eastAsia"/>
                <w:sz w:val="21"/>
                <w:szCs w:val="21"/>
                <w:vertAlign w:val="baseline"/>
              </w:rPr>
            </w:pPr>
            <w:r>
              <w:rPr>
                <w:rFonts w:hint="eastAsia"/>
                <w:sz w:val="21"/>
                <w:szCs w:val="21"/>
                <w:vertAlign w:val="baseline"/>
              </w:rPr>
              <w:t xml:space="preserve">     · 左右（X轴）：通常 80-120mm（横向扫描）。</w:t>
            </w:r>
          </w:p>
          <w:p w14:paraId="533AE055">
            <w:pPr>
              <w:widowControl w:val="0"/>
              <w:jc w:val="both"/>
              <w:rPr>
                <w:rFonts w:hint="eastAsia"/>
                <w:sz w:val="21"/>
                <w:szCs w:val="21"/>
                <w:vertAlign w:val="baseline"/>
              </w:rPr>
            </w:pPr>
            <w:r>
              <w:rPr>
                <w:rFonts w:hint="eastAsia"/>
                <w:sz w:val="21"/>
                <w:szCs w:val="21"/>
                <w:vertAlign w:val="baseline"/>
              </w:rPr>
              <w:t xml:space="preserve">     · 上下（Y轴）：通常 50-80mm（高度调节）。</w:t>
            </w:r>
          </w:p>
          <w:p w14:paraId="7765925B">
            <w:pPr>
              <w:widowControl w:val="0"/>
              <w:jc w:val="both"/>
              <w:rPr>
                <w:rFonts w:hint="eastAsia"/>
                <w:sz w:val="21"/>
                <w:szCs w:val="21"/>
                <w:vertAlign w:val="baseline"/>
              </w:rPr>
            </w:pPr>
            <w:r>
              <w:rPr>
                <w:rFonts w:hint="eastAsia"/>
                <w:sz w:val="21"/>
                <w:szCs w:val="21"/>
                <w:vertAlign w:val="baseline"/>
              </w:rPr>
              <w:t xml:space="preserve">   · 操纵杆控制：主流设计，实现X-Y-Z三轴平滑、精确移动。</w:t>
            </w:r>
          </w:p>
          <w:p w14:paraId="1F3C9411">
            <w:pPr>
              <w:widowControl w:val="0"/>
              <w:jc w:val="both"/>
              <w:rPr>
                <w:rFonts w:hint="eastAsia"/>
                <w:sz w:val="21"/>
                <w:szCs w:val="21"/>
                <w:vertAlign w:val="baseline"/>
              </w:rPr>
            </w:pPr>
            <w:r>
              <w:rPr>
                <w:rFonts w:hint="eastAsia"/>
                <w:sz w:val="21"/>
                <w:szCs w:val="21"/>
                <w:vertAlign w:val="baseline"/>
              </w:rPr>
              <w:t xml:space="preserve">   · 底座类型：机械摩擦式（经济）或液压式（超平滑，高端型号标配）。</w:t>
            </w:r>
          </w:p>
          <w:p w14:paraId="5F8CEDD3">
            <w:pPr>
              <w:widowControl w:val="0"/>
              <w:jc w:val="both"/>
              <w:rPr>
                <w:rFonts w:hint="eastAsia"/>
                <w:b/>
                <w:bCs/>
                <w:sz w:val="21"/>
                <w:szCs w:val="21"/>
                <w:vertAlign w:val="baseline"/>
              </w:rPr>
            </w:pPr>
            <w:r>
              <w:rPr>
                <w:rFonts w:hint="eastAsia"/>
                <w:b/>
                <w:bCs/>
                <w:sz w:val="21"/>
                <w:szCs w:val="21"/>
                <w:vertAlign w:val="baseline"/>
              </w:rPr>
              <w:t>三、附加功能与扩展性参数</w:t>
            </w:r>
          </w:p>
          <w:p w14:paraId="7AC9F215">
            <w:pPr>
              <w:widowControl w:val="0"/>
              <w:jc w:val="both"/>
              <w:rPr>
                <w:rFonts w:hint="eastAsia"/>
                <w:sz w:val="21"/>
                <w:szCs w:val="21"/>
                <w:vertAlign w:val="baseline"/>
              </w:rPr>
            </w:pPr>
            <w:r>
              <w:rPr>
                <w:rFonts w:hint="eastAsia"/>
                <w:sz w:val="21"/>
                <w:szCs w:val="21"/>
                <w:vertAlign w:val="baseline"/>
              </w:rPr>
              <w:t>1. 压平眼压计</w:t>
            </w:r>
          </w:p>
          <w:p w14:paraId="4A343D7E">
            <w:pPr>
              <w:widowControl w:val="0"/>
              <w:jc w:val="both"/>
              <w:rPr>
                <w:rFonts w:hint="eastAsia"/>
                <w:sz w:val="21"/>
                <w:szCs w:val="21"/>
                <w:vertAlign w:val="baseline"/>
              </w:rPr>
            </w:pPr>
            <w:r>
              <w:rPr>
                <w:rFonts w:hint="eastAsia"/>
                <w:sz w:val="21"/>
                <w:szCs w:val="21"/>
                <w:vertAlign w:val="baseline"/>
              </w:rPr>
              <w:t xml:space="preserve">   · Goldmann压平眼压计：国际金标准，作为附件或内置模块。测量范围通常为 0-80 mmHg。</w:t>
            </w:r>
          </w:p>
          <w:p w14:paraId="6761EA21">
            <w:pPr>
              <w:widowControl w:val="0"/>
              <w:jc w:val="both"/>
              <w:rPr>
                <w:rFonts w:hint="eastAsia"/>
                <w:sz w:val="21"/>
                <w:szCs w:val="21"/>
                <w:vertAlign w:val="baseline"/>
              </w:rPr>
            </w:pPr>
            <w:r>
              <w:rPr>
                <w:rFonts w:hint="eastAsia"/>
                <w:sz w:val="21"/>
                <w:szCs w:val="21"/>
                <w:vertAlign w:val="baseline"/>
              </w:rPr>
              <w:t>2. 前房深度测量</w:t>
            </w:r>
          </w:p>
          <w:p w14:paraId="7DE7CD23">
            <w:pPr>
              <w:widowControl w:val="0"/>
              <w:jc w:val="both"/>
              <w:rPr>
                <w:rFonts w:hint="eastAsia"/>
                <w:sz w:val="21"/>
                <w:szCs w:val="21"/>
                <w:vertAlign w:val="baseline"/>
              </w:rPr>
            </w:pPr>
            <w:r>
              <w:rPr>
                <w:rFonts w:hint="eastAsia"/>
                <w:sz w:val="21"/>
                <w:szCs w:val="21"/>
                <w:vertAlign w:val="baseline"/>
              </w:rPr>
              <w:t xml:space="preserve">   · 光学前房深度计：以毫米为单位测量中央前房深度。</w:t>
            </w:r>
          </w:p>
          <w:p w14:paraId="2F8BBFA1">
            <w:pPr>
              <w:widowControl w:val="0"/>
              <w:jc w:val="both"/>
              <w:rPr>
                <w:rFonts w:hint="eastAsia"/>
                <w:sz w:val="21"/>
                <w:szCs w:val="21"/>
                <w:vertAlign w:val="baseline"/>
              </w:rPr>
            </w:pPr>
            <w:r>
              <w:rPr>
                <w:rFonts w:hint="eastAsia"/>
                <w:sz w:val="21"/>
                <w:szCs w:val="21"/>
                <w:vertAlign w:val="baseline"/>
              </w:rPr>
              <w:t>3. 数码成像系统</w:t>
            </w:r>
          </w:p>
          <w:p w14:paraId="389B6846">
            <w:pPr>
              <w:widowControl w:val="0"/>
              <w:jc w:val="both"/>
              <w:rPr>
                <w:rFonts w:hint="eastAsia"/>
                <w:sz w:val="21"/>
                <w:szCs w:val="21"/>
                <w:vertAlign w:val="baseline"/>
              </w:rPr>
            </w:pPr>
            <w:r>
              <w:rPr>
                <w:rFonts w:hint="eastAsia"/>
                <w:sz w:val="21"/>
                <w:szCs w:val="21"/>
                <w:vertAlign w:val="baseline"/>
              </w:rPr>
              <w:t xml:space="preserve">   · 相机接口：C型或专属接口，兼容单反、微单或专用CCD/CMOS数码相机。</w:t>
            </w:r>
          </w:p>
          <w:p w14:paraId="183E1533">
            <w:pPr>
              <w:widowControl w:val="0"/>
              <w:jc w:val="both"/>
              <w:rPr>
                <w:rFonts w:hint="eastAsia"/>
                <w:sz w:val="21"/>
                <w:szCs w:val="21"/>
                <w:vertAlign w:val="baseline"/>
              </w:rPr>
            </w:pPr>
            <w:r>
              <w:rPr>
                <w:rFonts w:hint="eastAsia"/>
                <w:sz w:val="21"/>
                <w:szCs w:val="21"/>
                <w:vertAlign w:val="baseline"/>
              </w:rPr>
              <w:t xml:space="preserve">   · 视频输出：支持实时视频录制和远程会诊。</w:t>
            </w:r>
          </w:p>
          <w:p w14:paraId="3718C3F1">
            <w:pPr>
              <w:widowControl w:val="0"/>
              <w:jc w:val="both"/>
              <w:rPr>
                <w:rFonts w:hint="eastAsia"/>
                <w:sz w:val="21"/>
                <w:szCs w:val="21"/>
                <w:vertAlign w:val="baseline"/>
              </w:rPr>
            </w:pPr>
            <w:r>
              <w:rPr>
                <w:rFonts w:hint="eastAsia"/>
                <w:sz w:val="21"/>
                <w:szCs w:val="21"/>
                <w:vertAlign w:val="baseline"/>
              </w:rPr>
              <w:t xml:space="preserve">   · 分辨率：根据相机而定，现代系统常配备 500万像素以上的专用相机。</w:t>
            </w:r>
          </w:p>
          <w:p w14:paraId="6725BEAF">
            <w:pPr>
              <w:widowControl w:val="0"/>
              <w:jc w:val="both"/>
              <w:rPr>
                <w:rFonts w:hint="eastAsia"/>
                <w:sz w:val="21"/>
                <w:szCs w:val="21"/>
                <w:vertAlign w:val="baseline"/>
              </w:rPr>
            </w:pPr>
            <w:r>
              <w:rPr>
                <w:rFonts w:hint="eastAsia"/>
                <w:sz w:val="21"/>
                <w:szCs w:val="21"/>
                <w:vertAlign w:val="baseline"/>
              </w:rPr>
              <w:t xml:space="preserve">   · 软件功能：患者数据库管理、图像标注、测量（长度、角度、面积）、前后对比、视频分析等。</w:t>
            </w:r>
          </w:p>
          <w:p w14:paraId="52F1FBEA">
            <w:pPr>
              <w:widowControl w:val="0"/>
              <w:jc w:val="both"/>
              <w:rPr>
                <w:rFonts w:hint="eastAsia"/>
                <w:sz w:val="21"/>
                <w:szCs w:val="21"/>
                <w:vertAlign w:val="baseline"/>
              </w:rPr>
            </w:pPr>
            <w:r>
              <w:rPr>
                <w:rFonts w:hint="eastAsia"/>
                <w:sz w:val="21"/>
                <w:szCs w:val="21"/>
                <w:vertAlign w:val="baseline"/>
              </w:rPr>
              <w:t>4. 激光治疗功能（SLT/YAG激光一体机）</w:t>
            </w:r>
          </w:p>
          <w:p w14:paraId="7F3717E7">
            <w:pPr>
              <w:widowControl w:val="0"/>
              <w:jc w:val="both"/>
              <w:rPr>
                <w:rFonts w:hint="eastAsia"/>
                <w:sz w:val="21"/>
                <w:szCs w:val="21"/>
                <w:vertAlign w:val="baseline"/>
              </w:rPr>
            </w:pPr>
            <w:r>
              <w:rPr>
                <w:rFonts w:hint="eastAsia"/>
                <w:sz w:val="21"/>
                <w:szCs w:val="21"/>
                <w:vertAlign w:val="baseline"/>
              </w:rPr>
              <w:t xml:space="preserve">   · 高端整合系统可将选择性激光小梁成形术（SLT）或Nd:YAG激光治疗模块与裂隙灯结合，用于治疗青光眼和后发性白内障。</w:t>
            </w:r>
          </w:p>
          <w:p w14:paraId="653DF0BB">
            <w:pPr>
              <w:widowControl w:val="0"/>
              <w:jc w:val="both"/>
              <w:rPr>
                <w:rFonts w:hint="eastAsia"/>
                <w:b/>
                <w:bCs/>
                <w:sz w:val="21"/>
                <w:szCs w:val="21"/>
                <w:vertAlign w:val="baseline"/>
              </w:rPr>
            </w:pPr>
            <w:r>
              <w:rPr>
                <w:rFonts w:hint="eastAsia"/>
                <w:b/>
                <w:bCs/>
                <w:sz w:val="21"/>
                <w:szCs w:val="21"/>
                <w:vertAlign w:val="baseline"/>
              </w:rPr>
              <w:t>四、物理与环境参数</w:t>
            </w:r>
          </w:p>
          <w:p w14:paraId="22659B62">
            <w:pPr>
              <w:widowControl w:val="0"/>
              <w:jc w:val="both"/>
              <w:rPr>
                <w:rFonts w:hint="eastAsia"/>
                <w:sz w:val="21"/>
                <w:szCs w:val="21"/>
                <w:vertAlign w:val="baseline"/>
              </w:rPr>
            </w:pPr>
            <w:r>
              <w:rPr>
                <w:rFonts w:hint="eastAsia"/>
                <w:sz w:val="21"/>
                <w:szCs w:val="21"/>
                <w:vertAlign w:val="baseline"/>
              </w:rPr>
              <w:t>1. 电源要求：AC 100-240V，50/60Hz，适应全球电压。</w:t>
            </w:r>
          </w:p>
          <w:p w14:paraId="60B20E8A">
            <w:pPr>
              <w:widowControl w:val="0"/>
              <w:jc w:val="both"/>
              <w:rPr>
                <w:rFonts w:hint="eastAsia"/>
                <w:sz w:val="21"/>
                <w:szCs w:val="21"/>
                <w:vertAlign w:val="baseline"/>
              </w:rPr>
            </w:pPr>
            <w:r>
              <w:rPr>
                <w:rFonts w:hint="eastAsia"/>
                <w:sz w:val="21"/>
                <w:szCs w:val="21"/>
                <w:vertAlign w:val="baseline"/>
              </w:rPr>
              <w:t>2. 功耗：&lt;100W。</w:t>
            </w:r>
          </w:p>
          <w:p w14:paraId="5CBD75CC">
            <w:pPr>
              <w:widowControl w:val="0"/>
              <w:jc w:val="both"/>
              <w:rPr>
                <w:rFonts w:hint="eastAsia"/>
                <w:sz w:val="21"/>
                <w:szCs w:val="21"/>
                <w:vertAlign w:val="baseline"/>
              </w:rPr>
            </w:pPr>
            <w:r>
              <w:rPr>
                <w:rFonts w:hint="eastAsia"/>
                <w:sz w:val="21"/>
                <w:szCs w:val="21"/>
                <w:vertAlign w:val="baseline"/>
              </w:rPr>
              <w:t>3. 尺寸与重量：主机（不含台车）重量在 15-30kg。</w:t>
            </w:r>
          </w:p>
          <w:p w14:paraId="2E343ED1">
            <w:pPr>
              <w:widowControl w:val="0"/>
              <w:jc w:val="left"/>
              <w:rPr>
                <w:rFonts w:hint="default"/>
                <w:sz w:val="21"/>
                <w:szCs w:val="21"/>
                <w:highlight w:val="none"/>
                <w:vertAlign w:val="baseline"/>
                <w:lang w:val="en-US"/>
              </w:rPr>
            </w:pPr>
            <w:r>
              <w:rPr>
                <w:rFonts w:hint="eastAsia"/>
                <w:sz w:val="21"/>
                <w:szCs w:val="21"/>
                <w:vertAlign w:val="baseline"/>
              </w:rPr>
              <w:t>4. 工作环境：温度 10°C - 40°C，湿度 30% - 80%（非冷凝）。</w:t>
            </w:r>
          </w:p>
        </w:tc>
        <w:tc>
          <w:tcPr>
            <w:tcW w:w="1107" w:type="dxa"/>
            <w:vAlign w:val="center"/>
          </w:tcPr>
          <w:p w14:paraId="47B8B716">
            <w:pPr>
              <w:widowControl w:val="0"/>
              <w:jc w:val="left"/>
              <w:rPr>
                <w:rFonts w:hint="default"/>
                <w:sz w:val="21"/>
                <w:szCs w:val="21"/>
                <w:highlight w:val="none"/>
                <w:vertAlign w:val="baseline"/>
                <w:lang w:val="en-US"/>
              </w:rPr>
            </w:pPr>
          </w:p>
        </w:tc>
      </w:tr>
      <w:tr w14:paraId="5BB8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148447D8">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5</w:t>
            </w:r>
          </w:p>
        </w:tc>
        <w:tc>
          <w:tcPr>
            <w:tcW w:w="3106" w:type="dxa"/>
            <w:vAlign w:val="center"/>
          </w:tcPr>
          <w:p w14:paraId="5634DBF1">
            <w:pPr>
              <w:widowControl w:val="0"/>
              <w:jc w:val="center"/>
              <w:rPr>
                <w:rFonts w:hint="default"/>
                <w:sz w:val="24"/>
                <w:szCs w:val="24"/>
                <w:highlight w:val="none"/>
                <w:vertAlign w:val="baseline"/>
                <w:lang w:val="en-US"/>
              </w:rPr>
            </w:pPr>
            <w:r>
              <w:rPr>
                <w:rFonts w:hint="default"/>
                <w:sz w:val="24"/>
                <w:szCs w:val="24"/>
                <w:highlight w:val="none"/>
                <w:vertAlign w:val="baseline"/>
                <w:lang w:val="en-US"/>
              </w:rPr>
              <w:t>纯音测听仪</w:t>
            </w:r>
          </w:p>
        </w:tc>
        <w:tc>
          <w:tcPr>
            <w:tcW w:w="937" w:type="dxa"/>
            <w:vAlign w:val="center"/>
          </w:tcPr>
          <w:p w14:paraId="754041E7">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6849" w:type="dxa"/>
            <w:vAlign w:val="center"/>
          </w:tcPr>
          <w:p w14:paraId="7B557F76">
            <w:pPr>
              <w:widowControl w:val="0"/>
              <w:jc w:val="both"/>
              <w:rPr>
                <w:rFonts w:hint="eastAsia"/>
                <w:b/>
                <w:bCs/>
                <w:sz w:val="21"/>
                <w:szCs w:val="21"/>
                <w:vertAlign w:val="baseline"/>
              </w:rPr>
            </w:pPr>
            <w:r>
              <w:rPr>
                <w:rFonts w:hint="eastAsia"/>
                <w:b/>
                <w:bCs/>
                <w:sz w:val="21"/>
                <w:szCs w:val="21"/>
                <w:vertAlign w:val="baseline"/>
              </w:rPr>
              <w:t>一、核心声学与性能参数</w:t>
            </w:r>
          </w:p>
          <w:p w14:paraId="6BBB1AA9">
            <w:pPr>
              <w:widowControl w:val="0"/>
              <w:jc w:val="both"/>
              <w:rPr>
                <w:rFonts w:hint="eastAsia"/>
                <w:sz w:val="21"/>
                <w:szCs w:val="21"/>
                <w:vertAlign w:val="baseline"/>
              </w:rPr>
            </w:pPr>
            <w:r>
              <w:rPr>
                <w:rFonts w:hint="eastAsia"/>
                <w:sz w:val="21"/>
                <w:szCs w:val="21"/>
                <w:vertAlign w:val="baseline"/>
              </w:rPr>
              <w:t>1. 频率范围</w:t>
            </w:r>
          </w:p>
          <w:p w14:paraId="65916EB7">
            <w:pPr>
              <w:widowControl w:val="0"/>
              <w:jc w:val="both"/>
              <w:rPr>
                <w:rFonts w:hint="eastAsia"/>
                <w:sz w:val="21"/>
                <w:szCs w:val="21"/>
                <w:vertAlign w:val="baseline"/>
              </w:rPr>
            </w:pPr>
            <w:r>
              <w:rPr>
                <w:rFonts w:hint="eastAsia"/>
                <w:sz w:val="21"/>
                <w:szCs w:val="21"/>
                <w:vertAlign w:val="baseline"/>
              </w:rPr>
              <w:t xml:space="preserve">   · 标准范围： 125 Hz 至 8000 Hz。</w:t>
            </w:r>
          </w:p>
          <w:p w14:paraId="2899161E">
            <w:pPr>
              <w:widowControl w:val="0"/>
              <w:jc w:val="both"/>
              <w:rPr>
                <w:rFonts w:hint="eastAsia"/>
                <w:sz w:val="21"/>
                <w:szCs w:val="21"/>
                <w:vertAlign w:val="baseline"/>
                <w:lang w:eastAsia="zh-CN"/>
              </w:rPr>
            </w:pPr>
            <w:r>
              <w:rPr>
                <w:rFonts w:hint="eastAsia"/>
                <w:sz w:val="21"/>
                <w:szCs w:val="21"/>
                <w:vertAlign w:val="baseline"/>
              </w:rPr>
              <w:t xml:space="preserve">   · 扩展高频：10,000 Hz</w:t>
            </w:r>
            <w:r>
              <w:rPr>
                <w:rFonts w:hint="eastAsia"/>
                <w:sz w:val="21"/>
                <w:szCs w:val="21"/>
                <w:vertAlign w:val="baseline"/>
                <w:lang w:eastAsia="zh-CN"/>
              </w:rPr>
              <w:t>以上</w:t>
            </w:r>
          </w:p>
          <w:p w14:paraId="617D65FB">
            <w:pPr>
              <w:widowControl w:val="0"/>
              <w:jc w:val="both"/>
              <w:rPr>
                <w:rFonts w:hint="eastAsia"/>
                <w:sz w:val="21"/>
                <w:szCs w:val="21"/>
                <w:vertAlign w:val="baseline"/>
              </w:rPr>
            </w:pPr>
            <w:r>
              <w:rPr>
                <w:rFonts w:hint="eastAsia"/>
                <w:sz w:val="21"/>
                <w:szCs w:val="21"/>
                <w:vertAlign w:val="baseline"/>
              </w:rPr>
              <w:t>2. 频率精度</w:t>
            </w:r>
          </w:p>
          <w:p w14:paraId="53997862">
            <w:pPr>
              <w:widowControl w:val="0"/>
              <w:jc w:val="both"/>
              <w:rPr>
                <w:rFonts w:hint="eastAsia"/>
                <w:sz w:val="21"/>
                <w:szCs w:val="21"/>
                <w:vertAlign w:val="baseline"/>
              </w:rPr>
            </w:pPr>
            <w:r>
              <w:rPr>
                <w:rFonts w:hint="eastAsia"/>
                <w:sz w:val="21"/>
                <w:szCs w:val="21"/>
                <w:vertAlign w:val="baseline"/>
              </w:rPr>
              <w:t xml:space="preserve">   ·  ±1% 或 ±2% 以内。</w:t>
            </w:r>
          </w:p>
          <w:p w14:paraId="7872BA32">
            <w:pPr>
              <w:widowControl w:val="0"/>
              <w:jc w:val="both"/>
              <w:rPr>
                <w:rFonts w:hint="eastAsia"/>
                <w:sz w:val="21"/>
                <w:szCs w:val="21"/>
                <w:vertAlign w:val="baseline"/>
              </w:rPr>
            </w:pPr>
            <w:r>
              <w:rPr>
                <w:rFonts w:hint="eastAsia"/>
                <w:sz w:val="21"/>
                <w:szCs w:val="21"/>
                <w:vertAlign w:val="baseline"/>
              </w:rPr>
              <w:t>3. 听力级输出范围</w:t>
            </w:r>
          </w:p>
          <w:p w14:paraId="59832ADD">
            <w:pPr>
              <w:widowControl w:val="0"/>
              <w:jc w:val="both"/>
              <w:rPr>
                <w:rFonts w:hint="eastAsia"/>
                <w:sz w:val="21"/>
                <w:szCs w:val="21"/>
                <w:vertAlign w:val="baseline"/>
              </w:rPr>
            </w:pPr>
            <w:r>
              <w:rPr>
                <w:rFonts w:hint="eastAsia"/>
                <w:sz w:val="21"/>
                <w:szCs w:val="21"/>
                <w:vertAlign w:val="baseline"/>
              </w:rPr>
              <w:t xml:space="preserve">   · 气导（通过耳机）：</w:t>
            </w:r>
          </w:p>
          <w:p w14:paraId="54A24E90">
            <w:pPr>
              <w:widowControl w:val="0"/>
              <w:jc w:val="both"/>
              <w:rPr>
                <w:rFonts w:hint="eastAsia"/>
                <w:sz w:val="21"/>
                <w:szCs w:val="21"/>
                <w:vertAlign w:val="baseline"/>
              </w:rPr>
            </w:pPr>
            <w:r>
              <w:rPr>
                <w:rFonts w:hint="eastAsia"/>
                <w:sz w:val="21"/>
                <w:szCs w:val="21"/>
                <w:vertAlign w:val="baseline"/>
              </w:rPr>
              <w:t xml:space="preserve">     · 最小：可低至 -10 dB HL。</w:t>
            </w:r>
          </w:p>
          <w:p w14:paraId="75645386">
            <w:pPr>
              <w:widowControl w:val="0"/>
              <w:jc w:val="both"/>
              <w:rPr>
                <w:rFonts w:hint="eastAsia"/>
                <w:sz w:val="21"/>
                <w:szCs w:val="21"/>
                <w:vertAlign w:val="baseline"/>
              </w:rPr>
            </w:pPr>
            <w:r>
              <w:rPr>
                <w:rFonts w:hint="eastAsia"/>
                <w:sz w:val="21"/>
                <w:szCs w:val="21"/>
                <w:vertAlign w:val="baseline"/>
              </w:rPr>
              <w:t xml:space="preserve">     · 最大：可达 120 dB HL。</w:t>
            </w:r>
          </w:p>
          <w:p w14:paraId="37CA869E">
            <w:pPr>
              <w:widowControl w:val="0"/>
              <w:jc w:val="both"/>
              <w:rPr>
                <w:rFonts w:hint="eastAsia"/>
                <w:sz w:val="21"/>
                <w:szCs w:val="21"/>
                <w:vertAlign w:val="baseline"/>
              </w:rPr>
            </w:pPr>
            <w:r>
              <w:rPr>
                <w:rFonts w:hint="eastAsia"/>
                <w:sz w:val="21"/>
                <w:szCs w:val="21"/>
                <w:vertAlign w:val="baseline"/>
              </w:rPr>
              <w:t xml:space="preserve">   · 骨导（通过骨振子）：</w:t>
            </w:r>
          </w:p>
          <w:p w14:paraId="73FA2F32">
            <w:pPr>
              <w:widowControl w:val="0"/>
              <w:jc w:val="both"/>
              <w:rPr>
                <w:rFonts w:hint="eastAsia"/>
                <w:sz w:val="21"/>
                <w:szCs w:val="21"/>
                <w:vertAlign w:val="baseline"/>
              </w:rPr>
            </w:pPr>
            <w:r>
              <w:rPr>
                <w:rFonts w:hint="eastAsia"/>
                <w:sz w:val="21"/>
                <w:szCs w:val="21"/>
                <w:vertAlign w:val="baseline"/>
              </w:rPr>
              <w:t xml:space="preserve">     · 范围通常为 -10 dB HL 至 70/80 dB HL。</w:t>
            </w:r>
          </w:p>
          <w:p w14:paraId="140A8BCE">
            <w:pPr>
              <w:widowControl w:val="0"/>
              <w:jc w:val="both"/>
              <w:rPr>
                <w:rFonts w:hint="eastAsia"/>
                <w:sz w:val="21"/>
                <w:szCs w:val="21"/>
                <w:vertAlign w:val="baseline"/>
              </w:rPr>
            </w:pPr>
            <w:r>
              <w:rPr>
                <w:rFonts w:hint="eastAsia"/>
                <w:sz w:val="21"/>
                <w:szCs w:val="21"/>
                <w:vertAlign w:val="baseline"/>
              </w:rPr>
              <w:t>4. 听力级控制步进</w:t>
            </w:r>
          </w:p>
          <w:p w14:paraId="0D940815">
            <w:pPr>
              <w:widowControl w:val="0"/>
              <w:jc w:val="both"/>
              <w:rPr>
                <w:rFonts w:hint="eastAsia"/>
                <w:sz w:val="21"/>
                <w:szCs w:val="21"/>
                <w:vertAlign w:val="baseline"/>
              </w:rPr>
            </w:pPr>
            <w:r>
              <w:rPr>
                <w:rFonts w:hint="eastAsia"/>
                <w:sz w:val="21"/>
                <w:szCs w:val="21"/>
                <w:vertAlign w:val="baseline"/>
              </w:rPr>
              <w:t xml:space="preserve">   · 5 dB 步进。</w:t>
            </w:r>
          </w:p>
          <w:p w14:paraId="53379FD6">
            <w:pPr>
              <w:widowControl w:val="0"/>
              <w:jc w:val="both"/>
              <w:rPr>
                <w:rFonts w:hint="eastAsia"/>
                <w:sz w:val="21"/>
                <w:szCs w:val="21"/>
                <w:vertAlign w:val="baseline"/>
              </w:rPr>
            </w:pPr>
            <w:r>
              <w:rPr>
                <w:rFonts w:hint="eastAsia"/>
                <w:sz w:val="21"/>
                <w:szCs w:val="21"/>
                <w:vertAlign w:val="baseline"/>
              </w:rPr>
              <w:t>5. 总谐波失真</w:t>
            </w:r>
          </w:p>
          <w:p w14:paraId="7C0AC2DA">
            <w:pPr>
              <w:widowControl w:val="0"/>
              <w:jc w:val="both"/>
              <w:rPr>
                <w:rFonts w:hint="eastAsia"/>
                <w:sz w:val="21"/>
                <w:szCs w:val="21"/>
                <w:vertAlign w:val="baseline"/>
              </w:rPr>
            </w:pPr>
            <w:r>
              <w:rPr>
                <w:rFonts w:hint="eastAsia"/>
                <w:sz w:val="21"/>
                <w:szCs w:val="21"/>
                <w:vertAlign w:val="baseline"/>
              </w:rPr>
              <w:t xml:space="preserve">   ·在最大输出时，气导 ≤ 2.5%，骨导可略高</w:t>
            </w:r>
            <w:r>
              <w:rPr>
                <w:rFonts w:hint="eastAsia"/>
                <w:sz w:val="21"/>
                <w:szCs w:val="21"/>
                <w:vertAlign w:val="baseline"/>
                <w:lang w:eastAsia="zh-CN"/>
              </w:rPr>
              <w:t>，</w:t>
            </w:r>
            <w:r>
              <w:rPr>
                <w:rFonts w:hint="eastAsia"/>
                <w:sz w:val="21"/>
                <w:szCs w:val="21"/>
                <w:vertAlign w:val="baseline"/>
              </w:rPr>
              <w:t>可控制在 1% 以下。</w:t>
            </w:r>
          </w:p>
          <w:p w14:paraId="5AAEECE8">
            <w:pPr>
              <w:widowControl w:val="0"/>
              <w:jc w:val="both"/>
              <w:rPr>
                <w:rFonts w:hint="eastAsia"/>
                <w:sz w:val="21"/>
                <w:szCs w:val="21"/>
                <w:vertAlign w:val="baseline"/>
              </w:rPr>
            </w:pPr>
            <w:r>
              <w:rPr>
                <w:rFonts w:hint="eastAsia"/>
                <w:sz w:val="21"/>
                <w:szCs w:val="21"/>
                <w:vertAlign w:val="baseline"/>
              </w:rPr>
              <w:t>6. 上升/下降时间</w:t>
            </w:r>
          </w:p>
          <w:p w14:paraId="46B1E277">
            <w:pPr>
              <w:widowControl w:val="0"/>
              <w:jc w:val="both"/>
              <w:rPr>
                <w:rFonts w:hint="eastAsia"/>
                <w:sz w:val="21"/>
                <w:szCs w:val="21"/>
                <w:vertAlign w:val="baseline"/>
              </w:rPr>
            </w:pPr>
            <w:r>
              <w:rPr>
                <w:rFonts w:hint="eastAsia"/>
                <w:sz w:val="21"/>
                <w:szCs w:val="21"/>
                <w:vertAlign w:val="baseline"/>
              </w:rPr>
              <w:t xml:space="preserve">   · 20-50毫秒。</w:t>
            </w:r>
          </w:p>
          <w:p w14:paraId="65F0A0A7">
            <w:pPr>
              <w:widowControl w:val="0"/>
              <w:jc w:val="both"/>
              <w:rPr>
                <w:rFonts w:hint="eastAsia"/>
                <w:sz w:val="21"/>
                <w:szCs w:val="21"/>
                <w:vertAlign w:val="baseline"/>
              </w:rPr>
            </w:pPr>
            <w:r>
              <w:rPr>
                <w:rFonts w:hint="eastAsia"/>
                <w:sz w:val="21"/>
                <w:szCs w:val="21"/>
                <w:vertAlign w:val="baseline"/>
              </w:rPr>
              <w:t>7. 掩蔽噪声</w:t>
            </w:r>
          </w:p>
          <w:p w14:paraId="3E072BF0">
            <w:pPr>
              <w:widowControl w:val="0"/>
              <w:jc w:val="both"/>
              <w:rPr>
                <w:rFonts w:hint="eastAsia"/>
                <w:sz w:val="21"/>
                <w:szCs w:val="21"/>
                <w:vertAlign w:val="baseline"/>
              </w:rPr>
            </w:pPr>
            <w:r>
              <w:rPr>
                <w:rFonts w:hint="eastAsia"/>
                <w:sz w:val="21"/>
                <w:szCs w:val="21"/>
                <w:vertAlign w:val="baseline"/>
              </w:rPr>
              <w:t xml:space="preserve">   · 类型： 必须内置有效的窄带噪声或白噪声，对非测试耳进行掩蔽。</w:t>
            </w:r>
          </w:p>
          <w:p w14:paraId="31951F1D">
            <w:pPr>
              <w:widowControl w:val="0"/>
              <w:jc w:val="both"/>
              <w:rPr>
                <w:rFonts w:hint="eastAsia"/>
                <w:sz w:val="21"/>
                <w:szCs w:val="21"/>
                <w:vertAlign w:val="baseline"/>
              </w:rPr>
            </w:pPr>
            <w:r>
              <w:rPr>
                <w:rFonts w:hint="eastAsia"/>
                <w:sz w:val="21"/>
                <w:szCs w:val="21"/>
                <w:vertAlign w:val="baseline"/>
              </w:rPr>
              <w:t xml:space="preserve">   · 参数： 其频谱和强度需精确可控，并能根据测试频率自动或手动选择对应的有效掩蔽噪声。</w:t>
            </w:r>
          </w:p>
          <w:p w14:paraId="78B9E4F8">
            <w:pPr>
              <w:widowControl w:val="0"/>
              <w:jc w:val="both"/>
              <w:rPr>
                <w:rFonts w:hint="eastAsia"/>
                <w:b/>
                <w:bCs/>
                <w:sz w:val="21"/>
                <w:szCs w:val="21"/>
                <w:vertAlign w:val="baseline"/>
              </w:rPr>
            </w:pPr>
            <w:r>
              <w:rPr>
                <w:rFonts w:hint="eastAsia"/>
                <w:b/>
                <w:bCs/>
                <w:sz w:val="21"/>
                <w:szCs w:val="21"/>
                <w:vertAlign w:val="baseline"/>
              </w:rPr>
              <w:t>二、硬件与换能器规格</w:t>
            </w:r>
          </w:p>
          <w:p w14:paraId="0DCCE81C">
            <w:pPr>
              <w:widowControl w:val="0"/>
              <w:jc w:val="both"/>
              <w:rPr>
                <w:rFonts w:hint="eastAsia"/>
                <w:sz w:val="21"/>
                <w:szCs w:val="21"/>
                <w:vertAlign w:val="baseline"/>
              </w:rPr>
            </w:pPr>
            <w:r>
              <w:rPr>
                <w:rFonts w:hint="eastAsia"/>
                <w:sz w:val="21"/>
                <w:szCs w:val="21"/>
                <w:vertAlign w:val="baseline"/>
              </w:rPr>
              <w:t>1. 换能器（耳机/骨振子）</w:t>
            </w:r>
          </w:p>
          <w:p w14:paraId="71AB6174">
            <w:pPr>
              <w:widowControl w:val="0"/>
              <w:jc w:val="both"/>
              <w:rPr>
                <w:rFonts w:hint="eastAsia"/>
                <w:sz w:val="21"/>
                <w:szCs w:val="21"/>
                <w:vertAlign w:val="baseline"/>
              </w:rPr>
            </w:pPr>
            <w:r>
              <w:rPr>
                <w:rFonts w:hint="eastAsia"/>
                <w:sz w:val="21"/>
                <w:szCs w:val="21"/>
                <w:vertAlign w:val="baseline"/>
              </w:rPr>
              <w:t xml:space="preserve">   · 气导耳机：</w:t>
            </w:r>
          </w:p>
          <w:p w14:paraId="4AD86F55">
            <w:pPr>
              <w:widowControl w:val="0"/>
              <w:jc w:val="both"/>
              <w:rPr>
                <w:rFonts w:hint="eastAsia"/>
                <w:sz w:val="21"/>
                <w:szCs w:val="21"/>
                <w:vertAlign w:val="baseline"/>
                <w:lang w:eastAsia="zh-CN"/>
              </w:rPr>
            </w:pPr>
            <w:r>
              <w:rPr>
                <w:rFonts w:hint="eastAsia"/>
                <w:sz w:val="21"/>
                <w:szCs w:val="21"/>
                <w:vertAlign w:val="baseline"/>
              </w:rPr>
              <w:t xml:space="preserve">     · 标准型号： 插入式耳机</w:t>
            </w:r>
            <w:r>
              <w:rPr>
                <w:rFonts w:hint="eastAsia"/>
                <w:sz w:val="21"/>
                <w:szCs w:val="21"/>
                <w:vertAlign w:val="baseline"/>
                <w:lang w:eastAsia="zh-CN"/>
              </w:rPr>
              <w:t>。</w:t>
            </w:r>
          </w:p>
          <w:p w14:paraId="1BB9807A">
            <w:pPr>
              <w:widowControl w:val="0"/>
              <w:jc w:val="both"/>
              <w:rPr>
                <w:rFonts w:hint="eastAsia"/>
                <w:sz w:val="21"/>
                <w:szCs w:val="21"/>
                <w:vertAlign w:val="baseline"/>
              </w:rPr>
            </w:pPr>
            <w:r>
              <w:rPr>
                <w:rFonts w:hint="eastAsia"/>
                <w:sz w:val="21"/>
                <w:szCs w:val="21"/>
                <w:vertAlign w:val="baseline"/>
              </w:rPr>
              <w:t xml:space="preserve">     · 增加耳间衰减、卫生、减少耳机压耳效应、舒适性高。</w:t>
            </w:r>
          </w:p>
          <w:p w14:paraId="367C664D">
            <w:pPr>
              <w:widowControl w:val="0"/>
              <w:jc w:val="both"/>
              <w:rPr>
                <w:rFonts w:hint="eastAsia"/>
                <w:sz w:val="21"/>
                <w:szCs w:val="21"/>
                <w:vertAlign w:val="baseline"/>
              </w:rPr>
            </w:pPr>
            <w:r>
              <w:rPr>
                <w:rFonts w:hint="eastAsia"/>
                <w:sz w:val="21"/>
                <w:szCs w:val="21"/>
                <w:vertAlign w:val="baseline"/>
              </w:rPr>
              <w:t xml:space="preserve">   · 骨导振子：</w:t>
            </w:r>
          </w:p>
          <w:p w14:paraId="3B50DD7F">
            <w:pPr>
              <w:widowControl w:val="0"/>
              <w:jc w:val="both"/>
              <w:rPr>
                <w:rFonts w:hint="eastAsia"/>
                <w:sz w:val="21"/>
                <w:szCs w:val="21"/>
                <w:vertAlign w:val="baseline"/>
              </w:rPr>
            </w:pPr>
            <w:r>
              <w:rPr>
                <w:rFonts w:hint="eastAsia"/>
                <w:sz w:val="21"/>
                <w:szCs w:val="21"/>
                <w:vertAlign w:val="baseline"/>
              </w:rPr>
              <w:t xml:space="preserve">     · Radioear B-71 或更新的 B-81。需配备专用头带，</w:t>
            </w:r>
            <w:r>
              <w:rPr>
                <w:rFonts w:hint="eastAsia"/>
                <w:sz w:val="21"/>
                <w:szCs w:val="21"/>
                <w:vertAlign w:val="baseline"/>
                <w:lang w:eastAsia="zh-CN"/>
              </w:rPr>
              <w:t>可</w:t>
            </w:r>
            <w:r>
              <w:rPr>
                <w:rFonts w:hint="eastAsia"/>
                <w:sz w:val="21"/>
                <w:szCs w:val="21"/>
                <w:vertAlign w:val="baseline"/>
              </w:rPr>
              <w:t>提供标准静压力（约 5.4 N）。</w:t>
            </w:r>
          </w:p>
          <w:p w14:paraId="5C1284ED">
            <w:pPr>
              <w:widowControl w:val="0"/>
              <w:jc w:val="both"/>
              <w:rPr>
                <w:rFonts w:hint="eastAsia"/>
                <w:b/>
                <w:bCs/>
                <w:sz w:val="21"/>
                <w:szCs w:val="21"/>
                <w:vertAlign w:val="baseline"/>
              </w:rPr>
            </w:pPr>
            <w:r>
              <w:rPr>
                <w:rFonts w:hint="eastAsia"/>
                <w:b/>
                <w:bCs/>
                <w:sz w:val="21"/>
                <w:szCs w:val="21"/>
                <w:vertAlign w:val="baseline"/>
              </w:rPr>
              <w:t>三、功能与操作特性</w:t>
            </w:r>
          </w:p>
          <w:p w14:paraId="228FAD9D">
            <w:pPr>
              <w:widowControl w:val="0"/>
              <w:jc w:val="both"/>
              <w:rPr>
                <w:rFonts w:hint="eastAsia"/>
                <w:sz w:val="21"/>
                <w:szCs w:val="21"/>
                <w:vertAlign w:val="baseline"/>
              </w:rPr>
            </w:pPr>
            <w:r>
              <w:rPr>
                <w:rFonts w:hint="eastAsia"/>
                <w:sz w:val="21"/>
                <w:szCs w:val="21"/>
                <w:vertAlign w:val="baseline"/>
              </w:rPr>
              <w:t>1. 给声与路由控制</w:t>
            </w:r>
          </w:p>
          <w:p w14:paraId="1757B1E6">
            <w:pPr>
              <w:widowControl w:val="0"/>
              <w:jc w:val="both"/>
              <w:rPr>
                <w:rFonts w:hint="eastAsia"/>
                <w:sz w:val="21"/>
                <w:szCs w:val="21"/>
                <w:vertAlign w:val="baseline"/>
              </w:rPr>
            </w:pPr>
            <w:r>
              <w:rPr>
                <w:rFonts w:hint="eastAsia"/>
                <w:sz w:val="21"/>
                <w:szCs w:val="21"/>
                <w:vertAlign w:val="baseline"/>
              </w:rPr>
              <w:t xml:space="preserve">   · 必须能独立、精确地控制声音输送给 左耳/右耳、气导/骨导。</w:t>
            </w:r>
          </w:p>
          <w:p w14:paraId="39533FAB">
            <w:pPr>
              <w:widowControl w:val="0"/>
              <w:jc w:val="both"/>
              <w:rPr>
                <w:rFonts w:hint="eastAsia"/>
                <w:sz w:val="21"/>
                <w:szCs w:val="21"/>
                <w:vertAlign w:val="baseline"/>
              </w:rPr>
            </w:pPr>
            <w:r>
              <w:rPr>
                <w:rFonts w:hint="eastAsia"/>
                <w:sz w:val="21"/>
                <w:szCs w:val="21"/>
                <w:vertAlign w:val="baseline"/>
              </w:rPr>
              <w:t xml:space="preserve">   · 具备 “阻断器” 功能，在非给声期彻底切断信号通路，防止本底噪声干扰。</w:t>
            </w:r>
          </w:p>
          <w:p w14:paraId="71277E05">
            <w:pPr>
              <w:widowControl w:val="0"/>
              <w:jc w:val="both"/>
              <w:rPr>
                <w:rFonts w:hint="eastAsia"/>
                <w:sz w:val="21"/>
                <w:szCs w:val="21"/>
                <w:vertAlign w:val="baseline"/>
              </w:rPr>
            </w:pPr>
            <w:r>
              <w:rPr>
                <w:rFonts w:hint="eastAsia"/>
                <w:sz w:val="21"/>
                <w:szCs w:val="21"/>
                <w:vertAlign w:val="baseline"/>
              </w:rPr>
              <w:t>2. 测试方法与流程</w:t>
            </w:r>
          </w:p>
          <w:p w14:paraId="58820EC0">
            <w:pPr>
              <w:widowControl w:val="0"/>
              <w:jc w:val="both"/>
              <w:rPr>
                <w:rFonts w:hint="eastAsia"/>
                <w:sz w:val="21"/>
                <w:szCs w:val="21"/>
                <w:vertAlign w:val="baseline"/>
              </w:rPr>
            </w:pPr>
            <w:r>
              <w:rPr>
                <w:rFonts w:hint="eastAsia"/>
                <w:sz w:val="21"/>
                <w:szCs w:val="21"/>
                <w:vertAlign w:val="baseline"/>
              </w:rPr>
              <w:t xml:space="preserve">   · 内置标准临床测试方法，</w:t>
            </w:r>
            <w:r>
              <w:rPr>
                <w:rFonts w:hint="eastAsia"/>
                <w:sz w:val="21"/>
                <w:szCs w:val="21"/>
                <w:vertAlign w:val="baseline"/>
                <w:lang w:eastAsia="zh-CN"/>
              </w:rPr>
              <w:t>使用</w:t>
            </w:r>
            <w:r>
              <w:rPr>
                <w:rFonts w:hint="eastAsia"/>
                <w:sz w:val="21"/>
                <w:szCs w:val="21"/>
                <w:vertAlign w:val="baseline"/>
              </w:rPr>
              <w:t>Hughson-Westlake 升降法。</w:t>
            </w:r>
          </w:p>
          <w:p w14:paraId="4C05F901">
            <w:pPr>
              <w:widowControl w:val="0"/>
              <w:jc w:val="both"/>
              <w:rPr>
                <w:rFonts w:hint="eastAsia"/>
                <w:sz w:val="21"/>
                <w:szCs w:val="21"/>
                <w:vertAlign w:val="baseline"/>
              </w:rPr>
            </w:pPr>
            <w:r>
              <w:rPr>
                <w:rFonts w:hint="eastAsia"/>
                <w:sz w:val="21"/>
                <w:szCs w:val="21"/>
                <w:vertAlign w:val="baseline"/>
              </w:rPr>
              <w:t xml:space="preserve">   · 应能支持脉冲音、连续音的切换，脉冲音常用于避免听觉疲劳。</w:t>
            </w:r>
          </w:p>
          <w:p w14:paraId="02CCE423">
            <w:pPr>
              <w:widowControl w:val="0"/>
              <w:jc w:val="both"/>
              <w:rPr>
                <w:rFonts w:hint="eastAsia"/>
                <w:sz w:val="21"/>
                <w:szCs w:val="21"/>
                <w:vertAlign w:val="baseline"/>
              </w:rPr>
            </w:pPr>
            <w:r>
              <w:rPr>
                <w:rFonts w:hint="eastAsia"/>
                <w:sz w:val="21"/>
                <w:szCs w:val="21"/>
                <w:vertAlign w:val="baseline"/>
              </w:rPr>
              <w:t>3. 用户界面与数据管理</w:t>
            </w:r>
          </w:p>
          <w:p w14:paraId="06E9982F">
            <w:pPr>
              <w:widowControl w:val="0"/>
              <w:jc w:val="both"/>
              <w:rPr>
                <w:rFonts w:hint="eastAsia"/>
                <w:sz w:val="21"/>
                <w:szCs w:val="21"/>
                <w:vertAlign w:val="baseline"/>
              </w:rPr>
            </w:pPr>
            <w:r>
              <w:rPr>
                <w:rFonts w:hint="eastAsia"/>
                <w:sz w:val="21"/>
                <w:szCs w:val="21"/>
                <w:vertAlign w:val="baseline"/>
              </w:rPr>
              <w:t xml:space="preserve">   · 听力图显示： 标准坐标（频率对数横轴，听力级纵轴），并能用标准符号标记气导、骨导、掩蔽等结果。</w:t>
            </w:r>
          </w:p>
          <w:p w14:paraId="2B2C7450">
            <w:pPr>
              <w:widowControl w:val="0"/>
              <w:jc w:val="both"/>
              <w:rPr>
                <w:rFonts w:hint="eastAsia"/>
                <w:sz w:val="21"/>
                <w:szCs w:val="21"/>
                <w:vertAlign w:val="baseline"/>
              </w:rPr>
            </w:pPr>
            <w:r>
              <w:rPr>
                <w:rFonts w:hint="eastAsia"/>
                <w:sz w:val="21"/>
                <w:szCs w:val="21"/>
                <w:vertAlign w:val="baseline"/>
              </w:rPr>
              <w:t xml:space="preserve">   · 数据存储与导出： 能存储患者档案和测试记录，并支持打印或导出为标准格式（如图片、PDF或听力软件数据）。</w:t>
            </w:r>
          </w:p>
          <w:p w14:paraId="07FCCAEC">
            <w:pPr>
              <w:widowControl w:val="0"/>
              <w:jc w:val="both"/>
              <w:rPr>
                <w:rFonts w:hint="eastAsia"/>
                <w:b/>
                <w:bCs/>
                <w:sz w:val="21"/>
                <w:szCs w:val="21"/>
                <w:vertAlign w:val="baseline"/>
              </w:rPr>
            </w:pPr>
            <w:r>
              <w:rPr>
                <w:rFonts w:hint="eastAsia"/>
                <w:b/>
                <w:bCs/>
                <w:sz w:val="21"/>
                <w:szCs w:val="21"/>
                <w:vertAlign w:val="baseline"/>
              </w:rPr>
              <w:t>四、校准与安全</w:t>
            </w:r>
          </w:p>
          <w:p w14:paraId="55838A97">
            <w:pPr>
              <w:widowControl w:val="0"/>
              <w:jc w:val="both"/>
              <w:rPr>
                <w:rFonts w:hint="eastAsia"/>
                <w:sz w:val="21"/>
                <w:szCs w:val="21"/>
                <w:vertAlign w:val="baseline"/>
              </w:rPr>
            </w:pPr>
            <w:r>
              <w:rPr>
                <w:rFonts w:hint="eastAsia"/>
                <w:sz w:val="21"/>
                <w:szCs w:val="21"/>
                <w:vertAlign w:val="baseline"/>
              </w:rPr>
              <w:t>1. 校准要求</w:t>
            </w:r>
          </w:p>
          <w:p w14:paraId="30960873">
            <w:pPr>
              <w:widowControl w:val="0"/>
              <w:jc w:val="both"/>
              <w:rPr>
                <w:rFonts w:hint="eastAsia"/>
                <w:sz w:val="21"/>
                <w:szCs w:val="21"/>
                <w:vertAlign w:val="baseline"/>
              </w:rPr>
            </w:pPr>
            <w:r>
              <w:rPr>
                <w:rFonts w:hint="eastAsia"/>
                <w:sz w:val="21"/>
                <w:szCs w:val="21"/>
                <w:vertAlign w:val="baseline"/>
              </w:rPr>
              <w:t xml:space="preserve">   · 声学校准（客观校准）： 必须定期（通常每年一次）使用声级计、仿真耳（IEC 60318）、仿真乳突（IEC 60373） 等设备进行物理校准，确保输出值与标准听力零级一致。</w:t>
            </w:r>
          </w:p>
          <w:p w14:paraId="2F8015A1">
            <w:pPr>
              <w:widowControl w:val="0"/>
              <w:jc w:val="both"/>
              <w:rPr>
                <w:rFonts w:hint="eastAsia"/>
                <w:sz w:val="21"/>
                <w:szCs w:val="21"/>
                <w:vertAlign w:val="baseline"/>
              </w:rPr>
            </w:pPr>
            <w:r>
              <w:rPr>
                <w:rFonts w:hint="eastAsia"/>
                <w:sz w:val="21"/>
                <w:szCs w:val="21"/>
                <w:vertAlign w:val="baseline"/>
              </w:rPr>
              <w:t xml:space="preserve">   · 生物校准（主观检查）： 每天工作前，由听力正常的操作人员试听各频率声音，确认其感知正常。这是快速检查设备是否工作异常的重要步骤。</w:t>
            </w:r>
          </w:p>
          <w:p w14:paraId="24D4C95C">
            <w:pPr>
              <w:widowControl w:val="0"/>
              <w:jc w:val="both"/>
              <w:rPr>
                <w:rFonts w:hint="eastAsia"/>
                <w:sz w:val="21"/>
                <w:szCs w:val="21"/>
                <w:vertAlign w:val="baseline"/>
              </w:rPr>
            </w:pPr>
            <w:r>
              <w:rPr>
                <w:rFonts w:hint="eastAsia"/>
                <w:sz w:val="21"/>
                <w:szCs w:val="21"/>
                <w:vertAlign w:val="baseline"/>
              </w:rPr>
              <w:t>2. 安全限制</w:t>
            </w:r>
          </w:p>
          <w:p w14:paraId="573339A7">
            <w:pPr>
              <w:widowControl w:val="0"/>
              <w:jc w:val="both"/>
              <w:rPr>
                <w:rFonts w:hint="eastAsia"/>
                <w:sz w:val="21"/>
                <w:szCs w:val="21"/>
                <w:vertAlign w:val="baseline"/>
              </w:rPr>
            </w:pPr>
            <w:r>
              <w:rPr>
                <w:rFonts w:hint="eastAsia"/>
                <w:sz w:val="21"/>
                <w:szCs w:val="21"/>
                <w:vertAlign w:val="baseline"/>
              </w:rPr>
              <w:t xml:space="preserve">   · 设备应有最大输出限制，防止意外输出过强声音对患者或操作者造成声损伤。</w:t>
            </w:r>
          </w:p>
          <w:p w14:paraId="6CDCFE38">
            <w:pPr>
              <w:widowControl w:val="0"/>
              <w:jc w:val="left"/>
              <w:rPr>
                <w:rFonts w:hint="default"/>
                <w:sz w:val="21"/>
                <w:szCs w:val="21"/>
                <w:highlight w:val="none"/>
                <w:vertAlign w:val="baseline"/>
                <w:lang w:val="en-US"/>
              </w:rPr>
            </w:pPr>
            <w:r>
              <w:rPr>
                <w:rFonts w:hint="eastAsia"/>
                <w:sz w:val="21"/>
                <w:szCs w:val="21"/>
                <w:vertAlign w:val="baseline"/>
              </w:rPr>
              <w:t xml:space="preserve">   · 符合电气安全（如医用电气设备YY 9706.102 / IEC 60601-1标准）和电磁兼容性要求。</w:t>
            </w:r>
          </w:p>
        </w:tc>
        <w:tc>
          <w:tcPr>
            <w:tcW w:w="1107" w:type="dxa"/>
            <w:vAlign w:val="center"/>
          </w:tcPr>
          <w:p w14:paraId="28D99472">
            <w:pPr>
              <w:widowControl w:val="0"/>
              <w:jc w:val="left"/>
              <w:rPr>
                <w:rFonts w:hint="default"/>
                <w:sz w:val="21"/>
                <w:szCs w:val="21"/>
                <w:highlight w:val="none"/>
                <w:vertAlign w:val="baseline"/>
                <w:lang w:val="en-US"/>
              </w:rPr>
            </w:pPr>
          </w:p>
        </w:tc>
      </w:tr>
      <w:tr w14:paraId="05A5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58E47489">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6</w:t>
            </w:r>
          </w:p>
        </w:tc>
        <w:tc>
          <w:tcPr>
            <w:tcW w:w="3106" w:type="dxa"/>
            <w:vAlign w:val="center"/>
          </w:tcPr>
          <w:p w14:paraId="398740BA">
            <w:pPr>
              <w:widowControl w:val="0"/>
              <w:jc w:val="center"/>
              <w:rPr>
                <w:rFonts w:hint="default"/>
                <w:sz w:val="24"/>
                <w:szCs w:val="24"/>
                <w:highlight w:val="none"/>
                <w:vertAlign w:val="baseline"/>
                <w:lang w:val="en-US"/>
              </w:rPr>
            </w:pPr>
            <w:r>
              <w:rPr>
                <w:rFonts w:hint="default"/>
                <w:sz w:val="24"/>
                <w:szCs w:val="24"/>
                <w:highlight w:val="none"/>
                <w:vertAlign w:val="baseline"/>
                <w:lang w:val="en-US"/>
              </w:rPr>
              <w:t>听觉脑干反应电位检测仪(ABR)</w:t>
            </w:r>
          </w:p>
        </w:tc>
        <w:tc>
          <w:tcPr>
            <w:tcW w:w="937" w:type="dxa"/>
            <w:vAlign w:val="center"/>
          </w:tcPr>
          <w:p w14:paraId="6F337A37">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6849" w:type="dxa"/>
            <w:vAlign w:val="center"/>
          </w:tcPr>
          <w:p w14:paraId="56353934">
            <w:pPr>
              <w:widowControl w:val="0"/>
              <w:jc w:val="both"/>
              <w:rPr>
                <w:rFonts w:hint="eastAsia"/>
                <w:b/>
                <w:bCs/>
                <w:sz w:val="21"/>
                <w:szCs w:val="21"/>
                <w:vertAlign w:val="baseline"/>
              </w:rPr>
            </w:pPr>
            <w:r>
              <w:rPr>
                <w:rFonts w:hint="eastAsia"/>
                <w:b/>
                <w:bCs/>
                <w:sz w:val="21"/>
                <w:szCs w:val="21"/>
                <w:vertAlign w:val="baseline"/>
              </w:rPr>
              <w:t>一、声学刺激系统参数</w:t>
            </w:r>
          </w:p>
          <w:p w14:paraId="67708F7A">
            <w:pPr>
              <w:widowControl w:val="0"/>
              <w:jc w:val="both"/>
              <w:rPr>
                <w:rFonts w:hint="eastAsia"/>
                <w:sz w:val="21"/>
                <w:szCs w:val="21"/>
                <w:vertAlign w:val="baseline"/>
              </w:rPr>
            </w:pPr>
            <w:r>
              <w:rPr>
                <w:rFonts w:hint="eastAsia"/>
                <w:sz w:val="21"/>
                <w:szCs w:val="21"/>
                <w:vertAlign w:val="baseline"/>
              </w:rPr>
              <w:t>1. 刺激声类型</w:t>
            </w:r>
          </w:p>
          <w:p w14:paraId="74C4CB54">
            <w:pPr>
              <w:widowControl w:val="0"/>
              <w:jc w:val="both"/>
              <w:rPr>
                <w:rFonts w:hint="eastAsia"/>
                <w:sz w:val="21"/>
                <w:szCs w:val="21"/>
                <w:vertAlign w:val="baseline"/>
              </w:rPr>
            </w:pPr>
            <w:r>
              <w:rPr>
                <w:rFonts w:hint="eastAsia"/>
                <w:sz w:val="21"/>
                <w:szCs w:val="21"/>
                <w:vertAlign w:val="baseline"/>
              </w:rPr>
              <w:t xml:space="preserve">   · 短声： 极短的电脉冲（如100微秒方波）驱动耳机。</w:t>
            </w:r>
          </w:p>
          <w:p w14:paraId="57D92268">
            <w:pPr>
              <w:widowControl w:val="0"/>
              <w:jc w:val="both"/>
              <w:rPr>
                <w:rFonts w:hint="eastAsia"/>
                <w:sz w:val="21"/>
                <w:szCs w:val="21"/>
                <w:vertAlign w:val="baseline"/>
              </w:rPr>
            </w:pPr>
            <w:r>
              <w:rPr>
                <w:rFonts w:hint="eastAsia"/>
                <w:sz w:val="21"/>
                <w:szCs w:val="21"/>
                <w:vertAlign w:val="baseline"/>
              </w:rPr>
              <w:t xml:space="preserve">   · 短纯音/滤波短声： 具有特定频率特性的短时程音，用于评估不同频率的听觉阈值。</w:t>
            </w:r>
          </w:p>
          <w:p w14:paraId="4B2C1CE4">
            <w:pPr>
              <w:widowControl w:val="0"/>
              <w:jc w:val="both"/>
              <w:rPr>
                <w:rFonts w:hint="eastAsia"/>
                <w:sz w:val="21"/>
                <w:szCs w:val="21"/>
                <w:vertAlign w:val="baseline"/>
              </w:rPr>
            </w:pPr>
            <w:r>
              <w:rPr>
                <w:rFonts w:hint="eastAsia"/>
                <w:sz w:val="21"/>
                <w:szCs w:val="21"/>
                <w:vertAlign w:val="baseline"/>
              </w:rPr>
              <w:t xml:space="preserve">   · 言语声刺激（如/da/音）： 用于诱发言语ABR（cABR/FFR），评估听觉中枢对复杂声的编码能力。</w:t>
            </w:r>
          </w:p>
          <w:p w14:paraId="360B720A">
            <w:pPr>
              <w:widowControl w:val="0"/>
              <w:jc w:val="both"/>
              <w:rPr>
                <w:rFonts w:hint="eastAsia"/>
                <w:sz w:val="21"/>
                <w:szCs w:val="21"/>
                <w:vertAlign w:val="baseline"/>
              </w:rPr>
            </w:pPr>
            <w:r>
              <w:rPr>
                <w:rFonts w:hint="eastAsia"/>
                <w:sz w:val="21"/>
                <w:szCs w:val="21"/>
                <w:vertAlign w:val="baseline"/>
              </w:rPr>
              <w:t>2. 刺激率</w:t>
            </w:r>
          </w:p>
          <w:p w14:paraId="075D94EB">
            <w:pPr>
              <w:widowControl w:val="0"/>
              <w:jc w:val="both"/>
              <w:rPr>
                <w:rFonts w:hint="eastAsia"/>
                <w:sz w:val="21"/>
                <w:szCs w:val="21"/>
                <w:vertAlign w:val="baseline"/>
              </w:rPr>
            </w:pPr>
            <w:r>
              <w:rPr>
                <w:rFonts w:hint="eastAsia"/>
                <w:sz w:val="21"/>
                <w:szCs w:val="21"/>
                <w:vertAlign w:val="baseline"/>
              </w:rPr>
              <w:t xml:space="preserve">   ·  10 次/秒 至 100 次/秒 之间。</w:t>
            </w:r>
          </w:p>
          <w:p w14:paraId="6067E3C8">
            <w:pPr>
              <w:widowControl w:val="0"/>
              <w:jc w:val="both"/>
              <w:rPr>
                <w:rFonts w:hint="eastAsia"/>
                <w:sz w:val="21"/>
                <w:szCs w:val="21"/>
                <w:vertAlign w:val="baseline"/>
              </w:rPr>
            </w:pPr>
            <w:r>
              <w:rPr>
                <w:rFonts w:hint="eastAsia"/>
                <w:sz w:val="21"/>
                <w:szCs w:val="21"/>
                <w:vertAlign w:val="baseline"/>
              </w:rPr>
              <w:t>3. 刺激极性</w:t>
            </w:r>
          </w:p>
          <w:p w14:paraId="63D7441D">
            <w:pPr>
              <w:widowControl w:val="0"/>
              <w:jc w:val="both"/>
              <w:rPr>
                <w:rFonts w:hint="eastAsia"/>
                <w:sz w:val="21"/>
                <w:szCs w:val="21"/>
                <w:vertAlign w:val="baseline"/>
              </w:rPr>
            </w:pPr>
            <w:r>
              <w:rPr>
                <w:rFonts w:hint="eastAsia"/>
                <w:sz w:val="21"/>
                <w:szCs w:val="21"/>
                <w:vertAlign w:val="baseline"/>
              </w:rPr>
              <w:t xml:space="preserve">   · 交替极性： 标准设置，有效消除刺激伪迹和耳蜗微音电位。</w:t>
            </w:r>
          </w:p>
          <w:p w14:paraId="47F3D6BB">
            <w:pPr>
              <w:widowControl w:val="0"/>
              <w:jc w:val="both"/>
              <w:rPr>
                <w:rFonts w:hint="eastAsia"/>
                <w:sz w:val="21"/>
                <w:szCs w:val="21"/>
                <w:vertAlign w:val="baseline"/>
              </w:rPr>
            </w:pPr>
            <w:r>
              <w:rPr>
                <w:rFonts w:hint="eastAsia"/>
                <w:sz w:val="21"/>
                <w:szCs w:val="21"/>
                <w:vertAlign w:val="baseline"/>
              </w:rPr>
              <w:t xml:space="preserve">   · 单一极性： 偶尔用于特定目的（如评估听神经病谱系障碍中的CM）。</w:t>
            </w:r>
          </w:p>
          <w:p w14:paraId="381DE2F7">
            <w:pPr>
              <w:widowControl w:val="0"/>
              <w:jc w:val="both"/>
              <w:rPr>
                <w:rFonts w:hint="eastAsia"/>
                <w:sz w:val="21"/>
                <w:szCs w:val="21"/>
                <w:vertAlign w:val="baseline"/>
              </w:rPr>
            </w:pPr>
            <w:r>
              <w:rPr>
                <w:rFonts w:hint="eastAsia"/>
                <w:sz w:val="21"/>
                <w:szCs w:val="21"/>
                <w:vertAlign w:val="baseline"/>
              </w:rPr>
              <w:t>4. 刺激强度</w:t>
            </w:r>
          </w:p>
          <w:p w14:paraId="2EA5EF26">
            <w:pPr>
              <w:widowControl w:val="0"/>
              <w:jc w:val="both"/>
              <w:rPr>
                <w:rFonts w:hint="eastAsia"/>
                <w:sz w:val="21"/>
                <w:szCs w:val="21"/>
                <w:vertAlign w:val="baseline"/>
              </w:rPr>
            </w:pPr>
            <w:r>
              <w:rPr>
                <w:rFonts w:hint="eastAsia"/>
                <w:sz w:val="21"/>
                <w:szCs w:val="21"/>
                <w:vertAlign w:val="baseline"/>
              </w:rPr>
              <w:t xml:space="preserve">   · 输出范围： 0 dB nHL 至 120 dB nHL 或更高。</w:t>
            </w:r>
          </w:p>
          <w:p w14:paraId="4608362D">
            <w:pPr>
              <w:widowControl w:val="0"/>
              <w:jc w:val="both"/>
              <w:rPr>
                <w:rFonts w:hint="eastAsia"/>
                <w:sz w:val="21"/>
                <w:szCs w:val="21"/>
                <w:vertAlign w:val="baseline"/>
              </w:rPr>
            </w:pPr>
            <w:r>
              <w:rPr>
                <w:rFonts w:hint="eastAsia"/>
                <w:sz w:val="21"/>
                <w:szCs w:val="21"/>
                <w:vertAlign w:val="baseline"/>
              </w:rPr>
              <w:t xml:space="preserve">     · dB nHL： “正常听力级”，基于实验室正常听力人群的听阈确定。</w:t>
            </w:r>
          </w:p>
          <w:p w14:paraId="2B4F7FD5">
            <w:pPr>
              <w:widowControl w:val="0"/>
              <w:jc w:val="both"/>
              <w:rPr>
                <w:rFonts w:hint="eastAsia"/>
                <w:sz w:val="21"/>
                <w:szCs w:val="21"/>
                <w:vertAlign w:val="baseline"/>
              </w:rPr>
            </w:pPr>
            <w:r>
              <w:rPr>
                <w:rFonts w:hint="eastAsia"/>
                <w:sz w:val="21"/>
                <w:szCs w:val="21"/>
                <w:vertAlign w:val="baseline"/>
              </w:rPr>
              <w:t xml:space="preserve">   · 强度步进： 5 dB，可用于精确查找阈值。</w:t>
            </w:r>
          </w:p>
          <w:p w14:paraId="283CEBE0">
            <w:pPr>
              <w:widowControl w:val="0"/>
              <w:jc w:val="both"/>
              <w:rPr>
                <w:rFonts w:hint="eastAsia"/>
                <w:sz w:val="21"/>
                <w:szCs w:val="21"/>
                <w:vertAlign w:val="baseline"/>
              </w:rPr>
            </w:pPr>
            <w:r>
              <w:rPr>
                <w:rFonts w:hint="eastAsia"/>
                <w:sz w:val="21"/>
                <w:szCs w:val="21"/>
                <w:vertAlign w:val="baseline"/>
              </w:rPr>
              <w:t>5. 掩蔽</w:t>
            </w:r>
          </w:p>
          <w:p w14:paraId="791D455E">
            <w:pPr>
              <w:widowControl w:val="0"/>
              <w:jc w:val="both"/>
              <w:rPr>
                <w:rFonts w:hint="eastAsia"/>
                <w:sz w:val="21"/>
                <w:szCs w:val="21"/>
                <w:vertAlign w:val="baseline"/>
              </w:rPr>
            </w:pPr>
            <w:r>
              <w:rPr>
                <w:rFonts w:hint="eastAsia"/>
                <w:sz w:val="21"/>
                <w:szCs w:val="21"/>
                <w:vertAlign w:val="baseline"/>
              </w:rPr>
              <w:t xml:space="preserve">   · 对侧耳可根据需要施加窄带噪声掩蔽，防止交叉听力。</w:t>
            </w:r>
          </w:p>
          <w:p w14:paraId="0E201B99">
            <w:pPr>
              <w:widowControl w:val="0"/>
              <w:jc w:val="both"/>
              <w:rPr>
                <w:rFonts w:hint="eastAsia"/>
                <w:sz w:val="21"/>
                <w:szCs w:val="21"/>
                <w:vertAlign w:val="baseline"/>
              </w:rPr>
            </w:pPr>
            <w:r>
              <w:rPr>
                <w:rFonts w:hint="eastAsia"/>
                <w:sz w:val="21"/>
                <w:szCs w:val="21"/>
                <w:vertAlign w:val="baseline"/>
              </w:rPr>
              <w:t>6. 换能器</w:t>
            </w:r>
          </w:p>
          <w:p w14:paraId="71FBEA71">
            <w:pPr>
              <w:widowControl w:val="0"/>
              <w:jc w:val="both"/>
              <w:rPr>
                <w:rFonts w:hint="eastAsia"/>
                <w:sz w:val="21"/>
                <w:szCs w:val="21"/>
                <w:vertAlign w:val="baseline"/>
              </w:rPr>
            </w:pPr>
            <w:r>
              <w:rPr>
                <w:rFonts w:hint="eastAsia"/>
                <w:sz w:val="21"/>
                <w:szCs w:val="21"/>
                <w:vertAlign w:val="baseline"/>
              </w:rPr>
              <w:t xml:space="preserve">   · 插入式耳机：</w:t>
            </w:r>
          </w:p>
          <w:p w14:paraId="677F6E78">
            <w:pPr>
              <w:widowControl w:val="0"/>
              <w:jc w:val="both"/>
              <w:rPr>
                <w:rFonts w:hint="eastAsia"/>
                <w:sz w:val="21"/>
                <w:szCs w:val="21"/>
                <w:vertAlign w:val="baseline"/>
              </w:rPr>
            </w:pPr>
            <w:r>
              <w:rPr>
                <w:rFonts w:hint="eastAsia"/>
                <w:sz w:val="21"/>
                <w:szCs w:val="21"/>
                <w:vertAlign w:val="baseline"/>
              </w:rPr>
              <w:t xml:space="preserve">   · 压耳式耳机：</w:t>
            </w:r>
          </w:p>
          <w:p w14:paraId="1B9C4886">
            <w:pPr>
              <w:widowControl w:val="0"/>
              <w:jc w:val="both"/>
              <w:rPr>
                <w:rFonts w:hint="eastAsia"/>
                <w:sz w:val="21"/>
                <w:szCs w:val="21"/>
                <w:vertAlign w:val="baseline"/>
              </w:rPr>
            </w:pPr>
            <w:r>
              <w:rPr>
                <w:rFonts w:hint="eastAsia"/>
                <w:sz w:val="21"/>
                <w:szCs w:val="21"/>
                <w:vertAlign w:val="baseline"/>
              </w:rPr>
              <w:t xml:space="preserve">   · 骨导振子：</w:t>
            </w:r>
          </w:p>
          <w:p w14:paraId="69BAC375">
            <w:pPr>
              <w:widowControl w:val="0"/>
              <w:jc w:val="both"/>
              <w:rPr>
                <w:rFonts w:hint="eastAsia"/>
                <w:b/>
                <w:bCs/>
                <w:sz w:val="21"/>
                <w:szCs w:val="21"/>
                <w:vertAlign w:val="baseline"/>
              </w:rPr>
            </w:pPr>
            <w:r>
              <w:rPr>
                <w:rFonts w:hint="eastAsia"/>
                <w:b/>
                <w:bCs/>
                <w:sz w:val="21"/>
                <w:szCs w:val="21"/>
                <w:vertAlign w:val="baseline"/>
              </w:rPr>
              <w:t>二、生物电信号采集与分析系统参数</w:t>
            </w:r>
          </w:p>
          <w:p w14:paraId="77DEB4F9">
            <w:pPr>
              <w:widowControl w:val="0"/>
              <w:jc w:val="both"/>
              <w:rPr>
                <w:rFonts w:hint="eastAsia"/>
                <w:sz w:val="21"/>
                <w:szCs w:val="21"/>
                <w:vertAlign w:val="baseline"/>
              </w:rPr>
            </w:pPr>
            <w:r>
              <w:rPr>
                <w:rFonts w:hint="eastAsia"/>
                <w:sz w:val="21"/>
                <w:szCs w:val="21"/>
                <w:vertAlign w:val="baseline"/>
              </w:rPr>
              <w:t>1. 放大器与滤波器</w:t>
            </w:r>
          </w:p>
          <w:p w14:paraId="13CAF969">
            <w:pPr>
              <w:widowControl w:val="0"/>
              <w:jc w:val="both"/>
              <w:rPr>
                <w:rFonts w:hint="eastAsia" w:eastAsiaTheme="minorEastAsia"/>
                <w:sz w:val="21"/>
                <w:szCs w:val="21"/>
                <w:vertAlign w:val="baseline"/>
                <w:lang w:eastAsia="zh-CN"/>
              </w:rPr>
            </w:pPr>
            <w:r>
              <w:rPr>
                <w:rFonts w:hint="eastAsia"/>
                <w:sz w:val="21"/>
                <w:szCs w:val="21"/>
                <w:vertAlign w:val="baseline"/>
              </w:rPr>
              <w:t xml:space="preserve">   · 增益（放大倍数）： 极高，100，000 倍 (100 dB) 或更高</w:t>
            </w:r>
            <w:r>
              <w:rPr>
                <w:rFonts w:hint="eastAsia"/>
                <w:sz w:val="21"/>
                <w:szCs w:val="21"/>
                <w:vertAlign w:val="baseline"/>
                <w:lang w:eastAsia="zh-CN"/>
              </w:rPr>
              <w:t>。</w:t>
            </w:r>
          </w:p>
          <w:p w14:paraId="3E53B926">
            <w:pPr>
              <w:widowControl w:val="0"/>
              <w:jc w:val="both"/>
              <w:rPr>
                <w:rFonts w:hint="eastAsia"/>
                <w:sz w:val="21"/>
                <w:szCs w:val="21"/>
                <w:vertAlign w:val="baseline"/>
              </w:rPr>
            </w:pPr>
            <w:r>
              <w:rPr>
                <w:rFonts w:hint="eastAsia"/>
                <w:sz w:val="21"/>
                <w:szCs w:val="21"/>
                <w:vertAlign w:val="baseline"/>
              </w:rPr>
              <w:t xml:space="preserve">   · 输入阻抗： 非常高（ &gt; 100 MΩ）。</w:t>
            </w:r>
          </w:p>
          <w:p w14:paraId="7CF06AD5">
            <w:pPr>
              <w:widowControl w:val="0"/>
              <w:jc w:val="both"/>
              <w:rPr>
                <w:rFonts w:hint="eastAsia"/>
                <w:sz w:val="21"/>
                <w:szCs w:val="21"/>
                <w:vertAlign w:val="baseline"/>
              </w:rPr>
            </w:pPr>
            <w:r>
              <w:rPr>
                <w:rFonts w:hint="eastAsia"/>
                <w:sz w:val="21"/>
                <w:szCs w:val="21"/>
                <w:vertAlign w:val="baseline"/>
              </w:rPr>
              <w:t xml:space="preserve">   · 共模抑制比： CMRR应 ≥ 100 dB。</w:t>
            </w:r>
          </w:p>
          <w:p w14:paraId="67C53DB7">
            <w:pPr>
              <w:widowControl w:val="0"/>
              <w:jc w:val="both"/>
              <w:rPr>
                <w:rFonts w:hint="eastAsia"/>
                <w:sz w:val="21"/>
                <w:szCs w:val="21"/>
                <w:vertAlign w:val="baseline"/>
              </w:rPr>
            </w:pPr>
            <w:r>
              <w:rPr>
                <w:rFonts w:hint="eastAsia"/>
                <w:sz w:val="21"/>
                <w:szCs w:val="21"/>
                <w:vertAlign w:val="baseline"/>
              </w:rPr>
              <w:t xml:space="preserve">   · 带通滤波：</w:t>
            </w:r>
          </w:p>
          <w:p w14:paraId="42C41C1D">
            <w:pPr>
              <w:widowControl w:val="0"/>
              <w:jc w:val="both"/>
              <w:rPr>
                <w:rFonts w:hint="eastAsia"/>
                <w:sz w:val="21"/>
                <w:szCs w:val="21"/>
                <w:vertAlign w:val="baseline"/>
              </w:rPr>
            </w:pPr>
            <w:r>
              <w:rPr>
                <w:rFonts w:hint="eastAsia"/>
                <w:sz w:val="21"/>
                <w:szCs w:val="21"/>
                <w:vertAlign w:val="baseline"/>
              </w:rPr>
              <w:t xml:space="preserve">     · 高通滤波器： 100 Hz 或 30 Hz。</w:t>
            </w:r>
          </w:p>
          <w:p w14:paraId="1715DA65">
            <w:pPr>
              <w:widowControl w:val="0"/>
              <w:jc w:val="both"/>
              <w:rPr>
                <w:rFonts w:hint="eastAsia"/>
                <w:sz w:val="21"/>
                <w:szCs w:val="21"/>
                <w:vertAlign w:val="baseline"/>
              </w:rPr>
            </w:pPr>
            <w:r>
              <w:rPr>
                <w:rFonts w:hint="eastAsia"/>
                <w:sz w:val="21"/>
                <w:szCs w:val="21"/>
                <w:vertAlign w:val="baseline"/>
              </w:rPr>
              <w:t xml:space="preserve">     · 低通滤波器： 3000 Hz。保留ABR的主要频率成分（500-1500 Hz）。</w:t>
            </w:r>
          </w:p>
          <w:p w14:paraId="0AFAE2FC">
            <w:pPr>
              <w:widowControl w:val="0"/>
              <w:jc w:val="both"/>
              <w:rPr>
                <w:rFonts w:hint="eastAsia"/>
                <w:sz w:val="21"/>
                <w:szCs w:val="21"/>
                <w:vertAlign w:val="baseline"/>
              </w:rPr>
            </w:pPr>
            <w:r>
              <w:rPr>
                <w:rFonts w:hint="eastAsia"/>
                <w:sz w:val="21"/>
                <w:szCs w:val="21"/>
                <w:vertAlign w:val="baseline"/>
              </w:rPr>
              <w:t xml:space="preserve">     · 滤波设置100-3000 Hz。</w:t>
            </w:r>
          </w:p>
          <w:p w14:paraId="4C209F8F">
            <w:pPr>
              <w:widowControl w:val="0"/>
              <w:jc w:val="both"/>
              <w:rPr>
                <w:rFonts w:hint="eastAsia"/>
                <w:sz w:val="21"/>
                <w:szCs w:val="21"/>
                <w:vertAlign w:val="baseline"/>
              </w:rPr>
            </w:pPr>
            <w:r>
              <w:rPr>
                <w:rFonts w:hint="eastAsia"/>
                <w:sz w:val="21"/>
                <w:szCs w:val="21"/>
                <w:vertAlign w:val="baseline"/>
              </w:rPr>
              <w:t>2. 模数转换器</w:t>
            </w:r>
          </w:p>
          <w:p w14:paraId="7E4C73A2">
            <w:pPr>
              <w:widowControl w:val="0"/>
              <w:jc w:val="both"/>
              <w:rPr>
                <w:rFonts w:hint="eastAsia"/>
                <w:sz w:val="21"/>
                <w:szCs w:val="21"/>
                <w:vertAlign w:val="baseline"/>
              </w:rPr>
            </w:pPr>
            <w:r>
              <w:rPr>
                <w:rFonts w:hint="eastAsia"/>
                <w:sz w:val="21"/>
                <w:szCs w:val="21"/>
                <w:vertAlign w:val="baseline"/>
              </w:rPr>
              <w:t xml:space="preserve">   · 采样率：20 kHz 或更高。采样率至少是目标最高频率的2倍以上。</w:t>
            </w:r>
          </w:p>
          <w:p w14:paraId="78353090">
            <w:pPr>
              <w:widowControl w:val="0"/>
              <w:jc w:val="both"/>
              <w:rPr>
                <w:rFonts w:hint="eastAsia"/>
                <w:sz w:val="21"/>
                <w:szCs w:val="21"/>
                <w:vertAlign w:val="baseline"/>
              </w:rPr>
            </w:pPr>
            <w:r>
              <w:rPr>
                <w:rFonts w:hint="eastAsia"/>
                <w:sz w:val="21"/>
                <w:szCs w:val="21"/>
                <w:vertAlign w:val="baseline"/>
              </w:rPr>
              <w:t xml:space="preserve">   · 分辨率：16位或更高，确保动态范围足够。</w:t>
            </w:r>
          </w:p>
          <w:p w14:paraId="6A73D6A6">
            <w:pPr>
              <w:widowControl w:val="0"/>
              <w:jc w:val="both"/>
              <w:rPr>
                <w:rFonts w:hint="eastAsia"/>
                <w:sz w:val="21"/>
                <w:szCs w:val="21"/>
                <w:vertAlign w:val="baseline"/>
              </w:rPr>
            </w:pPr>
            <w:r>
              <w:rPr>
                <w:rFonts w:hint="eastAsia"/>
                <w:sz w:val="21"/>
                <w:szCs w:val="21"/>
                <w:vertAlign w:val="baseline"/>
              </w:rPr>
              <w:t>3. 平均与叠加</w:t>
            </w:r>
          </w:p>
          <w:p w14:paraId="6A79421D">
            <w:pPr>
              <w:widowControl w:val="0"/>
              <w:jc w:val="both"/>
              <w:rPr>
                <w:rFonts w:hint="eastAsia"/>
                <w:sz w:val="21"/>
                <w:szCs w:val="21"/>
                <w:vertAlign w:val="baseline"/>
              </w:rPr>
            </w:pPr>
            <w:r>
              <w:rPr>
                <w:rFonts w:hint="eastAsia"/>
                <w:sz w:val="21"/>
                <w:szCs w:val="21"/>
                <w:vertAlign w:val="baseline"/>
              </w:rPr>
              <w:t xml:space="preserve">   · 分析时间窗： 10 ms 或 15 ms。</w:t>
            </w:r>
          </w:p>
          <w:p w14:paraId="70412A60">
            <w:pPr>
              <w:widowControl w:val="0"/>
              <w:jc w:val="both"/>
              <w:rPr>
                <w:rFonts w:hint="eastAsia"/>
                <w:sz w:val="21"/>
                <w:szCs w:val="21"/>
                <w:vertAlign w:val="baseline"/>
              </w:rPr>
            </w:pPr>
            <w:r>
              <w:rPr>
                <w:rFonts w:hint="eastAsia"/>
                <w:sz w:val="21"/>
                <w:szCs w:val="21"/>
                <w:vertAlign w:val="baseline"/>
              </w:rPr>
              <w:t xml:space="preserve">   · 叠加次数： 500次 至 4000次。</w:t>
            </w:r>
          </w:p>
          <w:p w14:paraId="641403D2">
            <w:pPr>
              <w:widowControl w:val="0"/>
              <w:jc w:val="both"/>
              <w:rPr>
                <w:rFonts w:hint="eastAsia"/>
                <w:b/>
                <w:bCs/>
                <w:sz w:val="21"/>
                <w:szCs w:val="21"/>
                <w:vertAlign w:val="baseline"/>
              </w:rPr>
            </w:pPr>
            <w:r>
              <w:rPr>
                <w:rFonts w:hint="eastAsia"/>
                <w:b/>
                <w:bCs/>
                <w:sz w:val="21"/>
                <w:szCs w:val="21"/>
                <w:vertAlign w:val="baseline"/>
              </w:rPr>
              <w:t>三、电极系统</w:t>
            </w:r>
          </w:p>
          <w:p w14:paraId="61EA742A">
            <w:pPr>
              <w:widowControl w:val="0"/>
              <w:jc w:val="both"/>
              <w:rPr>
                <w:rFonts w:hint="eastAsia"/>
                <w:sz w:val="21"/>
                <w:szCs w:val="21"/>
                <w:vertAlign w:val="baseline"/>
              </w:rPr>
            </w:pPr>
            <w:r>
              <w:rPr>
                <w:rFonts w:hint="eastAsia"/>
                <w:sz w:val="21"/>
                <w:szCs w:val="21"/>
                <w:vertAlign w:val="baseline"/>
              </w:rPr>
              <w:t>1. 电极配置与阻抗</w:t>
            </w:r>
          </w:p>
          <w:p w14:paraId="736C10D5">
            <w:pPr>
              <w:widowControl w:val="0"/>
              <w:jc w:val="both"/>
              <w:rPr>
                <w:rFonts w:hint="eastAsia"/>
                <w:sz w:val="21"/>
                <w:szCs w:val="21"/>
                <w:vertAlign w:val="baseline"/>
              </w:rPr>
            </w:pPr>
            <w:r>
              <w:rPr>
                <w:rFonts w:hint="eastAsia"/>
                <w:sz w:val="21"/>
                <w:szCs w:val="21"/>
                <w:vertAlign w:val="baseline"/>
              </w:rPr>
              <w:t xml:space="preserve">   · 标准电极导联：</w:t>
            </w:r>
          </w:p>
          <w:p w14:paraId="52B684C0">
            <w:pPr>
              <w:widowControl w:val="0"/>
              <w:jc w:val="both"/>
              <w:rPr>
                <w:rFonts w:hint="eastAsia"/>
                <w:sz w:val="21"/>
                <w:szCs w:val="21"/>
                <w:vertAlign w:val="baseline"/>
              </w:rPr>
            </w:pPr>
            <w:r>
              <w:rPr>
                <w:rFonts w:hint="eastAsia"/>
                <w:sz w:val="21"/>
                <w:szCs w:val="21"/>
                <w:vertAlign w:val="baseline"/>
              </w:rPr>
              <w:t xml:space="preserve">     · 非输入电极： 置于前额发际（Fpz或Fz）。</w:t>
            </w:r>
          </w:p>
          <w:p w14:paraId="550337AD">
            <w:pPr>
              <w:widowControl w:val="0"/>
              <w:jc w:val="both"/>
              <w:rPr>
                <w:rFonts w:hint="eastAsia"/>
                <w:sz w:val="21"/>
                <w:szCs w:val="21"/>
                <w:vertAlign w:val="baseline"/>
              </w:rPr>
            </w:pPr>
            <w:r>
              <w:rPr>
                <w:rFonts w:hint="eastAsia"/>
                <w:sz w:val="21"/>
                <w:szCs w:val="21"/>
                <w:vertAlign w:val="baseline"/>
              </w:rPr>
              <w:t xml:space="preserve">     · 输入电极（正负极）： 同侧耳垂（Ai）或乳突（Mi） 作为记录电极，对侧耳垂（Ac）或乳突（Mc）作为参考电极。</w:t>
            </w:r>
          </w:p>
          <w:p w14:paraId="4464024E">
            <w:pPr>
              <w:widowControl w:val="0"/>
              <w:jc w:val="both"/>
              <w:rPr>
                <w:rFonts w:hint="eastAsia"/>
                <w:sz w:val="21"/>
                <w:szCs w:val="21"/>
                <w:vertAlign w:val="baseline"/>
              </w:rPr>
            </w:pPr>
            <w:r>
              <w:rPr>
                <w:rFonts w:hint="eastAsia"/>
                <w:sz w:val="21"/>
                <w:szCs w:val="21"/>
                <w:vertAlign w:val="baseline"/>
              </w:rPr>
              <w:t xml:space="preserve">     · 接地电极： 置于对侧乳突、肩部或鼻根。</w:t>
            </w:r>
          </w:p>
          <w:p w14:paraId="36F582C0">
            <w:pPr>
              <w:widowControl w:val="0"/>
              <w:jc w:val="both"/>
              <w:rPr>
                <w:rFonts w:hint="eastAsia"/>
                <w:sz w:val="21"/>
                <w:szCs w:val="21"/>
                <w:vertAlign w:val="baseline"/>
              </w:rPr>
            </w:pPr>
            <w:r>
              <w:rPr>
                <w:rFonts w:hint="eastAsia"/>
                <w:sz w:val="21"/>
                <w:szCs w:val="21"/>
                <w:vertAlign w:val="baseline"/>
              </w:rPr>
              <w:t xml:space="preserve">   </w:t>
            </w:r>
            <w:r>
              <w:rPr>
                <w:rFonts w:hint="eastAsia"/>
                <w:sz w:val="21"/>
                <w:szCs w:val="21"/>
                <w:vertAlign w:val="baseline"/>
                <w:lang w:eastAsia="zh-CN"/>
              </w:rPr>
              <w:t>　</w:t>
            </w:r>
            <w:r>
              <w:rPr>
                <w:rFonts w:hint="eastAsia"/>
                <w:sz w:val="21"/>
                <w:szCs w:val="21"/>
                <w:vertAlign w:val="baseline"/>
              </w:rPr>
              <w:t>· 电极阻抗： 电极与皮肤间的阻抗应尽可能低且平衡。每个电极阻抗 &lt; 5 kΩ，且各电极间阻抗差 &lt; 2 kΩ。</w:t>
            </w:r>
          </w:p>
          <w:p w14:paraId="0FD9F54B">
            <w:pPr>
              <w:widowControl w:val="0"/>
              <w:jc w:val="both"/>
              <w:rPr>
                <w:rFonts w:hint="eastAsia"/>
                <w:b/>
                <w:bCs/>
                <w:sz w:val="21"/>
                <w:szCs w:val="21"/>
                <w:vertAlign w:val="baseline"/>
              </w:rPr>
            </w:pPr>
            <w:r>
              <w:rPr>
                <w:rFonts w:hint="eastAsia"/>
                <w:b/>
                <w:bCs/>
                <w:sz w:val="21"/>
                <w:szCs w:val="21"/>
                <w:vertAlign w:val="baseline"/>
              </w:rPr>
              <w:t>四、显示、分析与输出</w:t>
            </w:r>
          </w:p>
          <w:p w14:paraId="1DC86B06">
            <w:pPr>
              <w:widowControl w:val="0"/>
              <w:jc w:val="both"/>
              <w:rPr>
                <w:rFonts w:hint="eastAsia"/>
                <w:sz w:val="21"/>
                <w:szCs w:val="21"/>
                <w:vertAlign w:val="baseline"/>
              </w:rPr>
            </w:pPr>
            <w:r>
              <w:rPr>
                <w:rFonts w:hint="eastAsia"/>
                <w:sz w:val="21"/>
                <w:szCs w:val="21"/>
                <w:vertAlign w:val="baseline"/>
              </w:rPr>
              <w:t>1. 波形显示与分析工具</w:t>
            </w:r>
          </w:p>
          <w:p w14:paraId="4F88D510">
            <w:pPr>
              <w:widowControl w:val="0"/>
              <w:jc w:val="both"/>
              <w:rPr>
                <w:rFonts w:hint="eastAsia"/>
                <w:sz w:val="21"/>
                <w:szCs w:val="21"/>
                <w:vertAlign w:val="baseline"/>
              </w:rPr>
            </w:pPr>
            <w:r>
              <w:rPr>
                <w:rFonts w:hint="eastAsia"/>
                <w:sz w:val="21"/>
                <w:szCs w:val="21"/>
                <w:vertAlign w:val="baseline"/>
              </w:rPr>
              <w:t xml:space="preserve">   · 实时显示平均过程中的波形。</w:t>
            </w:r>
          </w:p>
          <w:p w14:paraId="7113E2AB">
            <w:pPr>
              <w:widowControl w:val="0"/>
              <w:jc w:val="both"/>
              <w:rPr>
                <w:rFonts w:hint="eastAsia"/>
                <w:sz w:val="21"/>
                <w:szCs w:val="21"/>
                <w:vertAlign w:val="baseline"/>
              </w:rPr>
            </w:pPr>
            <w:r>
              <w:rPr>
                <w:rFonts w:hint="eastAsia"/>
                <w:sz w:val="21"/>
                <w:szCs w:val="21"/>
                <w:vertAlign w:val="baseline"/>
              </w:rPr>
              <w:t xml:space="preserve">   · 提供潜伏期和振幅测量工具（游标），可自动或手动测量I、III、V波潜伏期及波间期（如I-V、III-V、I-III）。</w:t>
            </w:r>
          </w:p>
          <w:p w14:paraId="2DB90304">
            <w:pPr>
              <w:widowControl w:val="0"/>
              <w:jc w:val="both"/>
              <w:rPr>
                <w:rFonts w:hint="eastAsia"/>
                <w:sz w:val="21"/>
                <w:szCs w:val="21"/>
                <w:vertAlign w:val="baseline"/>
              </w:rPr>
            </w:pPr>
            <w:r>
              <w:rPr>
                <w:rFonts w:hint="eastAsia"/>
                <w:sz w:val="21"/>
                <w:szCs w:val="21"/>
                <w:vertAlign w:val="baseline"/>
              </w:rPr>
              <w:t xml:space="preserve">   · 具备波形叠加比较功能，便于不同条件下（如不同强度）的波形对比。</w:t>
            </w:r>
          </w:p>
          <w:p w14:paraId="625725F6">
            <w:pPr>
              <w:widowControl w:val="0"/>
              <w:jc w:val="both"/>
              <w:rPr>
                <w:rFonts w:hint="eastAsia"/>
                <w:sz w:val="21"/>
                <w:szCs w:val="21"/>
                <w:vertAlign w:val="baseline"/>
              </w:rPr>
            </w:pPr>
            <w:r>
              <w:rPr>
                <w:rFonts w:hint="eastAsia"/>
                <w:sz w:val="21"/>
                <w:szCs w:val="21"/>
                <w:vertAlign w:val="baseline"/>
              </w:rPr>
              <w:t>2. 数据管理与报告</w:t>
            </w:r>
          </w:p>
          <w:p w14:paraId="50EDA597">
            <w:pPr>
              <w:widowControl w:val="0"/>
              <w:jc w:val="both"/>
              <w:rPr>
                <w:rFonts w:hint="eastAsia"/>
                <w:sz w:val="21"/>
                <w:szCs w:val="21"/>
                <w:vertAlign w:val="baseline"/>
              </w:rPr>
            </w:pPr>
            <w:r>
              <w:rPr>
                <w:rFonts w:hint="eastAsia"/>
                <w:sz w:val="21"/>
                <w:szCs w:val="21"/>
                <w:vertAlign w:val="baseline"/>
              </w:rPr>
              <w:t xml:space="preserve">   · 存储完整的测试参数、原始波形和测量数据。</w:t>
            </w:r>
          </w:p>
          <w:p w14:paraId="43463DE9">
            <w:pPr>
              <w:widowControl w:val="0"/>
              <w:jc w:val="both"/>
              <w:rPr>
                <w:rFonts w:hint="eastAsia"/>
                <w:sz w:val="21"/>
                <w:szCs w:val="21"/>
                <w:vertAlign w:val="baseline"/>
              </w:rPr>
            </w:pPr>
            <w:r>
              <w:rPr>
                <w:rFonts w:hint="eastAsia"/>
                <w:sz w:val="21"/>
                <w:szCs w:val="21"/>
                <w:vertAlign w:val="baseline"/>
              </w:rPr>
              <w:t xml:space="preserve">   · 可生成标准报告，包含波形图、测量值表格、以及正常值参考范围对比。</w:t>
            </w:r>
          </w:p>
          <w:p w14:paraId="03C49F1D">
            <w:pPr>
              <w:widowControl w:val="0"/>
              <w:jc w:val="both"/>
              <w:rPr>
                <w:rFonts w:hint="eastAsia"/>
                <w:b/>
                <w:bCs/>
                <w:sz w:val="21"/>
                <w:szCs w:val="21"/>
                <w:vertAlign w:val="baseline"/>
              </w:rPr>
            </w:pPr>
            <w:r>
              <w:rPr>
                <w:rFonts w:hint="eastAsia"/>
                <w:b/>
                <w:bCs/>
                <w:sz w:val="21"/>
                <w:szCs w:val="21"/>
                <w:vertAlign w:val="baseline"/>
              </w:rPr>
              <w:t>五、安全与校准</w:t>
            </w:r>
          </w:p>
          <w:p w14:paraId="388118D1">
            <w:pPr>
              <w:widowControl w:val="0"/>
              <w:jc w:val="both"/>
              <w:rPr>
                <w:rFonts w:hint="eastAsia"/>
                <w:sz w:val="21"/>
                <w:szCs w:val="21"/>
                <w:vertAlign w:val="baseline"/>
              </w:rPr>
            </w:pPr>
            <w:r>
              <w:rPr>
                <w:rFonts w:hint="eastAsia"/>
                <w:sz w:val="21"/>
                <w:szCs w:val="21"/>
                <w:vertAlign w:val="baseline"/>
              </w:rPr>
              <w:t>1. 电气安全</w:t>
            </w:r>
          </w:p>
          <w:p w14:paraId="5A536E84">
            <w:pPr>
              <w:widowControl w:val="0"/>
              <w:jc w:val="both"/>
              <w:rPr>
                <w:rFonts w:hint="eastAsia"/>
                <w:sz w:val="21"/>
                <w:szCs w:val="21"/>
                <w:vertAlign w:val="baseline"/>
              </w:rPr>
            </w:pPr>
            <w:r>
              <w:rPr>
                <w:rFonts w:hint="eastAsia"/>
                <w:sz w:val="21"/>
                <w:szCs w:val="21"/>
                <w:vertAlign w:val="baseline"/>
              </w:rPr>
              <w:t xml:space="preserve">   · 必须符合医疗电气设备安全标准（如 IEC 60601-1），确保患者电气隔离，防止电击风险。采用光耦隔离或电池供电的放大器。</w:t>
            </w:r>
          </w:p>
          <w:p w14:paraId="014469FD">
            <w:pPr>
              <w:widowControl w:val="0"/>
              <w:jc w:val="both"/>
              <w:rPr>
                <w:rFonts w:hint="eastAsia"/>
                <w:sz w:val="21"/>
                <w:szCs w:val="21"/>
                <w:vertAlign w:val="baseline"/>
              </w:rPr>
            </w:pPr>
            <w:r>
              <w:rPr>
                <w:rFonts w:hint="eastAsia"/>
                <w:sz w:val="21"/>
                <w:szCs w:val="21"/>
                <w:vertAlign w:val="baseline"/>
              </w:rPr>
              <w:t>2. 校准要求</w:t>
            </w:r>
          </w:p>
          <w:p w14:paraId="3C91BC5A">
            <w:pPr>
              <w:widowControl w:val="0"/>
              <w:jc w:val="both"/>
              <w:rPr>
                <w:rFonts w:hint="eastAsia"/>
                <w:sz w:val="21"/>
                <w:szCs w:val="21"/>
                <w:vertAlign w:val="baseline"/>
              </w:rPr>
            </w:pPr>
            <w:r>
              <w:rPr>
                <w:rFonts w:hint="eastAsia"/>
                <w:sz w:val="21"/>
                <w:szCs w:val="21"/>
                <w:vertAlign w:val="baseline"/>
              </w:rPr>
              <w:t xml:space="preserve">   · 声学校准： 定期（至少每年）使用声级计和耦合器校准刺激声的输出强度（dB SPL），并将其与设备的dB nHL值对应。</w:t>
            </w:r>
          </w:p>
          <w:p w14:paraId="0CC322C5">
            <w:pPr>
              <w:widowControl w:val="0"/>
              <w:jc w:val="left"/>
              <w:rPr>
                <w:rFonts w:hint="default"/>
                <w:sz w:val="21"/>
                <w:szCs w:val="21"/>
                <w:highlight w:val="none"/>
                <w:vertAlign w:val="baseline"/>
                <w:lang w:val="en-US"/>
              </w:rPr>
            </w:pPr>
            <w:r>
              <w:rPr>
                <w:rFonts w:hint="eastAsia"/>
                <w:sz w:val="21"/>
                <w:szCs w:val="21"/>
                <w:vertAlign w:val="baseline"/>
              </w:rPr>
              <w:t xml:space="preserve">   · 生物校准： 使用信号模拟器验证整个电信号通路的增益、滤波和测量功能</w:t>
            </w:r>
            <w:r>
              <w:rPr>
                <w:rFonts w:hint="eastAsia"/>
                <w:sz w:val="21"/>
                <w:szCs w:val="21"/>
                <w:vertAlign w:val="baseline"/>
                <w:lang w:val="en-US" w:eastAsia="zh-CN"/>
              </w:rPr>
              <w:t>必须</w:t>
            </w:r>
            <w:r>
              <w:rPr>
                <w:rFonts w:hint="eastAsia"/>
                <w:sz w:val="21"/>
                <w:szCs w:val="21"/>
                <w:vertAlign w:val="baseline"/>
              </w:rPr>
              <w:t>准确。</w:t>
            </w:r>
          </w:p>
        </w:tc>
        <w:tc>
          <w:tcPr>
            <w:tcW w:w="1107" w:type="dxa"/>
            <w:vAlign w:val="center"/>
          </w:tcPr>
          <w:p w14:paraId="39F032AE">
            <w:pPr>
              <w:widowControl w:val="0"/>
              <w:jc w:val="left"/>
              <w:rPr>
                <w:rFonts w:hint="default"/>
                <w:sz w:val="21"/>
                <w:szCs w:val="21"/>
                <w:highlight w:val="none"/>
                <w:vertAlign w:val="baseline"/>
                <w:lang w:val="en-US"/>
              </w:rPr>
            </w:pPr>
          </w:p>
        </w:tc>
      </w:tr>
    </w:tbl>
    <w:p w14:paraId="5F9FCAD8">
      <w:pPr>
        <w:rPr>
          <w:rFonts w:hint="default" w:eastAsia="宋体" w:cs="Arial"/>
          <w:sz w:val="44"/>
          <w:szCs w:val="44"/>
          <w:highlight w:val="none"/>
          <w:lang w:val="en-US" w:eastAsia="zh-CN"/>
        </w:rPr>
        <w:sectPr>
          <w:footerReference r:id="rId21" w:type="default"/>
          <w:pgSz w:w="16839" w:h="11907" w:orient="landscape"/>
          <w:pgMar w:top="1646" w:right="1431" w:bottom="1030" w:left="1159" w:header="0" w:footer="959" w:gutter="0"/>
          <w:cols w:space="720" w:num="1"/>
        </w:sectPr>
      </w:pPr>
    </w:p>
    <w:p w14:paraId="1E573A34">
      <w:pPr>
        <w:spacing w:line="350" w:lineRule="auto"/>
        <w:rPr>
          <w:rFonts w:ascii="Arial"/>
          <w:sz w:val="21"/>
          <w:highlight w:val="none"/>
        </w:rPr>
      </w:pPr>
    </w:p>
    <w:p w14:paraId="0246776F">
      <w:pPr>
        <w:pStyle w:val="4"/>
        <w:spacing w:before="121" w:line="219" w:lineRule="auto"/>
        <w:ind w:left="3037"/>
        <w:rPr>
          <w:sz w:val="40"/>
          <w:szCs w:val="40"/>
          <w:highlight w:val="none"/>
        </w:rPr>
      </w:pPr>
      <w:r>
        <w:rPr>
          <w:b/>
          <w:bCs/>
          <w:spacing w:val="-5"/>
          <w:sz w:val="40"/>
          <w:szCs w:val="40"/>
          <w:highlight w:val="none"/>
        </w:rPr>
        <w:t>第四章</w:t>
      </w:r>
      <w:r>
        <w:rPr>
          <w:spacing w:val="-5"/>
          <w:sz w:val="40"/>
          <w:szCs w:val="40"/>
          <w:highlight w:val="none"/>
        </w:rPr>
        <w:t xml:space="preserve"> </w:t>
      </w:r>
      <w:r>
        <w:rPr>
          <w:b/>
          <w:bCs/>
          <w:spacing w:val="-5"/>
          <w:sz w:val="40"/>
          <w:szCs w:val="40"/>
          <w:highlight w:val="none"/>
        </w:rPr>
        <w:t>评标办法</w:t>
      </w:r>
    </w:p>
    <w:p w14:paraId="50BF4846">
      <w:pPr>
        <w:pStyle w:val="4"/>
        <w:spacing w:before="183" w:line="220" w:lineRule="auto"/>
        <w:ind w:left="499"/>
        <w:rPr>
          <w:sz w:val="24"/>
          <w:szCs w:val="24"/>
          <w:highlight w:val="none"/>
        </w:rPr>
      </w:pPr>
      <w:r>
        <w:rPr>
          <w:spacing w:val="-4"/>
          <w:sz w:val="24"/>
          <w:szCs w:val="24"/>
          <w:highlight w:val="none"/>
        </w:rPr>
        <w:t>1.</w:t>
      </w:r>
      <w:r>
        <w:rPr>
          <w:spacing w:val="46"/>
          <w:sz w:val="24"/>
          <w:szCs w:val="24"/>
          <w:highlight w:val="none"/>
        </w:rPr>
        <w:t xml:space="preserve"> </w:t>
      </w:r>
      <w:r>
        <w:rPr>
          <w:spacing w:val="-4"/>
          <w:sz w:val="24"/>
          <w:szCs w:val="24"/>
          <w:highlight w:val="none"/>
        </w:rPr>
        <w:t>电子化投标文件的评审、比较和否决</w:t>
      </w:r>
    </w:p>
    <w:p w14:paraId="6D077C8F">
      <w:pPr>
        <w:pStyle w:val="4"/>
        <w:spacing w:before="153" w:line="339" w:lineRule="auto"/>
        <w:ind w:left="4" w:right="1" w:firstLine="439"/>
        <w:rPr>
          <w:sz w:val="24"/>
          <w:szCs w:val="24"/>
          <w:highlight w:val="none"/>
        </w:rPr>
      </w:pPr>
      <w:r>
        <w:rPr>
          <w:spacing w:val="-1"/>
          <w:sz w:val="24"/>
          <w:szCs w:val="24"/>
          <w:highlight w:val="none"/>
        </w:rPr>
        <w:t>1.1 评标委员会将按照招标文件的规定，仅对在实质上响应招标文件要求的电子化</w:t>
      </w:r>
      <w:r>
        <w:rPr>
          <w:spacing w:val="-4"/>
          <w:sz w:val="24"/>
          <w:szCs w:val="24"/>
          <w:highlight w:val="none"/>
        </w:rPr>
        <w:t>投标文件进行评估和比较。</w:t>
      </w:r>
    </w:p>
    <w:p w14:paraId="29FF6ACE">
      <w:pPr>
        <w:pStyle w:val="4"/>
        <w:spacing w:before="1" w:line="338" w:lineRule="auto"/>
        <w:ind w:left="2" w:right="3" w:firstLine="441"/>
        <w:rPr>
          <w:sz w:val="24"/>
          <w:szCs w:val="24"/>
          <w:highlight w:val="none"/>
        </w:rPr>
      </w:pPr>
      <w:r>
        <w:rPr>
          <w:spacing w:val="-1"/>
          <w:sz w:val="24"/>
          <w:szCs w:val="24"/>
          <w:highlight w:val="none"/>
        </w:rPr>
        <w:t>1.2 根据相关法律法规及有关招投标文件规定，结合本项目具体情况，制</w:t>
      </w:r>
      <w:r>
        <w:rPr>
          <w:spacing w:val="-2"/>
          <w:sz w:val="24"/>
          <w:szCs w:val="24"/>
          <w:highlight w:val="none"/>
        </w:rPr>
        <w:t>定本次招标评标办法。并按照“公平、公正、科学、择优”的原则进行评标。采用综合评分法进</w:t>
      </w:r>
      <w:r>
        <w:rPr>
          <w:spacing w:val="-9"/>
          <w:sz w:val="24"/>
          <w:szCs w:val="24"/>
          <w:highlight w:val="none"/>
        </w:rPr>
        <w:t>行评比。</w:t>
      </w:r>
    </w:p>
    <w:p w14:paraId="29F20842">
      <w:pPr>
        <w:pStyle w:val="4"/>
        <w:spacing w:before="2" w:line="338" w:lineRule="auto"/>
        <w:ind w:left="1" w:firstLine="442"/>
        <w:rPr>
          <w:sz w:val="24"/>
          <w:szCs w:val="24"/>
          <w:highlight w:val="none"/>
        </w:rPr>
      </w:pPr>
      <w:r>
        <w:rPr>
          <w:spacing w:val="-1"/>
          <w:sz w:val="24"/>
          <w:szCs w:val="24"/>
          <w:highlight w:val="none"/>
        </w:rPr>
        <w:t>1.3 在评审过程中，评标委员会可以以书面形式要求投标供应商就电子化投标文件</w:t>
      </w:r>
      <w:r>
        <w:rPr>
          <w:spacing w:val="-2"/>
          <w:sz w:val="24"/>
          <w:szCs w:val="24"/>
          <w:highlight w:val="none"/>
        </w:rPr>
        <w:t>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6F50BF4E">
      <w:pPr>
        <w:pStyle w:val="4"/>
        <w:spacing w:before="2" w:line="338" w:lineRule="auto"/>
        <w:ind w:right="1" w:firstLine="443"/>
        <w:rPr>
          <w:sz w:val="24"/>
          <w:szCs w:val="24"/>
          <w:highlight w:val="none"/>
        </w:rPr>
      </w:pPr>
      <w:r>
        <w:rPr>
          <w:spacing w:val="-1"/>
          <w:sz w:val="24"/>
          <w:szCs w:val="24"/>
          <w:highlight w:val="none"/>
        </w:rPr>
        <w:t>1.4 评标时，投标报价是评标的重要依据，但不是唯一依据，采购人不承诺将合同</w:t>
      </w:r>
      <w:r>
        <w:rPr>
          <w:spacing w:val="-3"/>
          <w:sz w:val="24"/>
          <w:szCs w:val="24"/>
          <w:highlight w:val="none"/>
        </w:rPr>
        <w:t>授予报价最低或最高的投标供应商。</w:t>
      </w:r>
    </w:p>
    <w:p w14:paraId="110449CD">
      <w:pPr>
        <w:pStyle w:val="4"/>
        <w:spacing w:line="339" w:lineRule="auto"/>
        <w:ind w:left="28" w:firstLine="416"/>
        <w:rPr>
          <w:sz w:val="24"/>
          <w:szCs w:val="24"/>
          <w:highlight w:val="none"/>
        </w:rPr>
      </w:pPr>
      <w:r>
        <w:rPr>
          <w:spacing w:val="-1"/>
          <w:sz w:val="24"/>
          <w:szCs w:val="24"/>
          <w:highlight w:val="none"/>
        </w:rPr>
        <w:t>1.5 评标委员会依据本须知规定的评标标准和方法，对电子化投标文件进行评审和</w:t>
      </w:r>
      <w:r>
        <w:rPr>
          <w:spacing w:val="-2"/>
          <w:sz w:val="24"/>
          <w:szCs w:val="24"/>
          <w:highlight w:val="none"/>
        </w:rPr>
        <w:t>比较，向采购人提出书面评标报告，并推荐合格</w:t>
      </w:r>
      <w:r>
        <w:rPr>
          <w:spacing w:val="-3"/>
          <w:sz w:val="24"/>
          <w:szCs w:val="24"/>
          <w:highlight w:val="none"/>
        </w:rPr>
        <w:t>的中标候选供应商。</w:t>
      </w:r>
    </w:p>
    <w:p w14:paraId="0B1FADF4">
      <w:pPr>
        <w:pStyle w:val="4"/>
        <w:spacing w:before="13" w:line="354" w:lineRule="auto"/>
        <w:ind w:left="2" w:firstLine="441"/>
        <w:rPr>
          <w:sz w:val="24"/>
          <w:szCs w:val="24"/>
          <w:highlight w:val="none"/>
        </w:rPr>
      </w:pPr>
      <w:r>
        <w:rPr>
          <w:spacing w:val="-1"/>
          <w:sz w:val="24"/>
          <w:szCs w:val="24"/>
          <w:highlight w:val="none"/>
        </w:rPr>
        <w:t>1.6 在评标过程中，供应商评审得分相同的，首先以报价最低的投标供应商获得中</w:t>
      </w:r>
      <w:r>
        <w:rPr>
          <w:spacing w:val="-2"/>
          <w:sz w:val="24"/>
          <w:szCs w:val="24"/>
          <w:highlight w:val="none"/>
        </w:rPr>
        <w:t>标供应商推荐资格；若报价相同的，以技术标得分高的投标供应商获得中标供应商推荐</w:t>
      </w:r>
      <w:r>
        <w:rPr>
          <w:spacing w:val="-11"/>
          <w:sz w:val="24"/>
          <w:szCs w:val="24"/>
          <w:highlight w:val="none"/>
        </w:rPr>
        <w:t>资格。</w:t>
      </w:r>
    </w:p>
    <w:p w14:paraId="4FD4328D">
      <w:pPr>
        <w:pStyle w:val="4"/>
        <w:spacing w:before="3" w:line="353" w:lineRule="auto"/>
        <w:ind w:firstLine="444"/>
        <w:rPr>
          <w:sz w:val="24"/>
          <w:szCs w:val="24"/>
          <w:highlight w:val="none"/>
        </w:rPr>
      </w:pPr>
      <w:r>
        <w:rPr>
          <w:spacing w:val="-1"/>
          <w:sz w:val="24"/>
          <w:szCs w:val="24"/>
          <w:highlight w:val="none"/>
        </w:rPr>
        <w:t>1.7 在评标过程中，采购人采购的产品属于“节能产品政府采购清单”和“环境标</w:t>
      </w:r>
      <w:r>
        <w:rPr>
          <w:spacing w:val="-6"/>
          <w:sz w:val="24"/>
          <w:szCs w:val="24"/>
          <w:highlight w:val="none"/>
        </w:rPr>
        <w:t>志产品政府采购清单”中品目的，在性能、技术、服务等指标同等条件下，</w:t>
      </w:r>
      <w:r>
        <w:rPr>
          <w:spacing w:val="53"/>
          <w:sz w:val="24"/>
          <w:szCs w:val="24"/>
          <w:highlight w:val="none"/>
        </w:rPr>
        <w:t xml:space="preserve"> </w:t>
      </w:r>
      <w:r>
        <w:rPr>
          <w:spacing w:val="-6"/>
          <w:sz w:val="24"/>
          <w:szCs w:val="24"/>
          <w:highlight w:val="none"/>
        </w:rPr>
        <w:t>应当优</w:t>
      </w:r>
      <w:r>
        <w:rPr>
          <w:spacing w:val="-7"/>
          <w:sz w:val="24"/>
          <w:szCs w:val="24"/>
          <w:highlight w:val="none"/>
        </w:rPr>
        <w:t>先采</w:t>
      </w:r>
      <w:r>
        <w:rPr>
          <w:spacing w:val="-5"/>
          <w:sz w:val="24"/>
          <w:szCs w:val="24"/>
          <w:highlight w:val="none"/>
        </w:rPr>
        <w:t>购清单中的产品。对于同时列入环保清单和节能清单的产品， 应当优先于只获得其中一</w:t>
      </w:r>
      <w:r>
        <w:rPr>
          <w:spacing w:val="-6"/>
          <w:sz w:val="24"/>
          <w:szCs w:val="24"/>
          <w:highlight w:val="none"/>
        </w:rPr>
        <w:t>项认证的产品。</w:t>
      </w:r>
    </w:p>
    <w:p w14:paraId="485847FF">
      <w:pPr>
        <w:pStyle w:val="4"/>
        <w:spacing w:before="6" w:line="351" w:lineRule="auto"/>
        <w:ind w:left="2" w:firstLine="441"/>
        <w:rPr>
          <w:sz w:val="24"/>
          <w:szCs w:val="24"/>
          <w:highlight w:val="none"/>
        </w:rPr>
      </w:pPr>
      <w:r>
        <w:rPr>
          <w:spacing w:val="-1"/>
          <w:sz w:val="24"/>
          <w:szCs w:val="24"/>
          <w:highlight w:val="none"/>
        </w:rPr>
        <w:t>1.8 使用综合评分法的采购项目，提供相同品牌产品且通过资格审查、符合性审查</w:t>
      </w:r>
      <w:r>
        <w:rPr>
          <w:spacing w:val="-2"/>
          <w:sz w:val="24"/>
          <w:szCs w:val="24"/>
          <w:highlight w:val="none"/>
        </w:rPr>
        <w:t>的不同投标人参加同一合同项下投标的，按一家投标人计算，评审后得分最高的同品牌投标人获得中标人推荐资格；评审得分相同的，报价最低的同品牌投标人获得中标人推荐资格，报价也相同或者招标文件未规定的采取随机抽取方式确定，其他同品牌投标人</w:t>
      </w:r>
      <w:r>
        <w:rPr>
          <w:spacing w:val="-5"/>
          <w:sz w:val="24"/>
          <w:szCs w:val="24"/>
          <w:highlight w:val="none"/>
        </w:rPr>
        <w:t>不作为中标候选人。</w:t>
      </w:r>
    </w:p>
    <w:p w14:paraId="70D18318">
      <w:pPr>
        <w:pStyle w:val="4"/>
        <w:spacing w:before="1" w:line="218" w:lineRule="auto"/>
        <w:ind w:left="429"/>
        <w:rPr>
          <w:sz w:val="24"/>
          <w:szCs w:val="24"/>
          <w:highlight w:val="none"/>
        </w:rPr>
      </w:pPr>
      <w:r>
        <w:rPr>
          <w:spacing w:val="-5"/>
          <w:sz w:val="24"/>
          <w:szCs w:val="24"/>
          <w:highlight w:val="none"/>
        </w:rPr>
        <w:t>2．评分标准</w:t>
      </w:r>
      <w:r>
        <w:rPr>
          <w:spacing w:val="-58"/>
          <w:sz w:val="24"/>
          <w:szCs w:val="24"/>
          <w:highlight w:val="none"/>
        </w:rPr>
        <w:t xml:space="preserve"> </w:t>
      </w:r>
      <w:r>
        <w:rPr>
          <w:spacing w:val="-5"/>
          <w:sz w:val="24"/>
          <w:szCs w:val="24"/>
          <w:highlight w:val="none"/>
        </w:rPr>
        <w:t>(采用综合评分法)</w:t>
      </w:r>
    </w:p>
    <w:p w14:paraId="13235ECD">
      <w:pPr>
        <w:pStyle w:val="4"/>
        <w:spacing w:before="155" w:line="339" w:lineRule="auto"/>
        <w:ind w:left="7" w:right="1" w:firstLine="418"/>
        <w:rPr>
          <w:sz w:val="24"/>
          <w:szCs w:val="24"/>
          <w:highlight w:val="none"/>
        </w:rPr>
      </w:pPr>
      <w:r>
        <w:rPr>
          <w:sz w:val="24"/>
          <w:szCs w:val="24"/>
          <w:highlight w:val="none"/>
        </w:rPr>
        <w:t>评标委员会按照《中华人民共和国政府采购法》和《评标委员会和评标方法</w:t>
      </w:r>
      <w:r>
        <w:rPr>
          <w:spacing w:val="-1"/>
          <w:sz w:val="24"/>
          <w:szCs w:val="24"/>
          <w:highlight w:val="none"/>
        </w:rPr>
        <w:t>暂行规</w:t>
      </w:r>
      <w:r>
        <w:rPr>
          <w:spacing w:val="-2"/>
          <w:sz w:val="24"/>
          <w:szCs w:val="24"/>
          <w:highlight w:val="none"/>
        </w:rPr>
        <w:t>定》，结合本项目具体情况，按下列标准打分：第一部分：报价评审；第二部分：技术</w:t>
      </w:r>
    </w:p>
    <w:p w14:paraId="7176A7DE">
      <w:pPr>
        <w:spacing w:line="339" w:lineRule="auto"/>
        <w:rPr>
          <w:sz w:val="24"/>
          <w:szCs w:val="24"/>
          <w:highlight w:val="none"/>
        </w:rPr>
        <w:sectPr>
          <w:footerReference r:id="rId22" w:type="default"/>
          <w:pgSz w:w="11907" w:h="16839"/>
          <w:pgMar w:top="1431" w:right="1414" w:bottom="1159" w:left="1426" w:header="0" w:footer="959" w:gutter="0"/>
          <w:cols w:space="720" w:num="1"/>
        </w:sectPr>
      </w:pPr>
    </w:p>
    <w:p w14:paraId="745C63B0">
      <w:pPr>
        <w:pStyle w:val="4"/>
        <w:spacing w:before="155" w:line="220" w:lineRule="auto"/>
        <w:ind w:left="3"/>
        <w:rPr>
          <w:sz w:val="24"/>
          <w:szCs w:val="24"/>
          <w:highlight w:val="none"/>
        </w:rPr>
      </w:pPr>
      <w:r>
        <w:rPr>
          <w:spacing w:val="-3"/>
          <w:sz w:val="24"/>
          <w:szCs w:val="24"/>
          <w:highlight w:val="none"/>
        </w:rPr>
        <w:t>部分评审；第三部分：综合部分评审。</w:t>
      </w:r>
    </w:p>
    <w:p w14:paraId="1B805A6E">
      <w:pPr>
        <w:pStyle w:val="4"/>
        <w:spacing w:before="153" w:line="218" w:lineRule="auto"/>
        <w:ind w:left="428"/>
        <w:rPr>
          <w:sz w:val="24"/>
          <w:szCs w:val="24"/>
          <w:highlight w:val="none"/>
        </w:rPr>
      </w:pPr>
      <w:r>
        <w:rPr>
          <w:spacing w:val="-2"/>
          <w:sz w:val="24"/>
          <w:szCs w:val="24"/>
          <w:highlight w:val="none"/>
        </w:rPr>
        <w:t>投标供应商得分=报价得分+技术部分评审得分+综合部分评审得分。</w:t>
      </w:r>
    </w:p>
    <w:p w14:paraId="7D739893">
      <w:pPr>
        <w:pStyle w:val="4"/>
        <w:spacing w:before="158" w:line="220" w:lineRule="auto"/>
        <w:ind w:left="430"/>
        <w:rPr>
          <w:sz w:val="24"/>
          <w:szCs w:val="24"/>
          <w:highlight w:val="none"/>
        </w:rPr>
      </w:pPr>
      <w:r>
        <w:rPr>
          <w:spacing w:val="-2"/>
          <w:sz w:val="24"/>
          <w:szCs w:val="24"/>
          <w:highlight w:val="none"/>
        </w:rPr>
        <w:t>3. 评审程序</w:t>
      </w:r>
      <w:r>
        <w:rPr>
          <w:spacing w:val="-45"/>
          <w:sz w:val="24"/>
          <w:szCs w:val="24"/>
          <w:highlight w:val="none"/>
        </w:rPr>
        <w:t xml:space="preserve"> </w:t>
      </w:r>
      <w:r>
        <w:rPr>
          <w:spacing w:val="-2"/>
          <w:sz w:val="24"/>
          <w:szCs w:val="24"/>
          <w:highlight w:val="none"/>
        </w:rPr>
        <w:t>7</w:t>
      </w:r>
    </w:p>
    <w:p w14:paraId="77CF2FD4">
      <w:pPr>
        <w:pStyle w:val="4"/>
        <w:spacing w:before="155" w:line="212" w:lineRule="auto"/>
        <w:rPr>
          <w:sz w:val="24"/>
          <w:szCs w:val="24"/>
          <w:highlight w:val="none"/>
        </w:rPr>
      </w:pPr>
      <w:r>
        <w:rPr>
          <w:b/>
          <w:bCs/>
          <w:spacing w:val="-3"/>
          <w:sz w:val="24"/>
          <w:szCs w:val="24"/>
          <w:highlight w:val="none"/>
        </w:rPr>
        <w:t>评标办法前附表</w:t>
      </w:r>
    </w:p>
    <w:tbl>
      <w:tblPr>
        <w:tblStyle w:val="23"/>
        <w:tblW w:w="8936"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933"/>
        <w:gridCol w:w="1759"/>
        <w:gridCol w:w="5556"/>
      </w:tblGrid>
      <w:tr w14:paraId="28630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621" w:type="dxa"/>
            <w:gridSpan w:val="2"/>
            <w:vAlign w:val="top"/>
          </w:tcPr>
          <w:p w14:paraId="57E8FE0C">
            <w:pPr>
              <w:pStyle w:val="24"/>
              <w:spacing w:before="138" w:line="220" w:lineRule="auto"/>
              <w:ind w:left="457"/>
              <w:rPr>
                <w:highlight w:val="none"/>
              </w:rPr>
            </w:pPr>
            <w:r>
              <w:rPr>
                <w:b/>
                <w:bCs/>
                <w:spacing w:val="-6"/>
                <w:highlight w:val="none"/>
              </w:rPr>
              <w:t>条款号</w:t>
            </w:r>
          </w:p>
        </w:tc>
        <w:tc>
          <w:tcPr>
            <w:tcW w:w="1759" w:type="dxa"/>
            <w:vAlign w:val="top"/>
          </w:tcPr>
          <w:p w14:paraId="2895438D">
            <w:pPr>
              <w:pStyle w:val="24"/>
              <w:spacing w:before="138" w:line="220" w:lineRule="auto"/>
              <w:ind w:left="235"/>
              <w:rPr>
                <w:highlight w:val="none"/>
              </w:rPr>
            </w:pPr>
            <w:r>
              <w:rPr>
                <w:b/>
                <w:bCs/>
                <w:spacing w:val="-5"/>
                <w:highlight w:val="none"/>
              </w:rPr>
              <w:t>评审因素</w:t>
            </w:r>
          </w:p>
        </w:tc>
        <w:tc>
          <w:tcPr>
            <w:tcW w:w="5556" w:type="dxa"/>
            <w:vAlign w:val="top"/>
          </w:tcPr>
          <w:p w14:paraId="292C4F8B">
            <w:pPr>
              <w:pStyle w:val="24"/>
              <w:spacing w:before="139" w:line="220" w:lineRule="auto"/>
              <w:ind w:left="2300"/>
              <w:rPr>
                <w:highlight w:val="none"/>
              </w:rPr>
            </w:pPr>
            <w:r>
              <w:rPr>
                <w:b/>
                <w:bCs/>
                <w:spacing w:val="-4"/>
                <w:highlight w:val="none"/>
              </w:rPr>
              <w:t>评审标准</w:t>
            </w:r>
          </w:p>
        </w:tc>
      </w:tr>
      <w:tr w14:paraId="1A22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8" w:type="dxa"/>
            <w:vMerge w:val="restart"/>
            <w:tcBorders>
              <w:bottom w:val="nil"/>
            </w:tcBorders>
            <w:vAlign w:val="top"/>
          </w:tcPr>
          <w:p w14:paraId="1119839C">
            <w:pPr>
              <w:spacing w:line="301" w:lineRule="auto"/>
              <w:rPr>
                <w:rFonts w:ascii="Arial"/>
                <w:sz w:val="21"/>
                <w:highlight w:val="none"/>
              </w:rPr>
            </w:pPr>
          </w:p>
          <w:p w14:paraId="3637F8F6">
            <w:pPr>
              <w:spacing w:line="302" w:lineRule="auto"/>
              <w:rPr>
                <w:rFonts w:ascii="Arial"/>
                <w:sz w:val="21"/>
                <w:highlight w:val="none"/>
              </w:rPr>
            </w:pPr>
          </w:p>
          <w:p w14:paraId="7375A131">
            <w:pPr>
              <w:spacing w:line="302" w:lineRule="auto"/>
              <w:rPr>
                <w:rFonts w:ascii="Arial"/>
                <w:sz w:val="21"/>
                <w:highlight w:val="none"/>
              </w:rPr>
            </w:pPr>
          </w:p>
          <w:p w14:paraId="4F54B53F">
            <w:pPr>
              <w:pStyle w:val="24"/>
              <w:spacing w:before="78" w:line="239" w:lineRule="auto"/>
              <w:ind w:left="121"/>
              <w:rPr>
                <w:highlight w:val="none"/>
              </w:rPr>
            </w:pPr>
            <w:r>
              <w:rPr>
                <w:spacing w:val="-4"/>
                <w:highlight w:val="none"/>
              </w:rPr>
              <w:t>3.1</w:t>
            </w:r>
          </w:p>
        </w:tc>
        <w:tc>
          <w:tcPr>
            <w:tcW w:w="933" w:type="dxa"/>
            <w:vMerge w:val="restart"/>
            <w:tcBorders>
              <w:bottom w:val="nil"/>
            </w:tcBorders>
            <w:vAlign w:val="top"/>
          </w:tcPr>
          <w:p w14:paraId="32C723FA">
            <w:pPr>
              <w:pStyle w:val="24"/>
              <w:spacing w:before="290" w:line="220" w:lineRule="auto"/>
              <w:ind w:left="115"/>
              <w:rPr>
                <w:highlight w:val="none"/>
              </w:rPr>
            </w:pPr>
            <w:r>
              <w:rPr>
                <w:spacing w:val="-6"/>
                <w:highlight w:val="none"/>
              </w:rPr>
              <w:t>符</w:t>
            </w:r>
            <w:r>
              <w:rPr>
                <w:spacing w:val="3"/>
                <w:highlight w:val="none"/>
              </w:rPr>
              <w:t xml:space="preserve">  </w:t>
            </w:r>
            <w:r>
              <w:rPr>
                <w:spacing w:val="-6"/>
                <w:highlight w:val="none"/>
              </w:rPr>
              <w:t>合</w:t>
            </w:r>
          </w:p>
          <w:p w14:paraId="47513302">
            <w:pPr>
              <w:pStyle w:val="24"/>
              <w:spacing w:before="180" w:line="220" w:lineRule="auto"/>
              <w:ind w:left="115"/>
              <w:rPr>
                <w:highlight w:val="none"/>
              </w:rPr>
            </w:pPr>
            <w:r>
              <w:rPr>
                <w:spacing w:val="-7"/>
                <w:highlight w:val="none"/>
              </w:rPr>
              <w:t>性</w:t>
            </w:r>
            <w:r>
              <w:rPr>
                <w:spacing w:val="9"/>
                <w:highlight w:val="none"/>
              </w:rPr>
              <w:t xml:space="preserve">  </w:t>
            </w:r>
            <w:r>
              <w:rPr>
                <w:spacing w:val="-7"/>
                <w:highlight w:val="none"/>
              </w:rPr>
              <w:t>审</w:t>
            </w:r>
          </w:p>
          <w:p w14:paraId="2ED42875">
            <w:pPr>
              <w:pStyle w:val="24"/>
              <w:spacing w:before="182" w:line="361" w:lineRule="auto"/>
              <w:ind w:left="115" w:right="106"/>
              <w:rPr>
                <w:highlight w:val="none"/>
              </w:rPr>
            </w:pPr>
            <w:r>
              <w:rPr>
                <w:spacing w:val="-12"/>
                <w:highlight w:val="none"/>
              </w:rPr>
              <w:t>查</w:t>
            </w:r>
            <w:r>
              <w:rPr>
                <w:spacing w:val="4"/>
                <w:highlight w:val="none"/>
              </w:rPr>
              <w:t xml:space="preserve">  </w:t>
            </w:r>
            <w:r>
              <w:rPr>
                <w:spacing w:val="-12"/>
                <w:highlight w:val="none"/>
              </w:rPr>
              <w:t>标</w:t>
            </w:r>
            <w:r>
              <w:rPr>
                <w:highlight w:val="none"/>
              </w:rPr>
              <w:t>准</w:t>
            </w:r>
          </w:p>
        </w:tc>
        <w:tc>
          <w:tcPr>
            <w:tcW w:w="1759" w:type="dxa"/>
            <w:vAlign w:val="top"/>
          </w:tcPr>
          <w:p w14:paraId="4E4D71CE">
            <w:pPr>
              <w:pStyle w:val="24"/>
              <w:spacing w:before="309" w:line="219" w:lineRule="auto"/>
              <w:ind w:firstLine="236" w:firstLineChars="100"/>
              <w:rPr>
                <w:highlight w:val="none"/>
              </w:rPr>
            </w:pPr>
            <w:r>
              <w:rPr>
                <w:spacing w:val="-2"/>
                <w:highlight w:val="none"/>
              </w:rPr>
              <w:t>供应商名称</w:t>
            </w:r>
          </w:p>
        </w:tc>
        <w:tc>
          <w:tcPr>
            <w:tcW w:w="5556" w:type="dxa"/>
            <w:vAlign w:val="top"/>
          </w:tcPr>
          <w:p w14:paraId="500D64F5">
            <w:pPr>
              <w:pStyle w:val="24"/>
              <w:spacing w:before="309" w:line="220" w:lineRule="auto"/>
              <w:rPr>
                <w:highlight w:val="none"/>
              </w:rPr>
            </w:pPr>
            <w:r>
              <w:rPr>
                <w:spacing w:val="-3"/>
                <w:highlight w:val="none"/>
              </w:rPr>
              <w:t>与营业执照一致</w:t>
            </w:r>
          </w:p>
        </w:tc>
      </w:tr>
      <w:tr w14:paraId="2ECB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688" w:type="dxa"/>
            <w:vMerge w:val="continue"/>
            <w:tcBorders>
              <w:top w:val="nil"/>
              <w:bottom w:val="nil"/>
            </w:tcBorders>
            <w:vAlign w:val="top"/>
          </w:tcPr>
          <w:p w14:paraId="1111E96A">
            <w:pPr>
              <w:rPr>
                <w:rFonts w:ascii="Arial"/>
                <w:sz w:val="21"/>
                <w:highlight w:val="none"/>
              </w:rPr>
            </w:pPr>
          </w:p>
        </w:tc>
        <w:tc>
          <w:tcPr>
            <w:tcW w:w="933" w:type="dxa"/>
            <w:vMerge w:val="continue"/>
            <w:tcBorders>
              <w:top w:val="nil"/>
              <w:bottom w:val="nil"/>
            </w:tcBorders>
            <w:vAlign w:val="top"/>
          </w:tcPr>
          <w:p w14:paraId="37F044AA">
            <w:pPr>
              <w:rPr>
                <w:rFonts w:ascii="Arial"/>
                <w:sz w:val="21"/>
                <w:highlight w:val="none"/>
              </w:rPr>
            </w:pPr>
          </w:p>
        </w:tc>
        <w:tc>
          <w:tcPr>
            <w:tcW w:w="1759" w:type="dxa"/>
            <w:vAlign w:val="top"/>
          </w:tcPr>
          <w:p w14:paraId="378857C0">
            <w:pPr>
              <w:pStyle w:val="24"/>
              <w:spacing w:before="200" w:line="291" w:lineRule="auto"/>
              <w:ind w:right="279" w:firstLine="240" w:firstLineChars="100"/>
              <w:rPr>
                <w:highlight w:val="none"/>
              </w:rPr>
            </w:pPr>
            <w:r>
              <w:rPr>
                <w:rFonts w:hint="eastAsia"/>
                <w:highlight w:val="none"/>
                <w:lang w:val="en-US" w:eastAsia="zh-CN"/>
              </w:rPr>
              <w:t>签字或盖章</w:t>
            </w:r>
          </w:p>
        </w:tc>
        <w:tc>
          <w:tcPr>
            <w:tcW w:w="5556" w:type="dxa"/>
            <w:vAlign w:val="top"/>
          </w:tcPr>
          <w:p w14:paraId="3F9214ED">
            <w:pPr>
              <w:pStyle w:val="24"/>
              <w:spacing w:before="78" w:line="219" w:lineRule="auto"/>
              <w:rPr>
                <w:rFonts w:hint="eastAsia" w:eastAsia="宋体"/>
                <w:highlight w:val="none"/>
                <w:lang w:eastAsia="zh-CN"/>
              </w:rPr>
            </w:pPr>
            <w:r>
              <w:rPr>
                <w:rFonts w:hint="eastAsia" w:ascii="宋体" w:hAnsi="宋体" w:eastAsia="宋体" w:cs="宋体"/>
                <w:kern w:val="0"/>
                <w:sz w:val="24"/>
                <w:szCs w:val="24"/>
                <w:highlight w:val="none"/>
              </w:rPr>
              <w:t>有法定代表人</w:t>
            </w:r>
            <w:r>
              <w:rPr>
                <w:rFonts w:hint="eastAsia" w:ascii="宋体" w:hAnsi="宋体" w:eastAsia="宋体" w:cs="宋体"/>
                <w:kern w:val="0"/>
                <w:sz w:val="24"/>
                <w:szCs w:val="24"/>
                <w:highlight w:val="none"/>
                <w:lang w:val="en-US" w:eastAsia="zh-CN"/>
              </w:rPr>
              <w:t>或授权委托人签字</w:t>
            </w:r>
            <w:r>
              <w:rPr>
                <w:rFonts w:hint="eastAsia" w:ascii="宋体" w:hAnsi="宋体" w:eastAsia="宋体" w:cs="宋体"/>
                <w:kern w:val="0"/>
                <w:sz w:val="24"/>
                <w:szCs w:val="24"/>
                <w:highlight w:val="none"/>
              </w:rPr>
              <w:t>并加盖单位公章</w:t>
            </w:r>
            <w:r>
              <w:rPr>
                <w:rFonts w:hint="eastAsia"/>
                <w:spacing w:val="-1"/>
                <w:highlight w:val="none"/>
                <w:lang w:val="en-US" w:eastAsia="zh-CN"/>
              </w:rPr>
              <w:t xml:space="preserve"> </w:t>
            </w:r>
          </w:p>
        </w:tc>
      </w:tr>
      <w:tr w14:paraId="4571B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688" w:type="dxa"/>
            <w:vMerge w:val="continue"/>
            <w:tcBorders>
              <w:top w:val="nil"/>
            </w:tcBorders>
            <w:vAlign w:val="top"/>
          </w:tcPr>
          <w:p w14:paraId="5C1BBB3E">
            <w:pPr>
              <w:rPr>
                <w:rFonts w:ascii="Arial"/>
                <w:sz w:val="21"/>
                <w:highlight w:val="none"/>
              </w:rPr>
            </w:pPr>
          </w:p>
        </w:tc>
        <w:tc>
          <w:tcPr>
            <w:tcW w:w="933" w:type="dxa"/>
            <w:vMerge w:val="continue"/>
            <w:tcBorders>
              <w:top w:val="nil"/>
            </w:tcBorders>
            <w:vAlign w:val="top"/>
          </w:tcPr>
          <w:p w14:paraId="3C0C30FE">
            <w:pPr>
              <w:rPr>
                <w:rFonts w:ascii="Arial"/>
                <w:sz w:val="21"/>
                <w:highlight w:val="none"/>
              </w:rPr>
            </w:pPr>
          </w:p>
        </w:tc>
        <w:tc>
          <w:tcPr>
            <w:tcW w:w="1759" w:type="dxa"/>
            <w:vAlign w:val="top"/>
          </w:tcPr>
          <w:p w14:paraId="6364F3F7">
            <w:pPr>
              <w:pStyle w:val="24"/>
              <w:spacing w:before="138" w:line="220" w:lineRule="auto"/>
              <w:ind w:left="406"/>
              <w:rPr>
                <w:highlight w:val="none"/>
              </w:rPr>
            </w:pPr>
            <w:r>
              <w:rPr>
                <w:rFonts w:hint="eastAsia"/>
                <w:highlight w:val="none"/>
                <w:lang w:val="en-US" w:eastAsia="zh-CN"/>
              </w:rPr>
              <w:t>报价</w:t>
            </w:r>
            <w:r>
              <w:rPr>
                <w:highlight w:val="none"/>
              </w:rPr>
              <w:t>唯一</w:t>
            </w:r>
          </w:p>
        </w:tc>
        <w:tc>
          <w:tcPr>
            <w:tcW w:w="5556" w:type="dxa"/>
            <w:vAlign w:val="top"/>
          </w:tcPr>
          <w:p w14:paraId="0575DB54">
            <w:pPr>
              <w:pStyle w:val="24"/>
              <w:spacing w:before="138" w:line="218" w:lineRule="auto"/>
              <w:jc w:val="center"/>
              <w:rPr>
                <w:highlight w:val="none"/>
              </w:rPr>
            </w:pPr>
            <w:r>
              <w:rPr>
                <w:spacing w:val="-5"/>
                <w:highlight w:val="none"/>
              </w:rPr>
              <w:t>只能有一个有效报价，且不超过控制价（最高限价）</w:t>
            </w:r>
          </w:p>
        </w:tc>
      </w:tr>
      <w:tr w14:paraId="5580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88" w:type="dxa"/>
            <w:vMerge w:val="restart"/>
            <w:tcBorders>
              <w:bottom w:val="nil"/>
            </w:tcBorders>
            <w:vAlign w:val="top"/>
          </w:tcPr>
          <w:p w14:paraId="609FCF01">
            <w:pPr>
              <w:rPr>
                <w:rFonts w:ascii="Arial"/>
                <w:sz w:val="21"/>
                <w:highlight w:val="none"/>
              </w:rPr>
            </w:pPr>
          </w:p>
          <w:p w14:paraId="159B0E02">
            <w:pPr>
              <w:rPr>
                <w:rFonts w:ascii="Arial"/>
                <w:sz w:val="21"/>
                <w:highlight w:val="none"/>
              </w:rPr>
            </w:pPr>
          </w:p>
          <w:p w14:paraId="6444CF71">
            <w:pPr>
              <w:rPr>
                <w:rFonts w:ascii="Arial"/>
                <w:sz w:val="21"/>
                <w:highlight w:val="none"/>
              </w:rPr>
            </w:pPr>
          </w:p>
          <w:p w14:paraId="1F05EB79">
            <w:pPr>
              <w:rPr>
                <w:rFonts w:ascii="Arial"/>
                <w:sz w:val="21"/>
                <w:highlight w:val="none"/>
              </w:rPr>
            </w:pPr>
          </w:p>
          <w:p w14:paraId="43A86B19">
            <w:pPr>
              <w:rPr>
                <w:rFonts w:ascii="Arial"/>
                <w:sz w:val="21"/>
                <w:highlight w:val="none"/>
              </w:rPr>
            </w:pPr>
          </w:p>
          <w:p w14:paraId="43EB8E32">
            <w:pPr>
              <w:spacing w:line="241" w:lineRule="auto"/>
              <w:rPr>
                <w:rFonts w:ascii="Arial"/>
                <w:sz w:val="21"/>
                <w:highlight w:val="none"/>
              </w:rPr>
            </w:pPr>
          </w:p>
          <w:p w14:paraId="67BCBEF0">
            <w:pPr>
              <w:spacing w:line="241" w:lineRule="auto"/>
              <w:rPr>
                <w:rFonts w:ascii="Arial"/>
                <w:sz w:val="21"/>
                <w:highlight w:val="none"/>
              </w:rPr>
            </w:pPr>
          </w:p>
          <w:p w14:paraId="1E92F422">
            <w:pPr>
              <w:spacing w:line="241" w:lineRule="auto"/>
              <w:rPr>
                <w:rFonts w:ascii="Arial"/>
                <w:sz w:val="21"/>
                <w:highlight w:val="none"/>
              </w:rPr>
            </w:pPr>
          </w:p>
          <w:p w14:paraId="2AB50B22">
            <w:pPr>
              <w:pStyle w:val="24"/>
              <w:spacing w:before="78" w:line="239" w:lineRule="auto"/>
              <w:rPr>
                <w:highlight w:val="none"/>
              </w:rPr>
            </w:pPr>
            <w:r>
              <w:rPr>
                <w:spacing w:val="-4"/>
                <w:highlight w:val="none"/>
              </w:rPr>
              <w:t>3.2</w:t>
            </w:r>
          </w:p>
        </w:tc>
        <w:tc>
          <w:tcPr>
            <w:tcW w:w="933" w:type="dxa"/>
            <w:vMerge w:val="restart"/>
            <w:tcBorders>
              <w:bottom w:val="nil"/>
            </w:tcBorders>
            <w:vAlign w:val="top"/>
          </w:tcPr>
          <w:p w14:paraId="3F44A838">
            <w:pPr>
              <w:spacing w:line="241" w:lineRule="auto"/>
              <w:rPr>
                <w:rFonts w:ascii="Arial"/>
                <w:sz w:val="21"/>
                <w:highlight w:val="none"/>
              </w:rPr>
            </w:pPr>
          </w:p>
          <w:p w14:paraId="49290E57">
            <w:pPr>
              <w:spacing w:line="241" w:lineRule="auto"/>
              <w:rPr>
                <w:rFonts w:ascii="Arial"/>
                <w:sz w:val="21"/>
                <w:highlight w:val="none"/>
              </w:rPr>
            </w:pPr>
          </w:p>
          <w:p w14:paraId="2FBBAAE1">
            <w:pPr>
              <w:spacing w:line="242" w:lineRule="auto"/>
              <w:rPr>
                <w:rFonts w:ascii="Arial"/>
                <w:sz w:val="21"/>
                <w:highlight w:val="none"/>
              </w:rPr>
            </w:pPr>
          </w:p>
          <w:p w14:paraId="5C05C952">
            <w:pPr>
              <w:spacing w:line="242" w:lineRule="auto"/>
              <w:rPr>
                <w:rFonts w:ascii="Arial"/>
                <w:sz w:val="21"/>
                <w:highlight w:val="none"/>
              </w:rPr>
            </w:pPr>
          </w:p>
          <w:p w14:paraId="522AB3E6">
            <w:pPr>
              <w:pStyle w:val="24"/>
              <w:spacing w:before="78" w:line="361" w:lineRule="auto"/>
              <w:ind w:right="106"/>
              <w:jc w:val="both"/>
              <w:rPr>
                <w:highlight w:val="none"/>
              </w:rPr>
            </w:pPr>
            <w:r>
              <w:rPr>
                <w:spacing w:val="-15"/>
                <w:highlight w:val="none"/>
              </w:rPr>
              <w:t>资</w:t>
            </w:r>
            <w:r>
              <w:rPr>
                <w:spacing w:val="3"/>
                <w:highlight w:val="none"/>
              </w:rPr>
              <w:t xml:space="preserve">  </w:t>
            </w:r>
            <w:r>
              <w:rPr>
                <w:spacing w:val="-15"/>
                <w:highlight w:val="none"/>
              </w:rPr>
              <w:t>格评</w:t>
            </w:r>
            <w:r>
              <w:rPr>
                <w:spacing w:val="9"/>
                <w:highlight w:val="none"/>
              </w:rPr>
              <w:t xml:space="preserve">  </w:t>
            </w:r>
            <w:r>
              <w:rPr>
                <w:spacing w:val="-15"/>
                <w:highlight w:val="none"/>
              </w:rPr>
              <w:t>审</w:t>
            </w:r>
            <w:r>
              <w:rPr>
                <w:spacing w:val="-3"/>
                <w:highlight w:val="none"/>
              </w:rPr>
              <w:t>标准</w:t>
            </w:r>
          </w:p>
        </w:tc>
        <w:tc>
          <w:tcPr>
            <w:tcW w:w="1759" w:type="dxa"/>
            <w:vAlign w:val="top"/>
          </w:tcPr>
          <w:p w14:paraId="28412FC0">
            <w:pPr>
              <w:pStyle w:val="24"/>
              <w:spacing w:before="128" w:line="220" w:lineRule="auto"/>
              <w:ind w:left="411"/>
              <w:rPr>
                <w:highlight w:val="none"/>
              </w:rPr>
            </w:pPr>
            <w:r>
              <w:rPr>
                <w:spacing w:val="-4"/>
                <w:highlight w:val="none"/>
              </w:rPr>
              <w:t>营业执照</w:t>
            </w:r>
          </w:p>
        </w:tc>
        <w:tc>
          <w:tcPr>
            <w:tcW w:w="5556" w:type="dxa"/>
            <w:vAlign w:val="top"/>
          </w:tcPr>
          <w:p w14:paraId="2BB8DC77">
            <w:pPr>
              <w:pStyle w:val="24"/>
              <w:spacing w:before="128" w:line="220" w:lineRule="auto"/>
              <w:ind w:left="1708"/>
              <w:rPr>
                <w:highlight w:val="none"/>
              </w:rPr>
            </w:pPr>
            <w:r>
              <w:rPr>
                <w:spacing w:val="-2"/>
                <w:highlight w:val="none"/>
              </w:rPr>
              <w:t>具备有效的营业执照</w:t>
            </w:r>
          </w:p>
        </w:tc>
      </w:tr>
      <w:tr w14:paraId="5E2F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88" w:type="dxa"/>
            <w:vMerge w:val="continue"/>
            <w:tcBorders>
              <w:top w:val="nil"/>
              <w:bottom w:val="nil"/>
            </w:tcBorders>
            <w:vAlign w:val="top"/>
          </w:tcPr>
          <w:p w14:paraId="6E5242A5">
            <w:pPr>
              <w:rPr>
                <w:rFonts w:ascii="Arial"/>
                <w:sz w:val="21"/>
                <w:highlight w:val="none"/>
              </w:rPr>
            </w:pPr>
          </w:p>
        </w:tc>
        <w:tc>
          <w:tcPr>
            <w:tcW w:w="933" w:type="dxa"/>
            <w:vMerge w:val="continue"/>
            <w:tcBorders>
              <w:top w:val="nil"/>
              <w:bottom w:val="nil"/>
            </w:tcBorders>
            <w:vAlign w:val="top"/>
          </w:tcPr>
          <w:p w14:paraId="7DC22471">
            <w:pPr>
              <w:rPr>
                <w:rFonts w:ascii="Arial"/>
                <w:sz w:val="21"/>
                <w:highlight w:val="none"/>
              </w:rPr>
            </w:pPr>
          </w:p>
        </w:tc>
        <w:tc>
          <w:tcPr>
            <w:tcW w:w="1759" w:type="dxa"/>
            <w:vAlign w:val="top"/>
          </w:tcPr>
          <w:p w14:paraId="7A63BAFF">
            <w:pPr>
              <w:spacing w:line="424" w:lineRule="auto"/>
              <w:rPr>
                <w:rFonts w:ascii="Arial"/>
                <w:sz w:val="21"/>
                <w:highlight w:val="none"/>
              </w:rPr>
            </w:pPr>
          </w:p>
          <w:p w14:paraId="5B2F7FED">
            <w:pPr>
              <w:pStyle w:val="24"/>
              <w:spacing w:before="78" w:line="247" w:lineRule="auto"/>
              <w:ind w:left="764" w:right="159" w:hanging="589"/>
              <w:rPr>
                <w:highlight w:val="none"/>
              </w:rPr>
            </w:pPr>
            <w:r>
              <w:rPr>
                <w:spacing w:val="-4"/>
                <w:highlight w:val="none"/>
              </w:rPr>
              <w:t>医疗器械许可</w:t>
            </w:r>
            <w:r>
              <w:rPr>
                <w:highlight w:val="none"/>
              </w:rPr>
              <w:t>证</w:t>
            </w:r>
          </w:p>
        </w:tc>
        <w:tc>
          <w:tcPr>
            <w:tcW w:w="5556" w:type="dxa"/>
            <w:vAlign w:val="top"/>
          </w:tcPr>
          <w:p w14:paraId="268B8E9F">
            <w:pPr>
              <w:pStyle w:val="24"/>
              <w:spacing w:before="33" w:line="234" w:lineRule="auto"/>
              <w:ind w:left="114" w:right="107"/>
              <w:jc w:val="both"/>
              <w:rPr>
                <w:highlight w:val="none"/>
              </w:rPr>
            </w:pPr>
            <w:r>
              <w:rPr>
                <w:spacing w:val="-1"/>
                <w:highlight w:val="none"/>
              </w:rPr>
              <w:t>供应商为代理商（经销商）的，应具有医疗器械经营许可证或医疗器械经营备案凭证（从事一类医疗</w:t>
            </w:r>
            <w:r>
              <w:rPr>
                <w:spacing w:val="-9"/>
                <w:highlight w:val="none"/>
              </w:rPr>
              <w:t>器械经营活动的除外</w:t>
            </w:r>
            <w:r>
              <w:rPr>
                <w:spacing w:val="-2"/>
                <w:highlight w:val="none"/>
              </w:rPr>
              <w:t>）；</w:t>
            </w:r>
            <w:r>
              <w:rPr>
                <w:spacing w:val="-9"/>
                <w:highlight w:val="none"/>
              </w:rPr>
              <w:t>供应商为制造商时，应具有</w:t>
            </w:r>
            <w:r>
              <w:rPr>
                <w:spacing w:val="-1"/>
                <w:highlight w:val="none"/>
              </w:rPr>
              <w:t>医疗器械生产许可证（从事第一类医疗器械生产的</w:t>
            </w:r>
            <w:r>
              <w:rPr>
                <w:spacing w:val="-3"/>
                <w:highlight w:val="none"/>
              </w:rPr>
              <w:t>须具有备案凭证）</w:t>
            </w:r>
          </w:p>
        </w:tc>
      </w:tr>
      <w:tr w14:paraId="2785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8" w:type="dxa"/>
            <w:vMerge w:val="continue"/>
            <w:tcBorders>
              <w:top w:val="nil"/>
              <w:bottom w:val="nil"/>
            </w:tcBorders>
            <w:vAlign w:val="top"/>
          </w:tcPr>
          <w:p w14:paraId="1FE9AE7E">
            <w:pPr>
              <w:rPr>
                <w:rFonts w:ascii="Arial"/>
                <w:sz w:val="21"/>
                <w:highlight w:val="none"/>
              </w:rPr>
            </w:pPr>
          </w:p>
        </w:tc>
        <w:tc>
          <w:tcPr>
            <w:tcW w:w="933" w:type="dxa"/>
            <w:vMerge w:val="continue"/>
            <w:tcBorders>
              <w:top w:val="nil"/>
              <w:bottom w:val="nil"/>
            </w:tcBorders>
            <w:vAlign w:val="top"/>
          </w:tcPr>
          <w:p w14:paraId="6C37CC95">
            <w:pPr>
              <w:rPr>
                <w:rFonts w:ascii="Arial"/>
                <w:sz w:val="21"/>
                <w:highlight w:val="none"/>
              </w:rPr>
            </w:pPr>
          </w:p>
        </w:tc>
        <w:tc>
          <w:tcPr>
            <w:tcW w:w="1759" w:type="dxa"/>
            <w:tcBorders>
              <w:bottom w:val="single" w:color="auto" w:sz="4" w:space="0"/>
            </w:tcBorders>
            <w:vAlign w:val="top"/>
          </w:tcPr>
          <w:p w14:paraId="405725E8">
            <w:pPr>
              <w:pStyle w:val="24"/>
              <w:spacing w:before="83" w:line="254" w:lineRule="auto"/>
              <w:ind w:left="166" w:right="159" w:hanging="1"/>
              <w:jc w:val="both"/>
              <w:rPr>
                <w:highlight w:val="none"/>
              </w:rPr>
            </w:pPr>
            <w:r>
              <w:rPr>
                <w:spacing w:val="-2"/>
                <w:highlight w:val="none"/>
              </w:rPr>
              <w:t>无商业贿赂和</w:t>
            </w:r>
            <w:r>
              <w:rPr>
                <w:spacing w:val="-3"/>
                <w:highlight w:val="none"/>
              </w:rPr>
              <w:t>不正当竞争行</w:t>
            </w:r>
            <w:r>
              <w:rPr>
                <w:spacing w:val="21"/>
                <w:highlight w:val="none"/>
              </w:rPr>
              <w:t>为的承诺书</w:t>
            </w:r>
          </w:p>
        </w:tc>
        <w:tc>
          <w:tcPr>
            <w:tcW w:w="5556" w:type="dxa"/>
            <w:tcBorders>
              <w:bottom w:val="single" w:color="auto" w:sz="4" w:space="0"/>
            </w:tcBorders>
            <w:vAlign w:val="top"/>
          </w:tcPr>
          <w:p w14:paraId="796FB526">
            <w:pPr>
              <w:spacing w:line="340" w:lineRule="auto"/>
              <w:rPr>
                <w:rFonts w:ascii="Arial"/>
                <w:sz w:val="21"/>
                <w:highlight w:val="none"/>
              </w:rPr>
            </w:pPr>
          </w:p>
          <w:p w14:paraId="6E45FAD5">
            <w:pPr>
              <w:pStyle w:val="24"/>
              <w:spacing w:before="78" w:line="219" w:lineRule="auto"/>
              <w:ind w:left="118"/>
              <w:rPr>
                <w:highlight w:val="none"/>
              </w:rPr>
            </w:pPr>
            <w:r>
              <w:rPr>
                <w:spacing w:val="-1"/>
                <w:highlight w:val="none"/>
              </w:rPr>
              <w:t>须提供本企业无商业贿赂和不正当竞争行为承诺书</w:t>
            </w:r>
          </w:p>
        </w:tc>
      </w:tr>
      <w:tr w14:paraId="5204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88" w:type="dxa"/>
            <w:tcBorders>
              <w:top w:val="nil"/>
              <w:bottom w:val="nil"/>
            </w:tcBorders>
            <w:vAlign w:val="top"/>
          </w:tcPr>
          <w:p w14:paraId="6268FA0C">
            <w:pPr>
              <w:rPr>
                <w:rFonts w:ascii="Arial"/>
                <w:sz w:val="21"/>
                <w:highlight w:val="none"/>
              </w:rPr>
            </w:pPr>
          </w:p>
        </w:tc>
        <w:tc>
          <w:tcPr>
            <w:tcW w:w="933" w:type="dxa"/>
            <w:tcBorders>
              <w:top w:val="nil"/>
              <w:bottom w:val="nil"/>
              <w:right w:val="single" w:color="auto" w:sz="4" w:space="0"/>
            </w:tcBorders>
            <w:vAlign w:val="top"/>
          </w:tcPr>
          <w:p w14:paraId="13A98474">
            <w:pPr>
              <w:rPr>
                <w:rFonts w:ascii="Arial"/>
                <w:sz w:val="21"/>
                <w:highlight w:val="none"/>
              </w:rPr>
            </w:pPr>
          </w:p>
        </w:tc>
        <w:tc>
          <w:tcPr>
            <w:tcW w:w="1759" w:type="dxa"/>
            <w:tcBorders>
              <w:top w:val="single" w:color="auto" w:sz="4" w:space="0"/>
              <w:left w:val="single" w:color="auto" w:sz="4" w:space="0"/>
            </w:tcBorders>
            <w:vAlign w:val="top"/>
          </w:tcPr>
          <w:p w14:paraId="5CEF5E65">
            <w:pPr>
              <w:pStyle w:val="24"/>
              <w:spacing w:before="83" w:line="254" w:lineRule="auto"/>
              <w:ind w:left="166" w:right="159" w:hanging="1"/>
              <w:jc w:val="both"/>
              <w:rPr>
                <w:rFonts w:hint="default" w:eastAsia="宋体"/>
                <w:spacing w:val="-2"/>
                <w:highlight w:val="none"/>
                <w:lang w:val="en-US" w:eastAsia="zh-CN"/>
              </w:rPr>
            </w:pPr>
            <w:r>
              <w:rPr>
                <w:rFonts w:hint="eastAsia"/>
                <w:spacing w:val="-2"/>
                <w:highlight w:val="none"/>
                <w:lang w:val="en-US" w:eastAsia="zh-CN"/>
              </w:rPr>
              <w:t>信用查询</w:t>
            </w:r>
          </w:p>
        </w:tc>
        <w:tc>
          <w:tcPr>
            <w:tcW w:w="5556" w:type="dxa"/>
            <w:tcBorders>
              <w:top w:val="single" w:color="auto" w:sz="4" w:space="0"/>
              <w:right w:val="single" w:color="auto" w:sz="4" w:space="0"/>
            </w:tcBorders>
            <w:vAlign w:val="top"/>
          </w:tcPr>
          <w:p w14:paraId="59F42C95">
            <w:pPr>
              <w:pStyle w:val="4"/>
              <w:spacing w:before="180" w:line="361" w:lineRule="auto"/>
              <w:ind w:right="97"/>
              <w:rPr>
                <w:spacing w:val="-1"/>
                <w:highlight w:val="none"/>
              </w:rPr>
            </w:pPr>
            <w:r>
              <w:rPr>
                <w:spacing w:val="4"/>
                <w:sz w:val="24"/>
                <w:szCs w:val="24"/>
                <w:highlight w:val="none"/>
              </w:rPr>
              <w:t>根据《关于在政府采购活动中查询及使用信用记录有关问</w:t>
            </w:r>
            <w:r>
              <w:rPr>
                <w:spacing w:val="3"/>
                <w:sz w:val="24"/>
                <w:szCs w:val="24"/>
                <w:highlight w:val="none"/>
              </w:rPr>
              <w:t>题的通知》</w:t>
            </w:r>
            <w:r>
              <w:rPr>
                <w:spacing w:val="-46"/>
                <w:sz w:val="24"/>
                <w:szCs w:val="24"/>
                <w:highlight w:val="none"/>
              </w:rPr>
              <w:t xml:space="preserve"> </w:t>
            </w:r>
            <w:r>
              <w:rPr>
                <w:spacing w:val="3"/>
                <w:sz w:val="24"/>
                <w:szCs w:val="24"/>
                <w:highlight w:val="none"/>
              </w:rPr>
              <w:t>(财库</w:t>
            </w:r>
            <w:r>
              <w:rPr>
                <w:spacing w:val="-5"/>
                <w:sz w:val="24"/>
                <w:szCs w:val="24"/>
                <w:highlight w:val="none"/>
              </w:rPr>
              <w:t>[</w:t>
            </w:r>
            <w:r>
              <w:rPr>
                <w:highlight w:val="none"/>
              </w:rPr>
              <w:fldChar w:fldCharType="begin"/>
            </w:r>
            <w:r>
              <w:rPr>
                <w:highlight w:val="none"/>
              </w:rPr>
              <w:instrText xml:space="preserve"> HYPERLINK \l "bookmark14"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27"/>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tc>
      </w:tr>
      <w:tr w14:paraId="72DD5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8" w:type="dxa"/>
            <w:tcBorders>
              <w:top w:val="nil"/>
            </w:tcBorders>
            <w:vAlign w:val="top"/>
          </w:tcPr>
          <w:p w14:paraId="565E038A">
            <w:pPr>
              <w:rPr>
                <w:rFonts w:ascii="Arial"/>
                <w:sz w:val="21"/>
                <w:highlight w:val="none"/>
              </w:rPr>
            </w:pPr>
          </w:p>
        </w:tc>
        <w:tc>
          <w:tcPr>
            <w:tcW w:w="933" w:type="dxa"/>
            <w:tcBorders>
              <w:top w:val="nil"/>
            </w:tcBorders>
            <w:vAlign w:val="top"/>
          </w:tcPr>
          <w:p w14:paraId="321773C9">
            <w:pPr>
              <w:rPr>
                <w:rFonts w:ascii="Arial"/>
                <w:sz w:val="21"/>
                <w:highlight w:val="none"/>
              </w:rPr>
            </w:pPr>
          </w:p>
        </w:tc>
        <w:tc>
          <w:tcPr>
            <w:tcW w:w="1759" w:type="dxa"/>
            <w:tcBorders>
              <w:right w:val="single" w:color="auto" w:sz="4" w:space="0"/>
            </w:tcBorders>
            <w:vAlign w:val="top"/>
          </w:tcPr>
          <w:p w14:paraId="05BED7C8">
            <w:pPr>
              <w:pStyle w:val="24"/>
              <w:spacing w:before="222" w:line="220" w:lineRule="auto"/>
              <w:ind w:left="164"/>
              <w:rPr>
                <w:highlight w:val="none"/>
              </w:rPr>
            </w:pPr>
            <w:r>
              <w:rPr>
                <w:spacing w:val="-2"/>
                <w:highlight w:val="none"/>
              </w:rPr>
              <w:t>满足《中华人</w:t>
            </w:r>
          </w:p>
          <w:p w14:paraId="1F35ECEF">
            <w:pPr>
              <w:pStyle w:val="24"/>
              <w:spacing w:before="74" w:line="219" w:lineRule="auto"/>
              <w:ind w:left="187"/>
              <w:rPr>
                <w:highlight w:val="none"/>
              </w:rPr>
            </w:pPr>
            <w:r>
              <w:rPr>
                <w:spacing w:val="-5"/>
                <w:highlight w:val="none"/>
              </w:rPr>
              <w:t>民共和国政府</w:t>
            </w:r>
          </w:p>
          <w:p w14:paraId="486680E9">
            <w:pPr>
              <w:pStyle w:val="24"/>
              <w:spacing w:before="75" w:line="219" w:lineRule="auto"/>
              <w:ind w:left="163"/>
              <w:rPr>
                <w:highlight w:val="none"/>
              </w:rPr>
            </w:pPr>
            <w:r>
              <w:rPr>
                <w:spacing w:val="-2"/>
                <w:highlight w:val="none"/>
              </w:rPr>
              <w:t>采购法》第二</w:t>
            </w:r>
          </w:p>
          <w:p w14:paraId="12A22BE3">
            <w:pPr>
              <w:pStyle w:val="24"/>
              <w:spacing w:before="74" w:line="220" w:lineRule="auto"/>
              <w:ind w:left="285"/>
              <w:rPr>
                <w:highlight w:val="none"/>
              </w:rPr>
            </w:pPr>
            <w:r>
              <w:rPr>
                <w:spacing w:val="-2"/>
                <w:highlight w:val="none"/>
              </w:rPr>
              <w:t>十二条规定</w:t>
            </w:r>
          </w:p>
        </w:tc>
        <w:tc>
          <w:tcPr>
            <w:tcW w:w="5556" w:type="dxa"/>
            <w:tcBorders>
              <w:left w:val="single" w:color="auto" w:sz="4" w:space="0"/>
              <w:bottom w:val="single" w:color="auto" w:sz="4" w:space="0"/>
              <w:right w:val="single" w:color="auto" w:sz="4" w:space="0"/>
            </w:tcBorders>
            <w:vAlign w:val="top"/>
          </w:tcPr>
          <w:p w14:paraId="630CC83D">
            <w:pPr>
              <w:pStyle w:val="24"/>
              <w:spacing w:before="27" w:line="242" w:lineRule="auto"/>
              <w:ind w:left="115" w:right="108" w:firstLine="41"/>
              <w:rPr>
                <w:rFonts w:hint="eastAsia"/>
                <w:highlight w:val="none"/>
              </w:rPr>
            </w:pPr>
          </w:p>
          <w:p w14:paraId="5CFEA7BA">
            <w:pPr>
              <w:pStyle w:val="24"/>
              <w:spacing w:before="27" w:line="242" w:lineRule="auto"/>
              <w:ind w:left="115" w:right="108" w:firstLine="41"/>
              <w:rPr>
                <w:rFonts w:hint="eastAsia"/>
                <w:highlight w:val="none"/>
              </w:rPr>
            </w:pPr>
          </w:p>
          <w:p w14:paraId="75ACD464">
            <w:pPr>
              <w:pStyle w:val="24"/>
              <w:spacing w:before="27" w:line="242" w:lineRule="auto"/>
              <w:ind w:left="115" w:right="108" w:firstLine="41"/>
              <w:rPr>
                <w:highlight w:val="none"/>
              </w:rPr>
            </w:pPr>
            <w:r>
              <w:rPr>
                <w:rFonts w:hint="eastAsia"/>
                <w:highlight w:val="none"/>
              </w:rPr>
              <w:t>满足《中华人民共和国政府采购法》第二十二条规定，提供投标人承诺书</w:t>
            </w:r>
          </w:p>
        </w:tc>
      </w:tr>
      <w:tr w14:paraId="0B8D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688" w:type="dxa"/>
            <w:vMerge w:val="restart"/>
            <w:tcBorders>
              <w:bottom w:val="nil"/>
            </w:tcBorders>
            <w:vAlign w:val="top"/>
          </w:tcPr>
          <w:p w14:paraId="61633FF7">
            <w:pPr>
              <w:spacing w:line="250" w:lineRule="auto"/>
              <w:rPr>
                <w:rFonts w:ascii="Arial"/>
                <w:sz w:val="21"/>
                <w:highlight w:val="none"/>
              </w:rPr>
            </w:pPr>
          </w:p>
          <w:p w14:paraId="6AED995B">
            <w:pPr>
              <w:spacing w:line="250" w:lineRule="auto"/>
              <w:rPr>
                <w:rFonts w:ascii="Arial"/>
                <w:sz w:val="21"/>
                <w:highlight w:val="none"/>
              </w:rPr>
            </w:pPr>
          </w:p>
          <w:p w14:paraId="14E30485">
            <w:pPr>
              <w:spacing w:line="250" w:lineRule="auto"/>
              <w:rPr>
                <w:rFonts w:ascii="Arial"/>
                <w:sz w:val="21"/>
                <w:highlight w:val="none"/>
              </w:rPr>
            </w:pPr>
          </w:p>
          <w:p w14:paraId="3C85EB7A">
            <w:pPr>
              <w:spacing w:line="250" w:lineRule="auto"/>
              <w:rPr>
                <w:rFonts w:ascii="Arial"/>
                <w:sz w:val="21"/>
                <w:highlight w:val="none"/>
              </w:rPr>
            </w:pPr>
          </w:p>
          <w:p w14:paraId="72E84B6E">
            <w:pPr>
              <w:spacing w:line="251" w:lineRule="auto"/>
              <w:rPr>
                <w:rFonts w:ascii="Arial"/>
                <w:sz w:val="21"/>
                <w:highlight w:val="none"/>
              </w:rPr>
            </w:pPr>
          </w:p>
          <w:p w14:paraId="53CCA3F2">
            <w:pPr>
              <w:pStyle w:val="24"/>
              <w:spacing w:before="78" w:line="239" w:lineRule="auto"/>
              <w:ind w:left="121"/>
              <w:rPr>
                <w:highlight w:val="none"/>
              </w:rPr>
            </w:pPr>
            <w:r>
              <w:rPr>
                <w:spacing w:val="-4"/>
                <w:highlight w:val="none"/>
              </w:rPr>
              <w:t>3.3</w:t>
            </w:r>
          </w:p>
        </w:tc>
        <w:tc>
          <w:tcPr>
            <w:tcW w:w="933" w:type="dxa"/>
            <w:vMerge w:val="restart"/>
            <w:tcBorders>
              <w:bottom w:val="nil"/>
            </w:tcBorders>
            <w:vAlign w:val="top"/>
          </w:tcPr>
          <w:p w14:paraId="28735436">
            <w:pPr>
              <w:spacing w:line="279" w:lineRule="auto"/>
              <w:rPr>
                <w:rFonts w:ascii="Arial"/>
                <w:sz w:val="21"/>
                <w:highlight w:val="none"/>
              </w:rPr>
            </w:pPr>
          </w:p>
          <w:p w14:paraId="5F3A73B1">
            <w:pPr>
              <w:spacing w:line="279" w:lineRule="auto"/>
              <w:rPr>
                <w:rFonts w:ascii="Arial"/>
                <w:sz w:val="21"/>
                <w:highlight w:val="none"/>
              </w:rPr>
            </w:pPr>
          </w:p>
          <w:p w14:paraId="3FB5A3B6">
            <w:pPr>
              <w:pStyle w:val="24"/>
              <w:spacing w:before="78" w:line="360" w:lineRule="auto"/>
              <w:ind w:left="115" w:right="106" w:firstLine="10"/>
              <w:jc w:val="both"/>
              <w:rPr>
                <w:highlight w:val="none"/>
              </w:rPr>
            </w:pPr>
            <w:r>
              <w:rPr>
                <w:spacing w:val="-16"/>
                <w:highlight w:val="none"/>
              </w:rPr>
              <w:t>响</w:t>
            </w:r>
            <w:r>
              <w:rPr>
                <w:spacing w:val="3"/>
                <w:highlight w:val="none"/>
              </w:rPr>
              <w:t xml:space="preserve">  </w:t>
            </w:r>
            <w:r>
              <w:rPr>
                <w:spacing w:val="-16"/>
                <w:highlight w:val="none"/>
              </w:rPr>
              <w:t>应</w:t>
            </w:r>
            <w:r>
              <w:rPr>
                <w:spacing w:val="-10"/>
                <w:highlight w:val="none"/>
              </w:rPr>
              <w:t>性</w:t>
            </w:r>
            <w:r>
              <w:rPr>
                <w:spacing w:val="2"/>
                <w:highlight w:val="none"/>
              </w:rPr>
              <w:t xml:space="preserve">  </w:t>
            </w:r>
            <w:r>
              <w:rPr>
                <w:spacing w:val="-10"/>
                <w:highlight w:val="none"/>
              </w:rPr>
              <w:t>评</w:t>
            </w:r>
            <w:r>
              <w:rPr>
                <w:spacing w:val="-11"/>
                <w:highlight w:val="none"/>
              </w:rPr>
              <w:t>审</w:t>
            </w:r>
            <w:r>
              <w:rPr>
                <w:spacing w:val="3"/>
                <w:highlight w:val="none"/>
              </w:rPr>
              <w:t xml:space="preserve">  </w:t>
            </w:r>
            <w:r>
              <w:rPr>
                <w:spacing w:val="-11"/>
                <w:highlight w:val="none"/>
              </w:rPr>
              <w:t>标</w:t>
            </w:r>
            <w:r>
              <w:rPr>
                <w:highlight w:val="none"/>
              </w:rPr>
              <w:t>准</w:t>
            </w:r>
          </w:p>
        </w:tc>
        <w:tc>
          <w:tcPr>
            <w:tcW w:w="1759" w:type="dxa"/>
            <w:vAlign w:val="top"/>
          </w:tcPr>
          <w:p w14:paraId="51899C54">
            <w:pPr>
              <w:pStyle w:val="24"/>
              <w:spacing w:before="218" w:line="220" w:lineRule="auto"/>
              <w:ind w:left="286"/>
              <w:rPr>
                <w:highlight w:val="none"/>
              </w:rPr>
            </w:pPr>
            <w:r>
              <w:rPr>
                <w:spacing w:val="-2"/>
                <w:highlight w:val="none"/>
              </w:rPr>
              <w:t>投标有效期</w:t>
            </w:r>
          </w:p>
        </w:tc>
        <w:tc>
          <w:tcPr>
            <w:tcW w:w="5556" w:type="dxa"/>
            <w:tcBorders>
              <w:top w:val="single" w:color="auto" w:sz="4" w:space="0"/>
            </w:tcBorders>
            <w:vAlign w:val="top"/>
          </w:tcPr>
          <w:p w14:paraId="5A3550A8">
            <w:pPr>
              <w:pStyle w:val="24"/>
              <w:spacing w:before="193" w:line="220" w:lineRule="auto"/>
              <w:ind w:left="926"/>
              <w:rPr>
                <w:highlight w:val="none"/>
              </w:rPr>
            </w:pPr>
            <w:r>
              <w:rPr>
                <w:spacing w:val="-5"/>
                <w:highlight w:val="none"/>
              </w:rPr>
              <w:t>投标文件递交截止之日起</w:t>
            </w:r>
            <w:r>
              <w:rPr>
                <w:spacing w:val="-48"/>
                <w:highlight w:val="none"/>
              </w:rPr>
              <w:t xml:space="preserve"> </w:t>
            </w:r>
            <w:r>
              <w:rPr>
                <w:spacing w:val="-5"/>
                <w:highlight w:val="none"/>
              </w:rPr>
              <w:t>60 日历天</w:t>
            </w:r>
          </w:p>
        </w:tc>
      </w:tr>
      <w:tr w14:paraId="33A0C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88" w:type="dxa"/>
            <w:vMerge w:val="continue"/>
            <w:tcBorders>
              <w:top w:val="nil"/>
              <w:bottom w:val="nil"/>
            </w:tcBorders>
            <w:vAlign w:val="top"/>
          </w:tcPr>
          <w:p w14:paraId="437C8DCB">
            <w:pPr>
              <w:rPr>
                <w:rFonts w:ascii="Arial"/>
                <w:sz w:val="21"/>
                <w:highlight w:val="none"/>
              </w:rPr>
            </w:pPr>
          </w:p>
        </w:tc>
        <w:tc>
          <w:tcPr>
            <w:tcW w:w="933" w:type="dxa"/>
            <w:vMerge w:val="continue"/>
            <w:tcBorders>
              <w:top w:val="nil"/>
              <w:bottom w:val="nil"/>
            </w:tcBorders>
            <w:vAlign w:val="top"/>
          </w:tcPr>
          <w:p w14:paraId="3CE3BCB1">
            <w:pPr>
              <w:rPr>
                <w:rFonts w:ascii="Arial"/>
                <w:sz w:val="21"/>
                <w:highlight w:val="none"/>
              </w:rPr>
            </w:pPr>
          </w:p>
        </w:tc>
        <w:tc>
          <w:tcPr>
            <w:tcW w:w="1759" w:type="dxa"/>
            <w:vAlign w:val="top"/>
          </w:tcPr>
          <w:p w14:paraId="0361E278">
            <w:pPr>
              <w:pStyle w:val="24"/>
              <w:spacing w:before="219" w:line="219" w:lineRule="auto"/>
              <w:ind w:left="168"/>
              <w:rPr>
                <w:highlight w:val="none"/>
              </w:rPr>
            </w:pPr>
            <w:r>
              <w:rPr>
                <w:spacing w:val="-2"/>
                <w:highlight w:val="none"/>
              </w:rPr>
              <w:t>交货及安装期</w:t>
            </w:r>
          </w:p>
        </w:tc>
        <w:tc>
          <w:tcPr>
            <w:tcW w:w="5556" w:type="dxa"/>
            <w:vAlign w:val="top"/>
          </w:tcPr>
          <w:p w14:paraId="1B7FE6E3">
            <w:pPr>
              <w:pStyle w:val="24"/>
              <w:spacing w:before="216" w:line="220" w:lineRule="auto"/>
              <w:ind w:left="1262"/>
              <w:rPr>
                <w:highlight w:val="none"/>
              </w:rPr>
            </w:pPr>
            <w:r>
              <w:rPr>
                <w:spacing w:val="-4"/>
                <w:highlight w:val="none"/>
              </w:rPr>
              <w:t>自合同签订之日起30日历天内</w:t>
            </w:r>
          </w:p>
        </w:tc>
      </w:tr>
      <w:tr w14:paraId="0BA2B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688" w:type="dxa"/>
            <w:vMerge w:val="continue"/>
            <w:tcBorders>
              <w:top w:val="nil"/>
              <w:bottom w:val="nil"/>
            </w:tcBorders>
            <w:vAlign w:val="top"/>
          </w:tcPr>
          <w:p w14:paraId="481ED166">
            <w:pPr>
              <w:rPr>
                <w:rFonts w:ascii="Arial"/>
                <w:sz w:val="21"/>
                <w:highlight w:val="none"/>
              </w:rPr>
            </w:pPr>
          </w:p>
        </w:tc>
        <w:tc>
          <w:tcPr>
            <w:tcW w:w="933" w:type="dxa"/>
            <w:vMerge w:val="continue"/>
            <w:tcBorders>
              <w:top w:val="nil"/>
              <w:bottom w:val="nil"/>
            </w:tcBorders>
            <w:vAlign w:val="top"/>
          </w:tcPr>
          <w:p w14:paraId="37B35C32">
            <w:pPr>
              <w:rPr>
                <w:rFonts w:ascii="Arial"/>
                <w:sz w:val="21"/>
                <w:highlight w:val="none"/>
              </w:rPr>
            </w:pPr>
          </w:p>
        </w:tc>
        <w:tc>
          <w:tcPr>
            <w:tcW w:w="1759" w:type="dxa"/>
            <w:vAlign w:val="top"/>
          </w:tcPr>
          <w:p w14:paraId="690745B1">
            <w:pPr>
              <w:pStyle w:val="24"/>
              <w:spacing w:before="219" w:line="220" w:lineRule="auto"/>
              <w:ind w:left="525"/>
              <w:rPr>
                <w:highlight w:val="none"/>
              </w:rPr>
            </w:pPr>
            <w:r>
              <w:rPr>
                <w:spacing w:val="-3"/>
                <w:highlight w:val="none"/>
              </w:rPr>
              <w:t>质保期</w:t>
            </w:r>
          </w:p>
        </w:tc>
        <w:tc>
          <w:tcPr>
            <w:tcW w:w="5556" w:type="dxa"/>
            <w:vAlign w:val="top"/>
          </w:tcPr>
          <w:p w14:paraId="3981CE75">
            <w:pPr>
              <w:pStyle w:val="24"/>
              <w:spacing w:before="219" w:line="220" w:lineRule="auto"/>
              <w:ind w:left="975"/>
              <w:rPr>
                <w:highlight w:val="none"/>
              </w:rPr>
            </w:pPr>
            <w:r>
              <w:rPr>
                <w:highlight w:val="none"/>
              </w:rPr>
              <w:t>A 包</w:t>
            </w:r>
            <w:r>
              <w:rPr>
                <w:rFonts w:hint="eastAsia"/>
                <w:highlight w:val="none"/>
                <w:lang w:val="en-US" w:eastAsia="zh-CN"/>
              </w:rPr>
              <w:t>三年</w:t>
            </w:r>
            <w:r>
              <w:rPr>
                <w:highlight w:val="none"/>
              </w:rPr>
              <w:t>；B 包</w:t>
            </w:r>
            <w:r>
              <w:rPr>
                <w:rFonts w:hint="eastAsia"/>
                <w:highlight w:val="none"/>
                <w:lang w:val="en-US" w:eastAsia="zh-CN"/>
              </w:rPr>
              <w:t>四年</w:t>
            </w:r>
            <w:r>
              <w:rPr>
                <w:highlight w:val="none"/>
              </w:rPr>
              <w:t>；C 包</w:t>
            </w:r>
            <w:r>
              <w:rPr>
                <w:rFonts w:hint="eastAsia"/>
                <w:highlight w:val="none"/>
                <w:lang w:val="en-US" w:eastAsia="zh-CN"/>
              </w:rPr>
              <w:t>两年</w:t>
            </w:r>
            <w:r>
              <w:rPr>
                <w:highlight w:val="none"/>
              </w:rPr>
              <w:t>；D 包</w:t>
            </w:r>
            <w:r>
              <w:rPr>
                <w:rFonts w:hint="eastAsia"/>
                <w:highlight w:val="none"/>
                <w:lang w:val="en-US" w:eastAsia="zh-CN"/>
              </w:rPr>
              <w:t>三年</w:t>
            </w:r>
          </w:p>
        </w:tc>
      </w:tr>
      <w:tr w14:paraId="2925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88" w:type="dxa"/>
            <w:vMerge w:val="continue"/>
            <w:tcBorders>
              <w:top w:val="nil"/>
            </w:tcBorders>
            <w:vAlign w:val="top"/>
          </w:tcPr>
          <w:p w14:paraId="45D26E66">
            <w:pPr>
              <w:rPr>
                <w:rFonts w:ascii="Arial"/>
                <w:sz w:val="21"/>
                <w:highlight w:val="none"/>
              </w:rPr>
            </w:pPr>
          </w:p>
        </w:tc>
        <w:tc>
          <w:tcPr>
            <w:tcW w:w="933" w:type="dxa"/>
            <w:vMerge w:val="continue"/>
            <w:tcBorders>
              <w:top w:val="nil"/>
            </w:tcBorders>
            <w:vAlign w:val="top"/>
          </w:tcPr>
          <w:p w14:paraId="1EED69E8">
            <w:pPr>
              <w:rPr>
                <w:rFonts w:ascii="Arial"/>
                <w:sz w:val="21"/>
                <w:highlight w:val="none"/>
              </w:rPr>
            </w:pPr>
          </w:p>
        </w:tc>
        <w:tc>
          <w:tcPr>
            <w:tcW w:w="1759" w:type="dxa"/>
            <w:vAlign w:val="top"/>
          </w:tcPr>
          <w:p w14:paraId="4E0E593B">
            <w:pPr>
              <w:spacing w:line="320" w:lineRule="auto"/>
              <w:rPr>
                <w:rFonts w:ascii="Arial"/>
                <w:sz w:val="21"/>
                <w:highlight w:val="none"/>
              </w:rPr>
            </w:pPr>
          </w:p>
          <w:p w14:paraId="0F188E5A">
            <w:pPr>
              <w:pStyle w:val="24"/>
              <w:spacing w:before="78" w:line="220" w:lineRule="auto"/>
              <w:ind w:left="405"/>
              <w:rPr>
                <w:highlight w:val="none"/>
              </w:rPr>
            </w:pPr>
            <w:r>
              <w:rPr>
                <w:spacing w:val="-2"/>
                <w:highlight w:val="none"/>
              </w:rPr>
              <w:t>质量要求</w:t>
            </w:r>
          </w:p>
        </w:tc>
        <w:tc>
          <w:tcPr>
            <w:tcW w:w="5556" w:type="dxa"/>
            <w:vAlign w:val="top"/>
          </w:tcPr>
          <w:p w14:paraId="1E3C95A1">
            <w:pPr>
              <w:pStyle w:val="24"/>
              <w:spacing w:before="195" w:line="220" w:lineRule="auto"/>
              <w:ind w:left="145"/>
              <w:rPr>
                <w:highlight w:val="none"/>
              </w:rPr>
            </w:pPr>
            <w:r>
              <w:rPr>
                <w:spacing w:val="-1"/>
                <w:highlight w:val="none"/>
              </w:rPr>
              <w:t>符合国家及行业相关规范和标准，达到正常运行条</w:t>
            </w:r>
          </w:p>
          <w:p w14:paraId="7F18EDC5">
            <w:pPr>
              <w:pStyle w:val="24"/>
              <w:spacing w:before="71" w:line="220" w:lineRule="auto"/>
              <w:ind w:left="2662"/>
              <w:rPr>
                <w:highlight w:val="none"/>
              </w:rPr>
            </w:pPr>
            <w:r>
              <w:rPr>
                <w:highlight w:val="none"/>
              </w:rPr>
              <w:t>件</w:t>
            </w:r>
          </w:p>
        </w:tc>
      </w:tr>
    </w:tbl>
    <w:p w14:paraId="7DF7FE08">
      <w:pPr>
        <w:rPr>
          <w:rFonts w:hint="eastAsia" w:ascii="Arial" w:hAnsi="Arial" w:eastAsia="Arial" w:cs="Arial"/>
          <w:b/>
          <w:bCs/>
          <w:sz w:val="21"/>
          <w:szCs w:val="21"/>
          <w:highlight w:val="none"/>
        </w:rPr>
      </w:pPr>
    </w:p>
    <w:p w14:paraId="5F49A750">
      <w:pPr>
        <w:rPr>
          <w:rFonts w:ascii="Arial" w:hAnsi="Arial" w:eastAsia="Arial" w:cs="Arial"/>
          <w:b/>
          <w:bCs/>
          <w:sz w:val="21"/>
          <w:szCs w:val="21"/>
          <w:highlight w:val="none"/>
        </w:rPr>
        <w:sectPr>
          <w:footerReference r:id="rId23" w:type="default"/>
          <w:pgSz w:w="11907" w:h="16839"/>
          <w:pgMar w:top="1431" w:right="1355" w:bottom="1159" w:left="1427" w:header="0" w:footer="959" w:gutter="0"/>
          <w:cols w:space="720" w:num="1"/>
        </w:sectPr>
      </w:pPr>
      <w:r>
        <w:rPr>
          <w:rFonts w:hint="eastAsia" w:ascii="Arial" w:hAnsi="Arial" w:eastAsia="Arial" w:cs="Arial"/>
          <w:b/>
          <w:bCs/>
          <w:sz w:val="21"/>
          <w:szCs w:val="21"/>
          <w:highlight w:val="none"/>
        </w:rPr>
        <w:t>中华人民共和国财政部令第</w:t>
      </w:r>
      <w:r>
        <w:rPr>
          <w:rFonts w:ascii="Arial" w:hAnsi="Arial" w:eastAsia="Arial" w:cs="Arial"/>
          <w:b/>
          <w:bCs/>
          <w:sz w:val="21"/>
          <w:szCs w:val="21"/>
          <w:highlight w:val="none"/>
        </w:rPr>
        <w:t>87</w:t>
      </w:r>
      <w:r>
        <w:rPr>
          <w:rFonts w:hint="eastAsia" w:ascii="Arial" w:hAnsi="Arial" w:eastAsia="Arial" w:cs="Arial"/>
          <w:b/>
          <w:bCs/>
          <w:sz w:val="21"/>
          <w:szCs w:val="21"/>
          <w:highlight w:val="none"/>
        </w:rPr>
        <w:t>号《政府采购货物和服务招标投标管理办法》第四十四条公开招标采购项目开标结束后，采购人或者采购代理机构应当依法对投标供应商的资格进行审查。合格投标投标供应商不足</w:t>
      </w:r>
      <w:r>
        <w:rPr>
          <w:rFonts w:ascii="Arial" w:hAnsi="Arial" w:eastAsia="Arial" w:cs="Arial"/>
          <w:b/>
          <w:bCs/>
          <w:sz w:val="21"/>
          <w:szCs w:val="21"/>
          <w:highlight w:val="none"/>
        </w:rPr>
        <w:t>3</w:t>
      </w:r>
      <w:r>
        <w:rPr>
          <w:rFonts w:hint="eastAsia" w:ascii="Arial" w:hAnsi="Arial" w:eastAsia="Arial" w:cs="Arial"/>
          <w:b/>
          <w:bCs/>
          <w:sz w:val="21"/>
          <w:szCs w:val="21"/>
          <w:highlight w:val="none"/>
        </w:rPr>
        <w:t>家的，不得评标。</w:t>
      </w:r>
    </w:p>
    <w:p w14:paraId="100789B9">
      <w:pPr>
        <w:pStyle w:val="4"/>
        <w:spacing w:before="78" w:line="282" w:lineRule="auto"/>
        <w:ind w:right="7242"/>
        <w:jc w:val="center"/>
        <w:rPr>
          <w:rFonts w:hint="default" w:eastAsia="宋体"/>
          <w:sz w:val="24"/>
          <w:szCs w:val="24"/>
          <w:highlight w:val="none"/>
          <w:lang w:val="en-US" w:eastAsia="zh-CN"/>
        </w:rPr>
      </w:pPr>
      <w:r>
        <w:rPr>
          <w:spacing w:val="-4"/>
          <w:sz w:val="24"/>
          <w:szCs w:val="24"/>
          <w:highlight w:val="none"/>
        </w:rPr>
        <w:t>详细评审</w:t>
      </w:r>
      <w:r>
        <w:rPr>
          <w:rFonts w:hint="eastAsia"/>
          <w:spacing w:val="-4"/>
          <w:sz w:val="24"/>
          <w:szCs w:val="24"/>
          <w:highlight w:val="none"/>
          <w:lang w:eastAsia="zh-CN"/>
        </w:rPr>
        <w:t>（</w:t>
      </w:r>
      <w:r>
        <w:rPr>
          <w:rFonts w:hint="eastAsia"/>
          <w:spacing w:val="-4"/>
          <w:sz w:val="24"/>
          <w:szCs w:val="24"/>
          <w:highlight w:val="none"/>
          <w:lang w:val="en-US" w:eastAsia="zh-CN"/>
        </w:rPr>
        <w:t>A包至D包</w:t>
      </w:r>
      <w:r>
        <w:rPr>
          <w:rFonts w:hint="eastAsia"/>
          <w:spacing w:val="-4"/>
          <w:sz w:val="24"/>
          <w:szCs w:val="24"/>
          <w:highlight w:val="none"/>
          <w:lang w:eastAsia="zh-CN"/>
        </w:rPr>
        <w:t>）</w:t>
      </w:r>
    </w:p>
    <w:tbl>
      <w:tblPr>
        <w:tblStyle w:val="23"/>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134"/>
        <w:gridCol w:w="6118"/>
        <w:gridCol w:w="842"/>
      </w:tblGrid>
      <w:tr w14:paraId="43DC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156" w:type="dxa"/>
            <w:vAlign w:val="top"/>
          </w:tcPr>
          <w:p w14:paraId="48968A5D">
            <w:pPr>
              <w:pStyle w:val="24"/>
              <w:spacing w:before="151" w:line="220" w:lineRule="auto"/>
              <w:ind w:left="341"/>
              <w:rPr>
                <w:highlight w:val="none"/>
              </w:rPr>
            </w:pPr>
            <w:r>
              <w:rPr>
                <w:b/>
                <w:bCs/>
                <w:spacing w:val="-5"/>
                <w:highlight w:val="none"/>
              </w:rPr>
              <w:t>评分</w:t>
            </w:r>
          </w:p>
          <w:p w14:paraId="0D0553F2">
            <w:pPr>
              <w:pStyle w:val="24"/>
              <w:spacing w:before="152" w:line="220" w:lineRule="auto"/>
              <w:ind w:left="361"/>
              <w:rPr>
                <w:highlight w:val="none"/>
              </w:rPr>
            </w:pPr>
            <w:r>
              <w:rPr>
                <w:b/>
                <w:bCs/>
                <w:spacing w:val="-9"/>
                <w:highlight w:val="none"/>
              </w:rPr>
              <w:t>因素</w:t>
            </w:r>
          </w:p>
        </w:tc>
        <w:tc>
          <w:tcPr>
            <w:tcW w:w="1134" w:type="dxa"/>
            <w:vAlign w:val="top"/>
          </w:tcPr>
          <w:p w14:paraId="5BBB37FC">
            <w:pPr>
              <w:pStyle w:val="24"/>
              <w:spacing w:before="151" w:line="220" w:lineRule="auto"/>
              <w:ind w:left="328"/>
              <w:rPr>
                <w:highlight w:val="none"/>
              </w:rPr>
            </w:pPr>
            <w:r>
              <w:rPr>
                <w:b/>
                <w:bCs/>
                <w:spacing w:val="-5"/>
                <w:highlight w:val="none"/>
              </w:rPr>
              <w:t>评分</w:t>
            </w:r>
          </w:p>
          <w:p w14:paraId="47F9537A">
            <w:pPr>
              <w:pStyle w:val="24"/>
              <w:spacing w:before="152" w:line="220" w:lineRule="auto"/>
              <w:ind w:left="358"/>
              <w:rPr>
                <w:highlight w:val="none"/>
              </w:rPr>
            </w:pPr>
            <w:r>
              <w:rPr>
                <w:b/>
                <w:bCs/>
                <w:spacing w:val="-12"/>
                <w:highlight w:val="none"/>
              </w:rPr>
              <w:t>内容</w:t>
            </w:r>
          </w:p>
        </w:tc>
        <w:tc>
          <w:tcPr>
            <w:tcW w:w="6118" w:type="dxa"/>
            <w:vAlign w:val="top"/>
          </w:tcPr>
          <w:p w14:paraId="275E9BAA">
            <w:pPr>
              <w:spacing w:line="290" w:lineRule="auto"/>
              <w:rPr>
                <w:rFonts w:ascii="Arial"/>
                <w:sz w:val="21"/>
                <w:highlight w:val="none"/>
              </w:rPr>
            </w:pPr>
          </w:p>
          <w:p w14:paraId="05688A80">
            <w:pPr>
              <w:pStyle w:val="24"/>
              <w:spacing w:before="78" w:line="220" w:lineRule="auto"/>
              <w:ind w:left="2583"/>
              <w:rPr>
                <w:highlight w:val="none"/>
              </w:rPr>
            </w:pPr>
            <w:r>
              <w:rPr>
                <w:b/>
                <w:bCs/>
                <w:spacing w:val="-4"/>
                <w:highlight w:val="none"/>
              </w:rPr>
              <w:t>评分标准</w:t>
            </w:r>
          </w:p>
        </w:tc>
        <w:tc>
          <w:tcPr>
            <w:tcW w:w="842" w:type="dxa"/>
            <w:vAlign w:val="top"/>
          </w:tcPr>
          <w:p w14:paraId="44931981">
            <w:pPr>
              <w:spacing w:line="289" w:lineRule="auto"/>
              <w:rPr>
                <w:rFonts w:ascii="Arial"/>
                <w:sz w:val="21"/>
                <w:highlight w:val="none"/>
              </w:rPr>
            </w:pPr>
          </w:p>
          <w:p w14:paraId="59B421C7">
            <w:pPr>
              <w:pStyle w:val="24"/>
              <w:spacing w:before="78" w:line="220" w:lineRule="auto"/>
              <w:ind w:left="190"/>
              <w:rPr>
                <w:highlight w:val="none"/>
              </w:rPr>
            </w:pPr>
            <w:r>
              <w:rPr>
                <w:b/>
                <w:bCs/>
                <w:spacing w:val="-5"/>
                <w:highlight w:val="none"/>
              </w:rPr>
              <w:t>分值</w:t>
            </w:r>
          </w:p>
        </w:tc>
      </w:tr>
      <w:tr w14:paraId="33658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1" w:hRule="atLeast"/>
        </w:trPr>
        <w:tc>
          <w:tcPr>
            <w:tcW w:w="1156" w:type="dxa"/>
            <w:vAlign w:val="top"/>
          </w:tcPr>
          <w:p w14:paraId="363B647F">
            <w:pPr>
              <w:spacing w:line="242" w:lineRule="auto"/>
              <w:rPr>
                <w:rFonts w:ascii="Arial"/>
                <w:sz w:val="21"/>
                <w:highlight w:val="none"/>
              </w:rPr>
            </w:pPr>
          </w:p>
          <w:p w14:paraId="426505FC">
            <w:pPr>
              <w:spacing w:line="242" w:lineRule="auto"/>
              <w:rPr>
                <w:rFonts w:ascii="Arial"/>
                <w:sz w:val="21"/>
                <w:highlight w:val="none"/>
              </w:rPr>
            </w:pPr>
          </w:p>
          <w:p w14:paraId="69BAEAAA">
            <w:pPr>
              <w:spacing w:line="242" w:lineRule="auto"/>
              <w:rPr>
                <w:rFonts w:ascii="Arial"/>
                <w:sz w:val="21"/>
                <w:highlight w:val="none"/>
              </w:rPr>
            </w:pPr>
          </w:p>
          <w:p w14:paraId="1CC2311A">
            <w:pPr>
              <w:spacing w:line="242" w:lineRule="auto"/>
              <w:rPr>
                <w:rFonts w:ascii="Arial"/>
                <w:sz w:val="21"/>
                <w:highlight w:val="none"/>
              </w:rPr>
            </w:pPr>
          </w:p>
          <w:p w14:paraId="1CD6879B">
            <w:pPr>
              <w:spacing w:line="242" w:lineRule="auto"/>
              <w:rPr>
                <w:rFonts w:ascii="Arial"/>
                <w:sz w:val="21"/>
                <w:highlight w:val="none"/>
              </w:rPr>
            </w:pPr>
          </w:p>
          <w:p w14:paraId="169E48F6">
            <w:pPr>
              <w:spacing w:line="242" w:lineRule="auto"/>
              <w:rPr>
                <w:rFonts w:ascii="Arial"/>
                <w:sz w:val="21"/>
                <w:highlight w:val="none"/>
              </w:rPr>
            </w:pPr>
          </w:p>
          <w:p w14:paraId="64E20A1B">
            <w:pPr>
              <w:spacing w:line="242" w:lineRule="auto"/>
              <w:rPr>
                <w:rFonts w:ascii="Arial"/>
                <w:sz w:val="21"/>
                <w:highlight w:val="none"/>
              </w:rPr>
            </w:pPr>
          </w:p>
          <w:p w14:paraId="0B1F2EEC">
            <w:pPr>
              <w:spacing w:line="242" w:lineRule="auto"/>
              <w:rPr>
                <w:rFonts w:ascii="Arial"/>
                <w:sz w:val="21"/>
                <w:highlight w:val="none"/>
              </w:rPr>
            </w:pPr>
          </w:p>
          <w:p w14:paraId="59C9C5BC">
            <w:pPr>
              <w:spacing w:line="242" w:lineRule="auto"/>
              <w:rPr>
                <w:rFonts w:ascii="Arial"/>
                <w:sz w:val="21"/>
                <w:highlight w:val="none"/>
              </w:rPr>
            </w:pPr>
          </w:p>
          <w:p w14:paraId="60B10E9C">
            <w:pPr>
              <w:spacing w:line="242" w:lineRule="auto"/>
              <w:rPr>
                <w:rFonts w:ascii="Arial"/>
                <w:sz w:val="21"/>
                <w:highlight w:val="none"/>
              </w:rPr>
            </w:pPr>
          </w:p>
          <w:p w14:paraId="611F48B2">
            <w:pPr>
              <w:spacing w:line="242" w:lineRule="auto"/>
              <w:rPr>
                <w:rFonts w:ascii="Arial"/>
                <w:sz w:val="21"/>
                <w:highlight w:val="none"/>
              </w:rPr>
            </w:pPr>
          </w:p>
          <w:p w14:paraId="698F3A52">
            <w:pPr>
              <w:spacing w:line="242" w:lineRule="auto"/>
              <w:rPr>
                <w:rFonts w:ascii="Arial"/>
                <w:sz w:val="21"/>
                <w:highlight w:val="none"/>
              </w:rPr>
            </w:pPr>
          </w:p>
          <w:p w14:paraId="0E2CF24E">
            <w:pPr>
              <w:spacing w:line="242" w:lineRule="auto"/>
              <w:rPr>
                <w:rFonts w:ascii="Arial"/>
                <w:sz w:val="21"/>
                <w:highlight w:val="none"/>
              </w:rPr>
            </w:pPr>
          </w:p>
          <w:p w14:paraId="3AE9C6A9">
            <w:pPr>
              <w:spacing w:line="242" w:lineRule="auto"/>
              <w:rPr>
                <w:rFonts w:ascii="Arial"/>
                <w:sz w:val="21"/>
                <w:highlight w:val="none"/>
              </w:rPr>
            </w:pPr>
          </w:p>
          <w:p w14:paraId="1C1F657B">
            <w:pPr>
              <w:spacing w:line="242" w:lineRule="auto"/>
              <w:rPr>
                <w:rFonts w:ascii="Arial"/>
                <w:sz w:val="21"/>
                <w:highlight w:val="none"/>
              </w:rPr>
            </w:pPr>
          </w:p>
          <w:p w14:paraId="792A1D48">
            <w:pPr>
              <w:spacing w:line="242" w:lineRule="auto"/>
              <w:rPr>
                <w:rFonts w:ascii="Arial"/>
                <w:sz w:val="21"/>
                <w:highlight w:val="none"/>
              </w:rPr>
            </w:pPr>
          </w:p>
          <w:p w14:paraId="12A02E1A">
            <w:pPr>
              <w:spacing w:line="242" w:lineRule="auto"/>
              <w:rPr>
                <w:rFonts w:ascii="Arial"/>
                <w:sz w:val="21"/>
                <w:highlight w:val="none"/>
              </w:rPr>
            </w:pPr>
          </w:p>
          <w:p w14:paraId="6EA819A8">
            <w:pPr>
              <w:spacing w:line="242" w:lineRule="auto"/>
              <w:rPr>
                <w:rFonts w:ascii="Arial"/>
                <w:sz w:val="21"/>
                <w:highlight w:val="none"/>
              </w:rPr>
            </w:pPr>
          </w:p>
          <w:p w14:paraId="66CC2D9D">
            <w:pPr>
              <w:pStyle w:val="24"/>
              <w:spacing w:before="78" w:line="341" w:lineRule="auto"/>
              <w:ind w:right="39"/>
              <w:rPr>
                <w:highlight w:val="none"/>
              </w:rPr>
            </w:pPr>
            <w:r>
              <w:rPr>
                <w:spacing w:val="-7"/>
                <w:highlight w:val="none"/>
              </w:rPr>
              <w:t>投标</w:t>
            </w:r>
            <w:r>
              <w:rPr>
                <w:spacing w:val="37"/>
                <w:w w:val="128"/>
                <w:highlight w:val="none"/>
              </w:rPr>
              <w:t>报价</w:t>
            </w:r>
            <w:r>
              <w:rPr>
                <w:highlight w:val="none"/>
              </w:rPr>
              <w:t xml:space="preserve"> </w:t>
            </w:r>
            <w:r>
              <w:rPr>
                <w:spacing w:val="-9"/>
                <w:highlight w:val="none"/>
              </w:rPr>
              <w:t>（30</w:t>
            </w:r>
            <w:r>
              <w:rPr>
                <w:spacing w:val="-48"/>
                <w:highlight w:val="none"/>
              </w:rPr>
              <w:t xml:space="preserve"> </w:t>
            </w:r>
            <w:r>
              <w:rPr>
                <w:spacing w:val="-9"/>
                <w:highlight w:val="none"/>
              </w:rPr>
              <w:t>分）</w:t>
            </w:r>
          </w:p>
        </w:tc>
        <w:tc>
          <w:tcPr>
            <w:tcW w:w="1134" w:type="dxa"/>
            <w:vAlign w:val="top"/>
          </w:tcPr>
          <w:p w14:paraId="787FF86F">
            <w:pPr>
              <w:rPr>
                <w:rFonts w:ascii="Arial"/>
                <w:sz w:val="21"/>
                <w:highlight w:val="none"/>
              </w:rPr>
            </w:pPr>
          </w:p>
          <w:p w14:paraId="7AD5EEF3">
            <w:pPr>
              <w:rPr>
                <w:rFonts w:ascii="Arial"/>
                <w:sz w:val="21"/>
                <w:highlight w:val="none"/>
              </w:rPr>
            </w:pPr>
          </w:p>
          <w:p w14:paraId="4491A919">
            <w:pPr>
              <w:rPr>
                <w:rFonts w:ascii="Arial"/>
                <w:sz w:val="21"/>
                <w:highlight w:val="none"/>
              </w:rPr>
            </w:pPr>
          </w:p>
          <w:p w14:paraId="56EB15AE">
            <w:pPr>
              <w:spacing w:line="241" w:lineRule="auto"/>
              <w:rPr>
                <w:rFonts w:ascii="Arial"/>
                <w:sz w:val="21"/>
                <w:highlight w:val="none"/>
              </w:rPr>
            </w:pPr>
          </w:p>
          <w:p w14:paraId="5708DF44">
            <w:pPr>
              <w:spacing w:line="241" w:lineRule="auto"/>
              <w:rPr>
                <w:rFonts w:ascii="Arial"/>
                <w:sz w:val="21"/>
                <w:highlight w:val="none"/>
              </w:rPr>
            </w:pPr>
          </w:p>
          <w:p w14:paraId="663E03C1">
            <w:pPr>
              <w:spacing w:line="241" w:lineRule="auto"/>
              <w:rPr>
                <w:rFonts w:ascii="Arial"/>
                <w:sz w:val="21"/>
                <w:highlight w:val="none"/>
              </w:rPr>
            </w:pPr>
          </w:p>
          <w:p w14:paraId="460BCFC9">
            <w:pPr>
              <w:spacing w:line="241" w:lineRule="auto"/>
              <w:rPr>
                <w:rFonts w:ascii="Arial"/>
                <w:sz w:val="21"/>
                <w:highlight w:val="none"/>
              </w:rPr>
            </w:pPr>
          </w:p>
          <w:p w14:paraId="1A108AC8">
            <w:pPr>
              <w:spacing w:line="241" w:lineRule="auto"/>
              <w:rPr>
                <w:rFonts w:ascii="Arial"/>
                <w:sz w:val="21"/>
                <w:highlight w:val="none"/>
              </w:rPr>
            </w:pPr>
          </w:p>
          <w:p w14:paraId="1C86A43A">
            <w:pPr>
              <w:spacing w:line="241" w:lineRule="auto"/>
              <w:rPr>
                <w:rFonts w:ascii="Arial"/>
                <w:sz w:val="21"/>
                <w:highlight w:val="none"/>
              </w:rPr>
            </w:pPr>
          </w:p>
          <w:p w14:paraId="7FA0C969">
            <w:pPr>
              <w:spacing w:line="241" w:lineRule="auto"/>
              <w:rPr>
                <w:rFonts w:ascii="Arial"/>
                <w:sz w:val="21"/>
                <w:highlight w:val="none"/>
              </w:rPr>
            </w:pPr>
          </w:p>
          <w:p w14:paraId="5917D55C">
            <w:pPr>
              <w:spacing w:line="241" w:lineRule="auto"/>
              <w:rPr>
                <w:rFonts w:ascii="Arial"/>
                <w:sz w:val="21"/>
                <w:highlight w:val="none"/>
              </w:rPr>
            </w:pPr>
          </w:p>
          <w:p w14:paraId="1F1B4F88">
            <w:pPr>
              <w:spacing w:line="241" w:lineRule="auto"/>
              <w:rPr>
                <w:rFonts w:ascii="Arial"/>
                <w:sz w:val="21"/>
                <w:highlight w:val="none"/>
              </w:rPr>
            </w:pPr>
          </w:p>
          <w:p w14:paraId="7385ACD4">
            <w:pPr>
              <w:spacing w:line="241" w:lineRule="auto"/>
              <w:rPr>
                <w:rFonts w:ascii="Arial"/>
                <w:sz w:val="21"/>
                <w:highlight w:val="none"/>
              </w:rPr>
            </w:pPr>
          </w:p>
          <w:p w14:paraId="0A97801F">
            <w:pPr>
              <w:spacing w:line="241" w:lineRule="auto"/>
              <w:rPr>
                <w:rFonts w:ascii="Arial"/>
                <w:sz w:val="21"/>
                <w:highlight w:val="none"/>
              </w:rPr>
            </w:pPr>
          </w:p>
          <w:p w14:paraId="04A17A25">
            <w:pPr>
              <w:spacing w:line="241" w:lineRule="auto"/>
              <w:rPr>
                <w:rFonts w:ascii="Arial"/>
                <w:sz w:val="21"/>
                <w:highlight w:val="none"/>
              </w:rPr>
            </w:pPr>
          </w:p>
          <w:p w14:paraId="2005B661">
            <w:pPr>
              <w:spacing w:line="241" w:lineRule="auto"/>
              <w:rPr>
                <w:rFonts w:ascii="Arial"/>
                <w:sz w:val="21"/>
                <w:highlight w:val="none"/>
              </w:rPr>
            </w:pPr>
          </w:p>
          <w:p w14:paraId="0C2BEA9D">
            <w:pPr>
              <w:spacing w:line="241" w:lineRule="auto"/>
              <w:rPr>
                <w:rFonts w:ascii="Arial"/>
                <w:sz w:val="21"/>
                <w:highlight w:val="none"/>
              </w:rPr>
            </w:pPr>
          </w:p>
          <w:p w14:paraId="0E2EB465">
            <w:pPr>
              <w:spacing w:line="241" w:lineRule="auto"/>
              <w:rPr>
                <w:rFonts w:ascii="Arial"/>
                <w:sz w:val="21"/>
                <w:highlight w:val="none"/>
              </w:rPr>
            </w:pPr>
          </w:p>
          <w:p w14:paraId="4BCD0793">
            <w:pPr>
              <w:spacing w:line="241" w:lineRule="auto"/>
              <w:rPr>
                <w:rFonts w:ascii="Arial"/>
                <w:sz w:val="21"/>
                <w:highlight w:val="none"/>
              </w:rPr>
            </w:pPr>
          </w:p>
          <w:p w14:paraId="36E73B0A">
            <w:pPr>
              <w:pStyle w:val="24"/>
              <w:spacing w:before="78" w:line="340" w:lineRule="auto"/>
              <w:ind w:left="449" w:right="209" w:hanging="238"/>
              <w:rPr>
                <w:highlight w:val="none"/>
              </w:rPr>
            </w:pPr>
            <w:r>
              <w:rPr>
                <w:spacing w:val="-5"/>
                <w:highlight w:val="none"/>
              </w:rPr>
              <w:t>投标报</w:t>
            </w:r>
            <w:r>
              <w:rPr>
                <w:highlight w:val="none"/>
              </w:rPr>
              <w:t>价</w:t>
            </w:r>
          </w:p>
        </w:tc>
        <w:tc>
          <w:tcPr>
            <w:tcW w:w="6118" w:type="dxa"/>
            <w:vAlign w:val="top"/>
          </w:tcPr>
          <w:p w14:paraId="481122AC">
            <w:pPr>
              <w:pStyle w:val="24"/>
              <w:spacing w:before="35" w:line="241" w:lineRule="auto"/>
              <w:ind w:left="117" w:right="103" w:firstLine="478"/>
              <w:rPr>
                <w:highlight w:val="none"/>
              </w:rPr>
            </w:pPr>
            <w:r>
              <w:rPr>
                <w:spacing w:val="-5"/>
                <w:highlight w:val="none"/>
              </w:rPr>
              <w:t>本项目投标价超出最高限价的，采购人不予接受，且</w:t>
            </w:r>
            <w:r>
              <w:rPr>
                <w:spacing w:val="-6"/>
                <w:highlight w:val="none"/>
              </w:rPr>
              <w:t>投标为无效标。</w:t>
            </w:r>
          </w:p>
          <w:p w14:paraId="6011B4C7">
            <w:pPr>
              <w:pStyle w:val="24"/>
              <w:spacing w:before="153"/>
              <w:ind w:left="115" w:right="61" w:firstLine="482"/>
              <w:jc w:val="both"/>
              <w:rPr>
                <w:highlight w:val="none"/>
              </w:rPr>
            </w:pPr>
            <w:r>
              <w:rPr>
                <w:spacing w:val="-5"/>
                <w:highlight w:val="none"/>
              </w:rPr>
              <w:t>投标报价得分：价格分采用低价优先法计算，即满足</w:t>
            </w:r>
            <w:r>
              <w:rPr>
                <w:spacing w:val="-3"/>
                <w:highlight w:val="none"/>
              </w:rPr>
              <w:t>招标文件要求且投标价格最低的投标报价为评标基准价，</w:t>
            </w:r>
            <w:r>
              <w:rPr>
                <w:spacing w:val="-2"/>
                <w:highlight w:val="none"/>
              </w:rPr>
              <w:t>得</w:t>
            </w:r>
            <w:r>
              <w:rPr>
                <w:spacing w:val="-21"/>
                <w:highlight w:val="none"/>
              </w:rPr>
              <w:t xml:space="preserve"> </w:t>
            </w:r>
            <w:r>
              <w:rPr>
                <w:spacing w:val="-2"/>
                <w:highlight w:val="none"/>
              </w:rPr>
              <w:t>30</w:t>
            </w:r>
            <w:r>
              <w:rPr>
                <w:spacing w:val="-36"/>
                <w:highlight w:val="none"/>
              </w:rPr>
              <w:t xml:space="preserve"> </w:t>
            </w:r>
            <w:r>
              <w:rPr>
                <w:spacing w:val="-2"/>
                <w:highlight w:val="none"/>
              </w:rPr>
              <w:t>分，其他供应商的价格分按照下列公式计算：报价</w:t>
            </w:r>
            <w:r>
              <w:rPr>
                <w:spacing w:val="-1"/>
                <w:highlight w:val="none"/>
              </w:rPr>
              <w:t>得分=（评标基准价/投标报价）×30×100%</w:t>
            </w:r>
          </w:p>
          <w:p w14:paraId="4BE81987">
            <w:pPr>
              <w:pStyle w:val="24"/>
              <w:spacing w:before="181" w:line="262" w:lineRule="auto"/>
              <w:ind w:left="113" w:firstLine="361"/>
              <w:jc w:val="both"/>
              <w:rPr>
                <w:highlight w:val="none"/>
              </w:rPr>
            </w:pPr>
            <w:r>
              <w:rPr>
                <w:b/>
                <w:bCs/>
                <w:spacing w:val="2"/>
                <w:highlight w:val="none"/>
              </w:rPr>
              <w:t>注：1.根据《政府采购促进中小企业发展管理办法》</w:t>
            </w:r>
            <w:r>
              <w:rPr>
                <w:spacing w:val="8"/>
                <w:highlight w:val="none"/>
              </w:rPr>
              <w:t xml:space="preserve"> </w:t>
            </w:r>
            <w:r>
              <w:rPr>
                <w:b/>
                <w:bCs/>
                <w:spacing w:val="-2"/>
                <w:highlight w:val="none"/>
              </w:rPr>
              <w:t>（财库﹝2020﹞46</w:t>
            </w:r>
            <w:r>
              <w:rPr>
                <w:spacing w:val="-2"/>
                <w:highlight w:val="none"/>
              </w:rPr>
              <w:t xml:space="preserve"> </w:t>
            </w:r>
            <w:r>
              <w:rPr>
                <w:b/>
                <w:bCs/>
                <w:spacing w:val="-2"/>
                <w:highlight w:val="none"/>
              </w:rPr>
              <w:t>号）及《三门峡市财政局关于进一步</w:t>
            </w:r>
            <w:r>
              <w:rPr>
                <w:b/>
                <w:bCs/>
                <w:spacing w:val="13"/>
                <w:highlight w:val="none"/>
              </w:rPr>
              <w:t>优化提升政府采购营商环境有关事项通知》（三财购</w:t>
            </w:r>
            <w:r>
              <w:rPr>
                <w:b/>
                <w:bCs/>
                <w:spacing w:val="-2"/>
                <w:highlight w:val="none"/>
              </w:rPr>
              <w:t>（2021）14</w:t>
            </w:r>
            <w:r>
              <w:rPr>
                <w:spacing w:val="-2"/>
                <w:highlight w:val="none"/>
              </w:rPr>
              <w:t xml:space="preserve"> </w:t>
            </w:r>
            <w:r>
              <w:rPr>
                <w:b/>
                <w:bCs/>
                <w:spacing w:val="-2"/>
                <w:highlight w:val="none"/>
              </w:rPr>
              <w:t>号）及《三门峡市财政局关于进一步加大政</w:t>
            </w:r>
            <w:r>
              <w:rPr>
                <w:b/>
                <w:bCs/>
                <w:spacing w:val="13"/>
                <w:highlight w:val="none"/>
              </w:rPr>
              <w:t>府采购支持中小企业发展有关事项的通知》（三财购</w:t>
            </w:r>
            <w:r>
              <w:rPr>
                <w:b/>
                <w:bCs/>
                <w:spacing w:val="-5"/>
                <w:highlight w:val="none"/>
              </w:rPr>
              <w:t>（</w:t>
            </w:r>
            <w:r>
              <w:rPr>
                <w:rFonts w:hint="eastAsia"/>
                <w:b/>
                <w:bCs/>
                <w:spacing w:val="-5"/>
                <w:highlight w:val="none"/>
                <w:lang w:eastAsia="zh-CN"/>
              </w:rPr>
              <w:t xml:space="preserve"> 2023</w:t>
            </w:r>
            <w:r>
              <w:rPr>
                <w:b/>
                <w:bCs/>
                <w:spacing w:val="-5"/>
                <w:highlight w:val="none"/>
              </w:rPr>
              <w:t>）9</w:t>
            </w:r>
            <w:r>
              <w:rPr>
                <w:spacing w:val="-41"/>
                <w:highlight w:val="none"/>
              </w:rPr>
              <w:t xml:space="preserve"> </w:t>
            </w:r>
            <w:r>
              <w:rPr>
                <w:b/>
                <w:bCs/>
                <w:spacing w:val="-5"/>
                <w:highlight w:val="none"/>
              </w:rPr>
              <w:t>号）的规定，对小型、微型企业产品的价格给予</w:t>
            </w:r>
            <w:r>
              <w:rPr>
                <w:spacing w:val="-24"/>
                <w:highlight w:val="none"/>
              </w:rPr>
              <w:t xml:space="preserve"> </w:t>
            </w:r>
            <w:r>
              <w:rPr>
                <w:b/>
                <w:bCs/>
                <w:spacing w:val="-5"/>
                <w:highlight w:val="none"/>
              </w:rPr>
              <w:t>10%～20%的扣除，本项目小型、微型企业按</w:t>
            </w:r>
            <w:r>
              <w:rPr>
                <w:spacing w:val="-44"/>
                <w:highlight w:val="none"/>
              </w:rPr>
              <w:t xml:space="preserve"> </w:t>
            </w:r>
            <w:r>
              <w:rPr>
                <w:b/>
                <w:bCs/>
                <w:spacing w:val="-5"/>
                <w:highlight w:val="none"/>
              </w:rPr>
              <w:t>20%扣除。</w:t>
            </w:r>
            <w:r>
              <w:rPr>
                <w:b/>
                <w:bCs/>
                <w:spacing w:val="-4"/>
                <w:highlight w:val="none"/>
              </w:rPr>
              <w:t>对于中型企业产品的价格不予扣除。</w:t>
            </w:r>
          </w:p>
          <w:p w14:paraId="7EF23E4F">
            <w:pPr>
              <w:pStyle w:val="24"/>
              <w:spacing w:before="154" w:line="218" w:lineRule="auto"/>
              <w:ind w:left="481"/>
              <w:rPr>
                <w:highlight w:val="none"/>
              </w:rPr>
            </w:pPr>
            <w:r>
              <w:rPr>
                <w:b/>
                <w:bCs/>
                <w:spacing w:val="-3"/>
                <w:highlight w:val="none"/>
              </w:rPr>
              <w:t>小型、微型企业使用扣除后价格参与评审。</w:t>
            </w:r>
          </w:p>
          <w:p w14:paraId="5FE058B0">
            <w:pPr>
              <w:pStyle w:val="24"/>
              <w:spacing w:before="26"/>
              <w:ind w:left="120" w:right="103" w:firstLine="234"/>
              <w:rPr>
                <w:highlight w:val="none"/>
              </w:rPr>
            </w:pPr>
            <w:r>
              <w:rPr>
                <w:b/>
                <w:bCs/>
                <w:spacing w:val="20"/>
                <w:highlight w:val="none"/>
              </w:rPr>
              <w:t>所投小微企业产品报价=所投小微企业产品报</w:t>
            </w:r>
            <w:r>
              <w:rPr>
                <w:b/>
                <w:bCs/>
                <w:spacing w:val="19"/>
                <w:highlight w:val="none"/>
              </w:rPr>
              <w:t>价×</w:t>
            </w:r>
            <w:r>
              <w:rPr>
                <w:highlight w:val="none"/>
              </w:rPr>
              <w:t xml:space="preserve"> </w:t>
            </w:r>
            <w:r>
              <w:rPr>
                <w:b/>
                <w:bCs/>
                <w:spacing w:val="-5"/>
                <w:highlight w:val="none"/>
              </w:rPr>
              <w:t>（1-20%）</w:t>
            </w:r>
          </w:p>
          <w:p w14:paraId="5D64BF3B">
            <w:pPr>
              <w:pStyle w:val="24"/>
              <w:ind w:left="115" w:right="101" w:firstLine="364"/>
              <w:jc w:val="both"/>
              <w:rPr>
                <w:highlight w:val="none"/>
              </w:rPr>
            </w:pPr>
            <w:r>
              <w:rPr>
                <w:b/>
                <w:bCs/>
                <w:spacing w:val="-3"/>
                <w:highlight w:val="none"/>
              </w:rPr>
              <w:t>2.根据财政部司法部《关于政府采购支持监狱企业发</w:t>
            </w:r>
            <w:r>
              <w:rPr>
                <w:b/>
                <w:bCs/>
                <w:spacing w:val="-9"/>
                <w:highlight w:val="none"/>
              </w:rPr>
              <w:t>展有关问题的通知》（财库〔2014〕68</w:t>
            </w:r>
            <w:r>
              <w:rPr>
                <w:spacing w:val="-44"/>
                <w:highlight w:val="none"/>
              </w:rPr>
              <w:t xml:space="preserve"> </w:t>
            </w:r>
            <w:r>
              <w:rPr>
                <w:b/>
                <w:bCs/>
                <w:spacing w:val="-9"/>
                <w:highlight w:val="none"/>
              </w:rPr>
              <w:t>号）规定，对于监</w:t>
            </w:r>
            <w:r>
              <w:rPr>
                <w:b/>
                <w:bCs/>
                <w:spacing w:val="-3"/>
                <w:highlight w:val="none"/>
              </w:rPr>
              <w:t>狱企业视同为小型、微型企业，价格给予</w:t>
            </w:r>
            <w:r>
              <w:rPr>
                <w:spacing w:val="-37"/>
                <w:highlight w:val="none"/>
              </w:rPr>
              <w:t xml:space="preserve"> </w:t>
            </w:r>
            <w:r>
              <w:rPr>
                <w:b/>
                <w:bCs/>
                <w:spacing w:val="-3"/>
                <w:highlight w:val="none"/>
              </w:rPr>
              <w:t>20%的扣除。</w:t>
            </w:r>
          </w:p>
          <w:p w14:paraId="39E85DFC">
            <w:pPr>
              <w:pStyle w:val="24"/>
              <w:spacing w:before="2" w:line="239" w:lineRule="auto"/>
              <w:ind w:left="120" w:right="107" w:firstLine="354"/>
              <w:rPr>
                <w:highlight w:val="none"/>
              </w:rPr>
            </w:pPr>
            <w:r>
              <w:rPr>
                <w:b/>
                <w:bCs/>
                <w:spacing w:val="14"/>
                <w:highlight w:val="none"/>
              </w:rPr>
              <w:t>所投监狱企业产品报价=所投监狱企业产品报价×</w:t>
            </w:r>
            <w:r>
              <w:rPr>
                <w:spacing w:val="5"/>
                <w:highlight w:val="none"/>
              </w:rPr>
              <w:t xml:space="preserve"> </w:t>
            </w:r>
            <w:r>
              <w:rPr>
                <w:b/>
                <w:bCs/>
                <w:spacing w:val="-5"/>
                <w:highlight w:val="none"/>
              </w:rPr>
              <w:t>（1-20%）</w:t>
            </w:r>
          </w:p>
          <w:p w14:paraId="7D381C34">
            <w:pPr>
              <w:pStyle w:val="24"/>
              <w:ind w:left="113" w:right="103" w:firstLine="366"/>
              <w:jc w:val="both"/>
              <w:rPr>
                <w:highlight w:val="none"/>
              </w:rPr>
            </w:pPr>
            <w:r>
              <w:rPr>
                <w:b/>
                <w:bCs/>
                <w:spacing w:val="-3"/>
                <w:highlight w:val="none"/>
              </w:rPr>
              <w:t>3.根据财政部民政部中国残疾人联合会《关于促进残</w:t>
            </w:r>
            <w:r>
              <w:rPr>
                <w:b/>
                <w:bCs/>
                <w:spacing w:val="-7"/>
                <w:highlight w:val="none"/>
              </w:rPr>
              <w:t>疾人就业政府采购政策的通知》（财库〔2017〕141</w:t>
            </w:r>
            <w:r>
              <w:rPr>
                <w:spacing w:val="-7"/>
                <w:highlight w:val="none"/>
              </w:rPr>
              <w:t xml:space="preserve"> </w:t>
            </w:r>
            <w:r>
              <w:rPr>
                <w:b/>
                <w:bCs/>
                <w:spacing w:val="-7"/>
                <w:highlight w:val="none"/>
              </w:rPr>
              <w:t>号）规定，对于残疾人福利性单位视同为小型、微型企业，价</w:t>
            </w:r>
            <w:r>
              <w:rPr>
                <w:b/>
                <w:bCs/>
                <w:spacing w:val="-6"/>
                <w:highlight w:val="none"/>
              </w:rPr>
              <w:t>格给予</w:t>
            </w:r>
            <w:r>
              <w:rPr>
                <w:spacing w:val="-44"/>
                <w:highlight w:val="none"/>
              </w:rPr>
              <w:t xml:space="preserve"> </w:t>
            </w:r>
            <w:r>
              <w:rPr>
                <w:b/>
                <w:bCs/>
                <w:spacing w:val="-6"/>
                <w:highlight w:val="none"/>
              </w:rPr>
              <w:t>20%的扣除。</w:t>
            </w:r>
          </w:p>
          <w:p w14:paraId="3E4D7677">
            <w:pPr>
              <w:pStyle w:val="24"/>
              <w:spacing w:before="3" w:line="239" w:lineRule="auto"/>
              <w:ind w:left="115" w:right="104" w:firstLine="359"/>
              <w:rPr>
                <w:highlight w:val="none"/>
              </w:rPr>
            </w:pPr>
            <w:r>
              <w:rPr>
                <w:b/>
                <w:bCs/>
                <w:spacing w:val="3"/>
                <w:highlight w:val="none"/>
              </w:rPr>
              <w:t>所投残疾人福利性单位企业产品报价=所投残疾人福</w:t>
            </w:r>
            <w:r>
              <w:rPr>
                <w:b/>
                <w:bCs/>
                <w:spacing w:val="-3"/>
                <w:highlight w:val="none"/>
              </w:rPr>
              <w:t>利性单位企业产品报价×（1-20%）</w:t>
            </w:r>
          </w:p>
          <w:p w14:paraId="178B34AE">
            <w:pPr>
              <w:pStyle w:val="24"/>
              <w:spacing w:before="2" w:line="228" w:lineRule="auto"/>
              <w:ind w:left="115" w:right="102" w:firstLine="505"/>
              <w:jc w:val="both"/>
              <w:rPr>
                <w:highlight w:val="none"/>
              </w:rPr>
            </w:pPr>
            <w:r>
              <w:rPr>
                <w:b/>
                <w:bCs/>
                <w:spacing w:val="-9"/>
                <w:highlight w:val="none"/>
              </w:rPr>
              <w:t>同一供应商，中小微企业产品、监狱企业产品、残疾</w:t>
            </w:r>
            <w:r>
              <w:rPr>
                <w:b/>
                <w:bCs/>
                <w:spacing w:val="-7"/>
                <w:highlight w:val="none"/>
              </w:rPr>
              <w:t>人福利性单位产品的价格扣除优惠只享受一次，不得重复</w:t>
            </w:r>
            <w:r>
              <w:rPr>
                <w:b/>
                <w:bCs/>
                <w:spacing w:val="-12"/>
                <w:highlight w:val="none"/>
              </w:rPr>
              <w:t>享受。</w:t>
            </w:r>
          </w:p>
        </w:tc>
        <w:tc>
          <w:tcPr>
            <w:tcW w:w="842" w:type="dxa"/>
            <w:vAlign w:val="top"/>
          </w:tcPr>
          <w:p w14:paraId="5B036107">
            <w:pPr>
              <w:spacing w:line="250" w:lineRule="auto"/>
              <w:rPr>
                <w:rFonts w:ascii="Arial"/>
                <w:sz w:val="21"/>
                <w:highlight w:val="none"/>
              </w:rPr>
            </w:pPr>
          </w:p>
          <w:p w14:paraId="7E4AA0B1">
            <w:pPr>
              <w:spacing w:line="250" w:lineRule="auto"/>
              <w:rPr>
                <w:rFonts w:ascii="Arial"/>
                <w:sz w:val="21"/>
                <w:highlight w:val="none"/>
              </w:rPr>
            </w:pPr>
          </w:p>
          <w:p w14:paraId="1F50D863">
            <w:pPr>
              <w:spacing w:line="250" w:lineRule="auto"/>
              <w:rPr>
                <w:rFonts w:ascii="Arial"/>
                <w:sz w:val="21"/>
                <w:highlight w:val="none"/>
              </w:rPr>
            </w:pPr>
          </w:p>
          <w:p w14:paraId="0C95EF34">
            <w:pPr>
              <w:spacing w:line="250" w:lineRule="auto"/>
              <w:rPr>
                <w:rFonts w:ascii="Arial"/>
                <w:sz w:val="21"/>
                <w:highlight w:val="none"/>
              </w:rPr>
            </w:pPr>
          </w:p>
          <w:p w14:paraId="1A934088">
            <w:pPr>
              <w:spacing w:line="250" w:lineRule="auto"/>
              <w:rPr>
                <w:rFonts w:ascii="Arial"/>
                <w:sz w:val="21"/>
                <w:highlight w:val="none"/>
              </w:rPr>
            </w:pPr>
          </w:p>
          <w:p w14:paraId="059BF1E7">
            <w:pPr>
              <w:spacing w:line="250" w:lineRule="auto"/>
              <w:rPr>
                <w:rFonts w:ascii="Arial"/>
                <w:sz w:val="21"/>
                <w:highlight w:val="none"/>
              </w:rPr>
            </w:pPr>
          </w:p>
          <w:p w14:paraId="15D29BE8">
            <w:pPr>
              <w:spacing w:line="251" w:lineRule="auto"/>
              <w:rPr>
                <w:rFonts w:ascii="Arial"/>
                <w:sz w:val="21"/>
                <w:highlight w:val="none"/>
              </w:rPr>
            </w:pPr>
          </w:p>
          <w:p w14:paraId="5A0F2384">
            <w:pPr>
              <w:spacing w:line="251" w:lineRule="auto"/>
              <w:rPr>
                <w:rFonts w:ascii="Arial"/>
                <w:sz w:val="21"/>
                <w:highlight w:val="none"/>
              </w:rPr>
            </w:pPr>
          </w:p>
          <w:p w14:paraId="201E104A">
            <w:pPr>
              <w:spacing w:line="251" w:lineRule="auto"/>
              <w:rPr>
                <w:rFonts w:ascii="Arial"/>
                <w:sz w:val="21"/>
                <w:highlight w:val="none"/>
              </w:rPr>
            </w:pPr>
          </w:p>
          <w:p w14:paraId="36703133">
            <w:pPr>
              <w:spacing w:line="251" w:lineRule="auto"/>
              <w:rPr>
                <w:rFonts w:ascii="Arial"/>
                <w:sz w:val="21"/>
                <w:highlight w:val="none"/>
              </w:rPr>
            </w:pPr>
          </w:p>
          <w:p w14:paraId="42FAB226">
            <w:pPr>
              <w:spacing w:line="251" w:lineRule="auto"/>
              <w:rPr>
                <w:rFonts w:ascii="Arial"/>
                <w:sz w:val="21"/>
                <w:highlight w:val="none"/>
              </w:rPr>
            </w:pPr>
          </w:p>
          <w:p w14:paraId="042DC847">
            <w:pPr>
              <w:spacing w:line="251" w:lineRule="auto"/>
              <w:rPr>
                <w:rFonts w:ascii="Arial"/>
                <w:sz w:val="21"/>
                <w:highlight w:val="none"/>
              </w:rPr>
            </w:pPr>
          </w:p>
          <w:p w14:paraId="573C089D">
            <w:pPr>
              <w:spacing w:line="251" w:lineRule="auto"/>
              <w:rPr>
                <w:rFonts w:ascii="Arial"/>
                <w:sz w:val="21"/>
                <w:highlight w:val="none"/>
              </w:rPr>
            </w:pPr>
          </w:p>
          <w:p w14:paraId="0FA6D270">
            <w:pPr>
              <w:spacing w:line="251" w:lineRule="auto"/>
              <w:rPr>
                <w:rFonts w:ascii="Arial"/>
                <w:sz w:val="21"/>
                <w:highlight w:val="none"/>
              </w:rPr>
            </w:pPr>
          </w:p>
          <w:p w14:paraId="6221429F">
            <w:pPr>
              <w:spacing w:line="251" w:lineRule="auto"/>
              <w:rPr>
                <w:rFonts w:ascii="Arial"/>
                <w:sz w:val="21"/>
                <w:highlight w:val="none"/>
              </w:rPr>
            </w:pPr>
          </w:p>
          <w:p w14:paraId="6C57C9A9">
            <w:pPr>
              <w:spacing w:line="251" w:lineRule="auto"/>
              <w:rPr>
                <w:rFonts w:ascii="Arial"/>
                <w:sz w:val="21"/>
                <w:highlight w:val="none"/>
              </w:rPr>
            </w:pPr>
          </w:p>
          <w:p w14:paraId="4C55524D">
            <w:pPr>
              <w:spacing w:line="251" w:lineRule="auto"/>
              <w:rPr>
                <w:rFonts w:ascii="Arial"/>
                <w:sz w:val="21"/>
                <w:highlight w:val="none"/>
              </w:rPr>
            </w:pPr>
          </w:p>
          <w:p w14:paraId="2352A714">
            <w:pPr>
              <w:spacing w:line="251" w:lineRule="auto"/>
              <w:rPr>
                <w:rFonts w:ascii="Arial"/>
                <w:sz w:val="21"/>
                <w:highlight w:val="none"/>
              </w:rPr>
            </w:pPr>
          </w:p>
          <w:p w14:paraId="190424B1">
            <w:pPr>
              <w:spacing w:line="251" w:lineRule="auto"/>
              <w:rPr>
                <w:rFonts w:ascii="Arial"/>
                <w:sz w:val="21"/>
                <w:highlight w:val="none"/>
              </w:rPr>
            </w:pPr>
          </w:p>
          <w:p w14:paraId="7CC880FC">
            <w:pPr>
              <w:spacing w:line="251" w:lineRule="auto"/>
              <w:rPr>
                <w:rFonts w:ascii="Arial"/>
                <w:sz w:val="21"/>
                <w:highlight w:val="none"/>
              </w:rPr>
            </w:pPr>
          </w:p>
          <w:p w14:paraId="25F76E1D">
            <w:pPr>
              <w:pStyle w:val="24"/>
              <w:spacing w:before="78" w:line="220" w:lineRule="auto"/>
              <w:ind w:left="163"/>
              <w:rPr>
                <w:highlight w:val="none"/>
              </w:rPr>
            </w:pPr>
            <w:r>
              <w:rPr>
                <w:spacing w:val="-5"/>
                <w:highlight w:val="none"/>
              </w:rPr>
              <w:t>30</w:t>
            </w:r>
            <w:r>
              <w:rPr>
                <w:spacing w:val="-48"/>
                <w:highlight w:val="none"/>
              </w:rPr>
              <w:t xml:space="preserve"> </w:t>
            </w:r>
            <w:r>
              <w:rPr>
                <w:spacing w:val="-5"/>
                <w:highlight w:val="none"/>
              </w:rPr>
              <w:t>分</w:t>
            </w:r>
          </w:p>
        </w:tc>
      </w:tr>
      <w:tr w14:paraId="774C3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1156" w:type="dxa"/>
            <w:vAlign w:val="top"/>
          </w:tcPr>
          <w:p w14:paraId="23101C44">
            <w:pPr>
              <w:pStyle w:val="24"/>
              <w:spacing w:before="152" w:line="299" w:lineRule="auto"/>
              <w:ind w:right="217"/>
              <w:jc w:val="both"/>
              <w:rPr>
                <w:rFonts w:hint="eastAsia" w:eastAsia="宋体"/>
                <w:highlight w:val="none"/>
                <w:lang w:eastAsia="zh-CN"/>
              </w:rPr>
            </w:pPr>
            <w:r>
              <w:rPr>
                <w:spacing w:val="-4"/>
                <w:highlight w:val="none"/>
              </w:rPr>
              <w:t>技术</w:t>
            </w:r>
            <w:r>
              <w:rPr>
                <w:rFonts w:hint="eastAsia"/>
                <w:spacing w:val="-4"/>
                <w:highlight w:val="none"/>
                <w:lang w:val="en-US" w:eastAsia="zh-CN"/>
              </w:rPr>
              <w:t>部分（20分）</w:t>
            </w:r>
          </w:p>
        </w:tc>
        <w:tc>
          <w:tcPr>
            <w:tcW w:w="1134" w:type="dxa"/>
            <w:vAlign w:val="top"/>
          </w:tcPr>
          <w:p w14:paraId="2EDF20D2">
            <w:pPr>
              <w:pStyle w:val="24"/>
              <w:spacing w:before="151" w:line="220" w:lineRule="auto"/>
              <w:rPr>
                <w:spacing w:val="-3"/>
                <w:highlight w:val="none"/>
              </w:rPr>
            </w:pPr>
          </w:p>
          <w:p w14:paraId="0EB9CE92">
            <w:pPr>
              <w:pStyle w:val="24"/>
              <w:spacing w:before="151" w:line="220" w:lineRule="auto"/>
              <w:rPr>
                <w:highlight w:val="none"/>
              </w:rPr>
            </w:pPr>
            <w:r>
              <w:rPr>
                <w:spacing w:val="-3"/>
                <w:highlight w:val="none"/>
              </w:rPr>
              <w:t>技术指</w:t>
            </w:r>
            <w:r>
              <w:rPr>
                <w:spacing w:val="-4"/>
                <w:highlight w:val="none"/>
              </w:rPr>
              <w:t>标响应</w:t>
            </w:r>
            <w:r>
              <w:rPr>
                <w:spacing w:val="-3"/>
                <w:highlight w:val="none"/>
              </w:rPr>
              <w:t>情况</w:t>
            </w:r>
          </w:p>
        </w:tc>
        <w:tc>
          <w:tcPr>
            <w:tcW w:w="6118" w:type="dxa"/>
            <w:vAlign w:val="top"/>
          </w:tcPr>
          <w:p w14:paraId="766E1C6A">
            <w:pPr>
              <w:pStyle w:val="24"/>
              <w:spacing w:before="76" w:line="239" w:lineRule="auto"/>
              <w:ind w:right="100"/>
              <w:rPr>
                <w:rFonts w:hint="eastAsia"/>
                <w:highlight w:val="none"/>
              </w:rPr>
            </w:pPr>
          </w:p>
          <w:p w14:paraId="53E9CC35">
            <w:pPr>
              <w:pStyle w:val="24"/>
              <w:spacing w:before="76" w:line="239" w:lineRule="auto"/>
              <w:ind w:right="100"/>
              <w:rPr>
                <w:highlight w:val="none"/>
              </w:rPr>
            </w:pPr>
            <w:r>
              <w:rPr>
                <w:rFonts w:hint="eastAsia"/>
                <w:highlight w:val="none"/>
              </w:rPr>
              <w:t>投标供应商所投货物的技术参数能够全部满足招标文件要求得的,得 20 分；每有一项不满足的扣1分，扣完为止。</w:t>
            </w:r>
          </w:p>
        </w:tc>
        <w:tc>
          <w:tcPr>
            <w:tcW w:w="842" w:type="dxa"/>
            <w:vAlign w:val="top"/>
          </w:tcPr>
          <w:p w14:paraId="763F86F7">
            <w:pPr>
              <w:spacing w:line="294" w:lineRule="auto"/>
              <w:rPr>
                <w:rFonts w:ascii="Arial"/>
                <w:sz w:val="21"/>
                <w:highlight w:val="none"/>
              </w:rPr>
            </w:pPr>
          </w:p>
          <w:p w14:paraId="2C79DB37">
            <w:pPr>
              <w:spacing w:line="295" w:lineRule="auto"/>
              <w:rPr>
                <w:rFonts w:ascii="Arial"/>
                <w:sz w:val="21"/>
                <w:highlight w:val="none"/>
              </w:rPr>
            </w:pPr>
          </w:p>
          <w:p w14:paraId="1C77CA5C">
            <w:pPr>
              <w:pStyle w:val="24"/>
              <w:spacing w:before="78" w:line="220" w:lineRule="auto"/>
              <w:ind w:left="163"/>
              <w:rPr>
                <w:highlight w:val="none"/>
              </w:rPr>
            </w:pPr>
            <w:r>
              <w:rPr>
                <w:rFonts w:hint="eastAsia"/>
                <w:spacing w:val="-5"/>
                <w:highlight w:val="none"/>
                <w:lang w:val="en-US" w:eastAsia="zh-CN"/>
              </w:rPr>
              <w:t>2</w:t>
            </w:r>
            <w:r>
              <w:rPr>
                <w:spacing w:val="-5"/>
                <w:highlight w:val="none"/>
              </w:rPr>
              <w:t>0</w:t>
            </w:r>
            <w:r>
              <w:rPr>
                <w:spacing w:val="-48"/>
                <w:highlight w:val="none"/>
              </w:rPr>
              <w:t xml:space="preserve"> </w:t>
            </w:r>
            <w:r>
              <w:rPr>
                <w:spacing w:val="-5"/>
                <w:highlight w:val="none"/>
              </w:rPr>
              <w:t>分</w:t>
            </w:r>
          </w:p>
        </w:tc>
      </w:tr>
    </w:tbl>
    <w:p w14:paraId="079F8A6D">
      <w:pPr>
        <w:rPr>
          <w:rFonts w:ascii="Arial"/>
          <w:sz w:val="21"/>
          <w:highlight w:val="none"/>
        </w:rPr>
      </w:pPr>
    </w:p>
    <w:p w14:paraId="2CC798EB">
      <w:pPr>
        <w:spacing w:line="91" w:lineRule="auto"/>
        <w:rPr>
          <w:rFonts w:ascii="Arial"/>
          <w:sz w:val="2"/>
          <w:highlight w:val="none"/>
        </w:rPr>
      </w:pPr>
    </w:p>
    <w:tbl>
      <w:tblPr>
        <w:tblStyle w:val="23"/>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134"/>
        <w:gridCol w:w="26"/>
        <w:gridCol w:w="6092"/>
        <w:gridCol w:w="842"/>
      </w:tblGrid>
      <w:tr w14:paraId="0A743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156" w:type="dxa"/>
            <w:vMerge w:val="restart"/>
            <w:tcBorders>
              <w:left w:val="single" w:color="auto" w:sz="4" w:space="0"/>
              <w:bottom w:val="nil"/>
            </w:tcBorders>
            <w:vAlign w:val="top"/>
          </w:tcPr>
          <w:p w14:paraId="5A79738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B76D38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878FAF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38D936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C201D4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9CC171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9E31C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CCD989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4EA04C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B5774A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CC3A0AB">
            <w:pPr>
              <w:pStyle w:val="24"/>
              <w:keepNext w:val="0"/>
              <w:keepLines w:val="0"/>
              <w:pageBreakBefore w:val="0"/>
              <w:widowControl/>
              <w:kinsoku w:val="0"/>
              <w:wordWrap/>
              <w:overflowPunct/>
              <w:topLinePunct w:val="0"/>
              <w:autoSpaceDE w:val="0"/>
              <w:autoSpaceDN w:val="0"/>
              <w:bidi w:val="0"/>
              <w:adjustRightInd w:val="0"/>
              <w:snapToGrid w:val="0"/>
              <w:spacing w:before="79" w:line="300" w:lineRule="exact"/>
              <w:ind w:left="225" w:right="217"/>
              <w:jc w:val="both"/>
              <w:textAlignment w:val="baseline"/>
              <w:rPr>
                <w:sz w:val="24"/>
                <w:szCs w:val="24"/>
                <w:highlight w:val="none"/>
              </w:rPr>
            </w:pPr>
            <w:r>
              <w:rPr>
                <w:spacing w:val="-5"/>
                <w:sz w:val="24"/>
                <w:szCs w:val="24"/>
                <w:highlight w:val="none"/>
              </w:rPr>
              <w:t>综合部</w:t>
            </w:r>
            <w:r>
              <w:rPr>
                <w:spacing w:val="-4"/>
                <w:sz w:val="24"/>
                <w:szCs w:val="24"/>
                <w:highlight w:val="none"/>
              </w:rPr>
              <w:t>分（</w:t>
            </w:r>
            <w:r>
              <w:rPr>
                <w:rFonts w:hint="eastAsia"/>
                <w:spacing w:val="-4"/>
                <w:sz w:val="24"/>
                <w:szCs w:val="24"/>
                <w:highlight w:val="none"/>
                <w:lang w:val="en-US" w:eastAsia="zh-CN"/>
              </w:rPr>
              <w:t>50</w:t>
            </w:r>
            <w:r>
              <w:rPr>
                <w:spacing w:val="45"/>
                <w:sz w:val="24"/>
                <w:szCs w:val="24"/>
                <w:highlight w:val="none"/>
              </w:rPr>
              <w:t>分）</w:t>
            </w:r>
          </w:p>
        </w:tc>
        <w:tc>
          <w:tcPr>
            <w:tcW w:w="1160" w:type="dxa"/>
            <w:gridSpan w:val="2"/>
            <w:vAlign w:val="top"/>
          </w:tcPr>
          <w:p w14:paraId="3867BC7E">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pacing w:val="-5"/>
                <w:sz w:val="24"/>
                <w:szCs w:val="24"/>
                <w:highlight w:val="none"/>
              </w:rPr>
            </w:pPr>
          </w:p>
          <w:p w14:paraId="7E11EC3B">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z w:val="24"/>
                <w:szCs w:val="24"/>
                <w:highlight w:val="none"/>
              </w:rPr>
            </w:pPr>
            <w:r>
              <w:rPr>
                <w:spacing w:val="-5"/>
                <w:sz w:val="24"/>
                <w:szCs w:val="24"/>
                <w:highlight w:val="none"/>
              </w:rPr>
              <w:t>企业业</w:t>
            </w:r>
            <w:r>
              <w:rPr>
                <w:sz w:val="24"/>
                <w:szCs w:val="24"/>
                <w:highlight w:val="none"/>
              </w:rPr>
              <w:t>绩</w:t>
            </w:r>
          </w:p>
        </w:tc>
        <w:tc>
          <w:tcPr>
            <w:tcW w:w="6092" w:type="dxa"/>
            <w:vAlign w:val="top"/>
          </w:tcPr>
          <w:p w14:paraId="70FFD2BC">
            <w:pPr>
              <w:pStyle w:val="24"/>
              <w:keepNext w:val="0"/>
              <w:keepLines w:val="0"/>
              <w:pageBreakBefore w:val="0"/>
              <w:widowControl/>
              <w:kinsoku w:val="0"/>
              <w:wordWrap/>
              <w:overflowPunct/>
              <w:topLinePunct w:val="0"/>
              <w:autoSpaceDE w:val="0"/>
              <w:autoSpaceDN w:val="0"/>
              <w:bidi w:val="0"/>
              <w:adjustRightInd w:val="0"/>
              <w:snapToGrid w:val="0"/>
              <w:spacing w:before="118" w:line="300" w:lineRule="exact"/>
              <w:ind w:left="116" w:right="100"/>
              <w:jc w:val="both"/>
              <w:textAlignment w:val="baseline"/>
              <w:rPr>
                <w:sz w:val="24"/>
                <w:szCs w:val="24"/>
                <w:highlight w:val="none"/>
              </w:rPr>
            </w:pPr>
            <w:r>
              <w:rPr>
                <w:spacing w:val="-6"/>
                <w:sz w:val="24"/>
                <w:szCs w:val="24"/>
                <w:highlight w:val="none"/>
              </w:rPr>
              <w:t>生产厂家或供应商自</w:t>
            </w:r>
            <w:r>
              <w:rPr>
                <w:spacing w:val="-43"/>
                <w:sz w:val="24"/>
                <w:szCs w:val="24"/>
                <w:highlight w:val="none"/>
              </w:rPr>
              <w:t xml:space="preserve"> </w:t>
            </w:r>
            <w:r>
              <w:rPr>
                <w:rFonts w:hint="eastAsia"/>
                <w:spacing w:val="-6"/>
                <w:sz w:val="24"/>
                <w:szCs w:val="24"/>
                <w:highlight w:val="none"/>
                <w:lang w:eastAsia="zh-CN"/>
              </w:rPr>
              <w:t xml:space="preserve"> 2023</w:t>
            </w:r>
            <w:r>
              <w:rPr>
                <w:spacing w:val="-44"/>
                <w:sz w:val="24"/>
                <w:szCs w:val="24"/>
                <w:highlight w:val="none"/>
              </w:rPr>
              <w:t xml:space="preserve"> </w:t>
            </w:r>
            <w:r>
              <w:rPr>
                <w:spacing w:val="-6"/>
                <w:sz w:val="24"/>
                <w:szCs w:val="24"/>
                <w:highlight w:val="none"/>
              </w:rPr>
              <w:t>年</w:t>
            </w:r>
            <w:r>
              <w:rPr>
                <w:spacing w:val="-28"/>
                <w:sz w:val="24"/>
                <w:szCs w:val="24"/>
                <w:highlight w:val="none"/>
              </w:rPr>
              <w:t xml:space="preserve"> </w:t>
            </w:r>
            <w:r>
              <w:rPr>
                <w:spacing w:val="-6"/>
                <w:sz w:val="24"/>
                <w:szCs w:val="24"/>
                <w:highlight w:val="none"/>
              </w:rPr>
              <w:t>1</w:t>
            </w:r>
            <w:r>
              <w:rPr>
                <w:spacing w:val="-40"/>
                <w:sz w:val="24"/>
                <w:szCs w:val="24"/>
                <w:highlight w:val="none"/>
              </w:rPr>
              <w:t xml:space="preserve"> </w:t>
            </w:r>
            <w:r>
              <w:rPr>
                <w:spacing w:val="-6"/>
                <w:sz w:val="24"/>
                <w:szCs w:val="24"/>
                <w:highlight w:val="none"/>
              </w:rPr>
              <w:t>月</w:t>
            </w:r>
            <w:r>
              <w:rPr>
                <w:spacing w:val="-28"/>
                <w:sz w:val="24"/>
                <w:szCs w:val="24"/>
                <w:highlight w:val="none"/>
              </w:rPr>
              <w:t xml:space="preserve"> </w:t>
            </w:r>
            <w:r>
              <w:rPr>
                <w:spacing w:val="-6"/>
                <w:sz w:val="24"/>
                <w:szCs w:val="24"/>
                <w:highlight w:val="none"/>
              </w:rPr>
              <w:t>1 日以来（以合同签订</w:t>
            </w:r>
            <w:r>
              <w:rPr>
                <w:spacing w:val="-5"/>
                <w:sz w:val="24"/>
                <w:szCs w:val="24"/>
                <w:highlight w:val="none"/>
              </w:rPr>
              <w:t>时间为准）有投标产品同品牌同型号业绩（标包包含</w:t>
            </w:r>
            <w:r>
              <w:rPr>
                <w:spacing w:val="-6"/>
                <w:sz w:val="24"/>
                <w:szCs w:val="24"/>
                <w:highlight w:val="none"/>
              </w:rPr>
              <w:t>多种</w:t>
            </w:r>
            <w:r>
              <w:rPr>
                <w:spacing w:val="-8"/>
                <w:sz w:val="24"/>
                <w:szCs w:val="24"/>
                <w:highlight w:val="none"/>
              </w:rPr>
              <w:t>设备的以核心产品为准</w:t>
            </w:r>
            <w:r>
              <w:rPr>
                <w:spacing w:val="-6"/>
                <w:sz w:val="24"/>
                <w:szCs w:val="24"/>
                <w:highlight w:val="none"/>
              </w:rPr>
              <w:t>），</w:t>
            </w:r>
            <w:r>
              <w:rPr>
                <w:spacing w:val="-8"/>
                <w:sz w:val="24"/>
                <w:szCs w:val="24"/>
                <w:highlight w:val="none"/>
              </w:rPr>
              <w:t>每提供一项得 1 分</w:t>
            </w:r>
            <w:r>
              <w:rPr>
                <w:spacing w:val="-9"/>
                <w:sz w:val="24"/>
                <w:szCs w:val="24"/>
                <w:highlight w:val="none"/>
              </w:rPr>
              <w:t>，最多得 2</w:t>
            </w:r>
            <w:r>
              <w:rPr>
                <w:spacing w:val="-14"/>
                <w:sz w:val="24"/>
                <w:szCs w:val="24"/>
                <w:highlight w:val="none"/>
              </w:rPr>
              <w:t>分。（提供合同协议书）。投标文件附扫描件。</w:t>
            </w:r>
          </w:p>
        </w:tc>
        <w:tc>
          <w:tcPr>
            <w:tcW w:w="842" w:type="dxa"/>
            <w:vAlign w:val="top"/>
          </w:tcPr>
          <w:p w14:paraId="6C48FB0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DAC1AD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3AB62D2">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1"/>
              <w:textAlignment w:val="baseline"/>
              <w:rPr>
                <w:sz w:val="24"/>
                <w:szCs w:val="24"/>
                <w:highlight w:val="none"/>
              </w:rPr>
            </w:pPr>
            <w:r>
              <w:rPr>
                <w:spacing w:val="-7"/>
                <w:sz w:val="24"/>
                <w:szCs w:val="24"/>
                <w:highlight w:val="none"/>
              </w:rPr>
              <w:t>2</w:t>
            </w:r>
            <w:r>
              <w:rPr>
                <w:spacing w:val="-47"/>
                <w:sz w:val="24"/>
                <w:szCs w:val="24"/>
                <w:highlight w:val="none"/>
              </w:rPr>
              <w:t xml:space="preserve"> </w:t>
            </w:r>
            <w:r>
              <w:rPr>
                <w:spacing w:val="-7"/>
                <w:sz w:val="24"/>
                <w:szCs w:val="24"/>
                <w:highlight w:val="none"/>
              </w:rPr>
              <w:t>分</w:t>
            </w:r>
          </w:p>
        </w:tc>
      </w:tr>
      <w:tr w14:paraId="4F959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56" w:type="dxa"/>
            <w:vMerge w:val="continue"/>
            <w:tcBorders>
              <w:top w:val="nil"/>
              <w:left w:val="single" w:color="auto" w:sz="4" w:space="0"/>
              <w:bottom w:val="nil"/>
            </w:tcBorders>
            <w:vAlign w:val="top"/>
          </w:tcPr>
          <w:p w14:paraId="6CA7489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6101224F">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textAlignment w:val="baseline"/>
              <w:rPr>
                <w:sz w:val="24"/>
                <w:szCs w:val="24"/>
                <w:highlight w:val="none"/>
              </w:rPr>
            </w:pPr>
            <w:r>
              <w:rPr>
                <w:spacing w:val="-3"/>
                <w:sz w:val="24"/>
                <w:szCs w:val="24"/>
                <w:highlight w:val="none"/>
              </w:rPr>
              <w:t>质保期</w:t>
            </w:r>
          </w:p>
        </w:tc>
        <w:tc>
          <w:tcPr>
            <w:tcW w:w="6092" w:type="dxa"/>
            <w:vAlign w:val="top"/>
          </w:tcPr>
          <w:p w14:paraId="403525C0">
            <w:pPr>
              <w:pStyle w:val="24"/>
              <w:keepNext w:val="0"/>
              <w:keepLines w:val="0"/>
              <w:pageBreakBefore w:val="0"/>
              <w:widowControl/>
              <w:kinsoku w:val="0"/>
              <w:wordWrap/>
              <w:overflowPunct/>
              <w:topLinePunct w:val="0"/>
              <w:autoSpaceDE w:val="0"/>
              <w:autoSpaceDN w:val="0"/>
              <w:bidi w:val="0"/>
              <w:adjustRightInd w:val="0"/>
              <w:snapToGrid w:val="0"/>
              <w:spacing w:before="117" w:line="300" w:lineRule="exact"/>
              <w:ind w:left="118" w:right="104" w:hanging="3"/>
              <w:jc w:val="both"/>
              <w:textAlignment w:val="baseline"/>
              <w:rPr>
                <w:sz w:val="24"/>
                <w:szCs w:val="24"/>
                <w:highlight w:val="none"/>
              </w:rPr>
            </w:pPr>
            <w:r>
              <w:rPr>
                <w:spacing w:val="-5"/>
                <w:sz w:val="24"/>
                <w:szCs w:val="24"/>
                <w:highlight w:val="none"/>
              </w:rPr>
              <w:t>质保期满足招标文件要求不得分；质保期比招标文件要求</w:t>
            </w:r>
            <w:r>
              <w:rPr>
                <w:sz w:val="24"/>
                <w:szCs w:val="24"/>
                <w:highlight w:val="none"/>
              </w:rPr>
              <w:t>多一年得 1 分；质保期比招标文件要求多两年及以上得</w:t>
            </w:r>
            <w:r>
              <w:rPr>
                <w:spacing w:val="-13"/>
                <w:sz w:val="24"/>
                <w:szCs w:val="24"/>
                <w:highlight w:val="none"/>
              </w:rPr>
              <w:t>3</w:t>
            </w:r>
            <w:r>
              <w:rPr>
                <w:spacing w:val="13"/>
                <w:sz w:val="24"/>
                <w:szCs w:val="24"/>
                <w:highlight w:val="none"/>
              </w:rPr>
              <w:t xml:space="preserve"> </w:t>
            </w:r>
            <w:r>
              <w:rPr>
                <w:spacing w:val="-13"/>
                <w:sz w:val="24"/>
                <w:szCs w:val="24"/>
                <w:highlight w:val="none"/>
              </w:rPr>
              <w:t>分。</w:t>
            </w:r>
          </w:p>
        </w:tc>
        <w:tc>
          <w:tcPr>
            <w:tcW w:w="842" w:type="dxa"/>
            <w:vAlign w:val="top"/>
          </w:tcPr>
          <w:p w14:paraId="77A8029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E78A84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3"/>
              <w:textAlignment w:val="baseline"/>
              <w:rPr>
                <w:sz w:val="24"/>
                <w:szCs w:val="24"/>
                <w:highlight w:val="none"/>
              </w:rPr>
            </w:pPr>
            <w:r>
              <w:rPr>
                <w:spacing w:val="-8"/>
                <w:sz w:val="24"/>
                <w:szCs w:val="24"/>
                <w:highlight w:val="none"/>
              </w:rPr>
              <w:t>3</w:t>
            </w:r>
            <w:r>
              <w:rPr>
                <w:spacing w:val="-47"/>
                <w:sz w:val="24"/>
                <w:szCs w:val="24"/>
                <w:highlight w:val="none"/>
              </w:rPr>
              <w:t xml:space="preserve"> </w:t>
            </w:r>
            <w:r>
              <w:rPr>
                <w:spacing w:val="-8"/>
                <w:sz w:val="24"/>
                <w:szCs w:val="24"/>
                <w:highlight w:val="none"/>
              </w:rPr>
              <w:t>分</w:t>
            </w:r>
          </w:p>
        </w:tc>
      </w:tr>
      <w:tr w14:paraId="6BAAB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156" w:type="dxa"/>
            <w:vMerge w:val="continue"/>
            <w:tcBorders>
              <w:top w:val="nil"/>
              <w:left w:val="single" w:color="auto" w:sz="4" w:space="0"/>
              <w:bottom w:val="single" w:color="auto" w:sz="4" w:space="0"/>
            </w:tcBorders>
            <w:vAlign w:val="top"/>
          </w:tcPr>
          <w:p w14:paraId="3C6D766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tcBorders>
              <w:bottom w:val="single" w:color="auto" w:sz="4" w:space="0"/>
            </w:tcBorders>
            <w:vAlign w:val="top"/>
          </w:tcPr>
          <w:p w14:paraId="4104A3F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1071F38">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z w:val="24"/>
                <w:szCs w:val="24"/>
                <w:highlight w:val="none"/>
              </w:rPr>
            </w:pPr>
            <w:r>
              <w:rPr>
                <w:spacing w:val="-4"/>
                <w:sz w:val="24"/>
                <w:szCs w:val="24"/>
                <w:highlight w:val="none"/>
              </w:rPr>
              <w:t>供货方</w:t>
            </w:r>
            <w:r>
              <w:rPr>
                <w:sz w:val="24"/>
                <w:szCs w:val="24"/>
                <w:highlight w:val="none"/>
              </w:rPr>
              <w:t>案</w:t>
            </w:r>
          </w:p>
        </w:tc>
        <w:tc>
          <w:tcPr>
            <w:tcW w:w="6092" w:type="dxa"/>
            <w:tcBorders>
              <w:bottom w:val="single" w:color="auto" w:sz="4" w:space="0"/>
            </w:tcBorders>
            <w:vAlign w:val="top"/>
          </w:tcPr>
          <w:p w14:paraId="44574E71">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z w:val="24"/>
                <w:szCs w:val="24"/>
                <w:highlight w:val="none"/>
              </w:rPr>
            </w:pPr>
            <w:r>
              <w:rPr>
                <w:spacing w:val="-5"/>
                <w:sz w:val="24"/>
                <w:szCs w:val="24"/>
                <w:highlight w:val="none"/>
              </w:rPr>
              <w:t>根据采购人实际需求，针对项目实际情况，对供应商提供</w:t>
            </w:r>
            <w:r>
              <w:rPr>
                <w:spacing w:val="-6"/>
                <w:sz w:val="24"/>
                <w:szCs w:val="24"/>
                <w:highlight w:val="none"/>
              </w:rPr>
              <w:t>的供货方案进行打分。</w:t>
            </w:r>
          </w:p>
          <w:p w14:paraId="2BF4F700">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textAlignment w:val="baseline"/>
              <w:rPr>
                <w:sz w:val="24"/>
                <w:szCs w:val="24"/>
                <w:highlight w:val="none"/>
              </w:rPr>
            </w:pPr>
            <w:r>
              <w:rPr>
                <w:spacing w:val="-3"/>
                <w:sz w:val="24"/>
                <w:szCs w:val="24"/>
                <w:highlight w:val="none"/>
              </w:rPr>
              <w:t>方案全面合理详尽可行，有充分保障的得</w:t>
            </w:r>
            <w:r>
              <w:rPr>
                <w:spacing w:val="-42"/>
                <w:sz w:val="24"/>
                <w:szCs w:val="24"/>
                <w:highlight w:val="none"/>
              </w:rPr>
              <w:t xml:space="preserve"> </w:t>
            </w:r>
            <w:r>
              <w:rPr>
                <w:spacing w:val="-3"/>
                <w:sz w:val="24"/>
                <w:szCs w:val="24"/>
                <w:highlight w:val="none"/>
              </w:rPr>
              <w:t>5</w:t>
            </w:r>
            <w:r>
              <w:rPr>
                <w:spacing w:val="-48"/>
                <w:sz w:val="24"/>
                <w:szCs w:val="24"/>
                <w:highlight w:val="none"/>
              </w:rPr>
              <w:t xml:space="preserve"> </w:t>
            </w:r>
            <w:r>
              <w:rPr>
                <w:spacing w:val="-3"/>
                <w:sz w:val="24"/>
                <w:szCs w:val="24"/>
                <w:highlight w:val="none"/>
              </w:rPr>
              <w:t>分；</w:t>
            </w:r>
          </w:p>
          <w:p w14:paraId="5DFE4D56">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5" w:right="543"/>
              <w:textAlignment w:val="baseline"/>
              <w:rPr>
                <w:spacing w:val="-5"/>
                <w:sz w:val="24"/>
                <w:szCs w:val="24"/>
                <w:highlight w:val="none"/>
              </w:rPr>
            </w:pPr>
            <w:r>
              <w:rPr>
                <w:spacing w:val="-4"/>
                <w:sz w:val="24"/>
                <w:szCs w:val="24"/>
                <w:highlight w:val="none"/>
              </w:rPr>
              <w:t>方案基本合理、较详尽可行，有基础保障的得</w:t>
            </w:r>
            <w:r>
              <w:rPr>
                <w:spacing w:val="-45"/>
                <w:sz w:val="24"/>
                <w:szCs w:val="24"/>
                <w:highlight w:val="none"/>
              </w:rPr>
              <w:t xml:space="preserve"> </w:t>
            </w:r>
            <w:r>
              <w:rPr>
                <w:spacing w:val="-4"/>
                <w:sz w:val="24"/>
                <w:szCs w:val="24"/>
                <w:highlight w:val="none"/>
              </w:rPr>
              <w:t>3</w:t>
            </w:r>
            <w:r>
              <w:rPr>
                <w:spacing w:val="-48"/>
                <w:sz w:val="24"/>
                <w:szCs w:val="24"/>
                <w:highlight w:val="none"/>
              </w:rPr>
              <w:t xml:space="preserve"> </w:t>
            </w:r>
            <w:r>
              <w:rPr>
                <w:spacing w:val="-5"/>
                <w:sz w:val="24"/>
                <w:szCs w:val="24"/>
                <w:highlight w:val="none"/>
              </w:rPr>
              <w:t>分；</w:t>
            </w:r>
          </w:p>
          <w:p w14:paraId="61C39662">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5" w:right="543"/>
              <w:textAlignment w:val="baseline"/>
              <w:rPr>
                <w:sz w:val="24"/>
                <w:szCs w:val="24"/>
                <w:highlight w:val="none"/>
              </w:rPr>
            </w:pPr>
            <w:r>
              <w:rPr>
                <w:spacing w:val="-4"/>
                <w:sz w:val="24"/>
                <w:szCs w:val="24"/>
                <w:highlight w:val="none"/>
              </w:rPr>
              <w:t>方案合理性一般、可行性一般的得</w:t>
            </w:r>
            <w:r>
              <w:rPr>
                <w:spacing w:val="-33"/>
                <w:sz w:val="24"/>
                <w:szCs w:val="24"/>
                <w:highlight w:val="none"/>
              </w:rPr>
              <w:t xml:space="preserve"> </w:t>
            </w:r>
            <w:r>
              <w:rPr>
                <w:rFonts w:hint="eastAsia"/>
                <w:spacing w:val="-4"/>
                <w:sz w:val="24"/>
                <w:szCs w:val="24"/>
                <w:highlight w:val="none"/>
                <w:lang w:val="en-US" w:eastAsia="zh-CN"/>
              </w:rPr>
              <w:t>1</w:t>
            </w:r>
            <w:r>
              <w:rPr>
                <w:spacing w:val="-48"/>
                <w:sz w:val="24"/>
                <w:szCs w:val="24"/>
                <w:highlight w:val="none"/>
              </w:rPr>
              <w:t xml:space="preserve"> </w:t>
            </w:r>
            <w:r>
              <w:rPr>
                <w:spacing w:val="-4"/>
                <w:sz w:val="24"/>
                <w:szCs w:val="24"/>
                <w:highlight w:val="none"/>
              </w:rPr>
              <w:t>分；</w:t>
            </w:r>
          </w:p>
          <w:p w14:paraId="4509E7B5">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8"/>
              <w:textAlignment w:val="baseline"/>
              <w:rPr>
                <w:sz w:val="24"/>
                <w:szCs w:val="24"/>
                <w:highlight w:val="none"/>
              </w:rPr>
            </w:pPr>
            <w:r>
              <w:rPr>
                <w:spacing w:val="-6"/>
                <w:sz w:val="24"/>
                <w:szCs w:val="24"/>
                <w:highlight w:val="none"/>
              </w:rPr>
              <w:t>未提供不得分。</w:t>
            </w:r>
          </w:p>
        </w:tc>
        <w:tc>
          <w:tcPr>
            <w:tcW w:w="842" w:type="dxa"/>
            <w:tcBorders>
              <w:bottom w:val="single" w:color="auto" w:sz="4" w:space="0"/>
            </w:tcBorders>
            <w:vAlign w:val="top"/>
          </w:tcPr>
          <w:p w14:paraId="17940B9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FEDA0D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67761A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0A0E39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B0CEF61">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3"/>
              <w:textAlignment w:val="baseline"/>
              <w:rPr>
                <w:sz w:val="24"/>
                <w:szCs w:val="24"/>
                <w:highlight w:val="none"/>
              </w:rPr>
            </w:pPr>
            <w:r>
              <w:rPr>
                <w:spacing w:val="-8"/>
                <w:sz w:val="24"/>
                <w:szCs w:val="24"/>
                <w:highlight w:val="none"/>
              </w:rPr>
              <w:t>5</w:t>
            </w:r>
            <w:r>
              <w:rPr>
                <w:spacing w:val="-47"/>
                <w:sz w:val="24"/>
                <w:szCs w:val="24"/>
                <w:highlight w:val="none"/>
              </w:rPr>
              <w:t xml:space="preserve"> </w:t>
            </w:r>
            <w:r>
              <w:rPr>
                <w:spacing w:val="-8"/>
                <w:sz w:val="24"/>
                <w:szCs w:val="24"/>
                <w:highlight w:val="none"/>
              </w:rPr>
              <w:t>分</w:t>
            </w:r>
          </w:p>
        </w:tc>
      </w:tr>
      <w:tr w14:paraId="1A84C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1156" w:type="dxa"/>
            <w:vMerge w:val="continue"/>
            <w:tcBorders>
              <w:top w:val="single" w:color="auto" w:sz="4" w:space="0"/>
              <w:left w:val="single" w:color="auto" w:sz="4" w:space="0"/>
              <w:bottom w:val="single" w:color="auto" w:sz="4" w:space="0"/>
            </w:tcBorders>
            <w:vAlign w:val="top"/>
          </w:tcPr>
          <w:p w14:paraId="50690DD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z w:val="24"/>
                <w:szCs w:val="24"/>
                <w:highlight w:val="none"/>
              </w:rPr>
            </w:pPr>
          </w:p>
        </w:tc>
        <w:tc>
          <w:tcPr>
            <w:tcW w:w="1160" w:type="dxa"/>
            <w:gridSpan w:val="2"/>
            <w:tcBorders>
              <w:top w:val="single" w:color="auto" w:sz="4" w:space="0"/>
              <w:bottom w:val="single" w:color="auto" w:sz="4" w:space="0"/>
            </w:tcBorders>
            <w:vAlign w:val="top"/>
          </w:tcPr>
          <w:p w14:paraId="0322F96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default" w:eastAsia="宋体"/>
                <w:sz w:val="24"/>
                <w:szCs w:val="24"/>
                <w:highlight w:val="none"/>
                <w:lang w:val="en-US" w:eastAsia="zh-CN"/>
              </w:rPr>
            </w:pPr>
            <w:r>
              <w:rPr>
                <w:sz w:val="24"/>
                <w:szCs w:val="24"/>
                <w:highlight w:val="none"/>
              </w:rPr>
              <w:t>安装调</w:t>
            </w:r>
            <w:r>
              <w:rPr>
                <w:rFonts w:hint="eastAsia" w:eastAsia="宋体"/>
                <w:sz w:val="24"/>
                <w:szCs w:val="24"/>
                <w:highlight w:val="none"/>
                <w:lang w:val="en-US" w:eastAsia="zh-CN"/>
              </w:rPr>
              <w:t>试方案</w:t>
            </w:r>
          </w:p>
        </w:tc>
        <w:tc>
          <w:tcPr>
            <w:tcW w:w="6092" w:type="dxa"/>
            <w:tcBorders>
              <w:top w:val="single" w:color="auto" w:sz="4" w:space="0"/>
              <w:bottom w:val="single" w:color="auto" w:sz="4" w:space="0"/>
            </w:tcBorders>
            <w:vAlign w:val="top"/>
          </w:tcPr>
          <w:p w14:paraId="4A9925BA">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根据采购人实际需求，针对项目实际情况，对供应商提供的安装调试方案进行打分。</w:t>
            </w:r>
          </w:p>
          <w:p w14:paraId="073DA762">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方案全面合理、详尽可行，有充分保障的得 6 分；</w:t>
            </w:r>
          </w:p>
          <w:p w14:paraId="42881257">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方案基本合理、较详尽可行，有基础保障的得 4 分；方案合理性一般、可行性一般的得 2 分；</w:t>
            </w:r>
          </w:p>
          <w:p w14:paraId="6FA52876">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z w:val="24"/>
                <w:szCs w:val="24"/>
                <w:highlight w:val="none"/>
              </w:rPr>
            </w:pPr>
            <w:r>
              <w:rPr>
                <w:spacing w:val="-6"/>
                <w:sz w:val="24"/>
                <w:szCs w:val="24"/>
                <w:highlight w:val="none"/>
              </w:rPr>
              <w:t>未提供不得分。</w:t>
            </w:r>
          </w:p>
        </w:tc>
        <w:tc>
          <w:tcPr>
            <w:tcW w:w="842" w:type="dxa"/>
            <w:tcBorders>
              <w:top w:val="single" w:color="auto" w:sz="4" w:space="0"/>
              <w:bottom w:val="single" w:color="auto" w:sz="4" w:space="0"/>
              <w:right w:val="single" w:color="auto" w:sz="4" w:space="0"/>
            </w:tcBorders>
            <w:vAlign w:val="top"/>
          </w:tcPr>
          <w:p w14:paraId="4C5AB09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z w:val="24"/>
                <w:szCs w:val="24"/>
                <w:highlight w:val="none"/>
              </w:rPr>
            </w:pPr>
          </w:p>
          <w:p w14:paraId="136D09AF">
            <w:pPr>
              <w:keepNext w:val="0"/>
              <w:keepLines w:val="0"/>
              <w:pageBreakBefore w:val="0"/>
              <w:widowControl/>
              <w:kinsoku w:val="0"/>
              <w:wordWrap/>
              <w:overflowPunct/>
              <w:topLinePunct w:val="0"/>
              <w:autoSpaceDE w:val="0"/>
              <w:autoSpaceDN w:val="0"/>
              <w:bidi w:val="0"/>
              <w:adjustRightInd w:val="0"/>
              <w:snapToGrid w:val="0"/>
              <w:spacing w:line="300" w:lineRule="exact"/>
              <w:ind w:firstLine="224" w:firstLineChars="100"/>
              <w:textAlignment w:val="baseline"/>
              <w:rPr>
                <w:sz w:val="24"/>
                <w:szCs w:val="24"/>
                <w:highlight w:val="none"/>
              </w:rPr>
            </w:pPr>
            <w:r>
              <w:rPr>
                <w:rFonts w:ascii="宋体" w:hAnsi="宋体" w:eastAsia="宋体" w:cs="宋体"/>
                <w:snapToGrid w:val="0"/>
                <w:color w:val="000000"/>
                <w:spacing w:val="-8"/>
                <w:kern w:val="0"/>
                <w:sz w:val="24"/>
                <w:szCs w:val="24"/>
                <w:highlight w:val="none"/>
                <w:lang w:val="en-US" w:eastAsia="en-US" w:bidi="ar-SA"/>
              </w:rPr>
              <w:t>6</w:t>
            </w:r>
            <w:r>
              <w:rPr>
                <w:sz w:val="24"/>
                <w:szCs w:val="24"/>
                <w:highlight w:val="none"/>
              </w:rPr>
              <w:t xml:space="preserve"> 分</w:t>
            </w:r>
          </w:p>
        </w:tc>
      </w:tr>
      <w:tr w14:paraId="34842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2" w:hRule="atLeast"/>
        </w:trPr>
        <w:tc>
          <w:tcPr>
            <w:tcW w:w="1156" w:type="dxa"/>
            <w:vMerge w:val="restart"/>
            <w:tcBorders>
              <w:top w:val="nil"/>
            </w:tcBorders>
            <w:vAlign w:val="top"/>
          </w:tcPr>
          <w:p w14:paraId="2F52560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313574D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F71284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000106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1DD722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69F1F1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27A0B7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C7927D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53185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E945A8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F710C2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DA182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699A92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A52491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9D1E25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42D926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2E081B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7AE76B4">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10" w:right="209" w:hanging="1"/>
              <w:textAlignment w:val="baseline"/>
              <w:rPr>
                <w:sz w:val="24"/>
                <w:szCs w:val="24"/>
                <w:highlight w:val="none"/>
              </w:rPr>
            </w:pPr>
            <w:r>
              <w:rPr>
                <w:spacing w:val="-4"/>
                <w:sz w:val="24"/>
                <w:szCs w:val="24"/>
                <w:highlight w:val="none"/>
              </w:rPr>
              <w:t>售后服务方案</w:t>
            </w:r>
          </w:p>
        </w:tc>
        <w:tc>
          <w:tcPr>
            <w:tcW w:w="6092" w:type="dxa"/>
            <w:vAlign w:val="top"/>
          </w:tcPr>
          <w:p w14:paraId="76C27E46">
            <w:pPr>
              <w:pStyle w:val="24"/>
              <w:keepNext w:val="0"/>
              <w:keepLines w:val="0"/>
              <w:pageBreakBefore w:val="0"/>
              <w:widowControl/>
              <w:kinsoku w:val="0"/>
              <w:wordWrap/>
              <w:overflowPunct/>
              <w:topLinePunct w:val="0"/>
              <w:autoSpaceDE w:val="0"/>
              <w:autoSpaceDN w:val="0"/>
              <w:bidi w:val="0"/>
              <w:adjustRightInd w:val="0"/>
              <w:snapToGrid w:val="0"/>
              <w:spacing w:before="112" w:line="300" w:lineRule="exact"/>
              <w:ind w:left="114"/>
              <w:textAlignment w:val="baseline"/>
              <w:rPr>
                <w:sz w:val="24"/>
                <w:szCs w:val="24"/>
                <w:highlight w:val="none"/>
              </w:rPr>
            </w:pPr>
            <w:r>
              <w:rPr>
                <w:spacing w:val="-1"/>
                <w:sz w:val="24"/>
                <w:szCs w:val="24"/>
                <w:highlight w:val="none"/>
              </w:rPr>
              <w:t>根据投标人制定的售后服务方案</w:t>
            </w:r>
          </w:p>
          <w:p w14:paraId="6C1322D9">
            <w:pPr>
              <w:pStyle w:val="24"/>
              <w:keepNext w:val="0"/>
              <w:keepLines w:val="0"/>
              <w:pageBreakBefore w:val="0"/>
              <w:widowControl/>
              <w:kinsoku w:val="0"/>
              <w:wordWrap/>
              <w:overflowPunct/>
              <w:topLinePunct w:val="0"/>
              <w:autoSpaceDE w:val="0"/>
              <w:autoSpaceDN w:val="0"/>
              <w:bidi w:val="0"/>
              <w:adjustRightInd w:val="0"/>
              <w:snapToGrid w:val="0"/>
              <w:spacing w:before="112" w:line="300" w:lineRule="exact"/>
              <w:ind w:left="114" w:right="104" w:firstLine="17"/>
              <w:textAlignment w:val="baseline"/>
              <w:rPr>
                <w:sz w:val="24"/>
                <w:szCs w:val="24"/>
                <w:highlight w:val="none"/>
              </w:rPr>
            </w:pPr>
            <w:r>
              <w:rPr>
                <w:sz w:val="24"/>
                <w:szCs w:val="24"/>
                <w:highlight w:val="none"/>
              </w:rPr>
              <w:t>1、质保期内：售后人员安排方案、服务计</w:t>
            </w:r>
            <w:r>
              <w:rPr>
                <w:spacing w:val="-1"/>
                <w:sz w:val="24"/>
                <w:szCs w:val="24"/>
                <w:highlight w:val="none"/>
              </w:rPr>
              <w:t>划方案、服务</w:t>
            </w:r>
            <w:r>
              <w:rPr>
                <w:spacing w:val="-5"/>
                <w:sz w:val="24"/>
                <w:szCs w:val="24"/>
                <w:highlight w:val="none"/>
              </w:rPr>
              <w:t>内容阐述、按时履约的保障措施、响应时间及故障排除时</w:t>
            </w:r>
            <w:r>
              <w:rPr>
                <w:spacing w:val="-13"/>
                <w:sz w:val="24"/>
                <w:szCs w:val="24"/>
                <w:highlight w:val="none"/>
              </w:rPr>
              <w:t>间安排、应急响应方案； 对方案的完整性、可靠性， 服务</w:t>
            </w:r>
            <w:r>
              <w:rPr>
                <w:spacing w:val="-4"/>
                <w:sz w:val="24"/>
                <w:szCs w:val="24"/>
                <w:highlight w:val="none"/>
              </w:rPr>
              <w:t>承诺的合理性、可行性等进行综合评价；</w:t>
            </w:r>
          </w:p>
          <w:p w14:paraId="6181812E">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43" w:right="101" w:hanging="29"/>
              <w:textAlignment w:val="baseline"/>
              <w:rPr>
                <w:sz w:val="24"/>
                <w:szCs w:val="24"/>
                <w:highlight w:val="none"/>
              </w:rPr>
            </w:pPr>
            <w:r>
              <w:rPr>
                <w:rFonts w:hint="eastAsia"/>
                <w:spacing w:val="-9"/>
                <w:sz w:val="24"/>
                <w:szCs w:val="24"/>
                <w:highlight w:val="none"/>
                <w:lang w:eastAsia="zh-CN"/>
              </w:rPr>
              <w:t>（</w:t>
            </w:r>
            <w:r>
              <w:rPr>
                <w:rFonts w:hint="eastAsia"/>
                <w:spacing w:val="-9"/>
                <w:sz w:val="24"/>
                <w:szCs w:val="24"/>
                <w:highlight w:val="none"/>
                <w:lang w:val="en-US" w:eastAsia="zh-CN"/>
              </w:rPr>
              <w:t>1</w:t>
            </w:r>
            <w:r>
              <w:rPr>
                <w:rFonts w:hint="eastAsia"/>
                <w:spacing w:val="-9"/>
                <w:sz w:val="24"/>
                <w:szCs w:val="24"/>
                <w:highlight w:val="none"/>
                <w:lang w:eastAsia="zh-CN"/>
              </w:rPr>
              <w:t>）</w:t>
            </w:r>
            <w:r>
              <w:rPr>
                <w:spacing w:val="-9"/>
                <w:sz w:val="24"/>
                <w:szCs w:val="24"/>
                <w:highlight w:val="none"/>
              </w:rPr>
              <w:t>服务方案非常合理成熟、可靠， 内容非常完善，服务承诺</w:t>
            </w:r>
            <w:r>
              <w:rPr>
                <w:spacing w:val="-5"/>
                <w:sz w:val="24"/>
                <w:szCs w:val="24"/>
                <w:highlight w:val="none"/>
              </w:rPr>
              <w:t>内容非常齐全，可控性、可行性强，得</w:t>
            </w:r>
            <w:r>
              <w:rPr>
                <w:spacing w:val="-33"/>
                <w:sz w:val="24"/>
                <w:szCs w:val="24"/>
                <w:highlight w:val="none"/>
              </w:rPr>
              <w:t xml:space="preserve"> </w:t>
            </w:r>
            <w:r>
              <w:rPr>
                <w:rFonts w:hint="eastAsia"/>
                <w:spacing w:val="-5"/>
                <w:sz w:val="24"/>
                <w:szCs w:val="24"/>
                <w:highlight w:val="none"/>
                <w:lang w:val="en-US" w:eastAsia="zh-CN"/>
              </w:rPr>
              <w:t>8</w:t>
            </w:r>
            <w:r>
              <w:rPr>
                <w:spacing w:val="-5"/>
                <w:sz w:val="24"/>
                <w:szCs w:val="24"/>
                <w:highlight w:val="none"/>
              </w:rPr>
              <w:t>分；</w:t>
            </w:r>
          </w:p>
          <w:p w14:paraId="454D4AD6">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7" w:right="104" w:hanging="3"/>
              <w:textAlignment w:val="baseline"/>
              <w:rPr>
                <w:sz w:val="24"/>
                <w:szCs w:val="24"/>
                <w:highlight w:val="none"/>
              </w:rPr>
            </w:pPr>
            <w:r>
              <w:rPr>
                <w:rFonts w:hint="eastAsia"/>
                <w:spacing w:val="-5"/>
                <w:sz w:val="24"/>
                <w:szCs w:val="24"/>
                <w:highlight w:val="none"/>
                <w:lang w:eastAsia="zh-CN"/>
              </w:rPr>
              <w:t>（</w:t>
            </w:r>
            <w:r>
              <w:rPr>
                <w:rFonts w:hint="eastAsia"/>
                <w:spacing w:val="-5"/>
                <w:sz w:val="24"/>
                <w:szCs w:val="24"/>
                <w:highlight w:val="none"/>
                <w:lang w:val="en-US" w:eastAsia="zh-CN"/>
              </w:rPr>
              <w:t>2</w:t>
            </w:r>
            <w:r>
              <w:rPr>
                <w:rFonts w:hint="eastAsia"/>
                <w:spacing w:val="-5"/>
                <w:sz w:val="24"/>
                <w:szCs w:val="24"/>
                <w:highlight w:val="none"/>
                <w:lang w:eastAsia="zh-CN"/>
              </w:rPr>
              <w:t>）</w:t>
            </w:r>
            <w:r>
              <w:rPr>
                <w:spacing w:val="-5"/>
                <w:sz w:val="24"/>
                <w:szCs w:val="24"/>
                <w:highlight w:val="none"/>
              </w:rPr>
              <w:t>服务方案基本合理成熟，内容基本完善，服务承诺内容可</w:t>
            </w:r>
            <w:r>
              <w:rPr>
                <w:spacing w:val="-6"/>
                <w:sz w:val="24"/>
                <w:szCs w:val="24"/>
                <w:highlight w:val="none"/>
              </w:rPr>
              <w:t>行性基本合理，得</w:t>
            </w:r>
            <w:r>
              <w:rPr>
                <w:spacing w:val="-42"/>
                <w:sz w:val="24"/>
                <w:szCs w:val="24"/>
                <w:highlight w:val="none"/>
              </w:rPr>
              <w:t xml:space="preserve"> </w:t>
            </w:r>
            <w:r>
              <w:rPr>
                <w:rFonts w:hint="eastAsia"/>
                <w:spacing w:val="-6"/>
                <w:sz w:val="24"/>
                <w:szCs w:val="24"/>
                <w:highlight w:val="none"/>
                <w:lang w:val="en-US" w:eastAsia="zh-CN"/>
              </w:rPr>
              <w:t>5</w:t>
            </w:r>
            <w:r>
              <w:rPr>
                <w:spacing w:val="-6"/>
                <w:sz w:val="24"/>
                <w:szCs w:val="24"/>
                <w:highlight w:val="none"/>
              </w:rPr>
              <w:t>分；</w:t>
            </w:r>
          </w:p>
          <w:p w14:paraId="46CFDDD0">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4"/>
              <w:textAlignment w:val="baseline"/>
              <w:rPr>
                <w:rFonts w:hint="default" w:eastAsia="宋体"/>
                <w:spacing w:val="-4"/>
                <w:sz w:val="24"/>
                <w:szCs w:val="24"/>
                <w:highlight w:val="none"/>
                <w:lang w:val="en-US" w:eastAsia="zh-CN"/>
              </w:rPr>
            </w:pPr>
            <w:r>
              <w:rPr>
                <w:rFonts w:hint="eastAsia"/>
                <w:spacing w:val="-4"/>
                <w:sz w:val="24"/>
                <w:szCs w:val="24"/>
                <w:highlight w:val="none"/>
                <w:lang w:eastAsia="zh-CN"/>
              </w:rPr>
              <w:t>（</w:t>
            </w:r>
            <w:r>
              <w:rPr>
                <w:rFonts w:hint="eastAsia"/>
                <w:spacing w:val="-4"/>
                <w:sz w:val="24"/>
                <w:szCs w:val="24"/>
                <w:highlight w:val="none"/>
                <w:lang w:val="en-US" w:eastAsia="zh-CN"/>
              </w:rPr>
              <w:t>3</w:t>
            </w:r>
            <w:r>
              <w:rPr>
                <w:rFonts w:hint="eastAsia"/>
                <w:spacing w:val="-4"/>
                <w:sz w:val="24"/>
                <w:szCs w:val="24"/>
                <w:highlight w:val="none"/>
                <w:lang w:eastAsia="zh-CN"/>
              </w:rPr>
              <w:t>）</w:t>
            </w:r>
            <w:r>
              <w:rPr>
                <w:spacing w:val="-4"/>
                <w:sz w:val="24"/>
                <w:szCs w:val="24"/>
                <w:highlight w:val="none"/>
              </w:rPr>
              <w:t>服务方案、服务承诺可行性一般，得</w:t>
            </w:r>
            <w:r>
              <w:rPr>
                <w:spacing w:val="-17"/>
                <w:sz w:val="24"/>
                <w:szCs w:val="24"/>
                <w:highlight w:val="none"/>
              </w:rPr>
              <w:t xml:space="preserve"> </w:t>
            </w:r>
            <w:r>
              <w:rPr>
                <w:rFonts w:hint="eastAsia"/>
                <w:spacing w:val="-4"/>
                <w:sz w:val="24"/>
                <w:szCs w:val="24"/>
                <w:highlight w:val="none"/>
                <w:lang w:val="en-US" w:eastAsia="zh-CN"/>
              </w:rPr>
              <w:t>3</w:t>
            </w:r>
            <w:r>
              <w:rPr>
                <w:spacing w:val="-4"/>
                <w:sz w:val="24"/>
                <w:szCs w:val="24"/>
                <w:highlight w:val="none"/>
              </w:rPr>
              <w:t>分。</w:t>
            </w:r>
          </w:p>
          <w:p w14:paraId="7676A751">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18"/>
              <w:textAlignment w:val="baseline"/>
              <w:rPr>
                <w:sz w:val="24"/>
                <w:szCs w:val="24"/>
                <w:highlight w:val="none"/>
              </w:rPr>
            </w:pPr>
            <w:r>
              <w:rPr>
                <w:rFonts w:hint="eastAsia"/>
                <w:spacing w:val="-6"/>
                <w:sz w:val="24"/>
                <w:szCs w:val="24"/>
                <w:highlight w:val="none"/>
                <w:lang w:eastAsia="zh-CN"/>
              </w:rPr>
              <w:t>（</w:t>
            </w:r>
            <w:r>
              <w:rPr>
                <w:rFonts w:hint="eastAsia"/>
                <w:spacing w:val="-6"/>
                <w:sz w:val="24"/>
                <w:szCs w:val="24"/>
                <w:highlight w:val="none"/>
                <w:lang w:val="en-US" w:eastAsia="zh-CN"/>
              </w:rPr>
              <w:t>4</w:t>
            </w:r>
            <w:r>
              <w:rPr>
                <w:rFonts w:hint="eastAsia"/>
                <w:spacing w:val="-6"/>
                <w:sz w:val="24"/>
                <w:szCs w:val="24"/>
                <w:highlight w:val="none"/>
                <w:lang w:eastAsia="zh-CN"/>
              </w:rPr>
              <w:t>）</w:t>
            </w:r>
            <w:r>
              <w:rPr>
                <w:spacing w:val="-6"/>
                <w:sz w:val="24"/>
                <w:szCs w:val="24"/>
                <w:highlight w:val="none"/>
              </w:rPr>
              <w:t>未提供不得分。</w:t>
            </w:r>
          </w:p>
          <w:p w14:paraId="0E31EBC9">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2" w:right="64" w:firstLine="4"/>
              <w:textAlignment w:val="baseline"/>
              <w:rPr>
                <w:rFonts w:hint="eastAsia" w:eastAsia="宋体"/>
                <w:sz w:val="24"/>
                <w:szCs w:val="24"/>
                <w:highlight w:val="none"/>
                <w:lang w:val="en-US" w:eastAsia="zh-CN"/>
              </w:rPr>
            </w:pPr>
            <w:r>
              <w:rPr>
                <w:spacing w:val="-1"/>
                <w:sz w:val="24"/>
                <w:szCs w:val="24"/>
                <w:highlight w:val="none"/>
              </w:rPr>
              <w:t>2、质保期外：包括但不限于质保期外服务的保障</w:t>
            </w:r>
            <w:r>
              <w:rPr>
                <w:spacing w:val="-2"/>
                <w:sz w:val="24"/>
                <w:szCs w:val="24"/>
                <w:highlight w:val="none"/>
              </w:rPr>
              <w:t>措施、</w:t>
            </w:r>
            <w:r>
              <w:rPr>
                <w:spacing w:val="-3"/>
                <w:sz w:val="24"/>
                <w:szCs w:val="24"/>
                <w:highlight w:val="none"/>
              </w:rPr>
              <w:t>服务内容、定期巡检、升级服务、备品备件配备情况等；</w:t>
            </w:r>
            <w:r>
              <w:rPr>
                <w:spacing w:val="-9"/>
                <w:sz w:val="24"/>
                <w:szCs w:val="24"/>
                <w:highlight w:val="none"/>
              </w:rPr>
              <w:t>对方案的完整性、可靠性， 服务承诺的合理性、可行性等</w:t>
            </w:r>
            <w:r>
              <w:rPr>
                <w:spacing w:val="-2"/>
                <w:sz w:val="24"/>
                <w:szCs w:val="24"/>
                <w:highlight w:val="none"/>
              </w:rPr>
              <w:t>进行综合评价</w:t>
            </w:r>
            <w:r>
              <w:rPr>
                <w:rFonts w:hint="eastAsia"/>
                <w:spacing w:val="-2"/>
                <w:sz w:val="24"/>
                <w:szCs w:val="24"/>
                <w:highlight w:val="none"/>
                <w:lang w:val="en-US" w:eastAsia="zh-CN"/>
              </w:rPr>
              <w:t>.</w:t>
            </w:r>
          </w:p>
          <w:p w14:paraId="47E2FA48">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43" w:right="101" w:hanging="29"/>
              <w:textAlignment w:val="baseline"/>
              <w:rPr>
                <w:sz w:val="24"/>
                <w:szCs w:val="24"/>
                <w:highlight w:val="none"/>
              </w:rPr>
            </w:pPr>
            <w:r>
              <w:rPr>
                <w:rFonts w:hint="eastAsia"/>
                <w:spacing w:val="-9"/>
                <w:sz w:val="24"/>
                <w:szCs w:val="24"/>
                <w:highlight w:val="none"/>
                <w:lang w:eastAsia="zh-CN"/>
              </w:rPr>
              <w:t>（</w:t>
            </w:r>
            <w:r>
              <w:rPr>
                <w:rFonts w:hint="eastAsia"/>
                <w:spacing w:val="-9"/>
                <w:sz w:val="24"/>
                <w:szCs w:val="24"/>
                <w:highlight w:val="none"/>
                <w:lang w:val="en-US" w:eastAsia="zh-CN"/>
              </w:rPr>
              <w:t>1</w:t>
            </w:r>
            <w:r>
              <w:rPr>
                <w:rFonts w:hint="eastAsia"/>
                <w:spacing w:val="-9"/>
                <w:sz w:val="24"/>
                <w:szCs w:val="24"/>
                <w:highlight w:val="none"/>
                <w:lang w:eastAsia="zh-CN"/>
              </w:rPr>
              <w:t>）</w:t>
            </w:r>
            <w:r>
              <w:rPr>
                <w:spacing w:val="-9"/>
                <w:sz w:val="24"/>
                <w:szCs w:val="24"/>
                <w:highlight w:val="none"/>
              </w:rPr>
              <w:t>服务方案非常合理成熟、可靠， 内容非常完善，服务承诺</w:t>
            </w:r>
            <w:r>
              <w:rPr>
                <w:spacing w:val="-5"/>
                <w:sz w:val="24"/>
                <w:szCs w:val="24"/>
                <w:highlight w:val="none"/>
              </w:rPr>
              <w:t>内容非常齐全，可控性、可行性强，得</w:t>
            </w:r>
            <w:r>
              <w:rPr>
                <w:rFonts w:hint="eastAsia"/>
                <w:spacing w:val="-33"/>
                <w:sz w:val="24"/>
                <w:szCs w:val="24"/>
                <w:highlight w:val="none"/>
                <w:lang w:val="en-US" w:eastAsia="zh-CN"/>
              </w:rPr>
              <w:t>8</w:t>
            </w:r>
            <w:r>
              <w:rPr>
                <w:spacing w:val="-5"/>
                <w:sz w:val="24"/>
                <w:szCs w:val="24"/>
                <w:highlight w:val="none"/>
              </w:rPr>
              <w:t>分；</w:t>
            </w:r>
          </w:p>
          <w:p w14:paraId="789E7FFB">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7" w:right="104" w:hanging="3"/>
              <w:textAlignment w:val="baseline"/>
              <w:rPr>
                <w:sz w:val="24"/>
                <w:szCs w:val="24"/>
                <w:highlight w:val="none"/>
              </w:rPr>
            </w:pPr>
            <w:r>
              <w:rPr>
                <w:rFonts w:hint="eastAsia"/>
                <w:spacing w:val="-5"/>
                <w:sz w:val="24"/>
                <w:szCs w:val="24"/>
                <w:highlight w:val="none"/>
                <w:lang w:eastAsia="zh-CN"/>
              </w:rPr>
              <w:t>（</w:t>
            </w:r>
            <w:r>
              <w:rPr>
                <w:rFonts w:hint="eastAsia"/>
                <w:spacing w:val="-5"/>
                <w:sz w:val="24"/>
                <w:szCs w:val="24"/>
                <w:highlight w:val="none"/>
                <w:lang w:val="en-US" w:eastAsia="zh-CN"/>
              </w:rPr>
              <w:t>2</w:t>
            </w:r>
            <w:r>
              <w:rPr>
                <w:rFonts w:hint="eastAsia"/>
                <w:spacing w:val="-5"/>
                <w:sz w:val="24"/>
                <w:szCs w:val="24"/>
                <w:highlight w:val="none"/>
                <w:lang w:eastAsia="zh-CN"/>
              </w:rPr>
              <w:t>）</w:t>
            </w:r>
            <w:r>
              <w:rPr>
                <w:spacing w:val="-5"/>
                <w:sz w:val="24"/>
                <w:szCs w:val="24"/>
                <w:highlight w:val="none"/>
              </w:rPr>
              <w:t>服务方案基本合理成熟，内容基本完善，服务承诺内容可</w:t>
            </w:r>
            <w:r>
              <w:rPr>
                <w:spacing w:val="-6"/>
                <w:sz w:val="24"/>
                <w:szCs w:val="24"/>
                <w:highlight w:val="none"/>
              </w:rPr>
              <w:t>行性基本合理，得</w:t>
            </w:r>
            <w:r>
              <w:rPr>
                <w:spacing w:val="-42"/>
                <w:sz w:val="24"/>
                <w:szCs w:val="24"/>
                <w:highlight w:val="none"/>
              </w:rPr>
              <w:t xml:space="preserve"> </w:t>
            </w:r>
            <w:r>
              <w:rPr>
                <w:rFonts w:hint="eastAsia"/>
                <w:spacing w:val="-6"/>
                <w:sz w:val="24"/>
                <w:szCs w:val="24"/>
                <w:highlight w:val="none"/>
                <w:lang w:val="en-US" w:eastAsia="zh-CN"/>
              </w:rPr>
              <w:t>5</w:t>
            </w:r>
            <w:r>
              <w:rPr>
                <w:spacing w:val="-6"/>
                <w:sz w:val="24"/>
                <w:szCs w:val="24"/>
                <w:highlight w:val="none"/>
              </w:rPr>
              <w:t>分；</w:t>
            </w:r>
          </w:p>
          <w:p w14:paraId="2B5BA5B3">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4"/>
              <w:textAlignment w:val="baseline"/>
              <w:rPr>
                <w:sz w:val="24"/>
                <w:szCs w:val="24"/>
                <w:highlight w:val="none"/>
              </w:rPr>
            </w:pPr>
            <w:r>
              <w:rPr>
                <w:rFonts w:hint="eastAsia"/>
                <w:spacing w:val="-4"/>
                <w:sz w:val="24"/>
                <w:szCs w:val="24"/>
                <w:highlight w:val="none"/>
                <w:lang w:eastAsia="zh-CN"/>
              </w:rPr>
              <w:t>（</w:t>
            </w:r>
            <w:r>
              <w:rPr>
                <w:rFonts w:hint="eastAsia"/>
                <w:spacing w:val="-4"/>
                <w:sz w:val="24"/>
                <w:szCs w:val="24"/>
                <w:highlight w:val="none"/>
                <w:lang w:val="en-US" w:eastAsia="zh-CN"/>
              </w:rPr>
              <w:t>3</w:t>
            </w:r>
            <w:r>
              <w:rPr>
                <w:rFonts w:hint="eastAsia"/>
                <w:spacing w:val="-4"/>
                <w:sz w:val="24"/>
                <w:szCs w:val="24"/>
                <w:highlight w:val="none"/>
                <w:lang w:eastAsia="zh-CN"/>
              </w:rPr>
              <w:t>）</w:t>
            </w:r>
            <w:r>
              <w:rPr>
                <w:spacing w:val="-4"/>
                <w:sz w:val="24"/>
                <w:szCs w:val="24"/>
                <w:highlight w:val="none"/>
              </w:rPr>
              <w:t>服务方案、服务承诺可行性一般，得</w:t>
            </w:r>
            <w:r>
              <w:rPr>
                <w:spacing w:val="-17"/>
                <w:sz w:val="24"/>
                <w:szCs w:val="24"/>
                <w:highlight w:val="none"/>
              </w:rPr>
              <w:t xml:space="preserve"> </w:t>
            </w:r>
            <w:r>
              <w:rPr>
                <w:rFonts w:hint="eastAsia"/>
                <w:spacing w:val="-4"/>
                <w:sz w:val="24"/>
                <w:szCs w:val="24"/>
                <w:highlight w:val="none"/>
                <w:lang w:val="en-US" w:eastAsia="zh-CN"/>
              </w:rPr>
              <w:t>3</w:t>
            </w:r>
            <w:r>
              <w:rPr>
                <w:spacing w:val="-4"/>
                <w:sz w:val="24"/>
                <w:szCs w:val="24"/>
                <w:highlight w:val="none"/>
              </w:rPr>
              <w:t>分。</w:t>
            </w:r>
          </w:p>
          <w:p w14:paraId="42F92BED">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8"/>
              <w:textAlignment w:val="baseline"/>
              <w:rPr>
                <w:sz w:val="24"/>
                <w:szCs w:val="24"/>
                <w:highlight w:val="none"/>
              </w:rPr>
            </w:pPr>
            <w:r>
              <w:rPr>
                <w:rFonts w:hint="eastAsia"/>
                <w:spacing w:val="-6"/>
                <w:sz w:val="24"/>
                <w:szCs w:val="24"/>
                <w:highlight w:val="none"/>
                <w:lang w:eastAsia="zh-CN"/>
              </w:rPr>
              <w:t>（</w:t>
            </w:r>
            <w:r>
              <w:rPr>
                <w:rFonts w:hint="eastAsia"/>
                <w:spacing w:val="-6"/>
                <w:sz w:val="24"/>
                <w:szCs w:val="24"/>
                <w:highlight w:val="none"/>
                <w:lang w:val="en-US" w:eastAsia="zh-CN"/>
              </w:rPr>
              <w:t>4</w:t>
            </w:r>
            <w:r>
              <w:rPr>
                <w:rFonts w:hint="eastAsia"/>
                <w:spacing w:val="-6"/>
                <w:sz w:val="24"/>
                <w:szCs w:val="24"/>
                <w:highlight w:val="none"/>
                <w:lang w:eastAsia="zh-CN"/>
              </w:rPr>
              <w:t>）</w:t>
            </w:r>
            <w:r>
              <w:rPr>
                <w:spacing w:val="-6"/>
                <w:sz w:val="24"/>
                <w:szCs w:val="24"/>
                <w:highlight w:val="none"/>
              </w:rPr>
              <w:t>未提供不得分。</w:t>
            </w:r>
          </w:p>
        </w:tc>
        <w:tc>
          <w:tcPr>
            <w:tcW w:w="842" w:type="dxa"/>
            <w:vAlign w:val="top"/>
          </w:tcPr>
          <w:p w14:paraId="5D115B6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65CB2B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8DB820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BF5BC5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E60FB8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60D252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379969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B13EA9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C6D876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96B96E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0DE9CE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69E83D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4FF5BA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DD98F6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794F08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924CC6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C2AEDEB">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176"/>
              <w:textAlignment w:val="baseline"/>
              <w:rPr>
                <w:sz w:val="24"/>
                <w:szCs w:val="24"/>
                <w:highlight w:val="none"/>
              </w:rPr>
            </w:pPr>
            <w:r>
              <w:rPr>
                <w:rFonts w:hint="eastAsia"/>
                <w:spacing w:val="-10"/>
                <w:sz w:val="24"/>
                <w:szCs w:val="24"/>
                <w:highlight w:val="none"/>
                <w:lang w:val="en-US" w:eastAsia="zh-CN"/>
              </w:rPr>
              <w:t>16</w:t>
            </w:r>
            <w:r>
              <w:rPr>
                <w:spacing w:val="-10"/>
                <w:sz w:val="24"/>
                <w:szCs w:val="24"/>
                <w:highlight w:val="none"/>
              </w:rPr>
              <w:t>分</w:t>
            </w:r>
          </w:p>
        </w:tc>
      </w:tr>
      <w:tr w14:paraId="07272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9" w:hRule="atLeast"/>
        </w:trPr>
        <w:tc>
          <w:tcPr>
            <w:tcW w:w="1156" w:type="dxa"/>
            <w:vMerge w:val="continue"/>
            <w:tcBorders>
              <w:top w:val="nil"/>
            </w:tcBorders>
            <w:vAlign w:val="top"/>
          </w:tcPr>
          <w:p w14:paraId="3FD3D8E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2EB06A6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F29390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F4454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1DFC74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FC7198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31B502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CA4E651">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448" w:right="209" w:hanging="238"/>
              <w:textAlignment w:val="baseline"/>
              <w:rPr>
                <w:sz w:val="24"/>
                <w:szCs w:val="24"/>
                <w:highlight w:val="none"/>
              </w:rPr>
            </w:pPr>
            <w:r>
              <w:rPr>
                <w:spacing w:val="-4"/>
                <w:sz w:val="24"/>
                <w:szCs w:val="24"/>
                <w:highlight w:val="none"/>
              </w:rPr>
              <w:t>培训计</w:t>
            </w:r>
            <w:r>
              <w:rPr>
                <w:sz w:val="24"/>
                <w:szCs w:val="24"/>
                <w:highlight w:val="none"/>
              </w:rPr>
              <w:t>划</w:t>
            </w:r>
          </w:p>
        </w:tc>
        <w:tc>
          <w:tcPr>
            <w:tcW w:w="6092" w:type="dxa"/>
            <w:vAlign w:val="top"/>
          </w:tcPr>
          <w:p w14:paraId="76B21C21">
            <w:pPr>
              <w:pStyle w:val="24"/>
              <w:keepNext w:val="0"/>
              <w:keepLines w:val="0"/>
              <w:pageBreakBefore w:val="0"/>
              <w:widowControl/>
              <w:kinsoku w:val="0"/>
              <w:wordWrap/>
              <w:overflowPunct/>
              <w:topLinePunct w:val="0"/>
              <w:autoSpaceDE w:val="0"/>
              <w:autoSpaceDN w:val="0"/>
              <w:bidi w:val="0"/>
              <w:adjustRightInd w:val="0"/>
              <w:snapToGrid w:val="0"/>
              <w:spacing w:before="116" w:line="300" w:lineRule="exact"/>
              <w:ind w:left="112" w:right="104"/>
              <w:textAlignment w:val="baseline"/>
              <w:rPr>
                <w:sz w:val="24"/>
                <w:szCs w:val="24"/>
                <w:highlight w:val="none"/>
              </w:rPr>
            </w:pPr>
            <w:r>
              <w:rPr>
                <w:spacing w:val="-4"/>
                <w:sz w:val="24"/>
                <w:szCs w:val="24"/>
                <w:highlight w:val="none"/>
              </w:rPr>
              <w:t>评标专家对供应商培训实施计划实用性、培</w:t>
            </w:r>
            <w:r>
              <w:rPr>
                <w:spacing w:val="-5"/>
                <w:sz w:val="24"/>
                <w:szCs w:val="24"/>
                <w:highlight w:val="none"/>
              </w:rPr>
              <w:t>训实施计划先</w:t>
            </w:r>
            <w:r>
              <w:rPr>
                <w:spacing w:val="-7"/>
                <w:sz w:val="24"/>
                <w:szCs w:val="24"/>
                <w:highlight w:val="none"/>
              </w:rPr>
              <w:t>进性、人力资源保障与投入等方面进行打分，</w:t>
            </w:r>
            <w:r>
              <w:rPr>
                <w:spacing w:val="-48"/>
                <w:sz w:val="24"/>
                <w:szCs w:val="24"/>
                <w:highlight w:val="none"/>
              </w:rPr>
              <w:t xml:space="preserve"> </w:t>
            </w:r>
            <w:r>
              <w:rPr>
                <w:spacing w:val="-7"/>
                <w:sz w:val="24"/>
                <w:szCs w:val="24"/>
                <w:highlight w:val="none"/>
              </w:rPr>
              <w:t>未提供</w:t>
            </w:r>
            <w:r>
              <w:rPr>
                <w:spacing w:val="-8"/>
                <w:sz w:val="24"/>
                <w:szCs w:val="24"/>
                <w:highlight w:val="none"/>
              </w:rPr>
              <w:t>不得</w:t>
            </w:r>
            <w:r>
              <w:rPr>
                <w:spacing w:val="-11"/>
                <w:sz w:val="24"/>
                <w:szCs w:val="24"/>
                <w:highlight w:val="none"/>
              </w:rPr>
              <w:t>分。</w:t>
            </w:r>
          </w:p>
          <w:p w14:paraId="2834E5A1">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right="101"/>
              <w:textAlignment w:val="baseline"/>
              <w:rPr>
                <w:sz w:val="24"/>
                <w:szCs w:val="24"/>
                <w:highlight w:val="none"/>
              </w:rPr>
            </w:pPr>
            <w:r>
              <w:rPr>
                <w:spacing w:val="-9"/>
                <w:sz w:val="24"/>
                <w:szCs w:val="24"/>
                <w:highlight w:val="none"/>
              </w:rPr>
              <w:t>培训计划全面合理、可行性强、针对性强， 优于采购人需</w:t>
            </w:r>
            <w:r>
              <w:rPr>
                <w:spacing w:val="-10"/>
                <w:sz w:val="24"/>
                <w:szCs w:val="24"/>
                <w:highlight w:val="none"/>
              </w:rPr>
              <w:t>求的得</w:t>
            </w:r>
            <w:r>
              <w:rPr>
                <w:spacing w:val="14"/>
                <w:sz w:val="24"/>
                <w:szCs w:val="24"/>
                <w:highlight w:val="none"/>
              </w:rPr>
              <w:t xml:space="preserve"> </w:t>
            </w:r>
            <w:r>
              <w:rPr>
                <w:rFonts w:hint="eastAsia"/>
                <w:spacing w:val="-10"/>
                <w:sz w:val="24"/>
                <w:szCs w:val="24"/>
                <w:highlight w:val="none"/>
                <w:lang w:val="en-US" w:eastAsia="zh-CN"/>
              </w:rPr>
              <w:t>10</w:t>
            </w:r>
            <w:r>
              <w:rPr>
                <w:spacing w:val="-48"/>
                <w:sz w:val="24"/>
                <w:szCs w:val="24"/>
                <w:highlight w:val="none"/>
              </w:rPr>
              <w:t xml:space="preserve"> </w:t>
            </w:r>
            <w:r>
              <w:rPr>
                <w:spacing w:val="-10"/>
                <w:sz w:val="24"/>
                <w:szCs w:val="24"/>
                <w:highlight w:val="none"/>
              </w:rPr>
              <w:t>分；</w:t>
            </w:r>
          </w:p>
          <w:p w14:paraId="027239C8">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right="101"/>
              <w:textAlignment w:val="baseline"/>
              <w:rPr>
                <w:sz w:val="24"/>
                <w:szCs w:val="24"/>
                <w:highlight w:val="none"/>
              </w:rPr>
            </w:pPr>
            <w:r>
              <w:rPr>
                <w:spacing w:val="-9"/>
                <w:sz w:val="24"/>
                <w:szCs w:val="24"/>
                <w:highlight w:val="none"/>
              </w:rPr>
              <w:t>培训计划基本全面、可行性较强、针对性较强， 符合采购</w:t>
            </w:r>
            <w:r>
              <w:rPr>
                <w:spacing w:val="-6"/>
                <w:sz w:val="24"/>
                <w:szCs w:val="24"/>
                <w:highlight w:val="none"/>
              </w:rPr>
              <w:t>人需求的得</w:t>
            </w:r>
            <w:r>
              <w:rPr>
                <w:rFonts w:hint="eastAsia"/>
                <w:spacing w:val="20"/>
                <w:sz w:val="24"/>
                <w:szCs w:val="24"/>
                <w:highlight w:val="none"/>
                <w:lang w:val="en-US" w:eastAsia="zh-CN"/>
              </w:rPr>
              <w:t>5</w:t>
            </w:r>
            <w:r>
              <w:rPr>
                <w:spacing w:val="-6"/>
                <w:sz w:val="24"/>
                <w:szCs w:val="24"/>
                <w:highlight w:val="none"/>
              </w:rPr>
              <w:t>分；</w:t>
            </w:r>
          </w:p>
          <w:p w14:paraId="3330E46A">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right="101" w:firstLine="1"/>
              <w:textAlignment w:val="baseline"/>
              <w:rPr>
                <w:spacing w:val="-5"/>
                <w:sz w:val="24"/>
                <w:szCs w:val="24"/>
                <w:highlight w:val="none"/>
              </w:rPr>
            </w:pPr>
            <w:r>
              <w:rPr>
                <w:spacing w:val="-4"/>
                <w:sz w:val="24"/>
                <w:szCs w:val="24"/>
                <w:highlight w:val="none"/>
              </w:rPr>
              <w:t>培训计划基本合理、可行性一般、针对性一般</w:t>
            </w:r>
            <w:r>
              <w:rPr>
                <w:spacing w:val="-5"/>
                <w:sz w:val="24"/>
                <w:szCs w:val="24"/>
                <w:highlight w:val="none"/>
              </w:rPr>
              <w:t>，基本满足采购人需求的得</w:t>
            </w:r>
            <w:r>
              <w:rPr>
                <w:rFonts w:hint="eastAsia"/>
                <w:spacing w:val="34"/>
                <w:sz w:val="24"/>
                <w:szCs w:val="24"/>
                <w:highlight w:val="none"/>
                <w:lang w:val="en-US" w:eastAsia="zh-CN"/>
              </w:rPr>
              <w:t>3</w:t>
            </w:r>
            <w:r>
              <w:rPr>
                <w:spacing w:val="-5"/>
                <w:sz w:val="24"/>
                <w:szCs w:val="24"/>
                <w:highlight w:val="none"/>
              </w:rPr>
              <w:t>分。</w:t>
            </w:r>
          </w:p>
          <w:p w14:paraId="35D84739">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right="101" w:firstLine="1"/>
              <w:textAlignment w:val="baseline"/>
              <w:rPr>
                <w:rFonts w:hint="default" w:eastAsia="宋体"/>
                <w:spacing w:val="-5"/>
                <w:sz w:val="24"/>
                <w:szCs w:val="24"/>
                <w:highlight w:val="none"/>
                <w:lang w:val="en-US" w:eastAsia="zh-CN"/>
              </w:rPr>
            </w:pPr>
            <w:r>
              <w:rPr>
                <w:rFonts w:hint="eastAsia"/>
                <w:spacing w:val="-5"/>
                <w:sz w:val="24"/>
                <w:szCs w:val="24"/>
                <w:highlight w:val="none"/>
                <w:lang w:val="en-US" w:eastAsia="zh-CN"/>
              </w:rPr>
              <w:t>不提供不得分。</w:t>
            </w:r>
          </w:p>
        </w:tc>
        <w:tc>
          <w:tcPr>
            <w:tcW w:w="842" w:type="dxa"/>
            <w:vAlign w:val="top"/>
          </w:tcPr>
          <w:p w14:paraId="56B7408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92B60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2DF495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C70800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908B4F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295F5A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F2D3892">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0"/>
              <w:textAlignment w:val="baseline"/>
              <w:rPr>
                <w:sz w:val="24"/>
                <w:szCs w:val="24"/>
                <w:highlight w:val="none"/>
              </w:rPr>
            </w:pPr>
            <w:r>
              <w:rPr>
                <w:rFonts w:hint="eastAsia"/>
                <w:spacing w:val="-6"/>
                <w:sz w:val="24"/>
                <w:szCs w:val="24"/>
                <w:highlight w:val="none"/>
                <w:lang w:val="en-US" w:eastAsia="zh-CN"/>
              </w:rPr>
              <w:t>10</w:t>
            </w:r>
            <w:r>
              <w:rPr>
                <w:spacing w:val="-6"/>
                <w:sz w:val="24"/>
                <w:szCs w:val="24"/>
                <w:highlight w:val="none"/>
              </w:rPr>
              <w:t>分</w:t>
            </w:r>
          </w:p>
        </w:tc>
      </w:tr>
      <w:tr w14:paraId="36D81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1156" w:type="dxa"/>
            <w:vMerge w:val="restart"/>
            <w:tcBorders>
              <w:bottom w:val="nil"/>
            </w:tcBorders>
            <w:vAlign w:val="top"/>
          </w:tcPr>
          <w:p w14:paraId="596C8E1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974347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536286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9F8CA4">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449" w:right="209" w:hanging="238"/>
              <w:textAlignment w:val="baseline"/>
              <w:rPr>
                <w:sz w:val="24"/>
                <w:szCs w:val="24"/>
                <w:highlight w:val="none"/>
              </w:rPr>
            </w:pPr>
            <w:r>
              <w:rPr>
                <w:spacing w:val="-5"/>
                <w:sz w:val="24"/>
                <w:szCs w:val="24"/>
                <w:highlight w:val="none"/>
              </w:rPr>
              <w:t>综合评</w:t>
            </w:r>
            <w:r>
              <w:rPr>
                <w:sz w:val="24"/>
                <w:szCs w:val="24"/>
                <w:highlight w:val="none"/>
              </w:rPr>
              <w:t>价</w:t>
            </w:r>
          </w:p>
        </w:tc>
        <w:tc>
          <w:tcPr>
            <w:tcW w:w="6118" w:type="dxa"/>
            <w:gridSpan w:val="2"/>
            <w:vAlign w:val="top"/>
          </w:tcPr>
          <w:p w14:paraId="0209AC7C">
            <w:pPr>
              <w:pStyle w:val="24"/>
              <w:keepNext w:val="0"/>
              <w:keepLines w:val="0"/>
              <w:pageBreakBefore w:val="0"/>
              <w:widowControl/>
              <w:kinsoku w:val="0"/>
              <w:wordWrap/>
              <w:overflowPunct/>
              <w:topLinePunct w:val="0"/>
              <w:autoSpaceDE w:val="0"/>
              <w:autoSpaceDN w:val="0"/>
              <w:bidi w:val="0"/>
              <w:adjustRightInd w:val="0"/>
              <w:snapToGrid w:val="0"/>
              <w:spacing w:before="118" w:line="300" w:lineRule="exact"/>
              <w:ind w:left="115" w:right="104" w:hanging="2"/>
              <w:textAlignment w:val="baseline"/>
              <w:rPr>
                <w:sz w:val="24"/>
                <w:szCs w:val="24"/>
                <w:highlight w:val="none"/>
              </w:rPr>
            </w:pPr>
            <w:r>
              <w:rPr>
                <w:spacing w:val="-4"/>
                <w:sz w:val="24"/>
                <w:szCs w:val="24"/>
                <w:highlight w:val="none"/>
              </w:rPr>
              <w:t>评审专家根据投标产品的综合性能、先进性</w:t>
            </w:r>
            <w:r>
              <w:rPr>
                <w:spacing w:val="-5"/>
                <w:sz w:val="24"/>
                <w:szCs w:val="24"/>
                <w:highlight w:val="none"/>
              </w:rPr>
              <w:t>、临床实用性</w:t>
            </w:r>
            <w:r>
              <w:rPr>
                <w:spacing w:val="-6"/>
                <w:sz w:val="24"/>
                <w:szCs w:val="24"/>
                <w:highlight w:val="none"/>
              </w:rPr>
              <w:t>等进行综合评价。</w:t>
            </w:r>
          </w:p>
          <w:p w14:paraId="492305BD">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4" w:right="543"/>
              <w:textAlignment w:val="baseline"/>
              <w:rPr>
                <w:sz w:val="24"/>
                <w:szCs w:val="24"/>
                <w:highlight w:val="none"/>
              </w:rPr>
            </w:pPr>
            <w:r>
              <w:rPr>
                <w:spacing w:val="-4"/>
                <w:sz w:val="24"/>
                <w:szCs w:val="24"/>
                <w:highlight w:val="none"/>
              </w:rPr>
              <w:t>产品综合性能优、技术先进、临床实用性强得</w:t>
            </w:r>
            <w:r>
              <w:rPr>
                <w:spacing w:val="-46"/>
                <w:sz w:val="24"/>
                <w:szCs w:val="24"/>
                <w:highlight w:val="none"/>
              </w:rPr>
              <w:t xml:space="preserve"> </w:t>
            </w:r>
            <w:r>
              <w:rPr>
                <w:spacing w:val="-4"/>
                <w:sz w:val="24"/>
                <w:szCs w:val="24"/>
                <w:highlight w:val="none"/>
              </w:rPr>
              <w:t>6</w:t>
            </w:r>
            <w:r>
              <w:rPr>
                <w:spacing w:val="-48"/>
                <w:sz w:val="24"/>
                <w:szCs w:val="24"/>
                <w:highlight w:val="none"/>
              </w:rPr>
              <w:t xml:space="preserve"> </w:t>
            </w:r>
            <w:r>
              <w:rPr>
                <w:spacing w:val="-4"/>
                <w:sz w:val="24"/>
                <w:szCs w:val="24"/>
                <w:highlight w:val="none"/>
              </w:rPr>
              <w:t>分；</w:t>
            </w:r>
            <w:r>
              <w:rPr>
                <w:spacing w:val="-3"/>
                <w:sz w:val="24"/>
                <w:szCs w:val="24"/>
                <w:highlight w:val="none"/>
              </w:rPr>
              <w:t>产品综合性能较高、技术较先进较高，得</w:t>
            </w:r>
            <w:r>
              <w:rPr>
                <w:spacing w:val="-41"/>
                <w:sz w:val="24"/>
                <w:szCs w:val="24"/>
                <w:highlight w:val="none"/>
              </w:rPr>
              <w:t xml:space="preserve"> </w:t>
            </w:r>
            <w:r>
              <w:rPr>
                <w:spacing w:val="-3"/>
                <w:sz w:val="24"/>
                <w:szCs w:val="24"/>
                <w:highlight w:val="none"/>
              </w:rPr>
              <w:t>4</w:t>
            </w:r>
            <w:r>
              <w:rPr>
                <w:spacing w:val="-48"/>
                <w:sz w:val="24"/>
                <w:szCs w:val="24"/>
                <w:highlight w:val="none"/>
              </w:rPr>
              <w:t xml:space="preserve"> </w:t>
            </w:r>
            <w:r>
              <w:rPr>
                <w:spacing w:val="-3"/>
                <w:sz w:val="24"/>
                <w:szCs w:val="24"/>
                <w:highlight w:val="none"/>
              </w:rPr>
              <w:t>分；</w:t>
            </w:r>
          </w:p>
          <w:p w14:paraId="5A9EFD80">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4"/>
              <w:textAlignment w:val="baseline"/>
              <w:rPr>
                <w:rFonts w:hint="default" w:eastAsia="宋体"/>
                <w:spacing w:val="-3"/>
                <w:sz w:val="24"/>
                <w:szCs w:val="24"/>
                <w:highlight w:val="none"/>
                <w:lang w:val="en-US" w:eastAsia="zh-CN"/>
              </w:rPr>
            </w:pPr>
            <w:r>
              <w:rPr>
                <w:spacing w:val="-3"/>
                <w:sz w:val="24"/>
                <w:szCs w:val="24"/>
                <w:highlight w:val="none"/>
              </w:rPr>
              <w:t>产品综合性能一般、技术一般、得</w:t>
            </w:r>
            <w:r>
              <w:rPr>
                <w:spacing w:val="-39"/>
                <w:sz w:val="24"/>
                <w:szCs w:val="24"/>
                <w:highlight w:val="none"/>
              </w:rPr>
              <w:t xml:space="preserve"> </w:t>
            </w:r>
            <w:r>
              <w:rPr>
                <w:spacing w:val="-3"/>
                <w:sz w:val="24"/>
                <w:szCs w:val="24"/>
                <w:highlight w:val="none"/>
              </w:rPr>
              <w:t>2</w:t>
            </w:r>
            <w:r>
              <w:rPr>
                <w:spacing w:val="-48"/>
                <w:sz w:val="24"/>
                <w:szCs w:val="24"/>
                <w:highlight w:val="none"/>
              </w:rPr>
              <w:t xml:space="preserve"> </w:t>
            </w:r>
            <w:r>
              <w:rPr>
                <w:spacing w:val="-3"/>
                <w:sz w:val="24"/>
                <w:szCs w:val="24"/>
                <w:highlight w:val="none"/>
              </w:rPr>
              <w:t>分。</w:t>
            </w:r>
          </w:p>
        </w:tc>
        <w:tc>
          <w:tcPr>
            <w:tcW w:w="842" w:type="dxa"/>
            <w:vAlign w:val="top"/>
          </w:tcPr>
          <w:p w14:paraId="7F6BD40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81AC02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029670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1F5D4AC">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0"/>
              <w:textAlignment w:val="baseline"/>
              <w:rPr>
                <w:sz w:val="24"/>
                <w:szCs w:val="24"/>
                <w:highlight w:val="none"/>
              </w:rPr>
            </w:pPr>
            <w:r>
              <w:rPr>
                <w:spacing w:val="-6"/>
                <w:sz w:val="24"/>
                <w:szCs w:val="24"/>
                <w:highlight w:val="none"/>
              </w:rPr>
              <w:t>6</w:t>
            </w:r>
            <w:r>
              <w:rPr>
                <w:spacing w:val="-48"/>
                <w:sz w:val="24"/>
                <w:szCs w:val="24"/>
                <w:highlight w:val="none"/>
              </w:rPr>
              <w:t xml:space="preserve"> </w:t>
            </w:r>
            <w:r>
              <w:rPr>
                <w:spacing w:val="-6"/>
                <w:sz w:val="24"/>
                <w:szCs w:val="24"/>
                <w:highlight w:val="none"/>
              </w:rPr>
              <w:t>分</w:t>
            </w:r>
          </w:p>
        </w:tc>
      </w:tr>
      <w:tr w14:paraId="2CA9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156" w:type="dxa"/>
            <w:vMerge w:val="continue"/>
            <w:tcBorders>
              <w:top w:val="nil"/>
              <w:bottom w:val="nil"/>
            </w:tcBorders>
            <w:vAlign w:val="top"/>
          </w:tcPr>
          <w:p w14:paraId="26232CC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8363D30">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1" w:right="106" w:hanging="1"/>
              <w:textAlignment w:val="baseline"/>
              <w:rPr>
                <w:sz w:val="24"/>
                <w:szCs w:val="24"/>
                <w:highlight w:val="none"/>
              </w:rPr>
            </w:pPr>
            <w:r>
              <w:rPr>
                <w:spacing w:val="-10"/>
                <w:sz w:val="24"/>
                <w:szCs w:val="24"/>
                <w:highlight w:val="none"/>
              </w:rPr>
              <w:t>节 能 清</w:t>
            </w:r>
            <w:r>
              <w:rPr>
                <w:spacing w:val="-3"/>
                <w:sz w:val="24"/>
                <w:szCs w:val="24"/>
                <w:highlight w:val="none"/>
              </w:rPr>
              <w:t>单产品</w:t>
            </w:r>
          </w:p>
        </w:tc>
        <w:tc>
          <w:tcPr>
            <w:tcW w:w="6118" w:type="dxa"/>
            <w:gridSpan w:val="2"/>
            <w:vAlign w:val="top"/>
          </w:tcPr>
          <w:p w14:paraId="5A38F9FF">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2" w:right="101" w:firstLine="16"/>
              <w:textAlignment w:val="baseline"/>
              <w:rPr>
                <w:sz w:val="24"/>
                <w:szCs w:val="24"/>
                <w:highlight w:val="none"/>
              </w:rPr>
            </w:pPr>
            <w:r>
              <w:rPr>
                <w:spacing w:val="-5"/>
                <w:sz w:val="24"/>
                <w:szCs w:val="24"/>
                <w:highlight w:val="none"/>
              </w:rPr>
              <w:t>除政府采购强制节能产品外，投标产品为节能产品政府采</w:t>
            </w:r>
            <w:r>
              <w:rPr>
                <w:spacing w:val="-3"/>
                <w:sz w:val="24"/>
                <w:szCs w:val="24"/>
                <w:highlight w:val="none"/>
              </w:rPr>
              <w:t>购品目清单内产品，每有一项加 0.5 分，最多加</w:t>
            </w:r>
            <w:r>
              <w:rPr>
                <w:spacing w:val="-18"/>
                <w:sz w:val="24"/>
                <w:szCs w:val="24"/>
                <w:highlight w:val="none"/>
              </w:rPr>
              <w:t xml:space="preserve"> </w:t>
            </w:r>
            <w:r>
              <w:rPr>
                <w:spacing w:val="-3"/>
                <w:sz w:val="24"/>
                <w:szCs w:val="24"/>
                <w:highlight w:val="none"/>
              </w:rPr>
              <w:t>1 分。</w:t>
            </w:r>
          </w:p>
        </w:tc>
        <w:tc>
          <w:tcPr>
            <w:tcW w:w="842" w:type="dxa"/>
            <w:vAlign w:val="top"/>
          </w:tcPr>
          <w:p w14:paraId="34AE0DC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2D8098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36"/>
              <w:textAlignment w:val="baseline"/>
              <w:rPr>
                <w:sz w:val="24"/>
                <w:szCs w:val="24"/>
                <w:highlight w:val="none"/>
              </w:rPr>
            </w:pPr>
            <w:r>
              <w:rPr>
                <w:spacing w:val="-14"/>
                <w:sz w:val="24"/>
                <w:szCs w:val="24"/>
                <w:highlight w:val="none"/>
              </w:rPr>
              <w:t>1</w:t>
            </w:r>
            <w:r>
              <w:rPr>
                <w:spacing w:val="-48"/>
                <w:sz w:val="24"/>
                <w:szCs w:val="24"/>
                <w:highlight w:val="none"/>
              </w:rPr>
              <w:t xml:space="preserve"> </w:t>
            </w:r>
            <w:r>
              <w:rPr>
                <w:spacing w:val="-14"/>
                <w:sz w:val="24"/>
                <w:szCs w:val="24"/>
                <w:highlight w:val="none"/>
              </w:rPr>
              <w:t>分</w:t>
            </w:r>
          </w:p>
        </w:tc>
      </w:tr>
      <w:tr w14:paraId="0336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1156" w:type="dxa"/>
            <w:vMerge w:val="continue"/>
            <w:tcBorders>
              <w:top w:val="nil"/>
            </w:tcBorders>
            <w:vAlign w:val="top"/>
          </w:tcPr>
          <w:p w14:paraId="668EDC3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FF1A1C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F8E6B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8BE136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9BE071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111" w:right="106" w:hanging="1"/>
              <w:textAlignment w:val="baseline"/>
              <w:rPr>
                <w:sz w:val="24"/>
                <w:szCs w:val="24"/>
                <w:highlight w:val="none"/>
              </w:rPr>
            </w:pPr>
            <w:r>
              <w:rPr>
                <w:spacing w:val="-10"/>
                <w:sz w:val="24"/>
                <w:szCs w:val="24"/>
                <w:highlight w:val="none"/>
              </w:rPr>
              <w:t>环 保</w:t>
            </w:r>
            <w:r>
              <w:rPr>
                <w:spacing w:val="-9"/>
                <w:sz w:val="24"/>
                <w:szCs w:val="24"/>
                <w:highlight w:val="none"/>
              </w:rPr>
              <w:t xml:space="preserve"> </w:t>
            </w:r>
            <w:r>
              <w:rPr>
                <w:spacing w:val="-10"/>
                <w:sz w:val="24"/>
                <w:szCs w:val="24"/>
                <w:highlight w:val="none"/>
              </w:rPr>
              <w:t>清</w:t>
            </w:r>
            <w:r>
              <w:rPr>
                <w:spacing w:val="-3"/>
                <w:sz w:val="24"/>
                <w:szCs w:val="24"/>
                <w:highlight w:val="none"/>
              </w:rPr>
              <w:t>单产品</w:t>
            </w:r>
          </w:p>
        </w:tc>
        <w:tc>
          <w:tcPr>
            <w:tcW w:w="6118" w:type="dxa"/>
            <w:gridSpan w:val="2"/>
            <w:vAlign w:val="top"/>
          </w:tcPr>
          <w:p w14:paraId="005C957D">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5" w:right="104" w:firstLine="1"/>
              <w:textAlignment w:val="baseline"/>
              <w:rPr>
                <w:sz w:val="24"/>
                <w:szCs w:val="24"/>
                <w:highlight w:val="none"/>
              </w:rPr>
            </w:pPr>
            <w:r>
              <w:rPr>
                <w:spacing w:val="-5"/>
                <w:sz w:val="24"/>
                <w:szCs w:val="24"/>
                <w:highlight w:val="none"/>
              </w:rPr>
              <w:t>投标产品为环境标志产品政府采购品目清单内的产品，每有一项加</w:t>
            </w:r>
            <w:r>
              <w:rPr>
                <w:spacing w:val="-42"/>
                <w:sz w:val="24"/>
                <w:szCs w:val="24"/>
                <w:highlight w:val="none"/>
              </w:rPr>
              <w:t xml:space="preserve"> </w:t>
            </w:r>
            <w:r>
              <w:rPr>
                <w:spacing w:val="-5"/>
                <w:sz w:val="24"/>
                <w:szCs w:val="24"/>
                <w:highlight w:val="none"/>
              </w:rPr>
              <w:t>0.5 分，最多加</w:t>
            </w:r>
            <w:r>
              <w:rPr>
                <w:spacing w:val="28"/>
                <w:sz w:val="24"/>
                <w:szCs w:val="24"/>
                <w:highlight w:val="none"/>
              </w:rPr>
              <w:t xml:space="preserve"> </w:t>
            </w:r>
            <w:r>
              <w:rPr>
                <w:spacing w:val="-5"/>
                <w:sz w:val="24"/>
                <w:szCs w:val="24"/>
                <w:highlight w:val="none"/>
              </w:rPr>
              <w:t>1</w:t>
            </w:r>
            <w:r>
              <w:rPr>
                <w:spacing w:val="12"/>
                <w:sz w:val="24"/>
                <w:szCs w:val="24"/>
                <w:highlight w:val="none"/>
              </w:rPr>
              <w:t xml:space="preserve"> </w:t>
            </w:r>
            <w:r>
              <w:rPr>
                <w:spacing w:val="-5"/>
                <w:sz w:val="24"/>
                <w:szCs w:val="24"/>
                <w:highlight w:val="none"/>
              </w:rPr>
              <w:t>分。</w:t>
            </w:r>
          </w:p>
          <w:p w14:paraId="112701D9">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firstLine="3"/>
              <w:textAlignment w:val="baseline"/>
              <w:rPr>
                <w:sz w:val="24"/>
                <w:szCs w:val="24"/>
                <w:highlight w:val="none"/>
              </w:rPr>
            </w:pPr>
            <w:r>
              <w:rPr>
                <w:spacing w:val="5"/>
                <w:sz w:val="24"/>
                <w:szCs w:val="24"/>
                <w:highlight w:val="none"/>
              </w:rPr>
              <w:t>投标供应商须在投标文件中附该产品在环境标志产品政</w:t>
            </w:r>
            <w:r>
              <w:rPr>
                <w:spacing w:val="-5"/>
                <w:sz w:val="24"/>
                <w:szCs w:val="24"/>
                <w:highlight w:val="none"/>
              </w:rPr>
              <w:t>府采购品目清单所在页的扫描件，及国家确定的认证机构</w:t>
            </w:r>
            <w:r>
              <w:rPr>
                <w:spacing w:val="-10"/>
                <w:sz w:val="24"/>
                <w:szCs w:val="24"/>
                <w:highlight w:val="none"/>
              </w:rPr>
              <w:t>出具的、处于有效期之内的《中国环境标志产品认证证书》</w:t>
            </w:r>
            <w:r>
              <w:rPr>
                <w:spacing w:val="-4"/>
                <w:sz w:val="24"/>
                <w:szCs w:val="24"/>
                <w:highlight w:val="none"/>
              </w:rPr>
              <w:t>扫描件，否则不予认可。</w:t>
            </w:r>
          </w:p>
        </w:tc>
        <w:tc>
          <w:tcPr>
            <w:tcW w:w="842" w:type="dxa"/>
            <w:vAlign w:val="top"/>
          </w:tcPr>
          <w:p w14:paraId="240CA24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A9B7C8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34940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A238B9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ACFA0C">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36"/>
              <w:textAlignment w:val="baseline"/>
              <w:rPr>
                <w:sz w:val="24"/>
                <w:szCs w:val="24"/>
                <w:highlight w:val="none"/>
              </w:rPr>
            </w:pPr>
            <w:r>
              <w:rPr>
                <w:spacing w:val="-14"/>
                <w:sz w:val="24"/>
                <w:szCs w:val="24"/>
                <w:highlight w:val="none"/>
              </w:rPr>
              <w:t>1</w:t>
            </w:r>
            <w:r>
              <w:rPr>
                <w:spacing w:val="-48"/>
                <w:sz w:val="24"/>
                <w:szCs w:val="24"/>
                <w:highlight w:val="none"/>
              </w:rPr>
              <w:t xml:space="preserve"> </w:t>
            </w:r>
            <w:r>
              <w:rPr>
                <w:spacing w:val="-14"/>
                <w:sz w:val="24"/>
                <w:szCs w:val="24"/>
                <w:highlight w:val="none"/>
              </w:rPr>
              <w:t>分</w:t>
            </w:r>
          </w:p>
        </w:tc>
      </w:tr>
    </w:tbl>
    <w:p w14:paraId="53DFD652">
      <w:pPr>
        <w:pStyle w:val="4"/>
        <w:spacing w:before="146" w:line="220" w:lineRule="auto"/>
        <w:rPr>
          <w:sz w:val="24"/>
          <w:szCs w:val="24"/>
          <w:highlight w:val="none"/>
        </w:rPr>
      </w:pPr>
      <w:r>
        <w:rPr>
          <w:spacing w:val="-3"/>
          <w:sz w:val="24"/>
          <w:szCs w:val="24"/>
          <w:highlight w:val="none"/>
        </w:rPr>
        <w:t>以上项目若有缺项的，该项为</w:t>
      </w:r>
      <w:r>
        <w:rPr>
          <w:spacing w:val="-48"/>
          <w:sz w:val="24"/>
          <w:szCs w:val="24"/>
          <w:highlight w:val="none"/>
        </w:rPr>
        <w:t xml:space="preserve"> </w:t>
      </w:r>
      <w:r>
        <w:rPr>
          <w:spacing w:val="-3"/>
          <w:sz w:val="24"/>
          <w:szCs w:val="24"/>
          <w:highlight w:val="none"/>
        </w:rPr>
        <w:t>0</w:t>
      </w:r>
      <w:r>
        <w:rPr>
          <w:spacing w:val="-48"/>
          <w:sz w:val="24"/>
          <w:szCs w:val="24"/>
          <w:highlight w:val="none"/>
        </w:rPr>
        <w:t xml:space="preserve"> </w:t>
      </w:r>
      <w:r>
        <w:rPr>
          <w:spacing w:val="-3"/>
          <w:sz w:val="24"/>
          <w:szCs w:val="24"/>
          <w:highlight w:val="none"/>
        </w:rPr>
        <w:t>分；不缺项</w:t>
      </w:r>
      <w:r>
        <w:rPr>
          <w:spacing w:val="-4"/>
          <w:sz w:val="24"/>
          <w:szCs w:val="24"/>
          <w:highlight w:val="none"/>
        </w:rPr>
        <w:t>的，不低于最低分。</w:t>
      </w:r>
    </w:p>
    <w:p w14:paraId="2EBA80EA">
      <w:pPr>
        <w:pStyle w:val="4"/>
        <w:spacing w:before="138" w:line="325" w:lineRule="auto"/>
        <w:ind w:left="181" w:right="166" w:firstLine="228"/>
        <w:rPr>
          <w:b/>
          <w:bCs/>
          <w:spacing w:val="-4"/>
          <w:sz w:val="24"/>
          <w:szCs w:val="24"/>
          <w:highlight w:val="none"/>
        </w:rPr>
      </w:pPr>
      <w:r>
        <w:rPr>
          <w:b/>
          <w:bCs/>
          <w:spacing w:val="-3"/>
          <w:sz w:val="24"/>
          <w:szCs w:val="24"/>
          <w:highlight w:val="none"/>
        </w:rPr>
        <w:t>注:评标打分部分仍按照</w:t>
      </w:r>
      <w:r>
        <w:rPr>
          <w:spacing w:val="-3"/>
          <w:sz w:val="24"/>
          <w:szCs w:val="24"/>
          <w:highlight w:val="none"/>
        </w:rPr>
        <w:t xml:space="preserve"> </w:t>
      </w:r>
      <w:r>
        <w:rPr>
          <w:b/>
          <w:bCs/>
          <w:spacing w:val="-3"/>
          <w:sz w:val="24"/>
          <w:szCs w:val="24"/>
          <w:highlight w:val="none"/>
        </w:rPr>
        <w:t>100</w:t>
      </w:r>
      <w:r>
        <w:rPr>
          <w:spacing w:val="-29"/>
          <w:sz w:val="24"/>
          <w:szCs w:val="24"/>
          <w:highlight w:val="none"/>
        </w:rPr>
        <w:t xml:space="preserve"> </w:t>
      </w:r>
      <w:r>
        <w:rPr>
          <w:b/>
          <w:bCs/>
          <w:spacing w:val="-3"/>
          <w:sz w:val="24"/>
          <w:szCs w:val="24"/>
          <w:highlight w:val="none"/>
        </w:rPr>
        <w:t>分制原则进行，涉及到资</w:t>
      </w:r>
      <w:r>
        <w:rPr>
          <w:b/>
          <w:bCs/>
          <w:spacing w:val="-4"/>
          <w:sz w:val="24"/>
          <w:szCs w:val="24"/>
          <w:highlight w:val="none"/>
        </w:rPr>
        <w:t>格审查、企业业绩等计分部分时，以投标单位自行上传到投标文件中的相应内容为准。</w:t>
      </w:r>
    </w:p>
    <w:p w14:paraId="5B1D3FC5">
      <w:pPr>
        <w:pStyle w:val="4"/>
        <w:spacing w:before="138" w:line="325" w:lineRule="auto"/>
        <w:ind w:left="181" w:right="166" w:firstLine="228"/>
        <w:rPr>
          <w:b/>
          <w:bCs/>
          <w:spacing w:val="-4"/>
          <w:sz w:val="24"/>
          <w:szCs w:val="24"/>
          <w:highlight w:val="none"/>
        </w:rPr>
      </w:pPr>
      <w:r>
        <w:rPr>
          <w:b/>
          <w:bCs/>
          <w:spacing w:val="-4"/>
          <w:sz w:val="24"/>
          <w:szCs w:val="24"/>
          <w:highlight w:val="none"/>
        </w:rPr>
        <w:t>本项目潜在投标供应商可投报多个标包，但最多只能中一个标包。在评标时如果某一投标供应商在此项目中的多个标包均排名第一，则按照中标金额大的标包推荐为第一中标候选供应商，其他标包的中标候选供应商按得分高低顺序依次递补。</w:t>
      </w:r>
    </w:p>
    <w:p w14:paraId="719EE2A8">
      <w:pPr>
        <w:pStyle w:val="4"/>
        <w:spacing w:before="11" w:line="220" w:lineRule="auto"/>
        <w:ind w:left="169"/>
        <w:rPr>
          <w:sz w:val="24"/>
          <w:szCs w:val="24"/>
          <w:highlight w:val="none"/>
        </w:rPr>
      </w:pPr>
      <w:r>
        <w:rPr>
          <w:b/>
          <w:bCs/>
          <w:spacing w:val="-4"/>
          <w:sz w:val="24"/>
          <w:szCs w:val="24"/>
          <w:highlight w:val="none"/>
        </w:rPr>
        <w:t>4.计分办法</w:t>
      </w:r>
    </w:p>
    <w:p w14:paraId="09EDB515">
      <w:pPr>
        <w:pStyle w:val="4"/>
        <w:spacing w:before="151" w:line="339" w:lineRule="auto"/>
        <w:ind w:left="168" w:right="160" w:firstLine="481"/>
        <w:jc w:val="both"/>
        <w:rPr>
          <w:sz w:val="24"/>
          <w:szCs w:val="24"/>
          <w:highlight w:val="none"/>
        </w:rPr>
      </w:pPr>
      <w:r>
        <w:rPr>
          <w:spacing w:val="-2"/>
          <w:sz w:val="24"/>
          <w:szCs w:val="24"/>
          <w:highlight w:val="none"/>
        </w:rPr>
        <w:t>计分过程中按四舍五入的法则，取至小数点后</w:t>
      </w:r>
      <w:r>
        <w:rPr>
          <w:spacing w:val="-47"/>
          <w:sz w:val="24"/>
          <w:szCs w:val="24"/>
          <w:highlight w:val="none"/>
        </w:rPr>
        <w:t xml:space="preserve"> </w:t>
      </w:r>
      <w:r>
        <w:rPr>
          <w:spacing w:val="-2"/>
          <w:sz w:val="24"/>
          <w:szCs w:val="24"/>
          <w:highlight w:val="none"/>
        </w:rPr>
        <w:t>2</w:t>
      </w:r>
      <w:r>
        <w:rPr>
          <w:spacing w:val="-50"/>
          <w:sz w:val="24"/>
          <w:szCs w:val="24"/>
          <w:highlight w:val="none"/>
        </w:rPr>
        <w:t xml:space="preserve"> </w:t>
      </w:r>
      <w:r>
        <w:rPr>
          <w:spacing w:val="-2"/>
          <w:sz w:val="24"/>
          <w:szCs w:val="24"/>
          <w:highlight w:val="none"/>
        </w:rPr>
        <w:t>位，投标供应商</w:t>
      </w:r>
      <w:r>
        <w:rPr>
          <w:spacing w:val="-3"/>
          <w:sz w:val="24"/>
          <w:szCs w:val="24"/>
          <w:highlight w:val="none"/>
        </w:rPr>
        <w:t>的最终得分为所有</w:t>
      </w:r>
      <w:r>
        <w:rPr>
          <w:spacing w:val="-2"/>
          <w:sz w:val="24"/>
          <w:szCs w:val="24"/>
          <w:highlight w:val="none"/>
        </w:rPr>
        <w:t>评标委员会打分的算术平均值，最终结果取至小数点后</w:t>
      </w:r>
      <w:r>
        <w:rPr>
          <w:spacing w:val="-46"/>
          <w:sz w:val="24"/>
          <w:szCs w:val="24"/>
          <w:highlight w:val="none"/>
        </w:rPr>
        <w:t xml:space="preserve"> </w:t>
      </w:r>
      <w:r>
        <w:rPr>
          <w:spacing w:val="-2"/>
          <w:sz w:val="24"/>
          <w:szCs w:val="24"/>
          <w:highlight w:val="none"/>
        </w:rPr>
        <w:t>2</w:t>
      </w:r>
      <w:r>
        <w:rPr>
          <w:spacing w:val="-51"/>
          <w:sz w:val="24"/>
          <w:szCs w:val="24"/>
          <w:highlight w:val="none"/>
        </w:rPr>
        <w:t xml:space="preserve"> </w:t>
      </w:r>
      <w:r>
        <w:rPr>
          <w:spacing w:val="-2"/>
          <w:sz w:val="24"/>
          <w:szCs w:val="24"/>
          <w:highlight w:val="none"/>
        </w:rPr>
        <w:t>位。评标委员会将按投</w:t>
      </w:r>
      <w:r>
        <w:rPr>
          <w:spacing w:val="-3"/>
          <w:sz w:val="24"/>
          <w:szCs w:val="24"/>
          <w:highlight w:val="none"/>
        </w:rPr>
        <w:t>标供应</w:t>
      </w:r>
      <w:r>
        <w:rPr>
          <w:spacing w:val="-5"/>
          <w:sz w:val="24"/>
          <w:szCs w:val="24"/>
          <w:highlight w:val="none"/>
        </w:rPr>
        <w:t>商得分由高到低的排序向采购人推荐前三名为中标候选供应商。评审得分相同的， 按照</w:t>
      </w:r>
      <w:r>
        <w:rPr>
          <w:spacing w:val="-1"/>
          <w:sz w:val="24"/>
          <w:szCs w:val="24"/>
          <w:highlight w:val="none"/>
        </w:rPr>
        <w:t>报价由低到高的顺序确定，报价也相同以技</w:t>
      </w:r>
      <w:r>
        <w:rPr>
          <w:spacing w:val="-2"/>
          <w:sz w:val="24"/>
          <w:szCs w:val="24"/>
          <w:highlight w:val="none"/>
        </w:rPr>
        <w:t>术部分得分高的优先；如果技术部分得分也</w:t>
      </w:r>
      <w:r>
        <w:rPr>
          <w:spacing w:val="-1"/>
          <w:sz w:val="24"/>
          <w:szCs w:val="24"/>
          <w:highlight w:val="none"/>
        </w:rPr>
        <w:t>相等，以综合部分得分高的优先；综合部分得分仍相等的，由评标委员</w:t>
      </w:r>
      <w:r>
        <w:rPr>
          <w:spacing w:val="-2"/>
          <w:sz w:val="24"/>
          <w:szCs w:val="24"/>
          <w:highlight w:val="none"/>
        </w:rPr>
        <w:t>会随机确定。</w:t>
      </w:r>
    </w:p>
    <w:p w14:paraId="22B6F5CA">
      <w:pPr>
        <w:pStyle w:val="4"/>
        <w:spacing w:line="220" w:lineRule="auto"/>
        <w:ind w:left="537"/>
        <w:rPr>
          <w:sz w:val="24"/>
          <w:szCs w:val="24"/>
          <w:highlight w:val="none"/>
        </w:rPr>
      </w:pPr>
      <w:r>
        <w:rPr>
          <w:b/>
          <w:bCs/>
          <w:spacing w:val="-4"/>
          <w:sz w:val="24"/>
          <w:szCs w:val="24"/>
          <w:highlight w:val="none"/>
        </w:rPr>
        <w:t>5.定标</w:t>
      </w:r>
    </w:p>
    <w:p w14:paraId="6F12606A">
      <w:pPr>
        <w:pStyle w:val="4"/>
        <w:spacing w:before="153" w:line="339" w:lineRule="auto"/>
        <w:ind w:left="170" w:right="163" w:firstLine="481"/>
        <w:rPr>
          <w:sz w:val="24"/>
          <w:szCs w:val="24"/>
          <w:highlight w:val="none"/>
        </w:rPr>
      </w:pPr>
      <w:r>
        <w:rPr>
          <w:spacing w:val="5"/>
          <w:sz w:val="24"/>
          <w:szCs w:val="24"/>
          <w:highlight w:val="none"/>
        </w:rPr>
        <w:t>按评委计分结果,评标委员会按照得分由高到低的顺序每标段推荐3名中标候</w:t>
      </w:r>
      <w:r>
        <w:rPr>
          <w:spacing w:val="4"/>
          <w:sz w:val="24"/>
          <w:szCs w:val="24"/>
          <w:highlight w:val="none"/>
        </w:rPr>
        <w:t>选供</w:t>
      </w:r>
      <w:r>
        <w:rPr>
          <w:spacing w:val="-3"/>
          <w:sz w:val="24"/>
          <w:szCs w:val="24"/>
          <w:highlight w:val="none"/>
        </w:rPr>
        <w:t>应商，并向采购人提供书面评标报告。</w:t>
      </w:r>
    </w:p>
    <w:p w14:paraId="121E8174">
      <w:pPr>
        <w:spacing w:line="339" w:lineRule="auto"/>
        <w:rPr>
          <w:sz w:val="24"/>
          <w:szCs w:val="24"/>
          <w:highlight w:val="none"/>
        </w:rPr>
        <w:sectPr>
          <w:footerReference r:id="rId24" w:type="default"/>
          <w:pgSz w:w="11907" w:h="16839"/>
          <w:pgMar w:top="1431" w:right="1253" w:bottom="1159" w:left="1257" w:header="0" w:footer="959" w:gutter="0"/>
          <w:cols w:space="720" w:num="1"/>
        </w:sectPr>
      </w:pPr>
    </w:p>
    <w:p w14:paraId="2993B20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04A9D9F">
      <w:pPr>
        <w:pStyle w:val="4"/>
        <w:spacing w:before="80" w:line="219" w:lineRule="auto"/>
        <w:ind w:left="1941"/>
        <w:outlineLvl w:val="0"/>
        <w:rPr>
          <w:sz w:val="40"/>
          <w:szCs w:val="40"/>
          <w:highlight w:val="none"/>
        </w:rPr>
      </w:pPr>
      <w:r>
        <w:rPr>
          <w:spacing w:val="-1"/>
          <w:sz w:val="40"/>
          <w:szCs w:val="40"/>
          <w:highlight w:val="none"/>
        </w:rPr>
        <w:t>第五章  合同主要条款及格式</w:t>
      </w:r>
    </w:p>
    <w:p w14:paraId="526F0F05">
      <w:pPr>
        <w:spacing w:line="311" w:lineRule="auto"/>
        <w:jc w:val="center"/>
        <w:rPr>
          <w:rFonts w:ascii="Arial"/>
          <w:sz w:val="21"/>
          <w:highlight w:val="none"/>
        </w:rPr>
      </w:pPr>
      <w:r>
        <w:rPr>
          <w:rFonts w:ascii="Arial"/>
          <w:sz w:val="21"/>
          <w:highlight w:val="none"/>
        </w:rPr>
        <w:t>（</w:t>
      </w:r>
      <w:r>
        <w:rPr>
          <w:rFonts w:hint="eastAsia" w:ascii="Arial"/>
          <w:sz w:val="21"/>
          <w:highlight w:val="none"/>
          <w:lang w:val="en-US" w:eastAsia="zh-CN"/>
        </w:rPr>
        <w:t>仅供参考，以实际签订合同为准</w:t>
      </w:r>
      <w:r>
        <w:rPr>
          <w:rFonts w:ascii="Arial"/>
          <w:sz w:val="21"/>
          <w:highlight w:val="none"/>
        </w:rPr>
        <w:t>）</w:t>
      </w:r>
    </w:p>
    <w:p w14:paraId="084E4AA1">
      <w:pPr>
        <w:spacing w:line="311" w:lineRule="auto"/>
        <w:rPr>
          <w:rFonts w:ascii="Arial"/>
          <w:sz w:val="21"/>
          <w:highlight w:val="none"/>
        </w:rPr>
      </w:pPr>
    </w:p>
    <w:p w14:paraId="21EE84FC">
      <w:pPr>
        <w:spacing w:line="311" w:lineRule="auto"/>
        <w:rPr>
          <w:rFonts w:ascii="Arial"/>
          <w:sz w:val="21"/>
          <w:highlight w:val="none"/>
        </w:rPr>
      </w:pPr>
    </w:p>
    <w:p w14:paraId="0BF2DA14">
      <w:pPr>
        <w:pStyle w:val="4"/>
        <w:spacing w:before="78" w:line="220" w:lineRule="auto"/>
        <w:ind w:left="579"/>
        <w:rPr>
          <w:rFonts w:hint="eastAsia" w:eastAsia="宋体"/>
          <w:sz w:val="24"/>
          <w:szCs w:val="24"/>
          <w:highlight w:val="none"/>
          <w:lang w:eastAsia="zh-CN"/>
        </w:rPr>
      </w:pPr>
      <w:r>
        <w:rPr>
          <w:spacing w:val="-4"/>
          <w:sz w:val="24"/>
          <w:szCs w:val="24"/>
          <w:highlight w:val="none"/>
        </w:rPr>
        <w:t>甲方：</w:t>
      </w:r>
      <w:r>
        <w:rPr>
          <w:rFonts w:hint="eastAsia"/>
          <w:spacing w:val="-4"/>
          <w:sz w:val="24"/>
          <w:szCs w:val="24"/>
          <w:highlight w:val="none"/>
          <w:lang w:val="en-US" w:eastAsia="zh-CN"/>
        </w:rPr>
        <w:t xml:space="preserve"> </w:t>
      </w:r>
    </w:p>
    <w:p w14:paraId="049F716B">
      <w:pPr>
        <w:pStyle w:val="4"/>
        <w:spacing w:before="182" w:line="221" w:lineRule="auto"/>
        <w:ind w:left="571"/>
        <w:rPr>
          <w:sz w:val="24"/>
          <w:szCs w:val="24"/>
          <w:highlight w:val="none"/>
        </w:rPr>
      </w:pPr>
      <w:r>
        <w:rPr>
          <w:spacing w:val="4"/>
          <w:sz w:val="24"/>
          <w:szCs w:val="24"/>
          <w:highlight w:val="none"/>
        </w:rPr>
        <w:t>乙方:</w:t>
      </w:r>
    </w:p>
    <w:p w14:paraId="0C3C6810">
      <w:pPr>
        <w:pStyle w:val="4"/>
        <w:spacing w:before="180" w:line="360" w:lineRule="auto"/>
        <w:ind w:left="2" w:right="167" w:firstLine="547"/>
        <w:rPr>
          <w:sz w:val="24"/>
          <w:szCs w:val="24"/>
          <w:highlight w:val="none"/>
        </w:rPr>
      </w:pPr>
      <w:r>
        <w:rPr>
          <w:spacing w:val="-6"/>
          <w:sz w:val="24"/>
          <w:szCs w:val="24"/>
          <w:highlight w:val="none"/>
        </w:rPr>
        <w:t>经公开招标，依据《中华人民共和国民法典》的相关规定，</w:t>
      </w:r>
      <w:r>
        <w:rPr>
          <w:spacing w:val="-30"/>
          <w:sz w:val="24"/>
          <w:szCs w:val="24"/>
          <w:highlight w:val="none"/>
        </w:rPr>
        <w:t xml:space="preserve"> </w:t>
      </w:r>
      <w:r>
        <w:rPr>
          <w:spacing w:val="-6"/>
          <w:sz w:val="24"/>
          <w:szCs w:val="24"/>
          <w:highlight w:val="none"/>
        </w:rPr>
        <w:t>确定乙方为</w:t>
      </w:r>
      <w:r>
        <w:rPr>
          <w:spacing w:val="-7"/>
          <w:sz w:val="24"/>
          <w:szCs w:val="24"/>
          <w:highlight w:val="none"/>
        </w:rPr>
        <w:t>中标人，现</w:t>
      </w:r>
      <w:r>
        <w:rPr>
          <w:spacing w:val="-2"/>
          <w:sz w:val="24"/>
          <w:szCs w:val="24"/>
          <w:highlight w:val="none"/>
        </w:rPr>
        <w:t>依照相关法律法规及招标文件内容，经双方协商一致，签订本合同。</w:t>
      </w:r>
    </w:p>
    <w:p w14:paraId="1DE94B9C">
      <w:pPr>
        <w:pStyle w:val="4"/>
        <w:spacing w:line="218" w:lineRule="auto"/>
        <w:ind w:left="548"/>
        <w:rPr>
          <w:sz w:val="24"/>
          <w:szCs w:val="24"/>
          <w:highlight w:val="none"/>
        </w:rPr>
      </w:pPr>
      <w:r>
        <w:rPr>
          <w:sz w:val="24"/>
          <w:szCs w:val="24"/>
          <w:highlight w:val="none"/>
        </w:rPr>
        <w:t>第一条  1.货物的名称、产地、品牌规</w:t>
      </w:r>
      <w:r>
        <w:rPr>
          <w:spacing w:val="-1"/>
          <w:sz w:val="24"/>
          <w:szCs w:val="24"/>
          <w:highlight w:val="none"/>
        </w:rPr>
        <w:t>格、数量、配置及单价</w:t>
      </w:r>
    </w:p>
    <w:p w14:paraId="5BCF43D6">
      <w:pPr>
        <w:spacing w:line="71" w:lineRule="exact"/>
        <w:rPr>
          <w:highlight w:val="none"/>
        </w:rPr>
      </w:pPr>
    </w:p>
    <w:tbl>
      <w:tblPr>
        <w:tblStyle w:val="23"/>
        <w:tblW w:w="9094"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1073"/>
        <w:gridCol w:w="2159"/>
        <w:gridCol w:w="2305"/>
        <w:gridCol w:w="2001"/>
      </w:tblGrid>
      <w:tr w14:paraId="5E922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4" w:hRule="atLeast"/>
        </w:trPr>
        <w:tc>
          <w:tcPr>
            <w:tcW w:w="1556" w:type="dxa"/>
            <w:vAlign w:val="top"/>
          </w:tcPr>
          <w:p w14:paraId="532F4E8B">
            <w:pPr>
              <w:pStyle w:val="24"/>
              <w:spacing w:before="266" w:line="222" w:lineRule="auto"/>
              <w:ind w:left="427"/>
              <w:rPr>
                <w:highlight w:val="none"/>
              </w:rPr>
            </w:pPr>
            <w:r>
              <w:rPr>
                <w:spacing w:val="-7"/>
                <w:highlight w:val="none"/>
              </w:rPr>
              <w:t>名</w:t>
            </w:r>
            <w:r>
              <w:rPr>
                <w:spacing w:val="4"/>
                <w:highlight w:val="none"/>
              </w:rPr>
              <w:t xml:space="preserve">  </w:t>
            </w:r>
            <w:r>
              <w:rPr>
                <w:spacing w:val="-7"/>
                <w:highlight w:val="none"/>
              </w:rPr>
              <w:t>称</w:t>
            </w:r>
          </w:p>
        </w:tc>
        <w:tc>
          <w:tcPr>
            <w:tcW w:w="1073" w:type="dxa"/>
            <w:vAlign w:val="top"/>
          </w:tcPr>
          <w:p w14:paraId="1DDF27EC">
            <w:pPr>
              <w:pStyle w:val="24"/>
              <w:spacing w:before="266" w:line="220" w:lineRule="auto"/>
              <w:ind w:left="320"/>
              <w:rPr>
                <w:highlight w:val="none"/>
              </w:rPr>
            </w:pPr>
            <w:r>
              <w:rPr>
                <w:spacing w:val="-8"/>
                <w:highlight w:val="none"/>
              </w:rPr>
              <w:t>品牌</w:t>
            </w:r>
          </w:p>
        </w:tc>
        <w:tc>
          <w:tcPr>
            <w:tcW w:w="2159" w:type="dxa"/>
            <w:vAlign w:val="top"/>
          </w:tcPr>
          <w:p w14:paraId="1E1FD28B">
            <w:pPr>
              <w:pStyle w:val="24"/>
              <w:spacing w:before="266" w:line="220" w:lineRule="auto"/>
              <w:ind w:left="604"/>
              <w:rPr>
                <w:highlight w:val="none"/>
              </w:rPr>
            </w:pPr>
            <w:r>
              <w:rPr>
                <w:spacing w:val="-2"/>
                <w:highlight w:val="none"/>
              </w:rPr>
              <w:t>规格型号</w:t>
            </w:r>
          </w:p>
        </w:tc>
        <w:tc>
          <w:tcPr>
            <w:tcW w:w="2305" w:type="dxa"/>
            <w:vAlign w:val="top"/>
          </w:tcPr>
          <w:p w14:paraId="5963BB86">
            <w:pPr>
              <w:pStyle w:val="24"/>
              <w:spacing w:before="266" w:line="220" w:lineRule="auto"/>
              <w:ind w:left="859"/>
              <w:rPr>
                <w:highlight w:val="none"/>
              </w:rPr>
            </w:pPr>
            <w:r>
              <w:rPr>
                <w:spacing w:val="-6"/>
                <w:highlight w:val="none"/>
              </w:rPr>
              <w:t>数</w:t>
            </w:r>
            <w:r>
              <w:rPr>
                <w:spacing w:val="9"/>
                <w:highlight w:val="none"/>
              </w:rPr>
              <w:t xml:space="preserve"> </w:t>
            </w:r>
            <w:r>
              <w:rPr>
                <w:spacing w:val="-6"/>
                <w:highlight w:val="none"/>
              </w:rPr>
              <w:t>量</w:t>
            </w:r>
          </w:p>
        </w:tc>
        <w:tc>
          <w:tcPr>
            <w:tcW w:w="2001" w:type="dxa"/>
            <w:vAlign w:val="top"/>
          </w:tcPr>
          <w:p w14:paraId="38722B96">
            <w:pPr>
              <w:pStyle w:val="24"/>
              <w:spacing w:before="266" w:line="220" w:lineRule="auto"/>
              <w:ind w:left="770"/>
              <w:rPr>
                <w:highlight w:val="none"/>
              </w:rPr>
            </w:pPr>
            <w:r>
              <w:rPr>
                <w:spacing w:val="-3"/>
                <w:highlight w:val="none"/>
              </w:rPr>
              <w:t>金额</w:t>
            </w:r>
          </w:p>
        </w:tc>
      </w:tr>
      <w:tr w14:paraId="4D0EF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556" w:type="dxa"/>
            <w:vAlign w:val="top"/>
          </w:tcPr>
          <w:p w14:paraId="6BB2D0E4">
            <w:pPr>
              <w:rPr>
                <w:rFonts w:ascii="Arial"/>
                <w:sz w:val="21"/>
                <w:highlight w:val="none"/>
              </w:rPr>
            </w:pPr>
          </w:p>
        </w:tc>
        <w:tc>
          <w:tcPr>
            <w:tcW w:w="1073" w:type="dxa"/>
            <w:vAlign w:val="top"/>
          </w:tcPr>
          <w:p w14:paraId="1831EA22">
            <w:pPr>
              <w:rPr>
                <w:rFonts w:ascii="Arial"/>
                <w:sz w:val="21"/>
                <w:highlight w:val="none"/>
              </w:rPr>
            </w:pPr>
          </w:p>
        </w:tc>
        <w:tc>
          <w:tcPr>
            <w:tcW w:w="2159" w:type="dxa"/>
            <w:vAlign w:val="top"/>
          </w:tcPr>
          <w:p w14:paraId="43BDD069">
            <w:pPr>
              <w:rPr>
                <w:rFonts w:ascii="Arial"/>
                <w:sz w:val="21"/>
                <w:highlight w:val="none"/>
              </w:rPr>
            </w:pPr>
          </w:p>
        </w:tc>
        <w:tc>
          <w:tcPr>
            <w:tcW w:w="2305" w:type="dxa"/>
            <w:vAlign w:val="top"/>
          </w:tcPr>
          <w:p w14:paraId="4FB59927">
            <w:pPr>
              <w:rPr>
                <w:rFonts w:ascii="Arial"/>
                <w:sz w:val="21"/>
                <w:highlight w:val="none"/>
              </w:rPr>
            </w:pPr>
          </w:p>
        </w:tc>
        <w:tc>
          <w:tcPr>
            <w:tcW w:w="2001" w:type="dxa"/>
            <w:vAlign w:val="top"/>
          </w:tcPr>
          <w:p w14:paraId="4684B762">
            <w:pPr>
              <w:rPr>
                <w:rFonts w:ascii="Arial"/>
                <w:sz w:val="21"/>
                <w:highlight w:val="none"/>
              </w:rPr>
            </w:pPr>
          </w:p>
        </w:tc>
      </w:tr>
      <w:tr w14:paraId="1FA83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56" w:type="dxa"/>
            <w:vAlign w:val="top"/>
          </w:tcPr>
          <w:p w14:paraId="0AAEA924">
            <w:pPr>
              <w:pStyle w:val="24"/>
              <w:spacing w:before="116" w:line="221" w:lineRule="auto"/>
              <w:ind w:left="425"/>
              <w:rPr>
                <w:highlight w:val="none"/>
              </w:rPr>
            </w:pPr>
            <w:r>
              <w:rPr>
                <w:spacing w:val="-15"/>
                <w:highlight w:val="none"/>
              </w:rPr>
              <w:t>合计：</w:t>
            </w:r>
          </w:p>
        </w:tc>
        <w:tc>
          <w:tcPr>
            <w:tcW w:w="7538" w:type="dxa"/>
            <w:gridSpan w:val="4"/>
            <w:vAlign w:val="top"/>
          </w:tcPr>
          <w:p w14:paraId="5ED38334">
            <w:pPr>
              <w:rPr>
                <w:rFonts w:ascii="Arial"/>
                <w:sz w:val="21"/>
                <w:highlight w:val="none"/>
              </w:rPr>
            </w:pPr>
          </w:p>
        </w:tc>
      </w:tr>
    </w:tbl>
    <w:p w14:paraId="600D5000">
      <w:pPr>
        <w:pStyle w:val="4"/>
        <w:spacing w:before="113" w:line="360" w:lineRule="auto"/>
        <w:ind w:left="3" w:right="84" w:firstLine="571"/>
        <w:jc w:val="both"/>
        <w:rPr>
          <w:sz w:val="24"/>
          <w:szCs w:val="24"/>
          <w:highlight w:val="none"/>
        </w:rPr>
      </w:pPr>
      <w:r>
        <w:rPr>
          <w:spacing w:val="-2"/>
          <w:sz w:val="24"/>
          <w:szCs w:val="24"/>
          <w:highlight w:val="none"/>
        </w:rPr>
        <w:t>以上金额包括项目实施所需的人工费、服务费、运输费、安装调试费、设备价款、备品备件费、检验费、包装费、装卸费、税金（含关税、增值税）、施工费、检测验收费、培训费等各项与此项目有关的一切费用。</w:t>
      </w:r>
    </w:p>
    <w:p w14:paraId="438DD068">
      <w:pPr>
        <w:pStyle w:val="4"/>
        <w:spacing w:line="218" w:lineRule="auto"/>
        <w:ind w:left="549"/>
        <w:rPr>
          <w:sz w:val="24"/>
          <w:szCs w:val="24"/>
          <w:highlight w:val="none"/>
        </w:rPr>
      </w:pPr>
      <w:r>
        <w:rPr>
          <w:spacing w:val="-4"/>
          <w:sz w:val="24"/>
          <w:szCs w:val="24"/>
          <w:highlight w:val="none"/>
        </w:rPr>
        <w:t>合同价格形式：总价合同。</w:t>
      </w:r>
    </w:p>
    <w:p w14:paraId="522F092B">
      <w:pPr>
        <w:pStyle w:val="4"/>
        <w:spacing w:before="185" w:line="219" w:lineRule="auto"/>
        <w:ind w:left="548"/>
        <w:rPr>
          <w:sz w:val="24"/>
          <w:szCs w:val="24"/>
          <w:highlight w:val="none"/>
        </w:rPr>
      </w:pPr>
      <w:r>
        <w:rPr>
          <w:spacing w:val="-1"/>
          <w:sz w:val="24"/>
          <w:szCs w:val="24"/>
          <w:highlight w:val="none"/>
        </w:rPr>
        <w:t>第二条  产品的交货单位、交货时间、包装与运输</w:t>
      </w:r>
      <w:r>
        <w:rPr>
          <w:spacing w:val="-2"/>
          <w:sz w:val="24"/>
          <w:szCs w:val="24"/>
          <w:highlight w:val="none"/>
        </w:rPr>
        <w:t>、到货地点。</w:t>
      </w:r>
    </w:p>
    <w:p w14:paraId="21542EDC">
      <w:pPr>
        <w:pStyle w:val="4"/>
        <w:spacing w:before="183" w:line="219" w:lineRule="auto"/>
        <w:ind w:left="565"/>
        <w:rPr>
          <w:sz w:val="24"/>
          <w:szCs w:val="24"/>
          <w:highlight w:val="none"/>
        </w:rPr>
      </w:pPr>
      <w:r>
        <w:rPr>
          <w:spacing w:val="-4"/>
          <w:sz w:val="24"/>
          <w:szCs w:val="24"/>
          <w:highlight w:val="none"/>
        </w:rPr>
        <w:t>1．产品的交货地点：</w:t>
      </w:r>
      <w:r>
        <w:rPr>
          <w:rFonts w:hint="eastAsia"/>
          <w:spacing w:val="-4"/>
          <w:sz w:val="24"/>
          <w:szCs w:val="24"/>
          <w:highlight w:val="none"/>
          <w:lang w:eastAsia="zh-CN"/>
        </w:rPr>
        <w:t>三门峡市陕州区人民医院</w:t>
      </w:r>
      <w:r>
        <w:rPr>
          <w:spacing w:val="-4"/>
          <w:sz w:val="24"/>
          <w:szCs w:val="24"/>
          <w:highlight w:val="none"/>
        </w:rPr>
        <w:t>。</w:t>
      </w:r>
    </w:p>
    <w:p w14:paraId="24926BDF">
      <w:pPr>
        <w:pStyle w:val="4"/>
        <w:spacing w:before="184" w:line="219" w:lineRule="auto"/>
        <w:ind w:left="551"/>
        <w:rPr>
          <w:sz w:val="24"/>
          <w:szCs w:val="24"/>
          <w:highlight w:val="none"/>
        </w:rPr>
      </w:pPr>
      <w:r>
        <w:rPr>
          <w:spacing w:val="-4"/>
          <w:sz w:val="24"/>
          <w:szCs w:val="24"/>
          <w:highlight w:val="none"/>
        </w:rPr>
        <w:t>2．交货及安装期：</w:t>
      </w:r>
      <w:r>
        <w:rPr>
          <w:rFonts w:hint="eastAsia"/>
          <w:spacing w:val="-4"/>
          <w:sz w:val="24"/>
          <w:szCs w:val="24"/>
          <w:highlight w:val="none"/>
          <w:lang w:eastAsia="zh-CN"/>
        </w:rPr>
        <w:t>签订合同后 30 日历天（完成安装及调试）</w:t>
      </w:r>
      <w:r>
        <w:rPr>
          <w:spacing w:val="-4"/>
          <w:sz w:val="24"/>
          <w:szCs w:val="24"/>
          <w:highlight w:val="none"/>
        </w:rPr>
        <w:t xml:space="preserve"> 。</w:t>
      </w:r>
    </w:p>
    <w:p w14:paraId="2585E305">
      <w:pPr>
        <w:pStyle w:val="4"/>
        <w:spacing w:before="183" w:line="360" w:lineRule="auto"/>
        <w:ind w:left="2" w:right="169" w:firstLine="550"/>
        <w:rPr>
          <w:sz w:val="24"/>
          <w:szCs w:val="24"/>
          <w:highlight w:val="none"/>
        </w:rPr>
      </w:pPr>
      <w:r>
        <w:rPr>
          <w:sz w:val="24"/>
          <w:szCs w:val="24"/>
          <w:highlight w:val="none"/>
        </w:rPr>
        <w:t xml:space="preserve">3．质量保证期：整套设备免费质保 </w:t>
      </w:r>
      <w:r>
        <w:rPr>
          <w:rFonts w:hint="eastAsia"/>
          <w:sz w:val="24"/>
          <w:szCs w:val="24"/>
          <w:highlight w:val="none"/>
          <w:lang w:val="en-US" w:eastAsia="zh-CN"/>
        </w:rPr>
        <w:t xml:space="preserve">   </w:t>
      </w:r>
      <w:r>
        <w:rPr>
          <w:sz w:val="24"/>
          <w:szCs w:val="24"/>
          <w:highlight w:val="none"/>
        </w:rPr>
        <w:t xml:space="preserve"> 年。质保</w:t>
      </w:r>
      <w:r>
        <w:rPr>
          <w:spacing w:val="-1"/>
          <w:sz w:val="24"/>
          <w:szCs w:val="24"/>
          <w:highlight w:val="none"/>
        </w:rPr>
        <w:t>期计算：自设备验收合格第三日计</w:t>
      </w:r>
      <w:r>
        <w:rPr>
          <w:spacing w:val="-5"/>
          <w:sz w:val="24"/>
          <w:szCs w:val="24"/>
          <w:highlight w:val="none"/>
        </w:rPr>
        <w:t>算；保修期内所有故障及维修费用由乙方承担（人为因素</w:t>
      </w:r>
      <w:r>
        <w:rPr>
          <w:spacing w:val="-6"/>
          <w:sz w:val="24"/>
          <w:szCs w:val="24"/>
          <w:highlight w:val="none"/>
        </w:rPr>
        <w:t>除外）。</w:t>
      </w:r>
    </w:p>
    <w:p w14:paraId="4133433F">
      <w:pPr>
        <w:pStyle w:val="4"/>
        <w:spacing w:line="360" w:lineRule="auto"/>
        <w:ind w:left="14" w:right="167" w:firstLine="537"/>
        <w:rPr>
          <w:sz w:val="24"/>
          <w:szCs w:val="24"/>
          <w:highlight w:val="none"/>
        </w:rPr>
      </w:pPr>
      <w:r>
        <w:rPr>
          <w:sz w:val="24"/>
          <w:szCs w:val="24"/>
          <w:highlight w:val="none"/>
        </w:rPr>
        <w:t>一个月内出现质量问题可换新货，质保期内出现故障</w:t>
      </w:r>
      <w:r>
        <w:rPr>
          <w:spacing w:val="-1"/>
          <w:sz w:val="24"/>
          <w:szCs w:val="24"/>
          <w:highlight w:val="none"/>
        </w:rPr>
        <w:t>三次且影响正常使用的,应免</w:t>
      </w:r>
      <w:r>
        <w:rPr>
          <w:spacing w:val="-3"/>
          <w:sz w:val="24"/>
          <w:szCs w:val="24"/>
          <w:highlight w:val="none"/>
        </w:rPr>
        <w:t>费为甲方更换同款新设备，质保期相应顺延。</w:t>
      </w:r>
    </w:p>
    <w:p w14:paraId="16A6BBF2">
      <w:pPr>
        <w:pStyle w:val="4"/>
        <w:spacing w:before="1" w:line="219" w:lineRule="auto"/>
        <w:ind w:left="547"/>
        <w:rPr>
          <w:sz w:val="24"/>
          <w:szCs w:val="24"/>
          <w:highlight w:val="none"/>
        </w:rPr>
      </w:pPr>
      <w:r>
        <w:rPr>
          <w:spacing w:val="-1"/>
          <w:sz w:val="24"/>
          <w:szCs w:val="24"/>
          <w:highlight w:val="none"/>
        </w:rPr>
        <w:t>4. 包装与运输</w:t>
      </w:r>
    </w:p>
    <w:p w14:paraId="790E38A9">
      <w:pPr>
        <w:pStyle w:val="4"/>
        <w:spacing w:before="183" w:line="360" w:lineRule="auto"/>
        <w:ind w:left="1" w:right="168" w:firstLine="545"/>
        <w:rPr>
          <w:sz w:val="24"/>
          <w:szCs w:val="24"/>
          <w:highlight w:val="none"/>
        </w:rPr>
      </w:pPr>
      <w:r>
        <w:rPr>
          <w:sz w:val="24"/>
          <w:szCs w:val="24"/>
          <w:highlight w:val="none"/>
        </w:rPr>
        <w:t>4.1  除合同另有规定外，乙方供应的设备，均应按标准保</w:t>
      </w:r>
      <w:r>
        <w:rPr>
          <w:spacing w:val="-1"/>
          <w:sz w:val="24"/>
          <w:szCs w:val="24"/>
          <w:highlight w:val="none"/>
        </w:rPr>
        <w:t>护措施进行包装，须确</w:t>
      </w:r>
      <w:r>
        <w:rPr>
          <w:spacing w:val="-2"/>
          <w:sz w:val="24"/>
          <w:szCs w:val="24"/>
          <w:highlight w:val="none"/>
        </w:rPr>
        <w:t>保货物完好无损抵达指定现场，由于乙方包装不良及在运输过程中所造成的任何损失，</w:t>
      </w:r>
      <w:r>
        <w:rPr>
          <w:spacing w:val="-7"/>
          <w:sz w:val="24"/>
          <w:szCs w:val="24"/>
          <w:highlight w:val="none"/>
        </w:rPr>
        <w:t>由乙方负责。</w:t>
      </w:r>
    </w:p>
    <w:p w14:paraId="3386914B">
      <w:pPr>
        <w:pStyle w:val="4"/>
        <w:spacing w:before="1" w:line="218" w:lineRule="auto"/>
        <w:ind w:left="547"/>
        <w:rPr>
          <w:sz w:val="24"/>
          <w:szCs w:val="24"/>
          <w:highlight w:val="none"/>
        </w:rPr>
      </w:pPr>
      <w:r>
        <w:rPr>
          <w:spacing w:val="-2"/>
          <w:sz w:val="24"/>
          <w:szCs w:val="24"/>
          <w:highlight w:val="none"/>
        </w:rPr>
        <w:t>4.2  每一包装箱内应附一份详细的装箱单和质量合格证书。</w:t>
      </w:r>
    </w:p>
    <w:p w14:paraId="073B4986">
      <w:pPr>
        <w:pStyle w:val="4"/>
        <w:spacing w:before="184" w:line="362" w:lineRule="auto"/>
        <w:ind w:right="169" w:firstLine="547"/>
        <w:rPr>
          <w:sz w:val="24"/>
          <w:szCs w:val="24"/>
          <w:highlight w:val="none"/>
        </w:rPr>
      </w:pPr>
      <w:r>
        <w:rPr>
          <w:sz w:val="24"/>
          <w:szCs w:val="24"/>
          <w:highlight w:val="none"/>
        </w:rPr>
        <w:t>4.3  乙方可选择合适的运输方式，并负责设备的发运、保</w:t>
      </w:r>
      <w:r>
        <w:rPr>
          <w:spacing w:val="-1"/>
          <w:sz w:val="24"/>
          <w:szCs w:val="24"/>
          <w:highlight w:val="none"/>
        </w:rPr>
        <w:t>险、装卸以及货到后未</w:t>
      </w:r>
      <w:r>
        <w:rPr>
          <w:spacing w:val="-5"/>
          <w:sz w:val="24"/>
          <w:szCs w:val="24"/>
          <w:highlight w:val="none"/>
        </w:rPr>
        <w:t>验收前的保管工作。</w:t>
      </w:r>
    </w:p>
    <w:p w14:paraId="1A53BA04">
      <w:pPr>
        <w:pStyle w:val="4"/>
        <w:spacing w:before="121" w:line="219" w:lineRule="auto"/>
        <w:ind w:left="547"/>
        <w:rPr>
          <w:sz w:val="24"/>
          <w:szCs w:val="24"/>
          <w:highlight w:val="none"/>
        </w:rPr>
      </w:pPr>
      <w:r>
        <w:rPr>
          <w:spacing w:val="-3"/>
          <w:sz w:val="24"/>
          <w:szCs w:val="24"/>
          <w:highlight w:val="none"/>
        </w:rPr>
        <w:t>4.4  交货地点：按甲方主管科室要求。</w:t>
      </w:r>
    </w:p>
    <w:p w14:paraId="4695FDD3">
      <w:pPr>
        <w:pStyle w:val="4"/>
        <w:spacing w:before="183" w:line="360" w:lineRule="auto"/>
        <w:ind w:left="6" w:right="1" w:firstLine="540"/>
        <w:rPr>
          <w:rFonts w:hint="default" w:eastAsia="宋体"/>
          <w:sz w:val="24"/>
          <w:szCs w:val="24"/>
          <w:highlight w:val="none"/>
          <w:lang w:val="en-US" w:eastAsia="zh-CN"/>
        </w:rPr>
      </w:pPr>
      <w:r>
        <w:rPr>
          <w:spacing w:val="-1"/>
          <w:sz w:val="24"/>
          <w:szCs w:val="24"/>
          <w:highlight w:val="none"/>
        </w:rPr>
        <w:t>4.5  交货要求：</w:t>
      </w:r>
      <w:r>
        <w:rPr>
          <w:rFonts w:hint="eastAsia"/>
          <w:spacing w:val="-1"/>
          <w:sz w:val="24"/>
          <w:szCs w:val="24"/>
          <w:highlight w:val="none"/>
          <w:lang w:val="en-US" w:eastAsia="zh-CN"/>
        </w:rPr>
        <w:t>详见须知前附表</w:t>
      </w:r>
    </w:p>
    <w:p w14:paraId="2922DC73">
      <w:pPr>
        <w:pStyle w:val="4"/>
        <w:spacing w:before="1" w:line="218" w:lineRule="auto"/>
        <w:ind w:left="548"/>
        <w:rPr>
          <w:sz w:val="24"/>
          <w:szCs w:val="24"/>
          <w:highlight w:val="none"/>
        </w:rPr>
      </w:pPr>
      <w:r>
        <w:rPr>
          <w:spacing w:val="-3"/>
          <w:sz w:val="24"/>
          <w:szCs w:val="24"/>
          <w:highlight w:val="none"/>
        </w:rPr>
        <w:t>第三条</w:t>
      </w:r>
      <w:r>
        <w:rPr>
          <w:spacing w:val="7"/>
          <w:sz w:val="24"/>
          <w:szCs w:val="24"/>
          <w:highlight w:val="none"/>
        </w:rPr>
        <w:t xml:space="preserve">  </w:t>
      </w:r>
      <w:r>
        <w:rPr>
          <w:spacing w:val="-3"/>
          <w:sz w:val="24"/>
          <w:szCs w:val="24"/>
          <w:highlight w:val="none"/>
        </w:rPr>
        <w:t>货款结算</w:t>
      </w:r>
    </w:p>
    <w:p w14:paraId="1F2B5F88">
      <w:pPr>
        <w:pStyle w:val="4"/>
        <w:spacing w:before="183" w:line="360" w:lineRule="auto"/>
        <w:ind w:left="5" w:right="2" w:firstLine="548"/>
        <w:rPr>
          <w:rFonts w:hint="default" w:eastAsia="宋体"/>
          <w:sz w:val="24"/>
          <w:szCs w:val="24"/>
          <w:highlight w:val="none"/>
          <w:lang w:val="en-US" w:eastAsia="zh-CN"/>
        </w:rPr>
      </w:pPr>
      <w:r>
        <w:rPr>
          <w:rFonts w:hint="eastAsia"/>
          <w:spacing w:val="-2"/>
          <w:sz w:val="24"/>
          <w:szCs w:val="24"/>
          <w:highlight w:val="none"/>
          <w:lang w:val="en-US" w:eastAsia="zh-CN"/>
        </w:rPr>
        <w:t>付款</w:t>
      </w:r>
      <w:r>
        <w:rPr>
          <w:spacing w:val="-2"/>
          <w:sz w:val="24"/>
          <w:szCs w:val="24"/>
          <w:highlight w:val="none"/>
        </w:rPr>
        <w:t>方式：</w:t>
      </w:r>
      <w:r>
        <w:rPr>
          <w:rFonts w:hint="eastAsia"/>
          <w:spacing w:val="-2"/>
          <w:sz w:val="24"/>
          <w:szCs w:val="24"/>
          <w:highlight w:val="none"/>
          <w:lang w:val="en-US" w:eastAsia="zh-CN"/>
        </w:rPr>
        <w:t>详见须知前附表。</w:t>
      </w:r>
    </w:p>
    <w:p w14:paraId="27EC0D61">
      <w:pPr>
        <w:pStyle w:val="4"/>
        <w:spacing w:line="219" w:lineRule="auto"/>
        <w:ind w:left="548"/>
        <w:rPr>
          <w:sz w:val="24"/>
          <w:szCs w:val="24"/>
          <w:highlight w:val="none"/>
        </w:rPr>
      </w:pPr>
      <w:r>
        <w:rPr>
          <w:spacing w:val="-1"/>
          <w:sz w:val="24"/>
          <w:szCs w:val="24"/>
          <w:highlight w:val="none"/>
        </w:rPr>
        <w:t>第四条  培训、维修及服务</w:t>
      </w:r>
    </w:p>
    <w:p w14:paraId="7E163838">
      <w:pPr>
        <w:pStyle w:val="4"/>
        <w:spacing w:before="183" w:line="360" w:lineRule="auto"/>
        <w:ind w:firstLine="565"/>
        <w:rPr>
          <w:sz w:val="24"/>
          <w:szCs w:val="24"/>
          <w:highlight w:val="none"/>
        </w:rPr>
      </w:pPr>
      <w:r>
        <w:rPr>
          <w:spacing w:val="-8"/>
          <w:sz w:val="24"/>
          <w:szCs w:val="24"/>
          <w:highlight w:val="none"/>
        </w:rPr>
        <w:t>1、质保期内：</w:t>
      </w:r>
    </w:p>
    <w:p w14:paraId="55CA5DB9">
      <w:pPr>
        <w:pStyle w:val="4"/>
        <w:spacing w:before="3" w:line="359" w:lineRule="auto"/>
        <w:ind w:left="1" w:right="14" w:firstLine="549"/>
        <w:rPr>
          <w:spacing w:val="-1"/>
          <w:sz w:val="24"/>
          <w:szCs w:val="24"/>
          <w:highlight w:val="none"/>
        </w:rPr>
      </w:pPr>
      <w:r>
        <w:rPr>
          <w:spacing w:val="-1"/>
          <w:sz w:val="24"/>
          <w:szCs w:val="24"/>
          <w:highlight w:val="none"/>
        </w:rPr>
        <w:t>2、外出培训：</w:t>
      </w:r>
    </w:p>
    <w:p w14:paraId="2CEA237F">
      <w:pPr>
        <w:pStyle w:val="4"/>
        <w:spacing w:before="3" w:line="359" w:lineRule="auto"/>
        <w:ind w:left="1" w:right="14" w:firstLine="549"/>
        <w:rPr>
          <w:sz w:val="24"/>
          <w:szCs w:val="24"/>
          <w:highlight w:val="none"/>
        </w:rPr>
      </w:pPr>
      <w:r>
        <w:rPr>
          <w:spacing w:val="-1"/>
          <w:sz w:val="24"/>
          <w:szCs w:val="24"/>
          <w:highlight w:val="none"/>
        </w:rPr>
        <w:t>现场培训：免费为使用科室及维修人员进行培训，直至熟练操作所</w:t>
      </w:r>
      <w:r>
        <w:rPr>
          <w:spacing w:val="-3"/>
          <w:sz w:val="24"/>
          <w:szCs w:val="24"/>
          <w:highlight w:val="none"/>
        </w:rPr>
        <w:t>有设备及常见故障问题能维修。</w:t>
      </w:r>
    </w:p>
    <w:p w14:paraId="0BE322E9">
      <w:pPr>
        <w:pStyle w:val="4"/>
        <w:spacing w:before="1" w:line="219" w:lineRule="auto"/>
        <w:ind w:left="548"/>
        <w:rPr>
          <w:sz w:val="24"/>
          <w:szCs w:val="24"/>
          <w:highlight w:val="none"/>
        </w:rPr>
      </w:pPr>
      <w:r>
        <w:rPr>
          <w:spacing w:val="-1"/>
          <w:sz w:val="24"/>
          <w:szCs w:val="24"/>
          <w:highlight w:val="none"/>
        </w:rPr>
        <w:t>第五条  违约责任</w:t>
      </w:r>
    </w:p>
    <w:p w14:paraId="3B01B70D">
      <w:pPr>
        <w:pStyle w:val="4"/>
        <w:spacing w:line="219" w:lineRule="auto"/>
        <w:ind w:firstLine="714" w:firstLineChars="300"/>
        <w:rPr>
          <w:rFonts w:hint="default" w:eastAsia="宋体"/>
          <w:spacing w:val="-1"/>
          <w:sz w:val="24"/>
          <w:szCs w:val="24"/>
          <w:highlight w:val="none"/>
          <w:lang w:val="en-US" w:eastAsia="zh-CN"/>
        </w:rPr>
      </w:pPr>
      <w:r>
        <w:rPr>
          <w:rFonts w:hint="eastAsia"/>
          <w:spacing w:val="-1"/>
          <w:sz w:val="24"/>
          <w:szCs w:val="24"/>
          <w:highlight w:val="none"/>
          <w:lang w:val="en-US" w:eastAsia="zh-CN"/>
        </w:rPr>
        <w:t>双方在签订供货合同时自行协商。</w:t>
      </w:r>
    </w:p>
    <w:p w14:paraId="39B4D7BF">
      <w:pPr>
        <w:pStyle w:val="4"/>
        <w:spacing w:line="219" w:lineRule="auto"/>
        <w:ind w:left="548"/>
        <w:rPr>
          <w:sz w:val="24"/>
          <w:szCs w:val="24"/>
          <w:highlight w:val="none"/>
        </w:rPr>
      </w:pPr>
      <w:r>
        <w:rPr>
          <w:spacing w:val="-1"/>
          <w:sz w:val="24"/>
          <w:szCs w:val="24"/>
          <w:highlight w:val="none"/>
        </w:rPr>
        <w:t>第六条  瑕疵问题</w:t>
      </w:r>
    </w:p>
    <w:p w14:paraId="43109EF4">
      <w:pPr>
        <w:pStyle w:val="4"/>
        <w:spacing w:before="183" w:line="360" w:lineRule="auto"/>
        <w:ind w:left="2" w:right="3" w:firstLine="549"/>
        <w:rPr>
          <w:sz w:val="24"/>
          <w:szCs w:val="24"/>
          <w:highlight w:val="none"/>
        </w:rPr>
      </w:pPr>
      <w:r>
        <w:rPr>
          <w:spacing w:val="-4"/>
          <w:sz w:val="24"/>
          <w:szCs w:val="24"/>
          <w:highlight w:val="none"/>
        </w:rPr>
        <w:t>如经国家检验机构确认乙方所供货物存在瑕疵或不符合本合同的约定，甲方有权选</w:t>
      </w:r>
      <w:r>
        <w:rPr>
          <w:spacing w:val="2"/>
          <w:sz w:val="24"/>
          <w:szCs w:val="24"/>
          <w:highlight w:val="none"/>
        </w:rPr>
        <w:t>择下列方式之一要求乙方进行补救:</w:t>
      </w:r>
    </w:p>
    <w:p w14:paraId="772F5960">
      <w:pPr>
        <w:pStyle w:val="4"/>
        <w:spacing w:before="2" w:line="359" w:lineRule="auto"/>
        <w:ind w:left="2" w:firstLine="375"/>
        <w:rPr>
          <w:sz w:val="24"/>
          <w:szCs w:val="24"/>
          <w:highlight w:val="none"/>
        </w:rPr>
      </w:pPr>
      <w:r>
        <w:rPr>
          <w:spacing w:val="-2"/>
          <w:sz w:val="24"/>
          <w:szCs w:val="24"/>
          <w:highlight w:val="none"/>
        </w:rPr>
        <w:t>1.乙方同意甲方退货，并将全额货款于 7 个日历日内退还甲方，并承担因退货而发</w:t>
      </w:r>
      <w:r>
        <w:rPr>
          <w:spacing w:val="-4"/>
          <w:sz w:val="24"/>
          <w:szCs w:val="24"/>
          <w:highlight w:val="none"/>
        </w:rPr>
        <w:t>生的一切直接损失和费用。</w:t>
      </w:r>
    </w:p>
    <w:p w14:paraId="5E8CD05B">
      <w:pPr>
        <w:pStyle w:val="4"/>
        <w:spacing w:before="1" w:line="218" w:lineRule="auto"/>
        <w:ind w:left="483"/>
        <w:rPr>
          <w:sz w:val="24"/>
          <w:szCs w:val="24"/>
          <w:highlight w:val="none"/>
        </w:rPr>
      </w:pPr>
      <w:r>
        <w:rPr>
          <w:spacing w:val="-1"/>
          <w:sz w:val="24"/>
          <w:szCs w:val="24"/>
          <w:highlight w:val="none"/>
        </w:rPr>
        <w:t>2.按照货物的疵劣程度、损坏的范围和甲</w:t>
      </w:r>
      <w:r>
        <w:rPr>
          <w:spacing w:val="-2"/>
          <w:sz w:val="24"/>
          <w:szCs w:val="24"/>
          <w:highlight w:val="none"/>
        </w:rPr>
        <w:t>方所遭受的损失，将货物贬值。</w:t>
      </w:r>
    </w:p>
    <w:p w14:paraId="499D4D61">
      <w:pPr>
        <w:spacing w:line="218" w:lineRule="auto"/>
        <w:rPr>
          <w:sz w:val="24"/>
          <w:szCs w:val="24"/>
          <w:highlight w:val="none"/>
        </w:rPr>
        <w:sectPr>
          <w:footerReference r:id="rId25" w:type="default"/>
          <w:pgSz w:w="11907" w:h="16839"/>
          <w:pgMar w:top="1431" w:right="1414" w:bottom="1159" w:left="1427" w:header="0" w:footer="959" w:gutter="0"/>
          <w:cols w:space="720" w:num="1"/>
        </w:sectPr>
      </w:pPr>
    </w:p>
    <w:p w14:paraId="016E387C">
      <w:pPr>
        <w:pStyle w:val="4"/>
        <w:spacing w:before="122" w:line="360" w:lineRule="auto"/>
        <w:ind w:left="6" w:right="2" w:firstLine="479"/>
        <w:rPr>
          <w:sz w:val="24"/>
          <w:szCs w:val="24"/>
          <w:highlight w:val="none"/>
        </w:rPr>
      </w:pPr>
      <w:r>
        <w:rPr>
          <w:spacing w:val="-7"/>
          <w:sz w:val="24"/>
          <w:szCs w:val="24"/>
          <w:highlight w:val="none"/>
        </w:rPr>
        <w:t>3.调换有瑕疵的货物，换货必须全新并符合本合同规定的规格、质量和性能，</w:t>
      </w:r>
      <w:r>
        <w:rPr>
          <w:spacing w:val="73"/>
          <w:sz w:val="24"/>
          <w:szCs w:val="24"/>
          <w:highlight w:val="none"/>
        </w:rPr>
        <w:t xml:space="preserve"> </w:t>
      </w:r>
      <w:r>
        <w:rPr>
          <w:spacing w:val="-7"/>
          <w:sz w:val="24"/>
          <w:szCs w:val="24"/>
          <w:highlight w:val="none"/>
        </w:rPr>
        <w:t>乙方</w:t>
      </w:r>
      <w:r>
        <w:rPr>
          <w:spacing w:val="-2"/>
          <w:sz w:val="24"/>
          <w:szCs w:val="24"/>
          <w:highlight w:val="none"/>
        </w:rPr>
        <w:t>并负责因此而产生的一切费用和甲方的一切直接损失。</w:t>
      </w:r>
    </w:p>
    <w:p w14:paraId="46A1B509">
      <w:pPr>
        <w:pStyle w:val="4"/>
        <w:spacing w:line="219" w:lineRule="auto"/>
        <w:ind w:left="548"/>
        <w:rPr>
          <w:sz w:val="24"/>
          <w:szCs w:val="24"/>
          <w:highlight w:val="none"/>
        </w:rPr>
      </w:pPr>
      <w:r>
        <w:rPr>
          <w:spacing w:val="-1"/>
          <w:sz w:val="24"/>
          <w:szCs w:val="24"/>
          <w:highlight w:val="none"/>
        </w:rPr>
        <w:t>第七条 不可抗力</w:t>
      </w:r>
    </w:p>
    <w:p w14:paraId="1A0D13C4">
      <w:pPr>
        <w:pStyle w:val="4"/>
        <w:spacing w:before="182" w:line="360" w:lineRule="auto"/>
        <w:ind w:left="3" w:right="2" w:firstLine="575"/>
        <w:jc w:val="both"/>
        <w:rPr>
          <w:sz w:val="24"/>
          <w:szCs w:val="24"/>
          <w:highlight w:val="none"/>
        </w:rPr>
      </w:pPr>
      <w:r>
        <w:rPr>
          <w:spacing w:val="-4"/>
          <w:sz w:val="24"/>
          <w:szCs w:val="24"/>
          <w:highlight w:val="none"/>
        </w:rPr>
        <w:t>甲乙双方的任何一方由于不可抗力的原因（如水</w:t>
      </w:r>
      <w:r>
        <w:rPr>
          <w:spacing w:val="-5"/>
          <w:sz w:val="24"/>
          <w:szCs w:val="24"/>
          <w:highlight w:val="none"/>
        </w:rPr>
        <w:t>灾、旱灾、暴风雪、地震战争、罢</w:t>
      </w:r>
      <w:r>
        <w:rPr>
          <w:spacing w:val="-3"/>
          <w:sz w:val="24"/>
          <w:szCs w:val="24"/>
          <w:highlight w:val="none"/>
        </w:rPr>
        <w:t>工、政府禁令等。）</w:t>
      </w:r>
      <w:r>
        <w:rPr>
          <w:spacing w:val="-68"/>
          <w:sz w:val="24"/>
          <w:szCs w:val="24"/>
          <w:highlight w:val="none"/>
        </w:rPr>
        <w:t xml:space="preserve"> </w:t>
      </w:r>
      <w:r>
        <w:rPr>
          <w:spacing w:val="-3"/>
          <w:sz w:val="24"/>
          <w:szCs w:val="24"/>
          <w:highlight w:val="none"/>
        </w:rPr>
        <w:t>不能履行合同时，应及时向对方通报不能履行或不能完</w:t>
      </w:r>
      <w:r>
        <w:rPr>
          <w:spacing w:val="-4"/>
          <w:sz w:val="24"/>
          <w:szCs w:val="24"/>
          <w:highlight w:val="none"/>
        </w:rPr>
        <w:t>全履行的理</w:t>
      </w:r>
      <w:r>
        <w:rPr>
          <w:spacing w:val="-3"/>
          <w:sz w:val="24"/>
          <w:szCs w:val="24"/>
          <w:highlight w:val="none"/>
        </w:rPr>
        <w:t>由，以减轻可能给对方造成的损失。</w:t>
      </w:r>
    </w:p>
    <w:p w14:paraId="73B5C4EE">
      <w:pPr>
        <w:pStyle w:val="4"/>
        <w:spacing w:before="1" w:line="218" w:lineRule="auto"/>
        <w:ind w:left="548"/>
        <w:rPr>
          <w:sz w:val="24"/>
          <w:szCs w:val="24"/>
          <w:highlight w:val="none"/>
        </w:rPr>
      </w:pPr>
      <w:r>
        <w:rPr>
          <w:spacing w:val="-3"/>
          <w:sz w:val="24"/>
          <w:szCs w:val="24"/>
          <w:highlight w:val="none"/>
        </w:rPr>
        <w:t>第八条</w:t>
      </w:r>
      <w:r>
        <w:rPr>
          <w:spacing w:val="50"/>
          <w:sz w:val="24"/>
          <w:szCs w:val="24"/>
          <w:highlight w:val="none"/>
        </w:rPr>
        <w:t xml:space="preserve"> </w:t>
      </w:r>
      <w:r>
        <w:rPr>
          <w:spacing w:val="-3"/>
          <w:sz w:val="24"/>
          <w:szCs w:val="24"/>
          <w:highlight w:val="none"/>
        </w:rPr>
        <w:t>乙方投标文件为本合同附加条款，与本合同具有同等法律效力。</w:t>
      </w:r>
    </w:p>
    <w:p w14:paraId="35DAA28E">
      <w:pPr>
        <w:pStyle w:val="4"/>
        <w:spacing w:before="184" w:line="360" w:lineRule="auto"/>
        <w:ind w:firstLine="548"/>
        <w:rPr>
          <w:sz w:val="24"/>
          <w:szCs w:val="24"/>
          <w:highlight w:val="none"/>
        </w:rPr>
      </w:pPr>
      <w:r>
        <w:rPr>
          <w:spacing w:val="-3"/>
          <w:sz w:val="24"/>
          <w:szCs w:val="24"/>
          <w:highlight w:val="none"/>
        </w:rPr>
        <w:t>第九条  本合同如发生纠纷，当事人双方应当及</w:t>
      </w:r>
      <w:r>
        <w:rPr>
          <w:spacing w:val="-4"/>
          <w:sz w:val="24"/>
          <w:szCs w:val="24"/>
          <w:highlight w:val="none"/>
        </w:rPr>
        <w:t>时协商解决，协商不成时，任何一</w:t>
      </w:r>
      <w:r>
        <w:rPr>
          <w:spacing w:val="-2"/>
          <w:sz w:val="24"/>
          <w:szCs w:val="24"/>
          <w:highlight w:val="none"/>
        </w:rPr>
        <w:t>方均可请业务主管机关调解或者向仲裁委员会申请仲裁，也可以直接向甲方人民法院起</w:t>
      </w:r>
      <w:r>
        <w:rPr>
          <w:spacing w:val="-11"/>
          <w:sz w:val="24"/>
          <w:szCs w:val="24"/>
          <w:highlight w:val="none"/>
        </w:rPr>
        <w:t>诉。</w:t>
      </w:r>
    </w:p>
    <w:p w14:paraId="610A766D">
      <w:pPr>
        <w:pStyle w:val="4"/>
        <w:spacing w:before="2" w:line="359" w:lineRule="auto"/>
        <w:ind w:left="5" w:firstLine="542"/>
        <w:rPr>
          <w:sz w:val="24"/>
          <w:szCs w:val="24"/>
          <w:highlight w:val="none"/>
        </w:rPr>
      </w:pPr>
      <w:r>
        <w:rPr>
          <w:spacing w:val="-3"/>
          <w:sz w:val="24"/>
          <w:szCs w:val="24"/>
          <w:highlight w:val="none"/>
        </w:rPr>
        <w:t>第十条  合同如有未尽事宜，须经双方共同协商</w:t>
      </w:r>
      <w:r>
        <w:rPr>
          <w:spacing w:val="-4"/>
          <w:sz w:val="24"/>
          <w:szCs w:val="24"/>
          <w:highlight w:val="none"/>
        </w:rPr>
        <w:t>，作出补充规定，补充规定与合同</w:t>
      </w:r>
      <w:r>
        <w:rPr>
          <w:spacing w:val="-5"/>
          <w:sz w:val="24"/>
          <w:szCs w:val="24"/>
          <w:highlight w:val="none"/>
        </w:rPr>
        <w:t>具有同等法律效力。</w:t>
      </w:r>
    </w:p>
    <w:p w14:paraId="4C0091DA">
      <w:pPr>
        <w:pStyle w:val="4"/>
        <w:spacing w:line="360" w:lineRule="auto"/>
        <w:ind w:left="6" w:firstLine="661"/>
        <w:rPr>
          <w:sz w:val="24"/>
          <w:szCs w:val="24"/>
          <w:highlight w:val="none"/>
        </w:rPr>
      </w:pPr>
      <w:r>
        <w:rPr>
          <w:spacing w:val="-4"/>
          <w:sz w:val="24"/>
          <w:szCs w:val="24"/>
          <w:highlight w:val="none"/>
        </w:rPr>
        <w:t>第十一条 本合同一式四份，甲方执三份，乙方执壹份。自双方签字盖章之日起生</w:t>
      </w:r>
      <w:r>
        <w:rPr>
          <w:spacing w:val="-13"/>
          <w:sz w:val="24"/>
          <w:szCs w:val="24"/>
          <w:highlight w:val="none"/>
        </w:rPr>
        <w:t>效。</w:t>
      </w:r>
    </w:p>
    <w:p w14:paraId="1F8EA1CC">
      <w:pPr>
        <w:pStyle w:val="4"/>
        <w:spacing w:line="219" w:lineRule="auto"/>
        <w:ind w:left="271"/>
        <w:rPr>
          <w:sz w:val="24"/>
          <w:szCs w:val="24"/>
          <w:highlight w:val="none"/>
        </w:rPr>
      </w:pPr>
      <w:r>
        <w:rPr>
          <w:spacing w:val="-6"/>
          <w:sz w:val="24"/>
          <w:szCs w:val="24"/>
          <w:highlight w:val="none"/>
        </w:rPr>
        <w:t>甲 方：</w:t>
      </w:r>
      <w:r>
        <w:rPr>
          <w:rFonts w:hint="eastAsia"/>
          <w:spacing w:val="-6"/>
          <w:sz w:val="24"/>
          <w:szCs w:val="24"/>
          <w:highlight w:val="none"/>
          <w:lang w:val="en-US" w:eastAsia="zh-CN"/>
        </w:rPr>
        <w:t xml:space="preserve">                       </w:t>
      </w:r>
      <w:r>
        <w:rPr>
          <w:spacing w:val="4"/>
          <w:sz w:val="24"/>
          <w:szCs w:val="24"/>
          <w:highlight w:val="none"/>
        </w:rPr>
        <w:t xml:space="preserve">       </w:t>
      </w:r>
      <w:r>
        <w:rPr>
          <w:spacing w:val="-6"/>
          <w:sz w:val="24"/>
          <w:szCs w:val="24"/>
          <w:highlight w:val="none"/>
        </w:rPr>
        <w:t>乙 方：</w:t>
      </w:r>
    </w:p>
    <w:p w14:paraId="2F7B4C76">
      <w:pPr>
        <w:pStyle w:val="4"/>
        <w:spacing w:before="182" w:line="220" w:lineRule="auto"/>
        <w:ind w:left="240"/>
        <w:rPr>
          <w:sz w:val="24"/>
          <w:szCs w:val="24"/>
          <w:highlight w:val="none"/>
        </w:rPr>
      </w:pPr>
      <w:r>
        <w:rPr>
          <w:spacing w:val="-2"/>
          <w:sz w:val="24"/>
          <w:szCs w:val="24"/>
          <w:highlight w:val="none"/>
        </w:rPr>
        <w:t>地  址：</w:t>
      </w:r>
      <w:r>
        <w:rPr>
          <w:rFonts w:hint="eastAsia"/>
          <w:spacing w:val="-2"/>
          <w:sz w:val="24"/>
          <w:szCs w:val="24"/>
          <w:highlight w:val="none"/>
          <w:lang w:val="en-US" w:eastAsia="zh-CN"/>
        </w:rPr>
        <w:t xml:space="preserve">                        </w:t>
      </w:r>
      <w:r>
        <w:rPr>
          <w:spacing w:val="-2"/>
          <w:sz w:val="24"/>
          <w:szCs w:val="24"/>
          <w:highlight w:val="none"/>
        </w:rPr>
        <w:t xml:space="preserve">     地</w:t>
      </w:r>
      <w:r>
        <w:rPr>
          <w:spacing w:val="6"/>
          <w:sz w:val="24"/>
          <w:szCs w:val="24"/>
          <w:highlight w:val="none"/>
        </w:rPr>
        <w:t xml:space="preserve">  </w:t>
      </w:r>
      <w:r>
        <w:rPr>
          <w:spacing w:val="-2"/>
          <w:sz w:val="24"/>
          <w:szCs w:val="24"/>
          <w:highlight w:val="none"/>
        </w:rPr>
        <w:t>址：</w:t>
      </w:r>
    </w:p>
    <w:p w14:paraId="27F4655F">
      <w:pPr>
        <w:pStyle w:val="4"/>
        <w:spacing w:before="183" w:line="222" w:lineRule="auto"/>
        <w:ind w:left="269"/>
        <w:rPr>
          <w:sz w:val="24"/>
          <w:szCs w:val="24"/>
          <w:highlight w:val="none"/>
        </w:rPr>
      </w:pPr>
      <w:r>
        <w:rPr>
          <w:spacing w:val="-20"/>
          <w:sz w:val="24"/>
          <w:szCs w:val="24"/>
          <w:highlight w:val="none"/>
        </w:rPr>
        <w:t>电</w:t>
      </w:r>
      <w:r>
        <w:rPr>
          <w:spacing w:val="5"/>
          <w:sz w:val="24"/>
          <w:szCs w:val="24"/>
          <w:highlight w:val="none"/>
        </w:rPr>
        <w:t xml:space="preserve">  </w:t>
      </w:r>
      <w:r>
        <w:rPr>
          <w:spacing w:val="-20"/>
          <w:sz w:val="24"/>
          <w:szCs w:val="24"/>
          <w:highlight w:val="none"/>
        </w:rPr>
        <w:t>话：</w:t>
      </w:r>
      <w:r>
        <w:rPr>
          <w:spacing w:val="1"/>
          <w:sz w:val="24"/>
          <w:szCs w:val="24"/>
          <w:highlight w:val="none"/>
        </w:rPr>
        <w:t xml:space="preserve">                        </w:t>
      </w:r>
      <w:r>
        <w:rPr>
          <w:rFonts w:hint="eastAsia"/>
          <w:spacing w:val="1"/>
          <w:sz w:val="24"/>
          <w:szCs w:val="24"/>
          <w:highlight w:val="none"/>
          <w:lang w:val="en-US" w:eastAsia="zh-CN"/>
        </w:rPr>
        <w:t xml:space="preserve">    </w:t>
      </w:r>
      <w:r>
        <w:rPr>
          <w:spacing w:val="-20"/>
          <w:sz w:val="24"/>
          <w:szCs w:val="24"/>
          <w:highlight w:val="none"/>
        </w:rPr>
        <w:t>电</w:t>
      </w:r>
      <w:r>
        <w:rPr>
          <w:spacing w:val="12"/>
          <w:sz w:val="24"/>
          <w:szCs w:val="24"/>
          <w:highlight w:val="none"/>
        </w:rPr>
        <w:t xml:space="preserve">  </w:t>
      </w:r>
      <w:r>
        <w:rPr>
          <w:spacing w:val="-20"/>
          <w:sz w:val="24"/>
          <w:szCs w:val="24"/>
          <w:highlight w:val="none"/>
        </w:rPr>
        <w:t>话：</w:t>
      </w:r>
    </w:p>
    <w:p w14:paraId="2B7BF2B6">
      <w:pPr>
        <w:pStyle w:val="4"/>
        <w:spacing w:before="180" w:line="220" w:lineRule="auto"/>
        <w:ind w:left="241"/>
        <w:rPr>
          <w:sz w:val="24"/>
          <w:szCs w:val="24"/>
          <w:highlight w:val="none"/>
        </w:rPr>
      </w:pPr>
      <w:r>
        <w:rPr>
          <w:spacing w:val="-8"/>
          <w:sz w:val="24"/>
          <w:szCs w:val="24"/>
          <w:highlight w:val="none"/>
        </w:rPr>
        <w:t>开户行：</w:t>
      </w:r>
      <w:r>
        <w:rPr>
          <w:sz w:val="24"/>
          <w:szCs w:val="24"/>
          <w:highlight w:val="none"/>
        </w:rPr>
        <w:t xml:space="preserve">                        </w:t>
      </w:r>
      <w:r>
        <w:rPr>
          <w:rFonts w:hint="eastAsia"/>
          <w:sz w:val="24"/>
          <w:szCs w:val="24"/>
          <w:highlight w:val="none"/>
          <w:lang w:val="en-US" w:eastAsia="zh-CN"/>
        </w:rPr>
        <w:t xml:space="preserve">     </w:t>
      </w:r>
      <w:r>
        <w:rPr>
          <w:spacing w:val="-8"/>
          <w:sz w:val="24"/>
          <w:szCs w:val="24"/>
          <w:highlight w:val="none"/>
        </w:rPr>
        <w:t>开户行：</w:t>
      </w:r>
    </w:p>
    <w:p w14:paraId="7565FC68">
      <w:pPr>
        <w:pStyle w:val="4"/>
        <w:spacing w:before="182" w:line="220" w:lineRule="auto"/>
        <w:ind w:left="250"/>
        <w:rPr>
          <w:sz w:val="24"/>
          <w:szCs w:val="24"/>
          <w:highlight w:val="none"/>
        </w:rPr>
      </w:pPr>
      <w:r>
        <w:rPr>
          <w:spacing w:val="-15"/>
          <w:sz w:val="24"/>
          <w:szCs w:val="24"/>
          <w:highlight w:val="none"/>
        </w:rPr>
        <w:t>帐</w:t>
      </w:r>
      <w:r>
        <w:rPr>
          <w:spacing w:val="8"/>
          <w:sz w:val="24"/>
          <w:szCs w:val="24"/>
          <w:highlight w:val="none"/>
        </w:rPr>
        <w:t xml:space="preserve">  </w:t>
      </w:r>
      <w:r>
        <w:rPr>
          <w:spacing w:val="-15"/>
          <w:sz w:val="24"/>
          <w:szCs w:val="24"/>
          <w:highlight w:val="none"/>
        </w:rPr>
        <w:t>号：</w:t>
      </w:r>
      <w:r>
        <w:rPr>
          <w:sz w:val="24"/>
          <w:szCs w:val="24"/>
          <w:highlight w:val="none"/>
        </w:rPr>
        <w:t xml:space="preserve">                       </w:t>
      </w:r>
      <w:r>
        <w:rPr>
          <w:rFonts w:hint="eastAsia"/>
          <w:sz w:val="24"/>
          <w:szCs w:val="24"/>
          <w:highlight w:val="none"/>
          <w:lang w:val="en-US" w:eastAsia="zh-CN"/>
        </w:rPr>
        <w:t xml:space="preserve">     </w:t>
      </w:r>
      <w:r>
        <w:rPr>
          <w:sz w:val="24"/>
          <w:szCs w:val="24"/>
          <w:highlight w:val="none"/>
        </w:rPr>
        <w:t xml:space="preserve"> </w:t>
      </w:r>
      <w:r>
        <w:rPr>
          <w:spacing w:val="-15"/>
          <w:sz w:val="24"/>
          <w:szCs w:val="24"/>
          <w:highlight w:val="none"/>
        </w:rPr>
        <w:t>帐</w:t>
      </w:r>
      <w:r>
        <w:rPr>
          <w:spacing w:val="17"/>
          <w:sz w:val="24"/>
          <w:szCs w:val="24"/>
          <w:highlight w:val="none"/>
        </w:rPr>
        <w:t xml:space="preserve">  </w:t>
      </w:r>
      <w:r>
        <w:rPr>
          <w:spacing w:val="-15"/>
          <w:sz w:val="24"/>
          <w:szCs w:val="24"/>
          <w:highlight w:val="none"/>
        </w:rPr>
        <w:t>号：</w:t>
      </w:r>
    </w:p>
    <w:p w14:paraId="79382341">
      <w:pPr>
        <w:pStyle w:val="4"/>
        <w:spacing w:before="181" w:line="220" w:lineRule="auto"/>
        <w:ind w:left="240"/>
        <w:rPr>
          <w:sz w:val="24"/>
          <w:szCs w:val="24"/>
          <w:highlight w:val="none"/>
        </w:rPr>
      </w:pPr>
      <w:r>
        <w:rPr>
          <w:spacing w:val="-6"/>
          <w:sz w:val="24"/>
          <w:szCs w:val="24"/>
          <w:highlight w:val="none"/>
        </w:rPr>
        <w:t>委托人签字：</w:t>
      </w:r>
      <w:r>
        <w:rPr>
          <w:sz w:val="24"/>
          <w:szCs w:val="24"/>
          <w:highlight w:val="none"/>
        </w:rPr>
        <w:t xml:space="preserve">                   </w:t>
      </w:r>
      <w:r>
        <w:rPr>
          <w:rFonts w:hint="eastAsia"/>
          <w:sz w:val="24"/>
          <w:szCs w:val="24"/>
          <w:highlight w:val="none"/>
          <w:lang w:val="en-US" w:eastAsia="zh-CN"/>
        </w:rPr>
        <w:t xml:space="preserve">    </w:t>
      </w:r>
      <w:r>
        <w:rPr>
          <w:sz w:val="24"/>
          <w:szCs w:val="24"/>
          <w:highlight w:val="none"/>
        </w:rPr>
        <w:t xml:space="preserve"> </w:t>
      </w:r>
      <w:r>
        <w:rPr>
          <w:spacing w:val="-6"/>
          <w:sz w:val="24"/>
          <w:szCs w:val="24"/>
          <w:highlight w:val="none"/>
        </w:rPr>
        <w:t>委托人签字：</w:t>
      </w:r>
    </w:p>
    <w:p w14:paraId="203FEFB2">
      <w:pPr>
        <w:pStyle w:val="4"/>
        <w:spacing w:before="278" w:line="220" w:lineRule="auto"/>
        <w:ind w:left="360"/>
        <w:rPr>
          <w:sz w:val="24"/>
          <w:szCs w:val="24"/>
          <w:highlight w:val="none"/>
        </w:rPr>
      </w:pPr>
      <w:r>
        <w:rPr>
          <w:spacing w:val="-2"/>
          <w:sz w:val="24"/>
          <w:szCs w:val="24"/>
          <w:highlight w:val="none"/>
        </w:rPr>
        <w:t>签订时间：     年</w:t>
      </w:r>
      <w:r>
        <w:rPr>
          <w:spacing w:val="5"/>
          <w:sz w:val="24"/>
          <w:szCs w:val="24"/>
          <w:highlight w:val="none"/>
        </w:rPr>
        <w:t xml:space="preserve">   </w:t>
      </w:r>
      <w:r>
        <w:rPr>
          <w:spacing w:val="-2"/>
          <w:sz w:val="24"/>
          <w:szCs w:val="24"/>
          <w:highlight w:val="none"/>
        </w:rPr>
        <w:t>月</w:t>
      </w:r>
      <w:r>
        <w:rPr>
          <w:spacing w:val="17"/>
          <w:sz w:val="24"/>
          <w:szCs w:val="24"/>
          <w:highlight w:val="none"/>
        </w:rPr>
        <w:t xml:space="preserve">   </w:t>
      </w:r>
      <w:r>
        <w:rPr>
          <w:spacing w:val="-2"/>
          <w:sz w:val="24"/>
          <w:szCs w:val="24"/>
          <w:highlight w:val="none"/>
        </w:rPr>
        <w:t>日</w:t>
      </w:r>
    </w:p>
    <w:p w14:paraId="7D4F4F2D">
      <w:pPr>
        <w:pStyle w:val="4"/>
        <w:spacing w:before="157" w:line="323" w:lineRule="auto"/>
        <w:ind w:left="1" w:right="1" w:firstLine="479"/>
        <w:jc w:val="both"/>
        <w:rPr>
          <w:sz w:val="24"/>
          <w:szCs w:val="24"/>
          <w:highlight w:val="none"/>
        </w:rPr>
      </w:pPr>
      <w:r>
        <w:rPr>
          <w:spacing w:val="-5"/>
          <w:sz w:val="24"/>
          <w:szCs w:val="24"/>
          <w:highlight w:val="none"/>
        </w:rPr>
        <w:t>注:1.按《三门峡市财政局关于市本级政府采购合同备案管理工作的通知》（三财购</w:t>
      </w:r>
      <w:r>
        <w:rPr>
          <w:spacing w:val="-1"/>
          <w:sz w:val="24"/>
          <w:szCs w:val="24"/>
          <w:highlight w:val="none"/>
        </w:rPr>
        <w:t>[</w:t>
      </w:r>
      <w:r>
        <w:rPr>
          <w:highlight w:val="none"/>
        </w:rPr>
        <w:fldChar w:fldCharType="begin"/>
      </w:r>
      <w:r>
        <w:rPr>
          <w:highlight w:val="none"/>
        </w:rPr>
        <w:instrText xml:space="preserve"> HYPERLINK \l "bookmark24" </w:instrText>
      </w:r>
      <w:r>
        <w:rPr>
          <w:highlight w:val="none"/>
        </w:rPr>
        <w:fldChar w:fldCharType="separate"/>
      </w:r>
      <w:r>
        <w:rPr>
          <w:spacing w:val="-1"/>
          <w:sz w:val="24"/>
          <w:szCs w:val="24"/>
          <w:highlight w:val="none"/>
        </w:rPr>
        <w:t>2021</w:t>
      </w:r>
      <w:r>
        <w:rPr>
          <w:spacing w:val="-1"/>
          <w:sz w:val="24"/>
          <w:szCs w:val="24"/>
          <w:highlight w:val="none"/>
        </w:rPr>
        <w:fldChar w:fldCharType="end"/>
      </w:r>
      <w:r>
        <w:rPr>
          <w:spacing w:val="-1"/>
          <w:sz w:val="24"/>
          <w:szCs w:val="24"/>
          <w:highlight w:val="none"/>
        </w:rPr>
        <w:t>]9</w:t>
      </w:r>
      <w:r>
        <w:rPr>
          <w:spacing w:val="-21"/>
          <w:sz w:val="24"/>
          <w:szCs w:val="24"/>
          <w:highlight w:val="none"/>
        </w:rPr>
        <w:t xml:space="preserve"> </w:t>
      </w:r>
      <w:r>
        <w:rPr>
          <w:spacing w:val="-1"/>
          <w:sz w:val="24"/>
          <w:szCs w:val="24"/>
          <w:highlight w:val="none"/>
        </w:rPr>
        <w:t>号）文要求，集中采购目录以外政府采购项目，原则上自中标通知书发出之日</w:t>
      </w:r>
      <w:r>
        <w:rPr>
          <w:spacing w:val="-2"/>
          <w:sz w:val="24"/>
          <w:szCs w:val="24"/>
          <w:highlight w:val="none"/>
        </w:rPr>
        <w:t>起</w:t>
      </w:r>
      <w:r>
        <w:rPr>
          <w:spacing w:val="-48"/>
          <w:sz w:val="24"/>
          <w:szCs w:val="24"/>
          <w:highlight w:val="none"/>
        </w:rPr>
        <w:t xml:space="preserve"> </w:t>
      </w:r>
      <w:r>
        <w:rPr>
          <w:spacing w:val="-2"/>
          <w:sz w:val="24"/>
          <w:szCs w:val="24"/>
          <w:highlight w:val="none"/>
        </w:rPr>
        <w:t>2</w:t>
      </w:r>
      <w:r>
        <w:rPr>
          <w:spacing w:val="-50"/>
          <w:sz w:val="24"/>
          <w:szCs w:val="24"/>
          <w:highlight w:val="none"/>
        </w:rPr>
        <w:t xml:space="preserve"> </w:t>
      </w:r>
      <w:r>
        <w:rPr>
          <w:spacing w:val="-2"/>
          <w:sz w:val="24"/>
          <w:szCs w:val="24"/>
          <w:highlight w:val="none"/>
        </w:rPr>
        <w:t>个工作日内与中标（成交）供应商按照采购文件确定的事项与供应</w:t>
      </w:r>
      <w:r>
        <w:rPr>
          <w:spacing w:val="-3"/>
          <w:sz w:val="24"/>
          <w:szCs w:val="24"/>
          <w:highlight w:val="none"/>
        </w:rPr>
        <w:t>商签订政府采购</w:t>
      </w:r>
      <w:r>
        <w:rPr>
          <w:spacing w:val="-11"/>
          <w:sz w:val="24"/>
          <w:szCs w:val="24"/>
          <w:highlight w:val="none"/>
        </w:rPr>
        <w:t>合同。</w:t>
      </w:r>
    </w:p>
    <w:p w14:paraId="3E1085A2">
      <w:pPr>
        <w:pStyle w:val="4"/>
        <w:spacing w:before="1" w:line="323" w:lineRule="auto"/>
        <w:ind w:right="190" w:firstLine="482"/>
        <w:rPr>
          <w:sz w:val="24"/>
          <w:szCs w:val="24"/>
          <w:highlight w:val="none"/>
        </w:rPr>
      </w:pPr>
      <w:r>
        <w:rPr>
          <w:sz w:val="24"/>
          <w:szCs w:val="24"/>
          <w:highlight w:val="none"/>
        </w:rPr>
        <w:t>2.供应商违反政府采购合同约定给采购人造成损失的,</w:t>
      </w:r>
      <w:r>
        <w:rPr>
          <w:spacing w:val="-1"/>
          <w:sz w:val="24"/>
          <w:szCs w:val="24"/>
          <w:highlight w:val="none"/>
        </w:rPr>
        <w:t>采购人按照合同约定,要求</w:t>
      </w:r>
      <w:r>
        <w:rPr>
          <w:spacing w:val="-4"/>
          <w:sz w:val="24"/>
          <w:szCs w:val="24"/>
          <w:highlight w:val="none"/>
        </w:rPr>
        <w:t>供应商承担赔偿责任。</w:t>
      </w:r>
    </w:p>
    <w:p w14:paraId="646D89E1">
      <w:pPr>
        <w:pStyle w:val="4"/>
        <w:spacing w:before="1" w:line="218" w:lineRule="auto"/>
        <w:ind w:left="262"/>
        <w:rPr>
          <w:sz w:val="24"/>
          <w:szCs w:val="24"/>
          <w:highlight w:val="none"/>
        </w:rPr>
      </w:pPr>
      <w:r>
        <w:rPr>
          <w:spacing w:val="-4"/>
          <w:sz w:val="24"/>
          <w:szCs w:val="24"/>
          <w:highlight w:val="none"/>
        </w:rPr>
        <w:t>附件：设备清单</w:t>
      </w:r>
    </w:p>
    <w:p w14:paraId="362706E8">
      <w:pPr>
        <w:pStyle w:val="4"/>
        <w:spacing w:before="159" w:line="226" w:lineRule="auto"/>
        <w:ind w:left="4619"/>
        <w:rPr>
          <w:b/>
          <w:bCs/>
          <w:spacing w:val="3"/>
          <w:highlight w:val="none"/>
        </w:rPr>
      </w:pPr>
    </w:p>
    <w:p w14:paraId="7565E42C">
      <w:pPr>
        <w:pStyle w:val="4"/>
        <w:spacing w:before="159" w:line="226" w:lineRule="auto"/>
        <w:ind w:left="4619"/>
        <w:rPr>
          <w:b/>
          <w:bCs/>
          <w:spacing w:val="3"/>
          <w:highlight w:val="none"/>
        </w:rPr>
      </w:pPr>
    </w:p>
    <w:p w14:paraId="0C09BE55">
      <w:pPr>
        <w:pStyle w:val="4"/>
        <w:spacing w:before="159" w:line="226" w:lineRule="auto"/>
        <w:ind w:left="4619"/>
        <w:rPr>
          <w:highlight w:val="none"/>
        </w:rPr>
      </w:pPr>
      <w:r>
        <w:rPr>
          <w:b/>
          <w:bCs/>
          <w:spacing w:val="3"/>
          <w:highlight w:val="none"/>
        </w:rPr>
        <w:t>设备清单</w:t>
      </w:r>
    </w:p>
    <w:p w14:paraId="6966ECBE">
      <w:pPr>
        <w:spacing w:before="31"/>
        <w:rPr>
          <w:highlight w:val="none"/>
        </w:rPr>
      </w:pPr>
    </w:p>
    <w:p w14:paraId="7B20F3B6">
      <w:pPr>
        <w:spacing w:before="31"/>
        <w:rPr>
          <w:highlight w:val="none"/>
        </w:rPr>
      </w:pPr>
    </w:p>
    <w:tbl>
      <w:tblPr>
        <w:tblStyle w:val="23"/>
        <w:tblW w:w="9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
        <w:gridCol w:w="3248"/>
        <w:gridCol w:w="3315"/>
        <w:gridCol w:w="1099"/>
        <w:gridCol w:w="938"/>
      </w:tblGrid>
      <w:tr w14:paraId="483A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89" w:type="dxa"/>
            <w:vAlign w:val="top"/>
          </w:tcPr>
          <w:p w14:paraId="5FEEDB13">
            <w:pPr>
              <w:pStyle w:val="24"/>
              <w:spacing w:before="201" w:line="221" w:lineRule="auto"/>
              <w:ind w:left="260"/>
              <w:rPr>
                <w:highlight w:val="none"/>
              </w:rPr>
            </w:pPr>
            <w:r>
              <w:rPr>
                <w:spacing w:val="-3"/>
                <w:highlight w:val="none"/>
              </w:rPr>
              <w:t>序号</w:t>
            </w:r>
          </w:p>
        </w:tc>
        <w:tc>
          <w:tcPr>
            <w:tcW w:w="3248" w:type="dxa"/>
            <w:vAlign w:val="top"/>
          </w:tcPr>
          <w:p w14:paraId="2BFE8AD7">
            <w:pPr>
              <w:pStyle w:val="24"/>
              <w:spacing w:before="201" w:line="222" w:lineRule="auto"/>
              <w:ind w:left="1392"/>
              <w:rPr>
                <w:highlight w:val="none"/>
              </w:rPr>
            </w:pPr>
            <w:r>
              <w:rPr>
                <w:spacing w:val="-4"/>
                <w:highlight w:val="none"/>
              </w:rPr>
              <w:t>名称</w:t>
            </w:r>
          </w:p>
        </w:tc>
        <w:tc>
          <w:tcPr>
            <w:tcW w:w="3315" w:type="dxa"/>
            <w:vAlign w:val="top"/>
          </w:tcPr>
          <w:p w14:paraId="442AB4DE">
            <w:pPr>
              <w:pStyle w:val="24"/>
              <w:spacing w:before="200" w:line="220" w:lineRule="auto"/>
              <w:ind w:left="1205"/>
              <w:rPr>
                <w:highlight w:val="none"/>
              </w:rPr>
            </w:pPr>
            <w:r>
              <w:rPr>
                <w:spacing w:val="-6"/>
                <w:highlight w:val="none"/>
              </w:rPr>
              <w:t>品牌型号</w:t>
            </w:r>
          </w:p>
        </w:tc>
        <w:tc>
          <w:tcPr>
            <w:tcW w:w="1099" w:type="dxa"/>
            <w:vAlign w:val="top"/>
          </w:tcPr>
          <w:p w14:paraId="65D67DEE">
            <w:pPr>
              <w:pStyle w:val="24"/>
              <w:spacing w:before="200" w:line="220" w:lineRule="auto"/>
              <w:ind w:left="321"/>
              <w:rPr>
                <w:highlight w:val="none"/>
              </w:rPr>
            </w:pPr>
            <w:r>
              <w:rPr>
                <w:spacing w:val="-3"/>
                <w:highlight w:val="none"/>
              </w:rPr>
              <w:t>数量</w:t>
            </w:r>
          </w:p>
        </w:tc>
        <w:tc>
          <w:tcPr>
            <w:tcW w:w="938" w:type="dxa"/>
            <w:vAlign w:val="top"/>
          </w:tcPr>
          <w:p w14:paraId="4D713566">
            <w:pPr>
              <w:pStyle w:val="24"/>
              <w:spacing w:before="201" w:line="220" w:lineRule="auto"/>
              <w:ind w:left="237"/>
              <w:rPr>
                <w:highlight w:val="none"/>
              </w:rPr>
            </w:pPr>
            <w:r>
              <w:rPr>
                <w:spacing w:val="-3"/>
                <w:highlight w:val="none"/>
              </w:rPr>
              <w:t>单位</w:t>
            </w:r>
          </w:p>
        </w:tc>
      </w:tr>
      <w:tr w14:paraId="45BB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054C7507">
            <w:pPr>
              <w:pStyle w:val="24"/>
              <w:spacing w:before="194" w:line="230" w:lineRule="auto"/>
              <w:ind w:left="135"/>
              <w:rPr>
                <w:highlight w:val="none"/>
              </w:rPr>
            </w:pPr>
            <w:r>
              <w:rPr>
                <w:highlight w:val="none"/>
              </w:rPr>
              <w:t>1</w:t>
            </w:r>
          </w:p>
        </w:tc>
        <w:tc>
          <w:tcPr>
            <w:tcW w:w="3248" w:type="dxa"/>
            <w:vAlign w:val="top"/>
          </w:tcPr>
          <w:p w14:paraId="63D6F832">
            <w:pPr>
              <w:rPr>
                <w:rFonts w:ascii="Arial"/>
                <w:sz w:val="21"/>
                <w:highlight w:val="none"/>
              </w:rPr>
            </w:pPr>
          </w:p>
        </w:tc>
        <w:tc>
          <w:tcPr>
            <w:tcW w:w="3315" w:type="dxa"/>
            <w:vAlign w:val="top"/>
          </w:tcPr>
          <w:p w14:paraId="1534394A">
            <w:pPr>
              <w:rPr>
                <w:rFonts w:ascii="Arial"/>
                <w:sz w:val="21"/>
                <w:highlight w:val="none"/>
              </w:rPr>
            </w:pPr>
          </w:p>
        </w:tc>
        <w:tc>
          <w:tcPr>
            <w:tcW w:w="1099" w:type="dxa"/>
            <w:vAlign w:val="top"/>
          </w:tcPr>
          <w:p w14:paraId="7FF7C53F">
            <w:pPr>
              <w:rPr>
                <w:rFonts w:ascii="Arial"/>
                <w:sz w:val="21"/>
                <w:highlight w:val="none"/>
              </w:rPr>
            </w:pPr>
          </w:p>
        </w:tc>
        <w:tc>
          <w:tcPr>
            <w:tcW w:w="938" w:type="dxa"/>
            <w:vAlign w:val="top"/>
          </w:tcPr>
          <w:p w14:paraId="739BBD89">
            <w:pPr>
              <w:rPr>
                <w:rFonts w:ascii="Arial"/>
                <w:sz w:val="21"/>
                <w:highlight w:val="none"/>
              </w:rPr>
            </w:pPr>
          </w:p>
        </w:tc>
      </w:tr>
      <w:tr w14:paraId="3A20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2B1233B2">
            <w:pPr>
              <w:pStyle w:val="24"/>
              <w:spacing w:before="196" w:line="230" w:lineRule="auto"/>
              <w:ind w:left="120"/>
              <w:rPr>
                <w:highlight w:val="none"/>
              </w:rPr>
            </w:pPr>
            <w:r>
              <w:rPr>
                <w:highlight w:val="none"/>
              </w:rPr>
              <w:t>2</w:t>
            </w:r>
          </w:p>
        </w:tc>
        <w:tc>
          <w:tcPr>
            <w:tcW w:w="3248" w:type="dxa"/>
            <w:vAlign w:val="top"/>
          </w:tcPr>
          <w:p w14:paraId="61492F39">
            <w:pPr>
              <w:rPr>
                <w:rFonts w:ascii="Arial"/>
                <w:sz w:val="21"/>
                <w:highlight w:val="none"/>
              </w:rPr>
            </w:pPr>
          </w:p>
        </w:tc>
        <w:tc>
          <w:tcPr>
            <w:tcW w:w="3315" w:type="dxa"/>
            <w:vAlign w:val="top"/>
          </w:tcPr>
          <w:p w14:paraId="7B326C52">
            <w:pPr>
              <w:rPr>
                <w:rFonts w:ascii="Arial"/>
                <w:sz w:val="21"/>
                <w:highlight w:val="none"/>
              </w:rPr>
            </w:pPr>
          </w:p>
        </w:tc>
        <w:tc>
          <w:tcPr>
            <w:tcW w:w="1099" w:type="dxa"/>
            <w:vAlign w:val="top"/>
          </w:tcPr>
          <w:p w14:paraId="5C283FAF">
            <w:pPr>
              <w:rPr>
                <w:rFonts w:ascii="Arial"/>
                <w:sz w:val="21"/>
                <w:highlight w:val="none"/>
              </w:rPr>
            </w:pPr>
          </w:p>
        </w:tc>
        <w:tc>
          <w:tcPr>
            <w:tcW w:w="938" w:type="dxa"/>
            <w:vAlign w:val="top"/>
          </w:tcPr>
          <w:p w14:paraId="6B7BC6C4">
            <w:pPr>
              <w:rPr>
                <w:rFonts w:ascii="Arial"/>
                <w:sz w:val="21"/>
                <w:highlight w:val="none"/>
              </w:rPr>
            </w:pPr>
          </w:p>
        </w:tc>
      </w:tr>
      <w:tr w14:paraId="253B7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5C7AFDA6">
            <w:pPr>
              <w:pStyle w:val="24"/>
              <w:spacing w:before="195" w:line="230" w:lineRule="auto"/>
              <w:ind w:left="122"/>
              <w:rPr>
                <w:highlight w:val="none"/>
              </w:rPr>
            </w:pPr>
            <w:r>
              <w:rPr>
                <w:highlight w:val="none"/>
              </w:rPr>
              <w:t>3</w:t>
            </w:r>
          </w:p>
        </w:tc>
        <w:tc>
          <w:tcPr>
            <w:tcW w:w="3248" w:type="dxa"/>
            <w:vAlign w:val="top"/>
          </w:tcPr>
          <w:p w14:paraId="2BB0D250">
            <w:pPr>
              <w:rPr>
                <w:rFonts w:ascii="Arial"/>
                <w:sz w:val="21"/>
                <w:highlight w:val="none"/>
              </w:rPr>
            </w:pPr>
          </w:p>
        </w:tc>
        <w:tc>
          <w:tcPr>
            <w:tcW w:w="3315" w:type="dxa"/>
            <w:vAlign w:val="top"/>
          </w:tcPr>
          <w:p w14:paraId="5FFE592A">
            <w:pPr>
              <w:rPr>
                <w:rFonts w:ascii="Arial"/>
                <w:sz w:val="21"/>
                <w:highlight w:val="none"/>
              </w:rPr>
            </w:pPr>
          </w:p>
        </w:tc>
        <w:tc>
          <w:tcPr>
            <w:tcW w:w="1099" w:type="dxa"/>
            <w:vAlign w:val="top"/>
          </w:tcPr>
          <w:p w14:paraId="1D0E1D62">
            <w:pPr>
              <w:rPr>
                <w:rFonts w:ascii="Arial"/>
                <w:sz w:val="21"/>
                <w:highlight w:val="none"/>
              </w:rPr>
            </w:pPr>
          </w:p>
        </w:tc>
        <w:tc>
          <w:tcPr>
            <w:tcW w:w="938" w:type="dxa"/>
            <w:vAlign w:val="top"/>
          </w:tcPr>
          <w:p w14:paraId="418A5D42">
            <w:pPr>
              <w:rPr>
                <w:rFonts w:ascii="Arial"/>
                <w:sz w:val="21"/>
                <w:highlight w:val="none"/>
              </w:rPr>
            </w:pPr>
          </w:p>
        </w:tc>
      </w:tr>
      <w:tr w14:paraId="4386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0BF7B0DB">
            <w:pPr>
              <w:pStyle w:val="24"/>
              <w:spacing w:before="196" w:line="230" w:lineRule="auto"/>
              <w:ind w:left="116"/>
              <w:rPr>
                <w:highlight w:val="none"/>
              </w:rPr>
            </w:pPr>
            <w:r>
              <w:rPr>
                <w:highlight w:val="none"/>
              </w:rPr>
              <w:t>4</w:t>
            </w:r>
          </w:p>
        </w:tc>
        <w:tc>
          <w:tcPr>
            <w:tcW w:w="3248" w:type="dxa"/>
            <w:vAlign w:val="top"/>
          </w:tcPr>
          <w:p w14:paraId="27D82C0C">
            <w:pPr>
              <w:rPr>
                <w:rFonts w:ascii="Arial"/>
                <w:sz w:val="21"/>
                <w:highlight w:val="none"/>
              </w:rPr>
            </w:pPr>
          </w:p>
        </w:tc>
        <w:tc>
          <w:tcPr>
            <w:tcW w:w="3315" w:type="dxa"/>
            <w:vAlign w:val="top"/>
          </w:tcPr>
          <w:p w14:paraId="3E7A67DC">
            <w:pPr>
              <w:rPr>
                <w:rFonts w:ascii="Arial"/>
                <w:sz w:val="21"/>
                <w:highlight w:val="none"/>
              </w:rPr>
            </w:pPr>
          </w:p>
        </w:tc>
        <w:tc>
          <w:tcPr>
            <w:tcW w:w="1099" w:type="dxa"/>
            <w:vAlign w:val="top"/>
          </w:tcPr>
          <w:p w14:paraId="34F9A27F">
            <w:pPr>
              <w:rPr>
                <w:rFonts w:ascii="Arial"/>
                <w:sz w:val="21"/>
                <w:highlight w:val="none"/>
              </w:rPr>
            </w:pPr>
          </w:p>
        </w:tc>
        <w:tc>
          <w:tcPr>
            <w:tcW w:w="938" w:type="dxa"/>
            <w:vAlign w:val="top"/>
          </w:tcPr>
          <w:p w14:paraId="38D8718B">
            <w:pPr>
              <w:rPr>
                <w:rFonts w:ascii="Arial"/>
                <w:sz w:val="21"/>
                <w:highlight w:val="none"/>
              </w:rPr>
            </w:pPr>
          </w:p>
        </w:tc>
      </w:tr>
      <w:tr w14:paraId="29B6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1F11BC20">
            <w:pPr>
              <w:pStyle w:val="24"/>
              <w:spacing w:before="196" w:line="229" w:lineRule="auto"/>
              <w:ind w:left="122"/>
              <w:rPr>
                <w:highlight w:val="none"/>
              </w:rPr>
            </w:pPr>
            <w:r>
              <w:rPr>
                <w:highlight w:val="none"/>
              </w:rPr>
              <w:t>5</w:t>
            </w:r>
          </w:p>
        </w:tc>
        <w:tc>
          <w:tcPr>
            <w:tcW w:w="3248" w:type="dxa"/>
            <w:vAlign w:val="top"/>
          </w:tcPr>
          <w:p w14:paraId="6E8A959D">
            <w:pPr>
              <w:rPr>
                <w:rFonts w:ascii="Arial"/>
                <w:sz w:val="21"/>
                <w:highlight w:val="none"/>
              </w:rPr>
            </w:pPr>
          </w:p>
        </w:tc>
        <w:tc>
          <w:tcPr>
            <w:tcW w:w="3315" w:type="dxa"/>
            <w:vAlign w:val="top"/>
          </w:tcPr>
          <w:p w14:paraId="210721BF">
            <w:pPr>
              <w:rPr>
                <w:rFonts w:ascii="Arial"/>
                <w:sz w:val="21"/>
                <w:highlight w:val="none"/>
              </w:rPr>
            </w:pPr>
          </w:p>
        </w:tc>
        <w:tc>
          <w:tcPr>
            <w:tcW w:w="1099" w:type="dxa"/>
            <w:vAlign w:val="top"/>
          </w:tcPr>
          <w:p w14:paraId="0A5EA3B0">
            <w:pPr>
              <w:rPr>
                <w:rFonts w:ascii="Arial"/>
                <w:sz w:val="21"/>
                <w:highlight w:val="none"/>
              </w:rPr>
            </w:pPr>
          </w:p>
        </w:tc>
        <w:tc>
          <w:tcPr>
            <w:tcW w:w="938" w:type="dxa"/>
            <w:vAlign w:val="top"/>
          </w:tcPr>
          <w:p w14:paraId="1E3A8970">
            <w:pPr>
              <w:rPr>
                <w:rFonts w:ascii="Arial"/>
                <w:sz w:val="21"/>
                <w:highlight w:val="none"/>
              </w:rPr>
            </w:pPr>
          </w:p>
        </w:tc>
      </w:tr>
      <w:tr w14:paraId="2E3E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2E3CC45D">
            <w:pPr>
              <w:pStyle w:val="24"/>
              <w:spacing w:before="198" w:line="229" w:lineRule="auto"/>
              <w:ind w:left="119"/>
              <w:rPr>
                <w:highlight w:val="none"/>
              </w:rPr>
            </w:pPr>
            <w:r>
              <w:rPr>
                <w:highlight w:val="none"/>
              </w:rPr>
              <w:t>6</w:t>
            </w:r>
          </w:p>
        </w:tc>
        <w:tc>
          <w:tcPr>
            <w:tcW w:w="3248" w:type="dxa"/>
            <w:vAlign w:val="top"/>
          </w:tcPr>
          <w:p w14:paraId="7A73B4C2">
            <w:pPr>
              <w:rPr>
                <w:rFonts w:ascii="Arial"/>
                <w:sz w:val="21"/>
                <w:highlight w:val="none"/>
              </w:rPr>
            </w:pPr>
          </w:p>
        </w:tc>
        <w:tc>
          <w:tcPr>
            <w:tcW w:w="3315" w:type="dxa"/>
            <w:vAlign w:val="top"/>
          </w:tcPr>
          <w:p w14:paraId="3E274F04">
            <w:pPr>
              <w:rPr>
                <w:rFonts w:ascii="Arial"/>
                <w:sz w:val="21"/>
                <w:highlight w:val="none"/>
              </w:rPr>
            </w:pPr>
          </w:p>
        </w:tc>
        <w:tc>
          <w:tcPr>
            <w:tcW w:w="1099" w:type="dxa"/>
            <w:vAlign w:val="top"/>
          </w:tcPr>
          <w:p w14:paraId="1782D8B9">
            <w:pPr>
              <w:rPr>
                <w:rFonts w:ascii="Arial"/>
                <w:sz w:val="21"/>
                <w:highlight w:val="none"/>
              </w:rPr>
            </w:pPr>
          </w:p>
        </w:tc>
        <w:tc>
          <w:tcPr>
            <w:tcW w:w="938" w:type="dxa"/>
            <w:vAlign w:val="top"/>
          </w:tcPr>
          <w:p w14:paraId="60128C05">
            <w:pPr>
              <w:rPr>
                <w:rFonts w:ascii="Arial"/>
                <w:sz w:val="21"/>
                <w:highlight w:val="none"/>
              </w:rPr>
            </w:pPr>
          </w:p>
        </w:tc>
      </w:tr>
      <w:tr w14:paraId="094D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2EB33D55">
            <w:pPr>
              <w:pStyle w:val="24"/>
              <w:spacing w:before="196" w:line="229" w:lineRule="auto"/>
              <w:ind w:left="123"/>
              <w:rPr>
                <w:highlight w:val="none"/>
              </w:rPr>
            </w:pPr>
            <w:r>
              <w:rPr>
                <w:highlight w:val="none"/>
              </w:rPr>
              <w:t>7</w:t>
            </w:r>
          </w:p>
        </w:tc>
        <w:tc>
          <w:tcPr>
            <w:tcW w:w="3248" w:type="dxa"/>
            <w:vAlign w:val="top"/>
          </w:tcPr>
          <w:p w14:paraId="072D4103">
            <w:pPr>
              <w:rPr>
                <w:rFonts w:ascii="Arial"/>
                <w:sz w:val="21"/>
                <w:highlight w:val="none"/>
              </w:rPr>
            </w:pPr>
          </w:p>
        </w:tc>
        <w:tc>
          <w:tcPr>
            <w:tcW w:w="3315" w:type="dxa"/>
            <w:vAlign w:val="top"/>
          </w:tcPr>
          <w:p w14:paraId="181329D2">
            <w:pPr>
              <w:rPr>
                <w:rFonts w:ascii="Arial"/>
                <w:sz w:val="21"/>
                <w:highlight w:val="none"/>
              </w:rPr>
            </w:pPr>
          </w:p>
        </w:tc>
        <w:tc>
          <w:tcPr>
            <w:tcW w:w="1099" w:type="dxa"/>
            <w:vAlign w:val="top"/>
          </w:tcPr>
          <w:p w14:paraId="0AF52082">
            <w:pPr>
              <w:rPr>
                <w:rFonts w:ascii="Arial"/>
                <w:sz w:val="21"/>
                <w:highlight w:val="none"/>
              </w:rPr>
            </w:pPr>
          </w:p>
        </w:tc>
        <w:tc>
          <w:tcPr>
            <w:tcW w:w="938" w:type="dxa"/>
            <w:vAlign w:val="top"/>
          </w:tcPr>
          <w:p w14:paraId="2B0C9A16">
            <w:pPr>
              <w:rPr>
                <w:rFonts w:ascii="Arial"/>
                <w:sz w:val="21"/>
                <w:highlight w:val="none"/>
              </w:rPr>
            </w:pPr>
          </w:p>
        </w:tc>
      </w:tr>
      <w:tr w14:paraId="71EF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779311D">
            <w:pPr>
              <w:pStyle w:val="24"/>
              <w:spacing w:before="198" w:line="229" w:lineRule="auto"/>
              <w:ind w:left="118"/>
              <w:rPr>
                <w:highlight w:val="none"/>
              </w:rPr>
            </w:pPr>
            <w:r>
              <w:rPr>
                <w:highlight w:val="none"/>
              </w:rPr>
              <w:t>8</w:t>
            </w:r>
          </w:p>
        </w:tc>
        <w:tc>
          <w:tcPr>
            <w:tcW w:w="3248" w:type="dxa"/>
            <w:vAlign w:val="top"/>
          </w:tcPr>
          <w:p w14:paraId="62206DF5">
            <w:pPr>
              <w:rPr>
                <w:rFonts w:ascii="Arial"/>
                <w:sz w:val="21"/>
                <w:highlight w:val="none"/>
              </w:rPr>
            </w:pPr>
          </w:p>
        </w:tc>
        <w:tc>
          <w:tcPr>
            <w:tcW w:w="3315" w:type="dxa"/>
            <w:vAlign w:val="top"/>
          </w:tcPr>
          <w:p w14:paraId="64ABD952">
            <w:pPr>
              <w:rPr>
                <w:rFonts w:ascii="Arial"/>
                <w:sz w:val="21"/>
                <w:highlight w:val="none"/>
              </w:rPr>
            </w:pPr>
          </w:p>
        </w:tc>
        <w:tc>
          <w:tcPr>
            <w:tcW w:w="1099" w:type="dxa"/>
            <w:vAlign w:val="top"/>
          </w:tcPr>
          <w:p w14:paraId="51021047">
            <w:pPr>
              <w:rPr>
                <w:rFonts w:ascii="Arial"/>
                <w:sz w:val="21"/>
                <w:highlight w:val="none"/>
              </w:rPr>
            </w:pPr>
          </w:p>
        </w:tc>
        <w:tc>
          <w:tcPr>
            <w:tcW w:w="938" w:type="dxa"/>
            <w:vAlign w:val="top"/>
          </w:tcPr>
          <w:p w14:paraId="5078AC92">
            <w:pPr>
              <w:rPr>
                <w:rFonts w:ascii="Arial"/>
                <w:sz w:val="21"/>
                <w:highlight w:val="none"/>
              </w:rPr>
            </w:pPr>
          </w:p>
        </w:tc>
      </w:tr>
      <w:tr w14:paraId="2D033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1E60D783">
            <w:pPr>
              <w:pStyle w:val="24"/>
              <w:spacing w:before="196" w:line="229" w:lineRule="auto"/>
              <w:ind w:left="118"/>
              <w:rPr>
                <w:highlight w:val="none"/>
              </w:rPr>
            </w:pPr>
            <w:r>
              <w:rPr>
                <w:highlight w:val="none"/>
              </w:rPr>
              <w:t>9</w:t>
            </w:r>
          </w:p>
        </w:tc>
        <w:tc>
          <w:tcPr>
            <w:tcW w:w="3248" w:type="dxa"/>
            <w:vAlign w:val="top"/>
          </w:tcPr>
          <w:p w14:paraId="47B186D5">
            <w:pPr>
              <w:rPr>
                <w:rFonts w:ascii="Arial"/>
                <w:sz w:val="21"/>
                <w:highlight w:val="none"/>
              </w:rPr>
            </w:pPr>
          </w:p>
        </w:tc>
        <w:tc>
          <w:tcPr>
            <w:tcW w:w="3315" w:type="dxa"/>
            <w:vAlign w:val="top"/>
          </w:tcPr>
          <w:p w14:paraId="77D3B7B6">
            <w:pPr>
              <w:rPr>
                <w:rFonts w:ascii="Arial"/>
                <w:sz w:val="21"/>
                <w:highlight w:val="none"/>
              </w:rPr>
            </w:pPr>
          </w:p>
        </w:tc>
        <w:tc>
          <w:tcPr>
            <w:tcW w:w="1099" w:type="dxa"/>
            <w:vAlign w:val="top"/>
          </w:tcPr>
          <w:p w14:paraId="2A3A0948">
            <w:pPr>
              <w:rPr>
                <w:rFonts w:ascii="Arial"/>
                <w:sz w:val="21"/>
                <w:highlight w:val="none"/>
              </w:rPr>
            </w:pPr>
          </w:p>
        </w:tc>
        <w:tc>
          <w:tcPr>
            <w:tcW w:w="938" w:type="dxa"/>
            <w:vAlign w:val="top"/>
          </w:tcPr>
          <w:p w14:paraId="01F465BD">
            <w:pPr>
              <w:rPr>
                <w:rFonts w:ascii="Arial"/>
                <w:sz w:val="21"/>
                <w:highlight w:val="none"/>
              </w:rPr>
            </w:pPr>
          </w:p>
        </w:tc>
      </w:tr>
      <w:tr w14:paraId="0F67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38A984FA">
            <w:pPr>
              <w:pStyle w:val="24"/>
              <w:spacing w:before="198" w:line="229" w:lineRule="auto"/>
              <w:ind w:left="135"/>
              <w:rPr>
                <w:highlight w:val="none"/>
              </w:rPr>
            </w:pPr>
            <w:r>
              <w:rPr>
                <w:spacing w:val="-7"/>
                <w:highlight w:val="none"/>
              </w:rPr>
              <w:t>10</w:t>
            </w:r>
          </w:p>
        </w:tc>
        <w:tc>
          <w:tcPr>
            <w:tcW w:w="3248" w:type="dxa"/>
            <w:vAlign w:val="top"/>
          </w:tcPr>
          <w:p w14:paraId="6AFD88D6">
            <w:pPr>
              <w:rPr>
                <w:rFonts w:ascii="Arial"/>
                <w:sz w:val="21"/>
                <w:highlight w:val="none"/>
              </w:rPr>
            </w:pPr>
          </w:p>
        </w:tc>
        <w:tc>
          <w:tcPr>
            <w:tcW w:w="3315" w:type="dxa"/>
            <w:vAlign w:val="top"/>
          </w:tcPr>
          <w:p w14:paraId="1E0D8D96">
            <w:pPr>
              <w:rPr>
                <w:rFonts w:ascii="Arial"/>
                <w:sz w:val="21"/>
                <w:highlight w:val="none"/>
              </w:rPr>
            </w:pPr>
          </w:p>
        </w:tc>
        <w:tc>
          <w:tcPr>
            <w:tcW w:w="1099" w:type="dxa"/>
            <w:vAlign w:val="top"/>
          </w:tcPr>
          <w:p w14:paraId="69D40C91">
            <w:pPr>
              <w:rPr>
                <w:rFonts w:ascii="Arial"/>
                <w:sz w:val="21"/>
                <w:highlight w:val="none"/>
              </w:rPr>
            </w:pPr>
          </w:p>
        </w:tc>
        <w:tc>
          <w:tcPr>
            <w:tcW w:w="938" w:type="dxa"/>
            <w:vAlign w:val="top"/>
          </w:tcPr>
          <w:p w14:paraId="59557CC7">
            <w:pPr>
              <w:rPr>
                <w:rFonts w:ascii="Arial"/>
                <w:sz w:val="21"/>
                <w:highlight w:val="none"/>
              </w:rPr>
            </w:pPr>
          </w:p>
        </w:tc>
      </w:tr>
      <w:tr w14:paraId="70B9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5CAB99B1">
            <w:pPr>
              <w:pStyle w:val="24"/>
              <w:spacing w:before="196" w:line="229" w:lineRule="auto"/>
              <w:ind w:left="135"/>
              <w:rPr>
                <w:highlight w:val="none"/>
              </w:rPr>
            </w:pPr>
            <w:r>
              <w:rPr>
                <w:spacing w:val="-7"/>
                <w:highlight w:val="none"/>
              </w:rPr>
              <w:t>11</w:t>
            </w:r>
          </w:p>
        </w:tc>
        <w:tc>
          <w:tcPr>
            <w:tcW w:w="3248" w:type="dxa"/>
            <w:vAlign w:val="top"/>
          </w:tcPr>
          <w:p w14:paraId="07DBB376">
            <w:pPr>
              <w:rPr>
                <w:rFonts w:ascii="Arial"/>
                <w:sz w:val="21"/>
                <w:highlight w:val="none"/>
              </w:rPr>
            </w:pPr>
          </w:p>
        </w:tc>
        <w:tc>
          <w:tcPr>
            <w:tcW w:w="3315" w:type="dxa"/>
            <w:vAlign w:val="top"/>
          </w:tcPr>
          <w:p w14:paraId="20CF7E8C">
            <w:pPr>
              <w:rPr>
                <w:rFonts w:ascii="Arial"/>
                <w:sz w:val="21"/>
                <w:highlight w:val="none"/>
              </w:rPr>
            </w:pPr>
          </w:p>
        </w:tc>
        <w:tc>
          <w:tcPr>
            <w:tcW w:w="1099" w:type="dxa"/>
            <w:vAlign w:val="top"/>
          </w:tcPr>
          <w:p w14:paraId="6C248C07">
            <w:pPr>
              <w:rPr>
                <w:rFonts w:ascii="Arial"/>
                <w:sz w:val="21"/>
                <w:highlight w:val="none"/>
              </w:rPr>
            </w:pPr>
          </w:p>
        </w:tc>
        <w:tc>
          <w:tcPr>
            <w:tcW w:w="938" w:type="dxa"/>
            <w:vAlign w:val="top"/>
          </w:tcPr>
          <w:p w14:paraId="6B32047B">
            <w:pPr>
              <w:rPr>
                <w:rFonts w:ascii="Arial"/>
                <w:sz w:val="21"/>
                <w:highlight w:val="none"/>
              </w:rPr>
            </w:pPr>
          </w:p>
        </w:tc>
      </w:tr>
      <w:tr w14:paraId="75B8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0E628ABF">
            <w:pPr>
              <w:pStyle w:val="24"/>
              <w:spacing w:before="198" w:line="229" w:lineRule="auto"/>
              <w:ind w:left="135"/>
              <w:rPr>
                <w:highlight w:val="none"/>
              </w:rPr>
            </w:pPr>
            <w:r>
              <w:rPr>
                <w:spacing w:val="-7"/>
                <w:highlight w:val="none"/>
              </w:rPr>
              <w:t>12</w:t>
            </w:r>
          </w:p>
        </w:tc>
        <w:tc>
          <w:tcPr>
            <w:tcW w:w="3248" w:type="dxa"/>
            <w:vAlign w:val="top"/>
          </w:tcPr>
          <w:p w14:paraId="67C6817F">
            <w:pPr>
              <w:rPr>
                <w:rFonts w:ascii="Arial"/>
                <w:sz w:val="21"/>
                <w:highlight w:val="none"/>
              </w:rPr>
            </w:pPr>
          </w:p>
        </w:tc>
        <w:tc>
          <w:tcPr>
            <w:tcW w:w="3315" w:type="dxa"/>
            <w:vAlign w:val="top"/>
          </w:tcPr>
          <w:p w14:paraId="0CD53B66">
            <w:pPr>
              <w:rPr>
                <w:rFonts w:ascii="Arial"/>
                <w:sz w:val="21"/>
                <w:highlight w:val="none"/>
              </w:rPr>
            </w:pPr>
          </w:p>
        </w:tc>
        <w:tc>
          <w:tcPr>
            <w:tcW w:w="1099" w:type="dxa"/>
            <w:vAlign w:val="top"/>
          </w:tcPr>
          <w:p w14:paraId="0700E2E3">
            <w:pPr>
              <w:rPr>
                <w:rFonts w:ascii="Arial"/>
                <w:sz w:val="21"/>
                <w:highlight w:val="none"/>
              </w:rPr>
            </w:pPr>
          </w:p>
        </w:tc>
        <w:tc>
          <w:tcPr>
            <w:tcW w:w="938" w:type="dxa"/>
            <w:vAlign w:val="top"/>
          </w:tcPr>
          <w:p w14:paraId="6BD72A98">
            <w:pPr>
              <w:rPr>
                <w:rFonts w:ascii="Arial"/>
                <w:sz w:val="21"/>
                <w:highlight w:val="none"/>
              </w:rPr>
            </w:pPr>
          </w:p>
        </w:tc>
      </w:tr>
      <w:tr w14:paraId="0C5B9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68563748">
            <w:pPr>
              <w:pStyle w:val="24"/>
              <w:spacing w:before="196" w:line="228" w:lineRule="auto"/>
              <w:ind w:left="135"/>
              <w:rPr>
                <w:highlight w:val="none"/>
              </w:rPr>
            </w:pPr>
            <w:r>
              <w:rPr>
                <w:spacing w:val="-7"/>
                <w:highlight w:val="none"/>
              </w:rPr>
              <w:t>13</w:t>
            </w:r>
          </w:p>
        </w:tc>
        <w:tc>
          <w:tcPr>
            <w:tcW w:w="3248" w:type="dxa"/>
            <w:vAlign w:val="top"/>
          </w:tcPr>
          <w:p w14:paraId="4A1CD3DD">
            <w:pPr>
              <w:rPr>
                <w:rFonts w:ascii="Arial"/>
                <w:sz w:val="21"/>
                <w:highlight w:val="none"/>
              </w:rPr>
            </w:pPr>
          </w:p>
        </w:tc>
        <w:tc>
          <w:tcPr>
            <w:tcW w:w="3315" w:type="dxa"/>
            <w:vAlign w:val="top"/>
          </w:tcPr>
          <w:p w14:paraId="34EC47BD">
            <w:pPr>
              <w:rPr>
                <w:rFonts w:ascii="Arial"/>
                <w:sz w:val="21"/>
                <w:highlight w:val="none"/>
              </w:rPr>
            </w:pPr>
          </w:p>
        </w:tc>
        <w:tc>
          <w:tcPr>
            <w:tcW w:w="1099" w:type="dxa"/>
            <w:vAlign w:val="top"/>
          </w:tcPr>
          <w:p w14:paraId="7ECEF15D">
            <w:pPr>
              <w:rPr>
                <w:rFonts w:ascii="Arial"/>
                <w:sz w:val="21"/>
                <w:highlight w:val="none"/>
              </w:rPr>
            </w:pPr>
          </w:p>
        </w:tc>
        <w:tc>
          <w:tcPr>
            <w:tcW w:w="938" w:type="dxa"/>
            <w:vAlign w:val="top"/>
          </w:tcPr>
          <w:p w14:paraId="60D3B6D7">
            <w:pPr>
              <w:rPr>
                <w:rFonts w:ascii="Arial"/>
                <w:sz w:val="21"/>
                <w:highlight w:val="none"/>
              </w:rPr>
            </w:pPr>
          </w:p>
        </w:tc>
      </w:tr>
      <w:tr w14:paraId="665FF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36DD7243">
            <w:pPr>
              <w:pStyle w:val="24"/>
              <w:spacing w:before="199" w:line="228" w:lineRule="auto"/>
              <w:ind w:left="135"/>
              <w:rPr>
                <w:highlight w:val="none"/>
              </w:rPr>
            </w:pPr>
            <w:r>
              <w:rPr>
                <w:spacing w:val="-7"/>
                <w:highlight w:val="none"/>
              </w:rPr>
              <w:t>14</w:t>
            </w:r>
          </w:p>
        </w:tc>
        <w:tc>
          <w:tcPr>
            <w:tcW w:w="3248" w:type="dxa"/>
            <w:vAlign w:val="top"/>
          </w:tcPr>
          <w:p w14:paraId="2C708330">
            <w:pPr>
              <w:rPr>
                <w:rFonts w:ascii="Arial"/>
                <w:sz w:val="21"/>
                <w:highlight w:val="none"/>
              </w:rPr>
            </w:pPr>
          </w:p>
        </w:tc>
        <w:tc>
          <w:tcPr>
            <w:tcW w:w="3315" w:type="dxa"/>
            <w:vAlign w:val="top"/>
          </w:tcPr>
          <w:p w14:paraId="5D66621C">
            <w:pPr>
              <w:rPr>
                <w:rFonts w:ascii="Arial"/>
                <w:sz w:val="21"/>
                <w:highlight w:val="none"/>
              </w:rPr>
            </w:pPr>
          </w:p>
        </w:tc>
        <w:tc>
          <w:tcPr>
            <w:tcW w:w="1099" w:type="dxa"/>
            <w:vAlign w:val="top"/>
          </w:tcPr>
          <w:p w14:paraId="2FEEB0FC">
            <w:pPr>
              <w:rPr>
                <w:rFonts w:ascii="Arial"/>
                <w:sz w:val="21"/>
                <w:highlight w:val="none"/>
              </w:rPr>
            </w:pPr>
          </w:p>
        </w:tc>
        <w:tc>
          <w:tcPr>
            <w:tcW w:w="938" w:type="dxa"/>
            <w:vAlign w:val="top"/>
          </w:tcPr>
          <w:p w14:paraId="5F373A4D">
            <w:pPr>
              <w:rPr>
                <w:rFonts w:ascii="Arial"/>
                <w:sz w:val="21"/>
                <w:highlight w:val="none"/>
              </w:rPr>
            </w:pPr>
          </w:p>
        </w:tc>
      </w:tr>
      <w:tr w14:paraId="6F4E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67C7750B">
            <w:pPr>
              <w:pStyle w:val="24"/>
              <w:spacing w:before="197" w:line="227" w:lineRule="auto"/>
              <w:ind w:left="135"/>
              <w:rPr>
                <w:highlight w:val="none"/>
              </w:rPr>
            </w:pPr>
            <w:r>
              <w:rPr>
                <w:spacing w:val="-7"/>
                <w:highlight w:val="none"/>
              </w:rPr>
              <w:t>15</w:t>
            </w:r>
          </w:p>
        </w:tc>
        <w:tc>
          <w:tcPr>
            <w:tcW w:w="3248" w:type="dxa"/>
            <w:vAlign w:val="top"/>
          </w:tcPr>
          <w:p w14:paraId="734450CD">
            <w:pPr>
              <w:rPr>
                <w:rFonts w:ascii="Arial"/>
                <w:sz w:val="21"/>
                <w:highlight w:val="none"/>
              </w:rPr>
            </w:pPr>
          </w:p>
        </w:tc>
        <w:tc>
          <w:tcPr>
            <w:tcW w:w="3315" w:type="dxa"/>
            <w:vAlign w:val="top"/>
          </w:tcPr>
          <w:p w14:paraId="03E60F46">
            <w:pPr>
              <w:rPr>
                <w:rFonts w:ascii="Arial"/>
                <w:sz w:val="21"/>
                <w:highlight w:val="none"/>
              </w:rPr>
            </w:pPr>
          </w:p>
        </w:tc>
        <w:tc>
          <w:tcPr>
            <w:tcW w:w="1099" w:type="dxa"/>
            <w:vAlign w:val="top"/>
          </w:tcPr>
          <w:p w14:paraId="57C02BC9">
            <w:pPr>
              <w:rPr>
                <w:rFonts w:ascii="Arial"/>
                <w:sz w:val="21"/>
                <w:highlight w:val="none"/>
              </w:rPr>
            </w:pPr>
          </w:p>
        </w:tc>
        <w:tc>
          <w:tcPr>
            <w:tcW w:w="938" w:type="dxa"/>
            <w:vAlign w:val="top"/>
          </w:tcPr>
          <w:p w14:paraId="7B96AE0E">
            <w:pPr>
              <w:rPr>
                <w:rFonts w:ascii="Arial"/>
                <w:sz w:val="21"/>
                <w:highlight w:val="none"/>
              </w:rPr>
            </w:pPr>
          </w:p>
        </w:tc>
      </w:tr>
      <w:tr w14:paraId="194F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284E454">
            <w:pPr>
              <w:pStyle w:val="24"/>
              <w:spacing w:before="200" w:line="227" w:lineRule="auto"/>
              <w:ind w:left="135"/>
              <w:rPr>
                <w:highlight w:val="none"/>
              </w:rPr>
            </w:pPr>
            <w:r>
              <w:rPr>
                <w:spacing w:val="-7"/>
                <w:highlight w:val="none"/>
              </w:rPr>
              <w:t>16</w:t>
            </w:r>
          </w:p>
        </w:tc>
        <w:tc>
          <w:tcPr>
            <w:tcW w:w="3248" w:type="dxa"/>
            <w:vAlign w:val="top"/>
          </w:tcPr>
          <w:p w14:paraId="54800FB8">
            <w:pPr>
              <w:rPr>
                <w:rFonts w:ascii="Arial"/>
                <w:sz w:val="21"/>
                <w:highlight w:val="none"/>
              </w:rPr>
            </w:pPr>
          </w:p>
        </w:tc>
        <w:tc>
          <w:tcPr>
            <w:tcW w:w="3315" w:type="dxa"/>
            <w:vAlign w:val="top"/>
          </w:tcPr>
          <w:p w14:paraId="6C9638DA">
            <w:pPr>
              <w:rPr>
                <w:rFonts w:ascii="Arial"/>
                <w:sz w:val="21"/>
                <w:highlight w:val="none"/>
              </w:rPr>
            </w:pPr>
          </w:p>
        </w:tc>
        <w:tc>
          <w:tcPr>
            <w:tcW w:w="1099" w:type="dxa"/>
            <w:vAlign w:val="top"/>
          </w:tcPr>
          <w:p w14:paraId="72377787">
            <w:pPr>
              <w:rPr>
                <w:rFonts w:ascii="Arial"/>
                <w:sz w:val="21"/>
                <w:highlight w:val="none"/>
              </w:rPr>
            </w:pPr>
          </w:p>
        </w:tc>
        <w:tc>
          <w:tcPr>
            <w:tcW w:w="938" w:type="dxa"/>
            <w:vAlign w:val="top"/>
          </w:tcPr>
          <w:p w14:paraId="513CF614">
            <w:pPr>
              <w:rPr>
                <w:rFonts w:ascii="Arial"/>
                <w:sz w:val="21"/>
                <w:highlight w:val="none"/>
              </w:rPr>
            </w:pPr>
          </w:p>
        </w:tc>
      </w:tr>
      <w:tr w14:paraId="391E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34D6688E">
            <w:pPr>
              <w:pStyle w:val="24"/>
              <w:spacing w:before="197" w:line="227" w:lineRule="auto"/>
              <w:ind w:left="135"/>
              <w:rPr>
                <w:highlight w:val="none"/>
              </w:rPr>
            </w:pPr>
            <w:r>
              <w:rPr>
                <w:spacing w:val="-7"/>
                <w:highlight w:val="none"/>
              </w:rPr>
              <w:t>17</w:t>
            </w:r>
          </w:p>
        </w:tc>
        <w:tc>
          <w:tcPr>
            <w:tcW w:w="3248" w:type="dxa"/>
            <w:vAlign w:val="top"/>
          </w:tcPr>
          <w:p w14:paraId="5F45191D">
            <w:pPr>
              <w:rPr>
                <w:rFonts w:ascii="Arial"/>
                <w:sz w:val="21"/>
                <w:highlight w:val="none"/>
              </w:rPr>
            </w:pPr>
          </w:p>
        </w:tc>
        <w:tc>
          <w:tcPr>
            <w:tcW w:w="3315" w:type="dxa"/>
            <w:vAlign w:val="top"/>
          </w:tcPr>
          <w:p w14:paraId="015003B6">
            <w:pPr>
              <w:rPr>
                <w:rFonts w:ascii="Arial"/>
                <w:sz w:val="21"/>
                <w:highlight w:val="none"/>
              </w:rPr>
            </w:pPr>
          </w:p>
        </w:tc>
        <w:tc>
          <w:tcPr>
            <w:tcW w:w="1099" w:type="dxa"/>
            <w:vAlign w:val="top"/>
          </w:tcPr>
          <w:p w14:paraId="002EB3CE">
            <w:pPr>
              <w:rPr>
                <w:rFonts w:ascii="Arial"/>
                <w:sz w:val="21"/>
                <w:highlight w:val="none"/>
              </w:rPr>
            </w:pPr>
          </w:p>
        </w:tc>
        <w:tc>
          <w:tcPr>
            <w:tcW w:w="938" w:type="dxa"/>
            <w:vAlign w:val="top"/>
          </w:tcPr>
          <w:p w14:paraId="1C25ED2B">
            <w:pPr>
              <w:rPr>
                <w:rFonts w:ascii="Arial"/>
                <w:sz w:val="21"/>
                <w:highlight w:val="none"/>
              </w:rPr>
            </w:pPr>
          </w:p>
        </w:tc>
      </w:tr>
      <w:tr w14:paraId="0C59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47C48E23">
            <w:pPr>
              <w:pStyle w:val="24"/>
              <w:spacing w:before="200" w:line="227" w:lineRule="auto"/>
              <w:ind w:left="135"/>
              <w:rPr>
                <w:highlight w:val="none"/>
              </w:rPr>
            </w:pPr>
            <w:r>
              <w:rPr>
                <w:spacing w:val="-7"/>
                <w:highlight w:val="none"/>
              </w:rPr>
              <w:t>18</w:t>
            </w:r>
          </w:p>
        </w:tc>
        <w:tc>
          <w:tcPr>
            <w:tcW w:w="3248" w:type="dxa"/>
            <w:vAlign w:val="top"/>
          </w:tcPr>
          <w:p w14:paraId="28FDBABF">
            <w:pPr>
              <w:rPr>
                <w:rFonts w:ascii="Arial"/>
                <w:sz w:val="21"/>
                <w:highlight w:val="none"/>
              </w:rPr>
            </w:pPr>
          </w:p>
        </w:tc>
        <w:tc>
          <w:tcPr>
            <w:tcW w:w="3315" w:type="dxa"/>
            <w:vAlign w:val="top"/>
          </w:tcPr>
          <w:p w14:paraId="46F25395">
            <w:pPr>
              <w:rPr>
                <w:rFonts w:ascii="Arial"/>
                <w:sz w:val="21"/>
                <w:highlight w:val="none"/>
              </w:rPr>
            </w:pPr>
          </w:p>
        </w:tc>
        <w:tc>
          <w:tcPr>
            <w:tcW w:w="1099" w:type="dxa"/>
            <w:vAlign w:val="top"/>
          </w:tcPr>
          <w:p w14:paraId="63045E24">
            <w:pPr>
              <w:rPr>
                <w:rFonts w:ascii="Arial"/>
                <w:sz w:val="21"/>
                <w:highlight w:val="none"/>
              </w:rPr>
            </w:pPr>
          </w:p>
        </w:tc>
        <w:tc>
          <w:tcPr>
            <w:tcW w:w="938" w:type="dxa"/>
            <w:vAlign w:val="top"/>
          </w:tcPr>
          <w:p w14:paraId="022E2301">
            <w:pPr>
              <w:rPr>
                <w:rFonts w:ascii="Arial"/>
                <w:sz w:val="21"/>
                <w:highlight w:val="none"/>
              </w:rPr>
            </w:pPr>
          </w:p>
        </w:tc>
      </w:tr>
      <w:tr w14:paraId="2438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2D3D78CB">
            <w:pPr>
              <w:pStyle w:val="24"/>
              <w:spacing w:before="200" w:line="226" w:lineRule="auto"/>
              <w:ind w:left="135"/>
              <w:rPr>
                <w:highlight w:val="none"/>
              </w:rPr>
            </w:pPr>
            <w:r>
              <w:rPr>
                <w:spacing w:val="-7"/>
                <w:highlight w:val="none"/>
              </w:rPr>
              <w:t>19</w:t>
            </w:r>
          </w:p>
        </w:tc>
        <w:tc>
          <w:tcPr>
            <w:tcW w:w="3248" w:type="dxa"/>
            <w:vAlign w:val="top"/>
          </w:tcPr>
          <w:p w14:paraId="0610E3CE">
            <w:pPr>
              <w:rPr>
                <w:rFonts w:ascii="Arial"/>
                <w:sz w:val="21"/>
                <w:highlight w:val="none"/>
              </w:rPr>
            </w:pPr>
          </w:p>
        </w:tc>
        <w:tc>
          <w:tcPr>
            <w:tcW w:w="3315" w:type="dxa"/>
            <w:vAlign w:val="top"/>
          </w:tcPr>
          <w:p w14:paraId="12D590D1">
            <w:pPr>
              <w:rPr>
                <w:rFonts w:ascii="Arial"/>
                <w:sz w:val="21"/>
                <w:highlight w:val="none"/>
              </w:rPr>
            </w:pPr>
          </w:p>
        </w:tc>
        <w:tc>
          <w:tcPr>
            <w:tcW w:w="1099" w:type="dxa"/>
            <w:vAlign w:val="top"/>
          </w:tcPr>
          <w:p w14:paraId="5A87A983">
            <w:pPr>
              <w:rPr>
                <w:rFonts w:ascii="Arial"/>
                <w:sz w:val="21"/>
                <w:highlight w:val="none"/>
              </w:rPr>
            </w:pPr>
          </w:p>
        </w:tc>
        <w:tc>
          <w:tcPr>
            <w:tcW w:w="938" w:type="dxa"/>
            <w:vAlign w:val="top"/>
          </w:tcPr>
          <w:p w14:paraId="1F6D7DD7">
            <w:pPr>
              <w:rPr>
                <w:rFonts w:ascii="Arial"/>
                <w:sz w:val="21"/>
                <w:highlight w:val="none"/>
              </w:rPr>
            </w:pPr>
          </w:p>
        </w:tc>
      </w:tr>
      <w:tr w14:paraId="4AF1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95CDB83">
            <w:pPr>
              <w:pStyle w:val="24"/>
              <w:spacing w:before="202" w:line="226" w:lineRule="auto"/>
              <w:ind w:left="120"/>
              <w:rPr>
                <w:highlight w:val="none"/>
              </w:rPr>
            </w:pPr>
            <w:r>
              <w:rPr>
                <w:spacing w:val="-4"/>
                <w:highlight w:val="none"/>
              </w:rPr>
              <w:t>20</w:t>
            </w:r>
          </w:p>
        </w:tc>
        <w:tc>
          <w:tcPr>
            <w:tcW w:w="3248" w:type="dxa"/>
            <w:vAlign w:val="top"/>
          </w:tcPr>
          <w:p w14:paraId="52B71684">
            <w:pPr>
              <w:rPr>
                <w:rFonts w:ascii="Arial"/>
                <w:sz w:val="21"/>
                <w:highlight w:val="none"/>
              </w:rPr>
            </w:pPr>
          </w:p>
        </w:tc>
        <w:tc>
          <w:tcPr>
            <w:tcW w:w="3315" w:type="dxa"/>
            <w:vAlign w:val="top"/>
          </w:tcPr>
          <w:p w14:paraId="54955327">
            <w:pPr>
              <w:rPr>
                <w:rFonts w:ascii="Arial"/>
                <w:sz w:val="21"/>
                <w:highlight w:val="none"/>
              </w:rPr>
            </w:pPr>
          </w:p>
        </w:tc>
        <w:tc>
          <w:tcPr>
            <w:tcW w:w="1099" w:type="dxa"/>
            <w:vAlign w:val="top"/>
          </w:tcPr>
          <w:p w14:paraId="72FE7E32">
            <w:pPr>
              <w:rPr>
                <w:rFonts w:ascii="Arial"/>
                <w:sz w:val="21"/>
                <w:highlight w:val="none"/>
              </w:rPr>
            </w:pPr>
          </w:p>
        </w:tc>
        <w:tc>
          <w:tcPr>
            <w:tcW w:w="938" w:type="dxa"/>
            <w:vAlign w:val="top"/>
          </w:tcPr>
          <w:p w14:paraId="2C64A2A3">
            <w:pPr>
              <w:rPr>
                <w:rFonts w:ascii="Arial"/>
                <w:sz w:val="21"/>
                <w:highlight w:val="none"/>
              </w:rPr>
            </w:pPr>
          </w:p>
        </w:tc>
      </w:tr>
      <w:tr w14:paraId="4C0A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61C3BABE">
            <w:pPr>
              <w:pStyle w:val="24"/>
              <w:spacing w:before="200" w:line="226" w:lineRule="auto"/>
              <w:ind w:left="120"/>
              <w:rPr>
                <w:highlight w:val="none"/>
              </w:rPr>
            </w:pPr>
            <w:r>
              <w:rPr>
                <w:spacing w:val="-4"/>
                <w:highlight w:val="none"/>
              </w:rPr>
              <w:t>21</w:t>
            </w:r>
          </w:p>
        </w:tc>
        <w:tc>
          <w:tcPr>
            <w:tcW w:w="3248" w:type="dxa"/>
            <w:vAlign w:val="top"/>
          </w:tcPr>
          <w:p w14:paraId="726C52EC">
            <w:pPr>
              <w:rPr>
                <w:rFonts w:ascii="Arial"/>
                <w:sz w:val="21"/>
                <w:highlight w:val="none"/>
              </w:rPr>
            </w:pPr>
          </w:p>
        </w:tc>
        <w:tc>
          <w:tcPr>
            <w:tcW w:w="3315" w:type="dxa"/>
            <w:vAlign w:val="top"/>
          </w:tcPr>
          <w:p w14:paraId="2A395FB8">
            <w:pPr>
              <w:rPr>
                <w:rFonts w:ascii="Arial"/>
                <w:sz w:val="21"/>
                <w:highlight w:val="none"/>
              </w:rPr>
            </w:pPr>
          </w:p>
        </w:tc>
        <w:tc>
          <w:tcPr>
            <w:tcW w:w="1099" w:type="dxa"/>
            <w:vAlign w:val="top"/>
          </w:tcPr>
          <w:p w14:paraId="2F6593BB">
            <w:pPr>
              <w:rPr>
                <w:rFonts w:ascii="Arial"/>
                <w:sz w:val="21"/>
                <w:highlight w:val="none"/>
              </w:rPr>
            </w:pPr>
          </w:p>
        </w:tc>
        <w:tc>
          <w:tcPr>
            <w:tcW w:w="938" w:type="dxa"/>
            <w:vAlign w:val="top"/>
          </w:tcPr>
          <w:p w14:paraId="36FF05F7">
            <w:pPr>
              <w:rPr>
                <w:rFonts w:ascii="Arial"/>
                <w:sz w:val="21"/>
                <w:highlight w:val="none"/>
              </w:rPr>
            </w:pPr>
          </w:p>
        </w:tc>
      </w:tr>
      <w:tr w14:paraId="10F4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5B6FDA87">
            <w:pPr>
              <w:pStyle w:val="24"/>
              <w:spacing w:before="202" w:line="226" w:lineRule="auto"/>
              <w:ind w:left="120"/>
              <w:rPr>
                <w:highlight w:val="none"/>
              </w:rPr>
            </w:pPr>
            <w:r>
              <w:rPr>
                <w:spacing w:val="-4"/>
                <w:highlight w:val="none"/>
              </w:rPr>
              <w:t>22</w:t>
            </w:r>
          </w:p>
        </w:tc>
        <w:tc>
          <w:tcPr>
            <w:tcW w:w="3248" w:type="dxa"/>
            <w:vAlign w:val="top"/>
          </w:tcPr>
          <w:p w14:paraId="2B829630">
            <w:pPr>
              <w:rPr>
                <w:rFonts w:ascii="Arial"/>
                <w:sz w:val="21"/>
                <w:highlight w:val="none"/>
              </w:rPr>
            </w:pPr>
          </w:p>
        </w:tc>
        <w:tc>
          <w:tcPr>
            <w:tcW w:w="3315" w:type="dxa"/>
            <w:vAlign w:val="top"/>
          </w:tcPr>
          <w:p w14:paraId="55A598CF">
            <w:pPr>
              <w:rPr>
                <w:rFonts w:ascii="Arial"/>
                <w:sz w:val="21"/>
                <w:highlight w:val="none"/>
              </w:rPr>
            </w:pPr>
          </w:p>
        </w:tc>
        <w:tc>
          <w:tcPr>
            <w:tcW w:w="1099" w:type="dxa"/>
            <w:vAlign w:val="top"/>
          </w:tcPr>
          <w:p w14:paraId="1B5C2279">
            <w:pPr>
              <w:rPr>
                <w:rFonts w:ascii="Arial"/>
                <w:sz w:val="21"/>
                <w:highlight w:val="none"/>
              </w:rPr>
            </w:pPr>
          </w:p>
        </w:tc>
        <w:tc>
          <w:tcPr>
            <w:tcW w:w="938" w:type="dxa"/>
            <w:vAlign w:val="top"/>
          </w:tcPr>
          <w:p w14:paraId="60F90DBB">
            <w:pPr>
              <w:rPr>
                <w:rFonts w:ascii="Arial"/>
                <w:sz w:val="21"/>
                <w:highlight w:val="none"/>
              </w:rPr>
            </w:pPr>
          </w:p>
        </w:tc>
      </w:tr>
      <w:tr w14:paraId="30A8D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358091D4">
            <w:pPr>
              <w:pStyle w:val="24"/>
              <w:spacing w:before="200" w:line="226" w:lineRule="auto"/>
              <w:ind w:left="120"/>
              <w:rPr>
                <w:highlight w:val="none"/>
              </w:rPr>
            </w:pPr>
            <w:r>
              <w:rPr>
                <w:spacing w:val="-4"/>
                <w:highlight w:val="none"/>
              </w:rPr>
              <w:t>23</w:t>
            </w:r>
          </w:p>
        </w:tc>
        <w:tc>
          <w:tcPr>
            <w:tcW w:w="3248" w:type="dxa"/>
            <w:vAlign w:val="top"/>
          </w:tcPr>
          <w:p w14:paraId="54F93559">
            <w:pPr>
              <w:rPr>
                <w:rFonts w:ascii="Arial"/>
                <w:sz w:val="21"/>
                <w:highlight w:val="none"/>
              </w:rPr>
            </w:pPr>
          </w:p>
        </w:tc>
        <w:tc>
          <w:tcPr>
            <w:tcW w:w="3315" w:type="dxa"/>
            <w:vAlign w:val="top"/>
          </w:tcPr>
          <w:p w14:paraId="0FC8F960">
            <w:pPr>
              <w:rPr>
                <w:rFonts w:ascii="Arial"/>
                <w:sz w:val="21"/>
                <w:highlight w:val="none"/>
              </w:rPr>
            </w:pPr>
          </w:p>
        </w:tc>
        <w:tc>
          <w:tcPr>
            <w:tcW w:w="1099" w:type="dxa"/>
            <w:vAlign w:val="top"/>
          </w:tcPr>
          <w:p w14:paraId="2F25D458">
            <w:pPr>
              <w:rPr>
                <w:rFonts w:ascii="Arial"/>
                <w:sz w:val="21"/>
                <w:highlight w:val="none"/>
              </w:rPr>
            </w:pPr>
          </w:p>
        </w:tc>
        <w:tc>
          <w:tcPr>
            <w:tcW w:w="938" w:type="dxa"/>
            <w:vAlign w:val="top"/>
          </w:tcPr>
          <w:p w14:paraId="660ED1D0">
            <w:pPr>
              <w:rPr>
                <w:rFonts w:ascii="Arial"/>
                <w:sz w:val="21"/>
                <w:highlight w:val="none"/>
              </w:rPr>
            </w:pPr>
          </w:p>
        </w:tc>
      </w:tr>
      <w:tr w14:paraId="281A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89" w:type="dxa"/>
            <w:vAlign w:val="top"/>
          </w:tcPr>
          <w:p w14:paraId="703C807D">
            <w:pPr>
              <w:pStyle w:val="24"/>
              <w:spacing w:before="202" w:line="230" w:lineRule="auto"/>
              <w:ind w:left="120"/>
              <w:rPr>
                <w:highlight w:val="none"/>
              </w:rPr>
            </w:pPr>
            <w:r>
              <w:rPr>
                <w:spacing w:val="-4"/>
                <w:highlight w:val="none"/>
              </w:rPr>
              <w:t>24</w:t>
            </w:r>
          </w:p>
        </w:tc>
        <w:tc>
          <w:tcPr>
            <w:tcW w:w="3248" w:type="dxa"/>
            <w:vAlign w:val="top"/>
          </w:tcPr>
          <w:p w14:paraId="18F53087">
            <w:pPr>
              <w:rPr>
                <w:rFonts w:ascii="Arial"/>
                <w:sz w:val="21"/>
                <w:highlight w:val="none"/>
              </w:rPr>
            </w:pPr>
          </w:p>
        </w:tc>
        <w:tc>
          <w:tcPr>
            <w:tcW w:w="3315" w:type="dxa"/>
            <w:vAlign w:val="top"/>
          </w:tcPr>
          <w:p w14:paraId="0C2B1C18">
            <w:pPr>
              <w:rPr>
                <w:rFonts w:ascii="Arial"/>
                <w:sz w:val="21"/>
                <w:highlight w:val="none"/>
              </w:rPr>
            </w:pPr>
          </w:p>
        </w:tc>
        <w:tc>
          <w:tcPr>
            <w:tcW w:w="1099" w:type="dxa"/>
            <w:vAlign w:val="top"/>
          </w:tcPr>
          <w:p w14:paraId="690F218F">
            <w:pPr>
              <w:rPr>
                <w:rFonts w:ascii="Arial"/>
                <w:sz w:val="21"/>
                <w:highlight w:val="none"/>
              </w:rPr>
            </w:pPr>
          </w:p>
        </w:tc>
        <w:tc>
          <w:tcPr>
            <w:tcW w:w="938" w:type="dxa"/>
            <w:vAlign w:val="top"/>
          </w:tcPr>
          <w:p w14:paraId="716A6ECB">
            <w:pPr>
              <w:rPr>
                <w:rFonts w:ascii="Arial"/>
                <w:sz w:val="21"/>
                <w:highlight w:val="none"/>
              </w:rPr>
            </w:pPr>
          </w:p>
        </w:tc>
      </w:tr>
    </w:tbl>
    <w:p w14:paraId="040E624D">
      <w:pPr>
        <w:spacing w:line="219" w:lineRule="auto"/>
        <w:jc w:val="center"/>
        <w:rPr>
          <w:sz w:val="24"/>
          <w:szCs w:val="24"/>
          <w:highlight w:val="none"/>
        </w:rPr>
        <w:sectPr>
          <w:footerReference r:id="rId26" w:type="default"/>
          <w:pgSz w:w="11907" w:h="16839"/>
          <w:pgMar w:top="1431" w:right="1415" w:bottom="1159" w:left="1428" w:header="0" w:footer="959" w:gutter="0"/>
          <w:cols w:space="720" w:num="1"/>
        </w:sectPr>
      </w:pPr>
    </w:p>
    <w:p w14:paraId="36E10E3F">
      <w:pPr>
        <w:pStyle w:val="4"/>
        <w:spacing w:before="130" w:line="219" w:lineRule="auto"/>
        <w:jc w:val="center"/>
        <w:rPr>
          <w:sz w:val="40"/>
          <w:szCs w:val="40"/>
          <w:highlight w:val="none"/>
        </w:rPr>
      </w:pPr>
      <w:r>
        <w:rPr>
          <w:b/>
          <w:bCs/>
          <w:spacing w:val="-10"/>
          <w:sz w:val="40"/>
          <w:szCs w:val="40"/>
          <w:highlight w:val="none"/>
        </w:rPr>
        <w:t>第六章</w:t>
      </w:r>
      <w:r>
        <w:rPr>
          <w:spacing w:val="24"/>
          <w:sz w:val="40"/>
          <w:szCs w:val="40"/>
          <w:highlight w:val="none"/>
        </w:rPr>
        <w:t xml:space="preserve">   </w:t>
      </w:r>
      <w:r>
        <w:rPr>
          <w:b/>
          <w:bCs/>
          <w:spacing w:val="-10"/>
          <w:sz w:val="40"/>
          <w:szCs w:val="40"/>
          <w:highlight w:val="none"/>
        </w:rPr>
        <w:t>电子化投标文件格式</w:t>
      </w:r>
    </w:p>
    <w:p w14:paraId="3DA15403">
      <w:pPr>
        <w:spacing w:line="281" w:lineRule="auto"/>
        <w:rPr>
          <w:rFonts w:ascii="Arial"/>
          <w:sz w:val="21"/>
          <w:highlight w:val="none"/>
        </w:rPr>
      </w:pPr>
    </w:p>
    <w:p w14:paraId="22A5F9EE">
      <w:pPr>
        <w:spacing w:line="281" w:lineRule="auto"/>
        <w:rPr>
          <w:rFonts w:ascii="Arial"/>
          <w:sz w:val="21"/>
          <w:highlight w:val="none"/>
        </w:rPr>
      </w:pPr>
    </w:p>
    <w:p w14:paraId="165D08FB">
      <w:pPr>
        <w:pStyle w:val="4"/>
        <w:spacing w:before="139" w:line="223" w:lineRule="auto"/>
        <w:jc w:val="right"/>
        <w:rPr>
          <w:rFonts w:hint="eastAsia" w:eastAsia="宋体"/>
          <w:sz w:val="43"/>
          <w:szCs w:val="43"/>
          <w:highlight w:val="none"/>
          <w:lang w:eastAsia="zh-CN"/>
        </w:rPr>
      </w:pPr>
      <w:r>
        <w:rPr>
          <w:rFonts w:hint="eastAsia"/>
          <w:b/>
          <w:bCs/>
          <w:spacing w:val="3"/>
          <w:sz w:val="43"/>
          <w:szCs w:val="43"/>
          <w:highlight w:val="none"/>
          <w:lang w:eastAsia="zh-CN"/>
        </w:rPr>
        <w:t>三门峡市陕州区人民医院改扩建项目（一期工程）医疗设备采购项目</w:t>
      </w:r>
    </w:p>
    <w:p w14:paraId="27E8769C">
      <w:pPr>
        <w:pStyle w:val="4"/>
        <w:spacing w:before="104" w:line="231" w:lineRule="auto"/>
        <w:ind w:left="3441"/>
        <w:rPr>
          <w:sz w:val="43"/>
          <w:szCs w:val="43"/>
          <w:highlight w:val="none"/>
        </w:rPr>
      </w:pPr>
      <w:r>
        <w:rPr>
          <w:b/>
          <w:bCs/>
          <w:spacing w:val="-19"/>
          <w:sz w:val="43"/>
          <w:szCs w:val="43"/>
          <w:highlight w:val="none"/>
        </w:rPr>
        <w:t>（</w:t>
      </w:r>
      <w:r>
        <w:rPr>
          <w:spacing w:val="11"/>
          <w:sz w:val="43"/>
          <w:szCs w:val="43"/>
          <w:highlight w:val="none"/>
        </w:rPr>
        <w:t xml:space="preserve"> </w:t>
      </w:r>
      <w:r>
        <w:rPr>
          <w:spacing w:val="6"/>
          <w:sz w:val="43"/>
          <w:szCs w:val="43"/>
          <w:highlight w:val="none"/>
          <w:u w:val="single" w:color="auto"/>
        </w:rPr>
        <w:t xml:space="preserve">   </w:t>
      </w:r>
      <w:r>
        <w:rPr>
          <w:spacing w:val="-196"/>
          <w:sz w:val="43"/>
          <w:szCs w:val="43"/>
          <w:highlight w:val="none"/>
        </w:rPr>
        <w:t xml:space="preserve"> </w:t>
      </w:r>
      <w:r>
        <w:rPr>
          <w:b/>
          <w:bCs/>
          <w:spacing w:val="-19"/>
          <w:sz w:val="43"/>
          <w:szCs w:val="43"/>
          <w:highlight w:val="none"/>
        </w:rPr>
        <w:t>包）</w:t>
      </w:r>
    </w:p>
    <w:p w14:paraId="2135B175">
      <w:pPr>
        <w:spacing w:line="356" w:lineRule="auto"/>
        <w:rPr>
          <w:rFonts w:ascii="Arial"/>
          <w:sz w:val="21"/>
          <w:highlight w:val="none"/>
        </w:rPr>
      </w:pPr>
    </w:p>
    <w:p w14:paraId="7E0D9850">
      <w:pPr>
        <w:pStyle w:val="4"/>
        <w:spacing w:before="273" w:line="220" w:lineRule="auto"/>
        <w:ind w:left="2236"/>
        <w:rPr>
          <w:sz w:val="84"/>
          <w:szCs w:val="84"/>
          <w:highlight w:val="none"/>
        </w:rPr>
      </w:pPr>
      <w:r>
        <w:rPr>
          <w:b/>
          <w:bCs/>
          <w:spacing w:val="-39"/>
          <w:sz w:val="84"/>
          <w:szCs w:val="84"/>
          <w:highlight w:val="none"/>
        </w:rPr>
        <w:t>投</w:t>
      </w:r>
      <w:r>
        <w:rPr>
          <w:spacing w:val="40"/>
          <w:sz w:val="84"/>
          <w:szCs w:val="84"/>
          <w:highlight w:val="none"/>
        </w:rPr>
        <w:t xml:space="preserve"> </w:t>
      </w:r>
      <w:r>
        <w:rPr>
          <w:b/>
          <w:bCs/>
          <w:spacing w:val="-39"/>
          <w:sz w:val="84"/>
          <w:szCs w:val="84"/>
          <w:highlight w:val="none"/>
        </w:rPr>
        <w:t>标</w:t>
      </w:r>
      <w:r>
        <w:rPr>
          <w:spacing w:val="44"/>
          <w:sz w:val="84"/>
          <w:szCs w:val="84"/>
          <w:highlight w:val="none"/>
        </w:rPr>
        <w:t xml:space="preserve"> </w:t>
      </w:r>
      <w:r>
        <w:rPr>
          <w:b/>
          <w:bCs/>
          <w:spacing w:val="-39"/>
          <w:sz w:val="84"/>
          <w:szCs w:val="84"/>
          <w:highlight w:val="none"/>
        </w:rPr>
        <w:t>文</w:t>
      </w:r>
      <w:r>
        <w:rPr>
          <w:spacing w:val="37"/>
          <w:sz w:val="84"/>
          <w:szCs w:val="84"/>
          <w:highlight w:val="none"/>
        </w:rPr>
        <w:t xml:space="preserve"> </w:t>
      </w:r>
      <w:r>
        <w:rPr>
          <w:b/>
          <w:bCs/>
          <w:spacing w:val="-39"/>
          <w:sz w:val="84"/>
          <w:szCs w:val="84"/>
          <w:highlight w:val="none"/>
        </w:rPr>
        <w:t>件</w:t>
      </w:r>
    </w:p>
    <w:p w14:paraId="01FA70B0">
      <w:pPr>
        <w:spacing w:line="356" w:lineRule="auto"/>
        <w:rPr>
          <w:rFonts w:ascii="Arial"/>
          <w:sz w:val="21"/>
          <w:highlight w:val="none"/>
        </w:rPr>
      </w:pPr>
    </w:p>
    <w:p w14:paraId="3D1A67F4">
      <w:pPr>
        <w:spacing w:line="357" w:lineRule="auto"/>
        <w:rPr>
          <w:rFonts w:ascii="Arial"/>
          <w:sz w:val="21"/>
          <w:highlight w:val="none"/>
        </w:rPr>
      </w:pPr>
    </w:p>
    <w:p w14:paraId="0DC3E83A">
      <w:pPr>
        <w:pStyle w:val="4"/>
        <w:spacing w:before="102" w:line="225" w:lineRule="auto"/>
        <w:ind w:left="638"/>
        <w:rPr>
          <w:highlight w:val="none"/>
        </w:rPr>
      </w:pPr>
      <w:r>
        <w:rPr>
          <w:b/>
          <w:bCs/>
          <w:spacing w:val="2"/>
          <w:highlight w:val="none"/>
        </w:rPr>
        <w:t>项目编号</w:t>
      </w:r>
      <w:r>
        <w:rPr>
          <w:spacing w:val="-93"/>
          <w:highlight w:val="none"/>
        </w:rPr>
        <w:t xml:space="preserve"> </w:t>
      </w:r>
      <w:r>
        <w:rPr>
          <w:b/>
          <w:bCs/>
          <w:spacing w:val="2"/>
          <w:highlight w:val="none"/>
        </w:rPr>
        <w:t>:</w:t>
      </w:r>
    </w:p>
    <w:p w14:paraId="1CA8B2E3">
      <w:pPr>
        <w:spacing w:line="246" w:lineRule="auto"/>
        <w:rPr>
          <w:rFonts w:ascii="Arial"/>
          <w:sz w:val="21"/>
          <w:highlight w:val="none"/>
        </w:rPr>
      </w:pPr>
    </w:p>
    <w:p w14:paraId="0058D7ED">
      <w:pPr>
        <w:spacing w:line="246" w:lineRule="auto"/>
        <w:rPr>
          <w:rFonts w:ascii="Arial"/>
          <w:sz w:val="21"/>
          <w:highlight w:val="none"/>
        </w:rPr>
      </w:pPr>
    </w:p>
    <w:p w14:paraId="2D8C4EF8">
      <w:pPr>
        <w:spacing w:line="247" w:lineRule="auto"/>
        <w:rPr>
          <w:rFonts w:ascii="Arial"/>
          <w:sz w:val="21"/>
          <w:highlight w:val="none"/>
        </w:rPr>
      </w:pPr>
    </w:p>
    <w:p w14:paraId="0676EA6B">
      <w:pPr>
        <w:spacing w:line="247" w:lineRule="auto"/>
        <w:rPr>
          <w:rFonts w:ascii="Arial"/>
          <w:sz w:val="21"/>
          <w:highlight w:val="none"/>
        </w:rPr>
      </w:pPr>
    </w:p>
    <w:p w14:paraId="4A76934F">
      <w:pPr>
        <w:spacing w:line="247" w:lineRule="auto"/>
        <w:rPr>
          <w:rFonts w:ascii="Arial"/>
          <w:sz w:val="21"/>
          <w:highlight w:val="none"/>
        </w:rPr>
      </w:pPr>
    </w:p>
    <w:p w14:paraId="79EA6E90">
      <w:pPr>
        <w:spacing w:line="247" w:lineRule="auto"/>
        <w:rPr>
          <w:rFonts w:ascii="Arial"/>
          <w:sz w:val="21"/>
          <w:highlight w:val="none"/>
        </w:rPr>
      </w:pPr>
    </w:p>
    <w:p w14:paraId="230A2243">
      <w:pPr>
        <w:spacing w:line="247" w:lineRule="auto"/>
        <w:rPr>
          <w:rFonts w:ascii="Arial"/>
          <w:sz w:val="21"/>
          <w:highlight w:val="none"/>
        </w:rPr>
      </w:pPr>
    </w:p>
    <w:p w14:paraId="7D71BD13">
      <w:pPr>
        <w:spacing w:line="247" w:lineRule="auto"/>
        <w:rPr>
          <w:rFonts w:ascii="Arial"/>
          <w:sz w:val="21"/>
          <w:highlight w:val="none"/>
        </w:rPr>
      </w:pPr>
    </w:p>
    <w:p w14:paraId="59AE20BA">
      <w:pPr>
        <w:spacing w:line="247" w:lineRule="auto"/>
        <w:rPr>
          <w:rFonts w:ascii="Arial"/>
          <w:sz w:val="21"/>
          <w:highlight w:val="none"/>
        </w:rPr>
      </w:pPr>
    </w:p>
    <w:p w14:paraId="648665DA">
      <w:pPr>
        <w:spacing w:line="247" w:lineRule="auto"/>
        <w:rPr>
          <w:rFonts w:ascii="Arial"/>
          <w:sz w:val="21"/>
          <w:highlight w:val="none"/>
        </w:rPr>
      </w:pPr>
    </w:p>
    <w:p w14:paraId="2BFC8345">
      <w:pPr>
        <w:spacing w:line="247" w:lineRule="auto"/>
        <w:rPr>
          <w:rFonts w:ascii="Arial"/>
          <w:sz w:val="21"/>
          <w:highlight w:val="none"/>
        </w:rPr>
      </w:pPr>
    </w:p>
    <w:p w14:paraId="378C9C3F">
      <w:pPr>
        <w:spacing w:line="247" w:lineRule="auto"/>
        <w:rPr>
          <w:rFonts w:ascii="Arial"/>
          <w:sz w:val="21"/>
          <w:highlight w:val="none"/>
        </w:rPr>
      </w:pPr>
    </w:p>
    <w:p w14:paraId="712A622D">
      <w:pPr>
        <w:spacing w:line="247" w:lineRule="auto"/>
        <w:rPr>
          <w:rFonts w:ascii="Arial"/>
          <w:sz w:val="21"/>
          <w:highlight w:val="none"/>
        </w:rPr>
      </w:pPr>
    </w:p>
    <w:p w14:paraId="50561A1F">
      <w:pPr>
        <w:spacing w:line="247" w:lineRule="auto"/>
        <w:rPr>
          <w:rFonts w:ascii="Arial"/>
          <w:sz w:val="21"/>
          <w:highlight w:val="none"/>
        </w:rPr>
      </w:pPr>
    </w:p>
    <w:p w14:paraId="52A0989F">
      <w:pPr>
        <w:spacing w:line="247" w:lineRule="auto"/>
        <w:rPr>
          <w:rFonts w:ascii="Arial"/>
          <w:sz w:val="21"/>
          <w:highlight w:val="none"/>
        </w:rPr>
      </w:pPr>
    </w:p>
    <w:p w14:paraId="13FD21D8">
      <w:pPr>
        <w:spacing w:line="247" w:lineRule="auto"/>
        <w:rPr>
          <w:rFonts w:ascii="Arial"/>
          <w:sz w:val="21"/>
          <w:highlight w:val="none"/>
        </w:rPr>
      </w:pPr>
    </w:p>
    <w:p w14:paraId="78D22373">
      <w:pPr>
        <w:spacing w:line="247" w:lineRule="auto"/>
        <w:rPr>
          <w:rFonts w:ascii="Arial"/>
          <w:sz w:val="21"/>
          <w:highlight w:val="none"/>
        </w:rPr>
      </w:pPr>
    </w:p>
    <w:p w14:paraId="5F5205BC">
      <w:pPr>
        <w:spacing w:line="247" w:lineRule="auto"/>
        <w:rPr>
          <w:rFonts w:ascii="Arial"/>
          <w:sz w:val="21"/>
          <w:highlight w:val="none"/>
        </w:rPr>
      </w:pPr>
    </w:p>
    <w:p w14:paraId="0B29D23F">
      <w:pPr>
        <w:spacing w:line="247" w:lineRule="auto"/>
        <w:rPr>
          <w:rFonts w:ascii="Arial"/>
          <w:sz w:val="21"/>
          <w:highlight w:val="none"/>
        </w:rPr>
      </w:pPr>
    </w:p>
    <w:p w14:paraId="14AF36A3">
      <w:pPr>
        <w:spacing w:line="247" w:lineRule="auto"/>
        <w:rPr>
          <w:rFonts w:ascii="Arial"/>
          <w:sz w:val="21"/>
          <w:highlight w:val="none"/>
        </w:rPr>
      </w:pPr>
    </w:p>
    <w:p w14:paraId="0EDF6866">
      <w:pPr>
        <w:spacing w:line="247" w:lineRule="auto"/>
        <w:rPr>
          <w:rFonts w:ascii="Arial"/>
          <w:sz w:val="21"/>
          <w:highlight w:val="none"/>
        </w:rPr>
      </w:pPr>
    </w:p>
    <w:p w14:paraId="1F842309">
      <w:pPr>
        <w:pStyle w:val="4"/>
        <w:spacing w:before="91" w:line="219" w:lineRule="auto"/>
        <w:ind w:left="1956"/>
        <w:rPr>
          <w:sz w:val="28"/>
          <w:szCs w:val="28"/>
          <w:highlight w:val="none"/>
        </w:rPr>
      </w:pPr>
      <w:r>
        <w:rPr>
          <w:b/>
          <w:bCs/>
          <w:spacing w:val="-16"/>
          <w:sz w:val="28"/>
          <w:szCs w:val="28"/>
          <w:highlight w:val="none"/>
        </w:rPr>
        <w:t>供应商名称</w:t>
      </w:r>
      <w:r>
        <w:rPr>
          <w:spacing w:val="-16"/>
          <w:sz w:val="28"/>
          <w:szCs w:val="28"/>
          <w:highlight w:val="none"/>
        </w:rPr>
        <w:t xml:space="preserve"> </w:t>
      </w:r>
      <w:r>
        <w:rPr>
          <w:b/>
          <w:bCs/>
          <w:spacing w:val="-16"/>
          <w:sz w:val="28"/>
          <w:szCs w:val="28"/>
          <w:highlight w:val="none"/>
        </w:rPr>
        <w:t>（盖章</w:t>
      </w:r>
      <w:r>
        <w:rPr>
          <w:b/>
          <w:bCs/>
          <w:spacing w:val="-23"/>
          <w:sz w:val="28"/>
          <w:szCs w:val="28"/>
          <w:highlight w:val="none"/>
        </w:rPr>
        <w:t>）：</w:t>
      </w:r>
    </w:p>
    <w:p w14:paraId="42F404A6">
      <w:pPr>
        <w:pStyle w:val="4"/>
        <w:spacing w:before="292" w:line="219" w:lineRule="auto"/>
        <w:ind w:left="1958"/>
        <w:rPr>
          <w:sz w:val="28"/>
          <w:szCs w:val="28"/>
          <w:highlight w:val="none"/>
        </w:rPr>
      </w:pPr>
      <w:r>
        <w:rPr>
          <w:b/>
          <w:bCs/>
          <w:spacing w:val="-4"/>
          <w:sz w:val="28"/>
          <w:szCs w:val="28"/>
          <w:highlight w:val="none"/>
        </w:rPr>
        <w:t>法定代表人（签字或盖章</w:t>
      </w:r>
      <w:r>
        <w:rPr>
          <w:b/>
          <w:bCs/>
          <w:spacing w:val="-77"/>
          <w:sz w:val="28"/>
          <w:szCs w:val="28"/>
          <w:highlight w:val="none"/>
        </w:rPr>
        <w:t>）：</w:t>
      </w:r>
    </w:p>
    <w:p w14:paraId="5992FB0D">
      <w:pPr>
        <w:pStyle w:val="4"/>
        <w:spacing w:before="291" w:line="221" w:lineRule="auto"/>
        <w:ind w:left="1976"/>
        <w:rPr>
          <w:sz w:val="28"/>
          <w:szCs w:val="28"/>
          <w:highlight w:val="none"/>
        </w:rPr>
      </w:pPr>
      <w:r>
        <w:rPr>
          <w:b/>
          <w:bCs/>
          <w:spacing w:val="-36"/>
          <w:sz w:val="28"/>
          <w:szCs w:val="28"/>
          <w:highlight w:val="none"/>
        </w:rPr>
        <w:t>日</w:t>
      </w:r>
      <w:r>
        <w:rPr>
          <w:spacing w:val="4"/>
          <w:sz w:val="28"/>
          <w:szCs w:val="28"/>
          <w:highlight w:val="none"/>
        </w:rPr>
        <w:t xml:space="preserve">     </w:t>
      </w:r>
      <w:r>
        <w:rPr>
          <w:b/>
          <w:bCs/>
          <w:spacing w:val="-36"/>
          <w:sz w:val="28"/>
          <w:szCs w:val="28"/>
          <w:highlight w:val="none"/>
        </w:rPr>
        <w:t>期：</w:t>
      </w:r>
    </w:p>
    <w:p w14:paraId="01DF89BB">
      <w:pPr>
        <w:spacing w:line="221" w:lineRule="auto"/>
        <w:rPr>
          <w:sz w:val="28"/>
          <w:szCs w:val="28"/>
          <w:highlight w:val="none"/>
        </w:rPr>
        <w:sectPr>
          <w:footerReference r:id="rId27" w:type="default"/>
          <w:pgSz w:w="11907" w:h="16839"/>
          <w:pgMar w:top="1431" w:right="1427" w:bottom="1159" w:left="1440" w:header="0" w:footer="959" w:gutter="0"/>
          <w:cols w:space="720" w:num="1"/>
        </w:sectPr>
      </w:pPr>
    </w:p>
    <w:p w14:paraId="63C5FB0E">
      <w:pPr>
        <w:spacing w:line="321" w:lineRule="auto"/>
        <w:rPr>
          <w:rFonts w:ascii="Arial"/>
          <w:sz w:val="21"/>
          <w:highlight w:val="none"/>
        </w:rPr>
      </w:pPr>
    </w:p>
    <w:p w14:paraId="2C27B370">
      <w:pPr>
        <w:spacing w:line="322" w:lineRule="auto"/>
        <w:rPr>
          <w:rFonts w:ascii="Arial"/>
          <w:sz w:val="21"/>
          <w:highlight w:val="none"/>
        </w:rPr>
      </w:pPr>
    </w:p>
    <w:p w14:paraId="2BDD6978">
      <w:pPr>
        <w:pStyle w:val="4"/>
        <w:spacing w:before="117" w:line="220" w:lineRule="auto"/>
        <w:ind w:left="3128"/>
        <w:rPr>
          <w:sz w:val="36"/>
          <w:szCs w:val="36"/>
          <w:highlight w:val="none"/>
        </w:rPr>
      </w:pPr>
      <w:r>
        <w:rPr>
          <w:b/>
          <w:bCs/>
          <w:spacing w:val="-9"/>
          <w:sz w:val="36"/>
          <w:szCs w:val="36"/>
          <w:highlight w:val="none"/>
        </w:rPr>
        <w:t>电子化投标文件目录</w:t>
      </w:r>
    </w:p>
    <w:p w14:paraId="35750B58">
      <w:pPr>
        <w:spacing w:line="281" w:lineRule="auto"/>
        <w:rPr>
          <w:rFonts w:ascii="Arial"/>
          <w:sz w:val="21"/>
          <w:highlight w:val="none"/>
        </w:rPr>
      </w:pPr>
    </w:p>
    <w:p w14:paraId="0AC37C20">
      <w:pPr>
        <w:spacing w:line="281" w:lineRule="auto"/>
        <w:rPr>
          <w:rFonts w:ascii="Arial"/>
          <w:sz w:val="21"/>
          <w:highlight w:val="none"/>
        </w:rPr>
      </w:pPr>
    </w:p>
    <w:p w14:paraId="2FF1072F">
      <w:pPr>
        <w:pStyle w:val="4"/>
        <w:spacing w:before="78" w:line="219" w:lineRule="auto"/>
        <w:ind w:left="379"/>
        <w:rPr>
          <w:sz w:val="24"/>
          <w:szCs w:val="24"/>
          <w:highlight w:val="none"/>
        </w:rPr>
      </w:pPr>
      <w:r>
        <w:rPr>
          <w:spacing w:val="-3"/>
          <w:sz w:val="24"/>
          <w:szCs w:val="24"/>
          <w:highlight w:val="none"/>
        </w:rPr>
        <w:t>1.法定代表人身份证明书</w:t>
      </w:r>
    </w:p>
    <w:p w14:paraId="772FB86A">
      <w:pPr>
        <w:pStyle w:val="4"/>
        <w:spacing w:before="183" w:line="220" w:lineRule="auto"/>
        <w:ind w:left="365"/>
        <w:rPr>
          <w:sz w:val="24"/>
          <w:szCs w:val="24"/>
          <w:highlight w:val="none"/>
        </w:rPr>
      </w:pPr>
      <w:r>
        <w:rPr>
          <w:spacing w:val="-5"/>
          <w:sz w:val="24"/>
          <w:szCs w:val="24"/>
          <w:highlight w:val="none"/>
        </w:rPr>
        <w:t>2．投</w:t>
      </w:r>
      <w:r>
        <w:rPr>
          <w:spacing w:val="11"/>
          <w:sz w:val="24"/>
          <w:szCs w:val="24"/>
          <w:highlight w:val="none"/>
        </w:rPr>
        <w:t xml:space="preserve"> </w:t>
      </w:r>
      <w:r>
        <w:rPr>
          <w:spacing w:val="-5"/>
          <w:sz w:val="24"/>
          <w:szCs w:val="24"/>
          <w:highlight w:val="none"/>
        </w:rPr>
        <w:t>标</w:t>
      </w:r>
      <w:r>
        <w:rPr>
          <w:spacing w:val="25"/>
          <w:sz w:val="24"/>
          <w:szCs w:val="24"/>
          <w:highlight w:val="none"/>
        </w:rPr>
        <w:t xml:space="preserve"> </w:t>
      </w:r>
      <w:r>
        <w:rPr>
          <w:spacing w:val="-5"/>
          <w:sz w:val="24"/>
          <w:szCs w:val="24"/>
          <w:highlight w:val="none"/>
        </w:rPr>
        <w:t>函</w:t>
      </w:r>
    </w:p>
    <w:p w14:paraId="1BDE8368">
      <w:pPr>
        <w:pStyle w:val="4"/>
        <w:spacing w:before="181" w:line="219" w:lineRule="auto"/>
        <w:ind w:left="366"/>
        <w:rPr>
          <w:sz w:val="24"/>
          <w:szCs w:val="24"/>
          <w:highlight w:val="none"/>
        </w:rPr>
      </w:pPr>
      <w:r>
        <w:rPr>
          <w:spacing w:val="-2"/>
          <w:sz w:val="24"/>
          <w:szCs w:val="24"/>
          <w:highlight w:val="none"/>
        </w:rPr>
        <w:t>3．投标函附表</w:t>
      </w:r>
    </w:p>
    <w:p w14:paraId="3DEAD34D">
      <w:pPr>
        <w:pStyle w:val="4"/>
        <w:spacing w:before="183" w:line="220" w:lineRule="auto"/>
        <w:ind w:left="361"/>
        <w:rPr>
          <w:sz w:val="24"/>
          <w:szCs w:val="24"/>
          <w:highlight w:val="none"/>
        </w:rPr>
      </w:pPr>
      <w:r>
        <w:rPr>
          <w:spacing w:val="-2"/>
          <w:sz w:val="24"/>
          <w:szCs w:val="24"/>
          <w:highlight w:val="none"/>
        </w:rPr>
        <w:t>4.投标承诺函</w:t>
      </w:r>
    </w:p>
    <w:p w14:paraId="49AD7022">
      <w:pPr>
        <w:pStyle w:val="4"/>
        <w:spacing w:before="183" w:line="219" w:lineRule="auto"/>
        <w:ind w:left="366"/>
        <w:rPr>
          <w:sz w:val="24"/>
          <w:szCs w:val="24"/>
          <w:highlight w:val="none"/>
        </w:rPr>
      </w:pPr>
      <w:r>
        <w:rPr>
          <w:spacing w:val="-2"/>
          <w:sz w:val="24"/>
          <w:szCs w:val="24"/>
          <w:highlight w:val="none"/>
        </w:rPr>
        <w:t>5.供应商资格审查证明文件</w:t>
      </w:r>
    </w:p>
    <w:p w14:paraId="58841ADF">
      <w:pPr>
        <w:pStyle w:val="4"/>
        <w:spacing w:before="183" w:line="220" w:lineRule="auto"/>
        <w:ind w:left="364"/>
        <w:rPr>
          <w:sz w:val="24"/>
          <w:szCs w:val="24"/>
          <w:highlight w:val="none"/>
        </w:rPr>
      </w:pPr>
      <w:r>
        <w:rPr>
          <w:spacing w:val="-1"/>
          <w:sz w:val="24"/>
          <w:szCs w:val="24"/>
          <w:highlight w:val="none"/>
        </w:rPr>
        <w:t>6.中小微企业声明函</w:t>
      </w:r>
    </w:p>
    <w:p w14:paraId="76DDD714">
      <w:pPr>
        <w:pStyle w:val="4"/>
        <w:spacing w:before="182" w:line="220" w:lineRule="auto"/>
        <w:ind w:left="367"/>
        <w:rPr>
          <w:sz w:val="24"/>
          <w:szCs w:val="24"/>
          <w:highlight w:val="none"/>
        </w:rPr>
      </w:pPr>
      <w:r>
        <w:rPr>
          <w:spacing w:val="-2"/>
          <w:sz w:val="24"/>
          <w:szCs w:val="24"/>
          <w:highlight w:val="none"/>
        </w:rPr>
        <w:t>7.残疾人福利性单位声明函</w:t>
      </w:r>
    </w:p>
    <w:p w14:paraId="11141FA6">
      <w:pPr>
        <w:pStyle w:val="4"/>
        <w:spacing w:before="182" w:line="220" w:lineRule="auto"/>
        <w:ind w:left="363"/>
        <w:rPr>
          <w:sz w:val="24"/>
          <w:szCs w:val="24"/>
          <w:highlight w:val="none"/>
        </w:rPr>
      </w:pPr>
      <w:r>
        <w:rPr>
          <w:spacing w:val="-2"/>
          <w:sz w:val="24"/>
          <w:szCs w:val="24"/>
          <w:highlight w:val="none"/>
        </w:rPr>
        <w:t>8.监狱企业证明文件</w:t>
      </w:r>
    </w:p>
    <w:p w14:paraId="11DA7820">
      <w:pPr>
        <w:pStyle w:val="4"/>
        <w:spacing w:before="182" w:line="220" w:lineRule="auto"/>
        <w:ind w:left="363"/>
        <w:rPr>
          <w:sz w:val="24"/>
          <w:szCs w:val="24"/>
          <w:highlight w:val="none"/>
        </w:rPr>
      </w:pPr>
      <w:r>
        <w:rPr>
          <w:spacing w:val="-1"/>
          <w:sz w:val="24"/>
          <w:szCs w:val="24"/>
          <w:highlight w:val="none"/>
        </w:rPr>
        <w:t>9. 技术及综合评审部分</w:t>
      </w:r>
    </w:p>
    <w:p w14:paraId="0C99A0C8">
      <w:pPr>
        <w:pStyle w:val="4"/>
        <w:spacing w:before="182" w:line="219" w:lineRule="auto"/>
        <w:ind w:left="379"/>
        <w:rPr>
          <w:sz w:val="24"/>
          <w:szCs w:val="24"/>
          <w:highlight w:val="none"/>
        </w:rPr>
      </w:pPr>
      <w:r>
        <w:rPr>
          <w:spacing w:val="-3"/>
          <w:sz w:val="24"/>
          <w:szCs w:val="24"/>
          <w:highlight w:val="none"/>
        </w:rPr>
        <w:t>10.投标供应商基本情况表</w:t>
      </w:r>
    </w:p>
    <w:p w14:paraId="6B966731">
      <w:pPr>
        <w:pStyle w:val="4"/>
        <w:spacing w:before="183" w:line="220" w:lineRule="auto"/>
        <w:ind w:left="379"/>
        <w:rPr>
          <w:sz w:val="24"/>
          <w:szCs w:val="24"/>
          <w:highlight w:val="none"/>
        </w:rPr>
      </w:pPr>
      <w:r>
        <w:rPr>
          <w:spacing w:val="-3"/>
          <w:sz w:val="24"/>
          <w:szCs w:val="24"/>
          <w:highlight w:val="none"/>
        </w:rPr>
        <w:t>11.投标设备合格文件</w:t>
      </w:r>
    </w:p>
    <w:p w14:paraId="7EA79354">
      <w:pPr>
        <w:spacing w:line="220" w:lineRule="auto"/>
        <w:rPr>
          <w:sz w:val="24"/>
          <w:szCs w:val="24"/>
          <w:highlight w:val="none"/>
        </w:rPr>
        <w:sectPr>
          <w:footerReference r:id="rId28" w:type="default"/>
          <w:pgSz w:w="11907" w:h="16839"/>
          <w:pgMar w:top="1431" w:right="1785" w:bottom="1159" w:left="1785" w:header="0" w:footer="959" w:gutter="0"/>
          <w:cols w:space="720" w:num="1"/>
        </w:sectPr>
      </w:pPr>
    </w:p>
    <w:p w14:paraId="35AD4386">
      <w:pPr>
        <w:spacing w:line="338" w:lineRule="auto"/>
        <w:rPr>
          <w:rFonts w:ascii="Arial"/>
          <w:sz w:val="21"/>
          <w:highlight w:val="none"/>
        </w:rPr>
      </w:pPr>
    </w:p>
    <w:p w14:paraId="381B4CA0">
      <w:pPr>
        <w:pStyle w:val="4"/>
        <w:spacing w:before="100" w:line="224" w:lineRule="auto"/>
        <w:ind w:left="2436"/>
        <w:outlineLvl w:val="1"/>
        <w:rPr>
          <w:highlight w:val="none"/>
        </w:rPr>
      </w:pPr>
      <w:r>
        <w:rPr>
          <w:b/>
          <w:bCs/>
          <w:spacing w:val="4"/>
          <w:highlight w:val="none"/>
        </w:rPr>
        <w:t>1.法定代表人身份证明书</w:t>
      </w:r>
    </w:p>
    <w:p w14:paraId="12485A50">
      <w:pPr>
        <w:spacing w:line="308" w:lineRule="auto"/>
        <w:rPr>
          <w:rFonts w:ascii="Arial"/>
          <w:sz w:val="21"/>
          <w:highlight w:val="none"/>
        </w:rPr>
      </w:pPr>
    </w:p>
    <w:p w14:paraId="035AB875">
      <w:pPr>
        <w:spacing w:line="308" w:lineRule="auto"/>
        <w:rPr>
          <w:rFonts w:ascii="Arial"/>
          <w:sz w:val="21"/>
          <w:highlight w:val="none"/>
        </w:rPr>
      </w:pPr>
    </w:p>
    <w:p w14:paraId="4600A77D">
      <w:pPr>
        <w:spacing w:line="309" w:lineRule="auto"/>
        <w:rPr>
          <w:rFonts w:ascii="Arial"/>
          <w:sz w:val="21"/>
          <w:highlight w:val="none"/>
        </w:rPr>
      </w:pPr>
    </w:p>
    <w:p w14:paraId="48BFAE59">
      <w:pPr>
        <w:pStyle w:val="4"/>
        <w:spacing w:before="78" w:line="220" w:lineRule="auto"/>
        <w:ind w:left="256"/>
        <w:rPr>
          <w:sz w:val="24"/>
          <w:szCs w:val="24"/>
          <w:highlight w:val="none"/>
        </w:rPr>
      </w:pPr>
      <w:r>
        <w:rPr>
          <w:spacing w:val="-3"/>
          <w:sz w:val="24"/>
          <w:szCs w:val="24"/>
          <w:highlight w:val="none"/>
        </w:rPr>
        <w:t>单位名称：</w:t>
      </w:r>
      <w:r>
        <w:rPr>
          <w:sz w:val="24"/>
          <w:szCs w:val="24"/>
          <w:highlight w:val="none"/>
          <w:u w:val="single" w:color="auto"/>
        </w:rPr>
        <w:t xml:space="preserve">                                  </w:t>
      </w:r>
    </w:p>
    <w:p w14:paraId="52698606">
      <w:pPr>
        <w:spacing w:line="258" w:lineRule="auto"/>
        <w:rPr>
          <w:rFonts w:ascii="Arial"/>
          <w:sz w:val="21"/>
          <w:highlight w:val="none"/>
        </w:rPr>
      </w:pPr>
    </w:p>
    <w:p w14:paraId="1E8A8937">
      <w:pPr>
        <w:pStyle w:val="4"/>
        <w:spacing w:before="78" w:line="220" w:lineRule="auto"/>
        <w:ind w:left="253"/>
        <w:rPr>
          <w:sz w:val="24"/>
          <w:szCs w:val="24"/>
          <w:highlight w:val="none"/>
        </w:rPr>
      </w:pPr>
      <w:r>
        <w:rPr>
          <w:spacing w:val="-3"/>
          <w:sz w:val="24"/>
          <w:szCs w:val="24"/>
          <w:highlight w:val="none"/>
        </w:rPr>
        <w:t>单位性质：</w:t>
      </w:r>
      <w:r>
        <w:rPr>
          <w:sz w:val="24"/>
          <w:szCs w:val="24"/>
          <w:highlight w:val="none"/>
          <w:u w:val="single" w:color="auto"/>
        </w:rPr>
        <w:t xml:space="preserve">                                  </w:t>
      </w:r>
    </w:p>
    <w:p w14:paraId="0C360976">
      <w:pPr>
        <w:spacing w:line="257" w:lineRule="auto"/>
        <w:rPr>
          <w:rFonts w:ascii="Arial"/>
          <w:sz w:val="21"/>
          <w:highlight w:val="none"/>
        </w:rPr>
      </w:pPr>
    </w:p>
    <w:p w14:paraId="42487A2C">
      <w:pPr>
        <w:pStyle w:val="4"/>
        <w:spacing w:before="78" w:line="229" w:lineRule="auto"/>
        <w:ind w:left="251"/>
        <w:rPr>
          <w:sz w:val="24"/>
          <w:szCs w:val="24"/>
          <w:highlight w:val="none"/>
        </w:rPr>
      </w:pPr>
      <w:r>
        <w:rPr>
          <w:spacing w:val="-7"/>
          <w:sz w:val="24"/>
          <w:szCs w:val="24"/>
          <w:highlight w:val="none"/>
        </w:rPr>
        <w:t>地</w:t>
      </w:r>
      <w:r>
        <w:rPr>
          <w:spacing w:val="2"/>
          <w:sz w:val="24"/>
          <w:szCs w:val="24"/>
          <w:highlight w:val="none"/>
        </w:rPr>
        <w:t xml:space="preserve">    </w:t>
      </w:r>
      <w:r>
        <w:rPr>
          <w:spacing w:val="-7"/>
          <w:sz w:val="24"/>
          <w:szCs w:val="24"/>
          <w:highlight w:val="none"/>
        </w:rPr>
        <w:t>址：</w:t>
      </w:r>
      <w:r>
        <w:rPr>
          <w:sz w:val="24"/>
          <w:szCs w:val="24"/>
          <w:highlight w:val="none"/>
          <w:u w:val="single" w:color="auto"/>
        </w:rPr>
        <w:t xml:space="preserve">                               </w:t>
      </w:r>
    </w:p>
    <w:p w14:paraId="2F67B066">
      <w:pPr>
        <w:spacing w:line="246" w:lineRule="auto"/>
        <w:rPr>
          <w:rFonts w:ascii="Arial"/>
          <w:sz w:val="21"/>
          <w:highlight w:val="none"/>
        </w:rPr>
      </w:pPr>
    </w:p>
    <w:p w14:paraId="12BAB64A">
      <w:pPr>
        <w:pStyle w:val="4"/>
        <w:spacing w:before="79" w:line="220" w:lineRule="auto"/>
        <w:ind w:left="253"/>
        <w:rPr>
          <w:sz w:val="24"/>
          <w:szCs w:val="24"/>
          <w:highlight w:val="none"/>
        </w:rPr>
      </w:pPr>
      <w:r>
        <w:rPr>
          <w:spacing w:val="-3"/>
          <w:sz w:val="24"/>
          <w:szCs w:val="24"/>
          <w:highlight w:val="none"/>
        </w:rPr>
        <w:t>成立时间：   年</w:t>
      </w:r>
      <w:r>
        <w:rPr>
          <w:spacing w:val="5"/>
          <w:sz w:val="24"/>
          <w:szCs w:val="24"/>
          <w:highlight w:val="none"/>
        </w:rPr>
        <w:t xml:space="preserve">    </w:t>
      </w:r>
      <w:r>
        <w:rPr>
          <w:spacing w:val="-3"/>
          <w:sz w:val="24"/>
          <w:szCs w:val="24"/>
          <w:highlight w:val="none"/>
        </w:rPr>
        <w:t>月</w:t>
      </w:r>
      <w:r>
        <w:rPr>
          <w:spacing w:val="12"/>
          <w:sz w:val="24"/>
          <w:szCs w:val="24"/>
          <w:highlight w:val="none"/>
        </w:rPr>
        <w:t xml:space="preserve">    </w:t>
      </w:r>
      <w:r>
        <w:rPr>
          <w:spacing w:val="-3"/>
          <w:sz w:val="24"/>
          <w:szCs w:val="24"/>
          <w:highlight w:val="none"/>
        </w:rPr>
        <w:t>日</w:t>
      </w:r>
    </w:p>
    <w:p w14:paraId="72B05D4C">
      <w:pPr>
        <w:spacing w:line="259" w:lineRule="auto"/>
        <w:rPr>
          <w:rFonts w:ascii="Arial"/>
          <w:sz w:val="21"/>
          <w:highlight w:val="none"/>
        </w:rPr>
      </w:pPr>
    </w:p>
    <w:p w14:paraId="7C760050">
      <w:pPr>
        <w:pStyle w:val="4"/>
        <w:spacing w:before="79" w:line="220" w:lineRule="auto"/>
        <w:ind w:left="253"/>
        <w:rPr>
          <w:sz w:val="24"/>
          <w:szCs w:val="24"/>
          <w:highlight w:val="none"/>
        </w:rPr>
      </w:pPr>
      <w:r>
        <w:rPr>
          <w:spacing w:val="-3"/>
          <w:sz w:val="24"/>
          <w:szCs w:val="24"/>
          <w:highlight w:val="none"/>
        </w:rPr>
        <w:t>经营期限：</w:t>
      </w:r>
      <w:r>
        <w:rPr>
          <w:sz w:val="24"/>
          <w:szCs w:val="24"/>
          <w:highlight w:val="none"/>
          <w:u w:val="single" w:color="auto"/>
        </w:rPr>
        <w:t xml:space="preserve">                        </w:t>
      </w:r>
    </w:p>
    <w:p w14:paraId="50C70003">
      <w:pPr>
        <w:spacing w:line="257" w:lineRule="auto"/>
        <w:rPr>
          <w:rFonts w:ascii="Arial"/>
          <w:sz w:val="21"/>
          <w:highlight w:val="none"/>
        </w:rPr>
      </w:pPr>
    </w:p>
    <w:p w14:paraId="0D816CE9">
      <w:pPr>
        <w:pStyle w:val="4"/>
        <w:spacing w:before="78" w:line="220" w:lineRule="auto"/>
        <w:ind w:left="251"/>
        <w:rPr>
          <w:sz w:val="24"/>
          <w:szCs w:val="24"/>
          <w:highlight w:val="none"/>
        </w:rPr>
      </w:pPr>
      <w:r>
        <w:rPr>
          <w:spacing w:val="-2"/>
          <w:sz w:val="24"/>
          <w:szCs w:val="24"/>
          <w:highlight w:val="none"/>
        </w:rPr>
        <w:t>姓    名：</w:t>
      </w:r>
      <w:r>
        <w:rPr>
          <w:spacing w:val="-2"/>
          <w:sz w:val="24"/>
          <w:szCs w:val="24"/>
          <w:highlight w:val="none"/>
          <w:u w:val="single" w:color="auto"/>
        </w:rPr>
        <w:t xml:space="preserve">      </w:t>
      </w:r>
      <w:r>
        <w:rPr>
          <w:spacing w:val="18"/>
          <w:sz w:val="24"/>
          <w:szCs w:val="24"/>
          <w:highlight w:val="none"/>
        </w:rPr>
        <w:t xml:space="preserve"> </w:t>
      </w:r>
      <w:r>
        <w:rPr>
          <w:spacing w:val="-2"/>
          <w:sz w:val="24"/>
          <w:szCs w:val="24"/>
          <w:highlight w:val="none"/>
        </w:rPr>
        <w:t>性别：</w:t>
      </w:r>
      <w:r>
        <w:rPr>
          <w:spacing w:val="-2"/>
          <w:sz w:val="24"/>
          <w:szCs w:val="24"/>
          <w:highlight w:val="none"/>
          <w:u w:val="single" w:color="auto"/>
        </w:rPr>
        <w:t xml:space="preserve">       </w:t>
      </w:r>
      <w:r>
        <w:rPr>
          <w:spacing w:val="-110"/>
          <w:sz w:val="24"/>
          <w:szCs w:val="24"/>
          <w:highlight w:val="none"/>
        </w:rPr>
        <w:t xml:space="preserve"> </w:t>
      </w:r>
      <w:r>
        <w:rPr>
          <w:spacing w:val="-2"/>
          <w:sz w:val="24"/>
          <w:szCs w:val="24"/>
          <w:highlight w:val="none"/>
        </w:rPr>
        <w:t>年龄：</w:t>
      </w:r>
      <w:r>
        <w:rPr>
          <w:spacing w:val="10"/>
          <w:sz w:val="24"/>
          <w:szCs w:val="24"/>
          <w:highlight w:val="none"/>
          <w:u w:val="single" w:color="auto"/>
        </w:rPr>
        <w:t xml:space="preserve">      </w:t>
      </w:r>
      <w:r>
        <w:rPr>
          <w:spacing w:val="11"/>
          <w:sz w:val="24"/>
          <w:szCs w:val="24"/>
          <w:highlight w:val="none"/>
        </w:rPr>
        <w:t xml:space="preserve"> </w:t>
      </w:r>
      <w:r>
        <w:rPr>
          <w:spacing w:val="-2"/>
          <w:sz w:val="24"/>
          <w:szCs w:val="24"/>
          <w:highlight w:val="none"/>
        </w:rPr>
        <w:t>职务：</w:t>
      </w:r>
      <w:r>
        <w:rPr>
          <w:sz w:val="24"/>
          <w:szCs w:val="24"/>
          <w:highlight w:val="none"/>
          <w:u w:val="single" w:color="auto"/>
        </w:rPr>
        <w:t xml:space="preserve">     </w:t>
      </w:r>
    </w:p>
    <w:p w14:paraId="44B2433C">
      <w:pPr>
        <w:spacing w:line="258" w:lineRule="auto"/>
        <w:rPr>
          <w:rFonts w:ascii="Arial"/>
          <w:sz w:val="21"/>
          <w:highlight w:val="none"/>
        </w:rPr>
      </w:pPr>
    </w:p>
    <w:p w14:paraId="136A323B">
      <w:pPr>
        <w:pStyle w:val="4"/>
        <w:spacing w:before="79" w:line="219" w:lineRule="auto"/>
        <w:ind w:left="256"/>
        <w:rPr>
          <w:sz w:val="24"/>
          <w:szCs w:val="24"/>
          <w:highlight w:val="none"/>
        </w:rPr>
      </w:pPr>
      <w:r>
        <w:rPr>
          <w:spacing w:val="-2"/>
          <w:sz w:val="24"/>
          <w:szCs w:val="24"/>
          <w:highlight w:val="none"/>
        </w:rPr>
        <w:t>系</w:t>
      </w:r>
      <w:r>
        <w:rPr>
          <w:spacing w:val="-2"/>
          <w:sz w:val="24"/>
          <w:szCs w:val="24"/>
          <w:highlight w:val="none"/>
          <w:u w:val="single" w:color="auto"/>
        </w:rPr>
        <w:t xml:space="preserve">          （供应商单位名称）         </w:t>
      </w:r>
      <w:r>
        <w:rPr>
          <w:spacing w:val="-88"/>
          <w:sz w:val="24"/>
          <w:szCs w:val="24"/>
          <w:highlight w:val="none"/>
        </w:rPr>
        <w:t xml:space="preserve"> </w:t>
      </w:r>
      <w:r>
        <w:rPr>
          <w:spacing w:val="-2"/>
          <w:sz w:val="24"/>
          <w:szCs w:val="24"/>
          <w:highlight w:val="none"/>
        </w:rPr>
        <w:t>的法定代表人。</w:t>
      </w:r>
    </w:p>
    <w:p w14:paraId="5EA855E2">
      <w:pPr>
        <w:spacing w:line="293" w:lineRule="auto"/>
        <w:rPr>
          <w:rFonts w:ascii="Arial"/>
          <w:sz w:val="21"/>
          <w:highlight w:val="none"/>
        </w:rPr>
      </w:pPr>
    </w:p>
    <w:p w14:paraId="321C5A2B">
      <w:pPr>
        <w:spacing w:line="293" w:lineRule="auto"/>
        <w:rPr>
          <w:rFonts w:ascii="Arial"/>
          <w:sz w:val="21"/>
          <w:highlight w:val="none"/>
        </w:rPr>
      </w:pPr>
    </w:p>
    <w:p w14:paraId="350165FC">
      <w:pPr>
        <w:spacing w:line="293" w:lineRule="auto"/>
        <w:rPr>
          <w:rFonts w:ascii="Arial"/>
          <w:sz w:val="21"/>
          <w:highlight w:val="none"/>
        </w:rPr>
      </w:pPr>
    </w:p>
    <w:p w14:paraId="4C6D709D">
      <w:pPr>
        <w:pStyle w:val="4"/>
        <w:spacing w:before="78" w:line="220" w:lineRule="auto"/>
        <w:ind w:left="731"/>
        <w:rPr>
          <w:sz w:val="24"/>
          <w:szCs w:val="24"/>
          <w:highlight w:val="none"/>
        </w:rPr>
      </w:pPr>
      <w:r>
        <w:rPr>
          <w:spacing w:val="-8"/>
          <w:sz w:val="24"/>
          <w:szCs w:val="24"/>
          <w:highlight w:val="none"/>
        </w:rPr>
        <w:t>特此证明。</w:t>
      </w:r>
    </w:p>
    <w:p w14:paraId="437056B4">
      <w:pPr>
        <w:spacing w:line="264" w:lineRule="auto"/>
        <w:rPr>
          <w:rFonts w:ascii="Arial"/>
          <w:sz w:val="21"/>
          <w:highlight w:val="none"/>
        </w:rPr>
      </w:pPr>
    </w:p>
    <w:p w14:paraId="6BD7915B">
      <w:pPr>
        <w:spacing w:line="265" w:lineRule="auto"/>
        <w:rPr>
          <w:rFonts w:ascii="Arial"/>
          <w:sz w:val="21"/>
          <w:highlight w:val="none"/>
        </w:rPr>
      </w:pPr>
    </w:p>
    <w:p w14:paraId="4454EB9D">
      <w:pPr>
        <w:spacing w:line="265" w:lineRule="auto"/>
        <w:rPr>
          <w:rFonts w:ascii="Arial"/>
          <w:sz w:val="21"/>
          <w:highlight w:val="none"/>
        </w:rPr>
      </w:pPr>
    </w:p>
    <w:p w14:paraId="694763E4">
      <w:pPr>
        <w:spacing w:line="265" w:lineRule="auto"/>
        <w:rPr>
          <w:rFonts w:ascii="Arial"/>
          <w:sz w:val="21"/>
          <w:highlight w:val="none"/>
        </w:rPr>
      </w:pPr>
    </w:p>
    <w:p w14:paraId="76F30950">
      <w:pPr>
        <w:spacing w:line="265" w:lineRule="auto"/>
        <w:rPr>
          <w:rFonts w:ascii="Arial"/>
          <w:sz w:val="21"/>
          <w:highlight w:val="none"/>
        </w:rPr>
      </w:pPr>
    </w:p>
    <w:p w14:paraId="652B8702">
      <w:pPr>
        <w:spacing w:line="265" w:lineRule="auto"/>
        <w:rPr>
          <w:rFonts w:ascii="Arial"/>
          <w:sz w:val="21"/>
          <w:highlight w:val="none"/>
        </w:rPr>
      </w:pPr>
    </w:p>
    <w:p w14:paraId="1993575F">
      <w:pPr>
        <w:spacing w:line="265" w:lineRule="auto"/>
        <w:rPr>
          <w:rFonts w:ascii="Arial"/>
          <w:sz w:val="21"/>
          <w:highlight w:val="none"/>
        </w:rPr>
      </w:pPr>
    </w:p>
    <w:p w14:paraId="7C3687B1">
      <w:pPr>
        <w:spacing w:line="265" w:lineRule="auto"/>
        <w:rPr>
          <w:rFonts w:ascii="Arial"/>
          <w:sz w:val="21"/>
          <w:highlight w:val="none"/>
        </w:rPr>
      </w:pPr>
    </w:p>
    <w:p w14:paraId="04FC379B">
      <w:pPr>
        <w:pStyle w:val="4"/>
        <w:spacing w:before="79" w:line="219" w:lineRule="auto"/>
        <w:ind w:left="4356"/>
        <w:rPr>
          <w:sz w:val="24"/>
          <w:szCs w:val="24"/>
          <w:highlight w:val="none"/>
        </w:rPr>
      </w:pPr>
      <w:r>
        <w:rPr>
          <w:spacing w:val="-8"/>
          <w:sz w:val="24"/>
          <w:szCs w:val="24"/>
          <w:highlight w:val="none"/>
        </w:rPr>
        <w:t>供应商</w:t>
      </w:r>
      <w:r>
        <w:rPr>
          <w:spacing w:val="-66"/>
          <w:sz w:val="24"/>
          <w:szCs w:val="24"/>
          <w:highlight w:val="none"/>
        </w:rPr>
        <w:t xml:space="preserve"> </w:t>
      </w:r>
      <w:r>
        <w:rPr>
          <w:spacing w:val="-8"/>
          <w:sz w:val="24"/>
          <w:szCs w:val="24"/>
          <w:highlight w:val="none"/>
        </w:rPr>
        <w:t>(盖章)：</w:t>
      </w:r>
    </w:p>
    <w:p w14:paraId="05736EA0">
      <w:pPr>
        <w:spacing w:line="259" w:lineRule="auto"/>
        <w:rPr>
          <w:rFonts w:ascii="Arial"/>
          <w:sz w:val="21"/>
          <w:highlight w:val="none"/>
        </w:rPr>
      </w:pPr>
    </w:p>
    <w:p w14:paraId="7BD0DA7B">
      <w:pPr>
        <w:pStyle w:val="4"/>
        <w:spacing w:before="78" w:line="220" w:lineRule="auto"/>
        <w:ind w:left="4397"/>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7"/>
          <w:sz w:val="24"/>
          <w:szCs w:val="24"/>
          <w:highlight w:val="none"/>
        </w:rPr>
        <w:t xml:space="preserve">  </w:t>
      </w:r>
      <w:r>
        <w:rPr>
          <w:spacing w:val="-13"/>
          <w:sz w:val="24"/>
          <w:szCs w:val="24"/>
          <w:highlight w:val="none"/>
        </w:rPr>
        <w:t>月</w:t>
      </w:r>
      <w:r>
        <w:rPr>
          <w:spacing w:val="52"/>
          <w:sz w:val="24"/>
          <w:szCs w:val="24"/>
          <w:highlight w:val="none"/>
        </w:rPr>
        <w:t xml:space="preserve"> </w:t>
      </w:r>
      <w:r>
        <w:rPr>
          <w:spacing w:val="-13"/>
          <w:sz w:val="24"/>
          <w:szCs w:val="24"/>
          <w:highlight w:val="none"/>
        </w:rPr>
        <w:t>日</w:t>
      </w:r>
    </w:p>
    <w:p w14:paraId="4252192D">
      <w:pPr>
        <w:spacing w:line="293" w:lineRule="auto"/>
        <w:rPr>
          <w:rFonts w:ascii="Arial"/>
          <w:sz w:val="21"/>
          <w:highlight w:val="none"/>
        </w:rPr>
      </w:pPr>
    </w:p>
    <w:p w14:paraId="442156C1">
      <w:pPr>
        <w:spacing w:line="293" w:lineRule="auto"/>
        <w:rPr>
          <w:rFonts w:ascii="Arial"/>
          <w:sz w:val="21"/>
          <w:highlight w:val="none"/>
        </w:rPr>
      </w:pPr>
    </w:p>
    <w:p w14:paraId="0EF318C6">
      <w:pPr>
        <w:spacing w:line="293" w:lineRule="auto"/>
        <w:rPr>
          <w:rFonts w:ascii="Arial"/>
          <w:sz w:val="21"/>
          <w:highlight w:val="none"/>
        </w:rPr>
      </w:pPr>
    </w:p>
    <w:p w14:paraId="4BAED515">
      <w:pPr>
        <w:pStyle w:val="4"/>
        <w:spacing w:before="79" w:line="219" w:lineRule="auto"/>
        <w:ind w:left="1775"/>
        <w:rPr>
          <w:sz w:val="24"/>
          <w:szCs w:val="24"/>
          <w:highlight w:val="none"/>
        </w:rPr>
      </w:pPr>
      <w:r>
        <w:rPr>
          <w:b/>
          <w:bCs/>
          <w:spacing w:val="-4"/>
          <w:sz w:val="24"/>
          <w:szCs w:val="24"/>
          <w:highlight w:val="none"/>
        </w:rPr>
        <w:t>（后附法定代表人身份证正反面扫描件）</w:t>
      </w:r>
    </w:p>
    <w:p w14:paraId="453EAD8A">
      <w:pPr>
        <w:spacing w:line="219" w:lineRule="auto"/>
        <w:rPr>
          <w:sz w:val="24"/>
          <w:szCs w:val="24"/>
          <w:highlight w:val="none"/>
        </w:rPr>
        <w:sectPr>
          <w:footerReference r:id="rId29" w:type="default"/>
          <w:pgSz w:w="11907" w:h="16839"/>
          <w:pgMar w:top="1431" w:right="1785" w:bottom="1159" w:left="1785" w:header="0" w:footer="959" w:gutter="0"/>
          <w:cols w:space="720" w:num="1"/>
        </w:sectPr>
      </w:pPr>
    </w:p>
    <w:p w14:paraId="4AAB7516">
      <w:pPr>
        <w:pStyle w:val="4"/>
        <w:spacing w:before="159" w:line="226" w:lineRule="auto"/>
        <w:ind w:left="3658"/>
        <w:rPr>
          <w:highlight w:val="none"/>
        </w:rPr>
      </w:pPr>
      <w:r>
        <w:rPr>
          <w:b/>
          <w:bCs/>
          <w:spacing w:val="-16"/>
          <w:highlight w:val="none"/>
        </w:rPr>
        <w:t>2</w:t>
      </w:r>
      <w:r>
        <w:rPr>
          <w:spacing w:val="-109"/>
          <w:highlight w:val="none"/>
        </w:rPr>
        <w:t xml:space="preserve"> </w:t>
      </w:r>
      <w:r>
        <w:rPr>
          <w:b/>
          <w:bCs/>
          <w:spacing w:val="-16"/>
          <w:highlight w:val="none"/>
        </w:rPr>
        <w:t>．</w:t>
      </w:r>
      <w:r>
        <w:rPr>
          <w:spacing w:val="-130"/>
          <w:highlight w:val="none"/>
        </w:rPr>
        <w:t xml:space="preserve"> </w:t>
      </w:r>
      <w:r>
        <w:rPr>
          <w:b/>
          <w:bCs/>
          <w:spacing w:val="-16"/>
          <w:highlight w:val="none"/>
        </w:rPr>
        <w:t>投</w:t>
      </w:r>
      <w:r>
        <w:rPr>
          <w:spacing w:val="21"/>
          <w:highlight w:val="none"/>
        </w:rPr>
        <w:t xml:space="preserve"> </w:t>
      </w:r>
      <w:r>
        <w:rPr>
          <w:b/>
          <w:bCs/>
          <w:spacing w:val="-16"/>
          <w:highlight w:val="none"/>
        </w:rPr>
        <w:t>标</w:t>
      </w:r>
      <w:r>
        <w:rPr>
          <w:spacing w:val="42"/>
          <w:highlight w:val="none"/>
        </w:rPr>
        <w:t xml:space="preserve"> </w:t>
      </w:r>
      <w:r>
        <w:rPr>
          <w:b/>
          <w:bCs/>
          <w:spacing w:val="-16"/>
          <w:highlight w:val="none"/>
        </w:rPr>
        <w:t>函</w:t>
      </w:r>
    </w:p>
    <w:p w14:paraId="46CC8B9B">
      <w:pPr>
        <w:pStyle w:val="4"/>
        <w:spacing w:before="207" w:line="219" w:lineRule="auto"/>
        <w:rPr>
          <w:sz w:val="24"/>
          <w:szCs w:val="24"/>
          <w:highlight w:val="none"/>
        </w:rPr>
      </w:pPr>
      <w:r>
        <w:rPr>
          <w:spacing w:val="-2"/>
          <w:sz w:val="24"/>
          <w:szCs w:val="24"/>
          <w:highlight w:val="none"/>
        </w:rPr>
        <w:t>致</w:t>
      </w:r>
      <w:r>
        <w:rPr>
          <w:spacing w:val="-72"/>
          <w:sz w:val="24"/>
          <w:szCs w:val="24"/>
          <w:highlight w:val="none"/>
        </w:rPr>
        <w:t xml:space="preserve"> </w:t>
      </w:r>
      <w:r>
        <w:rPr>
          <w:spacing w:val="8"/>
          <w:sz w:val="24"/>
          <w:szCs w:val="24"/>
          <w:highlight w:val="none"/>
          <w:u w:val="single" w:color="auto"/>
        </w:rPr>
        <w:t xml:space="preserve">       </w:t>
      </w:r>
      <w:r>
        <w:rPr>
          <w:spacing w:val="-2"/>
          <w:sz w:val="24"/>
          <w:szCs w:val="24"/>
          <w:highlight w:val="none"/>
          <w:u w:val="single" w:color="auto"/>
        </w:rPr>
        <w:t>（采购人</w:t>
      </w:r>
      <w:r>
        <w:rPr>
          <w:sz w:val="24"/>
          <w:szCs w:val="24"/>
          <w:highlight w:val="none"/>
          <w:u w:val="single" w:color="auto"/>
        </w:rPr>
        <w:t>）</w:t>
      </w:r>
      <w:r>
        <w:rPr>
          <w:spacing w:val="8"/>
          <w:sz w:val="24"/>
          <w:szCs w:val="24"/>
          <w:highlight w:val="none"/>
          <w:u w:val="single" w:color="auto"/>
        </w:rPr>
        <w:t xml:space="preserve">        </w:t>
      </w:r>
      <w:r>
        <w:rPr>
          <w:sz w:val="24"/>
          <w:szCs w:val="24"/>
          <w:highlight w:val="none"/>
        </w:rPr>
        <w:t>：</w:t>
      </w:r>
    </w:p>
    <w:p w14:paraId="4F9E68B2">
      <w:pPr>
        <w:pStyle w:val="4"/>
        <w:tabs>
          <w:tab w:val="left" w:pos="9062"/>
        </w:tabs>
        <w:spacing w:before="184" w:line="360" w:lineRule="auto"/>
        <w:ind w:firstLine="480"/>
        <w:jc w:val="both"/>
        <w:rPr>
          <w:sz w:val="24"/>
          <w:szCs w:val="24"/>
          <w:highlight w:val="none"/>
        </w:rPr>
      </w:pPr>
      <w:r>
        <w:rPr>
          <w:spacing w:val="-3"/>
          <w:sz w:val="24"/>
          <w:szCs w:val="24"/>
          <w:highlight w:val="none"/>
        </w:rPr>
        <w:t>根据已收到贵方的</w:t>
      </w:r>
      <w:r>
        <w:rPr>
          <w:rFonts w:hint="eastAsia"/>
          <w:spacing w:val="-3"/>
          <w:sz w:val="24"/>
          <w:szCs w:val="24"/>
          <w:highlight w:val="none"/>
          <w:u w:val="single" w:color="auto"/>
          <w:lang w:eastAsia="zh-CN"/>
        </w:rPr>
        <w:t>三门峡市陕州区人民医院改扩建项目（一期工程）医疗设备采购项目</w:t>
      </w:r>
      <w:r>
        <w:rPr>
          <w:spacing w:val="-3"/>
          <w:sz w:val="24"/>
          <w:szCs w:val="24"/>
          <w:highlight w:val="none"/>
          <w:u w:val="single" w:color="auto"/>
        </w:rPr>
        <w:t>（   包</w:t>
      </w:r>
      <w:r>
        <w:rPr>
          <w:spacing w:val="-45"/>
          <w:w w:val="72"/>
          <w:sz w:val="24"/>
          <w:szCs w:val="24"/>
          <w:highlight w:val="none"/>
          <w:u w:val="single" w:color="auto"/>
        </w:rPr>
        <w:t>），</w:t>
      </w:r>
      <w:r>
        <w:rPr>
          <w:spacing w:val="-5"/>
          <w:sz w:val="24"/>
          <w:szCs w:val="24"/>
          <w:highlight w:val="none"/>
          <w:u w:val="single"/>
        </w:rPr>
        <w:t>（项目编号）</w:t>
      </w:r>
      <w:r>
        <w:rPr>
          <w:spacing w:val="-5"/>
          <w:sz w:val="24"/>
          <w:szCs w:val="24"/>
          <w:highlight w:val="none"/>
        </w:rPr>
        <w:t>的招标文件，遵照《中华人民共和国政府采购法》等有关规定， 我单位经</w:t>
      </w:r>
      <w:r>
        <w:rPr>
          <w:spacing w:val="-6"/>
          <w:sz w:val="24"/>
          <w:szCs w:val="24"/>
          <w:highlight w:val="none"/>
        </w:rPr>
        <w:t>研究上述招标文件的投标须知、合同条款、技术参数及其它有关文件后，</w:t>
      </w:r>
      <w:r>
        <w:rPr>
          <w:spacing w:val="47"/>
          <w:sz w:val="24"/>
          <w:szCs w:val="24"/>
          <w:highlight w:val="none"/>
        </w:rPr>
        <w:t xml:space="preserve"> </w:t>
      </w:r>
      <w:r>
        <w:rPr>
          <w:spacing w:val="-6"/>
          <w:sz w:val="24"/>
          <w:szCs w:val="24"/>
          <w:highlight w:val="none"/>
        </w:rPr>
        <w:t>我方愿以人民</w:t>
      </w:r>
      <w:r>
        <w:rPr>
          <w:spacing w:val="-5"/>
          <w:sz w:val="24"/>
          <w:szCs w:val="24"/>
          <w:highlight w:val="none"/>
        </w:rPr>
        <w:t>币（大写</w:t>
      </w:r>
      <w:r>
        <w:rPr>
          <w:spacing w:val="-8"/>
          <w:sz w:val="24"/>
          <w:szCs w:val="24"/>
          <w:highlight w:val="none"/>
        </w:rPr>
        <w:t>）：</w:t>
      </w:r>
      <w:r>
        <w:rPr>
          <w:sz w:val="24"/>
          <w:szCs w:val="24"/>
          <w:highlight w:val="none"/>
          <w:u w:val="single" w:color="auto"/>
        </w:rPr>
        <w:t xml:space="preserve">         </w:t>
      </w:r>
      <w:r>
        <w:rPr>
          <w:spacing w:val="-8"/>
          <w:sz w:val="24"/>
          <w:szCs w:val="24"/>
          <w:highlight w:val="none"/>
        </w:rPr>
        <w:t>（</w:t>
      </w:r>
      <w:r>
        <w:rPr>
          <w:spacing w:val="-5"/>
          <w:sz w:val="24"/>
          <w:szCs w:val="24"/>
          <w:highlight w:val="none"/>
        </w:rPr>
        <w:t>小写：</w:t>
      </w:r>
      <w:r>
        <w:rPr>
          <w:spacing w:val="-5"/>
          <w:sz w:val="24"/>
          <w:szCs w:val="24"/>
          <w:highlight w:val="none"/>
          <w:u w:val="single" w:color="auto"/>
        </w:rPr>
        <w:t xml:space="preserve"> </w:t>
      </w:r>
      <w:r>
        <w:rPr>
          <w:rFonts w:hint="eastAsia"/>
          <w:spacing w:val="-5"/>
          <w:sz w:val="24"/>
          <w:szCs w:val="24"/>
          <w:highlight w:val="none"/>
          <w:u w:val="single" w:color="auto"/>
          <w:lang w:val="en-US" w:eastAsia="zh-CN"/>
        </w:rPr>
        <w:t xml:space="preserve">   </w:t>
      </w:r>
      <w:r>
        <w:rPr>
          <w:spacing w:val="-5"/>
          <w:sz w:val="24"/>
          <w:szCs w:val="24"/>
          <w:highlight w:val="none"/>
          <w:u w:val="single" w:color="auto"/>
        </w:rPr>
        <w:t xml:space="preserve">     </w:t>
      </w:r>
      <w:r>
        <w:rPr>
          <w:spacing w:val="-107"/>
          <w:sz w:val="24"/>
          <w:szCs w:val="24"/>
          <w:highlight w:val="none"/>
        </w:rPr>
        <w:t xml:space="preserve"> </w:t>
      </w:r>
      <w:r>
        <w:rPr>
          <w:spacing w:val="-5"/>
          <w:sz w:val="24"/>
          <w:szCs w:val="24"/>
          <w:highlight w:val="none"/>
        </w:rPr>
        <w:t>元）的投标报价；交货及安装期：</w:t>
      </w:r>
      <w:r>
        <w:rPr>
          <w:rFonts w:hint="eastAsia"/>
          <w:spacing w:val="-5"/>
          <w:sz w:val="24"/>
          <w:szCs w:val="24"/>
          <w:highlight w:val="none"/>
          <w:u w:val="single"/>
          <w:lang w:val="en-US" w:eastAsia="zh-CN"/>
        </w:rPr>
        <w:t xml:space="preserve">      </w:t>
      </w:r>
      <w:r>
        <w:rPr>
          <w:spacing w:val="-2"/>
          <w:sz w:val="24"/>
          <w:szCs w:val="24"/>
          <w:highlight w:val="none"/>
          <w:u w:val="single"/>
        </w:rPr>
        <w:t xml:space="preserve"> </w:t>
      </w:r>
      <w:r>
        <w:rPr>
          <w:spacing w:val="-2"/>
          <w:sz w:val="24"/>
          <w:szCs w:val="24"/>
          <w:highlight w:val="none"/>
        </w:rPr>
        <w:t>。质保期：</w:t>
      </w:r>
      <w:r>
        <w:rPr>
          <w:spacing w:val="-2"/>
          <w:sz w:val="24"/>
          <w:szCs w:val="24"/>
          <w:highlight w:val="none"/>
          <w:u w:val="single" w:color="auto"/>
        </w:rPr>
        <w:t xml:space="preserve">    </w:t>
      </w:r>
      <w:r>
        <w:rPr>
          <w:spacing w:val="-107"/>
          <w:sz w:val="24"/>
          <w:szCs w:val="24"/>
          <w:highlight w:val="none"/>
        </w:rPr>
        <w:t xml:space="preserve"> </w:t>
      </w:r>
      <w:r>
        <w:rPr>
          <w:spacing w:val="-3"/>
          <w:sz w:val="24"/>
          <w:szCs w:val="24"/>
          <w:highlight w:val="none"/>
        </w:rPr>
        <w:t>,承包上述项目的采购及安装、调试、验收、培训、</w:t>
      </w:r>
      <w:r>
        <w:rPr>
          <w:spacing w:val="-1"/>
          <w:sz w:val="24"/>
          <w:szCs w:val="24"/>
          <w:highlight w:val="none"/>
        </w:rPr>
        <w:t>质保期服务、与货物有关的运输和保险及其他伴随服务。</w:t>
      </w:r>
    </w:p>
    <w:p w14:paraId="3404CF7F">
      <w:pPr>
        <w:pStyle w:val="4"/>
        <w:spacing w:line="360" w:lineRule="auto"/>
        <w:ind w:right="14" w:firstLine="498"/>
        <w:rPr>
          <w:sz w:val="24"/>
          <w:szCs w:val="24"/>
          <w:highlight w:val="none"/>
        </w:rPr>
      </w:pPr>
      <w:r>
        <w:rPr>
          <w:spacing w:val="-1"/>
          <w:sz w:val="24"/>
          <w:szCs w:val="24"/>
          <w:highlight w:val="none"/>
        </w:rPr>
        <w:t>1、我方已详细审核全部招标文件，包括修改文件（如有）及有关附件，已充分理</w:t>
      </w:r>
      <w:r>
        <w:rPr>
          <w:spacing w:val="-6"/>
          <w:sz w:val="24"/>
          <w:szCs w:val="24"/>
          <w:highlight w:val="none"/>
        </w:rPr>
        <w:t>解并掌握了本招标项目的全部有关情况，认为招标文件符合法律、法规的要求，</w:t>
      </w:r>
      <w:r>
        <w:rPr>
          <w:spacing w:val="48"/>
          <w:sz w:val="24"/>
          <w:szCs w:val="24"/>
          <w:highlight w:val="none"/>
        </w:rPr>
        <w:t xml:space="preserve"> </w:t>
      </w:r>
      <w:r>
        <w:rPr>
          <w:spacing w:val="-6"/>
          <w:sz w:val="24"/>
          <w:szCs w:val="24"/>
          <w:highlight w:val="none"/>
        </w:rPr>
        <w:t>充分体现了公开、公平、公正和诚实信用原则，</w:t>
      </w:r>
      <w:r>
        <w:rPr>
          <w:spacing w:val="53"/>
          <w:sz w:val="24"/>
          <w:szCs w:val="24"/>
          <w:highlight w:val="none"/>
        </w:rPr>
        <w:t xml:space="preserve"> </w:t>
      </w:r>
      <w:r>
        <w:rPr>
          <w:spacing w:val="-6"/>
          <w:sz w:val="24"/>
          <w:szCs w:val="24"/>
          <w:highlight w:val="none"/>
        </w:rPr>
        <w:t>我方对招标文件没有任何异议。同意接</w:t>
      </w:r>
      <w:r>
        <w:rPr>
          <w:spacing w:val="-7"/>
          <w:sz w:val="24"/>
          <w:szCs w:val="24"/>
          <w:highlight w:val="none"/>
        </w:rPr>
        <w:t>受招标</w:t>
      </w:r>
      <w:r>
        <w:rPr>
          <w:spacing w:val="-4"/>
          <w:sz w:val="24"/>
          <w:szCs w:val="24"/>
          <w:highlight w:val="none"/>
        </w:rPr>
        <w:t>文件的全部内容和条件。</w:t>
      </w:r>
    </w:p>
    <w:p w14:paraId="662199A5">
      <w:pPr>
        <w:pStyle w:val="4"/>
        <w:spacing w:before="1" w:line="218" w:lineRule="auto"/>
        <w:ind w:left="483"/>
        <w:rPr>
          <w:sz w:val="24"/>
          <w:szCs w:val="24"/>
          <w:highlight w:val="none"/>
        </w:rPr>
      </w:pPr>
      <w:r>
        <w:rPr>
          <w:spacing w:val="-2"/>
          <w:sz w:val="24"/>
          <w:szCs w:val="24"/>
          <w:highlight w:val="none"/>
        </w:rPr>
        <w:t>2、我方承认投标函附表是我方投标函的组成部分。</w:t>
      </w:r>
    </w:p>
    <w:p w14:paraId="0F245268">
      <w:pPr>
        <w:pStyle w:val="4"/>
        <w:spacing w:before="183" w:line="360" w:lineRule="auto"/>
        <w:ind w:right="15" w:firstLine="485"/>
        <w:rPr>
          <w:sz w:val="24"/>
          <w:szCs w:val="24"/>
          <w:highlight w:val="none"/>
        </w:rPr>
      </w:pPr>
      <w:r>
        <w:rPr>
          <w:spacing w:val="1"/>
          <w:sz w:val="24"/>
          <w:szCs w:val="24"/>
          <w:highlight w:val="none"/>
        </w:rPr>
        <w:t>3、如我方中标，我方承诺在收到中标通知书后，在中标通知书规定的期限内，根</w:t>
      </w:r>
      <w:r>
        <w:rPr>
          <w:spacing w:val="-2"/>
          <w:sz w:val="24"/>
          <w:szCs w:val="24"/>
          <w:highlight w:val="none"/>
        </w:rPr>
        <w:t>据招标文件、我方的投标文件及有关澄清承诺书的要求，与采购人订立书面合同，并按</w:t>
      </w:r>
      <w:r>
        <w:rPr>
          <w:spacing w:val="-3"/>
          <w:sz w:val="24"/>
          <w:szCs w:val="24"/>
          <w:highlight w:val="none"/>
        </w:rPr>
        <w:t>照合同约定承担完成合同的责任和义务。</w:t>
      </w:r>
    </w:p>
    <w:p w14:paraId="6F4F1EE1">
      <w:pPr>
        <w:pStyle w:val="4"/>
        <w:spacing w:line="360" w:lineRule="auto"/>
        <w:ind w:left="30" w:right="23" w:firstLine="450"/>
        <w:rPr>
          <w:sz w:val="24"/>
          <w:szCs w:val="24"/>
          <w:highlight w:val="none"/>
        </w:rPr>
      </w:pPr>
      <w:r>
        <w:rPr>
          <w:spacing w:val="1"/>
          <w:sz w:val="24"/>
          <w:szCs w:val="24"/>
          <w:highlight w:val="none"/>
        </w:rPr>
        <w:t>4、我方同意自本项目招标文件中规定的投标有效期内有效，并承诺在投标有效期</w:t>
      </w:r>
      <w:r>
        <w:rPr>
          <w:spacing w:val="-6"/>
          <w:sz w:val="24"/>
          <w:szCs w:val="24"/>
          <w:highlight w:val="none"/>
        </w:rPr>
        <w:t>内不修改、撤销投标文件。</w:t>
      </w:r>
    </w:p>
    <w:p w14:paraId="5B90181B">
      <w:pPr>
        <w:pStyle w:val="4"/>
        <w:spacing w:line="218" w:lineRule="auto"/>
        <w:ind w:left="485"/>
        <w:rPr>
          <w:sz w:val="24"/>
          <w:szCs w:val="24"/>
          <w:highlight w:val="none"/>
        </w:rPr>
      </w:pPr>
      <w:r>
        <w:rPr>
          <w:spacing w:val="-1"/>
          <w:sz w:val="24"/>
          <w:szCs w:val="24"/>
          <w:highlight w:val="none"/>
        </w:rPr>
        <w:t>5、我方完全理解贵方不一定接受投标报价最低</w:t>
      </w:r>
      <w:r>
        <w:rPr>
          <w:spacing w:val="-2"/>
          <w:sz w:val="24"/>
          <w:szCs w:val="24"/>
          <w:highlight w:val="none"/>
        </w:rPr>
        <w:t>的供应商为中标供应商的行为。</w:t>
      </w:r>
    </w:p>
    <w:p w14:paraId="2EEF9B39">
      <w:pPr>
        <w:pStyle w:val="4"/>
        <w:spacing w:before="183" w:line="220" w:lineRule="auto"/>
        <w:ind w:left="482"/>
        <w:rPr>
          <w:sz w:val="24"/>
          <w:szCs w:val="24"/>
          <w:highlight w:val="none"/>
        </w:rPr>
      </w:pPr>
      <w:r>
        <w:rPr>
          <w:spacing w:val="-1"/>
          <w:sz w:val="24"/>
          <w:szCs w:val="24"/>
          <w:highlight w:val="none"/>
        </w:rPr>
        <w:t>6、我方在此声明，所递交的投标文件及有关</w:t>
      </w:r>
      <w:r>
        <w:rPr>
          <w:spacing w:val="-2"/>
          <w:sz w:val="24"/>
          <w:szCs w:val="24"/>
          <w:highlight w:val="none"/>
        </w:rPr>
        <w:t>资料内容完整、真实和准确。</w:t>
      </w:r>
    </w:p>
    <w:p w14:paraId="785BEBC7">
      <w:pPr>
        <w:spacing w:line="278" w:lineRule="auto"/>
        <w:rPr>
          <w:rFonts w:ascii="Arial"/>
          <w:sz w:val="21"/>
          <w:highlight w:val="none"/>
        </w:rPr>
      </w:pPr>
    </w:p>
    <w:p w14:paraId="05794DAA">
      <w:pPr>
        <w:spacing w:line="278" w:lineRule="auto"/>
        <w:rPr>
          <w:rFonts w:ascii="Arial"/>
          <w:sz w:val="21"/>
          <w:highlight w:val="none"/>
        </w:rPr>
      </w:pPr>
    </w:p>
    <w:p w14:paraId="0804B9F4">
      <w:pPr>
        <w:spacing w:line="278" w:lineRule="auto"/>
        <w:rPr>
          <w:rFonts w:ascii="Arial"/>
          <w:sz w:val="21"/>
          <w:highlight w:val="none"/>
        </w:rPr>
      </w:pPr>
    </w:p>
    <w:p w14:paraId="7D498251">
      <w:pPr>
        <w:spacing w:line="278" w:lineRule="auto"/>
        <w:rPr>
          <w:rFonts w:ascii="Arial"/>
          <w:sz w:val="21"/>
          <w:highlight w:val="none"/>
        </w:rPr>
      </w:pPr>
    </w:p>
    <w:p w14:paraId="546305C3">
      <w:pPr>
        <w:pStyle w:val="4"/>
        <w:spacing w:before="79" w:line="219" w:lineRule="auto"/>
        <w:ind w:left="5435"/>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47CD4FC0">
      <w:pPr>
        <w:spacing w:line="260" w:lineRule="auto"/>
        <w:rPr>
          <w:rFonts w:ascii="Arial"/>
          <w:sz w:val="21"/>
          <w:highlight w:val="none"/>
        </w:rPr>
      </w:pPr>
    </w:p>
    <w:p w14:paraId="0CED16E8">
      <w:pPr>
        <w:pStyle w:val="4"/>
        <w:spacing w:before="78" w:line="219" w:lineRule="auto"/>
        <w:ind w:left="5076"/>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0732FBE4">
      <w:pPr>
        <w:spacing w:line="259" w:lineRule="auto"/>
        <w:rPr>
          <w:rFonts w:ascii="Arial"/>
          <w:sz w:val="21"/>
          <w:highlight w:val="none"/>
        </w:rPr>
      </w:pPr>
    </w:p>
    <w:p w14:paraId="1F3DA62E">
      <w:pPr>
        <w:pStyle w:val="4"/>
        <w:spacing w:before="78" w:line="220" w:lineRule="auto"/>
        <w:ind w:left="5476"/>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3A2D6C5C">
      <w:pPr>
        <w:spacing w:line="220" w:lineRule="auto"/>
        <w:rPr>
          <w:sz w:val="24"/>
          <w:szCs w:val="24"/>
          <w:highlight w:val="none"/>
        </w:rPr>
        <w:sectPr>
          <w:footerReference r:id="rId30" w:type="default"/>
          <w:pgSz w:w="11907" w:h="16839"/>
          <w:pgMar w:top="1431" w:right="1401" w:bottom="1159" w:left="1427" w:header="0" w:footer="959" w:gutter="0"/>
          <w:cols w:space="720" w:num="1"/>
        </w:sectPr>
      </w:pPr>
    </w:p>
    <w:p w14:paraId="2E1C4BBB">
      <w:pPr>
        <w:pStyle w:val="4"/>
        <w:spacing w:before="160" w:line="224" w:lineRule="auto"/>
        <w:ind w:left="3604"/>
        <w:rPr>
          <w:highlight w:val="none"/>
        </w:rPr>
      </w:pPr>
      <w:r>
        <w:rPr>
          <w:b/>
          <w:bCs/>
          <w:spacing w:val="4"/>
          <w:highlight w:val="none"/>
        </w:rPr>
        <w:t>3．投标函附表</w:t>
      </w:r>
    </w:p>
    <w:p w14:paraId="5C4ABBE7">
      <w:pPr>
        <w:spacing w:line="96" w:lineRule="exact"/>
        <w:rPr>
          <w:highlight w:val="none"/>
        </w:rPr>
      </w:pPr>
    </w:p>
    <w:tbl>
      <w:tblPr>
        <w:tblStyle w:val="23"/>
        <w:tblW w:w="9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6994"/>
      </w:tblGrid>
      <w:tr w14:paraId="69E4B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266" w:type="dxa"/>
            <w:vAlign w:val="top"/>
          </w:tcPr>
          <w:p w14:paraId="121BFC0E">
            <w:pPr>
              <w:spacing w:line="435" w:lineRule="auto"/>
              <w:rPr>
                <w:rFonts w:ascii="Arial"/>
                <w:sz w:val="21"/>
                <w:highlight w:val="none"/>
              </w:rPr>
            </w:pPr>
          </w:p>
          <w:p w14:paraId="35E3A8E3">
            <w:pPr>
              <w:pStyle w:val="24"/>
              <w:spacing w:before="78" w:line="220" w:lineRule="auto"/>
              <w:ind w:left="665"/>
              <w:rPr>
                <w:highlight w:val="none"/>
              </w:rPr>
            </w:pPr>
            <w:r>
              <w:rPr>
                <w:spacing w:val="-3"/>
                <w:highlight w:val="none"/>
              </w:rPr>
              <w:t>项目名称</w:t>
            </w:r>
          </w:p>
        </w:tc>
        <w:tc>
          <w:tcPr>
            <w:tcW w:w="6994" w:type="dxa"/>
            <w:vAlign w:val="top"/>
          </w:tcPr>
          <w:p w14:paraId="5F9682DF">
            <w:pPr>
              <w:spacing w:line="435" w:lineRule="auto"/>
              <w:rPr>
                <w:rFonts w:ascii="Arial"/>
                <w:sz w:val="21"/>
                <w:highlight w:val="none"/>
              </w:rPr>
            </w:pPr>
          </w:p>
          <w:p w14:paraId="5A27C63D">
            <w:pPr>
              <w:pStyle w:val="24"/>
              <w:spacing w:before="78" w:line="219" w:lineRule="auto"/>
              <w:ind w:left="6"/>
              <w:rPr>
                <w:highlight w:val="none"/>
              </w:rPr>
            </w:pPr>
            <w:r>
              <w:rPr>
                <w:rFonts w:hint="eastAsia"/>
                <w:spacing w:val="-1"/>
                <w:highlight w:val="none"/>
                <w:lang w:val="en-US" w:eastAsia="zh-CN"/>
              </w:rPr>
              <w:t xml:space="preserve">                                        </w:t>
            </w:r>
            <w:r>
              <w:rPr>
                <w:spacing w:val="-1"/>
                <w:highlight w:val="none"/>
              </w:rPr>
              <w:t xml:space="preserve"> （  包）</w:t>
            </w:r>
          </w:p>
        </w:tc>
      </w:tr>
      <w:tr w14:paraId="46A2B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2266" w:type="dxa"/>
            <w:vAlign w:val="top"/>
          </w:tcPr>
          <w:p w14:paraId="3A8F9B9B">
            <w:pPr>
              <w:pStyle w:val="24"/>
              <w:spacing w:before="317" w:line="219" w:lineRule="auto"/>
              <w:ind w:left="541"/>
              <w:rPr>
                <w:highlight w:val="none"/>
              </w:rPr>
            </w:pPr>
            <w:r>
              <w:rPr>
                <w:spacing w:val="-2"/>
                <w:highlight w:val="none"/>
              </w:rPr>
              <w:t>供应商名称</w:t>
            </w:r>
          </w:p>
        </w:tc>
        <w:tc>
          <w:tcPr>
            <w:tcW w:w="6994" w:type="dxa"/>
            <w:vAlign w:val="top"/>
          </w:tcPr>
          <w:p w14:paraId="010AE264">
            <w:pPr>
              <w:rPr>
                <w:rFonts w:ascii="Arial"/>
                <w:sz w:val="21"/>
                <w:highlight w:val="none"/>
              </w:rPr>
            </w:pPr>
          </w:p>
        </w:tc>
      </w:tr>
      <w:tr w14:paraId="04A1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2266" w:type="dxa"/>
            <w:vAlign w:val="top"/>
          </w:tcPr>
          <w:p w14:paraId="622D1C95">
            <w:pPr>
              <w:spacing w:line="431" w:lineRule="auto"/>
              <w:rPr>
                <w:rFonts w:ascii="Arial"/>
                <w:sz w:val="21"/>
                <w:highlight w:val="none"/>
              </w:rPr>
            </w:pPr>
          </w:p>
          <w:p w14:paraId="298600EA">
            <w:pPr>
              <w:pStyle w:val="24"/>
              <w:spacing w:before="78" w:line="218" w:lineRule="auto"/>
              <w:ind w:left="664"/>
              <w:rPr>
                <w:highlight w:val="none"/>
              </w:rPr>
            </w:pPr>
            <w:r>
              <w:rPr>
                <w:spacing w:val="-3"/>
                <w:highlight w:val="none"/>
              </w:rPr>
              <w:t>投标报价</w:t>
            </w:r>
          </w:p>
        </w:tc>
        <w:tc>
          <w:tcPr>
            <w:tcW w:w="6994" w:type="dxa"/>
            <w:vAlign w:val="top"/>
          </w:tcPr>
          <w:p w14:paraId="30DDFF85">
            <w:pPr>
              <w:pStyle w:val="24"/>
              <w:spacing w:before="262" w:line="219" w:lineRule="auto"/>
              <w:ind w:left="128"/>
              <w:rPr>
                <w:highlight w:val="none"/>
              </w:rPr>
            </w:pPr>
            <w:r>
              <w:rPr>
                <w:spacing w:val="-9"/>
                <w:highlight w:val="none"/>
              </w:rPr>
              <w:t>人民币（大写</w:t>
            </w:r>
            <w:r>
              <w:rPr>
                <w:spacing w:val="-3"/>
                <w:highlight w:val="none"/>
              </w:rPr>
              <w:t>）：</w:t>
            </w:r>
          </w:p>
          <w:p w14:paraId="291A3630">
            <w:pPr>
              <w:pStyle w:val="24"/>
              <w:spacing w:before="214" w:line="222" w:lineRule="auto"/>
              <w:ind w:left="853"/>
              <w:rPr>
                <w:highlight w:val="none"/>
              </w:rPr>
            </w:pPr>
            <w:r>
              <w:rPr>
                <w:spacing w:val="-15"/>
                <w:highlight w:val="none"/>
              </w:rPr>
              <w:t>（小写</w:t>
            </w:r>
            <w:r>
              <w:rPr>
                <w:spacing w:val="-7"/>
                <w:highlight w:val="none"/>
              </w:rPr>
              <w:t>）：</w:t>
            </w:r>
          </w:p>
        </w:tc>
      </w:tr>
      <w:tr w14:paraId="2A05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2266" w:type="dxa"/>
            <w:vAlign w:val="top"/>
          </w:tcPr>
          <w:p w14:paraId="6E8BCF54">
            <w:pPr>
              <w:spacing w:line="435" w:lineRule="auto"/>
              <w:rPr>
                <w:rFonts w:ascii="Arial"/>
                <w:sz w:val="21"/>
                <w:highlight w:val="none"/>
              </w:rPr>
            </w:pPr>
          </w:p>
          <w:p w14:paraId="5CEC303F">
            <w:pPr>
              <w:pStyle w:val="24"/>
              <w:spacing w:before="78" w:line="220" w:lineRule="auto"/>
              <w:ind w:left="662"/>
              <w:rPr>
                <w:highlight w:val="none"/>
              </w:rPr>
            </w:pPr>
            <w:r>
              <w:rPr>
                <w:spacing w:val="-2"/>
                <w:highlight w:val="none"/>
              </w:rPr>
              <w:t>质量要求</w:t>
            </w:r>
          </w:p>
        </w:tc>
        <w:tc>
          <w:tcPr>
            <w:tcW w:w="6994" w:type="dxa"/>
            <w:vAlign w:val="top"/>
          </w:tcPr>
          <w:p w14:paraId="7B57D62D">
            <w:pPr>
              <w:rPr>
                <w:rFonts w:ascii="Arial"/>
                <w:sz w:val="21"/>
                <w:highlight w:val="none"/>
              </w:rPr>
            </w:pPr>
          </w:p>
        </w:tc>
      </w:tr>
      <w:tr w14:paraId="6111F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6" w:type="dxa"/>
            <w:vAlign w:val="top"/>
          </w:tcPr>
          <w:p w14:paraId="06054C06">
            <w:pPr>
              <w:spacing w:line="365" w:lineRule="auto"/>
              <w:rPr>
                <w:rFonts w:ascii="Arial"/>
                <w:sz w:val="21"/>
                <w:highlight w:val="none"/>
              </w:rPr>
            </w:pPr>
          </w:p>
          <w:p w14:paraId="5C3690B6">
            <w:pPr>
              <w:pStyle w:val="24"/>
              <w:spacing w:before="78" w:line="219" w:lineRule="auto"/>
              <w:ind w:left="426"/>
              <w:rPr>
                <w:highlight w:val="none"/>
              </w:rPr>
            </w:pPr>
            <w:r>
              <w:rPr>
                <w:spacing w:val="-2"/>
                <w:highlight w:val="none"/>
              </w:rPr>
              <w:t>交货及安装期</w:t>
            </w:r>
          </w:p>
        </w:tc>
        <w:tc>
          <w:tcPr>
            <w:tcW w:w="6994" w:type="dxa"/>
            <w:vAlign w:val="top"/>
          </w:tcPr>
          <w:p w14:paraId="44893780">
            <w:pPr>
              <w:spacing w:line="365" w:lineRule="auto"/>
              <w:rPr>
                <w:rFonts w:ascii="Arial"/>
                <w:sz w:val="21"/>
                <w:highlight w:val="none"/>
              </w:rPr>
            </w:pPr>
          </w:p>
          <w:p w14:paraId="1D28D4D1">
            <w:pPr>
              <w:pStyle w:val="24"/>
              <w:spacing w:before="78" w:line="220" w:lineRule="auto"/>
              <w:ind w:left="1915"/>
              <w:rPr>
                <w:highlight w:val="none"/>
              </w:rPr>
            </w:pPr>
            <w:r>
              <w:rPr>
                <w:spacing w:val="-8"/>
                <w:highlight w:val="none"/>
              </w:rPr>
              <w:t>自合同签订之日起</w:t>
            </w:r>
            <w:r>
              <w:rPr>
                <w:spacing w:val="19"/>
                <w:highlight w:val="none"/>
              </w:rPr>
              <w:t xml:space="preserve">   </w:t>
            </w:r>
            <w:r>
              <w:rPr>
                <w:spacing w:val="-8"/>
                <w:highlight w:val="none"/>
              </w:rPr>
              <w:t>日历天内</w:t>
            </w:r>
          </w:p>
        </w:tc>
      </w:tr>
      <w:tr w14:paraId="498FC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6" w:type="dxa"/>
            <w:vAlign w:val="top"/>
          </w:tcPr>
          <w:p w14:paraId="2A916EE3">
            <w:pPr>
              <w:spacing w:line="364" w:lineRule="auto"/>
              <w:rPr>
                <w:rFonts w:ascii="Arial"/>
                <w:sz w:val="21"/>
                <w:highlight w:val="none"/>
              </w:rPr>
            </w:pPr>
          </w:p>
          <w:p w14:paraId="76FEEDF7">
            <w:pPr>
              <w:pStyle w:val="24"/>
              <w:spacing w:before="78" w:line="220" w:lineRule="auto"/>
              <w:ind w:left="662"/>
              <w:rPr>
                <w:highlight w:val="none"/>
              </w:rPr>
            </w:pPr>
            <w:r>
              <w:rPr>
                <w:spacing w:val="-7"/>
                <w:highlight w:val="none"/>
              </w:rPr>
              <w:t>质</w:t>
            </w:r>
            <w:r>
              <w:rPr>
                <w:spacing w:val="10"/>
                <w:highlight w:val="none"/>
              </w:rPr>
              <w:t xml:space="preserve"> </w:t>
            </w:r>
            <w:r>
              <w:rPr>
                <w:spacing w:val="-7"/>
                <w:highlight w:val="none"/>
              </w:rPr>
              <w:t>保</w:t>
            </w:r>
            <w:r>
              <w:rPr>
                <w:spacing w:val="12"/>
                <w:highlight w:val="none"/>
              </w:rPr>
              <w:t xml:space="preserve"> </w:t>
            </w:r>
            <w:r>
              <w:rPr>
                <w:spacing w:val="-7"/>
                <w:highlight w:val="none"/>
              </w:rPr>
              <w:t>期</w:t>
            </w:r>
          </w:p>
        </w:tc>
        <w:tc>
          <w:tcPr>
            <w:tcW w:w="6994" w:type="dxa"/>
            <w:vAlign w:val="top"/>
          </w:tcPr>
          <w:p w14:paraId="6B4AFB55">
            <w:pPr>
              <w:rPr>
                <w:rFonts w:ascii="Arial"/>
                <w:sz w:val="21"/>
                <w:highlight w:val="none"/>
              </w:rPr>
            </w:pPr>
          </w:p>
        </w:tc>
      </w:tr>
      <w:tr w14:paraId="68342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2266" w:type="dxa"/>
            <w:vAlign w:val="top"/>
          </w:tcPr>
          <w:p w14:paraId="7C903CEA">
            <w:pPr>
              <w:spacing w:line="368" w:lineRule="auto"/>
              <w:rPr>
                <w:rFonts w:ascii="Arial"/>
                <w:sz w:val="21"/>
                <w:highlight w:val="none"/>
              </w:rPr>
            </w:pPr>
          </w:p>
          <w:p w14:paraId="031CB425">
            <w:pPr>
              <w:pStyle w:val="24"/>
              <w:spacing w:before="78" w:line="220" w:lineRule="auto"/>
              <w:ind w:left="544"/>
              <w:rPr>
                <w:highlight w:val="none"/>
              </w:rPr>
            </w:pPr>
            <w:r>
              <w:rPr>
                <w:spacing w:val="-2"/>
                <w:highlight w:val="none"/>
              </w:rPr>
              <w:t>投标有效期</w:t>
            </w:r>
          </w:p>
        </w:tc>
        <w:tc>
          <w:tcPr>
            <w:tcW w:w="6994" w:type="dxa"/>
            <w:vAlign w:val="top"/>
          </w:tcPr>
          <w:p w14:paraId="65796FDF">
            <w:pPr>
              <w:spacing w:line="367" w:lineRule="auto"/>
              <w:rPr>
                <w:rFonts w:ascii="Arial"/>
                <w:sz w:val="21"/>
                <w:highlight w:val="none"/>
              </w:rPr>
            </w:pPr>
          </w:p>
          <w:p w14:paraId="22E6315E">
            <w:pPr>
              <w:pStyle w:val="24"/>
              <w:spacing w:before="78" w:line="220" w:lineRule="auto"/>
              <w:ind w:left="1699"/>
              <w:rPr>
                <w:highlight w:val="none"/>
              </w:rPr>
            </w:pPr>
            <w:r>
              <w:rPr>
                <w:spacing w:val="-1"/>
                <w:highlight w:val="none"/>
              </w:rPr>
              <w:t>投标文件递交截止之日起60日历天</w:t>
            </w:r>
          </w:p>
        </w:tc>
      </w:tr>
      <w:tr w14:paraId="6127B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6" w:type="dxa"/>
            <w:vAlign w:val="top"/>
          </w:tcPr>
          <w:p w14:paraId="1A853088">
            <w:pPr>
              <w:spacing w:line="367" w:lineRule="auto"/>
              <w:rPr>
                <w:rFonts w:ascii="Arial"/>
                <w:sz w:val="21"/>
                <w:highlight w:val="none"/>
              </w:rPr>
            </w:pPr>
          </w:p>
          <w:p w14:paraId="40BB3C4D">
            <w:pPr>
              <w:pStyle w:val="24"/>
              <w:spacing w:before="78" w:line="219" w:lineRule="auto"/>
              <w:ind w:left="64"/>
              <w:rPr>
                <w:highlight w:val="none"/>
              </w:rPr>
            </w:pPr>
            <w:r>
              <w:rPr>
                <w:spacing w:val="-2"/>
                <w:highlight w:val="none"/>
              </w:rPr>
              <w:t>投标货物品牌及型号</w:t>
            </w:r>
          </w:p>
        </w:tc>
        <w:tc>
          <w:tcPr>
            <w:tcW w:w="6994" w:type="dxa"/>
            <w:vAlign w:val="top"/>
          </w:tcPr>
          <w:p w14:paraId="6EE5B806">
            <w:pPr>
              <w:spacing w:line="367" w:lineRule="auto"/>
              <w:rPr>
                <w:rFonts w:ascii="Arial"/>
                <w:sz w:val="21"/>
                <w:highlight w:val="none"/>
              </w:rPr>
            </w:pPr>
          </w:p>
          <w:p w14:paraId="0F42BF89">
            <w:pPr>
              <w:pStyle w:val="24"/>
              <w:spacing w:before="78" w:line="220" w:lineRule="auto"/>
              <w:ind w:left="1466"/>
              <w:rPr>
                <w:highlight w:val="none"/>
              </w:rPr>
            </w:pPr>
            <w:r>
              <w:rPr>
                <w:spacing w:val="-13"/>
                <w:highlight w:val="none"/>
              </w:rPr>
              <w:t>品牌：</w:t>
            </w:r>
            <w:r>
              <w:rPr>
                <w:spacing w:val="1"/>
                <w:highlight w:val="none"/>
              </w:rPr>
              <w:t xml:space="preserve">           </w:t>
            </w:r>
            <w:r>
              <w:rPr>
                <w:spacing w:val="-13"/>
                <w:highlight w:val="none"/>
              </w:rPr>
              <w:t>型号：</w:t>
            </w:r>
          </w:p>
        </w:tc>
      </w:tr>
      <w:tr w14:paraId="6840B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2266" w:type="dxa"/>
            <w:vAlign w:val="top"/>
          </w:tcPr>
          <w:p w14:paraId="2181A552">
            <w:pPr>
              <w:spacing w:line="253" w:lineRule="auto"/>
              <w:rPr>
                <w:rFonts w:ascii="Arial"/>
                <w:sz w:val="21"/>
                <w:highlight w:val="none"/>
              </w:rPr>
            </w:pPr>
          </w:p>
          <w:p w14:paraId="71A562C1">
            <w:pPr>
              <w:pStyle w:val="24"/>
              <w:spacing w:before="78" w:line="222" w:lineRule="auto"/>
              <w:ind w:left="182"/>
              <w:rPr>
                <w:highlight w:val="none"/>
              </w:rPr>
            </w:pPr>
            <w:r>
              <w:rPr>
                <w:spacing w:val="-2"/>
                <w:highlight w:val="none"/>
              </w:rPr>
              <w:t>联系人及联系电话</w:t>
            </w:r>
          </w:p>
        </w:tc>
        <w:tc>
          <w:tcPr>
            <w:tcW w:w="6994" w:type="dxa"/>
            <w:vAlign w:val="top"/>
          </w:tcPr>
          <w:p w14:paraId="3A2A1616">
            <w:pPr>
              <w:rPr>
                <w:rFonts w:ascii="Arial"/>
                <w:sz w:val="21"/>
                <w:highlight w:val="none"/>
              </w:rPr>
            </w:pPr>
          </w:p>
        </w:tc>
      </w:tr>
      <w:tr w14:paraId="48D5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66" w:type="dxa"/>
            <w:vAlign w:val="top"/>
          </w:tcPr>
          <w:p w14:paraId="2802B352">
            <w:pPr>
              <w:pStyle w:val="24"/>
              <w:spacing w:before="225" w:line="221" w:lineRule="auto"/>
              <w:ind w:left="784"/>
              <w:rPr>
                <w:highlight w:val="none"/>
              </w:rPr>
            </w:pPr>
            <w:r>
              <w:rPr>
                <w:spacing w:val="-7"/>
                <w:highlight w:val="none"/>
              </w:rPr>
              <w:t>备</w:t>
            </w:r>
            <w:r>
              <w:rPr>
                <w:spacing w:val="5"/>
                <w:highlight w:val="none"/>
              </w:rPr>
              <w:t xml:space="preserve">  </w:t>
            </w:r>
            <w:r>
              <w:rPr>
                <w:spacing w:val="-7"/>
                <w:highlight w:val="none"/>
              </w:rPr>
              <w:t>注</w:t>
            </w:r>
          </w:p>
        </w:tc>
        <w:tc>
          <w:tcPr>
            <w:tcW w:w="6994" w:type="dxa"/>
            <w:vAlign w:val="top"/>
          </w:tcPr>
          <w:p w14:paraId="3BAE627E">
            <w:pPr>
              <w:rPr>
                <w:rFonts w:ascii="Arial"/>
                <w:sz w:val="21"/>
                <w:highlight w:val="none"/>
              </w:rPr>
            </w:pPr>
          </w:p>
        </w:tc>
      </w:tr>
    </w:tbl>
    <w:p w14:paraId="20519FAC">
      <w:pPr>
        <w:pStyle w:val="4"/>
        <w:spacing w:before="191" w:line="219" w:lineRule="auto"/>
        <w:ind w:left="5539"/>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77DABB8A">
      <w:pPr>
        <w:spacing w:line="260" w:lineRule="auto"/>
        <w:rPr>
          <w:rFonts w:ascii="Arial"/>
          <w:sz w:val="21"/>
          <w:highlight w:val="none"/>
        </w:rPr>
      </w:pPr>
    </w:p>
    <w:p w14:paraId="361C6106">
      <w:pPr>
        <w:pStyle w:val="4"/>
        <w:spacing w:before="78" w:line="219" w:lineRule="auto"/>
        <w:ind w:left="5180"/>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4302B807">
      <w:pPr>
        <w:spacing w:line="259" w:lineRule="auto"/>
        <w:rPr>
          <w:rFonts w:ascii="Arial"/>
          <w:sz w:val="21"/>
          <w:highlight w:val="none"/>
        </w:rPr>
      </w:pPr>
    </w:p>
    <w:p w14:paraId="6A997CB4">
      <w:pPr>
        <w:pStyle w:val="4"/>
        <w:spacing w:before="78" w:line="220" w:lineRule="auto"/>
        <w:ind w:left="5581"/>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1D2785DA">
      <w:pPr>
        <w:spacing w:line="220" w:lineRule="auto"/>
        <w:rPr>
          <w:sz w:val="24"/>
          <w:szCs w:val="24"/>
          <w:highlight w:val="none"/>
        </w:rPr>
        <w:sectPr>
          <w:footerReference r:id="rId31" w:type="default"/>
          <w:pgSz w:w="11907" w:h="16839"/>
          <w:pgMar w:top="1431" w:right="1317" w:bottom="1159" w:left="1322" w:header="0" w:footer="959" w:gutter="0"/>
          <w:cols w:space="720" w:num="1"/>
        </w:sectPr>
      </w:pPr>
    </w:p>
    <w:p w14:paraId="09E83364">
      <w:pPr>
        <w:pStyle w:val="4"/>
        <w:spacing w:before="218" w:line="218" w:lineRule="auto"/>
        <w:ind w:left="3670"/>
        <w:rPr>
          <w:sz w:val="24"/>
          <w:szCs w:val="24"/>
          <w:highlight w:val="none"/>
        </w:rPr>
      </w:pPr>
      <w:r>
        <w:rPr>
          <w:b/>
          <w:bCs/>
          <w:spacing w:val="-3"/>
          <w:sz w:val="24"/>
          <w:szCs w:val="24"/>
          <w:highlight w:val="none"/>
        </w:rPr>
        <w:t>投标报价明细表</w:t>
      </w:r>
      <w:r>
        <w:rPr>
          <w:spacing w:val="-3"/>
          <w:sz w:val="24"/>
          <w:szCs w:val="24"/>
          <w:highlight w:val="none"/>
        </w:rPr>
        <w:t>（格式）</w:t>
      </w:r>
    </w:p>
    <w:p w14:paraId="23B8E9FC">
      <w:pPr>
        <w:spacing w:before="32"/>
        <w:rPr>
          <w:highlight w:val="none"/>
        </w:rPr>
      </w:pPr>
    </w:p>
    <w:p w14:paraId="268D646B">
      <w:pPr>
        <w:spacing w:before="31"/>
        <w:rPr>
          <w:highlight w:val="none"/>
        </w:rPr>
      </w:pPr>
    </w:p>
    <w:tbl>
      <w:tblPr>
        <w:tblStyle w:val="23"/>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202"/>
        <w:gridCol w:w="689"/>
        <w:gridCol w:w="1202"/>
        <w:gridCol w:w="1099"/>
        <w:gridCol w:w="688"/>
        <w:gridCol w:w="686"/>
        <w:gridCol w:w="859"/>
        <w:gridCol w:w="864"/>
        <w:gridCol w:w="1379"/>
      </w:tblGrid>
      <w:tr w14:paraId="5579C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96" w:type="dxa"/>
            <w:vAlign w:val="top"/>
          </w:tcPr>
          <w:p w14:paraId="471BD44D">
            <w:pPr>
              <w:spacing w:line="281" w:lineRule="auto"/>
              <w:rPr>
                <w:rFonts w:ascii="Arial"/>
                <w:sz w:val="21"/>
                <w:highlight w:val="none"/>
              </w:rPr>
            </w:pPr>
          </w:p>
          <w:p w14:paraId="159FF81C">
            <w:pPr>
              <w:pStyle w:val="24"/>
              <w:spacing w:before="68" w:line="222" w:lineRule="auto"/>
              <w:ind w:left="191"/>
              <w:rPr>
                <w:sz w:val="21"/>
                <w:szCs w:val="21"/>
                <w:highlight w:val="none"/>
              </w:rPr>
            </w:pPr>
            <w:r>
              <w:rPr>
                <w:spacing w:val="-2"/>
                <w:sz w:val="21"/>
                <w:szCs w:val="21"/>
                <w:highlight w:val="none"/>
              </w:rPr>
              <w:t>序号</w:t>
            </w:r>
          </w:p>
        </w:tc>
        <w:tc>
          <w:tcPr>
            <w:tcW w:w="1202" w:type="dxa"/>
            <w:vAlign w:val="top"/>
          </w:tcPr>
          <w:p w14:paraId="02CA25B7">
            <w:pPr>
              <w:spacing w:line="281" w:lineRule="auto"/>
              <w:rPr>
                <w:rFonts w:ascii="Arial"/>
                <w:sz w:val="21"/>
                <w:highlight w:val="none"/>
              </w:rPr>
            </w:pPr>
          </w:p>
          <w:p w14:paraId="655713A8">
            <w:pPr>
              <w:pStyle w:val="24"/>
              <w:spacing w:before="68" w:line="222" w:lineRule="auto"/>
              <w:ind w:left="184"/>
              <w:rPr>
                <w:sz w:val="21"/>
                <w:szCs w:val="21"/>
                <w:highlight w:val="none"/>
              </w:rPr>
            </w:pPr>
            <w:r>
              <w:rPr>
                <w:spacing w:val="-3"/>
                <w:sz w:val="21"/>
                <w:szCs w:val="21"/>
                <w:highlight w:val="none"/>
              </w:rPr>
              <w:t>设备名称</w:t>
            </w:r>
          </w:p>
        </w:tc>
        <w:tc>
          <w:tcPr>
            <w:tcW w:w="689" w:type="dxa"/>
            <w:vAlign w:val="top"/>
          </w:tcPr>
          <w:p w14:paraId="6A3E741B">
            <w:pPr>
              <w:spacing w:line="280" w:lineRule="auto"/>
              <w:rPr>
                <w:rFonts w:ascii="Arial"/>
                <w:sz w:val="21"/>
                <w:highlight w:val="none"/>
              </w:rPr>
            </w:pPr>
          </w:p>
          <w:p w14:paraId="0DA2CED9">
            <w:pPr>
              <w:pStyle w:val="24"/>
              <w:spacing w:before="68" w:line="221" w:lineRule="auto"/>
              <w:ind w:left="129"/>
              <w:rPr>
                <w:sz w:val="21"/>
                <w:szCs w:val="21"/>
                <w:highlight w:val="none"/>
              </w:rPr>
            </w:pPr>
            <w:r>
              <w:rPr>
                <w:spacing w:val="-6"/>
                <w:sz w:val="21"/>
                <w:szCs w:val="21"/>
                <w:highlight w:val="none"/>
              </w:rPr>
              <w:t>品牌</w:t>
            </w:r>
          </w:p>
        </w:tc>
        <w:tc>
          <w:tcPr>
            <w:tcW w:w="1202" w:type="dxa"/>
            <w:vAlign w:val="top"/>
          </w:tcPr>
          <w:p w14:paraId="413BB863">
            <w:pPr>
              <w:spacing w:line="280" w:lineRule="auto"/>
              <w:rPr>
                <w:rFonts w:ascii="Arial"/>
                <w:sz w:val="21"/>
                <w:highlight w:val="none"/>
              </w:rPr>
            </w:pPr>
          </w:p>
          <w:p w14:paraId="4AB31EAF">
            <w:pPr>
              <w:pStyle w:val="24"/>
              <w:spacing w:before="68" w:line="221" w:lineRule="auto"/>
              <w:ind w:left="183"/>
              <w:rPr>
                <w:sz w:val="21"/>
                <w:szCs w:val="21"/>
                <w:highlight w:val="none"/>
              </w:rPr>
            </w:pPr>
            <w:r>
              <w:rPr>
                <w:spacing w:val="-2"/>
                <w:sz w:val="21"/>
                <w:szCs w:val="21"/>
                <w:highlight w:val="none"/>
              </w:rPr>
              <w:t>规格型号</w:t>
            </w:r>
          </w:p>
        </w:tc>
        <w:tc>
          <w:tcPr>
            <w:tcW w:w="1099" w:type="dxa"/>
            <w:tcBorders>
              <w:right w:val="single" w:color="000000" w:sz="4" w:space="0"/>
            </w:tcBorders>
            <w:vAlign w:val="top"/>
          </w:tcPr>
          <w:p w14:paraId="6E59CA8D">
            <w:pPr>
              <w:spacing w:line="280" w:lineRule="auto"/>
              <w:rPr>
                <w:rFonts w:ascii="Arial"/>
                <w:sz w:val="21"/>
                <w:highlight w:val="none"/>
              </w:rPr>
            </w:pPr>
          </w:p>
          <w:p w14:paraId="7E92A85C">
            <w:pPr>
              <w:pStyle w:val="24"/>
              <w:spacing w:before="68" w:line="221" w:lineRule="auto"/>
              <w:ind w:left="183"/>
              <w:rPr>
                <w:sz w:val="21"/>
                <w:szCs w:val="21"/>
                <w:highlight w:val="none"/>
              </w:rPr>
            </w:pPr>
            <w:r>
              <w:rPr>
                <w:spacing w:val="22"/>
                <w:sz w:val="21"/>
                <w:szCs w:val="21"/>
                <w:highlight w:val="none"/>
              </w:rPr>
              <w:t>原产地</w:t>
            </w:r>
          </w:p>
        </w:tc>
        <w:tc>
          <w:tcPr>
            <w:tcW w:w="688" w:type="dxa"/>
            <w:tcBorders>
              <w:left w:val="single" w:color="000000" w:sz="4" w:space="0"/>
            </w:tcBorders>
            <w:vAlign w:val="top"/>
          </w:tcPr>
          <w:p w14:paraId="5B646706">
            <w:pPr>
              <w:spacing w:line="281" w:lineRule="auto"/>
              <w:rPr>
                <w:rFonts w:ascii="Arial"/>
                <w:sz w:val="21"/>
                <w:highlight w:val="none"/>
              </w:rPr>
            </w:pPr>
          </w:p>
          <w:p w14:paraId="5841CA2A">
            <w:pPr>
              <w:pStyle w:val="24"/>
              <w:spacing w:before="68" w:line="221" w:lineRule="auto"/>
              <w:ind w:left="139"/>
              <w:rPr>
                <w:sz w:val="21"/>
                <w:szCs w:val="21"/>
                <w:highlight w:val="none"/>
              </w:rPr>
            </w:pPr>
            <w:r>
              <w:rPr>
                <w:spacing w:val="-2"/>
                <w:sz w:val="21"/>
                <w:szCs w:val="21"/>
                <w:highlight w:val="none"/>
              </w:rPr>
              <w:t>单位</w:t>
            </w:r>
          </w:p>
        </w:tc>
        <w:tc>
          <w:tcPr>
            <w:tcW w:w="686" w:type="dxa"/>
            <w:vAlign w:val="top"/>
          </w:tcPr>
          <w:p w14:paraId="4EDF0B3F">
            <w:pPr>
              <w:spacing w:line="280" w:lineRule="auto"/>
              <w:rPr>
                <w:rFonts w:ascii="Arial"/>
                <w:sz w:val="21"/>
                <w:highlight w:val="none"/>
              </w:rPr>
            </w:pPr>
          </w:p>
          <w:p w14:paraId="3050352C">
            <w:pPr>
              <w:pStyle w:val="24"/>
              <w:spacing w:before="68" w:line="221" w:lineRule="auto"/>
              <w:ind w:left="142"/>
              <w:rPr>
                <w:sz w:val="21"/>
                <w:szCs w:val="21"/>
                <w:highlight w:val="none"/>
              </w:rPr>
            </w:pPr>
            <w:r>
              <w:rPr>
                <w:spacing w:val="-2"/>
                <w:sz w:val="21"/>
                <w:szCs w:val="21"/>
                <w:highlight w:val="none"/>
              </w:rPr>
              <w:t>数量</w:t>
            </w:r>
          </w:p>
        </w:tc>
        <w:tc>
          <w:tcPr>
            <w:tcW w:w="859" w:type="dxa"/>
            <w:vAlign w:val="top"/>
          </w:tcPr>
          <w:p w14:paraId="6D316490">
            <w:pPr>
              <w:spacing w:line="281" w:lineRule="auto"/>
              <w:rPr>
                <w:rFonts w:ascii="Arial"/>
                <w:sz w:val="21"/>
                <w:highlight w:val="none"/>
              </w:rPr>
            </w:pPr>
          </w:p>
          <w:p w14:paraId="1A1ABF82">
            <w:pPr>
              <w:pStyle w:val="24"/>
              <w:spacing w:before="68" w:line="219" w:lineRule="auto"/>
              <w:ind w:left="227"/>
              <w:rPr>
                <w:sz w:val="21"/>
                <w:szCs w:val="21"/>
                <w:highlight w:val="none"/>
              </w:rPr>
            </w:pPr>
            <w:r>
              <w:rPr>
                <w:spacing w:val="-2"/>
                <w:sz w:val="21"/>
                <w:szCs w:val="21"/>
                <w:highlight w:val="none"/>
              </w:rPr>
              <w:t>单价</w:t>
            </w:r>
          </w:p>
        </w:tc>
        <w:tc>
          <w:tcPr>
            <w:tcW w:w="864" w:type="dxa"/>
            <w:vAlign w:val="top"/>
          </w:tcPr>
          <w:p w14:paraId="6F0DBCDB">
            <w:pPr>
              <w:spacing w:line="281" w:lineRule="auto"/>
              <w:rPr>
                <w:rFonts w:ascii="Arial"/>
                <w:sz w:val="21"/>
                <w:highlight w:val="none"/>
              </w:rPr>
            </w:pPr>
          </w:p>
          <w:p w14:paraId="2CC755C7">
            <w:pPr>
              <w:pStyle w:val="24"/>
              <w:spacing w:before="68" w:line="221" w:lineRule="auto"/>
              <w:ind w:left="123"/>
              <w:rPr>
                <w:sz w:val="21"/>
                <w:szCs w:val="21"/>
                <w:highlight w:val="none"/>
              </w:rPr>
            </w:pPr>
            <w:r>
              <w:rPr>
                <w:spacing w:val="-2"/>
                <w:sz w:val="21"/>
                <w:szCs w:val="21"/>
                <w:highlight w:val="none"/>
              </w:rPr>
              <w:t>质保期</w:t>
            </w:r>
          </w:p>
        </w:tc>
        <w:tc>
          <w:tcPr>
            <w:tcW w:w="1379" w:type="dxa"/>
            <w:vAlign w:val="top"/>
          </w:tcPr>
          <w:p w14:paraId="2320159C">
            <w:pPr>
              <w:spacing w:line="281" w:lineRule="auto"/>
              <w:rPr>
                <w:rFonts w:ascii="Arial"/>
                <w:sz w:val="21"/>
                <w:highlight w:val="none"/>
              </w:rPr>
            </w:pPr>
          </w:p>
          <w:p w14:paraId="2632094F">
            <w:pPr>
              <w:pStyle w:val="24"/>
              <w:spacing w:before="68" w:line="219" w:lineRule="auto"/>
              <w:ind w:left="488"/>
              <w:rPr>
                <w:sz w:val="21"/>
                <w:szCs w:val="21"/>
                <w:highlight w:val="none"/>
              </w:rPr>
            </w:pPr>
            <w:r>
              <w:rPr>
                <w:spacing w:val="-3"/>
                <w:sz w:val="21"/>
                <w:szCs w:val="21"/>
                <w:highlight w:val="none"/>
              </w:rPr>
              <w:t>总价</w:t>
            </w:r>
          </w:p>
        </w:tc>
      </w:tr>
      <w:tr w14:paraId="27A2C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96" w:type="dxa"/>
            <w:vAlign w:val="top"/>
          </w:tcPr>
          <w:p w14:paraId="273834A4">
            <w:pPr>
              <w:rPr>
                <w:rFonts w:ascii="Arial"/>
                <w:sz w:val="21"/>
                <w:highlight w:val="none"/>
              </w:rPr>
            </w:pPr>
          </w:p>
        </w:tc>
        <w:tc>
          <w:tcPr>
            <w:tcW w:w="1202" w:type="dxa"/>
            <w:vAlign w:val="top"/>
          </w:tcPr>
          <w:p w14:paraId="7C713C7D">
            <w:pPr>
              <w:rPr>
                <w:rFonts w:ascii="Arial"/>
                <w:sz w:val="21"/>
                <w:highlight w:val="none"/>
              </w:rPr>
            </w:pPr>
          </w:p>
        </w:tc>
        <w:tc>
          <w:tcPr>
            <w:tcW w:w="689" w:type="dxa"/>
            <w:vAlign w:val="top"/>
          </w:tcPr>
          <w:p w14:paraId="5FCEB1C8">
            <w:pPr>
              <w:rPr>
                <w:rFonts w:ascii="Arial"/>
                <w:sz w:val="21"/>
                <w:highlight w:val="none"/>
              </w:rPr>
            </w:pPr>
          </w:p>
        </w:tc>
        <w:tc>
          <w:tcPr>
            <w:tcW w:w="1202" w:type="dxa"/>
            <w:vAlign w:val="top"/>
          </w:tcPr>
          <w:p w14:paraId="56C2DAB9">
            <w:pPr>
              <w:rPr>
                <w:rFonts w:ascii="Arial"/>
                <w:sz w:val="21"/>
                <w:highlight w:val="none"/>
              </w:rPr>
            </w:pPr>
          </w:p>
        </w:tc>
        <w:tc>
          <w:tcPr>
            <w:tcW w:w="1099" w:type="dxa"/>
            <w:tcBorders>
              <w:right w:val="single" w:color="000000" w:sz="4" w:space="0"/>
            </w:tcBorders>
            <w:vAlign w:val="top"/>
          </w:tcPr>
          <w:p w14:paraId="4929ABBB">
            <w:pPr>
              <w:rPr>
                <w:rFonts w:ascii="Arial"/>
                <w:sz w:val="21"/>
                <w:highlight w:val="none"/>
              </w:rPr>
            </w:pPr>
          </w:p>
        </w:tc>
        <w:tc>
          <w:tcPr>
            <w:tcW w:w="688" w:type="dxa"/>
            <w:tcBorders>
              <w:left w:val="single" w:color="000000" w:sz="4" w:space="0"/>
            </w:tcBorders>
            <w:vAlign w:val="top"/>
          </w:tcPr>
          <w:p w14:paraId="659B2AE4">
            <w:pPr>
              <w:rPr>
                <w:rFonts w:ascii="Arial"/>
                <w:sz w:val="21"/>
                <w:highlight w:val="none"/>
              </w:rPr>
            </w:pPr>
          </w:p>
        </w:tc>
        <w:tc>
          <w:tcPr>
            <w:tcW w:w="686" w:type="dxa"/>
            <w:vAlign w:val="top"/>
          </w:tcPr>
          <w:p w14:paraId="01CB5659">
            <w:pPr>
              <w:rPr>
                <w:rFonts w:ascii="Arial"/>
                <w:sz w:val="21"/>
                <w:highlight w:val="none"/>
              </w:rPr>
            </w:pPr>
          </w:p>
        </w:tc>
        <w:tc>
          <w:tcPr>
            <w:tcW w:w="859" w:type="dxa"/>
            <w:vAlign w:val="top"/>
          </w:tcPr>
          <w:p w14:paraId="5B523106">
            <w:pPr>
              <w:rPr>
                <w:rFonts w:ascii="Arial"/>
                <w:sz w:val="21"/>
                <w:highlight w:val="none"/>
              </w:rPr>
            </w:pPr>
          </w:p>
        </w:tc>
        <w:tc>
          <w:tcPr>
            <w:tcW w:w="864" w:type="dxa"/>
            <w:vAlign w:val="top"/>
          </w:tcPr>
          <w:p w14:paraId="32C80EFE">
            <w:pPr>
              <w:rPr>
                <w:rFonts w:ascii="Arial"/>
                <w:sz w:val="21"/>
                <w:highlight w:val="none"/>
              </w:rPr>
            </w:pPr>
          </w:p>
        </w:tc>
        <w:tc>
          <w:tcPr>
            <w:tcW w:w="1379" w:type="dxa"/>
            <w:vAlign w:val="top"/>
          </w:tcPr>
          <w:p w14:paraId="40076724">
            <w:pPr>
              <w:rPr>
                <w:rFonts w:ascii="Arial"/>
                <w:sz w:val="21"/>
                <w:highlight w:val="none"/>
              </w:rPr>
            </w:pPr>
          </w:p>
        </w:tc>
      </w:tr>
      <w:tr w14:paraId="4A399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6" w:type="dxa"/>
            <w:vAlign w:val="top"/>
          </w:tcPr>
          <w:p w14:paraId="607C9FD3">
            <w:pPr>
              <w:rPr>
                <w:rFonts w:ascii="Arial"/>
                <w:sz w:val="21"/>
                <w:highlight w:val="none"/>
              </w:rPr>
            </w:pPr>
          </w:p>
        </w:tc>
        <w:tc>
          <w:tcPr>
            <w:tcW w:w="1202" w:type="dxa"/>
            <w:vAlign w:val="top"/>
          </w:tcPr>
          <w:p w14:paraId="20D0BFE9">
            <w:pPr>
              <w:rPr>
                <w:rFonts w:ascii="Arial"/>
                <w:sz w:val="21"/>
                <w:highlight w:val="none"/>
              </w:rPr>
            </w:pPr>
          </w:p>
        </w:tc>
        <w:tc>
          <w:tcPr>
            <w:tcW w:w="689" w:type="dxa"/>
            <w:vAlign w:val="top"/>
          </w:tcPr>
          <w:p w14:paraId="6FA3F25B">
            <w:pPr>
              <w:rPr>
                <w:rFonts w:ascii="Arial"/>
                <w:sz w:val="21"/>
                <w:highlight w:val="none"/>
              </w:rPr>
            </w:pPr>
          </w:p>
        </w:tc>
        <w:tc>
          <w:tcPr>
            <w:tcW w:w="1202" w:type="dxa"/>
            <w:vAlign w:val="top"/>
          </w:tcPr>
          <w:p w14:paraId="10E3B819">
            <w:pPr>
              <w:rPr>
                <w:rFonts w:ascii="Arial"/>
                <w:sz w:val="21"/>
                <w:highlight w:val="none"/>
              </w:rPr>
            </w:pPr>
          </w:p>
        </w:tc>
        <w:tc>
          <w:tcPr>
            <w:tcW w:w="1099" w:type="dxa"/>
            <w:tcBorders>
              <w:right w:val="single" w:color="000000" w:sz="4" w:space="0"/>
            </w:tcBorders>
            <w:vAlign w:val="top"/>
          </w:tcPr>
          <w:p w14:paraId="784BB5C7">
            <w:pPr>
              <w:rPr>
                <w:rFonts w:ascii="Arial"/>
                <w:sz w:val="21"/>
                <w:highlight w:val="none"/>
              </w:rPr>
            </w:pPr>
          </w:p>
        </w:tc>
        <w:tc>
          <w:tcPr>
            <w:tcW w:w="688" w:type="dxa"/>
            <w:tcBorders>
              <w:left w:val="single" w:color="000000" w:sz="4" w:space="0"/>
            </w:tcBorders>
            <w:vAlign w:val="top"/>
          </w:tcPr>
          <w:p w14:paraId="1DEAC8A0">
            <w:pPr>
              <w:rPr>
                <w:rFonts w:ascii="Arial"/>
                <w:sz w:val="21"/>
                <w:highlight w:val="none"/>
              </w:rPr>
            </w:pPr>
          </w:p>
        </w:tc>
        <w:tc>
          <w:tcPr>
            <w:tcW w:w="686" w:type="dxa"/>
            <w:vAlign w:val="top"/>
          </w:tcPr>
          <w:p w14:paraId="5EB5D145">
            <w:pPr>
              <w:rPr>
                <w:rFonts w:ascii="Arial"/>
                <w:sz w:val="21"/>
                <w:highlight w:val="none"/>
              </w:rPr>
            </w:pPr>
          </w:p>
        </w:tc>
        <w:tc>
          <w:tcPr>
            <w:tcW w:w="859" w:type="dxa"/>
            <w:vAlign w:val="top"/>
          </w:tcPr>
          <w:p w14:paraId="4771C51E">
            <w:pPr>
              <w:rPr>
                <w:rFonts w:ascii="Arial"/>
                <w:sz w:val="21"/>
                <w:highlight w:val="none"/>
              </w:rPr>
            </w:pPr>
          </w:p>
        </w:tc>
        <w:tc>
          <w:tcPr>
            <w:tcW w:w="864" w:type="dxa"/>
            <w:vAlign w:val="top"/>
          </w:tcPr>
          <w:p w14:paraId="10A22C98">
            <w:pPr>
              <w:rPr>
                <w:rFonts w:ascii="Arial"/>
                <w:sz w:val="21"/>
                <w:highlight w:val="none"/>
              </w:rPr>
            </w:pPr>
          </w:p>
        </w:tc>
        <w:tc>
          <w:tcPr>
            <w:tcW w:w="1379" w:type="dxa"/>
            <w:vAlign w:val="top"/>
          </w:tcPr>
          <w:p w14:paraId="2B1A6C33">
            <w:pPr>
              <w:rPr>
                <w:rFonts w:ascii="Arial"/>
                <w:sz w:val="21"/>
                <w:highlight w:val="none"/>
              </w:rPr>
            </w:pPr>
          </w:p>
        </w:tc>
      </w:tr>
      <w:tr w14:paraId="435F6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96" w:type="dxa"/>
            <w:vAlign w:val="top"/>
          </w:tcPr>
          <w:p w14:paraId="63FD96CC">
            <w:pPr>
              <w:rPr>
                <w:rFonts w:ascii="Arial"/>
                <w:sz w:val="21"/>
                <w:highlight w:val="none"/>
              </w:rPr>
            </w:pPr>
          </w:p>
        </w:tc>
        <w:tc>
          <w:tcPr>
            <w:tcW w:w="1202" w:type="dxa"/>
            <w:vAlign w:val="top"/>
          </w:tcPr>
          <w:p w14:paraId="1B3CF5B2">
            <w:pPr>
              <w:rPr>
                <w:rFonts w:ascii="Arial"/>
                <w:sz w:val="21"/>
                <w:highlight w:val="none"/>
              </w:rPr>
            </w:pPr>
          </w:p>
        </w:tc>
        <w:tc>
          <w:tcPr>
            <w:tcW w:w="689" w:type="dxa"/>
            <w:vAlign w:val="top"/>
          </w:tcPr>
          <w:p w14:paraId="46FFA66E">
            <w:pPr>
              <w:rPr>
                <w:rFonts w:ascii="Arial"/>
                <w:sz w:val="21"/>
                <w:highlight w:val="none"/>
              </w:rPr>
            </w:pPr>
          </w:p>
        </w:tc>
        <w:tc>
          <w:tcPr>
            <w:tcW w:w="1202" w:type="dxa"/>
            <w:vAlign w:val="top"/>
          </w:tcPr>
          <w:p w14:paraId="6B428A9D">
            <w:pPr>
              <w:rPr>
                <w:rFonts w:ascii="Arial"/>
                <w:sz w:val="21"/>
                <w:highlight w:val="none"/>
              </w:rPr>
            </w:pPr>
          </w:p>
        </w:tc>
        <w:tc>
          <w:tcPr>
            <w:tcW w:w="1099" w:type="dxa"/>
            <w:tcBorders>
              <w:right w:val="single" w:color="000000" w:sz="4" w:space="0"/>
            </w:tcBorders>
            <w:vAlign w:val="top"/>
          </w:tcPr>
          <w:p w14:paraId="6E114981">
            <w:pPr>
              <w:rPr>
                <w:rFonts w:ascii="Arial"/>
                <w:sz w:val="21"/>
                <w:highlight w:val="none"/>
              </w:rPr>
            </w:pPr>
          </w:p>
        </w:tc>
        <w:tc>
          <w:tcPr>
            <w:tcW w:w="688" w:type="dxa"/>
            <w:tcBorders>
              <w:left w:val="single" w:color="000000" w:sz="4" w:space="0"/>
            </w:tcBorders>
            <w:vAlign w:val="top"/>
          </w:tcPr>
          <w:p w14:paraId="7C8CAC59">
            <w:pPr>
              <w:rPr>
                <w:rFonts w:ascii="Arial"/>
                <w:sz w:val="21"/>
                <w:highlight w:val="none"/>
              </w:rPr>
            </w:pPr>
          </w:p>
        </w:tc>
        <w:tc>
          <w:tcPr>
            <w:tcW w:w="686" w:type="dxa"/>
            <w:vAlign w:val="top"/>
          </w:tcPr>
          <w:p w14:paraId="685DC0D3">
            <w:pPr>
              <w:rPr>
                <w:rFonts w:ascii="Arial"/>
                <w:sz w:val="21"/>
                <w:highlight w:val="none"/>
              </w:rPr>
            </w:pPr>
          </w:p>
        </w:tc>
        <w:tc>
          <w:tcPr>
            <w:tcW w:w="859" w:type="dxa"/>
            <w:vAlign w:val="top"/>
          </w:tcPr>
          <w:p w14:paraId="2239E409">
            <w:pPr>
              <w:rPr>
                <w:rFonts w:ascii="Arial"/>
                <w:sz w:val="21"/>
                <w:highlight w:val="none"/>
              </w:rPr>
            </w:pPr>
          </w:p>
        </w:tc>
        <w:tc>
          <w:tcPr>
            <w:tcW w:w="864" w:type="dxa"/>
            <w:vAlign w:val="top"/>
          </w:tcPr>
          <w:p w14:paraId="7D9683BD">
            <w:pPr>
              <w:rPr>
                <w:rFonts w:ascii="Arial"/>
                <w:sz w:val="21"/>
                <w:highlight w:val="none"/>
              </w:rPr>
            </w:pPr>
          </w:p>
        </w:tc>
        <w:tc>
          <w:tcPr>
            <w:tcW w:w="1379" w:type="dxa"/>
            <w:vAlign w:val="top"/>
          </w:tcPr>
          <w:p w14:paraId="71196DA2">
            <w:pPr>
              <w:rPr>
                <w:rFonts w:ascii="Arial"/>
                <w:sz w:val="21"/>
                <w:highlight w:val="none"/>
              </w:rPr>
            </w:pPr>
          </w:p>
        </w:tc>
      </w:tr>
      <w:tr w14:paraId="06986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6" w:type="dxa"/>
            <w:vAlign w:val="top"/>
          </w:tcPr>
          <w:p w14:paraId="3A06309B">
            <w:pPr>
              <w:rPr>
                <w:rFonts w:ascii="Arial"/>
                <w:sz w:val="21"/>
                <w:highlight w:val="none"/>
              </w:rPr>
            </w:pPr>
          </w:p>
        </w:tc>
        <w:tc>
          <w:tcPr>
            <w:tcW w:w="1202" w:type="dxa"/>
            <w:vAlign w:val="top"/>
          </w:tcPr>
          <w:p w14:paraId="58BB4D7B">
            <w:pPr>
              <w:rPr>
                <w:rFonts w:ascii="Arial"/>
                <w:sz w:val="21"/>
                <w:highlight w:val="none"/>
              </w:rPr>
            </w:pPr>
          </w:p>
        </w:tc>
        <w:tc>
          <w:tcPr>
            <w:tcW w:w="689" w:type="dxa"/>
            <w:vAlign w:val="top"/>
          </w:tcPr>
          <w:p w14:paraId="43B959AD">
            <w:pPr>
              <w:rPr>
                <w:rFonts w:ascii="Arial"/>
                <w:sz w:val="21"/>
                <w:highlight w:val="none"/>
              </w:rPr>
            </w:pPr>
          </w:p>
        </w:tc>
        <w:tc>
          <w:tcPr>
            <w:tcW w:w="1202" w:type="dxa"/>
            <w:vAlign w:val="top"/>
          </w:tcPr>
          <w:p w14:paraId="79D28B0C">
            <w:pPr>
              <w:rPr>
                <w:rFonts w:ascii="Arial"/>
                <w:sz w:val="21"/>
                <w:highlight w:val="none"/>
              </w:rPr>
            </w:pPr>
          </w:p>
        </w:tc>
        <w:tc>
          <w:tcPr>
            <w:tcW w:w="1099" w:type="dxa"/>
            <w:tcBorders>
              <w:right w:val="single" w:color="000000" w:sz="4" w:space="0"/>
            </w:tcBorders>
            <w:vAlign w:val="top"/>
          </w:tcPr>
          <w:p w14:paraId="2A5CC068">
            <w:pPr>
              <w:rPr>
                <w:rFonts w:ascii="Arial"/>
                <w:sz w:val="21"/>
                <w:highlight w:val="none"/>
              </w:rPr>
            </w:pPr>
          </w:p>
        </w:tc>
        <w:tc>
          <w:tcPr>
            <w:tcW w:w="688" w:type="dxa"/>
            <w:tcBorders>
              <w:left w:val="single" w:color="000000" w:sz="4" w:space="0"/>
            </w:tcBorders>
            <w:vAlign w:val="top"/>
          </w:tcPr>
          <w:p w14:paraId="2A62D3C9">
            <w:pPr>
              <w:rPr>
                <w:rFonts w:ascii="Arial"/>
                <w:sz w:val="21"/>
                <w:highlight w:val="none"/>
              </w:rPr>
            </w:pPr>
          </w:p>
        </w:tc>
        <w:tc>
          <w:tcPr>
            <w:tcW w:w="686" w:type="dxa"/>
            <w:vAlign w:val="top"/>
          </w:tcPr>
          <w:p w14:paraId="3BFF045E">
            <w:pPr>
              <w:rPr>
                <w:rFonts w:ascii="Arial"/>
                <w:sz w:val="21"/>
                <w:highlight w:val="none"/>
              </w:rPr>
            </w:pPr>
          </w:p>
        </w:tc>
        <w:tc>
          <w:tcPr>
            <w:tcW w:w="859" w:type="dxa"/>
            <w:vAlign w:val="top"/>
          </w:tcPr>
          <w:p w14:paraId="6C691980">
            <w:pPr>
              <w:rPr>
                <w:rFonts w:ascii="Arial"/>
                <w:sz w:val="21"/>
                <w:highlight w:val="none"/>
              </w:rPr>
            </w:pPr>
          </w:p>
        </w:tc>
        <w:tc>
          <w:tcPr>
            <w:tcW w:w="864" w:type="dxa"/>
            <w:vAlign w:val="top"/>
          </w:tcPr>
          <w:p w14:paraId="69CF75E9">
            <w:pPr>
              <w:rPr>
                <w:rFonts w:ascii="Arial"/>
                <w:sz w:val="21"/>
                <w:highlight w:val="none"/>
              </w:rPr>
            </w:pPr>
          </w:p>
        </w:tc>
        <w:tc>
          <w:tcPr>
            <w:tcW w:w="1379" w:type="dxa"/>
            <w:vAlign w:val="top"/>
          </w:tcPr>
          <w:p w14:paraId="33029F45">
            <w:pPr>
              <w:rPr>
                <w:rFonts w:ascii="Arial"/>
                <w:sz w:val="21"/>
                <w:highlight w:val="none"/>
              </w:rPr>
            </w:pPr>
          </w:p>
        </w:tc>
      </w:tr>
      <w:tr w14:paraId="55148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164C7EA8">
            <w:pPr>
              <w:rPr>
                <w:rFonts w:ascii="Arial"/>
                <w:sz w:val="21"/>
                <w:highlight w:val="none"/>
              </w:rPr>
            </w:pPr>
          </w:p>
        </w:tc>
        <w:tc>
          <w:tcPr>
            <w:tcW w:w="7289" w:type="dxa"/>
            <w:gridSpan w:val="8"/>
            <w:vAlign w:val="top"/>
          </w:tcPr>
          <w:p w14:paraId="5CC4D0CB">
            <w:pPr>
              <w:pStyle w:val="24"/>
              <w:spacing w:before="173" w:line="221" w:lineRule="auto"/>
              <w:ind w:left="110"/>
              <w:rPr>
                <w:sz w:val="21"/>
                <w:szCs w:val="21"/>
                <w:highlight w:val="none"/>
              </w:rPr>
            </w:pPr>
            <w:r>
              <w:rPr>
                <w:spacing w:val="-2"/>
                <w:sz w:val="21"/>
                <w:szCs w:val="21"/>
                <w:highlight w:val="none"/>
              </w:rPr>
              <w:t>技术服务费</w:t>
            </w:r>
          </w:p>
        </w:tc>
        <w:tc>
          <w:tcPr>
            <w:tcW w:w="1379" w:type="dxa"/>
            <w:vAlign w:val="top"/>
          </w:tcPr>
          <w:p w14:paraId="69FD07D0">
            <w:pPr>
              <w:rPr>
                <w:rFonts w:ascii="Arial"/>
                <w:sz w:val="21"/>
                <w:highlight w:val="none"/>
              </w:rPr>
            </w:pPr>
          </w:p>
        </w:tc>
      </w:tr>
      <w:tr w14:paraId="6220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4FF7B234">
            <w:pPr>
              <w:rPr>
                <w:rFonts w:ascii="Arial"/>
                <w:sz w:val="21"/>
                <w:highlight w:val="none"/>
              </w:rPr>
            </w:pPr>
          </w:p>
        </w:tc>
        <w:tc>
          <w:tcPr>
            <w:tcW w:w="7289" w:type="dxa"/>
            <w:gridSpan w:val="8"/>
            <w:vAlign w:val="top"/>
          </w:tcPr>
          <w:p w14:paraId="3BA9F602">
            <w:pPr>
              <w:pStyle w:val="24"/>
              <w:spacing w:before="174" w:line="221" w:lineRule="auto"/>
              <w:ind w:left="113"/>
              <w:rPr>
                <w:sz w:val="21"/>
                <w:szCs w:val="21"/>
                <w:highlight w:val="none"/>
              </w:rPr>
            </w:pPr>
            <w:r>
              <w:rPr>
                <w:spacing w:val="-2"/>
                <w:sz w:val="21"/>
                <w:szCs w:val="21"/>
                <w:highlight w:val="none"/>
              </w:rPr>
              <w:t>安装调试费</w:t>
            </w:r>
          </w:p>
        </w:tc>
        <w:tc>
          <w:tcPr>
            <w:tcW w:w="1379" w:type="dxa"/>
            <w:vAlign w:val="top"/>
          </w:tcPr>
          <w:p w14:paraId="685990D5">
            <w:pPr>
              <w:rPr>
                <w:rFonts w:ascii="Arial"/>
                <w:sz w:val="21"/>
                <w:highlight w:val="none"/>
              </w:rPr>
            </w:pPr>
          </w:p>
        </w:tc>
      </w:tr>
      <w:tr w14:paraId="787C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96" w:type="dxa"/>
            <w:vAlign w:val="top"/>
          </w:tcPr>
          <w:p w14:paraId="7B915C97">
            <w:pPr>
              <w:rPr>
                <w:rFonts w:ascii="Arial"/>
                <w:sz w:val="21"/>
                <w:highlight w:val="none"/>
              </w:rPr>
            </w:pPr>
          </w:p>
        </w:tc>
        <w:tc>
          <w:tcPr>
            <w:tcW w:w="7289" w:type="dxa"/>
            <w:gridSpan w:val="8"/>
            <w:vAlign w:val="top"/>
          </w:tcPr>
          <w:p w14:paraId="28222BF7">
            <w:pPr>
              <w:pStyle w:val="24"/>
              <w:spacing w:before="174" w:line="221" w:lineRule="auto"/>
              <w:ind w:left="108"/>
              <w:rPr>
                <w:sz w:val="21"/>
                <w:szCs w:val="21"/>
                <w:highlight w:val="none"/>
              </w:rPr>
            </w:pPr>
            <w:r>
              <w:rPr>
                <w:spacing w:val="-2"/>
                <w:sz w:val="21"/>
                <w:szCs w:val="21"/>
                <w:highlight w:val="none"/>
              </w:rPr>
              <w:t>税费</w:t>
            </w:r>
          </w:p>
        </w:tc>
        <w:tc>
          <w:tcPr>
            <w:tcW w:w="1379" w:type="dxa"/>
            <w:vAlign w:val="top"/>
          </w:tcPr>
          <w:p w14:paraId="0A8E9CF8">
            <w:pPr>
              <w:rPr>
                <w:rFonts w:ascii="Arial"/>
                <w:sz w:val="21"/>
                <w:highlight w:val="none"/>
              </w:rPr>
            </w:pPr>
          </w:p>
        </w:tc>
      </w:tr>
      <w:tr w14:paraId="2EA13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29D87D5A">
            <w:pPr>
              <w:rPr>
                <w:rFonts w:ascii="Arial"/>
                <w:sz w:val="21"/>
                <w:highlight w:val="none"/>
              </w:rPr>
            </w:pPr>
          </w:p>
        </w:tc>
        <w:tc>
          <w:tcPr>
            <w:tcW w:w="7289" w:type="dxa"/>
            <w:gridSpan w:val="8"/>
            <w:vAlign w:val="top"/>
          </w:tcPr>
          <w:p w14:paraId="12B848E6">
            <w:pPr>
              <w:pStyle w:val="24"/>
              <w:spacing w:before="177" w:line="221" w:lineRule="auto"/>
              <w:ind w:left="109"/>
              <w:rPr>
                <w:sz w:val="21"/>
                <w:szCs w:val="21"/>
                <w:highlight w:val="none"/>
              </w:rPr>
            </w:pPr>
            <w:r>
              <w:rPr>
                <w:spacing w:val="-1"/>
                <w:sz w:val="21"/>
                <w:szCs w:val="21"/>
                <w:highlight w:val="none"/>
              </w:rPr>
              <w:t>运输至最终目的运费及保险费等</w:t>
            </w:r>
          </w:p>
        </w:tc>
        <w:tc>
          <w:tcPr>
            <w:tcW w:w="1379" w:type="dxa"/>
            <w:vAlign w:val="top"/>
          </w:tcPr>
          <w:p w14:paraId="67706636">
            <w:pPr>
              <w:rPr>
                <w:rFonts w:ascii="Arial"/>
                <w:sz w:val="21"/>
                <w:highlight w:val="none"/>
              </w:rPr>
            </w:pPr>
          </w:p>
        </w:tc>
      </w:tr>
      <w:tr w14:paraId="0CBE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06BCAEEB">
            <w:pPr>
              <w:rPr>
                <w:rFonts w:ascii="Arial"/>
                <w:sz w:val="21"/>
                <w:highlight w:val="none"/>
              </w:rPr>
            </w:pPr>
          </w:p>
        </w:tc>
        <w:tc>
          <w:tcPr>
            <w:tcW w:w="7289" w:type="dxa"/>
            <w:gridSpan w:val="8"/>
            <w:vAlign w:val="top"/>
          </w:tcPr>
          <w:p w14:paraId="48D0BDFC">
            <w:pPr>
              <w:pStyle w:val="24"/>
              <w:spacing w:before="177" w:line="222" w:lineRule="auto"/>
              <w:ind w:left="110"/>
              <w:rPr>
                <w:sz w:val="21"/>
                <w:szCs w:val="21"/>
                <w:highlight w:val="none"/>
              </w:rPr>
            </w:pPr>
            <w:r>
              <w:rPr>
                <w:spacing w:val="-2"/>
                <w:sz w:val="21"/>
                <w:szCs w:val="21"/>
                <w:highlight w:val="none"/>
              </w:rPr>
              <w:t>其它</w:t>
            </w:r>
          </w:p>
        </w:tc>
        <w:tc>
          <w:tcPr>
            <w:tcW w:w="1379" w:type="dxa"/>
            <w:vAlign w:val="top"/>
          </w:tcPr>
          <w:p w14:paraId="52E666AD">
            <w:pPr>
              <w:rPr>
                <w:rFonts w:ascii="Arial"/>
                <w:sz w:val="21"/>
                <w:highlight w:val="none"/>
              </w:rPr>
            </w:pPr>
          </w:p>
        </w:tc>
      </w:tr>
      <w:tr w14:paraId="3F0E3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464" w:type="dxa"/>
            <w:gridSpan w:val="10"/>
            <w:vAlign w:val="top"/>
          </w:tcPr>
          <w:p w14:paraId="5F4AF120">
            <w:pPr>
              <w:pStyle w:val="24"/>
              <w:spacing w:before="175" w:line="219" w:lineRule="auto"/>
              <w:ind w:left="118"/>
              <w:rPr>
                <w:sz w:val="21"/>
                <w:szCs w:val="21"/>
                <w:highlight w:val="none"/>
              </w:rPr>
            </w:pPr>
            <w:r>
              <w:rPr>
                <w:spacing w:val="-4"/>
                <w:sz w:val="21"/>
                <w:szCs w:val="21"/>
                <w:highlight w:val="none"/>
              </w:rPr>
              <w:t>投标报价(人民币大写)：</w:t>
            </w:r>
            <w:r>
              <w:rPr>
                <w:spacing w:val="1"/>
                <w:sz w:val="21"/>
                <w:szCs w:val="21"/>
                <w:highlight w:val="none"/>
              </w:rPr>
              <w:t xml:space="preserve">                        </w:t>
            </w:r>
            <w:r>
              <w:rPr>
                <w:sz w:val="21"/>
                <w:szCs w:val="21"/>
                <w:highlight w:val="none"/>
              </w:rPr>
              <w:t xml:space="preserve">   </w:t>
            </w:r>
            <w:r>
              <w:rPr>
                <w:spacing w:val="-4"/>
                <w:sz w:val="21"/>
                <w:szCs w:val="21"/>
                <w:highlight w:val="none"/>
              </w:rPr>
              <w:t>￥</w:t>
            </w:r>
            <w:r>
              <w:rPr>
                <w:spacing w:val="3"/>
                <w:sz w:val="21"/>
                <w:szCs w:val="21"/>
                <w:highlight w:val="none"/>
              </w:rPr>
              <w:t xml:space="preserve">         </w:t>
            </w:r>
            <w:r>
              <w:rPr>
                <w:spacing w:val="-4"/>
                <w:sz w:val="21"/>
                <w:szCs w:val="21"/>
                <w:highlight w:val="none"/>
              </w:rPr>
              <w:t>元</w:t>
            </w:r>
          </w:p>
        </w:tc>
      </w:tr>
    </w:tbl>
    <w:p w14:paraId="619CC1D7">
      <w:pPr>
        <w:pStyle w:val="4"/>
        <w:spacing w:before="210" w:line="400" w:lineRule="auto"/>
        <w:ind w:left="122" w:right="355"/>
        <w:outlineLvl w:val="0"/>
        <w:rPr>
          <w:sz w:val="24"/>
          <w:szCs w:val="24"/>
          <w:highlight w:val="none"/>
        </w:rPr>
      </w:pPr>
      <w:r>
        <w:rPr>
          <w:sz w:val="24"/>
          <w:szCs w:val="24"/>
          <w:highlight w:val="none"/>
        </w:rPr>
        <w:t>注：1.所有价格以人民币表示。2.若总价与单价不符，以单价为准。</w:t>
      </w:r>
      <w:r>
        <w:rPr>
          <w:spacing w:val="-1"/>
          <w:sz w:val="24"/>
          <w:szCs w:val="24"/>
          <w:highlight w:val="none"/>
        </w:rPr>
        <w:t>3.选配/购项目不</w:t>
      </w:r>
      <w:r>
        <w:rPr>
          <w:spacing w:val="-3"/>
          <w:sz w:val="24"/>
          <w:szCs w:val="24"/>
          <w:highlight w:val="none"/>
        </w:rPr>
        <w:t>包括在本报价表内，应另附表说明（如有）。</w:t>
      </w:r>
    </w:p>
    <w:p w14:paraId="66F683A8">
      <w:pPr>
        <w:pStyle w:val="4"/>
        <w:spacing w:before="293" w:line="219" w:lineRule="auto"/>
        <w:ind w:left="5727"/>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19D3A2CB">
      <w:pPr>
        <w:spacing w:line="259" w:lineRule="auto"/>
        <w:rPr>
          <w:rFonts w:ascii="Arial"/>
          <w:sz w:val="21"/>
          <w:highlight w:val="none"/>
        </w:rPr>
      </w:pPr>
    </w:p>
    <w:p w14:paraId="542E1B13">
      <w:pPr>
        <w:pStyle w:val="4"/>
        <w:spacing w:before="78" w:line="219" w:lineRule="auto"/>
        <w:ind w:left="5428"/>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A883A8F">
      <w:pPr>
        <w:spacing w:line="259" w:lineRule="auto"/>
        <w:rPr>
          <w:rFonts w:ascii="Arial"/>
          <w:sz w:val="21"/>
          <w:highlight w:val="none"/>
        </w:rPr>
      </w:pPr>
    </w:p>
    <w:p w14:paraId="01F3A522">
      <w:pPr>
        <w:pStyle w:val="4"/>
        <w:spacing w:before="78" w:line="220" w:lineRule="auto"/>
        <w:ind w:left="5897"/>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25"/>
          <w:sz w:val="24"/>
          <w:szCs w:val="24"/>
          <w:highlight w:val="none"/>
        </w:rPr>
        <w:t xml:space="preserve">  </w:t>
      </w:r>
      <w:r>
        <w:rPr>
          <w:spacing w:val="-13"/>
          <w:sz w:val="24"/>
          <w:szCs w:val="24"/>
          <w:highlight w:val="none"/>
        </w:rPr>
        <w:t>日</w:t>
      </w:r>
    </w:p>
    <w:p w14:paraId="3C4FB41C">
      <w:pPr>
        <w:spacing w:line="220" w:lineRule="auto"/>
        <w:rPr>
          <w:sz w:val="24"/>
          <w:szCs w:val="24"/>
          <w:highlight w:val="none"/>
        </w:rPr>
        <w:sectPr>
          <w:footerReference r:id="rId32" w:type="default"/>
          <w:pgSz w:w="11907" w:h="16839"/>
          <w:pgMar w:top="1431" w:right="1130" w:bottom="1159" w:left="1306" w:header="0" w:footer="959" w:gutter="0"/>
          <w:cols w:space="720" w:num="1"/>
        </w:sectPr>
      </w:pPr>
    </w:p>
    <w:p w14:paraId="404BDA0A">
      <w:pPr>
        <w:pStyle w:val="4"/>
        <w:spacing w:before="159" w:line="225" w:lineRule="auto"/>
        <w:ind w:left="3573"/>
        <w:rPr>
          <w:highlight w:val="none"/>
        </w:rPr>
      </w:pPr>
      <w:r>
        <w:rPr>
          <w:b/>
          <w:bCs/>
          <w:spacing w:val="5"/>
          <w:highlight w:val="none"/>
        </w:rPr>
        <w:t>4.投标承诺函</w:t>
      </w:r>
    </w:p>
    <w:p w14:paraId="63F016BE">
      <w:pPr>
        <w:pStyle w:val="4"/>
        <w:spacing w:before="208" w:line="219" w:lineRule="auto"/>
        <w:ind w:left="1"/>
        <w:rPr>
          <w:sz w:val="24"/>
          <w:szCs w:val="24"/>
          <w:highlight w:val="none"/>
        </w:rPr>
      </w:pPr>
      <w:r>
        <w:rPr>
          <w:spacing w:val="-8"/>
          <w:sz w:val="24"/>
          <w:szCs w:val="24"/>
          <w:highlight w:val="none"/>
        </w:rPr>
        <w:t>致</w:t>
      </w:r>
      <w:r>
        <w:rPr>
          <w:spacing w:val="-10"/>
          <w:sz w:val="24"/>
          <w:szCs w:val="24"/>
          <w:highlight w:val="none"/>
        </w:rPr>
        <w:t>：</w:t>
      </w:r>
      <w:r>
        <w:rPr>
          <w:spacing w:val="-10"/>
          <w:sz w:val="24"/>
          <w:szCs w:val="24"/>
          <w:highlight w:val="none"/>
          <w:u w:val="single" w:color="auto"/>
        </w:rPr>
        <w:t>（</w:t>
      </w:r>
      <w:r>
        <w:rPr>
          <w:spacing w:val="-8"/>
          <w:sz w:val="24"/>
          <w:szCs w:val="24"/>
          <w:highlight w:val="none"/>
          <w:u w:val="single" w:color="auto"/>
        </w:rPr>
        <w:t>采购人名称/代理机构名称）</w:t>
      </w:r>
      <w:r>
        <w:rPr>
          <w:sz w:val="24"/>
          <w:szCs w:val="24"/>
          <w:highlight w:val="none"/>
          <w:u w:val="single" w:color="auto"/>
        </w:rPr>
        <w:t xml:space="preserve">   </w:t>
      </w:r>
    </w:p>
    <w:p w14:paraId="67C05693">
      <w:pPr>
        <w:pStyle w:val="4"/>
        <w:spacing w:before="231" w:line="219" w:lineRule="auto"/>
        <w:ind w:left="483"/>
        <w:rPr>
          <w:sz w:val="24"/>
          <w:szCs w:val="24"/>
          <w:highlight w:val="none"/>
        </w:rPr>
      </w:pPr>
      <w:r>
        <w:rPr>
          <w:spacing w:val="-2"/>
          <w:sz w:val="24"/>
          <w:szCs w:val="24"/>
          <w:highlight w:val="none"/>
        </w:rPr>
        <w:t>我公司作为本次采购项目的投标供应商，根据招标文件要求，现郑重承诺如下：</w:t>
      </w:r>
    </w:p>
    <w:p w14:paraId="5AAE09A4">
      <w:pPr>
        <w:pStyle w:val="4"/>
        <w:spacing w:before="175" w:line="354" w:lineRule="auto"/>
        <w:ind w:left="4" w:right="2" w:firstLine="494"/>
        <w:rPr>
          <w:sz w:val="24"/>
          <w:szCs w:val="24"/>
          <w:highlight w:val="none"/>
        </w:rPr>
      </w:pPr>
      <w:r>
        <w:rPr>
          <w:spacing w:val="-2"/>
          <w:sz w:val="24"/>
          <w:szCs w:val="24"/>
          <w:highlight w:val="none"/>
        </w:rPr>
        <w:t>1.我方完全接受和满足本项目招标文件中规定的实质性要求，不存在对</w:t>
      </w:r>
      <w:r>
        <w:rPr>
          <w:spacing w:val="-3"/>
          <w:sz w:val="24"/>
          <w:szCs w:val="24"/>
          <w:highlight w:val="none"/>
        </w:rPr>
        <w:t>招标文件有</w:t>
      </w:r>
      <w:r>
        <w:rPr>
          <w:spacing w:val="-4"/>
          <w:sz w:val="24"/>
          <w:szCs w:val="24"/>
          <w:highlight w:val="none"/>
        </w:rPr>
        <w:t>异议的同时参加本次采购活动。</w:t>
      </w:r>
    </w:p>
    <w:p w14:paraId="63CCC877">
      <w:pPr>
        <w:pStyle w:val="4"/>
        <w:spacing w:before="1" w:line="353" w:lineRule="auto"/>
        <w:ind w:left="21" w:firstLine="463"/>
        <w:rPr>
          <w:sz w:val="24"/>
          <w:szCs w:val="24"/>
          <w:highlight w:val="none"/>
        </w:rPr>
      </w:pPr>
      <w:r>
        <w:rPr>
          <w:spacing w:val="-2"/>
          <w:sz w:val="24"/>
          <w:szCs w:val="24"/>
          <w:highlight w:val="none"/>
        </w:rPr>
        <w:t>2.参加本次采购活动，不存在与单位负责人为同一人或者存在直接控股、管理关系</w:t>
      </w:r>
      <w:r>
        <w:rPr>
          <w:spacing w:val="-3"/>
          <w:sz w:val="24"/>
          <w:szCs w:val="24"/>
          <w:highlight w:val="none"/>
        </w:rPr>
        <w:t>的其他供应商参与同一合同项下的政府采购活动的行为。</w:t>
      </w:r>
    </w:p>
    <w:p w14:paraId="783C0501">
      <w:pPr>
        <w:pStyle w:val="4"/>
        <w:spacing w:before="1" w:line="218" w:lineRule="auto"/>
        <w:ind w:left="486"/>
        <w:rPr>
          <w:sz w:val="24"/>
          <w:szCs w:val="24"/>
          <w:highlight w:val="none"/>
        </w:rPr>
      </w:pPr>
      <w:r>
        <w:rPr>
          <w:spacing w:val="-2"/>
          <w:sz w:val="24"/>
          <w:szCs w:val="24"/>
          <w:highlight w:val="none"/>
        </w:rPr>
        <w:t>3.我方参加政府采购活动无商业贿赂和不正当竞争行为。</w:t>
      </w:r>
    </w:p>
    <w:p w14:paraId="5FD38429">
      <w:pPr>
        <w:pStyle w:val="4"/>
        <w:spacing w:before="176" w:line="220" w:lineRule="auto"/>
        <w:ind w:left="480"/>
        <w:rPr>
          <w:sz w:val="24"/>
          <w:szCs w:val="24"/>
          <w:highlight w:val="none"/>
        </w:rPr>
      </w:pPr>
      <w:r>
        <w:rPr>
          <w:spacing w:val="-3"/>
          <w:sz w:val="24"/>
          <w:szCs w:val="24"/>
          <w:highlight w:val="none"/>
        </w:rPr>
        <w:t>4.存在以下行为之一的愿意接受相关部门的处理：</w:t>
      </w:r>
    </w:p>
    <w:p w14:paraId="296AFE23">
      <w:pPr>
        <w:pStyle w:val="4"/>
        <w:spacing w:before="175" w:line="220" w:lineRule="auto"/>
        <w:ind w:left="488"/>
        <w:rPr>
          <w:sz w:val="24"/>
          <w:szCs w:val="24"/>
          <w:highlight w:val="none"/>
        </w:rPr>
      </w:pPr>
      <w:r>
        <w:rPr>
          <w:spacing w:val="-5"/>
          <w:sz w:val="24"/>
          <w:szCs w:val="24"/>
          <w:highlight w:val="none"/>
        </w:rPr>
        <w:t>（1）投标有效期内撤回投标文件的；</w:t>
      </w:r>
    </w:p>
    <w:p w14:paraId="20D4980E">
      <w:pPr>
        <w:pStyle w:val="4"/>
        <w:spacing w:before="172" w:line="219" w:lineRule="auto"/>
        <w:ind w:left="488"/>
        <w:rPr>
          <w:sz w:val="24"/>
          <w:szCs w:val="24"/>
          <w:highlight w:val="none"/>
        </w:rPr>
      </w:pPr>
      <w:r>
        <w:rPr>
          <w:spacing w:val="-3"/>
          <w:sz w:val="24"/>
          <w:szCs w:val="24"/>
          <w:highlight w:val="none"/>
        </w:rPr>
        <w:t>（2）在采购人确定中标供应商以前放弃中标候选资格的；</w:t>
      </w:r>
    </w:p>
    <w:p w14:paraId="26B5162F">
      <w:pPr>
        <w:pStyle w:val="4"/>
        <w:spacing w:before="176" w:line="354" w:lineRule="auto"/>
        <w:ind w:right="5" w:firstLine="488"/>
        <w:rPr>
          <w:sz w:val="24"/>
          <w:szCs w:val="24"/>
          <w:highlight w:val="none"/>
        </w:rPr>
      </w:pPr>
      <w:r>
        <w:rPr>
          <w:spacing w:val="1"/>
          <w:sz w:val="24"/>
          <w:szCs w:val="24"/>
          <w:highlight w:val="none"/>
        </w:rPr>
        <w:t>（3）除不可抗力的因素外，由于中标供应商的原因未能按照招标文件的规定与采</w:t>
      </w:r>
      <w:r>
        <w:rPr>
          <w:spacing w:val="-8"/>
          <w:sz w:val="24"/>
          <w:szCs w:val="24"/>
          <w:highlight w:val="none"/>
        </w:rPr>
        <w:t>购人签订合同；</w:t>
      </w:r>
    </w:p>
    <w:p w14:paraId="48D3C1A0">
      <w:pPr>
        <w:pStyle w:val="4"/>
        <w:spacing w:before="1" w:line="218" w:lineRule="auto"/>
        <w:ind w:left="488"/>
        <w:rPr>
          <w:sz w:val="24"/>
          <w:szCs w:val="24"/>
          <w:highlight w:val="none"/>
        </w:rPr>
      </w:pPr>
      <w:r>
        <w:rPr>
          <w:spacing w:val="-4"/>
          <w:sz w:val="24"/>
          <w:szCs w:val="24"/>
          <w:highlight w:val="none"/>
        </w:rPr>
        <w:t>（4）在招标文件中提供虚假材料谋取中标；</w:t>
      </w:r>
    </w:p>
    <w:p w14:paraId="2F30AEB4">
      <w:pPr>
        <w:pStyle w:val="4"/>
        <w:spacing w:before="176" w:line="219" w:lineRule="auto"/>
        <w:ind w:left="488"/>
        <w:rPr>
          <w:sz w:val="24"/>
          <w:szCs w:val="24"/>
          <w:highlight w:val="none"/>
        </w:rPr>
      </w:pPr>
      <w:r>
        <w:rPr>
          <w:spacing w:val="-3"/>
          <w:sz w:val="24"/>
          <w:szCs w:val="24"/>
          <w:highlight w:val="none"/>
        </w:rPr>
        <w:t>（5）与采购人、其他供应商或者采购代理机构恶意串通的；</w:t>
      </w:r>
    </w:p>
    <w:p w14:paraId="043D2B93">
      <w:pPr>
        <w:pStyle w:val="4"/>
        <w:spacing w:before="176" w:line="219" w:lineRule="auto"/>
        <w:ind w:left="488"/>
        <w:rPr>
          <w:sz w:val="24"/>
          <w:szCs w:val="24"/>
          <w:highlight w:val="none"/>
        </w:rPr>
      </w:pPr>
      <w:r>
        <w:rPr>
          <w:spacing w:val="-1"/>
          <w:sz w:val="24"/>
          <w:szCs w:val="24"/>
          <w:highlight w:val="none"/>
        </w:rPr>
        <w:t>（6）投标有效期内，投标供应商在政府采</w:t>
      </w:r>
      <w:r>
        <w:rPr>
          <w:spacing w:val="-2"/>
          <w:sz w:val="24"/>
          <w:szCs w:val="24"/>
          <w:highlight w:val="none"/>
        </w:rPr>
        <w:t>购活动中有违法、违规、违纪行为。</w:t>
      </w:r>
    </w:p>
    <w:p w14:paraId="4F30DE43">
      <w:pPr>
        <w:pStyle w:val="4"/>
        <w:spacing w:before="175" w:line="354" w:lineRule="auto"/>
        <w:ind w:left="2" w:right="2" w:firstLine="508"/>
        <w:rPr>
          <w:sz w:val="24"/>
          <w:szCs w:val="24"/>
          <w:highlight w:val="none"/>
        </w:rPr>
      </w:pPr>
      <w:r>
        <w:rPr>
          <w:spacing w:val="-3"/>
          <w:sz w:val="24"/>
          <w:szCs w:val="24"/>
          <w:highlight w:val="none"/>
        </w:rPr>
        <w:t>由此产生的一切法律后果和责任由我公司承担。我公司声明放弃对此提出任何异议</w:t>
      </w:r>
      <w:r>
        <w:rPr>
          <w:spacing w:val="-6"/>
          <w:sz w:val="24"/>
          <w:szCs w:val="24"/>
          <w:highlight w:val="none"/>
        </w:rPr>
        <w:t>和追索的权利。</w:t>
      </w:r>
    </w:p>
    <w:p w14:paraId="406F8494">
      <w:pPr>
        <w:pStyle w:val="4"/>
        <w:spacing w:before="1" w:line="354" w:lineRule="auto"/>
        <w:ind w:left="1" w:right="15" w:firstLine="480"/>
        <w:rPr>
          <w:sz w:val="24"/>
          <w:szCs w:val="24"/>
          <w:highlight w:val="none"/>
        </w:rPr>
      </w:pPr>
      <w:r>
        <w:rPr>
          <w:spacing w:val="5"/>
          <w:sz w:val="24"/>
          <w:szCs w:val="24"/>
          <w:highlight w:val="none"/>
        </w:rPr>
        <w:t>本公司对上述承诺的内容事项真实性负责。如经查实上述</w:t>
      </w:r>
      <w:r>
        <w:rPr>
          <w:spacing w:val="4"/>
          <w:sz w:val="24"/>
          <w:szCs w:val="24"/>
          <w:highlight w:val="none"/>
        </w:rPr>
        <w:t>承诺的内容事项存在虚</w:t>
      </w:r>
      <w:r>
        <w:rPr>
          <w:spacing w:val="-2"/>
          <w:sz w:val="24"/>
          <w:szCs w:val="24"/>
          <w:highlight w:val="none"/>
        </w:rPr>
        <w:t>假，我公司愿意接受以提供虚假材料谋取中标追究法律责任。</w:t>
      </w:r>
    </w:p>
    <w:p w14:paraId="4829AD03">
      <w:pPr>
        <w:spacing w:line="416" w:lineRule="auto"/>
        <w:rPr>
          <w:rFonts w:ascii="Arial"/>
          <w:sz w:val="21"/>
          <w:highlight w:val="none"/>
        </w:rPr>
      </w:pPr>
    </w:p>
    <w:p w14:paraId="779E49AD">
      <w:pPr>
        <w:pStyle w:val="4"/>
        <w:spacing w:before="79" w:line="219" w:lineRule="auto"/>
        <w:ind w:left="5556"/>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61B75B30">
      <w:pPr>
        <w:spacing w:line="259" w:lineRule="auto"/>
        <w:rPr>
          <w:rFonts w:ascii="Arial"/>
          <w:sz w:val="21"/>
          <w:highlight w:val="none"/>
        </w:rPr>
      </w:pPr>
    </w:p>
    <w:p w14:paraId="5D4786A3">
      <w:pPr>
        <w:pStyle w:val="4"/>
        <w:spacing w:before="78" w:line="219" w:lineRule="auto"/>
        <w:ind w:left="5197"/>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24C610D">
      <w:pPr>
        <w:spacing w:line="259" w:lineRule="auto"/>
        <w:rPr>
          <w:rFonts w:ascii="Arial"/>
          <w:sz w:val="21"/>
          <w:highlight w:val="none"/>
        </w:rPr>
      </w:pPr>
    </w:p>
    <w:p w14:paraId="61C1963D">
      <w:pPr>
        <w:pStyle w:val="4"/>
        <w:spacing w:before="79" w:line="220" w:lineRule="auto"/>
        <w:ind w:left="5597"/>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8"/>
          <w:sz w:val="24"/>
          <w:szCs w:val="24"/>
          <w:highlight w:val="none"/>
        </w:rPr>
        <w:t xml:space="preserve">  </w:t>
      </w:r>
      <w:r>
        <w:rPr>
          <w:spacing w:val="-13"/>
          <w:sz w:val="24"/>
          <w:szCs w:val="24"/>
          <w:highlight w:val="none"/>
        </w:rPr>
        <w:t>月</w:t>
      </w:r>
      <w:r>
        <w:rPr>
          <w:spacing w:val="25"/>
          <w:sz w:val="24"/>
          <w:szCs w:val="24"/>
          <w:highlight w:val="none"/>
        </w:rPr>
        <w:t xml:space="preserve">  </w:t>
      </w:r>
      <w:r>
        <w:rPr>
          <w:spacing w:val="-13"/>
          <w:sz w:val="24"/>
          <w:szCs w:val="24"/>
          <w:highlight w:val="none"/>
        </w:rPr>
        <w:t>日</w:t>
      </w:r>
    </w:p>
    <w:p w14:paraId="7B00E9A8">
      <w:pPr>
        <w:spacing w:line="220" w:lineRule="auto"/>
        <w:rPr>
          <w:sz w:val="24"/>
          <w:szCs w:val="24"/>
          <w:highlight w:val="none"/>
        </w:rPr>
        <w:sectPr>
          <w:footerReference r:id="rId33" w:type="default"/>
          <w:pgSz w:w="11907" w:h="16839"/>
          <w:pgMar w:top="1431" w:right="1415" w:bottom="1159" w:left="1426" w:header="0" w:footer="959" w:gutter="0"/>
          <w:cols w:space="720" w:num="1"/>
        </w:sectPr>
      </w:pPr>
    </w:p>
    <w:p w14:paraId="3D029D30">
      <w:pPr>
        <w:pStyle w:val="4"/>
        <w:spacing w:before="160" w:line="224" w:lineRule="auto"/>
        <w:ind w:left="2767"/>
        <w:rPr>
          <w:highlight w:val="none"/>
        </w:rPr>
      </w:pPr>
      <w:r>
        <w:rPr>
          <w:b/>
          <w:bCs/>
          <w:spacing w:val="5"/>
          <w:highlight w:val="none"/>
        </w:rPr>
        <w:t>5.供应商资格审查证明文件</w:t>
      </w:r>
    </w:p>
    <w:p w14:paraId="7DCE7D1E">
      <w:pPr>
        <w:spacing w:line="247" w:lineRule="auto"/>
        <w:rPr>
          <w:rFonts w:ascii="Arial"/>
          <w:sz w:val="21"/>
          <w:highlight w:val="none"/>
        </w:rPr>
      </w:pPr>
    </w:p>
    <w:p w14:paraId="63B96987">
      <w:pPr>
        <w:spacing w:line="248" w:lineRule="auto"/>
        <w:rPr>
          <w:rFonts w:ascii="Arial"/>
          <w:sz w:val="21"/>
          <w:highlight w:val="none"/>
        </w:rPr>
      </w:pPr>
    </w:p>
    <w:p w14:paraId="651E7AB1">
      <w:pPr>
        <w:spacing w:line="248" w:lineRule="auto"/>
        <w:rPr>
          <w:rFonts w:ascii="Arial"/>
          <w:sz w:val="21"/>
          <w:highlight w:val="none"/>
        </w:rPr>
      </w:pPr>
    </w:p>
    <w:p w14:paraId="1B83FBFB">
      <w:pPr>
        <w:pStyle w:val="4"/>
        <w:spacing w:before="78" w:line="219" w:lineRule="auto"/>
        <w:ind w:left="18"/>
        <w:rPr>
          <w:sz w:val="24"/>
          <w:szCs w:val="24"/>
          <w:highlight w:val="none"/>
        </w:rPr>
      </w:pPr>
      <w:r>
        <w:rPr>
          <w:b/>
          <w:bCs/>
          <w:spacing w:val="-6"/>
          <w:sz w:val="24"/>
          <w:szCs w:val="24"/>
          <w:highlight w:val="none"/>
        </w:rPr>
        <w:t>附件一：</w:t>
      </w:r>
      <w:r>
        <w:rPr>
          <w:spacing w:val="-6"/>
          <w:sz w:val="24"/>
          <w:szCs w:val="24"/>
          <w:highlight w:val="none"/>
        </w:rPr>
        <w:t>有效的营业执照；</w:t>
      </w:r>
    </w:p>
    <w:p w14:paraId="767093B6">
      <w:pPr>
        <w:pStyle w:val="4"/>
        <w:spacing w:before="233" w:line="400" w:lineRule="auto"/>
        <w:ind w:left="999" w:hanging="981"/>
        <w:rPr>
          <w:sz w:val="24"/>
          <w:szCs w:val="24"/>
          <w:highlight w:val="none"/>
        </w:rPr>
      </w:pPr>
      <w:r>
        <w:rPr>
          <w:b/>
          <w:bCs/>
          <w:sz w:val="24"/>
          <w:szCs w:val="24"/>
          <w:highlight w:val="none"/>
        </w:rPr>
        <w:t>附件二：</w:t>
      </w:r>
      <w:r>
        <w:rPr>
          <w:sz w:val="24"/>
          <w:szCs w:val="24"/>
          <w:highlight w:val="none"/>
        </w:rPr>
        <w:t>供应商为代理商（经销商）的，应具有医疗器械经营许可证或医疗器械经营备</w:t>
      </w:r>
      <w:r>
        <w:rPr>
          <w:spacing w:val="-7"/>
          <w:sz w:val="24"/>
          <w:szCs w:val="24"/>
          <w:highlight w:val="none"/>
        </w:rPr>
        <w:t>案凭证（从事一类医疗器械经营活动的除外</w:t>
      </w:r>
      <w:r>
        <w:rPr>
          <w:spacing w:val="-2"/>
          <w:sz w:val="24"/>
          <w:szCs w:val="24"/>
          <w:highlight w:val="none"/>
        </w:rPr>
        <w:t>）；</w:t>
      </w:r>
      <w:r>
        <w:rPr>
          <w:spacing w:val="-7"/>
          <w:sz w:val="24"/>
          <w:szCs w:val="24"/>
          <w:highlight w:val="none"/>
        </w:rPr>
        <w:t>供应商为制造商时，应具有医疗</w:t>
      </w:r>
      <w:r>
        <w:rPr>
          <w:spacing w:val="-4"/>
          <w:sz w:val="24"/>
          <w:szCs w:val="24"/>
          <w:highlight w:val="none"/>
        </w:rPr>
        <w:t>器械生产许可证（从事第一类医疗器械生产的须具有备案凭证</w:t>
      </w:r>
      <w:r>
        <w:rPr>
          <w:spacing w:val="4"/>
          <w:sz w:val="24"/>
          <w:szCs w:val="24"/>
          <w:highlight w:val="none"/>
        </w:rPr>
        <w:t>）；</w:t>
      </w:r>
    </w:p>
    <w:p w14:paraId="610EA809">
      <w:pPr>
        <w:pStyle w:val="4"/>
        <w:spacing w:before="1" w:line="400" w:lineRule="auto"/>
        <w:ind w:left="983" w:right="1" w:hanging="965"/>
        <w:rPr>
          <w:sz w:val="24"/>
          <w:szCs w:val="24"/>
          <w:highlight w:val="none"/>
        </w:rPr>
      </w:pPr>
      <w:r>
        <w:rPr>
          <w:b/>
          <w:bCs/>
          <w:spacing w:val="5"/>
          <w:sz w:val="24"/>
          <w:szCs w:val="24"/>
          <w:highlight w:val="none"/>
        </w:rPr>
        <w:t>附件三：</w:t>
      </w:r>
      <w:r>
        <w:rPr>
          <w:spacing w:val="5"/>
          <w:sz w:val="24"/>
          <w:szCs w:val="24"/>
          <w:highlight w:val="none"/>
        </w:rPr>
        <w:t>根据《关于在政府采购活动中查询及使用信用记录有关</w:t>
      </w:r>
      <w:r>
        <w:rPr>
          <w:spacing w:val="4"/>
          <w:sz w:val="24"/>
          <w:szCs w:val="24"/>
          <w:highlight w:val="none"/>
        </w:rPr>
        <w:t>问题的通知》</w:t>
      </w:r>
      <w:r>
        <w:rPr>
          <w:spacing w:val="-44"/>
          <w:sz w:val="24"/>
          <w:szCs w:val="24"/>
          <w:highlight w:val="none"/>
        </w:rPr>
        <w:t xml:space="preserve"> </w:t>
      </w:r>
      <w:r>
        <w:rPr>
          <w:spacing w:val="4"/>
          <w:sz w:val="24"/>
          <w:szCs w:val="24"/>
          <w:highlight w:val="none"/>
        </w:rPr>
        <w:t>(财库</w:t>
      </w:r>
      <w:r>
        <w:rPr>
          <w:sz w:val="24"/>
          <w:szCs w:val="24"/>
          <w:highlight w:val="none"/>
        </w:rPr>
        <w:t xml:space="preserve"> </w:t>
      </w:r>
      <w:r>
        <w:rPr>
          <w:spacing w:val="2"/>
          <w:sz w:val="24"/>
          <w:szCs w:val="24"/>
          <w:highlight w:val="none"/>
        </w:rPr>
        <w:t>[</w:t>
      </w:r>
      <w:r>
        <w:rPr>
          <w:highlight w:val="none"/>
        </w:rPr>
        <w:fldChar w:fldCharType="begin"/>
      </w:r>
      <w:r>
        <w:rPr>
          <w:highlight w:val="none"/>
        </w:rPr>
        <w:instrText xml:space="preserve"> HYPERLINK \l "bookmark25" </w:instrText>
      </w:r>
      <w:r>
        <w:rPr>
          <w:highlight w:val="none"/>
        </w:rPr>
        <w:fldChar w:fldCharType="separate"/>
      </w:r>
      <w:r>
        <w:rPr>
          <w:spacing w:val="2"/>
          <w:sz w:val="24"/>
          <w:szCs w:val="24"/>
          <w:highlight w:val="none"/>
        </w:rPr>
        <w:t>2016</w:t>
      </w:r>
      <w:r>
        <w:rPr>
          <w:spacing w:val="2"/>
          <w:sz w:val="24"/>
          <w:szCs w:val="24"/>
          <w:highlight w:val="none"/>
        </w:rPr>
        <w:fldChar w:fldCharType="end"/>
      </w:r>
      <w:r>
        <w:rPr>
          <w:spacing w:val="2"/>
          <w:sz w:val="24"/>
          <w:szCs w:val="24"/>
          <w:highlight w:val="none"/>
        </w:rPr>
        <w:t>]125</w:t>
      </w:r>
      <w:r>
        <w:rPr>
          <w:spacing w:val="-23"/>
          <w:sz w:val="24"/>
          <w:szCs w:val="24"/>
          <w:highlight w:val="none"/>
        </w:rPr>
        <w:t xml:space="preserve"> </w:t>
      </w:r>
      <w:r>
        <w:rPr>
          <w:spacing w:val="2"/>
          <w:sz w:val="24"/>
          <w:szCs w:val="24"/>
          <w:highlight w:val="none"/>
        </w:rPr>
        <w:t>号)和豫财购【2016】15</w:t>
      </w:r>
      <w:r>
        <w:rPr>
          <w:spacing w:val="-38"/>
          <w:sz w:val="24"/>
          <w:szCs w:val="24"/>
          <w:highlight w:val="none"/>
        </w:rPr>
        <w:t xml:space="preserve"> </w:t>
      </w:r>
      <w:r>
        <w:rPr>
          <w:spacing w:val="2"/>
          <w:sz w:val="24"/>
          <w:szCs w:val="24"/>
          <w:highlight w:val="none"/>
        </w:rPr>
        <w:t>号的规定，企业没有被列入“信用中国”</w:t>
      </w:r>
      <w:r>
        <w:rPr>
          <w:spacing w:val="-3"/>
          <w:sz w:val="24"/>
          <w:szCs w:val="24"/>
          <w:highlight w:val="none"/>
        </w:rPr>
        <w:t>网站的“失信被执行人（跳转中国执行信息公开网）”和“重大税收违法</w:t>
      </w:r>
      <w:r>
        <w:rPr>
          <w:spacing w:val="-4"/>
          <w:sz w:val="24"/>
          <w:szCs w:val="24"/>
          <w:highlight w:val="none"/>
        </w:rPr>
        <w:t>失信</w:t>
      </w:r>
      <w:r>
        <w:rPr>
          <w:spacing w:val="-6"/>
          <w:sz w:val="24"/>
          <w:szCs w:val="24"/>
          <w:highlight w:val="none"/>
        </w:rPr>
        <w:t>主体”及“中国政府采购网”网站的“政府采购严重违法失</w:t>
      </w:r>
      <w:r>
        <w:rPr>
          <w:spacing w:val="-7"/>
          <w:sz w:val="24"/>
          <w:szCs w:val="24"/>
          <w:highlight w:val="none"/>
        </w:rPr>
        <w:t>信行为记录名单”，查询渠道：“中国执行信息公开网”网站（</w:t>
      </w:r>
      <w:r>
        <w:rPr>
          <w:highlight w:val="none"/>
        </w:rPr>
        <w:fldChar w:fldCharType="begin"/>
      </w:r>
      <w:r>
        <w:rPr>
          <w:highlight w:val="none"/>
        </w:rPr>
        <w:instrText xml:space="preserve"> HYPERLINK "http://zxgk.court.gov.cn/shixin" </w:instrText>
      </w:r>
      <w:r>
        <w:rPr>
          <w:highlight w:val="none"/>
        </w:rPr>
        <w:fldChar w:fldCharType="separate"/>
      </w:r>
      <w:r>
        <w:rPr>
          <w:spacing w:val="-7"/>
          <w:sz w:val="24"/>
          <w:szCs w:val="24"/>
          <w:highlight w:val="none"/>
        </w:rPr>
        <w:t>http://zxgk.court.gov.cn/shixin</w:t>
      </w:r>
      <w:r>
        <w:rPr>
          <w:spacing w:val="-7"/>
          <w:sz w:val="24"/>
          <w:szCs w:val="24"/>
          <w:highlight w:val="none"/>
        </w:rPr>
        <w:fldChar w:fldCharType="end"/>
      </w:r>
      <w:r>
        <w:rPr>
          <w:spacing w:val="-7"/>
          <w:sz w:val="24"/>
          <w:szCs w:val="24"/>
          <w:highlight w:val="none"/>
        </w:rPr>
        <w:t>）</w:t>
      </w:r>
      <w:r>
        <w:rPr>
          <w:spacing w:val="18"/>
          <w:sz w:val="24"/>
          <w:szCs w:val="24"/>
          <w:highlight w:val="none"/>
        </w:rPr>
        <w:t xml:space="preserve"> </w:t>
      </w:r>
      <w:r>
        <w:rPr>
          <w:spacing w:val="-9"/>
          <w:sz w:val="24"/>
          <w:szCs w:val="24"/>
          <w:highlight w:val="none"/>
        </w:rPr>
        <w:t>“</w:t>
      </w:r>
      <w:r>
        <w:rPr>
          <w:spacing w:val="-43"/>
          <w:sz w:val="24"/>
          <w:szCs w:val="24"/>
          <w:highlight w:val="none"/>
        </w:rPr>
        <w:t xml:space="preserve"> </w:t>
      </w:r>
      <w:r>
        <w:rPr>
          <w:spacing w:val="-9"/>
          <w:sz w:val="24"/>
          <w:szCs w:val="24"/>
          <w:highlight w:val="none"/>
        </w:rPr>
        <w:t>信</w:t>
      </w:r>
      <w:r>
        <w:rPr>
          <w:spacing w:val="-42"/>
          <w:sz w:val="24"/>
          <w:szCs w:val="24"/>
          <w:highlight w:val="none"/>
        </w:rPr>
        <w:t xml:space="preserve"> </w:t>
      </w:r>
      <w:r>
        <w:rPr>
          <w:spacing w:val="-9"/>
          <w:sz w:val="24"/>
          <w:szCs w:val="24"/>
          <w:highlight w:val="none"/>
        </w:rPr>
        <w:t>用 中 国 ”</w:t>
      </w:r>
      <w:r>
        <w:rPr>
          <w:spacing w:val="-57"/>
          <w:sz w:val="24"/>
          <w:szCs w:val="24"/>
          <w:highlight w:val="none"/>
        </w:rPr>
        <w:t xml:space="preserve"> </w:t>
      </w:r>
      <w:r>
        <w:rPr>
          <w:spacing w:val="-9"/>
          <w:sz w:val="24"/>
          <w:szCs w:val="24"/>
          <w:highlight w:val="none"/>
        </w:rPr>
        <w:t>网</w:t>
      </w:r>
      <w:r>
        <w:rPr>
          <w:spacing w:val="-40"/>
          <w:sz w:val="24"/>
          <w:szCs w:val="24"/>
          <w:highlight w:val="none"/>
        </w:rPr>
        <w:t xml:space="preserve"> </w:t>
      </w:r>
      <w:r>
        <w:rPr>
          <w:spacing w:val="-9"/>
          <w:sz w:val="24"/>
          <w:szCs w:val="24"/>
          <w:highlight w:val="none"/>
        </w:rPr>
        <w:t>站</w:t>
      </w:r>
      <w:r>
        <w:rPr>
          <w:spacing w:val="-53"/>
          <w:sz w:val="24"/>
          <w:szCs w:val="24"/>
          <w:highlight w:val="none"/>
        </w:rPr>
        <w:t xml:space="preserve"> </w:t>
      </w:r>
      <w:r>
        <w:rPr>
          <w:spacing w:val="-9"/>
          <w:sz w:val="24"/>
          <w:szCs w:val="24"/>
          <w:highlight w:val="none"/>
        </w:rPr>
        <w:t>（</w:t>
      </w:r>
      <w:r>
        <w:rPr>
          <w:spacing w:val="-15"/>
          <w:sz w:val="24"/>
          <w:szCs w:val="24"/>
          <w:highlight w:val="none"/>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spacing w:val="-9"/>
          <w:sz w:val="24"/>
          <w:szCs w:val="24"/>
          <w:highlight w:val="none"/>
        </w:rPr>
        <w:t>www.creditchina.gov.cn</w:t>
      </w:r>
      <w:r>
        <w:rPr>
          <w:spacing w:val="-9"/>
          <w:sz w:val="24"/>
          <w:szCs w:val="24"/>
          <w:highlight w:val="none"/>
        </w:rPr>
        <w:fldChar w:fldCharType="end"/>
      </w:r>
      <w:r>
        <w:rPr>
          <w:spacing w:val="-52"/>
          <w:sz w:val="24"/>
          <w:szCs w:val="24"/>
          <w:highlight w:val="none"/>
        </w:rPr>
        <w:t xml:space="preserve"> </w:t>
      </w:r>
      <w:r>
        <w:rPr>
          <w:spacing w:val="-9"/>
          <w:sz w:val="24"/>
          <w:szCs w:val="24"/>
          <w:highlight w:val="none"/>
        </w:rPr>
        <w:t>）</w:t>
      </w:r>
      <w:r>
        <w:rPr>
          <w:spacing w:val="-10"/>
          <w:sz w:val="24"/>
          <w:szCs w:val="24"/>
          <w:highlight w:val="none"/>
        </w:rPr>
        <w:t>、</w:t>
      </w:r>
      <w:r>
        <w:rPr>
          <w:spacing w:val="-21"/>
          <w:sz w:val="24"/>
          <w:szCs w:val="24"/>
          <w:highlight w:val="none"/>
        </w:rPr>
        <w:t xml:space="preserve"> </w:t>
      </w:r>
      <w:r>
        <w:rPr>
          <w:spacing w:val="-10"/>
          <w:sz w:val="24"/>
          <w:szCs w:val="24"/>
          <w:highlight w:val="none"/>
        </w:rPr>
        <w:t>中</w:t>
      </w:r>
      <w:r>
        <w:rPr>
          <w:spacing w:val="-20"/>
          <w:sz w:val="24"/>
          <w:szCs w:val="24"/>
          <w:highlight w:val="none"/>
        </w:rPr>
        <w:t xml:space="preserve"> </w:t>
      </w:r>
      <w:r>
        <w:rPr>
          <w:spacing w:val="-10"/>
          <w:sz w:val="24"/>
          <w:szCs w:val="24"/>
          <w:highlight w:val="none"/>
        </w:rPr>
        <w:t>国</w:t>
      </w:r>
      <w:r>
        <w:rPr>
          <w:spacing w:val="-45"/>
          <w:sz w:val="24"/>
          <w:szCs w:val="24"/>
          <w:highlight w:val="none"/>
        </w:rPr>
        <w:t xml:space="preserve"> </w:t>
      </w:r>
      <w:r>
        <w:rPr>
          <w:spacing w:val="-10"/>
          <w:sz w:val="24"/>
          <w:szCs w:val="24"/>
          <w:highlight w:val="none"/>
        </w:rPr>
        <w:t>政</w:t>
      </w:r>
      <w:r>
        <w:rPr>
          <w:spacing w:val="-42"/>
          <w:sz w:val="24"/>
          <w:szCs w:val="24"/>
          <w:highlight w:val="none"/>
        </w:rPr>
        <w:t xml:space="preserve"> </w:t>
      </w:r>
      <w:r>
        <w:rPr>
          <w:spacing w:val="-10"/>
          <w:sz w:val="24"/>
          <w:szCs w:val="24"/>
          <w:highlight w:val="none"/>
        </w:rPr>
        <w:t>府</w:t>
      </w:r>
      <w:r>
        <w:rPr>
          <w:spacing w:val="-45"/>
          <w:sz w:val="24"/>
          <w:szCs w:val="24"/>
          <w:highlight w:val="none"/>
        </w:rPr>
        <w:t xml:space="preserve"> </w:t>
      </w:r>
      <w:r>
        <w:rPr>
          <w:spacing w:val="-10"/>
          <w:sz w:val="24"/>
          <w:szCs w:val="24"/>
          <w:highlight w:val="none"/>
        </w:rPr>
        <w:t>采</w:t>
      </w:r>
      <w:r>
        <w:rPr>
          <w:spacing w:val="-45"/>
          <w:sz w:val="24"/>
          <w:szCs w:val="24"/>
          <w:highlight w:val="none"/>
        </w:rPr>
        <w:t xml:space="preserve"> </w:t>
      </w:r>
      <w:r>
        <w:rPr>
          <w:spacing w:val="-10"/>
          <w:sz w:val="24"/>
          <w:szCs w:val="24"/>
          <w:highlight w:val="none"/>
        </w:rPr>
        <w:t>购</w:t>
      </w:r>
      <w:r>
        <w:rPr>
          <w:spacing w:val="-25"/>
          <w:sz w:val="24"/>
          <w:szCs w:val="24"/>
          <w:highlight w:val="none"/>
        </w:rPr>
        <w:t xml:space="preserve"> </w:t>
      </w:r>
      <w:r>
        <w:rPr>
          <w:spacing w:val="-10"/>
          <w:sz w:val="24"/>
          <w:szCs w:val="24"/>
          <w:highlight w:val="none"/>
        </w:rPr>
        <w:t>网</w:t>
      </w:r>
      <w:r>
        <w:rPr>
          <w:sz w:val="24"/>
          <w:szCs w:val="24"/>
          <w:highlight w:val="none"/>
        </w:rPr>
        <w:t>（</w:t>
      </w:r>
      <w:r>
        <w:rPr>
          <w:highlight w:val="none"/>
        </w:rPr>
        <w:fldChar w:fldCharType="begin"/>
      </w:r>
      <w:r>
        <w:rPr>
          <w:highlight w:val="none"/>
        </w:rPr>
        <w:instrText xml:space="preserve"> HYPERLINK "https://www.ccgp.gov.cn" </w:instrText>
      </w:r>
      <w:r>
        <w:rPr>
          <w:highlight w:val="none"/>
        </w:rPr>
        <w:fldChar w:fldCharType="separate"/>
      </w:r>
      <w:r>
        <w:rPr>
          <w:sz w:val="24"/>
          <w:szCs w:val="24"/>
          <w:highlight w:val="none"/>
        </w:rPr>
        <w:t>www.ccgp.gov.cn</w:t>
      </w:r>
      <w:r>
        <w:rPr>
          <w:sz w:val="24"/>
          <w:szCs w:val="24"/>
          <w:highlight w:val="none"/>
        </w:rPr>
        <w:fldChar w:fldCharType="end"/>
      </w:r>
      <w:r>
        <w:rPr>
          <w:spacing w:val="-46"/>
          <w:w w:val="73"/>
          <w:sz w:val="24"/>
          <w:szCs w:val="24"/>
          <w:highlight w:val="none"/>
        </w:rPr>
        <w:t>），</w:t>
      </w:r>
      <w:r>
        <w:rPr>
          <w:sz w:val="24"/>
          <w:szCs w:val="24"/>
          <w:highlight w:val="none"/>
        </w:rPr>
        <w:t>采购人或招标代理机构将在开标后通过以上网站进</w:t>
      </w:r>
      <w:r>
        <w:rPr>
          <w:spacing w:val="-1"/>
          <w:sz w:val="24"/>
          <w:szCs w:val="24"/>
          <w:highlight w:val="none"/>
        </w:rPr>
        <w:t>行查</w:t>
      </w:r>
      <w:r>
        <w:rPr>
          <w:spacing w:val="-3"/>
          <w:sz w:val="24"/>
          <w:szCs w:val="24"/>
          <w:highlight w:val="none"/>
        </w:rPr>
        <w:t>询，信用信息查询记录和证据将同采购文件等资料一同归档保存（相关网站有</w:t>
      </w:r>
      <w:r>
        <w:rPr>
          <w:spacing w:val="-10"/>
          <w:sz w:val="24"/>
          <w:szCs w:val="24"/>
          <w:highlight w:val="none"/>
        </w:rPr>
        <w:t>最新规定的，按最新规定执行</w:t>
      </w:r>
      <w:r>
        <w:rPr>
          <w:sz w:val="24"/>
          <w:szCs w:val="24"/>
          <w:highlight w:val="none"/>
        </w:rPr>
        <w:t>）；</w:t>
      </w:r>
    </w:p>
    <w:p w14:paraId="08502017">
      <w:pPr>
        <w:pStyle w:val="4"/>
        <w:spacing w:before="1" w:line="218" w:lineRule="auto"/>
        <w:ind w:left="23"/>
        <w:rPr>
          <w:sz w:val="24"/>
          <w:szCs w:val="24"/>
          <w:highlight w:val="none"/>
        </w:rPr>
      </w:pPr>
      <w:r>
        <w:rPr>
          <w:b/>
          <w:bCs/>
          <w:spacing w:val="-4"/>
          <w:sz w:val="24"/>
          <w:szCs w:val="24"/>
          <w:highlight w:val="none"/>
        </w:rPr>
        <w:t>附件四：</w:t>
      </w:r>
      <w:r>
        <w:rPr>
          <w:spacing w:val="-4"/>
          <w:sz w:val="24"/>
          <w:szCs w:val="24"/>
          <w:highlight w:val="none"/>
        </w:rPr>
        <w:t>本企业无商业贿赂和不正当竞争行为的承诺书</w:t>
      </w:r>
      <w:r>
        <w:rPr>
          <w:b/>
          <w:bCs/>
          <w:spacing w:val="-5"/>
          <w:sz w:val="24"/>
          <w:szCs w:val="24"/>
          <w:highlight w:val="none"/>
        </w:rPr>
        <w:t>（后附格式）</w:t>
      </w:r>
      <w:r>
        <w:rPr>
          <w:spacing w:val="-5"/>
          <w:sz w:val="24"/>
          <w:szCs w:val="24"/>
          <w:highlight w:val="none"/>
        </w:rPr>
        <w:t>。</w:t>
      </w:r>
    </w:p>
    <w:p w14:paraId="05F4CAA8">
      <w:pPr>
        <w:pStyle w:val="4"/>
        <w:spacing w:before="236" w:line="219" w:lineRule="auto"/>
        <w:ind w:left="23"/>
        <w:rPr>
          <w:sz w:val="24"/>
          <w:szCs w:val="24"/>
          <w:highlight w:val="none"/>
        </w:rPr>
      </w:pPr>
      <w:r>
        <w:rPr>
          <w:b/>
          <w:bCs/>
          <w:spacing w:val="-3"/>
          <w:sz w:val="24"/>
          <w:szCs w:val="24"/>
          <w:highlight w:val="none"/>
        </w:rPr>
        <w:t>附件五：</w:t>
      </w:r>
      <w:r>
        <w:rPr>
          <w:spacing w:val="-3"/>
          <w:sz w:val="24"/>
          <w:szCs w:val="24"/>
          <w:highlight w:val="none"/>
        </w:rPr>
        <w:t>满足《中华人民共和国政府采购法》第二十二</w:t>
      </w:r>
      <w:r>
        <w:rPr>
          <w:spacing w:val="-4"/>
          <w:sz w:val="24"/>
          <w:szCs w:val="24"/>
          <w:highlight w:val="none"/>
        </w:rPr>
        <w:t>条规定；</w:t>
      </w:r>
    </w:p>
    <w:p w14:paraId="07EE7A81">
      <w:pPr>
        <w:pStyle w:val="4"/>
        <w:spacing w:before="235" w:line="220" w:lineRule="auto"/>
        <w:ind w:left="901"/>
        <w:rPr>
          <w:sz w:val="24"/>
          <w:szCs w:val="24"/>
          <w:highlight w:val="none"/>
        </w:rPr>
      </w:pPr>
      <w:r>
        <w:rPr>
          <w:spacing w:val="-7"/>
          <w:sz w:val="24"/>
          <w:szCs w:val="24"/>
          <w:highlight w:val="none"/>
        </w:rPr>
        <w:t>(一)具有独立承担民事责任的能力；</w:t>
      </w:r>
    </w:p>
    <w:p w14:paraId="1D6707C3">
      <w:pPr>
        <w:pStyle w:val="4"/>
        <w:spacing w:before="58" w:line="219" w:lineRule="auto"/>
        <w:ind w:left="901"/>
        <w:rPr>
          <w:sz w:val="24"/>
          <w:szCs w:val="24"/>
          <w:highlight w:val="none"/>
        </w:rPr>
      </w:pPr>
      <w:r>
        <w:rPr>
          <w:spacing w:val="-5"/>
          <w:sz w:val="24"/>
          <w:szCs w:val="24"/>
          <w:highlight w:val="none"/>
        </w:rPr>
        <w:t>(二)具有良好的商业信誉和健全的财务会计制度；</w:t>
      </w:r>
    </w:p>
    <w:p w14:paraId="2698DFA2">
      <w:pPr>
        <w:pStyle w:val="4"/>
        <w:spacing w:before="147" w:line="220" w:lineRule="auto"/>
        <w:ind w:left="901"/>
        <w:rPr>
          <w:sz w:val="24"/>
          <w:szCs w:val="24"/>
          <w:highlight w:val="none"/>
        </w:rPr>
      </w:pPr>
      <w:r>
        <w:rPr>
          <w:spacing w:val="-5"/>
          <w:sz w:val="24"/>
          <w:szCs w:val="24"/>
          <w:highlight w:val="none"/>
        </w:rPr>
        <w:t>(三)具有履行合同所必需的设备和专业技术能力；</w:t>
      </w:r>
    </w:p>
    <w:p w14:paraId="7B32D62B">
      <w:pPr>
        <w:pStyle w:val="4"/>
        <w:spacing w:before="146" w:line="219" w:lineRule="auto"/>
        <w:ind w:left="901"/>
        <w:rPr>
          <w:sz w:val="24"/>
          <w:szCs w:val="24"/>
          <w:highlight w:val="none"/>
        </w:rPr>
      </w:pPr>
      <w:r>
        <w:rPr>
          <w:spacing w:val="-5"/>
          <w:sz w:val="24"/>
          <w:szCs w:val="24"/>
          <w:highlight w:val="none"/>
        </w:rPr>
        <w:t>(四)有依法缴纳税收和社会保障资金的良好记录；</w:t>
      </w:r>
    </w:p>
    <w:p w14:paraId="429B7EC9">
      <w:pPr>
        <w:pStyle w:val="4"/>
        <w:spacing w:before="148" w:line="219" w:lineRule="auto"/>
        <w:ind w:left="901"/>
        <w:rPr>
          <w:sz w:val="24"/>
          <w:szCs w:val="24"/>
          <w:highlight w:val="none"/>
        </w:rPr>
      </w:pPr>
      <w:r>
        <w:rPr>
          <w:spacing w:val="-4"/>
          <w:sz w:val="24"/>
          <w:szCs w:val="24"/>
          <w:highlight w:val="none"/>
        </w:rPr>
        <w:t>(五)参加政府采购活动前三年内，在经营活动中没有重大违法记录；</w:t>
      </w:r>
    </w:p>
    <w:p w14:paraId="18157C70">
      <w:pPr>
        <w:pStyle w:val="4"/>
        <w:spacing w:before="147" w:line="219" w:lineRule="auto"/>
        <w:ind w:left="867"/>
        <w:rPr>
          <w:sz w:val="24"/>
          <w:szCs w:val="24"/>
          <w:highlight w:val="none"/>
        </w:rPr>
      </w:pPr>
      <w:r>
        <w:rPr>
          <w:b/>
          <w:bCs/>
          <w:spacing w:val="-4"/>
          <w:sz w:val="24"/>
          <w:szCs w:val="24"/>
          <w:highlight w:val="none"/>
        </w:rPr>
        <w:t>（提供承诺书，后附格式）</w:t>
      </w:r>
    </w:p>
    <w:p w14:paraId="7446904C">
      <w:pPr>
        <w:spacing w:line="243" w:lineRule="auto"/>
        <w:rPr>
          <w:rFonts w:ascii="Arial"/>
          <w:sz w:val="21"/>
          <w:highlight w:val="none"/>
        </w:rPr>
      </w:pPr>
    </w:p>
    <w:p w14:paraId="1F4CAA36">
      <w:pPr>
        <w:pStyle w:val="4"/>
        <w:spacing w:before="78" w:line="219" w:lineRule="auto"/>
        <w:rPr>
          <w:sz w:val="24"/>
          <w:szCs w:val="24"/>
          <w:highlight w:val="none"/>
        </w:rPr>
      </w:pPr>
      <w:r>
        <w:rPr>
          <w:b/>
          <w:bCs/>
          <w:spacing w:val="-2"/>
          <w:sz w:val="24"/>
          <w:szCs w:val="24"/>
          <w:highlight w:val="none"/>
        </w:rPr>
        <w:t>注：以上为供应商资格审查必备资料，需按招标文件要求在投标文件中提供扫描件。</w:t>
      </w:r>
    </w:p>
    <w:p w14:paraId="54E8BA69">
      <w:pPr>
        <w:spacing w:line="219" w:lineRule="auto"/>
        <w:rPr>
          <w:sz w:val="24"/>
          <w:szCs w:val="24"/>
          <w:highlight w:val="none"/>
        </w:rPr>
        <w:sectPr>
          <w:footerReference r:id="rId34" w:type="default"/>
          <w:pgSz w:w="11907" w:h="16839"/>
          <w:pgMar w:top="1431" w:right="1461" w:bottom="1159" w:left="1277" w:header="0" w:footer="959" w:gutter="0"/>
          <w:cols w:space="720" w:num="1"/>
        </w:sectPr>
      </w:pPr>
    </w:p>
    <w:p w14:paraId="03F29EB0">
      <w:pPr>
        <w:spacing w:line="339" w:lineRule="auto"/>
        <w:rPr>
          <w:rFonts w:ascii="Arial"/>
          <w:sz w:val="21"/>
          <w:highlight w:val="none"/>
        </w:rPr>
      </w:pPr>
    </w:p>
    <w:p w14:paraId="69DAC0BC">
      <w:pPr>
        <w:spacing w:line="340" w:lineRule="auto"/>
        <w:rPr>
          <w:rFonts w:ascii="Arial"/>
          <w:sz w:val="21"/>
          <w:highlight w:val="none"/>
        </w:rPr>
      </w:pPr>
    </w:p>
    <w:p w14:paraId="6BA56A31">
      <w:pPr>
        <w:pStyle w:val="4"/>
        <w:spacing w:before="101" w:line="224" w:lineRule="auto"/>
        <w:ind w:left="27"/>
        <w:rPr>
          <w:highlight w:val="none"/>
        </w:rPr>
      </w:pPr>
      <w:r>
        <w:rPr>
          <w:b/>
          <w:bCs/>
          <w:spacing w:val="-16"/>
          <w:highlight w:val="none"/>
        </w:rPr>
        <w:t>附件</w:t>
      </w:r>
      <w:r>
        <w:rPr>
          <w:spacing w:val="-36"/>
          <w:highlight w:val="none"/>
        </w:rPr>
        <w:t xml:space="preserve"> </w:t>
      </w:r>
      <w:r>
        <w:rPr>
          <w:b/>
          <w:bCs/>
          <w:spacing w:val="-16"/>
          <w:highlight w:val="none"/>
        </w:rPr>
        <w:t>1：</w:t>
      </w:r>
    </w:p>
    <w:p w14:paraId="289E0791">
      <w:pPr>
        <w:pStyle w:val="4"/>
        <w:spacing w:before="247" w:line="224" w:lineRule="auto"/>
        <w:ind w:left="1968"/>
        <w:rPr>
          <w:highlight w:val="none"/>
        </w:rPr>
      </w:pPr>
      <w:r>
        <w:rPr>
          <w:b/>
          <w:bCs/>
          <w:spacing w:val="6"/>
          <w:highlight w:val="none"/>
        </w:rPr>
        <w:t>无商业贿赂和不正当竞争行为承诺书</w:t>
      </w:r>
    </w:p>
    <w:p w14:paraId="5CE3987F">
      <w:pPr>
        <w:spacing w:line="335" w:lineRule="auto"/>
        <w:rPr>
          <w:rFonts w:ascii="Arial"/>
          <w:sz w:val="21"/>
          <w:highlight w:val="none"/>
        </w:rPr>
      </w:pPr>
    </w:p>
    <w:p w14:paraId="0C8299C1">
      <w:pPr>
        <w:spacing w:line="336" w:lineRule="auto"/>
        <w:rPr>
          <w:rFonts w:ascii="Arial"/>
          <w:sz w:val="21"/>
          <w:highlight w:val="none"/>
        </w:rPr>
      </w:pPr>
    </w:p>
    <w:p w14:paraId="68F968CA">
      <w:pPr>
        <w:pStyle w:val="4"/>
        <w:spacing w:before="78" w:line="220" w:lineRule="auto"/>
        <w:ind w:left="1"/>
        <w:rPr>
          <w:sz w:val="24"/>
          <w:szCs w:val="24"/>
          <w:highlight w:val="none"/>
        </w:rPr>
      </w:pPr>
      <w:r>
        <w:rPr>
          <w:spacing w:val="-10"/>
          <w:sz w:val="24"/>
          <w:szCs w:val="24"/>
          <w:highlight w:val="none"/>
        </w:rPr>
        <w:t>我公司承诺：</w:t>
      </w:r>
    </w:p>
    <w:p w14:paraId="69E5596F">
      <w:pPr>
        <w:pStyle w:val="4"/>
        <w:spacing w:before="195" w:line="371" w:lineRule="auto"/>
        <w:ind w:right="350" w:firstLine="473"/>
        <w:rPr>
          <w:sz w:val="24"/>
          <w:szCs w:val="24"/>
          <w:highlight w:val="none"/>
        </w:rPr>
      </w:pPr>
      <w:r>
        <w:rPr>
          <w:spacing w:val="-2"/>
          <w:sz w:val="24"/>
          <w:szCs w:val="24"/>
          <w:highlight w:val="none"/>
        </w:rPr>
        <w:t>公司自成立以来，在参与政府采购活动中，无商业贿赂和不正当竞争行为。</w:t>
      </w:r>
      <w:r>
        <w:rPr>
          <w:spacing w:val="-7"/>
          <w:sz w:val="24"/>
          <w:szCs w:val="24"/>
          <w:highlight w:val="none"/>
        </w:rPr>
        <w:t>特此承诺！</w:t>
      </w:r>
    </w:p>
    <w:p w14:paraId="5ABD7A3C">
      <w:pPr>
        <w:spacing w:line="408" w:lineRule="auto"/>
        <w:rPr>
          <w:rFonts w:ascii="Arial"/>
          <w:sz w:val="21"/>
          <w:highlight w:val="none"/>
        </w:rPr>
      </w:pPr>
    </w:p>
    <w:p w14:paraId="2768DB10">
      <w:pPr>
        <w:pStyle w:val="4"/>
        <w:spacing w:before="79" w:line="219" w:lineRule="auto"/>
        <w:ind w:left="5554"/>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0842745D">
      <w:pPr>
        <w:spacing w:line="259" w:lineRule="auto"/>
        <w:rPr>
          <w:rFonts w:ascii="Arial"/>
          <w:sz w:val="21"/>
          <w:highlight w:val="none"/>
        </w:rPr>
      </w:pPr>
    </w:p>
    <w:p w14:paraId="61EA8DB6">
      <w:pPr>
        <w:pStyle w:val="4"/>
        <w:spacing w:before="78" w:line="219" w:lineRule="auto"/>
        <w:ind w:left="5195"/>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415A664">
      <w:pPr>
        <w:spacing w:line="259" w:lineRule="auto"/>
        <w:rPr>
          <w:rFonts w:ascii="Arial"/>
          <w:sz w:val="21"/>
          <w:highlight w:val="none"/>
        </w:rPr>
      </w:pPr>
    </w:p>
    <w:p w14:paraId="41046579">
      <w:pPr>
        <w:pStyle w:val="4"/>
        <w:spacing w:before="79" w:line="220" w:lineRule="auto"/>
        <w:ind w:left="5595"/>
        <w:rPr>
          <w:sz w:val="24"/>
          <w:szCs w:val="24"/>
          <w:highlight w:val="none"/>
        </w:rPr>
      </w:pPr>
      <w:r>
        <w:rPr>
          <w:spacing w:val="-13"/>
          <w:sz w:val="24"/>
          <w:szCs w:val="24"/>
          <w:highlight w:val="none"/>
        </w:rPr>
        <w:t>日期：</w:t>
      </w:r>
      <w:r>
        <w:rPr>
          <w:spacing w:val="3"/>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6E136371">
      <w:pPr>
        <w:spacing w:line="220" w:lineRule="auto"/>
        <w:rPr>
          <w:sz w:val="24"/>
          <w:szCs w:val="24"/>
          <w:highlight w:val="none"/>
        </w:rPr>
        <w:sectPr>
          <w:footerReference r:id="rId35" w:type="default"/>
          <w:pgSz w:w="11907" w:h="16839"/>
          <w:pgMar w:top="1431" w:right="1785" w:bottom="1159" w:left="1428" w:header="0" w:footer="959" w:gutter="0"/>
          <w:cols w:space="720" w:num="1"/>
        </w:sectPr>
      </w:pPr>
    </w:p>
    <w:p w14:paraId="280823B7">
      <w:pPr>
        <w:pStyle w:val="4"/>
        <w:spacing w:before="160" w:line="224" w:lineRule="auto"/>
        <w:ind w:left="27"/>
        <w:rPr>
          <w:highlight w:val="none"/>
        </w:rPr>
      </w:pPr>
      <w:r>
        <w:rPr>
          <w:b/>
          <w:bCs/>
          <w:spacing w:val="-11"/>
          <w:highlight w:val="none"/>
        </w:rPr>
        <w:t>附件</w:t>
      </w:r>
      <w:r>
        <w:rPr>
          <w:spacing w:val="-56"/>
          <w:highlight w:val="none"/>
        </w:rPr>
        <w:t xml:space="preserve"> </w:t>
      </w:r>
      <w:r>
        <w:rPr>
          <w:b/>
          <w:bCs/>
          <w:spacing w:val="-11"/>
          <w:highlight w:val="none"/>
        </w:rPr>
        <w:t>2：</w:t>
      </w:r>
    </w:p>
    <w:p w14:paraId="071A7032">
      <w:pPr>
        <w:pStyle w:val="4"/>
        <w:spacing w:before="247" w:line="224" w:lineRule="auto"/>
        <w:ind w:left="199"/>
        <w:rPr>
          <w:highlight w:val="none"/>
        </w:rPr>
      </w:pPr>
      <w:r>
        <w:rPr>
          <w:b/>
          <w:bCs/>
          <w:spacing w:val="7"/>
          <w:highlight w:val="none"/>
        </w:rPr>
        <w:t>满足《中华人民共和国政府采购法》第二十二条规定的承诺书</w:t>
      </w:r>
    </w:p>
    <w:p w14:paraId="1E22381E">
      <w:pPr>
        <w:pStyle w:val="4"/>
        <w:spacing w:before="209" w:line="219" w:lineRule="auto"/>
        <w:rPr>
          <w:sz w:val="24"/>
          <w:szCs w:val="24"/>
          <w:highlight w:val="none"/>
          <w:u w:val="single"/>
        </w:rPr>
      </w:pPr>
      <w:r>
        <w:rPr>
          <w:spacing w:val="-12"/>
          <w:sz w:val="24"/>
          <w:szCs w:val="24"/>
          <w:highlight w:val="none"/>
          <w:u w:val="single"/>
        </w:rPr>
        <w:t>致（采购单位及代理公司</w:t>
      </w:r>
      <w:r>
        <w:rPr>
          <w:spacing w:val="-8"/>
          <w:sz w:val="24"/>
          <w:szCs w:val="24"/>
          <w:highlight w:val="none"/>
          <w:u w:val="single"/>
        </w:rPr>
        <w:t>）：</w:t>
      </w:r>
    </w:p>
    <w:p w14:paraId="28A46BBA">
      <w:pPr>
        <w:pStyle w:val="4"/>
        <w:spacing w:before="263" w:line="385" w:lineRule="auto"/>
        <w:ind w:right="17" w:firstLine="481"/>
        <w:jc w:val="both"/>
        <w:rPr>
          <w:sz w:val="24"/>
          <w:szCs w:val="24"/>
          <w:highlight w:val="none"/>
        </w:rPr>
      </w:pPr>
      <w:r>
        <w:rPr>
          <w:spacing w:val="-2"/>
          <w:sz w:val="24"/>
          <w:szCs w:val="24"/>
          <w:highlight w:val="none"/>
        </w:rPr>
        <w:t>我单位自愿参加本次采购活动，严格遵守《中华人民共和国政府采购法》及相关法律法规，依法诚信经营，依法遵守本次政府采购活动的各项规定。我单位郑重承诺声明</w:t>
      </w:r>
      <w:r>
        <w:rPr>
          <w:spacing w:val="-15"/>
          <w:sz w:val="24"/>
          <w:szCs w:val="24"/>
          <w:highlight w:val="none"/>
        </w:rPr>
        <w:t>如下：</w:t>
      </w:r>
    </w:p>
    <w:p w14:paraId="546EDFA3">
      <w:pPr>
        <w:pStyle w:val="4"/>
        <w:spacing w:line="385" w:lineRule="auto"/>
        <w:ind w:left="2" w:firstLine="480"/>
        <w:rPr>
          <w:sz w:val="24"/>
          <w:szCs w:val="24"/>
          <w:highlight w:val="none"/>
        </w:rPr>
      </w:pPr>
      <w:r>
        <w:rPr>
          <w:spacing w:val="-1"/>
          <w:sz w:val="24"/>
          <w:szCs w:val="24"/>
          <w:highlight w:val="none"/>
        </w:rPr>
        <w:t xml:space="preserve">一、我单位全称为 </w:t>
      </w:r>
      <w:r>
        <w:rPr>
          <w:spacing w:val="-1"/>
          <w:sz w:val="24"/>
          <w:szCs w:val="24"/>
          <w:highlight w:val="none"/>
          <w:u w:val="single" w:color="auto"/>
        </w:rPr>
        <w:t xml:space="preserve">            </w:t>
      </w:r>
      <w:r>
        <w:rPr>
          <w:spacing w:val="44"/>
          <w:sz w:val="24"/>
          <w:szCs w:val="24"/>
          <w:highlight w:val="none"/>
        </w:rPr>
        <w:t xml:space="preserve"> </w:t>
      </w:r>
      <w:r>
        <w:rPr>
          <w:spacing w:val="-1"/>
          <w:sz w:val="24"/>
          <w:szCs w:val="24"/>
          <w:highlight w:val="none"/>
        </w:rPr>
        <w:t>，注册地点为</w:t>
      </w:r>
      <w:r>
        <w:rPr>
          <w:spacing w:val="-117"/>
          <w:sz w:val="24"/>
          <w:szCs w:val="24"/>
          <w:highlight w:val="none"/>
        </w:rPr>
        <w:t xml:space="preserve"> </w:t>
      </w:r>
      <w:r>
        <w:rPr>
          <w:spacing w:val="1"/>
          <w:sz w:val="24"/>
          <w:szCs w:val="24"/>
          <w:highlight w:val="none"/>
          <w:u w:val="single" w:color="auto"/>
        </w:rPr>
        <w:t xml:space="preserve">           </w:t>
      </w:r>
      <w:r>
        <w:rPr>
          <w:spacing w:val="-85"/>
          <w:sz w:val="24"/>
          <w:szCs w:val="24"/>
          <w:highlight w:val="none"/>
        </w:rPr>
        <w:t xml:space="preserve"> </w:t>
      </w:r>
      <w:r>
        <w:rPr>
          <w:spacing w:val="-1"/>
          <w:sz w:val="24"/>
          <w:szCs w:val="24"/>
          <w:highlight w:val="none"/>
        </w:rPr>
        <w:t>，统一社会信用代码</w:t>
      </w:r>
      <w:r>
        <w:rPr>
          <w:spacing w:val="-3"/>
          <w:sz w:val="24"/>
          <w:szCs w:val="24"/>
          <w:highlight w:val="none"/>
        </w:rPr>
        <w:t>为</w:t>
      </w:r>
      <w:r>
        <w:rPr>
          <w:spacing w:val="-3"/>
          <w:sz w:val="24"/>
          <w:szCs w:val="24"/>
          <w:highlight w:val="none"/>
          <w:u w:val="single" w:color="auto"/>
        </w:rPr>
        <w:t xml:space="preserve">          </w:t>
      </w:r>
      <w:r>
        <w:rPr>
          <w:spacing w:val="-84"/>
          <w:sz w:val="24"/>
          <w:szCs w:val="24"/>
          <w:highlight w:val="none"/>
        </w:rPr>
        <w:t xml:space="preserve"> </w:t>
      </w:r>
      <w:r>
        <w:rPr>
          <w:spacing w:val="-3"/>
          <w:sz w:val="24"/>
          <w:szCs w:val="24"/>
          <w:highlight w:val="none"/>
        </w:rPr>
        <w:t xml:space="preserve">， 法定代表人（主要负责人）为 </w:t>
      </w:r>
      <w:r>
        <w:rPr>
          <w:spacing w:val="-3"/>
          <w:sz w:val="24"/>
          <w:szCs w:val="24"/>
          <w:highlight w:val="none"/>
          <w:u w:val="single" w:color="auto"/>
        </w:rPr>
        <w:t xml:space="preserve">       </w:t>
      </w:r>
      <w:r>
        <w:rPr>
          <w:spacing w:val="-91"/>
          <w:sz w:val="24"/>
          <w:szCs w:val="24"/>
          <w:highlight w:val="none"/>
        </w:rPr>
        <w:t xml:space="preserve"> </w:t>
      </w:r>
      <w:r>
        <w:rPr>
          <w:spacing w:val="-3"/>
          <w:sz w:val="24"/>
          <w:szCs w:val="24"/>
          <w:highlight w:val="none"/>
        </w:rPr>
        <w:t>，</w:t>
      </w:r>
      <w:r>
        <w:rPr>
          <w:spacing w:val="10"/>
          <w:sz w:val="24"/>
          <w:szCs w:val="24"/>
          <w:highlight w:val="none"/>
        </w:rPr>
        <w:t xml:space="preserve"> </w:t>
      </w:r>
      <w:r>
        <w:rPr>
          <w:spacing w:val="-3"/>
          <w:sz w:val="24"/>
          <w:szCs w:val="24"/>
          <w:highlight w:val="none"/>
        </w:rPr>
        <w:t>联系方式为</w:t>
      </w:r>
      <w:r>
        <w:rPr>
          <w:spacing w:val="1"/>
          <w:sz w:val="24"/>
          <w:szCs w:val="24"/>
          <w:highlight w:val="none"/>
        </w:rPr>
        <w:t xml:space="preserve"> </w:t>
      </w:r>
      <w:r>
        <w:rPr>
          <w:sz w:val="24"/>
          <w:szCs w:val="24"/>
          <w:highlight w:val="none"/>
          <w:u w:val="single" w:color="auto"/>
        </w:rPr>
        <w:t xml:space="preserve">           </w:t>
      </w:r>
      <w:r>
        <w:rPr>
          <w:spacing w:val="-3"/>
          <w:sz w:val="24"/>
          <w:szCs w:val="24"/>
          <w:highlight w:val="none"/>
        </w:rPr>
        <w:t>。</w:t>
      </w:r>
    </w:p>
    <w:p w14:paraId="1B8FF369">
      <w:pPr>
        <w:pStyle w:val="4"/>
        <w:spacing w:line="384" w:lineRule="auto"/>
        <w:ind w:left="7" w:right="19" w:firstLine="476"/>
        <w:rPr>
          <w:sz w:val="24"/>
          <w:szCs w:val="24"/>
          <w:highlight w:val="none"/>
        </w:rPr>
      </w:pPr>
      <w:r>
        <w:rPr>
          <w:sz w:val="24"/>
          <w:szCs w:val="24"/>
          <w:highlight w:val="none"/>
        </w:rPr>
        <w:t>二、我单位具有独立承担民事责任的能力</w:t>
      </w:r>
      <w:r>
        <w:rPr>
          <w:spacing w:val="-65"/>
          <w:sz w:val="24"/>
          <w:szCs w:val="24"/>
          <w:highlight w:val="none"/>
        </w:rPr>
        <w:t xml:space="preserve"> </w:t>
      </w:r>
      <w:r>
        <w:rPr>
          <w:sz w:val="24"/>
          <w:szCs w:val="24"/>
          <w:highlight w:val="none"/>
        </w:rPr>
        <w:t>(如分公司参加投标的，其民事责任</w:t>
      </w:r>
      <w:r>
        <w:rPr>
          <w:spacing w:val="-1"/>
          <w:sz w:val="24"/>
          <w:szCs w:val="24"/>
          <w:highlight w:val="none"/>
        </w:rPr>
        <w:t>由总</w:t>
      </w:r>
      <w:r>
        <w:rPr>
          <w:spacing w:val="-3"/>
          <w:sz w:val="24"/>
          <w:szCs w:val="24"/>
          <w:highlight w:val="none"/>
        </w:rPr>
        <w:t>公司承担)。</w:t>
      </w:r>
    </w:p>
    <w:p w14:paraId="6A89E16F">
      <w:pPr>
        <w:pStyle w:val="4"/>
        <w:spacing w:before="1" w:line="218" w:lineRule="auto"/>
        <w:ind w:left="480"/>
        <w:rPr>
          <w:sz w:val="24"/>
          <w:szCs w:val="24"/>
          <w:highlight w:val="none"/>
        </w:rPr>
      </w:pPr>
      <w:r>
        <w:rPr>
          <w:spacing w:val="-2"/>
          <w:sz w:val="24"/>
          <w:szCs w:val="24"/>
          <w:highlight w:val="none"/>
        </w:rPr>
        <w:t>三、我单位具有良好的商业信誉和健全的财务会计制度。</w:t>
      </w:r>
    </w:p>
    <w:p w14:paraId="216172F9">
      <w:pPr>
        <w:pStyle w:val="4"/>
        <w:spacing w:before="217" w:line="220" w:lineRule="auto"/>
        <w:ind w:left="502"/>
        <w:rPr>
          <w:sz w:val="24"/>
          <w:szCs w:val="24"/>
          <w:highlight w:val="none"/>
        </w:rPr>
      </w:pPr>
      <w:r>
        <w:rPr>
          <w:spacing w:val="-3"/>
          <w:sz w:val="24"/>
          <w:szCs w:val="24"/>
          <w:highlight w:val="none"/>
        </w:rPr>
        <w:t>四、我单位具有履行合同所必需的设备和专业技术能力。</w:t>
      </w:r>
    </w:p>
    <w:p w14:paraId="7897C95F">
      <w:pPr>
        <w:pStyle w:val="4"/>
        <w:spacing w:before="213" w:line="219" w:lineRule="auto"/>
        <w:ind w:left="483"/>
        <w:rPr>
          <w:sz w:val="24"/>
          <w:szCs w:val="24"/>
          <w:highlight w:val="none"/>
        </w:rPr>
      </w:pPr>
      <w:r>
        <w:rPr>
          <w:spacing w:val="-2"/>
          <w:sz w:val="24"/>
          <w:szCs w:val="24"/>
          <w:highlight w:val="none"/>
        </w:rPr>
        <w:t>五、我单位有依法缴纳税收和社会保障资金的良好记录。</w:t>
      </w:r>
    </w:p>
    <w:p w14:paraId="4418CAE1">
      <w:pPr>
        <w:pStyle w:val="4"/>
        <w:spacing w:before="214" w:line="385" w:lineRule="auto"/>
        <w:ind w:right="14" w:firstLine="481"/>
        <w:rPr>
          <w:sz w:val="24"/>
          <w:szCs w:val="24"/>
          <w:highlight w:val="none"/>
        </w:rPr>
      </w:pPr>
      <w:r>
        <w:rPr>
          <w:spacing w:val="-2"/>
          <w:sz w:val="24"/>
          <w:szCs w:val="24"/>
          <w:highlight w:val="none"/>
        </w:rPr>
        <w:t>六、我单位参加政府采购活动前三年内，在经营活动中没有重大违法记录。（</w:t>
      </w:r>
      <w:r>
        <w:rPr>
          <w:spacing w:val="-3"/>
          <w:sz w:val="24"/>
          <w:szCs w:val="24"/>
          <w:highlight w:val="none"/>
        </w:rPr>
        <w:t>重大</w:t>
      </w:r>
      <w:r>
        <w:rPr>
          <w:spacing w:val="-2"/>
          <w:sz w:val="24"/>
          <w:szCs w:val="24"/>
          <w:highlight w:val="none"/>
        </w:rPr>
        <w:t>违法记录，是指供应商因违法经营受到刑事处罚或者责令停产停业、吊销许可证或者执</w:t>
      </w:r>
      <w:r>
        <w:rPr>
          <w:spacing w:val="-10"/>
          <w:sz w:val="24"/>
          <w:szCs w:val="24"/>
          <w:highlight w:val="none"/>
        </w:rPr>
        <w:t>照、较大数额罚款等行政处罚。）</w:t>
      </w:r>
    </w:p>
    <w:p w14:paraId="42F92F70">
      <w:pPr>
        <w:pStyle w:val="4"/>
        <w:spacing w:before="1" w:line="219" w:lineRule="auto"/>
        <w:ind w:left="479"/>
        <w:outlineLvl w:val="1"/>
        <w:rPr>
          <w:sz w:val="24"/>
          <w:szCs w:val="24"/>
          <w:highlight w:val="none"/>
        </w:rPr>
      </w:pPr>
      <w:r>
        <w:rPr>
          <w:spacing w:val="-2"/>
          <w:sz w:val="24"/>
          <w:szCs w:val="24"/>
          <w:highlight w:val="none"/>
        </w:rPr>
        <w:t>七、我单位具备法律、行政法规规定的其他条件。</w:t>
      </w:r>
    </w:p>
    <w:p w14:paraId="6A34F6A3">
      <w:pPr>
        <w:pStyle w:val="4"/>
        <w:spacing w:before="215" w:line="369" w:lineRule="auto"/>
        <w:ind w:right="14" w:firstLine="481"/>
        <w:jc w:val="both"/>
        <w:rPr>
          <w:sz w:val="24"/>
          <w:szCs w:val="24"/>
          <w:highlight w:val="none"/>
        </w:rPr>
      </w:pPr>
      <w:r>
        <w:rPr>
          <w:spacing w:val="-2"/>
          <w:sz w:val="24"/>
          <w:szCs w:val="24"/>
          <w:highlight w:val="none"/>
        </w:rPr>
        <w:t>我单位保证上述声明的事项都是真实的，符合《中华人民共和国政府采购法》规定</w:t>
      </w:r>
      <w:r>
        <w:rPr>
          <w:spacing w:val="-6"/>
          <w:sz w:val="24"/>
          <w:szCs w:val="24"/>
          <w:highlight w:val="none"/>
        </w:rPr>
        <w:t>的供应商资格条件。如有弄虚作假，</w:t>
      </w:r>
      <w:r>
        <w:rPr>
          <w:spacing w:val="53"/>
          <w:sz w:val="24"/>
          <w:szCs w:val="24"/>
          <w:highlight w:val="none"/>
        </w:rPr>
        <w:t xml:space="preserve"> </w:t>
      </w:r>
      <w:r>
        <w:rPr>
          <w:spacing w:val="-6"/>
          <w:sz w:val="24"/>
          <w:szCs w:val="24"/>
          <w:highlight w:val="none"/>
        </w:rPr>
        <w:t>我单位愿意按照“提供虚假材料谋取中标</w:t>
      </w:r>
      <w:r>
        <w:rPr>
          <w:spacing w:val="-7"/>
          <w:sz w:val="24"/>
          <w:szCs w:val="24"/>
          <w:highlight w:val="none"/>
        </w:rPr>
        <w:t>”承担相</w:t>
      </w:r>
      <w:r>
        <w:rPr>
          <w:spacing w:val="-2"/>
          <w:sz w:val="24"/>
          <w:szCs w:val="24"/>
          <w:highlight w:val="none"/>
        </w:rPr>
        <w:t>应的法律责任，同意将违背承诺行为作为失信行为记录到社会信用信息平台，并承担因</w:t>
      </w:r>
      <w:r>
        <w:rPr>
          <w:spacing w:val="-4"/>
          <w:sz w:val="24"/>
          <w:szCs w:val="24"/>
          <w:highlight w:val="none"/>
        </w:rPr>
        <w:t>此所造成的一切损失。</w:t>
      </w:r>
    </w:p>
    <w:p w14:paraId="48FD0E53">
      <w:pPr>
        <w:pStyle w:val="4"/>
        <w:spacing w:before="1" w:line="218" w:lineRule="auto"/>
        <w:ind w:left="3960"/>
        <w:rPr>
          <w:sz w:val="24"/>
          <w:szCs w:val="24"/>
          <w:highlight w:val="none"/>
        </w:rPr>
      </w:pPr>
      <w:r>
        <w:rPr>
          <w:spacing w:val="-19"/>
          <w:sz w:val="24"/>
          <w:szCs w:val="24"/>
          <w:highlight w:val="none"/>
        </w:rPr>
        <w:t>承诺单位（盖章</w:t>
      </w:r>
      <w:r>
        <w:rPr>
          <w:spacing w:val="-7"/>
          <w:sz w:val="24"/>
          <w:szCs w:val="24"/>
          <w:highlight w:val="none"/>
        </w:rPr>
        <w:t>）：</w:t>
      </w:r>
    </w:p>
    <w:p w14:paraId="2CEC1771">
      <w:pPr>
        <w:pStyle w:val="4"/>
        <w:spacing w:before="184" w:line="360" w:lineRule="auto"/>
        <w:ind w:right="19" w:firstLine="3960"/>
        <w:rPr>
          <w:sz w:val="24"/>
          <w:szCs w:val="24"/>
          <w:highlight w:val="none"/>
        </w:rPr>
      </w:pPr>
      <w:r>
        <w:rPr>
          <w:spacing w:val="2"/>
          <w:sz w:val="24"/>
          <w:szCs w:val="24"/>
          <w:highlight w:val="none"/>
        </w:rPr>
        <w:t>法定代表人（主要负责人）或授权代表（签字或</w:t>
      </w:r>
      <w:r>
        <w:rPr>
          <w:spacing w:val="-25"/>
          <w:w w:val="90"/>
          <w:sz w:val="24"/>
          <w:szCs w:val="24"/>
          <w:highlight w:val="none"/>
        </w:rPr>
        <w:t>盖章</w:t>
      </w:r>
      <w:r>
        <w:rPr>
          <w:spacing w:val="-25"/>
          <w:sz w:val="24"/>
          <w:szCs w:val="24"/>
          <w:highlight w:val="none"/>
        </w:rPr>
        <w:t>）：</w:t>
      </w:r>
    </w:p>
    <w:p w14:paraId="0B35E126">
      <w:pPr>
        <w:pStyle w:val="4"/>
        <w:spacing w:before="1" w:line="219" w:lineRule="auto"/>
        <w:ind w:left="4001"/>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7"/>
          <w:sz w:val="24"/>
          <w:szCs w:val="24"/>
          <w:highlight w:val="none"/>
        </w:rPr>
        <w:t xml:space="preserve">  </w:t>
      </w:r>
      <w:r>
        <w:rPr>
          <w:spacing w:val="-13"/>
          <w:sz w:val="24"/>
          <w:szCs w:val="24"/>
          <w:highlight w:val="none"/>
        </w:rPr>
        <w:t>月</w:t>
      </w:r>
      <w:r>
        <w:rPr>
          <w:spacing w:val="26"/>
          <w:sz w:val="24"/>
          <w:szCs w:val="24"/>
          <w:highlight w:val="none"/>
        </w:rPr>
        <w:t xml:space="preserve">  </w:t>
      </w:r>
      <w:r>
        <w:rPr>
          <w:spacing w:val="-13"/>
          <w:sz w:val="24"/>
          <w:szCs w:val="24"/>
          <w:highlight w:val="none"/>
        </w:rPr>
        <w:t>日</w:t>
      </w:r>
    </w:p>
    <w:p w14:paraId="1B19324F">
      <w:pPr>
        <w:pStyle w:val="4"/>
        <w:spacing w:before="182" w:line="360" w:lineRule="auto"/>
        <w:ind w:right="14"/>
        <w:rPr>
          <w:sz w:val="24"/>
          <w:szCs w:val="24"/>
          <w:highlight w:val="none"/>
        </w:rPr>
      </w:pPr>
      <w:r>
        <w:rPr>
          <w:spacing w:val="-1"/>
          <w:sz w:val="24"/>
          <w:szCs w:val="24"/>
          <w:highlight w:val="none"/>
        </w:rPr>
        <w:t>注：1.供应商须在投标文件中按此模板提</w:t>
      </w:r>
      <w:r>
        <w:rPr>
          <w:spacing w:val="-2"/>
          <w:sz w:val="24"/>
          <w:szCs w:val="24"/>
          <w:highlight w:val="none"/>
        </w:rPr>
        <w:t>供承诺函，未提供视为未实质性响应招标文件</w:t>
      </w:r>
      <w:r>
        <w:rPr>
          <w:spacing w:val="-4"/>
          <w:sz w:val="24"/>
          <w:szCs w:val="24"/>
          <w:highlight w:val="none"/>
        </w:rPr>
        <w:t>要求，按无效投标处理。</w:t>
      </w:r>
    </w:p>
    <w:p w14:paraId="2D22AD18">
      <w:pPr>
        <w:pStyle w:val="4"/>
        <w:spacing w:before="1" w:line="218" w:lineRule="auto"/>
        <w:ind w:left="216"/>
        <w:rPr>
          <w:sz w:val="24"/>
          <w:szCs w:val="24"/>
          <w:highlight w:val="none"/>
        </w:rPr>
      </w:pPr>
      <w:r>
        <w:rPr>
          <w:spacing w:val="-1"/>
          <w:sz w:val="24"/>
          <w:szCs w:val="24"/>
          <w:highlight w:val="none"/>
        </w:rPr>
        <w:t>2.供应商的法定代表人（主要负责人）或者授权代表的签</w:t>
      </w:r>
      <w:r>
        <w:rPr>
          <w:spacing w:val="-2"/>
          <w:sz w:val="24"/>
          <w:szCs w:val="24"/>
          <w:highlight w:val="none"/>
        </w:rPr>
        <w:t>字或盖章应真实、有效。</w:t>
      </w:r>
    </w:p>
    <w:p w14:paraId="320D11B0">
      <w:pPr>
        <w:spacing w:line="218" w:lineRule="auto"/>
        <w:rPr>
          <w:sz w:val="24"/>
          <w:szCs w:val="24"/>
          <w:highlight w:val="none"/>
        </w:rPr>
        <w:sectPr>
          <w:footerReference r:id="rId36" w:type="default"/>
          <w:pgSz w:w="11907" w:h="16839"/>
          <w:pgMar w:top="1431" w:right="1400" w:bottom="1159" w:left="1428" w:header="0" w:footer="959" w:gutter="0"/>
          <w:cols w:space="720" w:num="1"/>
        </w:sectPr>
      </w:pPr>
    </w:p>
    <w:p w14:paraId="6D449B96">
      <w:pPr>
        <w:pStyle w:val="4"/>
        <w:spacing w:before="159" w:line="225" w:lineRule="auto"/>
        <w:ind w:left="3093"/>
        <w:rPr>
          <w:highlight w:val="none"/>
        </w:rPr>
      </w:pPr>
      <w:r>
        <w:rPr>
          <w:b/>
          <w:bCs/>
          <w:spacing w:val="5"/>
          <w:highlight w:val="none"/>
        </w:rPr>
        <w:t>6.中小微企业声明函</w:t>
      </w:r>
    </w:p>
    <w:p w14:paraId="36D6F6C9">
      <w:pPr>
        <w:spacing w:line="360" w:lineRule="auto"/>
        <w:rPr>
          <w:rFonts w:ascii="Arial"/>
          <w:sz w:val="21"/>
          <w:highlight w:val="none"/>
        </w:rPr>
      </w:pPr>
    </w:p>
    <w:p w14:paraId="5032EBA5">
      <w:pPr>
        <w:pStyle w:val="4"/>
        <w:spacing w:before="78" w:line="220" w:lineRule="auto"/>
        <w:ind w:left="1528"/>
        <w:rPr>
          <w:sz w:val="24"/>
          <w:szCs w:val="24"/>
          <w:highlight w:val="none"/>
        </w:rPr>
      </w:pPr>
      <w:r>
        <w:rPr>
          <w:b/>
          <w:bCs/>
          <w:spacing w:val="-3"/>
          <w:sz w:val="24"/>
          <w:szCs w:val="24"/>
          <w:highlight w:val="none"/>
        </w:rPr>
        <w:t>（属于中小微企业的填写，不属于的无需填写此项内容）</w:t>
      </w:r>
    </w:p>
    <w:p w14:paraId="3998BE6E">
      <w:pPr>
        <w:spacing w:line="246" w:lineRule="auto"/>
        <w:rPr>
          <w:rFonts w:ascii="Arial"/>
          <w:sz w:val="21"/>
          <w:highlight w:val="none"/>
        </w:rPr>
      </w:pPr>
    </w:p>
    <w:p w14:paraId="511BDC5F">
      <w:pPr>
        <w:spacing w:line="246" w:lineRule="auto"/>
        <w:rPr>
          <w:rFonts w:ascii="Arial"/>
          <w:sz w:val="21"/>
          <w:highlight w:val="none"/>
        </w:rPr>
      </w:pPr>
    </w:p>
    <w:p w14:paraId="10B67FE2">
      <w:pPr>
        <w:pStyle w:val="4"/>
        <w:spacing w:before="78" w:line="360" w:lineRule="auto"/>
        <w:ind w:firstLine="481"/>
        <w:jc w:val="both"/>
        <w:rPr>
          <w:sz w:val="24"/>
          <w:szCs w:val="24"/>
          <w:highlight w:val="none"/>
        </w:rPr>
      </w:pPr>
      <w:r>
        <w:rPr>
          <w:spacing w:val="-2"/>
          <w:sz w:val="24"/>
          <w:szCs w:val="24"/>
          <w:highlight w:val="none"/>
        </w:rPr>
        <w:t>本公司（联合体） 郑重声明， 根据《政府采购促进中小企业发展管理办法》（财库﹝ 2020﹞ 46 号） 的规定， 本公司（联合体）</w:t>
      </w:r>
      <w:r>
        <w:rPr>
          <w:spacing w:val="-3"/>
          <w:sz w:val="24"/>
          <w:szCs w:val="24"/>
          <w:highlight w:val="none"/>
        </w:rPr>
        <w:t xml:space="preserve"> 参加</w:t>
      </w:r>
      <w:r>
        <w:rPr>
          <w:spacing w:val="-3"/>
          <w:sz w:val="24"/>
          <w:szCs w:val="24"/>
          <w:highlight w:val="none"/>
          <w:u w:val="single" w:color="auto"/>
        </w:rPr>
        <w:t>（单位名称）</w:t>
      </w:r>
      <w:r>
        <w:rPr>
          <w:spacing w:val="29"/>
          <w:sz w:val="24"/>
          <w:szCs w:val="24"/>
          <w:highlight w:val="none"/>
        </w:rPr>
        <w:t xml:space="preserve"> </w:t>
      </w:r>
      <w:r>
        <w:rPr>
          <w:spacing w:val="-3"/>
          <w:sz w:val="24"/>
          <w:szCs w:val="24"/>
          <w:highlight w:val="none"/>
        </w:rPr>
        <w:t>的</w:t>
      </w:r>
      <w:r>
        <w:rPr>
          <w:spacing w:val="-3"/>
          <w:sz w:val="24"/>
          <w:szCs w:val="24"/>
          <w:highlight w:val="none"/>
          <w:u w:val="single" w:color="auto"/>
        </w:rPr>
        <w:t>（项目名称）</w:t>
      </w:r>
      <w:r>
        <w:rPr>
          <w:spacing w:val="-2"/>
          <w:sz w:val="24"/>
          <w:szCs w:val="24"/>
          <w:highlight w:val="none"/>
        </w:rPr>
        <w:t>采购活动，提供的货物全部由符合政策要求的中小企业制造，具体情况如下：</w:t>
      </w:r>
    </w:p>
    <w:p w14:paraId="385E8E56">
      <w:pPr>
        <w:pStyle w:val="4"/>
        <w:tabs>
          <w:tab w:val="left" w:pos="607"/>
        </w:tabs>
        <w:spacing w:line="360" w:lineRule="auto"/>
        <w:ind w:left="4" w:right="101" w:firstLine="466"/>
        <w:jc w:val="both"/>
        <w:rPr>
          <w:sz w:val="24"/>
          <w:szCs w:val="24"/>
          <w:highlight w:val="none"/>
        </w:rPr>
      </w:pPr>
      <w:r>
        <w:rPr>
          <w:sz w:val="24"/>
          <w:szCs w:val="24"/>
          <w:highlight w:val="none"/>
          <w:u w:val="single" w:color="auto"/>
        </w:rPr>
        <w:tab/>
      </w:r>
      <w:r>
        <w:rPr>
          <w:spacing w:val="-15"/>
          <w:sz w:val="24"/>
          <w:szCs w:val="24"/>
          <w:highlight w:val="none"/>
          <w:u w:val="single" w:color="auto"/>
        </w:rPr>
        <w:t>（标的名称</w:t>
      </w:r>
      <w:r>
        <w:rPr>
          <w:spacing w:val="-14"/>
          <w:sz w:val="24"/>
          <w:szCs w:val="24"/>
          <w:highlight w:val="none"/>
          <w:u w:val="single" w:color="auto"/>
        </w:rPr>
        <w:t>）</w:t>
      </w:r>
      <w:r>
        <w:rPr>
          <w:spacing w:val="31"/>
          <w:sz w:val="24"/>
          <w:szCs w:val="24"/>
          <w:highlight w:val="none"/>
        </w:rPr>
        <w:t xml:space="preserve"> </w:t>
      </w:r>
      <w:r>
        <w:rPr>
          <w:spacing w:val="-14"/>
          <w:sz w:val="24"/>
          <w:szCs w:val="24"/>
          <w:highlight w:val="none"/>
        </w:rPr>
        <w:t>，</w:t>
      </w:r>
      <w:r>
        <w:rPr>
          <w:spacing w:val="12"/>
          <w:sz w:val="24"/>
          <w:szCs w:val="24"/>
          <w:highlight w:val="none"/>
        </w:rPr>
        <w:t xml:space="preserve"> </w:t>
      </w:r>
      <w:r>
        <w:rPr>
          <w:spacing w:val="-15"/>
          <w:sz w:val="24"/>
          <w:szCs w:val="24"/>
          <w:highlight w:val="none"/>
        </w:rPr>
        <w:t>属于</w:t>
      </w:r>
      <w:r>
        <w:rPr>
          <w:spacing w:val="-15"/>
          <w:sz w:val="24"/>
          <w:szCs w:val="24"/>
          <w:highlight w:val="none"/>
          <w:u w:val="single" w:color="auto"/>
        </w:rPr>
        <w:t>工业（工业</w:t>
      </w:r>
      <w:r>
        <w:rPr>
          <w:spacing w:val="-14"/>
          <w:sz w:val="24"/>
          <w:szCs w:val="24"/>
          <w:highlight w:val="none"/>
          <w:u w:val="single" w:color="auto"/>
        </w:rPr>
        <w:t>）</w:t>
      </w:r>
      <w:r>
        <w:rPr>
          <w:spacing w:val="-14"/>
          <w:sz w:val="24"/>
          <w:szCs w:val="24"/>
          <w:highlight w:val="none"/>
        </w:rPr>
        <w:t>；</w:t>
      </w:r>
      <w:r>
        <w:rPr>
          <w:spacing w:val="-15"/>
          <w:sz w:val="24"/>
          <w:szCs w:val="24"/>
          <w:highlight w:val="none"/>
        </w:rPr>
        <w:t>制造商为</w:t>
      </w:r>
      <w:r>
        <w:rPr>
          <w:spacing w:val="-15"/>
          <w:sz w:val="24"/>
          <w:szCs w:val="24"/>
          <w:highlight w:val="none"/>
          <w:u w:val="single" w:color="auto"/>
        </w:rPr>
        <w:t>（企业名称</w:t>
      </w:r>
      <w:r>
        <w:rPr>
          <w:spacing w:val="-14"/>
          <w:sz w:val="24"/>
          <w:szCs w:val="24"/>
          <w:highlight w:val="none"/>
          <w:u w:val="single" w:color="auto"/>
        </w:rPr>
        <w:t>）</w:t>
      </w:r>
      <w:r>
        <w:rPr>
          <w:spacing w:val="-14"/>
          <w:sz w:val="24"/>
          <w:szCs w:val="24"/>
          <w:highlight w:val="none"/>
        </w:rPr>
        <w:t>，</w:t>
      </w:r>
      <w:r>
        <w:rPr>
          <w:spacing w:val="13"/>
          <w:sz w:val="24"/>
          <w:szCs w:val="24"/>
          <w:highlight w:val="none"/>
        </w:rPr>
        <w:t xml:space="preserve"> </w:t>
      </w:r>
      <w:r>
        <w:rPr>
          <w:spacing w:val="-15"/>
          <w:sz w:val="24"/>
          <w:szCs w:val="24"/>
          <w:highlight w:val="none"/>
        </w:rPr>
        <w:t>从业人员</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16"/>
          <w:sz w:val="24"/>
          <w:szCs w:val="24"/>
          <w:highlight w:val="none"/>
        </w:rPr>
        <w:t>人，</w:t>
      </w:r>
      <w:r>
        <w:rPr>
          <w:spacing w:val="-2"/>
          <w:sz w:val="24"/>
          <w:szCs w:val="24"/>
          <w:highlight w:val="none"/>
        </w:rPr>
        <w:t>营业收入为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资产总额为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属于</w:t>
      </w:r>
      <w:r>
        <w:rPr>
          <w:spacing w:val="-2"/>
          <w:sz w:val="24"/>
          <w:szCs w:val="24"/>
          <w:highlight w:val="none"/>
          <w:u w:val="single" w:color="auto"/>
        </w:rPr>
        <w:t>（中型企业、 小型企业、 微型</w:t>
      </w:r>
      <w:r>
        <w:rPr>
          <w:spacing w:val="-15"/>
          <w:w w:val="87"/>
          <w:sz w:val="24"/>
          <w:szCs w:val="24"/>
          <w:highlight w:val="none"/>
          <w:u w:val="single" w:color="auto"/>
        </w:rPr>
        <w:t>企业</w:t>
      </w:r>
      <w:r>
        <w:rPr>
          <w:spacing w:val="-21"/>
          <w:sz w:val="24"/>
          <w:szCs w:val="24"/>
          <w:highlight w:val="none"/>
          <w:u w:val="single" w:color="auto"/>
        </w:rPr>
        <w:t>）</w:t>
      </w:r>
      <w:r>
        <w:rPr>
          <w:spacing w:val="-21"/>
          <w:sz w:val="24"/>
          <w:szCs w:val="24"/>
          <w:highlight w:val="none"/>
        </w:rPr>
        <w:t>；</w:t>
      </w:r>
    </w:p>
    <w:p w14:paraId="16F8E868">
      <w:pPr>
        <w:pStyle w:val="4"/>
        <w:tabs>
          <w:tab w:val="left" w:pos="607"/>
        </w:tabs>
        <w:spacing w:before="4" w:line="359" w:lineRule="auto"/>
        <w:ind w:left="4" w:right="101" w:firstLine="466"/>
        <w:jc w:val="both"/>
        <w:rPr>
          <w:sz w:val="24"/>
          <w:szCs w:val="24"/>
          <w:highlight w:val="none"/>
        </w:rPr>
      </w:pPr>
      <w:r>
        <w:rPr>
          <w:sz w:val="24"/>
          <w:szCs w:val="24"/>
          <w:highlight w:val="none"/>
          <w:u w:val="single" w:color="auto"/>
        </w:rPr>
        <w:tab/>
      </w:r>
      <w:r>
        <w:rPr>
          <w:spacing w:val="-15"/>
          <w:sz w:val="24"/>
          <w:szCs w:val="24"/>
          <w:highlight w:val="none"/>
          <w:u w:val="single" w:color="auto"/>
        </w:rPr>
        <w:t>（标的名称</w:t>
      </w:r>
      <w:r>
        <w:rPr>
          <w:spacing w:val="-14"/>
          <w:sz w:val="24"/>
          <w:szCs w:val="24"/>
          <w:highlight w:val="none"/>
          <w:u w:val="single" w:color="auto"/>
        </w:rPr>
        <w:t>）</w:t>
      </w:r>
      <w:r>
        <w:rPr>
          <w:spacing w:val="31"/>
          <w:sz w:val="24"/>
          <w:szCs w:val="24"/>
          <w:highlight w:val="none"/>
        </w:rPr>
        <w:t xml:space="preserve"> </w:t>
      </w:r>
      <w:r>
        <w:rPr>
          <w:spacing w:val="-14"/>
          <w:sz w:val="24"/>
          <w:szCs w:val="24"/>
          <w:highlight w:val="none"/>
        </w:rPr>
        <w:t>，</w:t>
      </w:r>
      <w:r>
        <w:rPr>
          <w:spacing w:val="12"/>
          <w:sz w:val="24"/>
          <w:szCs w:val="24"/>
          <w:highlight w:val="none"/>
        </w:rPr>
        <w:t xml:space="preserve"> </w:t>
      </w:r>
      <w:r>
        <w:rPr>
          <w:spacing w:val="-15"/>
          <w:sz w:val="24"/>
          <w:szCs w:val="24"/>
          <w:highlight w:val="none"/>
        </w:rPr>
        <w:t>属于</w:t>
      </w:r>
      <w:r>
        <w:rPr>
          <w:spacing w:val="-15"/>
          <w:sz w:val="24"/>
          <w:szCs w:val="24"/>
          <w:highlight w:val="none"/>
          <w:u w:val="single" w:color="auto"/>
        </w:rPr>
        <w:t>工业（工业</w:t>
      </w:r>
      <w:r>
        <w:rPr>
          <w:spacing w:val="-14"/>
          <w:sz w:val="24"/>
          <w:szCs w:val="24"/>
          <w:highlight w:val="none"/>
          <w:u w:val="single" w:color="auto"/>
        </w:rPr>
        <w:t>）</w:t>
      </w:r>
      <w:r>
        <w:rPr>
          <w:spacing w:val="-14"/>
          <w:sz w:val="24"/>
          <w:szCs w:val="24"/>
          <w:highlight w:val="none"/>
        </w:rPr>
        <w:t>；</w:t>
      </w:r>
      <w:r>
        <w:rPr>
          <w:spacing w:val="-15"/>
          <w:sz w:val="24"/>
          <w:szCs w:val="24"/>
          <w:highlight w:val="none"/>
        </w:rPr>
        <w:t>制造商为</w:t>
      </w:r>
      <w:r>
        <w:rPr>
          <w:spacing w:val="-15"/>
          <w:sz w:val="24"/>
          <w:szCs w:val="24"/>
          <w:highlight w:val="none"/>
          <w:u w:val="single" w:color="auto"/>
        </w:rPr>
        <w:t>（企业名称</w:t>
      </w:r>
      <w:r>
        <w:rPr>
          <w:spacing w:val="-14"/>
          <w:sz w:val="24"/>
          <w:szCs w:val="24"/>
          <w:highlight w:val="none"/>
          <w:u w:val="single" w:color="auto"/>
        </w:rPr>
        <w:t>）</w:t>
      </w:r>
      <w:r>
        <w:rPr>
          <w:spacing w:val="-14"/>
          <w:sz w:val="24"/>
          <w:szCs w:val="24"/>
          <w:highlight w:val="none"/>
        </w:rPr>
        <w:t>，</w:t>
      </w:r>
      <w:r>
        <w:rPr>
          <w:spacing w:val="13"/>
          <w:sz w:val="24"/>
          <w:szCs w:val="24"/>
          <w:highlight w:val="none"/>
        </w:rPr>
        <w:t xml:space="preserve"> </w:t>
      </w:r>
      <w:r>
        <w:rPr>
          <w:spacing w:val="-15"/>
          <w:sz w:val="24"/>
          <w:szCs w:val="24"/>
          <w:highlight w:val="none"/>
        </w:rPr>
        <w:t>从业人员</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16"/>
          <w:sz w:val="24"/>
          <w:szCs w:val="24"/>
          <w:highlight w:val="none"/>
        </w:rPr>
        <w:t>人，</w:t>
      </w:r>
      <w:r>
        <w:rPr>
          <w:spacing w:val="-2"/>
          <w:sz w:val="24"/>
          <w:szCs w:val="24"/>
          <w:highlight w:val="none"/>
        </w:rPr>
        <w:t>营业收入为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资产总额为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属于</w:t>
      </w:r>
      <w:r>
        <w:rPr>
          <w:spacing w:val="-2"/>
          <w:sz w:val="24"/>
          <w:szCs w:val="24"/>
          <w:highlight w:val="none"/>
          <w:u w:val="single" w:color="auto"/>
        </w:rPr>
        <w:t>（中型企业、 小型企业、 微型</w:t>
      </w:r>
      <w:r>
        <w:rPr>
          <w:spacing w:val="-15"/>
          <w:w w:val="87"/>
          <w:sz w:val="24"/>
          <w:szCs w:val="24"/>
          <w:highlight w:val="none"/>
          <w:u w:val="single" w:color="auto"/>
        </w:rPr>
        <w:t>企业</w:t>
      </w:r>
      <w:r>
        <w:rPr>
          <w:spacing w:val="-21"/>
          <w:sz w:val="24"/>
          <w:szCs w:val="24"/>
          <w:highlight w:val="none"/>
          <w:u w:val="single" w:color="auto"/>
        </w:rPr>
        <w:t>）</w:t>
      </w:r>
      <w:r>
        <w:rPr>
          <w:spacing w:val="-21"/>
          <w:sz w:val="24"/>
          <w:szCs w:val="24"/>
          <w:highlight w:val="none"/>
        </w:rPr>
        <w:t>；</w:t>
      </w:r>
    </w:p>
    <w:p w14:paraId="78D60648">
      <w:pPr>
        <w:pStyle w:val="4"/>
        <w:spacing w:line="378" w:lineRule="exact"/>
        <w:ind w:left="496"/>
        <w:rPr>
          <w:sz w:val="24"/>
          <w:szCs w:val="24"/>
          <w:highlight w:val="none"/>
        </w:rPr>
      </w:pPr>
      <w:r>
        <w:rPr>
          <w:spacing w:val="-7"/>
          <w:position w:val="3"/>
          <w:sz w:val="24"/>
          <w:szCs w:val="24"/>
          <w:highlight w:val="none"/>
        </w:rPr>
        <w:t>……</w:t>
      </w:r>
    </w:p>
    <w:p w14:paraId="48B26A9F">
      <w:pPr>
        <w:pStyle w:val="4"/>
        <w:spacing w:before="91" w:line="360" w:lineRule="auto"/>
        <w:ind w:left="3" w:right="101" w:firstLine="478"/>
        <w:rPr>
          <w:sz w:val="24"/>
          <w:szCs w:val="24"/>
          <w:highlight w:val="none"/>
        </w:rPr>
      </w:pPr>
      <w:r>
        <w:rPr>
          <w:spacing w:val="-2"/>
          <w:sz w:val="24"/>
          <w:szCs w:val="24"/>
          <w:highlight w:val="none"/>
        </w:rPr>
        <w:t>本企业不属于大企业的分支机构， 不存在控股股东为大企业的情形， 也不存在与</w:t>
      </w:r>
      <w:r>
        <w:rPr>
          <w:spacing w:val="-3"/>
          <w:sz w:val="24"/>
          <w:szCs w:val="24"/>
          <w:highlight w:val="none"/>
        </w:rPr>
        <w:t>大企业的负责人为同一人的情形。</w:t>
      </w:r>
    </w:p>
    <w:p w14:paraId="482F52D5">
      <w:pPr>
        <w:pStyle w:val="4"/>
        <w:spacing w:before="1" w:line="218" w:lineRule="auto"/>
        <w:ind w:left="481"/>
        <w:rPr>
          <w:sz w:val="24"/>
          <w:szCs w:val="24"/>
          <w:highlight w:val="none"/>
        </w:rPr>
      </w:pPr>
      <w:r>
        <w:rPr>
          <w:spacing w:val="-1"/>
          <w:sz w:val="24"/>
          <w:szCs w:val="24"/>
          <w:highlight w:val="none"/>
        </w:rPr>
        <w:t>本企业对上述声明内容的真实性负责。 如有虚假， 将依法</w:t>
      </w:r>
      <w:r>
        <w:rPr>
          <w:spacing w:val="-2"/>
          <w:sz w:val="24"/>
          <w:szCs w:val="24"/>
          <w:highlight w:val="none"/>
        </w:rPr>
        <w:t>承担相应责任。</w:t>
      </w:r>
    </w:p>
    <w:p w14:paraId="62A32FDB">
      <w:pPr>
        <w:pStyle w:val="4"/>
        <w:spacing w:before="183" w:line="219" w:lineRule="auto"/>
        <w:ind w:left="484"/>
        <w:rPr>
          <w:sz w:val="24"/>
          <w:szCs w:val="24"/>
          <w:highlight w:val="none"/>
        </w:rPr>
      </w:pPr>
      <w:r>
        <w:rPr>
          <w:spacing w:val="-19"/>
          <w:sz w:val="24"/>
          <w:szCs w:val="24"/>
          <w:highlight w:val="none"/>
        </w:rPr>
        <w:t>企业名称（盖章</w:t>
      </w:r>
      <w:r>
        <w:rPr>
          <w:spacing w:val="-9"/>
          <w:sz w:val="24"/>
          <w:szCs w:val="24"/>
          <w:highlight w:val="none"/>
        </w:rPr>
        <w:t>）：</w:t>
      </w:r>
    </w:p>
    <w:p w14:paraId="2F80EB05">
      <w:pPr>
        <w:pStyle w:val="4"/>
        <w:spacing w:before="184" w:line="220" w:lineRule="auto"/>
        <w:ind w:left="522"/>
        <w:rPr>
          <w:sz w:val="24"/>
          <w:szCs w:val="24"/>
          <w:highlight w:val="none"/>
        </w:rPr>
      </w:pPr>
      <w:r>
        <w:rPr>
          <w:spacing w:val="-29"/>
          <w:sz w:val="24"/>
          <w:szCs w:val="24"/>
          <w:highlight w:val="none"/>
        </w:rPr>
        <w:t>日</w:t>
      </w:r>
      <w:r>
        <w:rPr>
          <w:spacing w:val="13"/>
          <w:sz w:val="24"/>
          <w:szCs w:val="24"/>
          <w:highlight w:val="none"/>
        </w:rPr>
        <w:t xml:space="preserve"> </w:t>
      </w:r>
      <w:r>
        <w:rPr>
          <w:spacing w:val="-29"/>
          <w:sz w:val="24"/>
          <w:szCs w:val="24"/>
          <w:highlight w:val="none"/>
        </w:rPr>
        <w:t>期：</w:t>
      </w:r>
    </w:p>
    <w:p w14:paraId="2134094D">
      <w:pPr>
        <w:pStyle w:val="4"/>
        <w:spacing w:before="181" w:line="360" w:lineRule="auto"/>
        <w:ind w:left="1" w:right="103" w:firstLine="479"/>
        <w:rPr>
          <w:sz w:val="24"/>
          <w:szCs w:val="24"/>
          <w:highlight w:val="none"/>
        </w:rPr>
      </w:pPr>
      <w:r>
        <w:rPr>
          <w:spacing w:val="1"/>
          <w:sz w:val="24"/>
          <w:szCs w:val="24"/>
          <w:highlight w:val="none"/>
        </w:rPr>
        <w:t>注：1.从业人员、</w:t>
      </w:r>
      <w:r>
        <w:rPr>
          <w:spacing w:val="32"/>
          <w:sz w:val="24"/>
          <w:szCs w:val="24"/>
          <w:highlight w:val="none"/>
        </w:rPr>
        <w:t xml:space="preserve"> </w:t>
      </w:r>
      <w:r>
        <w:rPr>
          <w:spacing w:val="1"/>
          <w:sz w:val="24"/>
          <w:szCs w:val="24"/>
          <w:highlight w:val="none"/>
        </w:rPr>
        <w:t xml:space="preserve">营业收入、 资产总额填报上一年度数据， </w:t>
      </w:r>
      <w:r>
        <w:rPr>
          <w:sz w:val="24"/>
          <w:szCs w:val="24"/>
          <w:highlight w:val="none"/>
        </w:rPr>
        <w:t>无上一年度数据的</w:t>
      </w:r>
      <w:r>
        <w:rPr>
          <w:spacing w:val="-5"/>
          <w:sz w:val="24"/>
          <w:szCs w:val="24"/>
          <w:highlight w:val="none"/>
        </w:rPr>
        <w:t>新成立企业可不填报。</w:t>
      </w:r>
    </w:p>
    <w:p w14:paraId="17C7B13C">
      <w:pPr>
        <w:pStyle w:val="4"/>
        <w:spacing w:before="2" w:line="360" w:lineRule="auto"/>
        <w:ind w:left="20" w:right="104" w:firstLine="463"/>
        <w:rPr>
          <w:sz w:val="24"/>
          <w:szCs w:val="24"/>
          <w:highlight w:val="none"/>
        </w:rPr>
      </w:pPr>
      <w:r>
        <w:rPr>
          <w:spacing w:val="-2"/>
          <w:sz w:val="24"/>
          <w:szCs w:val="24"/>
          <w:highlight w:val="none"/>
        </w:rPr>
        <w:t>2.供应商提供《中小企业声明函》内容不实的,属于“隐瞒真实情况,提供虚假资料</w:t>
      </w:r>
      <w:r>
        <w:rPr>
          <w:spacing w:val="-3"/>
          <w:sz w:val="24"/>
          <w:szCs w:val="24"/>
          <w:highlight w:val="none"/>
        </w:rPr>
        <w:t>的”情形,依照《政府采购法》的有关规定追究相应责任。</w:t>
      </w:r>
    </w:p>
    <w:p w14:paraId="56360B2D">
      <w:pPr>
        <w:pStyle w:val="4"/>
        <w:spacing w:before="119" w:line="219" w:lineRule="auto"/>
        <w:ind w:left="485"/>
        <w:rPr>
          <w:sz w:val="24"/>
          <w:szCs w:val="24"/>
          <w:highlight w:val="none"/>
        </w:rPr>
      </w:pPr>
      <w:r>
        <w:rPr>
          <w:spacing w:val="-5"/>
          <w:sz w:val="24"/>
          <w:szCs w:val="24"/>
          <w:highlight w:val="none"/>
        </w:rPr>
        <w:t>3. 中小企业划分标准见附件。</w:t>
      </w:r>
    </w:p>
    <w:p w14:paraId="18921CE7">
      <w:pPr>
        <w:spacing w:line="219" w:lineRule="auto"/>
        <w:rPr>
          <w:sz w:val="24"/>
          <w:szCs w:val="24"/>
          <w:highlight w:val="none"/>
        </w:rPr>
        <w:sectPr>
          <w:footerReference r:id="rId37" w:type="default"/>
          <w:pgSz w:w="11907" w:h="16839"/>
          <w:pgMar w:top="1431" w:right="1312" w:bottom="1159" w:left="1427" w:header="0" w:footer="959" w:gutter="0"/>
          <w:cols w:space="720" w:num="1"/>
        </w:sectPr>
      </w:pPr>
    </w:p>
    <w:p w14:paraId="7031307E">
      <w:pPr>
        <w:pStyle w:val="4"/>
        <w:spacing w:before="169" w:line="219" w:lineRule="auto"/>
        <w:ind w:left="274"/>
        <w:rPr>
          <w:sz w:val="28"/>
          <w:szCs w:val="28"/>
          <w:highlight w:val="none"/>
        </w:rPr>
      </w:pPr>
      <w:r>
        <w:rPr>
          <w:b/>
          <w:bCs/>
          <w:spacing w:val="-1"/>
          <w:sz w:val="24"/>
          <w:szCs w:val="24"/>
          <w:highlight w:val="none"/>
        </w:rPr>
        <w:t>附件：</w:t>
      </w:r>
      <w:r>
        <w:rPr>
          <w:spacing w:val="-1"/>
          <w:sz w:val="28"/>
          <w:szCs w:val="28"/>
          <w:highlight w:val="none"/>
        </w:rPr>
        <w:t>工业和信息化部、国家统计局、国家发展和改革委员会、</w:t>
      </w:r>
      <w:r>
        <w:rPr>
          <w:spacing w:val="-2"/>
          <w:sz w:val="28"/>
          <w:szCs w:val="28"/>
          <w:highlight w:val="none"/>
        </w:rPr>
        <w:t>财政部</w:t>
      </w:r>
    </w:p>
    <w:p w14:paraId="64DE8440">
      <w:pPr>
        <w:pStyle w:val="4"/>
        <w:spacing w:before="166" w:line="220" w:lineRule="auto"/>
        <w:ind w:left="1878"/>
        <w:rPr>
          <w:sz w:val="28"/>
          <w:szCs w:val="28"/>
          <w:highlight w:val="none"/>
        </w:rPr>
      </w:pPr>
      <w:r>
        <w:rPr>
          <w:spacing w:val="-2"/>
          <w:sz w:val="28"/>
          <w:szCs w:val="28"/>
          <w:highlight w:val="none"/>
        </w:rPr>
        <w:t>《关于印发中小企业划型标准规定的通知》</w:t>
      </w:r>
    </w:p>
    <w:p w14:paraId="602458D6">
      <w:pPr>
        <w:pStyle w:val="4"/>
        <w:spacing w:before="167" w:line="220" w:lineRule="auto"/>
        <w:ind w:left="2754"/>
        <w:rPr>
          <w:sz w:val="28"/>
          <w:szCs w:val="28"/>
          <w:highlight w:val="none"/>
        </w:rPr>
      </w:pPr>
      <w:r>
        <w:rPr>
          <w:spacing w:val="-1"/>
          <w:sz w:val="28"/>
          <w:szCs w:val="28"/>
          <w:highlight w:val="none"/>
        </w:rPr>
        <w:t>工信部联企业〔2011〕300</w:t>
      </w:r>
      <w:r>
        <w:rPr>
          <w:spacing w:val="-49"/>
          <w:sz w:val="28"/>
          <w:szCs w:val="28"/>
          <w:highlight w:val="none"/>
        </w:rPr>
        <w:t xml:space="preserve"> </w:t>
      </w:r>
      <w:r>
        <w:rPr>
          <w:spacing w:val="-1"/>
          <w:sz w:val="28"/>
          <w:szCs w:val="28"/>
          <w:highlight w:val="none"/>
        </w:rPr>
        <w:t>号</w:t>
      </w:r>
    </w:p>
    <w:p w14:paraId="4D7D248E">
      <w:pPr>
        <w:pStyle w:val="4"/>
        <w:spacing w:before="200" w:line="219" w:lineRule="auto"/>
        <w:ind w:left="3"/>
        <w:rPr>
          <w:sz w:val="24"/>
          <w:szCs w:val="24"/>
          <w:highlight w:val="none"/>
        </w:rPr>
      </w:pPr>
      <w:r>
        <w:rPr>
          <w:spacing w:val="-2"/>
          <w:sz w:val="24"/>
          <w:szCs w:val="24"/>
          <w:highlight w:val="none"/>
        </w:rPr>
        <w:t>各省、自治区、直辖市人民政府，国务院各部委、各直属机构及有关单位：</w:t>
      </w:r>
    </w:p>
    <w:p w14:paraId="536C79A6">
      <w:pPr>
        <w:pStyle w:val="4"/>
        <w:spacing w:before="214" w:line="385" w:lineRule="auto"/>
        <w:ind w:right="1" w:firstLine="483"/>
        <w:jc w:val="both"/>
        <w:rPr>
          <w:sz w:val="24"/>
          <w:szCs w:val="24"/>
          <w:highlight w:val="none"/>
        </w:rPr>
      </w:pPr>
      <w:r>
        <w:rPr>
          <w:spacing w:val="-2"/>
          <w:sz w:val="24"/>
          <w:szCs w:val="24"/>
          <w:highlight w:val="none"/>
        </w:rPr>
        <w:t>为贯彻落实《中华人民共和国中小企业促进法》和《国务院关于进一步促进中小企</w:t>
      </w:r>
      <w:r>
        <w:rPr>
          <w:spacing w:val="-11"/>
          <w:sz w:val="24"/>
          <w:szCs w:val="24"/>
          <w:highlight w:val="none"/>
        </w:rPr>
        <w:t>业发展的若干意见》（国发〔2009〕36</w:t>
      </w:r>
      <w:r>
        <w:rPr>
          <w:spacing w:val="-44"/>
          <w:sz w:val="24"/>
          <w:szCs w:val="24"/>
          <w:highlight w:val="none"/>
        </w:rPr>
        <w:t xml:space="preserve"> </w:t>
      </w:r>
      <w:r>
        <w:rPr>
          <w:spacing w:val="-11"/>
          <w:sz w:val="24"/>
          <w:szCs w:val="24"/>
          <w:highlight w:val="none"/>
        </w:rPr>
        <w:t>号</w:t>
      </w:r>
      <w:r>
        <w:rPr>
          <w:spacing w:val="-40"/>
          <w:sz w:val="24"/>
          <w:szCs w:val="24"/>
          <w:highlight w:val="none"/>
        </w:rPr>
        <w:t>），</w:t>
      </w:r>
      <w:r>
        <w:rPr>
          <w:spacing w:val="-11"/>
          <w:sz w:val="24"/>
          <w:szCs w:val="24"/>
          <w:highlight w:val="none"/>
        </w:rPr>
        <w:t>工业和信息化部、国家统计局、发展改革委、</w:t>
      </w:r>
      <w:r>
        <w:rPr>
          <w:spacing w:val="-4"/>
          <w:sz w:val="24"/>
          <w:szCs w:val="24"/>
          <w:highlight w:val="none"/>
        </w:rPr>
        <w:t>财政部研究制定了《中小企业划型标准规定》。经国务院同意，现印发给你们，请遵照</w:t>
      </w:r>
      <w:r>
        <w:rPr>
          <w:spacing w:val="-10"/>
          <w:sz w:val="24"/>
          <w:szCs w:val="24"/>
          <w:highlight w:val="none"/>
        </w:rPr>
        <w:t>执行。</w:t>
      </w:r>
    </w:p>
    <w:p w14:paraId="45427804">
      <w:pPr>
        <w:pStyle w:val="4"/>
        <w:spacing w:before="2" w:line="218" w:lineRule="auto"/>
        <w:ind w:left="2713"/>
        <w:rPr>
          <w:sz w:val="24"/>
          <w:szCs w:val="24"/>
          <w:highlight w:val="none"/>
        </w:rPr>
      </w:pPr>
      <w:r>
        <w:rPr>
          <w:spacing w:val="-3"/>
          <w:sz w:val="24"/>
          <w:szCs w:val="24"/>
          <w:highlight w:val="none"/>
        </w:rPr>
        <w:t>工业和信息化部</w:t>
      </w:r>
      <w:r>
        <w:rPr>
          <w:spacing w:val="35"/>
          <w:sz w:val="24"/>
          <w:szCs w:val="24"/>
          <w:highlight w:val="none"/>
        </w:rPr>
        <w:t xml:space="preserve"> </w:t>
      </w:r>
      <w:r>
        <w:rPr>
          <w:spacing w:val="-3"/>
          <w:sz w:val="24"/>
          <w:szCs w:val="24"/>
          <w:highlight w:val="none"/>
        </w:rPr>
        <w:t>国家统计局</w:t>
      </w:r>
      <w:r>
        <w:rPr>
          <w:spacing w:val="34"/>
          <w:sz w:val="24"/>
          <w:szCs w:val="24"/>
          <w:highlight w:val="none"/>
        </w:rPr>
        <w:t xml:space="preserve"> </w:t>
      </w:r>
      <w:r>
        <w:rPr>
          <w:spacing w:val="-3"/>
          <w:sz w:val="24"/>
          <w:szCs w:val="24"/>
          <w:highlight w:val="none"/>
        </w:rPr>
        <w:t>国家发展和改革委员会 财政部</w:t>
      </w:r>
    </w:p>
    <w:p w14:paraId="34802F4E">
      <w:pPr>
        <w:pStyle w:val="4"/>
        <w:spacing w:before="214" w:line="220" w:lineRule="auto"/>
        <w:ind w:left="6675"/>
        <w:rPr>
          <w:sz w:val="24"/>
          <w:szCs w:val="24"/>
          <w:highlight w:val="none"/>
        </w:rPr>
      </w:pPr>
      <w:r>
        <w:rPr>
          <w:spacing w:val="-2"/>
          <w:sz w:val="24"/>
          <w:szCs w:val="24"/>
          <w:highlight w:val="none"/>
        </w:rPr>
        <w:t>二○一一年六月十八日</w:t>
      </w:r>
    </w:p>
    <w:p w14:paraId="58179954">
      <w:pPr>
        <w:pStyle w:val="4"/>
        <w:spacing w:before="214" w:line="220" w:lineRule="auto"/>
        <w:ind w:left="3352"/>
        <w:rPr>
          <w:sz w:val="24"/>
          <w:szCs w:val="24"/>
          <w:highlight w:val="none"/>
        </w:rPr>
      </w:pPr>
      <w:r>
        <w:rPr>
          <w:b/>
          <w:bCs/>
          <w:spacing w:val="-5"/>
          <w:sz w:val="24"/>
          <w:szCs w:val="24"/>
          <w:highlight w:val="none"/>
        </w:rPr>
        <w:t>中小企业划型标准规定</w:t>
      </w:r>
    </w:p>
    <w:p w14:paraId="23C238CD">
      <w:pPr>
        <w:pStyle w:val="4"/>
        <w:spacing w:before="215" w:line="384" w:lineRule="auto"/>
        <w:ind w:left="4" w:right="84" w:firstLine="480"/>
        <w:rPr>
          <w:sz w:val="24"/>
          <w:szCs w:val="24"/>
          <w:highlight w:val="none"/>
        </w:rPr>
      </w:pPr>
      <w:r>
        <w:rPr>
          <w:spacing w:val="-2"/>
          <w:sz w:val="24"/>
          <w:szCs w:val="24"/>
          <w:highlight w:val="none"/>
        </w:rPr>
        <w:t>一、根据《中华人民共和国中小企业促进法》和《国务院关于进一步促进中小企业</w:t>
      </w:r>
      <w:r>
        <w:rPr>
          <w:spacing w:val="-4"/>
          <w:sz w:val="24"/>
          <w:szCs w:val="24"/>
          <w:highlight w:val="none"/>
        </w:rPr>
        <w:t>发展的若干意见》</w:t>
      </w:r>
      <w:r>
        <w:rPr>
          <w:spacing w:val="-67"/>
          <w:sz w:val="24"/>
          <w:szCs w:val="24"/>
          <w:highlight w:val="none"/>
        </w:rPr>
        <w:t xml:space="preserve"> </w:t>
      </w:r>
      <w:r>
        <w:rPr>
          <w:spacing w:val="-4"/>
          <w:sz w:val="24"/>
          <w:szCs w:val="24"/>
          <w:highlight w:val="none"/>
        </w:rPr>
        <w:t>(国发〔2009〕36</w:t>
      </w:r>
      <w:r>
        <w:rPr>
          <w:spacing w:val="-45"/>
          <w:sz w:val="24"/>
          <w:szCs w:val="24"/>
          <w:highlight w:val="none"/>
        </w:rPr>
        <w:t xml:space="preserve"> </w:t>
      </w:r>
      <w:r>
        <w:rPr>
          <w:spacing w:val="-4"/>
          <w:sz w:val="24"/>
          <w:szCs w:val="24"/>
          <w:highlight w:val="none"/>
        </w:rPr>
        <w:t>号)，制定本规定。</w:t>
      </w:r>
    </w:p>
    <w:p w14:paraId="77BC063B">
      <w:pPr>
        <w:pStyle w:val="4"/>
        <w:spacing w:line="385" w:lineRule="auto"/>
        <w:ind w:right="84" w:firstLine="484"/>
        <w:rPr>
          <w:sz w:val="24"/>
          <w:szCs w:val="24"/>
          <w:highlight w:val="none"/>
        </w:rPr>
      </w:pPr>
      <w:r>
        <w:rPr>
          <w:spacing w:val="-7"/>
          <w:sz w:val="24"/>
          <w:szCs w:val="24"/>
          <w:highlight w:val="none"/>
        </w:rPr>
        <w:t>二、中小企业划分为中型、小型、微型三种类型，</w:t>
      </w:r>
      <w:r>
        <w:rPr>
          <w:spacing w:val="69"/>
          <w:sz w:val="24"/>
          <w:szCs w:val="24"/>
          <w:highlight w:val="none"/>
        </w:rPr>
        <w:t xml:space="preserve"> </w:t>
      </w:r>
      <w:r>
        <w:rPr>
          <w:spacing w:val="-7"/>
          <w:sz w:val="24"/>
          <w:szCs w:val="24"/>
          <w:highlight w:val="none"/>
        </w:rPr>
        <w:t>具体标准根据企业从业人员、营</w:t>
      </w:r>
      <w:r>
        <w:rPr>
          <w:spacing w:val="-2"/>
          <w:sz w:val="24"/>
          <w:szCs w:val="24"/>
          <w:highlight w:val="none"/>
        </w:rPr>
        <w:t>业收入、资产总额等指标，结合行业特点制定。</w:t>
      </w:r>
    </w:p>
    <w:p w14:paraId="3C098EEE">
      <w:pPr>
        <w:pStyle w:val="4"/>
        <w:spacing w:before="3" w:line="384" w:lineRule="auto"/>
        <w:ind w:left="2" w:right="84" w:firstLine="478"/>
        <w:rPr>
          <w:sz w:val="24"/>
          <w:szCs w:val="24"/>
          <w:highlight w:val="none"/>
        </w:rPr>
      </w:pPr>
      <w:r>
        <w:rPr>
          <w:spacing w:val="-7"/>
          <w:sz w:val="24"/>
          <w:szCs w:val="24"/>
          <w:highlight w:val="none"/>
        </w:rPr>
        <w:t>三、本规定适用的行业包括：</w:t>
      </w:r>
      <w:r>
        <w:rPr>
          <w:spacing w:val="73"/>
          <w:sz w:val="24"/>
          <w:szCs w:val="24"/>
          <w:highlight w:val="none"/>
        </w:rPr>
        <w:t xml:space="preserve"> </w:t>
      </w:r>
      <w:r>
        <w:rPr>
          <w:spacing w:val="-7"/>
          <w:sz w:val="24"/>
          <w:szCs w:val="24"/>
          <w:highlight w:val="none"/>
        </w:rPr>
        <w:t>农、林、牧、渔业，工业（包括采矿业，制造业，电</w:t>
      </w:r>
      <w:r>
        <w:rPr>
          <w:spacing w:val="-4"/>
          <w:sz w:val="24"/>
          <w:szCs w:val="24"/>
          <w:highlight w:val="none"/>
        </w:rPr>
        <w:t>力、热力、燃气及水生产和供应业</w:t>
      </w:r>
      <w:r>
        <w:rPr>
          <w:spacing w:val="1"/>
          <w:sz w:val="24"/>
          <w:szCs w:val="24"/>
          <w:highlight w:val="none"/>
        </w:rPr>
        <w:t>），</w:t>
      </w:r>
      <w:r>
        <w:rPr>
          <w:spacing w:val="-4"/>
          <w:sz w:val="24"/>
          <w:szCs w:val="24"/>
          <w:highlight w:val="none"/>
        </w:rPr>
        <w:t>建筑业，批发业，零售业，交通运输业（不含铁</w:t>
      </w:r>
      <w:r>
        <w:rPr>
          <w:spacing w:val="-3"/>
          <w:sz w:val="24"/>
          <w:szCs w:val="24"/>
          <w:highlight w:val="none"/>
        </w:rPr>
        <w:t>路运输业</w:t>
      </w:r>
      <w:r>
        <w:rPr>
          <w:spacing w:val="-15"/>
          <w:sz w:val="24"/>
          <w:szCs w:val="24"/>
          <w:highlight w:val="none"/>
        </w:rPr>
        <w:t>），</w:t>
      </w:r>
      <w:r>
        <w:rPr>
          <w:spacing w:val="-3"/>
          <w:sz w:val="24"/>
          <w:szCs w:val="24"/>
          <w:highlight w:val="none"/>
        </w:rPr>
        <w:t>仓储业，邮政业，住宿业，餐饮业，信</w:t>
      </w:r>
      <w:r>
        <w:rPr>
          <w:spacing w:val="-4"/>
          <w:sz w:val="24"/>
          <w:szCs w:val="24"/>
          <w:highlight w:val="none"/>
        </w:rPr>
        <w:t>息传输业（包括电信、互联网和相关服务</w:t>
      </w:r>
      <w:r>
        <w:rPr>
          <w:spacing w:val="-18"/>
          <w:sz w:val="24"/>
          <w:szCs w:val="24"/>
          <w:highlight w:val="none"/>
        </w:rPr>
        <w:t>），</w:t>
      </w:r>
      <w:r>
        <w:rPr>
          <w:spacing w:val="-4"/>
          <w:sz w:val="24"/>
          <w:szCs w:val="24"/>
          <w:highlight w:val="none"/>
        </w:rPr>
        <w:t>软件和信息技术服务业，房地产开发经营，物业管理，租赁和商务</w:t>
      </w:r>
      <w:r>
        <w:rPr>
          <w:spacing w:val="-5"/>
          <w:sz w:val="24"/>
          <w:szCs w:val="24"/>
          <w:highlight w:val="none"/>
        </w:rPr>
        <w:t>服务业，</w:t>
      </w:r>
    </w:p>
    <w:p w14:paraId="635618C1">
      <w:pPr>
        <w:pStyle w:val="4"/>
        <w:spacing w:before="2" w:line="384" w:lineRule="auto"/>
        <w:ind w:left="1" w:right="84"/>
        <w:rPr>
          <w:sz w:val="24"/>
          <w:szCs w:val="24"/>
          <w:highlight w:val="none"/>
        </w:rPr>
      </w:pPr>
      <w:r>
        <w:rPr>
          <w:spacing w:val="-6"/>
          <w:sz w:val="24"/>
          <w:szCs w:val="24"/>
          <w:highlight w:val="none"/>
        </w:rPr>
        <w:t>其他未列明行业（包括科学研究和技术服务业，水利、环境和公共设施管理</w:t>
      </w:r>
      <w:r>
        <w:rPr>
          <w:spacing w:val="-7"/>
          <w:sz w:val="24"/>
          <w:szCs w:val="24"/>
          <w:highlight w:val="none"/>
        </w:rPr>
        <w:t>业，</w:t>
      </w:r>
      <w:r>
        <w:rPr>
          <w:spacing w:val="53"/>
          <w:sz w:val="24"/>
          <w:szCs w:val="24"/>
          <w:highlight w:val="none"/>
        </w:rPr>
        <w:t xml:space="preserve"> </w:t>
      </w:r>
      <w:r>
        <w:rPr>
          <w:spacing w:val="-7"/>
          <w:sz w:val="24"/>
          <w:szCs w:val="24"/>
          <w:highlight w:val="none"/>
        </w:rPr>
        <w:t>居民服</w:t>
      </w:r>
      <w:r>
        <w:rPr>
          <w:spacing w:val="-5"/>
          <w:sz w:val="24"/>
          <w:szCs w:val="24"/>
          <w:highlight w:val="none"/>
        </w:rPr>
        <w:t>务、修理和其他服务业，社会工作，文化、</w:t>
      </w:r>
      <w:r>
        <w:rPr>
          <w:spacing w:val="-6"/>
          <w:sz w:val="24"/>
          <w:szCs w:val="24"/>
          <w:highlight w:val="none"/>
        </w:rPr>
        <w:t>体育和娱乐业等）。</w:t>
      </w:r>
    </w:p>
    <w:p w14:paraId="616215F7">
      <w:pPr>
        <w:pStyle w:val="4"/>
        <w:spacing w:line="220" w:lineRule="auto"/>
        <w:ind w:left="503"/>
        <w:rPr>
          <w:sz w:val="24"/>
          <w:szCs w:val="24"/>
          <w:highlight w:val="none"/>
        </w:rPr>
      </w:pPr>
      <w:r>
        <w:rPr>
          <w:spacing w:val="-3"/>
          <w:sz w:val="24"/>
          <w:szCs w:val="24"/>
          <w:highlight w:val="none"/>
        </w:rPr>
        <w:t>四、各行业划型标准为</w:t>
      </w:r>
    </w:p>
    <w:p w14:paraId="48819CD0">
      <w:pPr>
        <w:pStyle w:val="4"/>
        <w:spacing w:before="212" w:line="385" w:lineRule="auto"/>
        <w:ind w:right="86" w:firstLine="487"/>
        <w:rPr>
          <w:sz w:val="24"/>
          <w:szCs w:val="24"/>
          <w:highlight w:val="none"/>
        </w:rPr>
      </w:pPr>
      <w:r>
        <w:rPr>
          <w:spacing w:val="-7"/>
          <w:sz w:val="24"/>
          <w:szCs w:val="24"/>
          <w:highlight w:val="none"/>
        </w:rPr>
        <w:t>（一）农、林、牧、渔业。营业收入</w:t>
      </w:r>
      <w:r>
        <w:rPr>
          <w:spacing w:val="-47"/>
          <w:sz w:val="24"/>
          <w:szCs w:val="24"/>
          <w:highlight w:val="none"/>
        </w:rPr>
        <w:t xml:space="preserve"> </w:t>
      </w:r>
      <w:r>
        <w:rPr>
          <w:spacing w:val="-7"/>
          <w:sz w:val="24"/>
          <w:szCs w:val="24"/>
          <w:highlight w:val="none"/>
        </w:rPr>
        <w:t>20000</w:t>
      </w:r>
      <w:r>
        <w:rPr>
          <w:spacing w:val="-45"/>
          <w:sz w:val="24"/>
          <w:szCs w:val="24"/>
          <w:highlight w:val="none"/>
        </w:rPr>
        <w:t xml:space="preserve"> </w:t>
      </w:r>
      <w:r>
        <w:rPr>
          <w:spacing w:val="-7"/>
          <w:sz w:val="24"/>
          <w:szCs w:val="24"/>
          <w:highlight w:val="none"/>
        </w:rPr>
        <w:t>万元以下的</w:t>
      </w:r>
      <w:r>
        <w:rPr>
          <w:spacing w:val="-8"/>
          <w:sz w:val="24"/>
          <w:szCs w:val="24"/>
          <w:highlight w:val="none"/>
        </w:rPr>
        <w:t>为中小微型企业。其中，</w:t>
      </w:r>
      <w:r>
        <w:rPr>
          <w:spacing w:val="63"/>
          <w:sz w:val="24"/>
          <w:szCs w:val="24"/>
          <w:highlight w:val="none"/>
        </w:rPr>
        <w:t xml:space="preserve"> </w:t>
      </w:r>
      <w:r>
        <w:rPr>
          <w:spacing w:val="-8"/>
          <w:sz w:val="24"/>
          <w:szCs w:val="24"/>
          <w:highlight w:val="none"/>
        </w:rPr>
        <w:t>营</w:t>
      </w:r>
      <w:r>
        <w:rPr>
          <w:spacing w:val="-2"/>
          <w:sz w:val="24"/>
          <w:szCs w:val="24"/>
          <w:highlight w:val="none"/>
        </w:rPr>
        <w:t>业收入</w:t>
      </w:r>
      <w:r>
        <w:rPr>
          <w:spacing w:val="-36"/>
          <w:sz w:val="24"/>
          <w:szCs w:val="24"/>
          <w:highlight w:val="none"/>
        </w:rPr>
        <w:t xml:space="preserve"> </w:t>
      </w:r>
      <w:r>
        <w:rPr>
          <w:spacing w:val="-2"/>
          <w:sz w:val="24"/>
          <w:szCs w:val="24"/>
          <w:highlight w:val="none"/>
        </w:rPr>
        <w:t>500</w:t>
      </w:r>
      <w:r>
        <w:rPr>
          <w:spacing w:val="-45"/>
          <w:sz w:val="24"/>
          <w:szCs w:val="24"/>
          <w:highlight w:val="none"/>
        </w:rPr>
        <w:t xml:space="preserve"> </w:t>
      </w:r>
      <w:r>
        <w:rPr>
          <w:spacing w:val="-2"/>
          <w:sz w:val="24"/>
          <w:szCs w:val="24"/>
          <w:highlight w:val="none"/>
        </w:rPr>
        <w:t>万元及以上的为中型企业，营业收入</w:t>
      </w:r>
      <w:r>
        <w:rPr>
          <w:spacing w:val="-45"/>
          <w:sz w:val="24"/>
          <w:szCs w:val="24"/>
          <w:highlight w:val="none"/>
        </w:rPr>
        <w:t xml:space="preserve"> </w:t>
      </w:r>
      <w:r>
        <w:rPr>
          <w:spacing w:val="-2"/>
          <w:sz w:val="24"/>
          <w:szCs w:val="24"/>
          <w:highlight w:val="none"/>
        </w:rPr>
        <w:t>50</w:t>
      </w:r>
      <w:r>
        <w:rPr>
          <w:spacing w:val="-45"/>
          <w:sz w:val="24"/>
          <w:szCs w:val="24"/>
          <w:highlight w:val="none"/>
        </w:rPr>
        <w:t xml:space="preserve"> </w:t>
      </w:r>
      <w:r>
        <w:rPr>
          <w:spacing w:val="-2"/>
          <w:sz w:val="24"/>
          <w:szCs w:val="24"/>
          <w:highlight w:val="none"/>
        </w:rPr>
        <w:t>万元及以上的为小型企业，营业收</w:t>
      </w:r>
      <w:r>
        <w:rPr>
          <w:spacing w:val="-5"/>
          <w:sz w:val="24"/>
          <w:szCs w:val="24"/>
          <w:highlight w:val="none"/>
        </w:rPr>
        <w:t>入</w:t>
      </w:r>
      <w:r>
        <w:rPr>
          <w:spacing w:val="-45"/>
          <w:sz w:val="24"/>
          <w:szCs w:val="24"/>
          <w:highlight w:val="none"/>
        </w:rPr>
        <w:t xml:space="preserve"> </w:t>
      </w:r>
      <w:r>
        <w:rPr>
          <w:spacing w:val="-5"/>
          <w:sz w:val="24"/>
          <w:szCs w:val="24"/>
          <w:highlight w:val="none"/>
        </w:rPr>
        <w:t>50</w:t>
      </w:r>
      <w:r>
        <w:rPr>
          <w:spacing w:val="-45"/>
          <w:sz w:val="24"/>
          <w:szCs w:val="24"/>
          <w:highlight w:val="none"/>
        </w:rPr>
        <w:t xml:space="preserve"> </w:t>
      </w:r>
      <w:r>
        <w:rPr>
          <w:spacing w:val="-5"/>
          <w:sz w:val="24"/>
          <w:szCs w:val="24"/>
          <w:highlight w:val="none"/>
        </w:rPr>
        <w:t>万元以下的为微型企业。</w:t>
      </w:r>
    </w:p>
    <w:p w14:paraId="353D3E19">
      <w:pPr>
        <w:pStyle w:val="4"/>
        <w:spacing w:before="1" w:line="219" w:lineRule="auto"/>
        <w:jc w:val="right"/>
        <w:rPr>
          <w:sz w:val="24"/>
          <w:szCs w:val="24"/>
          <w:highlight w:val="none"/>
        </w:rPr>
      </w:pPr>
      <w:r>
        <w:rPr>
          <w:b/>
          <w:bCs/>
          <w:spacing w:val="-5"/>
          <w:sz w:val="24"/>
          <w:szCs w:val="24"/>
          <w:highlight w:val="none"/>
        </w:rPr>
        <w:t>（二）工业。从业人员</w:t>
      </w:r>
      <w:r>
        <w:rPr>
          <w:spacing w:val="-31"/>
          <w:sz w:val="24"/>
          <w:szCs w:val="24"/>
          <w:highlight w:val="none"/>
        </w:rPr>
        <w:t xml:space="preserve"> </w:t>
      </w:r>
      <w:r>
        <w:rPr>
          <w:b/>
          <w:bCs/>
          <w:spacing w:val="-5"/>
          <w:sz w:val="24"/>
          <w:szCs w:val="24"/>
          <w:highlight w:val="none"/>
        </w:rPr>
        <w:t>1000</w:t>
      </w:r>
      <w:r>
        <w:rPr>
          <w:spacing w:val="-48"/>
          <w:sz w:val="24"/>
          <w:szCs w:val="24"/>
          <w:highlight w:val="none"/>
        </w:rPr>
        <w:t xml:space="preserve"> </w:t>
      </w:r>
      <w:r>
        <w:rPr>
          <w:b/>
          <w:bCs/>
          <w:spacing w:val="-5"/>
          <w:sz w:val="24"/>
          <w:szCs w:val="24"/>
          <w:highlight w:val="none"/>
        </w:rPr>
        <w:t>人以下或营业收入40000</w:t>
      </w:r>
      <w:r>
        <w:rPr>
          <w:spacing w:val="-45"/>
          <w:sz w:val="24"/>
          <w:szCs w:val="24"/>
          <w:highlight w:val="none"/>
        </w:rPr>
        <w:t xml:space="preserve"> </w:t>
      </w:r>
      <w:r>
        <w:rPr>
          <w:b/>
          <w:bCs/>
          <w:spacing w:val="-5"/>
          <w:sz w:val="24"/>
          <w:szCs w:val="24"/>
          <w:highlight w:val="none"/>
        </w:rPr>
        <w:t>万元以下的为中小微型企业。</w:t>
      </w:r>
    </w:p>
    <w:p w14:paraId="0204E63B">
      <w:pPr>
        <w:pStyle w:val="4"/>
        <w:spacing w:before="216" w:line="220" w:lineRule="auto"/>
        <w:ind w:left="1"/>
        <w:rPr>
          <w:sz w:val="24"/>
          <w:szCs w:val="24"/>
          <w:highlight w:val="none"/>
        </w:rPr>
      </w:pPr>
      <w:r>
        <w:rPr>
          <w:b/>
          <w:bCs/>
          <w:spacing w:val="-3"/>
          <w:sz w:val="24"/>
          <w:szCs w:val="24"/>
          <w:highlight w:val="none"/>
        </w:rPr>
        <w:t>其中，从业人员</w:t>
      </w:r>
      <w:r>
        <w:rPr>
          <w:spacing w:val="-45"/>
          <w:sz w:val="24"/>
          <w:szCs w:val="24"/>
          <w:highlight w:val="none"/>
        </w:rPr>
        <w:t xml:space="preserve"> </w:t>
      </w:r>
      <w:r>
        <w:rPr>
          <w:b/>
          <w:bCs/>
          <w:spacing w:val="-3"/>
          <w:sz w:val="24"/>
          <w:szCs w:val="24"/>
          <w:highlight w:val="none"/>
        </w:rPr>
        <w:t>300</w:t>
      </w:r>
      <w:r>
        <w:rPr>
          <w:spacing w:val="-46"/>
          <w:sz w:val="24"/>
          <w:szCs w:val="24"/>
          <w:highlight w:val="none"/>
        </w:rPr>
        <w:t xml:space="preserve"> </w:t>
      </w:r>
      <w:r>
        <w:rPr>
          <w:b/>
          <w:bCs/>
          <w:spacing w:val="-3"/>
          <w:sz w:val="24"/>
          <w:szCs w:val="24"/>
          <w:highlight w:val="none"/>
        </w:rPr>
        <w:t>人及以上，且营业收入</w:t>
      </w:r>
      <w:r>
        <w:rPr>
          <w:spacing w:val="-47"/>
          <w:sz w:val="24"/>
          <w:szCs w:val="24"/>
          <w:highlight w:val="none"/>
        </w:rPr>
        <w:t xml:space="preserve"> </w:t>
      </w:r>
      <w:r>
        <w:rPr>
          <w:b/>
          <w:bCs/>
          <w:spacing w:val="-3"/>
          <w:sz w:val="24"/>
          <w:szCs w:val="24"/>
          <w:highlight w:val="none"/>
        </w:rPr>
        <w:t>2000</w:t>
      </w:r>
      <w:r>
        <w:rPr>
          <w:spacing w:val="-42"/>
          <w:sz w:val="24"/>
          <w:szCs w:val="24"/>
          <w:highlight w:val="none"/>
        </w:rPr>
        <w:t xml:space="preserve"> </w:t>
      </w:r>
      <w:r>
        <w:rPr>
          <w:b/>
          <w:bCs/>
          <w:spacing w:val="-3"/>
          <w:sz w:val="24"/>
          <w:szCs w:val="24"/>
          <w:highlight w:val="none"/>
        </w:rPr>
        <w:t>万</w:t>
      </w:r>
      <w:r>
        <w:rPr>
          <w:b/>
          <w:bCs/>
          <w:spacing w:val="-4"/>
          <w:sz w:val="24"/>
          <w:szCs w:val="24"/>
          <w:highlight w:val="none"/>
        </w:rPr>
        <w:t>元及以上的为中型企业；从业人员</w:t>
      </w:r>
    </w:p>
    <w:p w14:paraId="02AB44F3">
      <w:pPr>
        <w:spacing w:line="220" w:lineRule="auto"/>
        <w:rPr>
          <w:sz w:val="24"/>
          <w:szCs w:val="24"/>
          <w:highlight w:val="none"/>
        </w:rPr>
        <w:sectPr>
          <w:footerReference r:id="rId38" w:type="default"/>
          <w:pgSz w:w="11907" w:h="16839"/>
          <w:pgMar w:top="1431" w:right="1330" w:bottom="1159" w:left="1427" w:header="0" w:footer="959" w:gutter="0"/>
          <w:cols w:space="720" w:num="1"/>
        </w:sectPr>
      </w:pPr>
    </w:p>
    <w:p w14:paraId="0EF06683">
      <w:pPr>
        <w:pStyle w:val="4"/>
        <w:spacing w:before="203" w:line="385" w:lineRule="auto"/>
        <w:ind w:right="84" w:firstLine="3"/>
        <w:rPr>
          <w:sz w:val="24"/>
          <w:szCs w:val="24"/>
          <w:highlight w:val="none"/>
        </w:rPr>
      </w:pPr>
      <w:r>
        <w:rPr>
          <w:b/>
          <w:bCs/>
          <w:spacing w:val="-4"/>
          <w:sz w:val="24"/>
          <w:szCs w:val="24"/>
          <w:highlight w:val="none"/>
        </w:rPr>
        <w:t>20</w:t>
      </w:r>
      <w:r>
        <w:rPr>
          <w:spacing w:val="-49"/>
          <w:sz w:val="24"/>
          <w:szCs w:val="24"/>
          <w:highlight w:val="none"/>
        </w:rPr>
        <w:t xml:space="preserve"> </w:t>
      </w:r>
      <w:r>
        <w:rPr>
          <w:b/>
          <w:bCs/>
          <w:spacing w:val="-4"/>
          <w:sz w:val="24"/>
          <w:szCs w:val="24"/>
          <w:highlight w:val="none"/>
        </w:rPr>
        <w:t>人及以上，且营业收入</w:t>
      </w:r>
      <w:r>
        <w:rPr>
          <w:spacing w:val="-44"/>
          <w:sz w:val="24"/>
          <w:szCs w:val="24"/>
          <w:highlight w:val="none"/>
        </w:rPr>
        <w:t xml:space="preserve"> </w:t>
      </w:r>
      <w:r>
        <w:rPr>
          <w:b/>
          <w:bCs/>
          <w:spacing w:val="-4"/>
          <w:sz w:val="24"/>
          <w:szCs w:val="24"/>
          <w:highlight w:val="none"/>
        </w:rPr>
        <w:t>300</w:t>
      </w:r>
      <w:r>
        <w:rPr>
          <w:spacing w:val="-42"/>
          <w:sz w:val="24"/>
          <w:szCs w:val="24"/>
          <w:highlight w:val="none"/>
        </w:rPr>
        <w:t xml:space="preserve"> </w:t>
      </w:r>
      <w:r>
        <w:rPr>
          <w:b/>
          <w:bCs/>
          <w:spacing w:val="-4"/>
          <w:sz w:val="24"/>
          <w:szCs w:val="24"/>
          <w:highlight w:val="none"/>
        </w:rPr>
        <w:t>万元及以上的为小型企业；从</w:t>
      </w:r>
      <w:r>
        <w:rPr>
          <w:b/>
          <w:bCs/>
          <w:spacing w:val="-5"/>
          <w:sz w:val="24"/>
          <w:szCs w:val="24"/>
          <w:highlight w:val="none"/>
        </w:rPr>
        <w:t>业人员</w:t>
      </w:r>
      <w:r>
        <w:rPr>
          <w:spacing w:val="-47"/>
          <w:sz w:val="24"/>
          <w:szCs w:val="24"/>
          <w:highlight w:val="none"/>
        </w:rPr>
        <w:t xml:space="preserve"> </w:t>
      </w:r>
      <w:r>
        <w:rPr>
          <w:b/>
          <w:bCs/>
          <w:spacing w:val="-5"/>
          <w:sz w:val="24"/>
          <w:szCs w:val="24"/>
          <w:highlight w:val="none"/>
        </w:rPr>
        <w:t>20</w:t>
      </w:r>
      <w:r>
        <w:rPr>
          <w:spacing w:val="-48"/>
          <w:sz w:val="24"/>
          <w:szCs w:val="24"/>
          <w:highlight w:val="none"/>
        </w:rPr>
        <w:t xml:space="preserve"> </w:t>
      </w:r>
      <w:r>
        <w:rPr>
          <w:b/>
          <w:bCs/>
          <w:spacing w:val="-5"/>
          <w:sz w:val="24"/>
          <w:szCs w:val="24"/>
          <w:highlight w:val="none"/>
        </w:rPr>
        <w:t>人以下或营业收入</w:t>
      </w:r>
      <w:r>
        <w:rPr>
          <w:spacing w:val="-35"/>
          <w:sz w:val="24"/>
          <w:szCs w:val="24"/>
          <w:highlight w:val="none"/>
        </w:rPr>
        <w:t xml:space="preserve"> </w:t>
      </w:r>
      <w:r>
        <w:rPr>
          <w:b/>
          <w:bCs/>
          <w:spacing w:val="-5"/>
          <w:sz w:val="24"/>
          <w:szCs w:val="24"/>
          <w:highlight w:val="none"/>
        </w:rPr>
        <w:t>300</w:t>
      </w:r>
      <w:r>
        <w:rPr>
          <w:spacing w:val="-44"/>
          <w:sz w:val="24"/>
          <w:szCs w:val="24"/>
          <w:highlight w:val="none"/>
        </w:rPr>
        <w:t xml:space="preserve"> </w:t>
      </w:r>
      <w:r>
        <w:rPr>
          <w:b/>
          <w:bCs/>
          <w:spacing w:val="-5"/>
          <w:sz w:val="24"/>
          <w:szCs w:val="24"/>
          <w:highlight w:val="none"/>
        </w:rPr>
        <w:t>万元以下的为微型企业。</w:t>
      </w:r>
    </w:p>
    <w:p w14:paraId="61105C6B">
      <w:pPr>
        <w:pStyle w:val="4"/>
        <w:spacing w:before="2" w:line="384" w:lineRule="auto"/>
        <w:ind w:left="2" w:right="82" w:firstLine="484"/>
        <w:rPr>
          <w:sz w:val="24"/>
          <w:szCs w:val="24"/>
          <w:highlight w:val="none"/>
        </w:rPr>
      </w:pPr>
      <w:r>
        <w:rPr>
          <w:spacing w:val="-3"/>
          <w:sz w:val="24"/>
          <w:szCs w:val="24"/>
          <w:highlight w:val="none"/>
        </w:rPr>
        <w:t>（三）建筑业。营业收入</w:t>
      </w:r>
      <w:r>
        <w:rPr>
          <w:spacing w:val="-48"/>
          <w:sz w:val="24"/>
          <w:szCs w:val="24"/>
          <w:highlight w:val="none"/>
        </w:rPr>
        <w:t xml:space="preserve"> </w:t>
      </w:r>
      <w:r>
        <w:rPr>
          <w:spacing w:val="-3"/>
          <w:sz w:val="24"/>
          <w:szCs w:val="24"/>
          <w:highlight w:val="none"/>
        </w:rPr>
        <w:t>80000</w:t>
      </w:r>
      <w:r>
        <w:rPr>
          <w:spacing w:val="-45"/>
          <w:sz w:val="24"/>
          <w:szCs w:val="24"/>
          <w:highlight w:val="none"/>
        </w:rPr>
        <w:t xml:space="preserve"> </w:t>
      </w:r>
      <w:r>
        <w:rPr>
          <w:spacing w:val="-3"/>
          <w:sz w:val="24"/>
          <w:szCs w:val="24"/>
          <w:highlight w:val="none"/>
        </w:rPr>
        <w:t>万元以下或资产总额</w:t>
      </w:r>
      <w:r>
        <w:rPr>
          <w:spacing w:val="-49"/>
          <w:sz w:val="24"/>
          <w:szCs w:val="24"/>
          <w:highlight w:val="none"/>
        </w:rPr>
        <w:t xml:space="preserve"> </w:t>
      </w:r>
      <w:r>
        <w:rPr>
          <w:spacing w:val="-3"/>
          <w:sz w:val="24"/>
          <w:szCs w:val="24"/>
          <w:highlight w:val="none"/>
        </w:rPr>
        <w:t>80000</w:t>
      </w:r>
      <w:r>
        <w:rPr>
          <w:spacing w:val="-45"/>
          <w:sz w:val="24"/>
          <w:szCs w:val="24"/>
          <w:highlight w:val="none"/>
        </w:rPr>
        <w:t xml:space="preserve"> </w:t>
      </w:r>
      <w:r>
        <w:rPr>
          <w:spacing w:val="-3"/>
          <w:sz w:val="24"/>
          <w:szCs w:val="24"/>
          <w:highlight w:val="none"/>
        </w:rPr>
        <w:t>万元以下的为中小微型企业。其中，营业收入</w:t>
      </w:r>
      <w:r>
        <w:rPr>
          <w:spacing w:val="-41"/>
          <w:sz w:val="24"/>
          <w:szCs w:val="24"/>
          <w:highlight w:val="none"/>
        </w:rPr>
        <w:t xml:space="preserve"> </w:t>
      </w:r>
      <w:r>
        <w:rPr>
          <w:spacing w:val="-3"/>
          <w:sz w:val="24"/>
          <w:szCs w:val="24"/>
          <w:highlight w:val="none"/>
        </w:rPr>
        <w:t>6000</w:t>
      </w:r>
      <w:r>
        <w:rPr>
          <w:spacing w:val="-45"/>
          <w:sz w:val="24"/>
          <w:szCs w:val="24"/>
          <w:highlight w:val="none"/>
        </w:rPr>
        <w:t xml:space="preserve"> </w:t>
      </w:r>
      <w:r>
        <w:rPr>
          <w:spacing w:val="-3"/>
          <w:sz w:val="24"/>
          <w:szCs w:val="24"/>
          <w:highlight w:val="none"/>
        </w:rPr>
        <w:t>万元及以上，且资产总额</w:t>
      </w:r>
      <w:r>
        <w:rPr>
          <w:spacing w:val="-45"/>
          <w:sz w:val="24"/>
          <w:szCs w:val="24"/>
          <w:highlight w:val="none"/>
        </w:rPr>
        <w:t xml:space="preserve"> </w:t>
      </w:r>
      <w:r>
        <w:rPr>
          <w:spacing w:val="-3"/>
          <w:sz w:val="24"/>
          <w:szCs w:val="24"/>
          <w:highlight w:val="none"/>
        </w:rPr>
        <w:t>5000</w:t>
      </w:r>
      <w:r>
        <w:rPr>
          <w:spacing w:val="-45"/>
          <w:sz w:val="24"/>
          <w:szCs w:val="24"/>
          <w:highlight w:val="none"/>
        </w:rPr>
        <w:t xml:space="preserve"> </w:t>
      </w:r>
      <w:r>
        <w:rPr>
          <w:spacing w:val="-3"/>
          <w:sz w:val="24"/>
          <w:szCs w:val="24"/>
          <w:highlight w:val="none"/>
        </w:rPr>
        <w:t>万元及以上的为中型企业；</w:t>
      </w:r>
      <w:r>
        <w:rPr>
          <w:spacing w:val="-4"/>
          <w:sz w:val="24"/>
          <w:szCs w:val="24"/>
          <w:highlight w:val="none"/>
        </w:rPr>
        <w:t>营业收入</w:t>
      </w:r>
      <w:r>
        <w:rPr>
          <w:spacing w:val="-31"/>
          <w:sz w:val="24"/>
          <w:szCs w:val="24"/>
          <w:highlight w:val="none"/>
        </w:rPr>
        <w:t xml:space="preserve"> </w:t>
      </w:r>
      <w:r>
        <w:rPr>
          <w:spacing w:val="-4"/>
          <w:sz w:val="24"/>
          <w:szCs w:val="24"/>
          <w:highlight w:val="none"/>
        </w:rPr>
        <w:t>300</w:t>
      </w:r>
      <w:r>
        <w:rPr>
          <w:spacing w:val="-44"/>
          <w:sz w:val="24"/>
          <w:szCs w:val="24"/>
          <w:highlight w:val="none"/>
        </w:rPr>
        <w:t xml:space="preserve"> </w:t>
      </w:r>
      <w:r>
        <w:rPr>
          <w:spacing w:val="-4"/>
          <w:sz w:val="24"/>
          <w:szCs w:val="24"/>
          <w:highlight w:val="none"/>
        </w:rPr>
        <w:t>万元及以上，且资产总额</w:t>
      </w:r>
      <w:r>
        <w:rPr>
          <w:spacing w:val="-46"/>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万元及以上的为小型企业；营业收入</w:t>
      </w:r>
      <w:r>
        <w:rPr>
          <w:spacing w:val="-44"/>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万元以下或资产总额</w:t>
      </w:r>
      <w:r>
        <w:rPr>
          <w:spacing w:val="-30"/>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万元以下的为微型企业。</w:t>
      </w:r>
    </w:p>
    <w:p w14:paraId="22A3C9EA">
      <w:pPr>
        <w:pStyle w:val="4"/>
        <w:spacing w:before="2" w:line="384" w:lineRule="auto"/>
        <w:ind w:left="1" w:firstLine="485"/>
        <w:rPr>
          <w:sz w:val="24"/>
          <w:szCs w:val="24"/>
          <w:highlight w:val="none"/>
        </w:rPr>
      </w:pPr>
      <w:r>
        <w:rPr>
          <w:spacing w:val="-5"/>
          <w:sz w:val="24"/>
          <w:szCs w:val="24"/>
          <w:highlight w:val="none"/>
        </w:rPr>
        <w:t>（四）批发业。从业人员</w:t>
      </w:r>
      <w:r>
        <w:rPr>
          <w:spacing w:val="-47"/>
          <w:sz w:val="24"/>
          <w:szCs w:val="24"/>
          <w:highlight w:val="none"/>
        </w:rPr>
        <w:t xml:space="preserve"> </w:t>
      </w:r>
      <w:r>
        <w:rPr>
          <w:spacing w:val="-5"/>
          <w:sz w:val="24"/>
          <w:szCs w:val="24"/>
          <w:highlight w:val="none"/>
        </w:rPr>
        <w:t>200</w:t>
      </w:r>
      <w:r>
        <w:rPr>
          <w:spacing w:val="-49"/>
          <w:sz w:val="24"/>
          <w:szCs w:val="24"/>
          <w:highlight w:val="none"/>
        </w:rPr>
        <w:t xml:space="preserve"> </w:t>
      </w:r>
      <w:r>
        <w:rPr>
          <w:spacing w:val="-5"/>
          <w:sz w:val="24"/>
          <w:szCs w:val="24"/>
          <w:highlight w:val="none"/>
        </w:rPr>
        <w:t>人以下或营业收入40000</w:t>
      </w:r>
      <w:r>
        <w:rPr>
          <w:spacing w:val="-45"/>
          <w:sz w:val="24"/>
          <w:szCs w:val="24"/>
          <w:highlight w:val="none"/>
        </w:rPr>
        <w:t xml:space="preserve"> </w:t>
      </w:r>
      <w:r>
        <w:rPr>
          <w:spacing w:val="-5"/>
          <w:sz w:val="24"/>
          <w:szCs w:val="24"/>
          <w:highlight w:val="none"/>
        </w:rPr>
        <w:t>万元以下的为中小微型企业。</w:t>
      </w:r>
      <w:r>
        <w:rPr>
          <w:spacing w:val="-2"/>
          <w:sz w:val="24"/>
          <w:szCs w:val="24"/>
          <w:highlight w:val="none"/>
        </w:rPr>
        <w:t>其中，从业人员</w:t>
      </w:r>
      <w:r>
        <w:rPr>
          <w:spacing w:val="-47"/>
          <w:sz w:val="24"/>
          <w:szCs w:val="24"/>
          <w:highlight w:val="none"/>
        </w:rPr>
        <w:t xml:space="preserve"> </w:t>
      </w:r>
      <w:r>
        <w:rPr>
          <w:spacing w:val="-2"/>
          <w:sz w:val="24"/>
          <w:szCs w:val="24"/>
          <w:highlight w:val="none"/>
        </w:rPr>
        <w:t>20</w:t>
      </w:r>
      <w:r>
        <w:rPr>
          <w:spacing w:val="-48"/>
          <w:sz w:val="24"/>
          <w:szCs w:val="24"/>
          <w:highlight w:val="none"/>
        </w:rPr>
        <w:t xml:space="preserve"> </w:t>
      </w:r>
      <w:r>
        <w:rPr>
          <w:spacing w:val="-2"/>
          <w:sz w:val="24"/>
          <w:szCs w:val="24"/>
          <w:highlight w:val="none"/>
        </w:rPr>
        <w:t>人及以上，且营业收入</w:t>
      </w:r>
      <w:r>
        <w:rPr>
          <w:spacing w:val="-46"/>
          <w:sz w:val="24"/>
          <w:szCs w:val="24"/>
          <w:highlight w:val="none"/>
        </w:rPr>
        <w:t xml:space="preserve"> </w:t>
      </w:r>
      <w:r>
        <w:rPr>
          <w:spacing w:val="-2"/>
          <w:sz w:val="24"/>
          <w:szCs w:val="24"/>
          <w:highlight w:val="none"/>
        </w:rPr>
        <w:t>5000</w:t>
      </w:r>
      <w:r>
        <w:rPr>
          <w:spacing w:val="-44"/>
          <w:sz w:val="24"/>
          <w:szCs w:val="24"/>
          <w:highlight w:val="none"/>
        </w:rPr>
        <w:t xml:space="preserve"> </w:t>
      </w:r>
      <w:r>
        <w:rPr>
          <w:spacing w:val="-2"/>
          <w:sz w:val="24"/>
          <w:szCs w:val="24"/>
          <w:highlight w:val="none"/>
        </w:rPr>
        <w:t>万元及以上的为中型企业；从业人员</w:t>
      </w:r>
      <w:r>
        <w:rPr>
          <w:spacing w:val="-45"/>
          <w:sz w:val="24"/>
          <w:szCs w:val="24"/>
          <w:highlight w:val="none"/>
        </w:rPr>
        <w:t xml:space="preserve"> </w:t>
      </w:r>
      <w:r>
        <w:rPr>
          <w:spacing w:val="-2"/>
          <w:sz w:val="24"/>
          <w:szCs w:val="24"/>
          <w:highlight w:val="none"/>
        </w:rPr>
        <w:t>5人及以上，且营业收入</w:t>
      </w:r>
      <w:r>
        <w:rPr>
          <w:spacing w:val="-32"/>
          <w:sz w:val="24"/>
          <w:szCs w:val="24"/>
          <w:highlight w:val="none"/>
        </w:rPr>
        <w:t xml:space="preserve"> </w:t>
      </w:r>
      <w:r>
        <w:rPr>
          <w:spacing w:val="-2"/>
          <w:sz w:val="24"/>
          <w:szCs w:val="24"/>
          <w:highlight w:val="none"/>
        </w:rPr>
        <w:t>1000</w:t>
      </w:r>
      <w:r>
        <w:rPr>
          <w:spacing w:val="-45"/>
          <w:sz w:val="24"/>
          <w:szCs w:val="24"/>
          <w:highlight w:val="none"/>
        </w:rPr>
        <w:t xml:space="preserve"> </w:t>
      </w:r>
      <w:r>
        <w:rPr>
          <w:spacing w:val="-2"/>
          <w:sz w:val="24"/>
          <w:szCs w:val="24"/>
          <w:highlight w:val="none"/>
        </w:rPr>
        <w:t>万元及以上的为小型企业；从业人员</w:t>
      </w:r>
      <w:r>
        <w:rPr>
          <w:spacing w:val="-45"/>
          <w:sz w:val="24"/>
          <w:szCs w:val="24"/>
          <w:highlight w:val="none"/>
        </w:rPr>
        <w:t xml:space="preserve"> </w:t>
      </w:r>
      <w:r>
        <w:rPr>
          <w:spacing w:val="-2"/>
          <w:sz w:val="24"/>
          <w:szCs w:val="24"/>
          <w:highlight w:val="none"/>
        </w:rPr>
        <w:t>5</w:t>
      </w:r>
      <w:r>
        <w:rPr>
          <w:spacing w:val="-49"/>
          <w:sz w:val="24"/>
          <w:szCs w:val="24"/>
          <w:highlight w:val="none"/>
        </w:rPr>
        <w:t xml:space="preserve"> </w:t>
      </w:r>
      <w:r>
        <w:rPr>
          <w:spacing w:val="-2"/>
          <w:sz w:val="24"/>
          <w:szCs w:val="24"/>
          <w:highlight w:val="none"/>
        </w:rPr>
        <w:t>人以下或营业</w:t>
      </w:r>
      <w:r>
        <w:rPr>
          <w:spacing w:val="-3"/>
          <w:sz w:val="24"/>
          <w:szCs w:val="24"/>
          <w:highlight w:val="none"/>
        </w:rPr>
        <w:t>收入</w:t>
      </w:r>
      <w:r>
        <w:rPr>
          <w:sz w:val="24"/>
          <w:szCs w:val="24"/>
          <w:highlight w:val="none"/>
        </w:rPr>
        <w:t xml:space="preserve"> </w:t>
      </w:r>
      <w:r>
        <w:rPr>
          <w:spacing w:val="-4"/>
          <w:sz w:val="24"/>
          <w:szCs w:val="24"/>
          <w:highlight w:val="none"/>
        </w:rPr>
        <w:t>1000</w:t>
      </w:r>
      <w:r>
        <w:rPr>
          <w:spacing w:val="-42"/>
          <w:sz w:val="24"/>
          <w:szCs w:val="24"/>
          <w:highlight w:val="none"/>
        </w:rPr>
        <w:t xml:space="preserve"> </w:t>
      </w:r>
      <w:r>
        <w:rPr>
          <w:spacing w:val="-4"/>
          <w:sz w:val="24"/>
          <w:szCs w:val="24"/>
          <w:highlight w:val="none"/>
        </w:rPr>
        <w:t>万元以下的为微型企业。</w:t>
      </w:r>
    </w:p>
    <w:p w14:paraId="3C5E164D">
      <w:pPr>
        <w:pStyle w:val="4"/>
        <w:spacing w:before="4" w:line="384" w:lineRule="auto"/>
        <w:ind w:left="1" w:firstLine="485"/>
        <w:rPr>
          <w:sz w:val="24"/>
          <w:szCs w:val="24"/>
          <w:highlight w:val="none"/>
        </w:rPr>
      </w:pPr>
      <w:r>
        <w:rPr>
          <w:spacing w:val="-7"/>
          <w:sz w:val="24"/>
          <w:szCs w:val="24"/>
          <w:highlight w:val="none"/>
        </w:rPr>
        <w:t>（五）零售业。从业人员</w:t>
      </w:r>
      <w:r>
        <w:rPr>
          <w:spacing w:val="-41"/>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48"/>
          <w:sz w:val="24"/>
          <w:szCs w:val="24"/>
          <w:highlight w:val="none"/>
        </w:rPr>
        <w:t xml:space="preserve"> </w:t>
      </w:r>
      <w:r>
        <w:rPr>
          <w:spacing w:val="-7"/>
          <w:sz w:val="24"/>
          <w:szCs w:val="24"/>
          <w:highlight w:val="none"/>
        </w:rPr>
        <w:t>20000</w:t>
      </w:r>
      <w:r>
        <w:rPr>
          <w:spacing w:val="-45"/>
          <w:sz w:val="24"/>
          <w:szCs w:val="24"/>
          <w:highlight w:val="none"/>
        </w:rPr>
        <w:t xml:space="preserve"> </w:t>
      </w:r>
      <w:r>
        <w:rPr>
          <w:spacing w:val="-7"/>
          <w:sz w:val="24"/>
          <w:szCs w:val="24"/>
          <w:highlight w:val="none"/>
        </w:rPr>
        <w:t>万元以下的为中小微型企业。</w:t>
      </w:r>
      <w:r>
        <w:rPr>
          <w:spacing w:val="-2"/>
          <w:sz w:val="24"/>
          <w:szCs w:val="24"/>
          <w:highlight w:val="none"/>
        </w:rPr>
        <w:t>其中，从业人员</w:t>
      </w:r>
      <w:r>
        <w:rPr>
          <w:spacing w:val="-46"/>
          <w:sz w:val="24"/>
          <w:szCs w:val="24"/>
          <w:highlight w:val="none"/>
        </w:rPr>
        <w:t xml:space="preserve"> </w:t>
      </w:r>
      <w:r>
        <w:rPr>
          <w:spacing w:val="-2"/>
          <w:sz w:val="24"/>
          <w:szCs w:val="24"/>
          <w:highlight w:val="none"/>
        </w:rPr>
        <w:t>50</w:t>
      </w:r>
      <w:r>
        <w:rPr>
          <w:spacing w:val="-48"/>
          <w:sz w:val="24"/>
          <w:szCs w:val="24"/>
          <w:highlight w:val="none"/>
        </w:rPr>
        <w:t xml:space="preserve"> </w:t>
      </w:r>
      <w:r>
        <w:rPr>
          <w:spacing w:val="-2"/>
          <w:sz w:val="24"/>
          <w:szCs w:val="24"/>
          <w:highlight w:val="none"/>
        </w:rPr>
        <w:t>人及以上，且营业收入</w:t>
      </w:r>
      <w:r>
        <w:rPr>
          <w:spacing w:val="-46"/>
          <w:sz w:val="24"/>
          <w:szCs w:val="24"/>
          <w:highlight w:val="none"/>
        </w:rPr>
        <w:t xml:space="preserve"> </w:t>
      </w:r>
      <w:r>
        <w:rPr>
          <w:spacing w:val="-2"/>
          <w:sz w:val="24"/>
          <w:szCs w:val="24"/>
          <w:highlight w:val="none"/>
        </w:rPr>
        <w:t>500</w:t>
      </w:r>
      <w:r>
        <w:rPr>
          <w:spacing w:val="-44"/>
          <w:sz w:val="24"/>
          <w:szCs w:val="24"/>
          <w:highlight w:val="none"/>
        </w:rPr>
        <w:t xml:space="preserve"> </w:t>
      </w:r>
      <w:r>
        <w:rPr>
          <w:spacing w:val="-2"/>
          <w:sz w:val="24"/>
          <w:szCs w:val="24"/>
          <w:highlight w:val="none"/>
        </w:rPr>
        <w:t>万元及以</w:t>
      </w:r>
      <w:r>
        <w:rPr>
          <w:spacing w:val="-3"/>
          <w:sz w:val="24"/>
          <w:szCs w:val="24"/>
          <w:highlight w:val="none"/>
        </w:rPr>
        <w:t>上的为中型企业；从业人员</w:t>
      </w:r>
      <w:r>
        <w:rPr>
          <w:spacing w:val="-32"/>
          <w:sz w:val="24"/>
          <w:szCs w:val="24"/>
          <w:highlight w:val="none"/>
        </w:rPr>
        <w:t xml:space="preserve"> </w:t>
      </w:r>
      <w:r>
        <w:rPr>
          <w:spacing w:val="-3"/>
          <w:sz w:val="24"/>
          <w:szCs w:val="24"/>
          <w:highlight w:val="none"/>
        </w:rPr>
        <w:t>10</w:t>
      </w:r>
      <w:r>
        <w:rPr>
          <w:spacing w:val="-2"/>
          <w:sz w:val="24"/>
          <w:szCs w:val="24"/>
          <w:highlight w:val="none"/>
        </w:rPr>
        <w:t>人及以上，且营业收入</w:t>
      </w:r>
      <w:r>
        <w:rPr>
          <w:spacing w:val="-33"/>
          <w:sz w:val="24"/>
          <w:szCs w:val="24"/>
          <w:highlight w:val="none"/>
        </w:rPr>
        <w:t xml:space="preserve"> </w:t>
      </w:r>
      <w:r>
        <w:rPr>
          <w:spacing w:val="-2"/>
          <w:sz w:val="24"/>
          <w:szCs w:val="24"/>
          <w:highlight w:val="none"/>
        </w:rPr>
        <w:t>100</w:t>
      </w:r>
      <w:r>
        <w:rPr>
          <w:spacing w:val="-45"/>
          <w:sz w:val="24"/>
          <w:szCs w:val="24"/>
          <w:highlight w:val="none"/>
        </w:rPr>
        <w:t xml:space="preserve"> </w:t>
      </w:r>
      <w:r>
        <w:rPr>
          <w:spacing w:val="-2"/>
          <w:sz w:val="24"/>
          <w:szCs w:val="24"/>
          <w:highlight w:val="none"/>
        </w:rPr>
        <w:t>万元及以上的为小型企业；</w:t>
      </w:r>
      <w:r>
        <w:rPr>
          <w:spacing w:val="-3"/>
          <w:sz w:val="24"/>
          <w:szCs w:val="24"/>
          <w:highlight w:val="none"/>
        </w:rPr>
        <w:t>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人以下或营业收入</w:t>
      </w:r>
      <w:r>
        <w:rPr>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万元以下的为微型企业。</w:t>
      </w:r>
    </w:p>
    <w:p w14:paraId="227B94FD">
      <w:pPr>
        <w:pStyle w:val="4"/>
        <w:spacing w:before="1" w:line="384" w:lineRule="auto"/>
        <w:ind w:left="8" w:right="155" w:firstLine="479"/>
        <w:rPr>
          <w:sz w:val="24"/>
          <w:szCs w:val="24"/>
          <w:highlight w:val="none"/>
        </w:rPr>
      </w:pPr>
      <w:r>
        <w:rPr>
          <w:spacing w:val="-3"/>
          <w:sz w:val="24"/>
          <w:szCs w:val="24"/>
          <w:highlight w:val="none"/>
        </w:rPr>
        <w:t>（六）交通运输业。从业人员 1000</w:t>
      </w:r>
      <w:r>
        <w:rPr>
          <w:spacing w:val="-46"/>
          <w:sz w:val="24"/>
          <w:szCs w:val="24"/>
          <w:highlight w:val="none"/>
        </w:rPr>
        <w:t xml:space="preserve"> </w:t>
      </w:r>
      <w:r>
        <w:rPr>
          <w:spacing w:val="-3"/>
          <w:sz w:val="24"/>
          <w:szCs w:val="24"/>
          <w:highlight w:val="none"/>
        </w:rPr>
        <w:t>人以下或营业收入</w:t>
      </w:r>
      <w:r>
        <w:rPr>
          <w:spacing w:val="-46"/>
          <w:sz w:val="24"/>
          <w:szCs w:val="24"/>
          <w:highlight w:val="none"/>
        </w:rPr>
        <w:t xml:space="preserve"> </w:t>
      </w:r>
      <w:r>
        <w:rPr>
          <w:spacing w:val="-3"/>
          <w:sz w:val="24"/>
          <w:szCs w:val="24"/>
          <w:highlight w:val="none"/>
        </w:rPr>
        <w:t>30000</w:t>
      </w:r>
      <w:r>
        <w:rPr>
          <w:spacing w:val="-44"/>
          <w:sz w:val="24"/>
          <w:szCs w:val="24"/>
          <w:highlight w:val="none"/>
        </w:rPr>
        <w:t xml:space="preserve"> </w:t>
      </w:r>
      <w:r>
        <w:rPr>
          <w:spacing w:val="-3"/>
          <w:sz w:val="24"/>
          <w:szCs w:val="24"/>
          <w:highlight w:val="none"/>
        </w:rPr>
        <w:t>万元以下的为中小微型企业。其中，从业人员</w:t>
      </w:r>
      <w:r>
        <w:rPr>
          <w:spacing w:val="-46"/>
          <w:sz w:val="24"/>
          <w:szCs w:val="24"/>
          <w:highlight w:val="none"/>
        </w:rPr>
        <w:t xml:space="preserve"> </w:t>
      </w:r>
      <w:r>
        <w:rPr>
          <w:spacing w:val="-3"/>
          <w:sz w:val="24"/>
          <w:szCs w:val="24"/>
          <w:highlight w:val="none"/>
        </w:rPr>
        <w:t>300</w:t>
      </w:r>
      <w:r>
        <w:rPr>
          <w:spacing w:val="-48"/>
          <w:sz w:val="24"/>
          <w:szCs w:val="24"/>
          <w:highlight w:val="none"/>
        </w:rPr>
        <w:t xml:space="preserve"> </w:t>
      </w:r>
      <w:r>
        <w:rPr>
          <w:spacing w:val="-3"/>
          <w:sz w:val="24"/>
          <w:szCs w:val="24"/>
          <w:highlight w:val="none"/>
        </w:rPr>
        <w:t>人及以上，且营业收入</w:t>
      </w:r>
      <w:r>
        <w:rPr>
          <w:spacing w:val="-46"/>
          <w:sz w:val="24"/>
          <w:szCs w:val="24"/>
          <w:highlight w:val="none"/>
        </w:rPr>
        <w:t xml:space="preserve"> </w:t>
      </w:r>
      <w:r>
        <w:rPr>
          <w:spacing w:val="-3"/>
          <w:sz w:val="24"/>
          <w:szCs w:val="24"/>
          <w:highlight w:val="none"/>
        </w:rPr>
        <w:t>3000</w:t>
      </w:r>
      <w:r>
        <w:rPr>
          <w:spacing w:val="-45"/>
          <w:sz w:val="24"/>
          <w:szCs w:val="24"/>
          <w:highlight w:val="none"/>
        </w:rPr>
        <w:t xml:space="preserve"> </w:t>
      </w:r>
      <w:r>
        <w:rPr>
          <w:spacing w:val="-3"/>
          <w:sz w:val="24"/>
          <w:szCs w:val="24"/>
          <w:highlight w:val="none"/>
        </w:rPr>
        <w:t>万元及以上的为中型</w:t>
      </w:r>
      <w:r>
        <w:rPr>
          <w:spacing w:val="-4"/>
          <w:sz w:val="24"/>
          <w:szCs w:val="24"/>
          <w:highlight w:val="none"/>
        </w:rPr>
        <w:t>企业；</w:t>
      </w:r>
    </w:p>
    <w:p w14:paraId="3B063280">
      <w:pPr>
        <w:pStyle w:val="4"/>
        <w:spacing w:before="2" w:line="384" w:lineRule="auto"/>
        <w:ind w:left="3" w:right="82"/>
        <w:rPr>
          <w:sz w:val="24"/>
          <w:szCs w:val="24"/>
          <w:highlight w:val="none"/>
        </w:rPr>
      </w:pPr>
      <w:r>
        <w:rPr>
          <w:spacing w:val="-3"/>
          <w:sz w:val="24"/>
          <w:szCs w:val="24"/>
          <w:highlight w:val="none"/>
        </w:rPr>
        <w:t>从业人员</w:t>
      </w:r>
      <w:r>
        <w:rPr>
          <w:spacing w:val="-48"/>
          <w:sz w:val="24"/>
          <w:szCs w:val="24"/>
          <w:highlight w:val="none"/>
        </w:rPr>
        <w:t xml:space="preserve"> </w:t>
      </w:r>
      <w:r>
        <w:rPr>
          <w:spacing w:val="-3"/>
          <w:sz w:val="24"/>
          <w:szCs w:val="24"/>
          <w:highlight w:val="none"/>
        </w:rPr>
        <w:t>20</w:t>
      </w:r>
      <w:r>
        <w:rPr>
          <w:spacing w:val="-49"/>
          <w:sz w:val="24"/>
          <w:szCs w:val="24"/>
          <w:highlight w:val="none"/>
        </w:rPr>
        <w:t xml:space="preserve"> </w:t>
      </w:r>
      <w:r>
        <w:rPr>
          <w:spacing w:val="-3"/>
          <w:sz w:val="24"/>
          <w:szCs w:val="24"/>
          <w:highlight w:val="none"/>
        </w:rPr>
        <w:t>人及以上，且营业收入</w:t>
      </w:r>
      <w:r>
        <w:rPr>
          <w:spacing w:val="-47"/>
          <w:sz w:val="24"/>
          <w:szCs w:val="24"/>
          <w:highlight w:val="none"/>
        </w:rPr>
        <w:t xml:space="preserve"> </w:t>
      </w:r>
      <w:r>
        <w:rPr>
          <w:spacing w:val="-3"/>
          <w:sz w:val="24"/>
          <w:szCs w:val="24"/>
          <w:highlight w:val="none"/>
        </w:rPr>
        <w:t>200</w:t>
      </w:r>
      <w:r>
        <w:rPr>
          <w:spacing w:val="-45"/>
          <w:sz w:val="24"/>
          <w:szCs w:val="24"/>
          <w:highlight w:val="none"/>
        </w:rPr>
        <w:t xml:space="preserve"> </w:t>
      </w:r>
      <w:r>
        <w:rPr>
          <w:spacing w:val="-3"/>
          <w:sz w:val="24"/>
          <w:szCs w:val="24"/>
          <w:highlight w:val="none"/>
        </w:rPr>
        <w:t>万元及以上</w:t>
      </w:r>
      <w:r>
        <w:rPr>
          <w:spacing w:val="-4"/>
          <w:sz w:val="24"/>
          <w:szCs w:val="24"/>
          <w:highlight w:val="none"/>
        </w:rPr>
        <w:t>的为小型企业；从业人员</w:t>
      </w:r>
      <w:r>
        <w:rPr>
          <w:spacing w:val="-46"/>
          <w:sz w:val="24"/>
          <w:szCs w:val="24"/>
          <w:highlight w:val="none"/>
        </w:rPr>
        <w:t xml:space="preserve"> </w:t>
      </w:r>
      <w:r>
        <w:rPr>
          <w:spacing w:val="-4"/>
          <w:sz w:val="24"/>
          <w:szCs w:val="24"/>
          <w:highlight w:val="none"/>
        </w:rPr>
        <w:t>20</w:t>
      </w:r>
      <w:r>
        <w:rPr>
          <w:spacing w:val="-49"/>
          <w:sz w:val="24"/>
          <w:szCs w:val="24"/>
          <w:highlight w:val="none"/>
        </w:rPr>
        <w:t xml:space="preserve"> </w:t>
      </w:r>
      <w:r>
        <w:rPr>
          <w:spacing w:val="-4"/>
          <w:sz w:val="24"/>
          <w:szCs w:val="24"/>
          <w:highlight w:val="none"/>
        </w:rPr>
        <w:t>人以下或营业收入</w:t>
      </w:r>
      <w:r>
        <w:rPr>
          <w:spacing w:val="-43"/>
          <w:sz w:val="24"/>
          <w:szCs w:val="24"/>
          <w:highlight w:val="none"/>
        </w:rPr>
        <w:t xml:space="preserve"> </w:t>
      </w:r>
      <w:r>
        <w:rPr>
          <w:spacing w:val="-4"/>
          <w:sz w:val="24"/>
          <w:szCs w:val="24"/>
          <w:highlight w:val="none"/>
        </w:rPr>
        <w:t>200</w:t>
      </w:r>
      <w:r>
        <w:rPr>
          <w:spacing w:val="-45"/>
          <w:sz w:val="24"/>
          <w:szCs w:val="24"/>
          <w:highlight w:val="none"/>
        </w:rPr>
        <w:t xml:space="preserve"> </w:t>
      </w:r>
      <w:r>
        <w:rPr>
          <w:spacing w:val="-4"/>
          <w:sz w:val="24"/>
          <w:szCs w:val="24"/>
          <w:highlight w:val="none"/>
        </w:rPr>
        <w:t>万元以下的为微型企业。</w:t>
      </w:r>
    </w:p>
    <w:p w14:paraId="613341AC">
      <w:pPr>
        <w:pStyle w:val="4"/>
        <w:spacing w:before="3" w:line="384" w:lineRule="auto"/>
        <w:ind w:firstLine="487"/>
        <w:rPr>
          <w:sz w:val="24"/>
          <w:szCs w:val="24"/>
          <w:highlight w:val="none"/>
        </w:rPr>
      </w:pPr>
      <w:r>
        <w:rPr>
          <w:spacing w:val="-7"/>
          <w:sz w:val="24"/>
          <w:szCs w:val="24"/>
          <w:highlight w:val="none"/>
        </w:rPr>
        <w:t>（七）仓储业。从业人员</w:t>
      </w:r>
      <w:r>
        <w:rPr>
          <w:spacing w:val="-43"/>
          <w:sz w:val="24"/>
          <w:szCs w:val="24"/>
          <w:highlight w:val="none"/>
        </w:rPr>
        <w:t xml:space="preserve"> </w:t>
      </w:r>
      <w:r>
        <w:rPr>
          <w:spacing w:val="-7"/>
          <w:sz w:val="24"/>
          <w:szCs w:val="24"/>
          <w:highlight w:val="none"/>
        </w:rPr>
        <w:t>200</w:t>
      </w:r>
      <w:r>
        <w:rPr>
          <w:spacing w:val="-48"/>
          <w:sz w:val="24"/>
          <w:szCs w:val="24"/>
          <w:highlight w:val="none"/>
        </w:rPr>
        <w:t xml:space="preserve"> </w:t>
      </w:r>
      <w:r>
        <w:rPr>
          <w:spacing w:val="-7"/>
          <w:sz w:val="24"/>
          <w:szCs w:val="24"/>
          <w:highlight w:val="none"/>
        </w:rPr>
        <w:t>人以下或营业收入</w:t>
      </w:r>
      <w:r>
        <w:rPr>
          <w:spacing w:val="-46"/>
          <w:sz w:val="24"/>
          <w:szCs w:val="24"/>
          <w:highlight w:val="none"/>
        </w:rPr>
        <w:t xml:space="preserve"> </w:t>
      </w:r>
      <w:r>
        <w:rPr>
          <w:spacing w:val="-7"/>
          <w:sz w:val="24"/>
          <w:szCs w:val="24"/>
          <w:highlight w:val="none"/>
        </w:rPr>
        <w:t>30000</w:t>
      </w:r>
      <w:r>
        <w:rPr>
          <w:spacing w:val="-45"/>
          <w:sz w:val="24"/>
          <w:szCs w:val="24"/>
          <w:highlight w:val="none"/>
        </w:rPr>
        <w:t xml:space="preserve"> </w:t>
      </w:r>
      <w:r>
        <w:rPr>
          <w:spacing w:val="-7"/>
          <w:sz w:val="24"/>
          <w:szCs w:val="24"/>
          <w:highlight w:val="none"/>
        </w:rPr>
        <w:t>万元以下的为中小微型企业。</w:t>
      </w:r>
      <w:r>
        <w:rPr>
          <w:spacing w:val="-2"/>
          <w:sz w:val="24"/>
          <w:szCs w:val="24"/>
          <w:highlight w:val="none"/>
        </w:rPr>
        <w:t>其中，从业人员</w:t>
      </w:r>
      <w:r>
        <w:rPr>
          <w:spacing w:val="-33"/>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33"/>
          <w:sz w:val="24"/>
          <w:szCs w:val="24"/>
          <w:highlight w:val="none"/>
        </w:rPr>
        <w:t xml:space="preserve"> </w:t>
      </w:r>
      <w:r>
        <w:rPr>
          <w:spacing w:val="-2"/>
          <w:sz w:val="24"/>
          <w:szCs w:val="24"/>
          <w:highlight w:val="none"/>
        </w:rPr>
        <w:t>1000</w:t>
      </w:r>
      <w:r>
        <w:rPr>
          <w:spacing w:val="-44"/>
          <w:sz w:val="24"/>
          <w:szCs w:val="24"/>
          <w:highlight w:val="none"/>
        </w:rPr>
        <w:t xml:space="preserve"> </w:t>
      </w:r>
      <w:r>
        <w:rPr>
          <w:spacing w:val="-2"/>
          <w:sz w:val="24"/>
          <w:szCs w:val="24"/>
          <w:highlight w:val="none"/>
        </w:rPr>
        <w:t>万元及以上</w:t>
      </w:r>
      <w:r>
        <w:rPr>
          <w:spacing w:val="-3"/>
          <w:sz w:val="24"/>
          <w:szCs w:val="24"/>
          <w:highlight w:val="none"/>
        </w:rPr>
        <w:t>的为中型企业；从业人员</w:t>
      </w:r>
      <w:r>
        <w:rPr>
          <w:sz w:val="24"/>
          <w:szCs w:val="24"/>
          <w:highlight w:val="none"/>
        </w:rPr>
        <w:t xml:space="preserve"> </w:t>
      </w:r>
      <w:r>
        <w:rPr>
          <w:spacing w:val="-2"/>
          <w:sz w:val="24"/>
          <w:szCs w:val="24"/>
          <w:highlight w:val="none"/>
        </w:rPr>
        <w:t>20</w:t>
      </w:r>
      <w:r>
        <w:rPr>
          <w:spacing w:val="-49"/>
          <w:sz w:val="24"/>
          <w:szCs w:val="24"/>
          <w:highlight w:val="none"/>
        </w:rPr>
        <w:t xml:space="preserve"> </w:t>
      </w:r>
      <w:r>
        <w:rPr>
          <w:spacing w:val="-2"/>
          <w:sz w:val="24"/>
          <w:szCs w:val="24"/>
          <w:highlight w:val="none"/>
        </w:rPr>
        <w:t>人及以上，且营业收入</w:t>
      </w:r>
      <w:r>
        <w:rPr>
          <w:spacing w:val="-32"/>
          <w:sz w:val="24"/>
          <w:szCs w:val="24"/>
          <w:highlight w:val="none"/>
        </w:rPr>
        <w:t xml:space="preserve"> </w:t>
      </w:r>
      <w:r>
        <w:rPr>
          <w:spacing w:val="-2"/>
          <w:sz w:val="24"/>
          <w:szCs w:val="24"/>
          <w:highlight w:val="none"/>
        </w:rPr>
        <w:t>100</w:t>
      </w:r>
      <w:r>
        <w:rPr>
          <w:spacing w:val="-45"/>
          <w:sz w:val="24"/>
          <w:szCs w:val="24"/>
          <w:highlight w:val="none"/>
        </w:rPr>
        <w:t xml:space="preserve"> </w:t>
      </w:r>
      <w:r>
        <w:rPr>
          <w:spacing w:val="-2"/>
          <w:sz w:val="24"/>
          <w:szCs w:val="24"/>
          <w:highlight w:val="none"/>
        </w:rPr>
        <w:t>万元及以上的为小型企业；从业人员</w:t>
      </w:r>
      <w:r>
        <w:rPr>
          <w:spacing w:val="-47"/>
          <w:sz w:val="24"/>
          <w:szCs w:val="24"/>
          <w:highlight w:val="none"/>
        </w:rPr>
        <w:t xml:space="preserve"> </w:t>
      </w:r>
      <w:r>
        <w:rPr>
          <w:spacing w:val="-2"/>
          <w:sz w:val="24"/>
          <w:szCs w:val="24"/>
          <w:highlight w:val="none"/>
        </w:rPr>
        <w:t>20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1085DB4C">
      <w:pPr>
        <w:pStyle w:val="4"/>
        <w:spacing w:before="3" w:line="385" w:lineRule="auto"/>
        <w:ind w:right="82" w:firstLine="487"/>
        <w:rPr>
          <w:sz w:val="24"/>
          <w:szCs w:val="24"/>
          <w:highlight w:val="none"/>
        </w:rPr>
      </w:pPr>
      <w:r>
        <w:rPr>
          <w:spacing w:val="-2"/>
          <w:sz w:val="24"/>
          <w:szCs w:val="24"/>
          <w:highlight w:val="none"/>
        </w:rPr>
        <w:t>（八）邮政业。从业人员</w:t>
      </w:r>
      <w:r>
        <w:rPr>
          <w:spacing w:val="-32"/>
          <w:sz w:val="24"/>
          <w:szCs w:val="24"/>
          <w:highlight w:val="none"/>
        </w:rPr>
        <w:t xml:space="preserve"> </w:t>
      </w:r>
      <w:r>
        <w:rPr>
          <w:spacing w:val="-2"/>
          <w:sz w:val="24"/>
          <w:szCs w:val="24"/>
          <w:highlight w:val="none"/>
        </w:rPr>
        <w:t>1000</w:t>
      </w:r>
      <w:r>
        <w:rPr>
          <w:spacing w:val="-49"/>
          <w:sz w:val="24"/>
          <w:szCs w:val="24"/>
          <w:highlight w:val="none"/>
        </w:rPr>
        <w:t xml:space="preserve"> </w:t>
      </w:r>
      <w:r>
        <w:rPr>
          <w:spacing w:val="-2"/>
          <w:sz w:val="24"/>
          <w:szCs w:val="24"/>
          <w:highlight w:val="none"/>
        </w:rPr>
        <w:t>人以下或营业收入</w:t>
      </w:r>
      <w:r>
        <w:rPr>
          <w:spacing w:val="-46"/>
          <w:sz w:val="24"/>
          <w:szCs w:val="24"/>
          <w:highlight w:val="none"/>
        </w:rPr>
        <w:t xml:space="preserve"> </w:t>
      </w:r>
      <w:r>
        <w:rPr>
          <w:spacing w:val="-2"/>
          <w:sz w:val="24"/>
          <w:szCs w:val="24"/>
          <w:highlight w:val="none"/>
        </w:rPr>
        <w:t>30000</w:t>
      </w:r>
      <w:r>
        <w:rPr>
          <w:spacing w:val="-44"/>
          <w:sz w:val="24"/>
          <w:szCs w:val="24"/>
          <w:highlight w:val="none"/>
        </w:rPr>
        <w:t xml:space="preserve"> </w:t>
      </w:r>
      <w:r>
        <w:rPr>
          <w:spacing w:val="-2"/>
          <w:sz w:val="24"/>
          <w:szCs w:val="24"/>
          <w:highlight w:val="none"/>
        </w:rPr>
        <w:t>万元以下</w:t>
      </w:r>
      <w:r>
        <w:rPr>
          <w:spacing w:val="-3"/>
          <w:sz w:val="24"/>
          <w:szCs w:val="24"/>
          <w:highlight w:val="none"/>
        </w:rPr>
        <w:t>的为中小微型企</w:t>
      </w:r>
      <w:r>
        <w:rPr>
          <w:spacing w:val="-2"/>
          <w:sz w:val="24"/>
          <w:szCs w:val="24"/>
          <w:highlight w:val="none"/>
        </w:rPr>
        <w:t>业。其中，从业人员</w:t>
      </w:r>
      <w:r>
        <w:rPr>
          <w:spacing w:val="-29"/>
          <w:sz w:val="24"/>
          <w:szCs w:val="24"/>
          <w:highlight w:val="none"/>
        </w:rPr>
        <w:t xml:space="preserve"> </w:t>
      </w:r>
      <w:r>
        <w:rPr>
          <w:spacing w:val="-2"/>
          <w:sz w:val="24"/>
          <w:szCs w:val="24"/>
          <w:highlight w:val="none"/>
        </w:rPr>
        <w:t>300</w:t>
      </w:r>
      <w:r>
        <w:rPr>
          <w:spacing w:val="-48"/>
          <w:sz w:val="24"/>
          <w:szCs w:val="24"/>
          <w:highlight w:val="none"/>
        </w:rPr>
        <w:t xml:space="preserve"> </w:t>
      </w:r>
      <w:r>
        <w:rPr>
          <w:spacing w:val="-2"/>
          <w:sz w:val="24"/>
          <w:szCs w:val="24"/>
          <w:highlight w:val="none"/>
        </w:rPr>
        <w:t>人及以上，且营业收入</w:t>
      </w:r>
      <w:r>
        <w:rPr>
          <w:spacing w:val="-47"/>
          <w:sz w:val="24"/>
          <w:szCs w:val="24"/>
          <w:highlight w:val="none"/>
        </w:rPr>
        <w:t xml:space="preserve"> </w:t>
      </w:r>
      <w:r>
        <w:rPr>
          <w:spacing w:val="-2"/>
          <w:sz w:val="24"/>
          <w:szCs w:val="24"/>
          <w:highlight w:val="none"/>
        </w:rPr>
        <w:t>2000</w:t>
      </w:r>
      <w:r>
        <w:rPr>
          <w:spacing w:val="-45"/>
          <w:sz w:val="24"/>
          <w:szCs w:val="24"/>
          <w:highlight w:val="none"/>
        </w:rPr>
        <w:t xml:space="preserve"> </w:t>
      </w:r>
      <w:r>
        <w:rPr>
          <w:spacing w:val="-2"/>
          <w:sz w:val="24"/>
          <w:szCs w:val="24"/>
          <w:highlight w:val="none"/>
        </w:rPr>
        <w:t>万元及以上的为中型企业；从业</w:t>
      </w:r>
      <w:r>
        <w:rPr>
          <w:spacing w:val="-4"/>
          <w:sz w:val="24"/>
          <w:szCs w:val="24"/>
          <w:highlight w:val="none"/>
        </w:rPr>
        <w:t>人员</w:t>
      </w:r>
      <w:r>
        <w:rPr>
          <w:spacing w:val="-35"/>
          <w:sz w:val="24"/>
          <w:szCs w:val="24"/>
          <w:highlight w:val="none"/>
        </w:rPr>
        <w:t xml:space="preserve"> </w:t>
      </w:r>
      <w:r>
        <w:rPr>
          <w:spacing w:val="-4"/>
          <w:sz w:val="24"/>
          <w:szCs w:val="24"/>
          <w:highlight w:val="none"/>
        </w:rPr>
        <w:t>20</w:t>
      </w:r>
      <w:r>
        <w:rPr>
          <w:spacing w:val="-49"/>
          <w:sz w:val="24"/>
          <w:szCs w:val="24"/>
          <w:highlight w:val="none"/>
        </w:rPr>
        <w:t xml:space="preserve"> </w:t>
      </w:r>
      <w:r>
        <w:rPr>
          <w:spacing w:val="-4"/>
          <w:sz w:val="24"/>
          <w:szCs w:val="24"/>
          <w:highlight w:val="none"/>
        </w:rPr>
        <w:t>人及以上，且营业收入</w:t>
      </w:r>
      <w:r>
        <w:rPr>
          <w:spacing w:val="-32"/>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万元及以上的为小型企业；从业人员</w:t>
      </w:r>
      <w:r>
        <w:rPr>
          <w:spacing w:val="-47"/>
          <w:sz w:val="24"/>
          <w:szCs w:val="24"/>
          <w:highlight w:val="none"/>
        </w:rPr>
        <w:t xml:space="preserve"> </w:t>
      </w:r>
      <w:r>
        <w:rPr>
          <w:spacing w:val="-4"/>
          <w:sz w:val="24"/>
          <w:szCs w:val="24"/>
          <w:highlight w:val="none"/>
        </w:rPr>
        <w:t>20</w:t>
      </w:r>
      <w:r>
        <w:rPr>
          <w:spacing w:val="-48"/>
          <w:sz w:val="24"/>
          <w:szCs w:val="24"/>
          <w:highlight w:val="none"/>
        </w:rPr>
        <w:t xml:space="preserve"> </w:t>
      </w:r>
      <w:r>
        <w:rPr>
          <w:spacing w:val="-4"/>
          <w:sz w:val="24"/>
          <w:szCs w:val="24"/>
          <w:highlight w:val="none"/>
        </w:rPr>
        <w:t>人以下或营</w:t>
      </w:r>
      <w:r>
        <w:rPr>
          <w:spacing w:val="-5"/>
          <w:sz w:val="24"/>
          <w:szCs w:val="24"/>
          <w:highlight w:val="none"/>
        </w:rPr>
        <w:t>业收入</w:t>
      </w:r>
      <w:r>
        <w:rPr>
          <w:spacing w:val="-30"/>
          <w:sz w:val="24"/>
          <w:szCs w:val="24"/>
          <w:highlight w:val="none"/>
        </w:rPr>
        <w:t xml:space="preserve"> </w:t>
      </w:r>
      <w:r>
        <w:rPr>
          <w:spacing w:val="-5"/>
          <w:sz w:val="24"/>
          <w:szCs w:val="24"/>
          <w:highlight w:val="none"/>
        </w:rPr>
        <w:t>100</w:t>
      </w:r>
      <w:r>
        <w:rPr>
          <w:spacing w:val="-45"/>
          <w:sz w:val="24"/>
          <w:szCs w:val="24"/>
          <w:highlight w:val="none"/>
        </w:rPr>
        <w:t xml:space="preserve"> </w:t>
      </w:r>
      <w:r>
        <w:rPr>
          <w:spacing w:val="-5"/>
          <w:sz w:val="24"/>
          <w:szCs w:val="24"/>
          <w:highlight w:val="none"/>
        </w:rPr>
        <w:t>万元以下的为微型企业。</w:t>
      </w:r>
    </w:p>
    <w:p w14:paraId="1F1E786E">
      <w:pPr>
        <w:spacing w:line="385" w:lineRule="auto"/>
        <w:rPr>
          <w:sz w:val="24"/>
          <w:szCs w:val="24"/>
          <w:highlight w:val="none"/>
        </w:rPr>
        <w:sectPr>
          <w:footerReference r:id="rId39" w:type="default"/>
          <w:pgSz w:w="11907" w:h="16839"/>
          <w:pgMar w:top="1431" w:right="1331" w:bottom="1159" w:left="1427" w:header="0" w:footer="959" w:gutter="0"/>
          <w:cols w:space="720" w:num="1"/>
        </w:sectPr>
      </w:pPr>
    </w:p>
    <w:p w14:paraId="5EDBDAF1">
      <w:pPr>
        <w:pStyle w:val="4"/>
        <w:spacing w:before="206" w:line="384" w:lineRule="auto"/>
        <w:ind w:firstLine="487"/>
        <w:rPr>
          <w:sz w:val="24"/>
          <w:szCs w:val="24"/>
          <w:highlight w:val="none"/>
        </w:rPr>
      </w:pPr>
      <w:r>
        <w:rPr>
          <w:spacing w:val="-7"/>
          <w:sz w:val="24"/>
          <w:szCs w:val="24"/>
          <w:highlight w:val="none"/>
        </w:rPr>
        <w:t>（九）住宿业。从业人员</w:t>
      </w:r>
      <w:r>
        <w:rPr>
          <w:spacing w:val="-46"/>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33"/>
          <w:sz w:val="24"/>
          <w:szCs w:val="24"/>
          <w:highlight w:val="none"/>
        </w:rPr>
        <w:t xml:space="preserve"> </w:t>
      </w:r>
      <w:r>
        <w:rPr>
          <w:spacing w:val="-7"/>
          <w:sz w:val="24"/>
          <w:szCs w:val="24"/>
          <w:highlight w:val="none"/>
        </w:rPr>
        <w:t>10000</w:t>
      </w:r>
      <w:r>
        <w:rPr>
          <w:spacing w:val="-45"/>
          <w:sz w:val="24"/>
          <w:szCs w:val="24"/>
          <w:highlight w:val="none"/>
        </w:rPr>
        <w:t xml:space="preserve"> </w:t>
      </w:r>
      <w:r>
        <w:rPr>
          <w:spacing w:val="-7"/>
          <w:sz w:val="24"/>
          <w:szCs w:val="24"/>
          <w:highlight w:val="none"/>
        </w:rPr>
        <w:t>万元以</w:t>
      </w:r>
      <w:r>
        <w:rPr>
          <w:spacing w:val="-8"/>
          <w:sz w:val="24"/>
          <w:szCs w:val="24"/>
          <w:highlight w:val="none"/>
        </w:rPr>
        <w:t>下的为中小微型企业。</w:t>
      </w:r>
      <w:r>
        <w:rPr>
          <w:spacing w:val="-2"/>
          <w:sz w:val="24"/>
          <w:szCs w:val="24"/>
          <w:highlight w:val="none"/>
        </w:rPr>
        <w:t>其中，从业人员</w:t>
      </w:r>
      <w:r>
        <w:rPr>
          <w:spacing w:val="-29"/>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48"/>
          <w:sz w:val="24"/>
          <w:szCs w:val="24"/>
          <w:highlight w:val="none"/>
        </w:rPr>
        <w:t xml:space="preserve"> </w:t>
      </w:r>
      <w:r>
        <w:rPr>
          <w:spacing w:val="-2"/>
          <w:sz w:val="24"/>
          <w:szCs w:val="24"/>
          <w:highlight w:val="none"/>
        </w:rPr>
        <w:t>2000</w:t>
      </w:r>
      <w:r>
        <w:rPr>
          <w:spacing w:val="-44"/>
          <w:sz w:val="24"/>
          <w:szCs w:val="24"/>
          <w:highlight w:val="none"/>
        </w:rPr>
        <w:t xml:space="preserve"> </w:t>
      </w:r>
      <w:r>
        <w:rPr>
          <w:spacing w:val="-2"/>
          <w:sz w:val="24"/>
          <w:szCs w:val="24"/>
          <w:highlight w:val="none"/>
        </w:rPr>
        <w:t>万元及以上的为中型企业；从业人员</w:t>
      </w:r>
      <w:r>
        <w:rPr>
          <w:sz w:val="24"/>
          <w:szCs w:val="24"/>
          <w:highlight w:val="none"/>
        </w:rPr>
        <w:t xml:space="preserve"> </w:t>
      </w:r>
      <w:r>
        <w:rPr>
          <w:spacing w:val="-3"/>
          <w:sz w:val="24"/>
          <w:szCs w:val="24"/>
          <w:highlight w:val="none"/>
        </w:rPr>
        <w:t>10</w:t>
      </w:r>
      <w:r>
        <w:rPr>
          <w:spacing w:val="-31"/>
          <w:sz w:val="24"/>
          <w:szCs w:val="24"/>
          <w:highlight w:val="none"/>
        </w:rPr>
        <w:t xml:space="preserve"> </w:t>
      </w:r>
      <w:r>
        <w:rPr>
          <w:spacing w:val="-3"/>
          <w:sz w:val="24"/>
          <w:szCs w:val="24"/>
          <w:highlight w:val="none"/>
        </w:rPr>
        <w:t>人及以上，且营业收入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万元及以上的为小型企业；从业人员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12DA4334">
      <w:pPr>
        <w:pStyle w:val="4"/>
        <w:spacing w:line="385" w:lineRule="auto"/>
        <w:ind w:firstLine="487"/>
        <w:rPr>
          <w:sz w:val="24"/>
          <w:szCs w:val="24"/>
          <w:highlight w:val="none"/>
        </w:rPr>
      </w:pPr>
      <w:r>
        <w:rPr>
          <w:spacing w:val="-7"/>
          <w:sz w:val="24"/>
          <w:szCs w:val="24"/>
          <w:highlight w:val="none"/>
        </w:rPr>
        <w:t>（十）餐饮业。从业人员</w:t>
      </w:r>
      <w:r>
        <w:rPr>
          <w:spacing w:val="-46"/>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33"/>
          <w:sz w:val="24"/>
          <w:szCs w:val="24"/>
          <w:highlight w:val="none"/>
        </w:rPr>
        <w:t xml:space="preserve"> </w:t>
      </w:r>
      <w:r>
        <w:rPr>
          <w:spacing w:val="-7"/>
          <w:sz w:val="24"/>
          <w:szCs w:val="24"/>
          <w:highlight w:val="none"/>
        </w:rPr>
        <w:t>10000</w:t>
      </w:r>
      <w:r>
        <w:rPr>
          <w:spacing w:val="-45"/>
          <w:sz w:val="24"/>
          <w:szCs w:val="24"/>
          <w:highlight w:val="none"/>
        </w:rPr>
        <w:t xml:space="preserve"> </w:t>
      </w:r>
      <w:r>
        <w:rPr>
          <w:spacing w:val="-7"/>
          <w:sz w:val="24"/>
          <w:szCs w:val="24"/>
          <w:highlight w:val="none"/>
        </w:rPr>
        <w:t>万元以</w:t>
      </w:r>
      <w:r>
        <w:rPr>
          <w:spacing w:val="-8"/>
          <w:sz w:val="24"/>
          <w:szCs w:val="24"/>
          <w:highlight w:val="none"/>
        </w:rPr>
        <w:t>下的为中小微型企业。</w:t>
      </w:r>
      <w:r>
        <w:rPr>
          <w:spacing w:val="-2"/>
          <w:sz w:val="24"/>
          <w:szCs w:val="24"/>
          <w:highlight w:val="none"/>
        </w:rPr>
        <w:t>其中，从业人员</w:t>
      </w:r>
      <w:r>
        <w:rPr>
          <w:spacing w:val="-29"/>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48"/>
          <w:sz w:val="24"/>
          <w:szCs w:val="24"/>
          <w:highlight w:val="none"/>
        </w:rPr>
        <w:t xml:space="preserve"> </w:t>
      </w:r>
      <w:r>
        <w:rPr>
          <w:spacing w:val="-2"/>
          <w:sz w:val="24"/>
          <w:szCs w:val="24"/>
          <w:highlight w:val="none"/>
        </w:rPr>
        <w:t>2000</w:t>
      </w:r>
      <w:r>
        <w:rPr>
          <w:spacing w:val="-44"/>
          <w:sz w:val="24"/>
          <w:szCs w:val="24"/>
          <w:highlight w:val="none"/>
        </w:rPr>
        <w:t xml:space="preserve"> </w:t>
      </w:r>
      <w:r>
        <w:rPr>
          <w:spacing w:val="-2"/>
          <w:sz w:val="24"/>
          <w:szCs w:val="24"/>
          <w:highlight w:val="none"/>
        </w:rPr>
        <w:t>万元及以上的为中型企业；从业人员</w:t>
      </w:r>
      <w:r>
        <w:rPr>
          <w:sz w:val="24"/>
          <w:szCs w:val="24"/>
          <w:highlight w:val="none"/>
        </w:rPr>
        <w:t xml:space="preserve"> </w:t>
      </w:r>
      <w:r>
        <w:rPr>
          <w:spacing w:val="-3"/>
          <w:sz w:val="24"/>
          <w:szCs w:val="24"/>
          <w:highlight w:val="none"/>
        </w:rPr>
        <w:t>10</w:t>
      </w:r>
      <w:r>
        <w:rPr>
          <w:spacing w:val="-31"/>
          <w:sz w:val="24"/>
          <w:szCs w:val="24"/>
          <w:highlight w:val="none"/>
        </w:rPr>
        <w:t xml:space="preserve"> </w:t>
      </w:r>
      <w:r>
        <w:rPr>
          <w:spacing w:val="-3"/>
          <w:sz w:val="24"/>
          <w:szCs w:val="24"/>
          <w:highlight w:val="none"/>
        </w:rPr>
        <w:t>人及以上，且营业收入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万元及以上的为小型企业；从业人员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6F10615C">
      <w:pPr>
        <w:pStyle w:val="4"/>
        <w:spacing w:before="2" w:line="384" w:lineRule="auto"/>
        <w:ind w:right="21" w:firstLine="486"/>
        <w:rPr>
          <w:sz w:val="24"/>
          <w:szCs w:val="24"/>
          <w:highlight w:val="none"/>
        </w:rPr>
      </w:pPr>
      <w:r>
        <w:rPr>
          <w:spacing w:val="-3"/>
          <w:sz w:val="24"/>
          <w:szCs w:val="24"/>
          <w:highlight w:val="none"/>
        </w:rPr>
        <w:t>（十一）信息传输业。从业人员</w:t>
      </w:r>
      <w:r>
        <w:rPr>
          <w:spacing w:val="-47"/>
          <w:sz w:val="24"/>
          <w:szCs w:val="24"/>
          <w:highlight w:val="none"/>
        </w:rPr>
        <w:t xml:space="preserve"> </w:t>
      </w:r>
      <w:r>
        <w:rPr>
          <w:spacing w:val="-3"/>
          <w:sz w:val="24"/>
          <w:szCs w:val="24"/>
          <w:highlight w:val="none"/>
        </w:rPr>
        <w:t>2000</w:t>
      </w:r>
      <w:r>
        <w:rPr>
          <w:spacing w:val="-48"/>
          <w:sz w:val="24"/>
          <w:szCs w:val="24"/>
          <w:highlight w:val="none"/>
        </w:rPr>
        <w:t xml:space="preserve"> </w:t>
      </w:r>
      <w:r>
        <w:rPr>
          <w:spacing w:val="-3"/>
          <w:sz w:val="24"/>
          <w:szCs w:val="24"/>
          <w:highlight w:val="none"/>
        </w:rPr>
        <w:t>人以下或营业收入</w:t>
      </w:r>
      <w:r>
        <w:rPr>
          <w:spacing w:val="-33"/>
          <w:sz w:val="24"/>
          <w:szCs w:val="24"/>
          <w:highlight w:val="none"/>
        </w:rPr>
        <w:t xml:space="preserve"> </w:t>
      </w:r>
      <w:r>
        <w:rPr>
          <w:spacing w:val="-4"/>
          <w:sz w:val="24"/>
          <w:szCs w:val="24"/>
          <w:highlight w:val="none"/>
        </w:rPr>
        <w:t>100000</w:t>
      </w:r>
      <w:r>
        <w:rPr>
          <w:spacing w:val="-45"/>
          <w:sz w:val="24"/>
          <w:szCs w:val="24"/>
          <w:highlight w:val="none"/>
        </w:rPr>
        <w:t xml:space="preserve"> </w:t>
      </w:r>
      <w:r>
        <w:rPr>
          <w:spacing w:val="-4"/>
          <w:sz w:val="24"/>
          <w:szCs w:val="24"/>
          <w:highlight w:val="none"/>
        </w:rPr>
        <w:t>万元以下的为中小</w:t>
      </w:r>
      <w:r>
        <w:rPr>
          <w:spacing w:val="-9"/>
          <w:sz w:val="24"/>
          <w:szCs w:val="24"/>
          <w:highlight w:val="none"/>
        </w:rPr>
        <w:t>微型企业。其中，</w:t>
      </w:r>
      <w:r>
        <w:rPr>
          <w:spacing w:val="51"/>
          <w:sz w:val="24"/>
          <w:szCs w:val="24"/>
          <w:highlight w:val="none"/>
        </w:rPr>
        <w:t xml:space="preserve"> </w:t>
      </w:r>
      <w:r>
        <w:rPr>
          <w:spacing w:val="-9"/>
          <w:sz w:val="24"/>
          <w:szCs w:val="24"/>
          <w:highlight w:val="none"/>
        </w:rPr>
        <w:t>从业人员</w:t>
      </w:r>
      <w:r>
        <w:rPr>
          <w:spacing w:val="-32"/>
          <w:sz w:val="24"/>
          <w:szCs w:val="24"/>
          <w:highlight w:val="none"/>
        </w:rPr>
        <w:t xml:space="preserve"> </w:t>
      </w:r>
      <w:r>
        <w:rPr>
          <w:spacing w:val="-9"/>
          <w:sz w:val="24"/>
          <w:szCs w:val="24"/>
          <w:highlight w:val="none"/>
        </w:rPr>
        <w:t>100</w:t>
      </w:r>
      <w:r>
        <w:rPr>
          <w:spacing w:val="-49"/>
          <w:sz w:val="24"/>
          <w:szCs w:val="24"/>
          <w:highlight w:val="none"/>
        </w:rPr>
        <w:t xml:space="preserve"> </w:t>
      </w:r>
      <w:r>
        <w:rPr>
          <w:spacing w:val="-9"/>
          <w:sz w:val="24"/>
          <w:szCs w:val="24"/>
          <w:highlight w:val="none"/>
        </w:rPr>
        <w:t>人及以上，且营业收入</w:t>
      </w:r>
      <w:r>
        <w:rPr>
          <w:spacing w:val="-33"/>
          <w:sz w:val="24"/>
          <w:szCs w:val="24"/>
          <w:highlight w:val="none"/>
        </w:rPr>
        <w:t xml:space="preserve"> </w:t>
      </w:r>
      <w:r>
        <w:rPr>
          <w:spacing w:val="-9"/>
          <w:sz w:val="24"/>
          <w:szCs w:val="24"/>
          <w:highlight w:val="none"/>
        </w:rPr>
        <w:t>1000</w:t>
      </w:r>
      <w:r>
        <w:rPr>
          <w:spacing w:val="-44"/>
          <w:sz w:val="24"/>
          <w:szCs w:val="24"/>
          <w:highlight w:val="none"/>
        </w:rPr>
        <w:t xml:space="preserve"> </w:t>
      </w:r>
      <w:r>
        <w:rPr>
          <w:spacing w:val="-9"/>
          <w:sz w:val="24"/>
          <w:szCs w:val="24"/>
          <w:highlight w:val="none"/>
        </w:rPr>
        <w:t>万元及以上的为中型企业；</w:t>
      </w:r>
      <w:r>
        <w:rPr>
          <w:spacing w:val="-4"/>
          <w:sz w:val="24"/>
          <w:szCs w:val="24"/>
          <w:highlight w:val="none"/>
        </w:rPr>
        <w:t>从业人员</w:t>
      </w:r>
      <w:r>
        <w:rPr>
          <w:spacing w:val="-33"/>
          <w:sz w:val="24"/>
          <w:szCs w:val="24"/>
          <w:highlight w:val="none"/>
        </w:rPr>
        <w:t xml:space="preserve"> </w:t>
      </w:r>
      <w:r>
        <w:rPr>
          <w:spacing w:val="-4"/>
          <w:sz w:val="24"/>
          <w:szCs w:val="24"/>
          <w:highlight w:val="none"/>
        </w:rPr>
        <w:t>10</w:t>
      </w:r>
      <w:r>
        <w:rPr>
          <w:spacing w:val="-49"/>
          <w:sz w:val="24"/>
          <w:szCs w:val="24"/>
          <w:highlight w:val="none"/>
        </w:rPr>
        <w:t xml:space="preserve"> </w:t>
      </w:r>
      <w:r>
        <w:rPr>
          <w:spacing w:val="-4"/>
          <w:sz w:val="24"/>
          <w:szCs w:val="24"/>
          <w:highlight w:val="none"/>
        </w:rPr>
        <w:t>人及以上，且营业收入</w:t>
      </w:r>
      <w:r>
        <w:rPr>
          <w:spacing w:val="-32"/>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万元及以</w:t>
      </w:r>
      <w:r>
        <w:rPr>
          <w:spacing w:val="-5"/>
          <w:sz w:val="24"/>
          <w:szCs w:val="24"/>
          <w:highlight w:val="none"/>
        </w:rPr>
        <w:t>上的为小型企业；从业人员</w:t>
      </w:r>
      <w:r>
        <w:rPr>
          <w:spacing w:val="-33"/>
          <w:sz w:val="24"/>
          <w:szCs w:val="24"/>
          <w:highlight w:val="none"/>
        </w:rPr>
        <w:t xml:space="preserve"> </w:t>
      </w:r>
      <w:r>
        <w:rPr>
          <w:spacing w:val="-5"/>
          <w:sz w:val="24"/>
          <w:szCs w:val="24"/>
          <w:highlight w:val="none"/>
        </w:rPr>
        <w:t>10</w:t>
      </w:r>
      <w:r>
        <w:rPr>
          <w:spacing w:val="-48"/>
          <w:sz w:val="24"/>
          <w:szCs w:val="24"/>
          <w:highlight w:val="none"/>
        </w:rPr>
        <w:t xml:space="preserve"> </w:t>
      </w:r>
      <w:r>
        <w:rPr>
          <w:spacing w:val="-5"/>
          <w:sz w:val="24"/>
          <w:szCs w:val="24"/>
          <w:highlight w:val="none"/>
        </w:rPr>
        <w:t>人以下或营业收入</w:t>
      </w:r>
      <w:r>
        <w:rPr>
          <w:spacing w:val="-21"/>
          <w:sz w:val="24"/>
          <w:szCs w:val="24"/>
          <w:highlight w:val="none"/>
        </w:rPr>
        <w:t xml:space="preserve"> </w:t>
      </w:r>
      <w:r>
        <w:rPr>
          <w:spacing w:val="-5"/>
          <w:sz w:val="24"/>
          <w:szCs w:val="24"/>
          <w:highlight w:val="none"/>
        </w:rPr>
        <w:t>100</w:t>
      </w:r>
      <w:r>
        <w:rPr>
          <w:spacing w:val="-45"/>
          <w:sz w:val="24"/>
          <w:szCs w:val="24"/>
          <w:highlight w:val="none"/>
        </w:rPr>
        <w:t xml:space="preserve"> </w:t>
      </w:r>
      <w:r>
        <w:rPr>
          <w:spacing w:val="-5"/>
          <w:sz w:val="24"/>
          <w:szCs w:val="24"/>
          <w:highlight w:val="none"/>
        </w:rPr>
        <w:t>万元以下的为微型企业。</w:t>
      </w:r>
    </w:p>
    <w:p w14:paraId="7BBD2102">
      <w:pPr>
        <w:pStyle w:val="4"/>
        <w:spacing w:before="2" w:line="384" w:lineRule="auto"/>
        <w:ind w:left="18" w:right="82" w:firstLine="468"/>
        <w:rPr>
          <w:sz w:val="24"/>
          <w:szCs w:val="24"/>
          <w:highlight w:val="none"/>
        </w:rPr>
      </w:pPr>
      <w:r>
        <w:rPr>
          <w:spacing w:val="-3"/>
          <w:sz w:val="24"/>
          <w:szCs w:val="24"/>
          <w:highlight w:val="none"/>
        </w:rPr>
        <w:t>（十二）软件和信息技术服务业。从业人员</w:t>
      </w:r>
      <w:r>
        <w:rPr>
          <w:spacing w:val="-45"/>
          <w:sz w:val="24"/>
          <w:szCs w:val="24"/>
          <w:highlight w:val="none"/>
        </w:rPr>
        <w:t xml:space="preserve"> </w:t>
      </w:r>
      <w:r>
        <w:rPr>
          <w:spacing w:val="-3"/>
          <w:sz w:val="24"/>
          <w:szCs w:val="24"/>
          <w:highlight w:val="none"/>
        </w:rPr>
        <w:t>300</w:t>
      </w:r>
      <w:r>
        <w:rPr>
          <w:spacing w:val="-49"/>
          <w:sz w:val="24"/>
          <w:szCs w:val="24"/>
          <w:highlight w:val="none"/>
        </w:rPr>
        <w:t xml:space="preserve"> </w:t>
      </w:r>
      <w:r>
        <w:rPr>
          <w:spacing w:val="-3"/>
          <w:sz w:val="24"/>
          <w:szCs w:val="24"/>
          <w:highlight w:val="none"/>
        </w:rPr>
        <w:t>人</w:t>
      </w:r>
      <w:r>
        <w:rPr>
          <w:spacing w:val="-4"/>
          <w:sz w:val="24"/>
          <w:szCs w:val="24"/>
          <w:highlight w:val="none"/>
        </w:rPr>
        <w:t>以下或营业收入</w:t>
      </w:r>
      <w:r>
        <w:rPr>
          <w:spacing w:val="-32"/>
          <w:sz w:val="24"/>
          <w:szCs w:val="24"/>
          <w:highlight w:val="none"/>
        </w:rPr>
        <w:t xml:space="preserve"> </w:t>
      </w:r>
      <w:r>
        <w:rPr>
          <w:spacing w:val="-4"/>
          <w:sz w:val="24"/>
          <w:szCs w:val="24"/>
          <w:highlight w:val="none"/>
        </w:rPr>
        <w:t>10000</w:t>
      </w:r>
      <w:r>
        <w:rPr>
          <w:spacing w:val="-45"/>
          <w:sz w:val="24"/>
          <w:szCs w:val="24"/>
          <w:highlight w:val="none"/>
        </w:rPr>
        <w:t xml:space="preserve"> </w:t>
      </w:r>
      <w:r>
        <w:rPr>
          <w:spacing w:val="-4"/>
          <w:sz w:val="24"/>
          <w:szCs w:val="24"/>
          <w:highlight w:val="none"/>
        </w:rPr>
        <w:t>万元以下</w:t>
      </w:r>
      <w:r>
        <w:rPr>
          <w:spacing w:val="-3"/>
          <w:sz w:val="24"/>
          <w:szCs w:val="24"/>
          <w:highlight w:val="none"/>
        </w:rPr>
        <w:t>的为中小微型企业。其中，从业人员</w:t>
      </w:r>
      <w:r>
        <w:rPr>
          <w:spacing w:val="-22"/>
          <w:sz w:val="24"/>
          <w:szCs w:val="24"/>
          <w:highlight w:val="none"/>
        </w:rPr>
        <w:t xml:space="preserve"> </w:t>
      </w:r>
      <w:r>
        <w:rPr>
          <w:spacing w:val="-3"/>
          <w:sz w:val="24"/>
          <w:szCs w:val="24"/>
          <w:highlight w:val="none"/>
        </w:rPr>
        <w:t>100</w:t>
      </w:r>
      <w:r>
        <w:rPr>
          <w:spacing w:val="-48"/>
          <w:sz w:val="24"/>
          <w:szCs w:val="24"/>
          <w:highlight w:val="none"/>
        </w:rPr>
        <w:t xml:space="preserve"> </w:t>
      </w:r>
      <w:r>
        <w:rPr>
          <w:spacing w:val="-3"/>
          <w:sz w:val="24"/>
          <w:szCs w:val="24"/>
          <w:highlight w:val="none"/>
        </w:rPr>
        <w:t>人及以上，且营业收入</w:t>
      </w:r>
      <w:r>
        <w:rPr>
          <w:spacing w:val="-33"/>
          <w:sz w:val="24"/>
          <w:szCs w:val="24"/>
          <w:highlight w:val="none"/>
        </w:rPr>
        <w:t xml:space="preserve"> </w:t>
      </w:r>
      <w:r>
        <w:rPr>
          <w:spacing w:val="-3"/>
          <w:sz w:val="24"/>
          <w:szCs w:val="24"/>
          <w:highlight w:val="none"/>
        </w:rPr>
        <w:t>1000</w:t>
      </w:r>
      <w:r>
        <w:rPr>
          <w:spacing w:val="-45"/>
          <w:sz w:val="24"/>
          <w:szCs w:val="24"/>
          <w:highlight w:val="none"/>
        </w:rPr>
        <w:t xml:space="preserve"> </w:t>
      </w:r>
      <w:r>
        <w:rPr>
          <w:spacing w:val="-3"/>
          <w:sz w:val="24"/>
          <w:szCs w:val="24"/>
          <w:highlight w:val="none"/>
        </w:rPr>
        <w:t>万元及以上的为</w:t>
      </w:r>
      <w:r>
        <w:rPr>
          <w:spacing w:val="-4"/>
          <w:sz w:val="24"/>
          <w:szCs w:val="24"/>
          <w:highlight w:val="none"/>
        </w:rPr>
        <w:t>中型企业；从业人员</w:t>
      </w:r>
      <w:r>
        <w:rPr>
          <w:spacing w:val="-24"/>
          <w:sz w:val="24"/>
          <w:szCs w:val="24"/>
          <w:highlight w:val="none"/>
        </w:rPr>
        <w:t xml:space="preserve"> </w:t>
      </w:r>
      <w:r>
        <w:rPr>
          <w:spacing w:val="-4"/>
          <w:sz w:val="24"/>
          <w:szCs w:val="24"/>
          <w:highlight w:val="none"/>
        </w:rPr>
        <w:t>10</w:t>
      </w:r>
      <w:r>
        <w:rPr>
          <w:spacing w:val="-48"/>
          <w:sz w:val="24"/>
          <w:szCs w:val="24"/>
          <w:highlight w:val="none"/>
        </w:rPr>
        <w:t xml:space="preserve"> </w:t>
      </w:r>
      <w:r>
        <w:rPr>
          <w:spacing w:val="-4"/>
          <w:sz w:val="24"/>
          <w:szCs w:val="24"/>
          <w:highlight w:val="none"/>
        </w:rPr>
        <w:t>人及以上，且营业收入</w:t>
      </w:r>
      <w:r>
        <w:rPr>
          <w:spacing w:val="-45"/>
          <w:sz w:val="24"/>
          <w:szCs w:val="24"/>
          <w:highlight w:val="none"/>
        </w:rPr>
        <w:t xml:space="preserve"> </w:t>
      </w:r>
      <w:r>
        <w:rPr>
          <w:spacing w:val="-4"/>
          <w:sz w:val="24"/>
          <w:szCs w:val="24"/>
          <w:highlight w:val="none"/>
        </w:rPr>
        <w:t>50</w:t>
      </w:r>
      <w:r>
        <w:rPr>
          <w:spacing w:val="-45"/>
          <w:sz w:val="24"/>
          <w:szCs w:val="24"/>
          <w:highlight w:val="none"/>
        </w:rPr>
        <w:t xml:space="preserve"> </w:t>
      </w:r>
      <w:r>
        <w:rPr>
          <w:spacing w:val="-4"/>
          <w:sz w:val="24"/>
          <w:szCs w:val="24"/>
          <w:highlight w:val="none"/>
        </w:rPr>
        <w:t>万元及以上的为小型企业；从业人员</w:t>
      </w:r>
      <w:r>
        <w:rPr>
          <w:spacing w:val="-5"/>
          <w:sz w:val="24"/>
          <w:szCs w:val="24"/>
          <w:highlight w:val="none"/>
        </w:rPr>
        <w:t>10</w:t>
      </w:r>
      <w:r>
        <w:rPr>
          <w:spacing w:val="-33"/>
          <w:sz w:val="24"/>
          <w:szCs w:val="24"/>
          <w:highlight w:val="none"/>
        </w:rPr>
        <w:t xml:space="preserve"> </w:t>
      </w:r>
      <w:r>
        <w:rPr>
          <w:spacing w:val="-5"/>
          <w:sz w:val="24"/>
          <w:szCs w:val="24"/>
          <w:highlight w:val="none"/>
        </w:rPr>
        <w:t>人以下或营业收入</w:t>
      </w:r>
      <w:r>
        <w:rPr>
          <w:spacing w:val="-46"/>
          <w:sz w:val="24"/>
          <w:szCs w:val="24"/>
          <w:highlight w:val="none"/>
        </w:rPr>
        <w:t xml:space="preserve"> </w:t>
      </w:r>
      <w:r>
        <w:rPr>
          <w:spacing w:val="-5"/>
          <w:sz w:val="24"/>
          <w:szCs w:val="24"/>
          <w:highlight w:val="none"/>
        </w:rPr>
        <w:t>50</w:t>
      </w:r>
      <w:r>
        <w:rPr>
          <w:spacing w:val="-44"/>
          <w:sz w:val="24"/>
          <w:szCs w:val="24"/>
          <w:highlight w:val="none"/>
        </w:rPr>
        <w:t xml:space="preserve"> </w:t>
      </w:r>
      <w:r>
        <w:rPr>
          <w:spacing w:val="-5"/>
          <w:sz w:val="24"/>
          <w:szCs w:val="24"/>
          <w:highlight w:val="none"/>
        </w:rPr>
        <w:t>万元以下的为微型企业。</w:t>
      </w:r>
    </w:p>
    <w:p w14:paraId="09136B3C">
      <w:pPr>
        <w:pStyle w:val="4"/>
        <w:spacing w:before="2" w:line="384" w:lineRule="auto"/>
        <w:ind w:left="3" w:right="84" w:firstLine="483"/>
        <w:rPr>
          <w:sz w:val="24"/>
          <w:szCs w:val="24"/>
          <w:highlight w:val="none"/>
        </w:rPr>
      </w:pPr>
      <w:r>
        <w:rPr>
          <w:spacing w:val="-2"/>
          <w:sz w:val="24"/>
          <w:szCs w:val="24"/>
          <w:highlight w:val="none"/>
        </w:rPr>
        <w:t>（十三）房地产开发经营。营业收入</w:t>
      </w:r>
      <w:r>
        <w:rPr>
          <w:spacing w:val="-37"/>
          <w:sz w:val="24"/>
          <w:szCs w:val="24"/>
          <w:highlight w:val="none"/>
        </w:rPr>
        <w:t xml:space="preserve"> </w:t>
      </w:r>
      <w:r>
        <w:rPr>
          <w:spacing w:val="-2"/>
          <w:sz w:val="24"/>
          <w:szCs w:val="24"/>
          <w:highlight w:val="none"/>
        </w:rPr>
        <w:t>200000</w:t>
      </w:r>
      <w:r>
        <w:rPr>
          <w:spacing w:val="-45"/>
          <w:sz w:val="24"/>
          <w:szCs w:val="24"/>
          <w:highlight w:val="none"/>
        </w:rPr>
        <w:t xml:space="preserve"> </w:t>
      </w:r>
      <w:r>
        <w:rPr>
          <w:spacing w:val="-2"/>
          <w:sz w:val="24"/>
          <w:szCs w:val="24"/>
          <w:highlight w:val="none"/>
        </w:rPr>
        <w:t>万</w:t>
      </w:r>
      <w:r>
        <w:rPr>
          <w:spacing w:val="-3"/>
          <w:sz w:val="24"/>
          <w:szCs w:val="24"/>
          <w:highlight w:val="none"/>
        </w:rPr>
        <w:t>元以下或资产总额</w:t>
      </w:r>
      <w:r>
        <w:rPr>
          <w:spacing w:val="-33"/>
          <w:sz w:val="24"/>
          <w:szCs w:val="24"/>
          <w:highlight w:val="none"/>
        </w:rPr>
        <w:t xml:space="preserve"> </w:t>
      </w:r>
      <w:r>
        <w:rPr>
          <w:spacing w:val="-3"/>
          <w:sz w:val="24"/>
          <w:szCs w:val="24"/>
          <w:highlight w:val="none"/>
        </w:rPr>
        <w:t>10000</w:t>
      </w:r>
      <w:r>
        <w:rPr>
          <w:spacing w:val="-44"/>
          <w:sz w:val="24"/>
          <w:szCs w:val="24"/>
          <w:highlight w:val="none"/>
        </w:rPr>
        <w:t xml:space="preserve"> </w:t>
      </w:r>
      <w:r>
        <w:rPr>
          <w:spacing w:val="-3"/>
          <w:sz w:val="24"/>
          <w:szCs w:val="24"/>
          <w:highlight w:val="none"/>
        </w:rPr>
        <w:t>万元以下</w:t>
      </w:r>
      <w:r>
        <w:rPr>
          <w:spacing w:val="-7"/>
          <w:sz w:val="24"/>
          <w:szCs w:val="24"/>
          <w:highlight w:val="none"/>
        </w:rPr>
        <w:t>的为中小微型企业。其中，</w:t>
      </w:r>
      <w:r>
        <w:rPr>
          <w:spacing w:val="53"/>
          <w:sz w:val="24"/>
          <w:szCs w:val="24"/>
          <w:highlight w:val="none"/>
        </w:rPr>
        <w:t xml:space="preserve"> </w:t>
      </w:r>
      <w:r>
        <w:rPr>
          <w:spacing w:val="-7"/>
          <w:sz w:val="24"/>
          <w:szCs w:val="24"/>
          <w:highlight w:val="none"/>
        </w:rPr>
        <w:t>营业收入</w:t>
      </w:r>
      <w:r>
        <w:rPr>
          <w:spacing w:val="-32"/>
          <w:sz w:val="24"/>
          <w:szCs w:val="24"/>
          <w:highlight w:val="none"/>
        </w:rPr>
        <w:t xml:space="preserve"> </w:t>
      </w:r>
      <w:r>
        <w:rPr>
          <w:spacing w:val="-7"/>
          <w:sz w:val="24"/>
          <w:szCs w:val="24"/>
          <w:highlight w:val="none"/>
        </w:rPr>
        <w:t>100</w:t>
      </w:r>
      <w:r>
        <w:rPr>
          <w:spacing w:val="-8"/>
          <w:sz w:val="24"/>
          <w:szCs w:val="24"/>
          <w:highlight w:val="none"/>
        </w:rPr>
        <w:t>0</w:t>
      </w:r>
      <w:r>
        <w:rPr>
          <w:spacing w:val="-45"/>
          <w:sz w:val="24"/>
          <w:szCs w:val="24"/>
          <w:highlight w:val="none"/>
        </w:rPr>
        <w:t xml:space="preserve"> </w:t>
      </w:r>
      <w:r>
        <w:rPr>
          <w:spacing w:val="-8"/>
          <w:sz w:val="24"/>
          <w:szCs w:val="24"/>
          <w:highlight w:val="none"/>
        </w:rPr>
        <w:t>万元及以上，且资产总额</w:t>
      </w:r>
      <w:r>
        <w:rPr>
          <w:spacing w:val="-45"/>
          <w:sz w:val="24"/>
          <w:szCs w:val="24"/>
          <w:highlight w:val="none"/>
        </w:rPr>
        <w:t xml:space="preserve"> </w:t>
      </w:r>
      <w:r>
        <w:rPr>
          <w:spacing w:val="-8"/>
          <w:sz w:val="24"/>
          <w:szCs w:val="24"/>
          <w:highlight w:val="none"/>
        </w:rPr>
        <w:t>5000</w:t>
      </w:r>
      <w:r>
        <w:rPr>
          <w:spacing w:val="-45"/>
          <w:sz w:val="24"/>
          <w:szCs w:val="24"/>
          <w:highlight w:val="none"/>
        </w:rPr>
        <w:t xml:space="preserve"> </w:t>
      </w:r>
      <w:r>
        <w:rPr>
          <w:spacing w:val="-8"/>
          <w:sz w:val="24"/>
          <w:szCs w:val="24"/>
          <w:highlight w:val="none"/>
        </w:rPr>
        <w:t>万元及以上的</w:t>
      </w:r>
      <w:r>
        <w:rPr>
          <w:spacing w:val="-3"/>
          <w:sz w:val="24"/>
          <w:szCs w:val="24"/>
          <w:highlight w:val="none"/>
        </w:rPr>
        <w:t>为中型企业；营业收入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万元及以上，且资产总额</w:t>
      </w:r>
      <w:r>
        <w:rPr>
          <w:spacing w:val="-47"/>
          <w:sz w:val="24"/>
          <w:szCs w:val="24"/>
          <w:highlight w:val="none"/>
        </w:rPr>
        <w:t xml:space="preserve"> </w:t>
      </w:r>
      <w:r>
        <w:rPr>
          <w:spacing w:val="-3"/>
          <w:sz w:val="24"/>
          <w:szCs w:val="24"/>
          <w:highlight w:val="none"/>
        </w:rPr>
        <w:t>20</w:t>
      </w:r>
      <w:r>
        <w:rPr>
          <w:spacing w:val="-4"/>
          <w:sz w:val="24"/>
          <w:szCs w:val="24"/>
          <w:highlight w:val="none"/>
        </w:rPr>
        <w:t>00</w:t>
      </w:r>
      <w:r>
        <w:rPr>
          <w:spacing w:val="-45"/>
          <w:sz w:val="24"/>
          <w:szCs w:val="24"/>
          <w:highlight w:val="none"/>
        </w:rPr>
        <w:t xml:space="preserve"> </w:t>
      </w:r>
      <w:r>
        <w:rPr>
          <w:spacing w:val="-4"/>
          <w:sz w:val="24"/>
          <w:szCs w:val="24"/>
          <w:highlight w:val="none"/>
        </w:rPr>
        <w:t>万元及以上的为小型企业；</w:t>
      </w:r>
    </w:p>
    <w:p w14:paraId="6894DEA3">
      <w:pPr>
        <w:pStyle w:val="4"/>
        <w:spacing w:line="219" w:lineRule="auto"/>
        <w:ind w:left="8"/>
        <w:rPr>
          <w:sz w:val="24"/>
          <w:szCs w:val="24"/>
          <w:highlight w:val="none"/>
        </w:rPr>
      </w:pPr>
      <w:r>
        <w:rPr>
          <w:spacing w:val="-4"/>
          <w:sz w:val="24"/>
          <w:szCs w:val="24"/>
          <w:highlight w:val="none"/>
        </w:rPr>
        <w:t>营业收入</w:t>
      </w:r>
      <w:r>
        <w:rPr>
          <w:spacing w:val="-27"/>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万元以下或资产总额</w:t>
      </w:r>
      <w:r>
        <w:rPr>
          <w:spacing w:val="-47"/>
          <w:sz w:val="24"/>
          <w:szCs w:val="24"/>
          <w:highlight w:val="none"/>
        </w:rPr>
        <w:t xml:space="preserve"> </w:t>
      </w:r>
      <w:r>
        <w:rPr>
          <w:spacing w:val="-4"/>
          <w:sz w:val="24"/>
          <w:szCs w:val="24"/>
          <w:highlight w:val="none"/>
        </w:rPr>
        <w:t>2000</w:t>
      </w:r>
      <w:r>
        <w:rPr>
          <w:spacing w:val="-45"/>
          <w:sz w:val="24"/>
          <w:szCs w:val="24"/>
          <w:highlight w:val="none"/>
        </w:rPr>
        <w:t xml:space="preserve"> </w:t>
      </w:r>
      <w:r>
        <w:rPr>
          <w:spacing w:val="-4"/>
          <w:sz w:val="24"/>
          <w:szCs w:val="24"/>
          <w:highlight w:val="none"/>
        </w:rPr>
        <w:t>万元以下的为微型企业。</w:t>
      </w:r>
    </w:p>
    <w:p w14:paraId="3E869A6B">
      <w:pPr>
        <w:pStyle w:val="4"/>
        <w:spacing w:before="214" w:line="385" w:lineRule="auto"/>
        <w:ind w:right="82" w:firstLine="487"/>
        <w:rPr>
          <w:sz w:val="24"/>
          <w:szCs w:val="24"/>
          <w:highlight w:val="none"/>
        </w:rPr>
      </w:pPr>
      <w:r>
        <w:rPr>
          <w:spacing w:val="-3"/>
          <w:sz w:val="24"/>
          <w:szCs w:val="24"/>
          <w:highlight w:val="none"/>
        </w:rPr>
        <w:t>（十四）物业管理。从业人员</w:t>
      </w:r>
      <w:r>
        <w:rPr>
          <w:spacing w:val="-33"/>
          <w:sz w:val="24"/>
          <w:szCs w:val="24"/>
          <w:highlight w:val="none"/>
        </w:rPr>
        <w:t xml:space="preserve"> </w:t>
      </w:r>
      <w:r>
        <w:rPr>
          <w:spacing w:val="-3"/>
          <w:sz w:val="24"/>
          <w:szCs w:val="24"/>
          <w:highlight w:val="none"/>
        </w:rPr>
        <w:t>1000</w:t>
      </w:r>
      <w:r>
        <w:rPr>
          <w:spacing w:val="-49"/>
          <w:sz w:val="24"/>
          <w:szCs w:val="24"/>
          <w:highlight w:val="none"/>
        </w:rPr>
        <w:t xml:space="preserve"> </w:t>
      </w:r>
      <w:r>
        <w:rPr>
          <w:spacing w:val="-3"/>
          <w:sz w:val="24"/>
          <w:szCs w:val="24"/>
          <w:highlight w:val="none"/>
        </w:rPr>
        <w:t>人以下或</w:t>
      </w:r>
      <w:r>
        <w:rPr>
          <w:spacing w:val="-4"/>
          <w:sz w:val="24"/>
          <w:szCs w:val="24"/>
          <w:highlight w:val="none"/>
        </w:rPr>
        <w:t>营业收入</w:t>
      </w:r>
      <w:r>
        <w:rPr>
          <w:spacing w:val="-45"/>
          <w:sz w:val="24"/>
          <w:szCs w:val="24"/>
          <w:highlight w:val="none"/>
        </w:rPr>
        <w:t xml:space="preserve"> </w:t>
      </w:r>
      <w:r>
        <w:rPr>
          <w:spacing w:val="-4"/>
          <w:sz w:val="24"/>
          <w:szCs w:val="24"/>
          <w:highlight w:val="none"/>
        </w:rPr>
        <w:t>5000</w:t>
      </w:r>
      <w:r>
        <w:rPr>
          <w:spacing w:val="-45"/>
          <w:sz w:val="24"/>
          <w:szCs w:val="24"/>
          <w:highlight w:val="none"/>
        </w:rPr>
        <w:t xml:space="preserve"> </w:t>
      </w:r>
      <w:r>
        <w:rPr>
          <w:spacing w:val="-4"/>
          <w:sz w:val="24"/>
          <w:szCs w:val="24"/>
          <w:highlight w:val="none"/>
        </w:rPr>
        <w:t>万元以下的为中小微型</w:t>
      </w:r>
      <w:r>
        <w:rPr>
          <w:spacing w:val="-2"/>
          <w:sz w:val="24"/>
          <w:szCs w:val="24"/>
          <w:highlight w:val="none"/>
        </w:rPr>
        <w:t>企业。其中，从业人员</w:t>
      </w:r>
      <w:r>
        <w:rPr>
          <w:spacing w:val="-43"/>
          <w:sz w:val="24"/>
          <w:szCs w:val="24"/>
          <w:highlight w:val="none"/>
        </w:rPr>
        <w:t xml:space="preserve"> </w:t>
      </w:r>
      <w:r>
        <w:rPr>
          <w:spacing w:val="-2"/>
          <w:sz w:val="24"/>
          <w:szCs w:val="24"/>
          <w:highlight w:val="none"/>
        </w:rPr>
        <w:t>300</w:t>
      </w:r>
      <w:r>
        <w:rPr>
          <w:spacing w:val="-49"/>
          <w:sz w:val="24"/>
          <w:szCs w:val="24"/>
          <w:highlight w:val="none"/>
        </w:rPr>
        <w:t xml:space="preserve"> </w:t>
      </w:r>
      <w:r>
        <w:rPr>
          <w:spacing w:val="-2"/>
          <w:sz w:val="24"/>
          <w:szCs w:val="24"/>
          <w:highlight w:val="none"/>
        </w:rPr>
        <w:t>人及以上，且营业收入</w:t>
      </w:r>
      <w:r>
        <w:rPr>
          <w:spacing w:val="-32"/>
          <w:sz w:val="24"/>
          <w:szCs w:val="24"/>
          <w:highlight w:val="none"/>
        </w:rPr>
        <w:t xml:space="preserve"> </w:t>
      </w:r>
      <w:r>
        <w:rPr>
          <w:spacing w:val="-2"/>
          <w:sz w:val="24"/>
          <w:szCs w:val="24"/>
          <w:highlight w:val="none"/>
        </w:rPr>
        <w:t>1000</w:t>
      </w:r>
      <w:r>
        <w:rPr>
          <w:spacing w:val="-45"/>
          <w:sz w:val="24"/>
          <w:szCs w:val="24"/>
          <w:highlight w:val="none"/>
        </w:rPr>
        <w:t xml:space="preserve"> </w:t>
      </w:r>
      <w:r>
        <w:rPr>
          <w:spacing w:val="-2"/>
          <w:sz w:val="24"/>
          <w:szCs w:val="24"/>
          <w:highlight w:val="none"/>
        </w:rPr>
        <w:t>万元及以上的为中型企业；从</w:t>
      </w:r>
      <w:r>
        <w:rPr>
          <w:spacing w:val="-4"/>
          <w:sz w:val="24"/>
          <w:szCs w:val="24"/>
          <w:highlight w:val="none"/>
        </w:rPr>
        <w:t>业人员</w:t>
      </w:r>
      <w:r>
        <w:rPr>
          <w:spacing w:val="-33"/>
          <w:sz w:val="24"/>
          <w:szCs w:val="24"/>
          <w:highlight w:val="none"/>
        </w:rPr>
        <w:t xml:space="preserve"> </w:t>
      </w:r>
      <w:r>
        <w:rPr>
          <w:spacing w:val="-4"/>
          <w:sz w:val="24"/>
          <w:szCs w:val="24"/>
          <w:highlight w:val="none"/>
        </w:rPr>
        <w:t>100</w:t>
      </w:r>
      <w:r>
        <w:rPr>
          <w:spacing w:val="-49"/>
          <w:sz w:val="24"/>
          <w:szCs w:val="24"/>
          <w:highlight w:val="none"/>
        </w:rPr>
        <w:t xml:space="preserve"> </w:t>
      </w:r>
      <w:r>
        <w:rPr>
          <w:spacing w:val="-4"/>
          <w:sz w:val="24"/>
          <w:szCs w:val="24"/>
          <w:highlight w:val="none"/>
        </w:rPr>
        <w:t>人及以上，且营业收入</w:t>
      </w:r>
      <w:r>
        <w:rPr>
          <w:spacing w:val="-45"/>
          <w:sz w:val="24"/>
          <w:szCs w:val="24"/>
          <w:highlight w:val="none"/>
        </w:rPr>
        <w:t xml:space="preserve"> </w:t>
      </w:r>
      <w:r>
        <w:rPr>
          <w:spacing w:val="-4"/>
          <w:sz w:val="24"/>
          <w:szCs w:val="24"/>
          <w:highlight w:val="none"/>
        </w:rPr>
        <w:t>500</w:t>
      </w:r>
      <w:r>
        <w:rPr>
          <w:spacing w:val="-45"/>
          <w:sz w:val="24"/>
          <w:szCs w:val="24"/>
          <w:highlight w:val="none"/>
        </w:rPr>
        <w:t xml:space="preserve"> </w:t>
      </w:r>
      <w:r>
        <w:rPr>
          <w:spacing w:val="-4"/>
          <w:sz w:val="24"/>
          <w:szCs w:val="24"/>
          <w:highlight w:val="none"/>
        </w:rPr>
        <w:t>万元及以上的为小型企业；从业人员</w:t>
      </w:r>
      <w:r>
        <w:rPr>
          <w:spacing w:val="-32"/>
          <w:sz w:val="24"/>
          <w:szCs w:val="24"/>
          <w:highlight w:val="none"/>
        </w:rPr>
        <w:t xml:space="preserve"> </w:t>
      </w:r>
      <w:r>
        <w:rPr>
          <w:spacing w:val="-4"/>
          <w:sz w:val="24"/>
          <w:szCs w:val="24"/>
          <w:highlight w:val="none"/>
        </w:rPr>
        <w:t>100</w:t>
      </w:r>
      <w:r>
        <w:rPr>
          <w:spacing w:val="-48"/>
          <w:sz w:val="24"/>
          <w:szCs w:val="24"/>
          <w:highlight w:val="none"/>
        </w:rPr>
        <w:t xml:space="preserve"> </w:t>
      </w:r>
      <w:r>
        <w:rPr>
          <w:spacing w:val="-4"/>
          <w:sz w:val="24"/>
          <w:szCs w:val="24"/>
          <w:highlight w:val="none"/>
        </w:rPr>
        <w:t>人以下或营业收入</w:t>
      </w:r>
      <w:r>
        <w:rPr>
          <w:spacing w:val="-39"/>
          <w:sz w:val="24"/>
          <w:szCs w:val="24"/>
          <w:highlight w:val="none"/>
        </w:rPr>
        <w:t xml:space="preserve"> </w:t>
      </w:r>
      <w:r>
        <w:rPr>
          <w:spacing w:val="-4"/>
          <w:sz w:val="24"/>
          <w:szCs w:val="24"/>
          <w:highlight w:val="none"/>
        </w:rPr>
        <w:t>500</w:t>
      </w:r>
      <w:r>
        <w:rPr>
          <w:spacing w:val="-45"/>
          <w:sz w:val="24"/>
          <w:szCs w:val="24"/>
          <w:highlight w:val="none"/>
        </w:rPr>
        <w:t xml:space="preserve"> </w:t>
      </w:r>
      <w:r>
        <w:rPr>
          <w:spacing w:val="-4"/>
          <w:sz w:val="24"/>
          <w:szCs w:val="24"/>
          <w:highlight w:val="none"/>
        </w:rPr>
        <w:t>万元以下的为微型企业。</w:t>
      </w:r>
    </w:p>
    <w:p w14:paraId="194AD395">
      <w:pPr>
        <w:pStyle w:val="4"/>
        <w:spacing w:line="386" w:lineRule="auto"/>
        <w:ind w:left="3" w:right="154" w:firstLine="483"/>
        <w:rPr>
          <w:sz w:val="24"/>
          <w:szCs w:val="24"/>
          <w:highlight w:val="none"/>
        </w:rPr>
      </w:pPr>
      <w:r>
        <w:rPr>
          <w:spacing w:val="-3"/>
          <w:sz w:val="24"/>
          <w:szCs w:val="24"/>
          <w:highlight w:val="none"/>
        </w:rPr>
        <w:t>（十五）租赁和商务服务业。从业人员 300</w:t>
      </w:r>
      <w:r>
        <w:rPr>
          <w:spacing w:val="-49"/>
          <w:sz w:val="24"/>
          <w:szCs w:val="24"/>
          <w:highlight w:val="none"/>
        </w:rPr>
        <w:t xml:space="preserve"> </w:t>
      </w:r>
      <w:r>
        <w:rPr>
          <w:spacing w:val="-3"/>
          <w:sz w:val="24"/>
          <w:szCs w:val="24"/>
          <w:highlight w:val="none"/>
        </w:rPr>
        <w:t>人以下或资产总额</w:t>
      </w:r>
      <w:r>
        <w:rPr>
          <w:spacing w:val="-33"/>
          <w:sz w:val="24"/>
          <w:szCs w:val="24"/>
          <w:highlight w:val="none"/>
        </w:rPr>
        <w:t xml:space="preserve"> </w:t>
      </w:r>
      <w:r>
        <w:rPr>
          <w:spacing w:val="-3"/>
          <w:sz w:val="24"/>
          <w:szCs w:val="24"/>
          <w:highlight w:val="none"/>
        </w:rPr>
        <w:t>1</w:t>
      </w:r>
      <w:r>
        <w:rPr>
          <w:spacing w:val="-4"/>
          <w:sz w:val="24"/>
          <w:szCs w:val="24"/>
          <w:highlight w:val="none"/>
        </w:rPr>
        <w:t>20000</w:t>
      </w:r>
      <w:r>
        <w:rPr>
          <w:spacing w:val="-44"/>
          <w:sz w:val="24"/>
          <w:szCs w:val="24"/>
          <w:highlight w:val="none"/>
        </w:rPr>
        <w:t xml:space="preserve"> </w:t>
      </w:r>
      <w:r>
        <w:rPr>
          <w:spacing w:val="-4"/>
          <w:sz w:val="24"/>
          <w:szCs w:val="24"/>
          <w:highlight w:val="none"/>
        </w:rPr>
        <w:t>万元以下的</w:t>
      </w:r>
      <w:r>
        <w:rPr>
          <w:sz w:val="24"/>
          <w:szCs w:val="24"/>
          <w:highlight w:val="none"/>
        </w:rPr>
        <w:t>为中小微型企业。其中，从业人员</w:t>
      </w:r>
      <w:r>
        <w:rPr>
          <w:spacing w:val="-32"/>
          <w:sz w:val="24"/>
          <w:szCs w:val="24"/>
          <w:highlight w:val="none"/>
        </w:rPr>
        <w:t xml:space="preserve"> </w:t>
      </w:r>
      <w:r>
        <w:rPr>
          <w:sz w:val="24"/>
          <w:szCs w:val="24"/>
          <w:highlight w:val="none"/>
        </w:rPr>
        <w:t>100</w:t>
      </w:r>
      <w:r>
        <w:rPr>
          <w:spacing w:val="-49"/>
          <w:sz w:val="24"/>
          <w:szCs w:val="24"/>
          <w:highlight w:val="none"/>
        </w:rPr>
        <w:t xml:space="preserve"> </w:t>
      </w:r>
      <w:r>
        <w:rPr>
          <w:sz w:val="24"/>
          <w:szCs w:val="24"/>
          <w:highlight w:val="none"/>
        </w:rPr>
        <w:t>人及以上，且资产总额8000</w:t>
      </w:r>
      <w:r>
        <w:rPr>
          <w:spacing w:val="-45"/>
          <w:sz w:val="24"/>
          <w:szCs w:val="24"/>
          <w:highlight w:val="none"/>
        </w:rPr>
        <w:t xml:space="preserve"> </w:t>
      </w:r>
      <w:r>
        <w:rPr>
          <w:sz w:val="24"/>
          <w:szCs w:val="24"/>
          <w:highlight w:val="none"/>
        </w:rPr>
        <w:t>万</w:t>
      </w:r>
      <w:r>
        <w:rPr>
          <w:spacing w:val="-1"/>
          <w:sz w:val="24"/>
          <w:szCs w:val="24"/>
          <w:highlight w:val="none"/>
        </w:rPr>
        <w:t>元及以上的为中</w:t>
      </w:r>
    </w:p>
    <w:p w14:paraId="3E2094BA">
      <w:pPr>
        <w:spacing w:line="386" w:lineRule="auto"/>
        <w:rPr>
          <w:sz w:val="24"/>
          <w:szCs w:val="24"/>
          <w:highlight w:val="none"/>
        </w:rPr>
        <w:sectPr>
          <w:footerReference r:id="rId40" w:type="default"/>
          <w:pgSz w:w="11907" w:h="16839"/>
          <w:pgMar w:top="1431" w:right="1331" w:bottom="1159" w:left="1427" w:header="0" w:footer="959" w:gutter="0"/>
          <w:cols w:space="720" w:num="1"/>
        </w:sectPr>
      </w:pPr>
    </w:p>
    <w:p w14:paraId="2060AC60">
      <w:pPr>
        <w:pStyle w:val="4"/>
        <w:spacing w:before="203" w:line="385" w:lineRule="auto"/>
        <w:ind w:left="17" w:right="176" w:hanging="10"/>
        <w:rPr>
          <w:sz w:val="24"/>
          <w:szCs w:val="24"/>
          <w:highlight w:val="none"/>
        </w:rPr>
      </w:pPr>
      <w:r>
        <w:rPr>
          <w:spacing w:val="-3"/>
          <w:sz w:val="24"/>
          <w:szCs w:val="24"/>
          <w:highlight w:val="none"/>
        </w:rPr>
        <w:t>型企业；从业人员</w:t>
      </w:r>
      <w:r>
        <w:rPr>
          <w:spacing w:val="-15"/>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人及以上，且资产总额</w:t>
      </w:r>
      <w:r>
        <w:rPr>
          <w:spacing w:val="-32"/>
          <w:sz w:val="24"/>
          <w:szCs w:val="24"/>
          <w:highlight w:val="none"/>
        </w:rPr>
        <w:t xml:space="preserve"> </w:t>
      </w:r>
      <w:r>
        <w:rPr>
          <w:spacing w:val="-3"/>
          <w:sz w:val="24"/>
          <w:szCs w:val="24"/>
          <w:highlight w:val="none"/>
        </w:rPr>
        <w:t>100</w:t>
      </w:r>
      <w:r>
        <w:rPr>
          <w:spacing w:val="-44"/>
          <w:sz w:val="24"/>
          <w:szCs w:val="24"/>
          <w:highlight w:val="none"/>
        </w:rPr>
        <w:t xml:space="preserve"> </w:t>
      </w:r>
      <w:r>
        <w:rPr>
          <w:spacing w:val="-3"/>
          <w:sz w:val="24"/>
          <w:szCs w:val="24"/>
          <w:highlight w:val="none"/>
        </w:rPr>
        <w:t>万元及以上的为小型企业；从业人员</w:t>
      </w:r>
      <w:r>
        <w:rPr>
          <w:spacing w:val="-5"/>
          <w:sz w:val="24"/>
          <w:szCs w:val="24"/>
          <w:highlight w:val="none"/>
        </w:rPr>
        <w:t>10</w:t>
      </w:r>
      <w:r>
        <w:rPr>
          <w:spacing w:val="-41"/>
          <w:sz w:val="24"/>
          <w:szCs w:val="24"/>
          <w:highlight w:val="none"/>
        </w:rPr>
        <w:t xml:space="preserve"> </w:t>
      </w:r>
      <w:r>
        <w:rPr>
          <w:spacing w:val="-5"/>
          <w:sz w:val="24"/>
          <w:szCs w:val="24"/>
          <w:highlight w:val="none"/>
        </w:rPr>
        <w:t>人以下或资产总额</w:t>
      </w:r>
      <w:r>
        <w:rPr>
          <w:spacing w:val="-33"/>
          <w:sz w:val="24"/>
          <w:szCs w:val="24"/>
          <w:highlight w:val="none"/>
        </w:rPr>
        <w:t xml:space="preserve"> </w:t>
      </w:r>
      <w:r>
        <w:rPr>
          <w:spacing w:val="-5"/>
          <w:sz w:val="24"/>
          <w:szCs w:val="24"/>
          <w:highlight w:val="none"/>
        </w:rPr>
        <w:t>100</w:t>
      </w:r>
      <w:r>
        <w:rPr>
          <w:spacing w:val="-44"/>
          <w:sz w:val="24"/>
          <w:szCs w:val="24"/>
          <w:highlight w:val="none"/>
        </w:rPr>
        <w:t xml:space="preserve"> </w:t>
      </w:r>
      <w:r>
        <w:rPr>
          <w:spacing w:val="-5"/>
          <w:sz w:val="24"/>
          <w:szCs w:val="24"/>
          <w:highlight w:val="none"/>
        </w:rPr>
        <w:t>万元以下的为微型企业。</w:t>
      </w:r>
    </w:p>
    <w:p w14:paraId="3A560773">
      <w:pPr>
        <w:pStyle w:val="4"/>
        <w:spacing w:before="2" w:line="384" w:lineRule="auto"/>
        <w:ind w:left="7" w:right="104" w:firstLine="479"/>
        <w:jc w:val="both"/>
        <w:rPr>
          <w:sz w:val="24"/>
          <w:szCs w:val="24"/>
          <w:highlight w:val="none"/>
        </w:rPr>
      </w:pPr>
      <w:r>
        <w:rPr>
          <w:spacing w:val="-7"/>
          <w:sz w:val="24"/>
          <w:szCs w:val="24"/>
          <w:highlight w:val="none"/>
        </w:rPr>
        <w:t>（十六）其他未列明行业。从业人员</w:t>
      </w:r>
      <w:r>
        <w:rPr>
          <w:spacing w:val="-45"/>
          <w:sz w:val="24"/>
          <w:szCs w:val="24"/>
          <w:highlight w:val="none"/>
        </w:rPr>
        <w:t xml:space="preserve"> </w:t>
      </w:r>
      <w:r>
        <w:rPr>
          <w:spacing w:val="-7"/>
          <w:sz w:val="24"/>
          <w:szCs w:val="24"/>
          <w:highlight w:val="none"/>
        </w:rPr>
        <w:t>300</w:t>
      </w:r>
      <w:r>
        <w:rPr>
          <w:spacing w:val="-49"/>
          <w:sz w:val="24"/>
          <w:szCs w:val="24"/>
          <w:highlight w:val="none"/>
        </w:rPr>
        <w:t xml:space="preserve"> </w:t>
      </w:r>
      <w:r>
        <w:rPr>
          <w:spacing w:val="-7"/>
          <w:sz w:val="24"/>
          <w:szCs w:val="24"/>
          <w:highlight w:val="none"/>
        </w:rPr>
        <w:t>人以下的为中小微型企业。</w:t>
      </w:r>
      <w:r>
        <w:rPr>
          <w:spacing w:val="-8"/>
          <w:sz w:val="24"/>
          <w:szCs w:val="24"/>
          <w:highlight w:val="none"/>
        </w:rPr>
        <w:t>其中，</w:t>
      </w:r>
      <w:r>
        <w:rPr>
          <w:spacing w:val="54"/>
          <w:sz w:val="24"/>
          <w:szCs w:val="24"/>
          <w:highlight w:val="none"/>
        </w:rPr>
        <w:t xml:space="preserve"> </w:t>
      </w:r>
      <w:r>
        <w:rPr>
          <w:spacing w:val="-8"/>
          <w:sz w:val="24"/>
          <w:szCs w:val="24"/>
          <w:highlight w:val="none"/>
        </w:rPr>
        <w:t>从业人</w:t>
      </w:r>
      <w:r>
        <w:rPr>
          <w:spacing w:val="-4"/>
          <w:sz w:val="24"/>
          <w:szCs w:val="24"/>
          <w:highlight w:val="none"/>
        </w:rPr>
        <w:t>员</w:t>
      </w:r>
      <w:r>
        <w:rPr>
          <w:spacing w:val="-33"/>
          <w:sz w:val="24"/>
          <w:szCs w:val="24"/>
          <w:highlight w:val="none"/>
        </w:rPr>
        <w:t xml:space="preserve"> </w:t>
      </w:r>
      <w:r>
        <w:rPr>
          <w:spacing w:val="-4"/>
          <w:sz w:val="24"/>
          <w:szCs w:val="24"/>
          <w:highlight w:val="none"/>
        </w:rPr>
        <w:t>100</w:t>
      </w:r>
      <w:r>
        <w:rPr>
          <w:spacing w:val="-49"/>
          <w:sz w:val="24"/>
          <w:szCs w:val="24"/>
          <w:highlight w:val="none"/>
        </w:rPr>
        <w:t xml:space="preserve"> </w:t>
      </w:r>
      <w:r>
        <w:rPr>
          <w:spacing w:val="-4"/>
          <w:sz w:val="24"/>
          <w:szCs w:val="24"/>
          <w:highlight w:val="none"/>
        </w:rPr>
        <w:t>人及以上的为中型企业；从业人员</w:t>
      </w:r>
      <w:r>
        <w:rPr>
          <w:spacing w:val="-32"/>
          <w:sz w:val="24"/>
          <w:szCs w:val="24"/>
          <w:highlight w:val="none"/>
        </w:rPr>
        <w:t xml:space="preserve"> </w:t>
      </w:r>
      <w:r>
        <w:rPr>
          <w:spacing w:val="-5"/>
          <w:sz w:val="24"/>
          <w:szCs w:val="24"/>
          <w:highlight w:val="none"/>
        </w:rPr>
        <w:t>10</w:t>
      </w:r>
      <w:r>
        <w:rPr>
          <w:spacing w:val="-49"/>
          <w:sz w:val="24"/>
          <w:szCs w:val="24"/>
          <w:highlight w:val="none"/>
        </w:rPr>
        <w:t xml:space="preserve"> </w:t>
      </w:r>
      <w:r>
        <w:rPr>
          <w:spacing w:val="-5"/>
          <w:sz w:val="24"/>
          <w:szCs w:val="24"/>
          <w:highlight w:val="none"/>
        </w:rPr>
        <w:t>人及以上的为小型企业；从业人员</w:t>
      </w:r>
      <w:r>
        <w:rPr>
          <w:spacing w:val="-32"/>
          <w:sz w:val="24"/>
          <w:szCs w:val="24"/>
          <w:highlight w:val="none"/>
        </w:rPr>
        <w:t xml:space="preserve"> </w:t>
      </w:r>
      <w:r>
        <w:rPr>
          <w:spacing w:val="-5"/>
          <w:sz w:val="24"/>
          <w:szCs w:val="24"/>
          <w:highlight w:val="none"/>
        </w:rPr>
        <w:t>10</w:t>
      </w:r>
      <w:r>
        <w:rPr>
          <w:spacing w:val="-49"/>
          <w:sz w:val="24"/>
          <w:szCs w:val="24"/>
          <w:highlight w:val="none"/>
        </w:rPr>
        <w:t xml:space="preserve"> </w:t>
      </w:r>
      <w:r>
        <w:rPr>
          <w:spacing w:val="-5"/>
          <w:sz w:val="24"/>
          <w:szCs w:val="24"/>
          <w:highlight w:val="none"/>
        </w:rPr>
        <w:t>人以</w:t>
      </w:r>
      <w:r>
        <w:rPr>
          <w:spacing w:val="-6"/>
          <w:sz w:val="24"/>
          <w:szCs w:val="24"/>
          <w:highlight w:val="none"/>
        </w:rPr>
        <w:t>下的为微型企业。</w:t>
      </w:r>
    </w:p>
    <w:p w14:paraId="1D30242C">
      <w:pPr>
        <w:pStyle w:val="4"/>
        <w:spacing w:before="1" w:line="218" w:lineRule="auto"/>
        <w:ind w:left="483"/>
        <w:rPr>
          <w:sz w:val="24"/>
          <w:szCs w:val="24"/>
          <w:highlight w:val="none"/>
        </w:rPr>
      </w:pPr>
      <w:r>
        <w:rPr>
          <w:spacing w:val="-2"/>
          <w:sz w:val="24"/>
          <w:szCs w:val="24"/>
          <w:highlight w:val="none"/>
        </w:rPr>
        <w:t>五、企业类型的划分以统计部门的统计数据为依据。</w:t>
      </w:r>
    </w:p>
    <w:p w14:paraId="3FD8A877">
      <w:pPr>
        <w:pStyle w:val="4"/>
        <w:spacing w:before="215" w:line="385" w:lineRule="auto"/>
        <w:ind w:left="3" w:right="108" w:firstLine="478"/>
        <w:rPr>
          <w:sz w:val="24"/>
          <w:szCs w:val="24"/>
          <w:highlight w:val="none"/>
        </w:rPr>
      </w:pPr>
      <w:r>
        <w:rPr>
          <w:spacing w:val="-2"/>
          <w:sz w:val="24"/>
          <w:szCs w:val="24"/>
          <w:highlight w:val="none"/>
        </w:rPr>
        <w:t>六、本规定适用于在中华人民共和国境内依法设立的各类所有制和各种组织形式的企业。个体工商户和本规定以外的行业，参照本规定进行划型。</w:t>
      </w:r>
    </w:p>
    <w:p w14:paraId="1FA74728">
      <w:pPr>
        <w:pStyle w:val="4"/>
        <w:spacing w:before="2" w:line="384" w:lineRule="auto"/>
        <w:ind w:left="2" w:right="105" w:firstLine="476"/>
        <w:rPr>
          <w:sz w:val="24"/>
          <w:szCs w:val="24"/>
          <w:highlight w:val="none"/>
        </w:rPr>
      </w:pPr>
      <w:r>
        <w:rPr>
          <w:spacing w:val="-5"/>
          <w:sz w:val="24"/>
          <w:szCs w:val="24"/>
          <w:highlight w:val="none"/>
        </w:rPr>
        <w:t>七、本规定的中型企业标准上限即为大型企业标准的下限， 国家统计部门据此制定大中小微型企业的统计分类。国务院有关部门据此进行相关数据分析， 不得制定与本规</w:t>
      </w:r>
      <w:r>
        <w:rPr>
          <w:spacing w:val="-4"/>
          <w:sz w:val="24"/>
          <w:szCs w:val="24"/>
          <w:highlight w:val="none"/>
        </w:rPr>
        <w:t>定不一致的企业划型标准。</w:t>
      </w:r>
    </w:p>
    <w:p w14:paraId="736A5FE1">
      <w:pPr>
        <w:pStyle w:val="4"/>
        <w:spacing w:line="384" w:lineRule="auto"/>
        <w:ind w:firstLine="483"/>
        <w:rPr>
          <w:sz w:val="24"/>
          <w:szCs w:val="24"/>
          <w:highlight w:val="none"/>
        </w:rPr>
      </w:pPr>
      <w:r>
        <w:rPr>
          <w:spacing w:val="-5"/>
          <w:sz w:val="24"/>
          <w:szCs w:val="24"/>
          <w:highlight w:val="none"/>
        </w:rPr>
        <w:t>八、本规定由工业和信息化部、国家统计局会同有关部门</w:t>
      </w:r>
      <w:r>
        <w:rPr>
          <w:spacing w:val="-6"/>
          <w:sz w:val="24"/>
          <w:szCs w:val="24"/>
          <w:highlight w:val="none"/>
        </w:rPr>
        <w:t>根据《国民经济行业分类》</w:t>
      </w:r>
      <w:r>
        <w:rPr>
          <w:spacing w:val="-3"/>
          <w:sz w:val="24"/>
          <w:szCs w:val="24"/>
          <w:highlight w:val="none"/>
        </w:rPr>
        <w:t>修订情况和企业发展变化情况适时修订。</w:t>
      </w:r>
    </w:p>
    <w:p w14:paraId="70341127">
      <w:pPr>
        <w:pStyle w:val="4"/>
        <w:spacing w:before="1" w:line="218" w:lineRule="auto"/>
        <w:ind w:left="485"/>
        <w:rPr>
          <w:sz w:val="24"/>
          <w:szCs w:val="24"/>
          <w:highlight w:val="none"/>
        </w:rPr>
      </w:pPr>
      <w:r>
        <w:rPr>
          <w:spacing w:val="-2"/>
          <w:sz w:val="24"/>
          <w:szCs w:val="24"/>
          <w:highlight w:val="none"/>
        </w:rPr>
        <w:t>九、本规定由工业和信息化部、国家统计局会同有关部门负责解释。</w:t>
      </w:r>
    </w:p>
    <w:p w14:paraId="1A2AB04F">
      <w:pPr>
        <w:pStyle w:val="4"/>
        <w:spacing w:before="217" w:line="386" w:lineRule="auto"/>
        <w:ind w:left="2" w:right="105" w:firstLine="478"/>
        <w:rPr>
          <w:sz w:val="24"/>
          <w:szCs w:val="24"/>
          <w:highlight w:val="none"/>
        </w:rPr>
      </w:pPr>
      <w:r>
        <w:rPr>
          <w:spacing w:val="-7"/>
          <w:sz w:val="24"/>
          <w:szCs w:val="24"/>
          <w:highlight w:val="none"/>
        </w:rPr>
        <w:t>十、本规定自发布之日起执行，</w:t>
      </w:r>
      <w:r>
        <w:rPr>
          <w:spacing w:val="72"/>
          <w:sz w:val="24"/>
          <w:szCs w:val="24"/>
          <w:highlight w:val="none"/>
        </w:rPr>
        <w:t xml:space="preserve"> </w:t>
      </w:r>
      <w:r>
        <w:rPr>
          <w:spacing w:val="-7"/>
          <w:sz w:val="24"/>
          <w:szCs w:val="24"/>
          <w:highlight w:val="none"/>
        </w:rPr>
        <w:t>原国家经贸委、原国家计委、财政部和国家统计局</w:t>
      </w:r>
      <w:r>
        <w:rPr>
          <w:spacing w:val="-3"/>
          <w:sz w:val="24"/>
          <w:szCs w:val="24"/>
          <w:highlight w:val="none"/>
        </w:rPr>
        <w:t>2003</w:t>
      </w:r>
      <w:r>
        <w:rPr>
          <w:spacing w:val="-31"/>
          <w:sz w:val="24"/>
          <w:szCs w:val="24"/>
          <w:highlight w:val="none"/>
        </w:rPr>
        <w:t xml:space="preserve"> </w:t>
      </w:r>
      <w:r>
        <w:rPr>
          <w:spacing w:val="-3"/>
          <w:sz w:val="24"/>
          <w:szCs w:val="24"/>
          <w:highlight w:val="none"/>
        </w:rPr>
        <w:t>年颁布的《中小企业标准暂行规定》同时废止。</w:t>
      </w:r>
    </w:p>
    <w:p w14:paraId="014171B2">
      <w:pPr>
        <w:spacing w:line="386" w:lineRule="auto"/>
        <w:rPr>
          <w:sz w:val="24"/>
          <w:szCs w:val="24"/>
          <w:highlight w:val="none"/>
        </w:rPr>
        <w:sectPr>
          <w:footerReference r:id="rId41" w:type="default"/>
          <w:pgSz w:w="11907" w:h="16839"/>
          <w:pgMar w:top="1431" w:right="1309" w:bottom="1159" w:left="1428" w:header="0" w:footer="959" w:gutter="0"/>
          <w:cols w:space="720" w:num="1"/>
        </w:sectPr>
      </w:pPr>
    </w:p>
    <w:p w14:paraId="79F0D910">
      <w:pPr>
        <w:pStyle w:val="4"/>
        <w:spacing w:before="159" w:line="225" w:lineRule="auto"/>
        <w:ind w:left="2619"/>
        <w:rPr>
          <w:highlight w:val="none"/>
        </w:rPr>
      </w:pPr>
      <w:r>
        <w:rPr>
          <w:b/>
          <w:bCs/>
          <w:spacing w:val="5"/>
          <w:highlight w:val="none"/>
        </w:rPr>
        <w:t>7.残疾人福利性单位声明函</w:t>
      </w:r>
    </w:p>
    <w:p w14:paraId="02D0DDBE">
      <w:pPr>
        <w:pStyle w:val="4"/>
        <w:spacing w:before="128" w:line="220" w:lineRule="auto"/>
        <w:ind w:left="1169"/>
        <w:rPr>
          <w:sz w:val="24"/>
          <w:szCs w:val="24"/>
          <w:highlight w:val="none"/>
        </w:rPr>
      </w:pPr>
      <w:r>
        <w:rPr>
          <w:b/>
          <w:bCs/>
          <w:spacing w:val="-3"/>
          <w:sz w:val="24"/>
          <w:szCs w:val="24"/>
          <w:highlight w:val="none"/>
        </w:rPr>
        <w:t>（属于残疾人福利性单位的填写，不属于的无需填写此项内容）</w:t>
      </w:r>
    </w:p>
    <w:p w14:paraId="29F54CA8">
      <w:pPr>
        <w:spacing w:line="291" w:lineRule="auto"/>
        <w:rPr>
          <w:rFonts w:ascii="Arial"/>
          <w:sz w:val="21"/>
          <w:highlight w:val="none"/>
        </w:rPr>
      </w:pPr>
    </w:p>
    <w:p w14:paraId="2470A658">
      <w:pPr>
        <w:spacing w:line="291" w:lineRule="auto"/>
        <w:rPr>
          <w:rFonts w:ascii="Arial"/>
          <w:sz w:val="21"/>
          <w:highlight w:val="none"/>
        </w:rPr>
      </w:pPr>
    </w:p>
    <w:p w14:paraId="2B499827">
      <w:pPr>
        <w:spacing w:line="291" w:lineRule="auto"/>
        <w:rPr>
          <w:rFonts w:ascii="Arial"/>
          <w:sz w:val="21"/>
          <w:highlight w:val="none"/>
        </w:rPr>
      </w:pPr>
    </w:p>
    <w:p w14:paraId="3BC63B28">
      <w:pPr>
        <w:spacing w:line="292" w:lineRule="auto"/>
        <w:rPr>
          <w:rFonts w:ascii="Arial"/>
          <w:sz w:val="21"/>
          <w:highlight w:val="none"/>
        </w:rPr>
      </w:pPr>
    </w:p>
    <w:p w14:paraId="482154C7">
      <w:pPr>
        <w:pStyle w:val="4"/>
        <w:spacing w:before="78" w:line="359" w:lineRule="auto"/>
        <w:ind w:left="1" w:right="93" w:firstLine="481"/>
        <w:jc w:val="both"/>
        <w:rPr>
          <w:sz w:val="24"/>
          <w:szCs w:val="24"/>
          <w:highlight w:val="none"/>
        </w:rPr>
      </w:pPr>
      <w:r>
        <w:rPr>
          <w:spacing w:val="-4"/>
          <w:sz w:val="24"/>
          <w:szCs w:val="24"/>
          <w:highlight w:val="none"/>
        </w:rPr>
        <w:t>本单位郑重声明，根据《财政部</w:t>
      </w:r>
      <w:r>
        <w:rPr>
          <w:spacing w:val="49"/>
          <w:sz w:val="24"/>
          <w:szCs w:val="24"/>
          <w:highlight w:val="none"/>
        </w:rPr>
        <w:t xml:space="preserve"> </w:t>
      </w:r>
      <w:r>
        <w:rPr>
          <w:spacing w:val="-4"/>
          <w:sz w:val="24"/>
          <w:szCs w:val="24"/>
          <w:highlight w:val="none"/>
        </w:rPr>
        <w:t>民政部</w:t>
      </w:r>
      <w:r>
        <w:rPr>
          <w:spacing w:val="32"/>
          <w:sz w:val="24"/>
          <w:szCs w:val="24"/>
          <w:highlight w:val="none"/>
        </w:rPr>
        <w:t xml:space="preserve"> </w:t>
      </w:r>
      <w:r>
        <w:rPr>
          <w:spacing w:val="-4"/>
          <w:sz w:val="24"/>
          <w:szCs w:val="24"/>
          <w:highlight w:val="none"/>
        </w:rPr>
        <w:t>中国残疾人联合会关于促进残疾人就业政府采购政策的通知》（财库〔</w:t>
      </w:r>
      <w:r>
        <w:rPr>
          <w:rFonts w:ascii="Calibri" w:hAnsi="Calibri" w:eastAsia="Calibri" w:cs="Calibri"/>
          <w:spacing w:val="-4"/>
          <w:sz w:val="24"/>
          <w:szCs w:val="24"/>
          <w:highlight w:val="none"/>
        </w:rPr>
        <w:t>2017</w:t>
      </w:r>
      <w:r>
        <w:rPr>
          <w:spacing w:val="-4"/>
          <w:sz w:val="24"/>
          <w:szCs w:val="24"/>
          <w:highlight w:val="none"/>
        </w:rPr>
        <w:t xml:space="preserve">〕 </w:t>
      </w:r>
      <w:r>
        <w:rPr>
          <w:rFonts w:ascii="Calibri" w:hAnsi="Calibri" w:eastAsia="Calibri" w:cs="Calibri"/>
          <w:spacing w:val="-4"/>
          <w:sz w:val="24"/>
          <w:szCs w:val="24"/>
          <w:highlight w:val="none"/>
        </w:rPr>
        <w:t>141</w:t>
      </w:r>
      <w:r>
        <w:rPr>
          <w:rFonts w:ascii="Calibri" w:hAnsi="Calibri" w:eastAsia="Calibri" w:cs="Calibri"/>
          <w:spacing w:val="25"/>
          <w:sz w:val="24"/>
          <w:szCs w:val="24"/>
          <w:highlight w:val="none"/>
        </w:rPr>
        <w:t xml:space="preserve"> </w:t>
      </w:r>
      <w:r>
        <w:rPr>
          <w:spacing w:val="-4"/>
          <w:sz w:val="24"/>
          <w:szCs w:val="24"/>
          <w:highlight w:val="none"/>
        </w:rPr>
        <w:t>号）的规定，本单位为符合条件的残疾人福利</w:t>
      </w:r>
      <w:r>
        <w:rPr>
          <w:spacing w:val="-2"/>
          <w:sz w:val="24"/>
          <w:szCs w:val="24"/>
          <w:highlight w:val="none"/>
        </w:rPr>
        <w:t>性单位，且本单位参加</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2"/>
          <w:sz w:val="24"/>
          <w:szCs w:val="24"/>
          <w:highlight w:val="none"/>
        </w:rPr>
        <w:t>单位的</w:t>
      </w:r>
      <w:r>
        <w:rPr>
          <w:spacing w:val="-2"/>
          <w:sz w:val="24"/>
          <w:szCs w:val="24"/>
          <w:highlight w:val="none"/>
          <w:u w:val="single" w:color="auto"/>
        </w:rPr>
        <w:t xml:space="preserve">      </w:t>
      </w:r>
      <w:r>
        <w:rPr>
          <w:spacing w:val="-106"/>
          <w:sz w:val="24"/>
          <w:szCs w:val="24"/>
          <w:highlight w:val="none"/>
        </w:rPr>
        <w:t xml:space="preserve"> </w:t>
      </w:r>
      <w:r>
        <w:rPr>
          <w:spacing w:val="-2"/>
          <w:sz w:val="24"/>
          <w:szCs w:val="24"/>
          <w:highlight w:val="none"/>
        </w:rPr>
        <w:t>项目采购活动，提供本单位制</w:t>
      </w:r>
      <w:r>
        <w:rPr>
          <w:spacing w:val="-3"/>
          <w:sz w:val="24"/>
          <w:szCs w:val="24"/>
          <w:highlight w:val="none"/>
        </w:rPr>
        <w:t>造的货物，或</w:t>
      </w:r>
      <w:r>
        <w:rPr>
          <w:spacing w:val="-2"/>
          <w:sz w:val="24"/>
          <w:szCs w:val="24"/>
          <w:highlight w:val="none"/>
        </w:rPr>
        <w:t>者提供其他残疾人福利性单位制造的货物（不包括使用非残疾人福利性单位注册商标的</w:t>
      </w:r>
      <w:r>
        <w:rPr>
          <w:spacing w:val="-37"/>
          <w:sz w:val="24"/>
          <w:szCs w:val="24"/>
          <w:highlight w:val="none"/>
        </w:rPr>
        <w:t>货物）。</w:t>
      </w:r>
    </w:p>
    <w:p w14:paraId="038CF102">
      <w:pPr>
        <w:pStyle w:val="4"/>
        <w:spacing w:before="6" w:line="219" w:lineRule="auto"/>
        <w:ind w:left="482"/>
        <w:rPr>
          <w:sz w:val="24"/>
          <w:szCs w:val="24"/>
          <w:highlight w:val="none"/>
        </w:rPr>
      </w:pPr>
      <w:r>
        <w:rPr>
          <w:spacing w:val="-2"/>
          <w:sz w:val="24"/>
          <w:szCs w:val="24"/>
          <w:highlight w:val="none"/>
        </w:rPr>
        <w:t>本单位对上述声明的真实性负责。如有虚假，将依法承担相应责任。</w:t>
      </w:r>
    </w:p>
    <w:p w14:paraId="0AB53790">
      <w:pPr>
        <w:spacing w:line="241" w:lineRule="auto"/>
        <w:rPr>
          <w:rFonts w:ascii="Arial"/>
          <w:sz w:val="21"/>
          <w:highlight w:val="none"/>
        </w:rPr>
      </w:pPr>
    </w:p>
    <w:p w14:paraId="14B4360B">
      <w:pPr>
        <w:spacing w:line="241" w:lineRule="auto"/>
        <w:rPr>
          <w:rFonts w:ascii="Arial"/>
          <w:sz w:val="21"/>
          <w:highlight w:val="none"/>
        </w:rPr>
      </w:pPr>
    </w:p>
    <w:p w14:paraId="73E9A11D">
      <w:pPr>
        <w:spacing w:line="242" w:lineRule="auto"/>
        <w:rPr>
          <w:rFonts w:ascii="Arial"/>
          <w:sz w:val="21"/>
          <w:highlight w:val="none"/>
        </w:rPr>
      </w:pPr>
    </w:p>
    <w:p w14:paraId="6C4BCC19">
      <w:pPr>
        <w:pStyle w:val="4"/>
        <w:spacing w:before="79" w:line="219" w:lineRule="auto"/>
        <w:ind w:left="485"/>
        <w:rPr>
          <w:sz w:val="24"/>
          <w:szCs w:val="24"/>
          <w:highlight w:val="none"/>
        </w:rPr>
      </w:pPr>
      <w:r>
        <w:rPr>
          <w:spacing w:val="-18"/>
          <w:sz w:val="24"/>
          <w:szCs w:val="24"/>
          <w:highlight w:val="none"/>
        </w:rPr>
        <w:t>企业名称（盖章</w:t>
      </w:r>
      <w:r>
        <w:rPr>
          <w:spacing w:val="-13"/>
          <w:sz w:val="24"/>
          <w:szCs w:val="24"/>
          <w:highlight w:val="none"/>
        </w:rPr>
        <w:t>）：</w:t>
      </w:r>
    </w:p>
    <w:p w14:paraId="16B8BBB3">
      <w:pPr>
        <w:pStyle w:val="4"/>
        <w:spacing w:before="184" w:line="220" w:lineRule="auto"/>
        <w:ind w:left="523"/>
        <w:rPr>
          <w:sz w:val="24"/>
          <w:szCs w:val="24"/>
          <w:highlight w:val="none"/>
        </w:rPr>
      </w:pPr>
      <w:r>
        <w:rPr>
          <w:spacing w:val="-29"/>
          <w:sz w:val="24"/>
          <w:szCs w:val="24"/>
          <w:highlight w:val="none"/>
        </w:rPr>
        <w:t>日</w:t>
      </w:r>
      <w:r>
        <w:rPr>
          <w:spacing w:val="13"/>
          <w:sz w:val="24"/>
          <w:szCs w:val="24"/>
          <w:highlight w:val="none"/>
        </w:rPr>
        <w:t xml:space="preserve"> </w:t>
      </w:r>
      <w:r>
        <w:rPr>
          <w:spacing w:val="-29"/>
          <w:sz w:val="24"/>
          <w:szCs w:val="24"/>
          <w:highlight w:val="none"/>
        </w:rPr>
        <w:t>期：</w:t>
      </w:r>
    </w:p>
    <w:p w14:paraId="55CD3CB0">
      <w:pPr>
        <w:pStyle w:val="4"/>
        <w:spacing w:before="123" w:line="304" w:lineRule="auto"/>
        <w:ind w:left="1" w:right="122" w:firstLine="210"/>
        <w:rPr>
          <w:sz w:val="19"/>
          <w:szCs w:val="19"/>
          <w:highlight w:val="none"/>
        </w:rPr>
      </w:pPr>
      <w:r>
        <w:rPr>
          <w:b/>
          <w:bCs/>
          <w:spacing w:val="12"/>
          <w:sz w:val="19"/>
          <w:szCs w:val="19"/>
          <w:highlight w:val="none"/>
        </w:rPr>
        <w:t>（注：如果供应商不是残疾人福利性单位，</w:t>
      </w:r>
      <w:r>
        <w:rPr>
          <w:spacing w:val="-43"/>
          <w:sz w:val="19"/>
          <w:szCs w:val="19"/>
          <w:highlight w:val="none"/>
        </w:rPr>
        <w:t xml:space="preserve"> </w:t>
      </w:r>
      <w:r>
        <w:rPr>
          <w:b/>
          <w:bCs/>
          <w:spacing w:val="12"/>
          <w:sz w:val="19"/>
          <w:szCs w:val="19"/>
          <w:highlight w:val="none"/>
        </w:rPr>
        <w:t>则不需要填写《残疾人福利性单位声明函》。否则，因</w:t>
      </w:r>
      <w:r>
        <w:rPr>
          <w:b/>
          <w:bCs/>
          <w:spacing w:val="7"/>
          <w:sz w:val="19"/>
          <w:szCs w:val="19"/>
          <w:highlight w:val="none"/>
        </w:rPr>
        <w:t>此导致虚假投标的后果由供应商自行承担。）</w:t>
      </w:r>
    </w:p>
    <w:p w14:paraId="3344B027">
      <w:pPr>
        <w:pStyle w:val="4"/>
        <w:spacing w:before="194" w:line="411" w:lineRule="auto"/>
        <w:ind w:left="17" w:hanging="15"/>
        <w:rPr>
          <w:sz w:val="21"/>
          <w:szCs w:val="21"/>
          <w:highlight w:val="none"/>
        </w:rPr>
      </w:pPr>
      <w:r>
        <w:rPr>
          <w:spacing w:val="-5"/>
          <w:sz w:val="21"/>
          <w:szCs w:val="21"/>
          <w:highlight w:val="none"/>
        </w:rPr>
        <w:t>《财政部民政部中国残疾人联合会关于促进残疾人就业政府采购政策的通知》（</w:t>
      </w:r>
      <w:r>
        <w:rPr>
          <w:spacing w:val="-6"/>
          <w:sz w:val="21"/>
          <w:szCs w:val="21"/>
          <w:highlight w:val="none"/>
        </w:rPr>
        <w:t>财库</w:t>
      </w:r>
      <w:r>
        <w:rPr>
          <w:spacing w:val="-41"/>
          <w:sz w:val="21"/>
          <w:szCs w:val="21"/>
          <w:highlight w:val="none"/>
        </w:rPr>
        <w:t xml:space="preserve"> </w:t>
      </w:r>
      <w:r>
        <w:rPr>
          <w:spacing w:val="-6"/>
          <w:sz w:val="21"/>
          <w:szCs w:val="21"/>
          <w:highlight w:val="none"/>
        </w:rPr>
        <w:t>2017〔141〕号）的规定：</w:t>
      </w:r>
    </w:p>
    <w:p w14:paraId="7F7459AF">
      <w:pPr>
        <w:pStyle w:val="4"/>
        <w:spacing w:line="219" w:lineRule="auto"/>
        <w:ind w:left="436"/>
        <w:rPr>
          <w:sz w:val="21"/>
          <w:szCs w:val="21"/>
          <w:highlight w:val="none"/>
        </w:rPr>
      </w:pPr>
      <w:r>
        <w:rPr>
          <w:spacing w:val="-1"/>
          <w:sz w:val="21"/>
          <w:szCs w:val="21"/>
          <w:highlight w:val="none"/>
        </w:rPr>
        <w:t>1. 享受政府采购支持政策的残疾人福利性单</w:t>
      </w:r>
      <w:r>
        <w:rPr>
          <w:spacing w:val="-2"/>
          <w:sz w:val="21"/>
          <w:szCs w:val="21"/>
          <w:highlight w:val="none"/>
        </w:rPr>
        <w:t>位应当同时满足以下条件：</w:t>
      </w:r>
    </w:p>
    <w:p w14:paraId="1FCFD3E3">
      <w:pPr>
        <w:pStyle w:val="4"/>
        <w:spacing w:before="219" w:line="411" w:lineRule="auto"/>
        <w:ind w:left="4" w:right="109" w:firstLine="2"/>
        <w:rPr>
          <w:sz w:val="21"/>
          <w:szCs w:val="21"/>
          <w:highlight w:val="none"/>
        </w:rPr>
      </w:pPr>
      <w:r>
        <w:rPr>
          <w:spacing w:val="-3"/>
          <w:sz w:val="21"/>
          <w:szCs w:val="21"/>
          <w:highlight w:val="none"/>
        </w:rPr>
        <w:t>（1）安置的残疾人占本单位在职职工人数的比例不低于</w:t>
      </w:r>
      <w:r>
        <w:rPr>
          <w:spacing w:val="-41"/>
          <w:sz w:val="21"/>
          <w:szCs w:val="21"/>
          <w:highlight w:val="none"/>
        </w:rPr>
        <w:t xml:space="preserve"> </w:t>
      </w:r>
      <w:r>
        <w:rPr>
          <w:spacing w:val="-3"/>
          <w:sz w:val="21"/>
          <w:szCs w:val="21"/>
          <w:highlight w:val="none"/>
        </w:rPr>
        <w:t>25%（含</w:t>
      </w:r>
      <w:r>
        <w:rPr>
          <w:spacing w:val="-32"/>
          <w:sz w:val="21"/>
          <w:szCs w:val="21"/>
          <w:highlight w:val="none"/>
        </w:rPr>
        <w:t xml:space="preserve"> </w:t>
      </w:r>
      <w:r>
        <w:rPr>
          <w:spacing w:val="-3"/>
          <w:sz w:val="21"/>
          <w:szCs w:val="21"/>
          <w:highlight w:val="none"/>
        </w:rPr>
        <w:t>25%</w:t>
      </w:r>
      <w:r>
        <w:rPr>
          <w:spacing w:val="-48"/>
          <w:sz w:val="21"/>
          <w:szCs w:val="21"/>
          <w:highlight w:val="none"/>
        </w:rPr>
        <w:t>），</w:t>
      </w:r>
      <w:r>
        <w:rPr>
          <w:spacing w:val="-3"/>
          <w:sz w:val="21"/>
          <w:szCs w:val="21"/>
          <w:highlight w:val="none"/>
        </w:rPr>
        <w:t>并且安置的残疾人人数不少</w:t>
      </w:r>
      <w:r>
        <w:rPr>
          <w:spacing w:val="-15"/>
          <w:sz w:val="21"/>
          <w:szCs w:val="21"/>
          <w:highlight w:val="none"/>
        </w:rPr>
        <w:t>于</w:t>
      </w:r>
      <w:r>
        <w:rPr>
          <w:spacing w:val="-28"/>
          <w:sz w:val="21"/>
          <w:szCs w:val="21"/>
          <w:highlight w:val="none"/>
        </w:rPr>
        <w:t xml:space="preserve"> </w:t>
      </w:r>
      <w:r>
        <w:rPr>
          <w:spacing w:val="-15"/>
          <w:sz w:val="21"/>
          <w:szCs w:val="21"/>
          <w:highlight w:val="none"/>
        </w:rPr>
        <w:t>10</w:t>
      </w:r>
      <w:r>
        <w:rPr>
          <w:spacing w:val="-45"/>
          <w:sz w:val="21"/>
          <w:szCs w:val="21"/>
          <w:highlight w:val="none"/>
        </w:rPr>
        <w:t xml:space="preserve"> </w:t>
      </w:r>
      <w:r>
        <w:rPr>
          <w:spacing w:val="-15"/>
          <w:sz w:val="21"/>
          <w:szCs w:val="21"/>
          <w:highlight w:val="none"/>
        </w:rPr>
        <w:t>人（含</w:t>
      </w:r>
      <w:r>
        <w:rPr>
          <w:spacing w:val="-28"/>
          <w:sz w:val="21"/>
          <w:szCs w:val="21"/>
          <w:highlight w:val="none"/>
        </w:rPr>
        <w:t xml:space="preserve"> </w:t>
      </w:r>
      <w:r>
        <w:rPr>
          <w:spacing w:val="-15"/>
          <w:sz w:val="21"/>
          <w:szCs w:val="21"/>
          <w:highlight w:val="none"/>
        </w:rPr>
        <w:t>10</w:t>
      </w:r>
      <w:r>
        <w:rPr>
          <w:spacing w:val="-45"/>
          <w:sz w:val="21"/>
          <w:szCs w:val="21"/>
          <w:highlight w:val="none"/>
        </w:rPr>
        <w:t xml:space="preserve"> </w:t>
      </w:r>
      <w:r>
        <w:rPr>
          <w:spacing w:val="-15"/>
          <w:sz w:val="21"/>
          <w:szCs w:val="21"/>
          <w:highlight w:val="none"/>
        </w:rPr>
        <w:t>人</w:t>
      </w:r>
      <w:r>
        <w:rPr>
          <w:spacing w:val="-29"/>
          <w:sz w:val="21"/>
          <w:szCs w:val="21"/>
          <w:highlight w:val="none"/>
        </w:rPr>
        <w:t>）；</w:t>
      </w:r>
    </w:p>
    <w:p w14:paraId="0F21C87F">
      <w:pPr>
        <w:pStyle w:val="4"/>
        <w:spacing w:before="1" w:line="219" w:lineRule="auto"/>
        <w:ind w:left="7"/>
        <w:rPr>
          <w:sz w:val="21"/>
          <w:szCs w:val="21"/>
          <w:highlight w:val="none"/>
        </w:rPr>
      </w:pPr>
      <w:r>
        <w:rPr>
          <w:spacing w:val="-1"/>
          <w:sz w:val="21"/>
          <w:szCs w:val="21"/>
          <w:highlight w:val="none"/>
        </w:rPr>
        <w:t>（2）依法与安置的每位残疾人签订了一年以上（含一年）的劳动合同</w:t>
      </w:r>
      <w:r>
        <w:rPr>
          <w:spacing w:val="-2"/>
          <w:sz w:val="21"/>
          <w:szCs w:val="21"/>
          <w:highlight w:val="none"/>
        </w:rPr>
        <w:t>或服务协议；</w:t>
      </w:r>
    </w:p>
    <w:p w14:paraId="5C308CE1">
      <w:pPr>
        <w:pStyle w:val="4"/>
        <w:spacing w:before="218" w:line="412" w:lineRule="auto"/>
        <w:ind w:left="8" w:right="101" w:hanging="1"/>
        <w:rPr>
          <w:sz w:val="21"/>
          <w:szCs w:val="21"/>
          <w:highlight w:val="none"/>
        </w:rPr>
      </w:pPr>
      <w:r>
        <w:rPr>
          <w:spacing w:val="-2"/>
          <w:sz w:val="21"/>
          <w:szCs w:val="21"/>
          <w:highlight w:val="none"/>
        </w:rPr>
        <w:t>（3）为安置的每位残疾人按月足额缴纳了基本养老保险、基本医疗保险、失业保险、工伤保险和生育保险等社会保险费；</w:t>
      </w:r>
    </w:p>
    <w:p w14:paraId="0C510A81">
      <w:pPr>
        <w:pStyle w:val="4"/>
        <w:spacing w:before="1" w:line="411" w:lineRule="auto"/>
        <w:ind w:right="102" w:firstLine="7"/>
        <w:rPr>
          <w:sz w:val="21"/>
          <w:szCs w:val="21"/>
          <w:highlight w:val="none"/>
        </w:rPr>
      </w:pPr>
      <w:r>
        <w:rPr>
          <w:spacing w:val="-2"/>
          <w:sz w:val="21"/>
          <w:szCs w:val="21"/>
          <w:highlight w:val="none"/>
        </w:rPr>
        <w:t>（4）通过银行等金融机构向安置的每位残疾人，按月支付了不低于单位所在区县适用的经省级人民政府批准的月最低工资标准的工资；</w:t>
      </w:r>
    </w:p>
    <w:p w14:paraId="6887CA3B">
      <w:pPr>
        <w:pStyle w:val="4"/>
        <w:spacing w:line="219" w:lineRule="auto"/>
        <w:ind w:left="7"/>
        <w:rPr>
          <w:sz w:val="21"/>
          <w:szCs w:val="21"/>
          <w:highlight w:val="none"/>
        </w:rPr>
      </w:pPr>
      <w:r>
        <w:rPr>
          <w:sz w:val="21"/>
          <w:szCs w:val="21"/>
          <w:highlight w:val="none"/>
        </w:rPr>
        <w:t>（5）提供本单位制造的货物、承担的工程或者服务（以下简称产品</w:t>
      </w:r>
      <w:r>
        <w:rPr>
          <w:spacing w:val="-43"/>
          <w:sz w:val="21"/>
          <w:szCs w:val="21"/>
          <w:highlight w:val="none"/>
        </w:rPr>
        <w:t>），</w:t>
      </w:r>
      <w:r>
        <w:rPr>
          <w:sz w:val="21"/>
          <w:szCs w:val="21"/>
          <w:highlight w:val="none"/>
        </w:rPr>
        <w:t>或者提供其他残疾人福利性</w:t>
      </w:r>
    </w:p>
    <w:p w14:paraId="6637860D">
      <w:pPr>
        <w:pStyle w:val="4"/>
        <w:spacing w:before="218" w:line="220" w:lineRule="auto"/>
        <w:ind w:left="2"/>
        <w:rPr>
          <w:sz w:val="21"/>
          <w:szCs w:val="21"/>
          <w:highlight w:val="none"/>
        </w:rPr>
      </w:pPr>
      <w:r>
        <w:rPr>
          <w:spacing w:val="-4"/>
          <w:sz w:val="21"/>
          <w:szCs w:val="21"/>
          <w:highlight w:val="none"/>
        </w:rPr>
        <w:t>单位制造的货物（不包括使用非残疾人福利性单位注册商标的货物）。</w:t>
      </w:r>
    </w:p>
    <w:p w14:paraId="0281F661">
      <w:pPr>
        <w:pStyle w:val="4"/>
        <w:spacing w:before="140" w:line="276" w:lineRule="auto"/>
        <w:ind w:left="7" w:right="91" w:firstLine="207"/>
        <w:rPr>
          <w:sz w:val="21"/>
          <w:szCs w:val="21"/>
          <w:highlight w:val="none"/>
        </w:rPr>
      </w:pPr>
      <w:r>
        <w:rPr>
          <w:spacing w:val="-2"/>
          <w:sz w:val="21"/>
          <w:szCs w:val="21"/>
          <w:highlight w:val="none"/>
        </w:rPr>
        <w:t>2. 成交人为残疾人福利性单位的，采购人或者其委托的采购代理机构应当随成交、成交结果同时</w:t>
      </w:r>
      <w:r>
        <w:rPr>
          <w:spacing w:val="-5"/>
          <w:sz w:val="21"/>
          <w:szCs w:val="21"/>
          <w:highlight w:val="none"/>
        </w:rPr>
        <w:t>公告其《残疾人福利性单位声明函》，接受社会监督。</w:t>
      </w:r>
    </w:p>
    <w:p w14:paraId="791132FC">
      <w:pPr>
        <w:spacing w:line="276" w:lineRule="auto"/>
        <w:rPr>
          <w:sz w:val="21"/>
          <w:szCs w:val="21"/>
          <w:highlight w:val="none"/>
        </w:rPr>
        <w:sectPr>
          <w:footerReference r:id="rId42" w:type="default"/>
          <w:pgSz w:w="11907" w:h="16839"/>
          <w:pgMar w:top="1431" w:right="1320" w:bottom="1159" w:left="1426" w:header="0" w:footer="959" w:gutter="0"/>
          <w:cols w:space="720" w:num="1"/>
        </w:sectPr>
      </w:pPr>
    </w:p>
    <w:p w14:paraId="58E95B17">
      <w:pPr>
        <w:pStyle w:val="4"/>
        <w:spacing w:before="159" w:line="225" w:lineRule="auto"/>
        <w:ind w:left="3210"/>
        <w:rPr>
          <w:highlight w:val="none"/>
        </w:rPr>
      </w:pPr>
      <w:r>
        <w:rPr>
          <w:b/>
          <w:bCs/>
          <w:spacing w:val="5"/>
          <w:highlight w:val="none"/>
        </w:rPr>
        <w:t>8.监狱企业证明文件</w:t>
      </w:r>
    </w:p>
    <w:p w14:paraId="0425885F">
      <w:pPr>
        <w:pStyle w:val="4"/>
        <w:spacing w:before="249" w:line="219" w:lineRule="auto"/>
        <w:ind w:left="1647"/>
        <w:rPr>
          <w:sz w:val="24"/>
          <w:szCs w:val="24"/>
          <w:highlight w:val="none"/>
        </w:rPr>
      </w:pPr>
      <w:r>
        <w:rPr>
          <w:b/>
          <w:bCs/>
          <w:spacing w:val="-3"/>
          <w:sz w:val="24"/>
          <w:szCs w:val="24"/>
          <w:highlight w:val="none"/>
        </w:rPr>
        <w:t>（属于监狱企业的提供，不属于的无需填写此项内容）</w:t>
      </w:r>
    </w:p>
    <w:p w14:paraId="51FAF8C0">
      <w:pPr>
        <w:spacing w:line="324" w:lineRule="auto"/>
        <w:rPr>
          <w:rFonts w:ascii="Arial"/>
          <w:sz w:val="21"/>
          <w:highlight w:val="none"/>
        </w:rPr>
      </w:pPr>
    </w:p>
    <w:p w14:paraId="74D3A08E">
      <w:pPr>
        <w:spacing w:line="324" w:lineRule="auto"/>
        <w:rPr>
          <w:rFonts w:ascii="Arial"/>
          <w:sz w:val="21"/>
          <w:highlight w:val="none"/>
        </w:rPr>
      </w:pPr>
    </w:p>
    <w:p w14:paraId="3ACC75BB">
      <w:pPr>
        <w:pStyle w:val="4"/>
        <w:spacing w:before="78" w:line="362" w:lineRule="auto"/>
        <w:ind w:firstLine="485"/>
        <w:rPr>
          <w:sz w:val="24"/>
          <w:szCs w:val="24"/>
          <w:highlight w:val="none"/>
        </w:rPr>
      </w:pPr>
      <w:r>
        <w:rPr>
          <w:spacing w:val="-6"/>
          <w:sz w:val="24"/>
          <w:szCs w:val="24"/>
          <w:highlight w:val="none"/>
        </w:rPr>
        <w:t>（监狱企业参加政府采购活动时，应当提供由省级</w:t>
      </w:r>
      <w:r>
        <w:rPr>
          <w:spacing w:val="-7"/>
          <w:sz w:val="24"/>
          <w:szCs w:val="24"/>
          <w:highlight w:val="none"/>
        </w:rPr>
        <w:t>以上监狱管理局、戒毒管理局</w:t>
      </w:r>
      <w:r>
        <w:rPr>
          <w:spacing w:val="-67"/>
          <w:sz w:val="24"/>
          <w:szCs w:val="24"/>
          <w:highlight w:val="none"/>
        </w:rPr>
        <w:t xml:space="preserve"> </w:t>
      </w:r>
      <w:r>
        <w:rPr>
          <w:spacing w:val="-7"/>
          <w:sz w:val="24"/>
          <w:szCs w:val="24"/>
          <w:highlight w:val="none"/>
        </w:rPr>
        <w:t>(含</w:t>
      </w:r>
      <w:r>
        <w:rPr>
          <w:spacing w:val="-2"/>
          <w:sz w:val="24"/>
          <w:szCs w:val="24"/>
          <w:highlight w:val="none"/>
        </w:rPr>
        <w:t>新疆生产建设兵团)出具的属于监狱企业的证明文件。</w:t>
      </w:r>
    </w:p>
    <w:p w14:paraId="51E63F5E">
      <w:pPr>
        <w:spacing w:line="382" w:lineRule="auto"/>
        <w:rPr>
          <w:rFonts w:ascii="Arial"/>
          <w:sz w:val="21"/>
          <w:highlight w:val="none"/>
        </w:rPr>
      </w:pPr>
    </w:p>
    <w:p w14:paraId="45782817">
      <w:pPr>
        <w:pStyle w:val="4"/>
        <w:spacing w:before="78" w:line="219" w:lineRule="auto"/>
        <w:ind w:left="718"/>
        <w:rPr>
          <w:sz w:val="24"/>
          <w:szCs w:val="24"/>
          <w:highlight w:val="none"/>
        </w:rPr>
      </w:pPr>
      <w:r>
        <w:rPr>
          <w:spacing w:val="-1"/>
          <w:sz w:val="24"/>
          <w:szCs w:val="24"/>
          <w:highlight w:val="none"/>
        </w:rPr>
        <w:t>注：在投标文件中附扫描件。</w:t>
      </w:r>
    </w:p>
    <w:p w14:paraId="1836CB40">
      <w:pPr>
        <w:spacing w:line="219" w:lineRule="auto"/>
        <w:rPr>
          <w:sz w:val="24"/>
          <w:szCs w:val="24"/>
          <w:highlight w:val="none"/>
        </w:rPr>
        <w:sectPr>
          <w:footerReference r:id="rId43" w:type="default"/>
          <w:pgSz w:w="11907" w:h="16839"/>
          <w:pgMar w:top="1431" w:right="1414" w:bottom="1159" w:left="1429" w:header="0" w:footer="959" w:gutter="0"/>
          <w:cols w:space="720" w:num="1"/>
        </w:sectPr>
      </w:pPr>
    </w:p>
    <w:p w14:paraId="0A259C7B">
      <w:pPr>
        <w:pStyle w:val="4"/>
        <w:spacing w:before="159" w:line="225" w:lineRule="auto"/>
        <w:ind w:left="3100"/>
        <w:rPr>
          <w:highlight w:val="none"/>
        </w:rPr>
      </w:pPr>
      <w:r>
        <w:rPr>
          <w:b/>
          <w:bCs/>
          <w:spacing w:val="3"/>
          <w:highlight w:val="none"/>
        </w:rPr>
        <w:t>9.</w:t>
      </w:r>
      <w:r>
        <w:rPr>
          <w:spacing w:val="-28"/>
          <w:highlight w:val="none"/>
        </w:rPr>
        <w:t xml:space="preserve"> </w:t>
      </w:r>
      <w:r>
        <w:rPr>
          <w:b/>
          <w:bCs/>
          <w:spacing w:val="3"/>
          <w:highlight w:val="none"/>
        </w:rPr>
        <w:t>技术及综合评审部分</w:t>
      </w:r>
    </w:p>
    <w:p w14:paraId="19D8D72F">
      <w:pPr>
        <w:pStyle w:val="4"/>
        <w:spacing w:before="260" w:line="393" w:lineRule="auto"/>
        <w:ind w:left="112" w:right="2130" w:firstLine="13"/>
        <w:rPr>
          <w:sz w:val="22"/>
          <w:szCs w:val="22"/>
          <w:highlight w:val="none"/>
        </w:rPr>
      </w:pPr>
      <w:r>
        <w:rPr>
          <w:b/>
          <w:bCs/>
          <w:spacing w:val="-3"/>
          <w:sz w:val="22"/>
          <w:szCs w:val="22"/>
          <w:highlight w:val="none"/>
        </w:rPr>
        <w:t>（供应商根据所投标包按照对应标包格式制作，非所投标包格式可删除）</w:t>
      </w:r>
      <w:r>
        <w:rPr>
          <w:spacing w:val="17"/>
          <w:sz w:val="22"/>
          <w:szCs w:val="22"/>
          <w:highlight w:val="none"/>
        </w:rPr>
        <w:t xml:space="preserve"> </w:t>
      </w:r>
      <w:r>
        <w:rPr>
          <w:b/>
          <w:bCs/>
          <w:spacing w:val="-13"/>
          <w:sz w:val="22"/>
          <w:szCs w:val="22"/>
          <w:highlight w:val="none"/>
        </w:rPr>
        <w:t>A</w:t>
      </w:r>
      <w:r>
        <w:rPr>
          <w:spacing w:val="-46"/>
          <w:sz w:val="22"/>
          <w:szCs w:val="22"/>
          <w:highlight w:val="none"/>
        </w:rPr>
        <w:t xml:space="preserve"> </w:t>
      </w:r>
      <w:r>
        <w:rPr>
          <w:b/>
          <w:bCs/>
          <w:spacing w:val="-13"/>
          <w:sz w:val="22"/>
          <w:szCs w:val="22"/>
          <w:highlight w:val="none"/>
        </w:rPr>
        <w:t>包：</w:t>
      </w:r>
    </w:p>
    <w:p w14:paraId="10A7EA3D">
      <w:pPr>
        <w:pStyle w:val="4"/>
        <w:spacing w:line="220" w:lineRule="auto"/>
        <w:ind w:left="122"/>
        <w:rPr>
          <w:sz w:val="22"/>
          <w:szCs w:val="22"/>
          <w:highlight w:val="none"/>
        </w:rPr>
      </w:pPr>
      <w:r>
        <w:rPr>
          <w:b/>
          <w:bCs/>
          <w:spacing w:val="-5"/>
          <w:sz w:val="22"/>
          <w:szCs w:val="22"/>
          <w:highlight w:val="none"/>
        </w:rPr>
        <w:t>一、技术部分：</w:t>
      </w:r>
    </w:p>
    <w:p w14:paraId="3B1D587F">
      <w:pPr>
        <w:pStyle w:val="4"/>
        <w:spacing w:before="205" w:line="220" w:lineRule="auto"/>
        <w:ind w:left="135"/>
        <w:rPr>
          <w:sz w:val="22"/>
          <w:szCs w:val="22"/>
          <w:highlight w:val="none"/>
        </w:rPr>
      </w:pPr>
      <w:r>
        <w:rPr>
          <w:b/>
          <w:bCs/>
          <w:spacing w:val="-5"/>
          <w:sz w:val="22"/>
          <w:szCs w:val="22"/>
          <w:highlight w:val="none"/>
        </w:rPr>
        <w:t>1、技术指标响应情况</w:t>
      </w:r>
    </w:p>
    <w:p w14:paraId="647C51BA">
      <w:pPr>
        <w:spacing w:line="288" w:lineRule="auto"/>
        <w:rPr>
          <w:rFonts w:ascii="Arial"/>
          <w:sz w:val="21"/>
          <w:highlight w:val="none"/>
        </w:rPr>
      </w:pPr>
    </w:p>
    <w:p w14:paraId="7767C62F">
      <w:pPr>
        <w:pStyle w:val="4"/>
        <w:spacing w:before="78" w:line="220" w:lineRule="auto"/>
        <w:ind w:left="120"/>
        <w:rPr>
          <w:sz w:val="24"/>
          <w:szCs w:val="24"/>
          <w:highlight w:val="none"/>
        </w:rPr>
      </w:pPr>
      <w:r>
        <w:rPr>
          <w:b/>
          <w:bCs/>
          <w:spacing w:val="-3"/>
          <w:sz w:val="24"/>
          <w:szCs w:val="24"/>
          <w:highlight w:val="none"/>
        </w:rPr>
        <w:t>技术参数偏离表</w:t>
      </w:r>
      <w:r>
        <w:rPr>
          <w:spacing w:val="-3"/>
          <w:sz w:val="24"/>
          <w:szCs w:val="24"/>
          <w:highlight w:val="none"/>
        </w:rPr>
        <w:t>（格式）</w:t>
      </w:r>
    </w:p>
    <w:p w14:paraId="7E0AA578">
      <w:pPr>
        <w:spacing w:before="97"/>
        <w:rPr>
          <w:highlight w:val="none"/>
        </w:rPr>
      </w:pPr>
    </w:p>
    <w:tbl>
      <w:tblPr>
        <w:tblStyle w:val="23"/>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281"/>
        <w:gridCol w:w="2078"/>
        <w:gridCol w:w="1888"/>
        <w:gridCol w:w="1972"/>
        <w:gridCol w:w="1254"/>
      </w:tblGrid>
      <w:tr w14:paraId="7D92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3" w:type="dxa"/>
            <w:vAlign w:val="top"/>
          </w:tcPr>
          <w:p w14:paraId="64D1BFBD">
            <w:pPr>
              <w:pStyle w:val="24"/>
              <w:spacing w:before="207" w:line="222" w:lineRule="auto"/>
              <w:ind w:left="201"/>
              <w:rPr>
                <w:sz w:val="21"/>
                <w:szCs w:val="21"/>
                <w:highlight w:val="none"/>
              </w:rPr>
            </w:pPr>
            <w:r>
              <w:rPr>
                <w:spacing w:val="-2"/>
                <w:sz w:val="21"/>
                <w:szCs w:val="21"/>
                <w:highlight w:val="none"/>
              </w:rPr>
              <w:t>序号</w:t>
            </w:r>
          </w:p>
        </w:tc>
        <w:tc>
          <w:tcPr>
            <w:tcW w:w="1281" w:type="dxa"/>
            <w:vAlign w:val="top"/>
          </w:tcPr>
          <w:p w14:paraId="56A1ABB1">
            <w:pPr>
              <w:pStyle w:val="24"/>
              <w:spacing w:before="207" w:line="220" w:lineRule="auto"/>
              <w:ind w:left="229"/>
              <w:rPr>
                <w:sz w:val="21"/>
                <w:szCs w:val="21"/>
                <w:highlight w:val="none"/>
              </w:rPr>
            </w:pPr>
            <w:r>
              <w:rPr>
                <w:spacing w:val="-3"/>
                <w:sz w:val="21"/>
                <w:szCs w:val="21"/>
                <w:highlight w:val="none"/>
              </w:rPr>
              <w:t>货物名称</w:t>
            </w:r>
          </w:p>
        </w:tc>
        <w:tc>
          <w:tcPr>
            <w:tcW w:w="2078" w:type="dxa"/>
            <w:vAlign w:val="top"/>
          </w:tcPr>
          <w:p w14:paraId="0C5786B1">
            <w:pPr>
              <w:pStyle w:val="24"/>
              <w:spacing w:before="206" w:line="221" w:lineRule="auto"/>
              <w:ind w:left="202"/>
              <w:rPr>
                <w:sz w:val="21"/>
                <w:szCs w:val="21"/>
                <w:highlight w:val="none"/>
              </w:rPr>
            </w:pPr>
            <w:r>
              <w:rPr>
                <w:spacing w:val="-1"/>
                <w:sz w:val="21"/>
                <w:szCs w:val="21"/>
                <w:highlight w:val="none"/>
              </w:rPr>
              <w:t>招标技术参数要求</w:t>
            </w:r>
          </w:p>
        </w:tc>
        <w:tc>
          <w:tcPr>
            <w:tcW w:w="1888" w:type="dxa"/>
            <w:vAlign w:val="top"/>
          </w:tcPr>
          <w:p w14:paraId="094C57C5">
            <w:pPr>
              <w:pStyle w:val="24"/>
              <w:spacing w:before="206" w:line="221" w:lineRule="auto"/>
              <w:ind w:left="214"/>
              <w:rPr>
                <w:sz w:val="21"/>
                <w:szCs w:val="21"/>
                <w:highlight w:val="none"/>
              </w:rPr>
            </w:pPr>
            <w:r>
              <w:rPr>
                <w:spacing w:val="-2"/>
                <w:sz w:val="21"/>
                <w:szCs w:val="21"/>
                <w:highlight w:val="none"/>
              </w:rPr>
              <w:t>投标品牌和型号</w:t>
            </w:r>
          </w:p>
        </w:tc>
        <w:tc>
          <w:tcPr>
            <w:tcW w:w="1972" w:type="dxa"/>
            <w:vAlign w:val="top"/>
          </w:tcPr>
          <w:p w14:paraId="55E1319B">
            <w:pPr>
              <w:pStyle w:val="24"/>
              <w:spacing w:before="206" w:line="221" w:lineRule="auto"/>
              <w:ind w:left="155"/>
              <w:rPr>
                <w:sz w:val="21"/>
                <w:szCs w:val="21"/>
                <w:highlight w:val="none"/>
              </w:rPr>
            </w:pPr>
            <w:r>
              <w:rPr>
                <w:spacing w:val="-1"/>
                <w:sz w:val="21"/>
                <w:szCs w:val="21"/>
                <w:highlight w:val="none"/>
              </w:rPr>
              <w:t>投标产品技术参数</w:t>
            </w:r>
          </w:p>
        </w:tc>
        <w:tc>
          <w:tcPr>
            <w:tcW w:w="1254" w:type="dxa"/>
            <w:vAlign w:val="top"/>
          </w:tcPr>
          <w:p w14:paraId="46531073">
            <w:pPr>
              <w:pStyle w:val="24"/>
              <w:spacing w:before="206" w:line="221" w:lineRule="auto"/>
              <w:ind w:left="209"/>
              <w:rPr>
                <w:sz w:val="21"/>
                <w:szCs w:val="21"/>
                <w:highlight w:val="none"/>
              </w:rPr>
            </w:pPr>
            <w:r>
              <w:rPr>
                <w:spacing w:val="-2"/>
                <w:sz w:val="21"/>
                <w:szCs w:val="21"/>
                <w:highlight w:val="none"/>
              </w:rPr>
              <w:t>偏离说明</w:t>
            </w:r>
          </w:p>
        </w:tc>
      </w:tr>
      <w:tr w14:paraId="6ABBF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175069DE">
            <w:pPr>
              <w:rPr>
                <w:rFonts w:ascii="Arial"/>
                <w:sz w:val="21"/>
                <w:highlight w:val="none"/>
              </w:rPr>
            </w:pPr>
          </w:p>
        </w:tc>
        <w:tc>
          <w:tcPr>
            <w:tcW w:w="1281" w:type="dxa"/>
            <w:vAlign w:val="top"/>
          </w:tcPr>
          <w:p w14:paraId="404C70A3">
            <w:pPr>
              <w:rPr>
                <w:rFonts w:ascii="Arial"/>
                <w:sz w:val="21"/>
                <w:highlight w:val="none"/>
              </w:rPr>
            </w:pPr>
          </w:p>
        </w:tc>
        <w:tc>
          <w:tcPr>
            <w:tcW w:w="2078" w:type="dxa"/>
            <w:vAlign w:val="top"/>
          </w:tcPr>
          <w:p w14:paraId="7840B4A1">
            <w:pPr>
              <w:rPr>
                <w:rFonts w:ascii="Arial"/>
                <w:sz w:val="21"/>
                <w:highlight w:val="none"/>
              </w:rPr>
            </w:pPr>
          </w:p>
        </w:tc>
        <w:tc>
          <w:tcPr>
            <w:tcW w:w="1888" w:type="dxa"/>
            <w:vAlign w:val="top"/>
          </w:tcPr>
          <w:p w14:paraId="0EA8E0DD">
            <w:pPr>
              <w:rPr>
                <w:rFonts w:ascii="Arial"/>
                <w:sz w:val="21"/>
                <w:highlight w:val="none"/>
              </w:rPr>
            </w:pPr>
          </w:p>
        </w:tc>
        <w:tc>
          <w:tcPr>
            <w:tcW w:w="1972" w:type="dxa"/>
            <w:vAlign w:val="top"/>
          </w:tcPr>
          <w:p w14:paraId="069437FD">
            <w:pPr>
              <w:rPr>
                <w:rFonts w:ascii="Arial"/>
                <w:sz w:val="21"/>
                <w:highlight w:val="none"/>
              </w:rPr>
            </w:pPr>
          </w:p>
        </w:tc>
        <w:tc>
          <w:tcPr>
            <w:tcW w:w="1254" w:type="dxa"/>
            <w:vAlign w:val="top"/>
          </w:tcPr>
          <w:p w14:paraId="60C5CF92">
            <w:pPr>
              <w:rPr>
                <w:rFonts w:ascii="Arial"/>
                <w:sz w:val="21"/>
                <w:highlight w:val="none"/>
              </w:rPr>
            </w:pPr>
          </w:p>
        </w:tc>
      </w:tr>
      <w:tr w14:paraId="0563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53D4D8B8">
            <w:pPr>
              <w:rPr>
                <w:rFonts w:ascii="Arial"/>
                <w:sz w:val="21"/>
                <w:highlight w:val="none"/>
              </w:rPr>
            </w:pPr>
          </w:p>
        </w:tc>
        <w:tc>
          <w:tcPr>
            <w:tcW w:w="1281" w:type="dxa"/>
            <w:vAlign w:val="top"/>
          </w:tcPr>
          <w:p w14:paraId="4C475FC7">
            <w:pPr>
              <w:rPr>
                <w:rFonts w:ascii="Arial"/>
                <w:sz w:val="21"/>
                <w:highlight w:val="none"/>
              </w:rPr>
            </w:pPr>
          </w:p>
        </w:tc>
        <w:tc>
          <w:tcPr>
            <w:tcW w:w="2078" w:type="dxa"/>
            <w:vAlign w:val="top"/>
          </w:tcPr>
          <w:p w14:paraId="7BD4F30A">
            <w:pPr>
              <w:rPr>
                <w:rFonts w:ascii="Arial"/>
                <w:sz w:val="21"/>
                <w:highlight w:val="none"/>
              </w:rPr>
            </w:pPr>
          </w:p>
        </w:tc>
        <w:tc>
          <w:tcPr>
            <w:tcW w:w="1888" w:type="dxa"/>
            <w:vAlign w:val="top"/>
          </w:tcPr>
          <w:p w14:paraId="442F7B34">
            <w:pPr>
              <w:rPr>
                <w:rFonts w:ascii="Arial"/>
                <w:sz w:val="21"/>
                <w:highlight w:val="none"/>
              </w:rPr>
            </w:pPr>
          </w:p>
        </w:tc>
        <w:tc>
          <w:tcPr>
            <w:tcW w:w="1972" w:type="dxa"/>
            <w:vAlign w:val="top"/>
          </w:tcPr>
          <w:p w14:paraId="29B8887C">
            <w:pPr>
              <w:rPr>
                <w:rFonts w:ascii="Arial"/>
                <w:sz w:val="21"/>
                <w:highlight w:val="none"/>
              </w:rPr>
            </w:pPr>
          </w:p>
        </w:tc>
        <w:tc>
          <w:tcPr>
            <w:tcW w:w="1254" w:type="dxa"/>
            <w:vAlign w:val="top"/>
          </w:tcPr>
          <w:p w14:paraId="2AE82985">
            <w:pPr>
              <w:rPr>
                <w:rFonts w:ascii="Arial"/>
                <w:sz w:val="21"/>
                <w:highlight w:val="none"/>
              </w:rPr>
            </w:pPr>
          </w:p>
        </w:tc>
      </w:tr>
      <w:tr w14:paraId="5B0E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79E90959">
            <w:pPr>
              <w:rPr>
                <w:rFonts w:ascii="Arial"/>
                <w:sz w:val="21"/>
                <w:highlight w:val="none"/>
              </w:rPr>
            </w:pPr>
          </w:p>
        </w:tc>
        <w:tc>
          <w:tcPr>
            <w:tcW w:w="1281" w:type="dxa"/>
            <w:vAlign w:val="top"/>
          </w:tcPr>
          <w:p w14:paraId="1D1AFF50">
            <w:pPr>
              <w:rPr>
                <w:rFonts w:ascii="Arial"/>
                <w:sz w:val="21"/>
                <w:highlight w:val="none"/>
              </w:rPr>
            </w:pPr>
          </w:p>
        </w:tc>
        <w:tc>
          <w:tcPr>
            <w:tcW w:w="2078" w:type="dxa"/>
            <w:vAlign w:val="top"/>
          </w:tcPr>
          <w:p w14:paraId="0877E3B4">
            <w:pPr>
              <w:rPr>
                <w:rFonts w:ascii="Arial"/>
                <w:sz w:val="21"/>
                <w:highlight w:val="none"/>
              </w:rPr>
            </w:pPr>
          </w:p>
        </w:tc>
        <w:tc>
          <w:tcPr>
            <w:tcW w:w="1888" w:type="dxa"/>
            <w:vAlign w:val="top"/>
          </w:tcPr>
          <w:p w14:paraId="4C8ECE3A">
            <w:pPr>
              <w:rPr>
                <w:rFonts w:ascii="Arial"/>
                <w:sz w:val="21"/>
                <w:highlight w:val="none"/>
              </w:rPr>
            </w:pPr>
          </w:p>
        </w:tc>
        <w:tc>
          <w:tcPr>
            <w:tcW w:w="1972" w:type="dxa"/>
            <w:vAlign w:val="top"/>
          </w:tcPr>
          <w:p w14:paraId="7C95972D">
            <w:pPr>
              <w:rPr>
                <w:rFonts w:ascii="Arial"/>
                <w:sz w:val="21"/>
                <w:highlight w:val="none"/>
              </w:rPr>
            </w:pPr>
          </w:p>
        </w:tc>
        <w:tc>
          <w:tcPr>
            <w:tcW w:w="1254" w:type="dxa"/>
            <w:vAlign w:val="top"/>
          </w:tcPr>
          <w:p w14:paraId="4F849495">
            <w:pPr>
              <w:rPr>
                <w:rFonts w:ascii="Arial"/>
                <w:sz w:val="21"/>
                <w:highlight w:val="none"/>
              </w:rPr>
            </w:pPr>
          </w:p>
        </w:tc>
      </w:tr>
      <w:tr w14:paraId="2064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13" w:type="dxa"/>
            <w:vAlign w:val="top"/>
          </w:tcPr>
          <w:p w14:paraId="67A05E46">
            <w:pPr>
              <w:rPr>
                <w:rFonts w:ascii="Arial"/>
                <w:sz w:val="21"/>
                <w:highlight w:val="none"/>
              </w:rPr>
            </w:pPr>
          </w:p>
        </w:tc>
        <w:tc>
          <w:tcPr>
            <w:tcW w:w="1281" w:type="dxa"/>
            <w:vAlign w:val="top"/>
          </w:tcPr>
          <w:p w14:paraId="5ACDF184">
            <w:pPr>
              <w:rPr>
                <w:rFonts w:ascii="Arial"/>
                <w:sz w:val="21"/>
                <w:highlight w:val="none"/>
              </w:rPr>
            </w:pPr>
          </w:p>
        </w:tc>
        <w:tc>
          <w:tcPr>
            <w:tcW w:w="2078" w:type="dxa"/>
            <w:vAlign w:val="top"/>
          </w:tcPr>
          <w:p w14:paraId="2F2E549A">
            <w:pPr>
              <w:rPr>
                <w:rFonts w:ascii="Arial"/>
                <w:sz w:val="21"/>
                <w:highlight w:val="none"/>
              </w:rPr>
            </w:pPr>
          </w:p>
        </w:tc>
        <w:tc>
          <w:tcPr>
            <w:tcW w:w="1888" w:type="dxa"/>
            <w:vAlign w:val="top"/>
          </w:tcPr>
          <w:p w14:paraId="787F0CAB">
            <w:pPr>
              <w:rPr>
                <w:rFonts w:ascii="Arial"/>
                <w:sz w:val="21"/>
                <w:highlight w:val="none"/>
              </w:rPr>
            </w:pPr>
          </w:p>
        </w:tc>
        <w:tc>
          <w:tcPr>
            <w:tcW w:w="1972" w:type="dxa"/>
            <w:vAlign w:val="top"/>
          </w:tcPr>
          <w:p w14:paraId="298321B1">
            <w:pPr>
              <w:rPr>
                <w:rFonts w:ascii="Arial"/>
                <w:sz w:val="21"/>
                <w:highlight w:val="none"/>
              </w:rPr>
            </w:pPr>
          </w:p>
        </w:tc>
        <w:tc>
          <w:tcPr>
            <w:tcW w:w="1254" w:type="dxa"/>
            <w:vAlign w:val="top"/>
          </w:tcPr>
          <w:p w14:paraId="3853568B">
            <w:pPr>
              <w:rPr>
                <w:rFonts w:ascii="Arial"/>
                <w:sz w:val="21"/>
                <w:highlight w:val="none"/>
              </w:rPr>
            </w:pPr>
          </w:p>
        </w:tc>
      </w:tr>
    </w:tbl>
    <w:p w14:paraId="236FBBD0">
      <w:pPr>
        <w:pStyle w:val="4"/>
        <w:spacing w:before="202" w:line="424" w:lineRule="auto"/>
        <w:ind w:left="118" w:right="111"/>
        <w:rPr>
          <w:sz w:val="21"/>
          <w:szCs w:val="21"/>
          <w:highlight w:val="none"/>
        </w:rPr>
      </w:pPr>
      <w:r>
        <w:rPr>
          <w:sz w:val="21"/>
          <w:szCs w:val="21"/>
          <w:highlight w:val="none"/>
        </w:rPr>
        <w:t>注：供应商应根据投标设备的技术参数对照招标文件要求对比偏离情况，</w:t>
      </w:r>
      <w:r>
        <w:rPr>
          <w:b/>
          <w:bCs/>
          <w:sz w:val="21"/>
          <w:szCs w:val="21"/>
          <w:highlight w:val="none"/>
        </w:rPr>
        <w:t>提供相关证明材料并标明</w:t>
      </w:r>
      <w:r>
        <w:rPr>
          <w:b/>
          <w:bCs/>
          <w:spacing w:val="-1"/>
          <w:sz w:val="21"/>
          <w:szCs w:val="21"/>
          <w:highlight w:val="none"/>
        </w:rPr>
        <w:t>每条技术参数对应的证明材料页码及条款</w:t>
      </w:r>
      <w:r>
        <w:rPr>
          <w:spacing w:val="-1"/>
          <w:sz w:val="21"/>
          <w:szCs w:val="21"/>
          <w:highlight w:val="none"/>
        </w:rPr>
        <w:t>，否则按负偏离处理，表格不</w:t>
      </w:r>
      <w:r>
        <w:rPr>
          <w:spacing w:val="-2"/>
          <w:sz w:val="21"/>
          <w:szCs w:val="21"/>
          <w:highlight w:val="none"/>
        </w:rPr>
        <w:t>够可自行拓展。</w:t>
      </w:r>
    </w:p>
    <w:p w14:paraId="71448BB6">
      <w:pPr>
        <w:pStyle w:val="4"/>
        <w:spacing w:before="308" w:line="220" w:lineRule="auto"/>
        <w:ind w:left="122"/>
        <w:rPr>
          <w:sz w:val="22"/>
          <w:szCs w:val="22"/>
          <w:highlight w:val="none"/>
        </w:rPr>
      </w:pPr>
      <w:r>
        <w:rPr>
          <w:b/>
          <w:bCs/>
          <w:spacing w:val="-4"/>
          <w:sz w:val="22"/>
          <w:szCs w:val="22"/>
          <w:highlight w:val="none"/>
        </w:rPr>
        <w:t>二、综合部分</w:t>
      </w:r>
    </w:p>
    <w:p w14:paraId="4897B8A0">
      <w:pPr>
        <w:pStyle w:val="4"/>
        <w:spacing w:before="205" w:line="221" w:lineRule="auto"/>
        <w:ind w:left="135"/>
        <w:rPr>
          <w:sz w:val="22"/>
          <w:szCs w:val="22"/>
          <w:highlight w:val="none"/>
        </w:rPr>
      </w:pPr>
      <w:r>
        <w:rPr>
          <w:b/>
          <w:bCs/>
          <w:spacing w:val="-6"/>
          <w:sz w:val="22"/>
          <w:szCs w:val="22"/>
          <w:highlight w:val="none"/>
        </w:rPr>
        <w:t>1、企业业绩</w:t>
      </w:r>
    </w:p>
    <w:p w14:paraId="4DCAA0FD">
      <w:pPr>
        <w:pStyle w:val="4"/>
        <w:spacing w:before="205" w:line="221" w:lineRule="auto"/>
        <w:ind w:left="121"/>
        <w:rPr>
          <w:sz w:val="22"/>
          <w:szCs w:val="22"/>
          <w:highlight w:val="none"/>
        </w:rPr>
      </w:pPr>
      <w:r>
        <w:rPr>
          <w:b/>
          <w:bCs/>
          <w:spacing w:val="-4"/>
          <w:sz w:val="22"/>
          <w:szCs w:val="22"/>
          <w:highlight w:val="none"/>
        </w:rPr>
        <w:t>2、质保期</w:t>
      </w:r>
    </w:p>
    <w:p w14:paraId="3CAC49DC">
      <w:pPr>
        <w:pStyle w:val="4"/>
        <w:spacing w:before="205" w:line="219" w:lineRule="auto"/>
        <w:ind w:left="123"/>
        <w:rPr>
          <w:sz w:val="22"/>
          <w:szCs w:val="22"/>
          <w:highlight w:val="none"/>
        </w:rPr>
      </w:pPr>
      <w:r>
        <w:rPr>
          <w:b/>
          <w:bCs/>
          <w:spacing w:val="-4"/>
          <w:sz w:val="22"/>
          <w:szCs w:val="22"/>
          <w:highlight w:val="none"/>
        </w:rPr>
        <w:t>3、供货方案</w:t>
      </w:r>
    </w:p>
    <w:p w14:paraId="7565E8A6">
      <w:pPr>
        <w:pStyle w:val="4"/>
        <w:spacing w:before="207" w:line="221" w:lineRule="auto"/>
        <w:ind w:left="118"/>
        <w:rPr>
          <w:sz w:val="22"/>
          <w:szCs w:val="22"/>
          <w:highlight w:val="none"/>
        </w:rPr>
      </w:pPr>
      <w:r>
        <w:rPr>
          <w:b/>
          <w:bCs/>
          <w:spacing w:val="-3"/>
          <w:sz w:val="22"/>
          <w:szCs w:val="22"/>
          <w:highlight w:val="none"/>
        </w:rPr>
        <w:t>4、安装调试方案</w:t>
      </w:r>
    </w:p>
    <w:p w14:paraId="01BB5DBB">
      <w:pPr>
        <w:pStyle w:val="4"/>
        <w:spacing w:before="205" w:line="220" w:lineRule="auto"/>
        <w:ind w:left="123"/>
        <w:rPr>
          <w:sz w:val="22"/>
          <w:szCs w:val="22"/>
          <w:highlight w:val="none"/>
        </w:rPr>
      </w:pPr>
      <w:r>
        <w:rPr>
          <w:b/>
          <w:bCs/>
          <w:spacing w:val="-4"/>
          <w:sz w:val="22"/>
          <w:szCs w:val="22"/>
          <w:highlight w:val="none"/>
        </w:rPr>
        <w:t>5、售后服务方案</w:t>
      </w:r>
    </w:p>
    <w:p w14:paraId="05BE5CA8">
      <w:pPr>
        <w:pStyle w:val="4"/>
        <w:spacing w:before="205" w:line="221" w:lineRule="auto"/>
        <w:ind w:left="120"/>
        <w:rPr>
          <w:sz w:val="22"/>
          <w:szCs w:val="22"/>
          <w:highlight w:val="none"/>
        </w:rPr>
      </w:pPr>
      <w:r>
        <w:rPr>
          <w:b/>
          <w:bCs/>
          <w:spacing w:val="-4"/>
          <w:sz w:val="22"/>
          <w:szCs w:val="22"/>
          <w:highlight w:val="none"/>
        </w:rPr>
        <w:t>6、培训计划</w:t>
      </w:r>
    </w:p>
    <w:p w14:paraId="28487B77">
      <w:pPr>
        <w:pStyle w:val="4"/>
        <w:spacing w:before="205" w:line="219" w:lineRule="auto"/>
        <w:ind w:left="124"/>
        <w:rPr>
          <w:sz w:val="22"/>
          <w:szCs w:val="22"/>
          <w:highlight w:val="none"/>
        </w:rPr>
      </w:pPr>
      <w:r>
        <w:rPr>
          <w:b/>
          <w:bCs/>
          <w:spacing w:val="-4"/>
          <w:sz w:val="22"/>
          <w:szCs w:val="22"/>
          <w:highlight w:val="none"/>
        </w:rPr>
        <w:t>7、综合评价</w:t>
      </w:r>
    </w:p>
    <w:p w14:paraId="2E3431F8">
      <w:pPr>
        <w:pStyle w:val="4"/>
        <w:spacing w:before="208" w:line="220" w:lineRule="auto"/>
        <w:ind w:left="119"/>
        <w:rPr>
          <w:sz w:val="22"/>
          <w:szCs w:val="22"/>
          <w:highlight w:val="none"/>
        </w:rPr>
      </w:pPr>
      <w:r>
        <w:rPr>
          <w:b/>
          <w:bCs/>
          <w:spacing w:val="-3"/>
          <w:sz w:val="22"/>
          <w:szCs w:val="22"/>
          <w:highlight w:val="none"/>
        </w:rPr>
        <w:t>8、节能清单产品</w:t>
      </w:r>
    </w:p>
    <w:p w14:paraId="45628133">
      <w:pPr>
        <w:pStyle w:val="4"/>
        <w:spacing w:before="206" w:line="220" w:lineRule="auto"/>
        <w:ind w:left="119"/>
        <w:rPr>
          <w:sz w:val="22"/>
          <w:szCs w:val="22"/>
          <w:highlight w:val="none"/>
        </w:rPr>
      </w:pPr>
      <w:r>
        <w:rPr>
          <w:b/>
          <w:bCs/>
          <w:spacing w:val="-3"/>
          <w:sz w:val="22"/>
          <w:szCs w:val="22"/>
          <w:highlight w:val="none"/>
        </w:rPr>
        <w:t>9、环保清单产品</w:t>
      </w:r>
    </w:p>
    <w:p w14:paraId="5E0999F6">
      <w:pPr>
        <w:spacing w:line="312" w:lineRule="auto"/>
        <w:rPr>
          <w:rFonts w:ascii="Arial"/>
          <w:sz w:val="21"/>
          <w:highlight w:val="none"/>
        </w:rPr>
      </w:pPr>
    </w:p>
    <w:p w14:paraId="214F2626">
      <w:pPr>
        <w:pStyle w:val="4"/>
        <w:spacing w:before="72" w:line="219" w:lineRule="auto"/>
        <w:ind w:left="125"/>
        <w:rPr>
          <w:sz w:val="22"/>
          <w:szCs w:val="22"/>
          <w:highlight w:val="none"/>
        </w:rPr>
      </w:pPr>
      <w:r>
        <w:rPr>
          <w:b/>
          <w:bCs/>
          <w:spacing w:val="-4"/>
          <w:sz w:val="22"/>
          <w:szCs w:val="22"/>
          <w:highlight w:val="none"/>
        </w:rPr>
        <w:t>（根据项目评分办法需要设定，格式自拟）</w:t>
      </w:r>
    </w:p>
    <w:p w14:paraId="2BE72B14">
      <w:pPr>
        <w:spacing w:line="219" w:lineRule="auto"/>
        <w:rPr>
          <w:sz w:val="22"/>
          <w:szCs w:val="22"/>
          <w:highlight w:val="none"/>
        </w:rPr>
        <w:sectPr>
          <w:footerReference r:id="rId44" w:type="default"/>
          <w:pgSz w:w="11907" w:h="16839"/>
          <w:pgMar w:top="1431" w:right="1306" w:bottom="1159" w:left="1308" w:header="0" w:footer="959" w:gutter="0"/>
          <w:cols w:space="720" w:num="1"/>
        </w:sectPr>
      </w:pPr>
    </w:p>
    <w:p w14:paraId="59D7F93D">
      <w:pPr>
        <w:pStyle w:val="4"/>
        <w:spacing w:before="54" w:line="227" w:lineRule="auto"/>
        <w:ind w:left="113"/>
        <w:rPr>
          <w:sz w:val="22"/>
          <w:szCs w:val="22"/>
          <w:highlight w:val="none"/>
        </w:rPr>
      </w:pPr>
      <w:r>
        <w:rPr>
          <w:b/>
          <w:bCs/>
          <w:spacing w:val="-11"/>
          <w:sz w:val="22"/>
          <w:szCs w:val="22"/>
          <w:highlight w:val="none"/>
        </w:rPr>
        <w:t>B</w:t>
      </w:r>
      <w:r>
        <w:rPr>
          <w:spacing w:val="-82"/>
          <w:sz w:val="22"/>
          <w:szCs w:val="22"/>
          <w:highlight w:val="none"/>
        </w:rPr>
        <w:t xml:space="preserve"> </w:t>
      </w:r>
      <w:r>
        <w:rPr>
          <w:b/>
          <w:bCs/>
          <w:spacing w:val="-11"/>
          <w:sz w:val="22"/>
          <w:szCs w:val="22"/>
          <w:highlight w:val="none"/>
        </w:rPr>
        <w:t>、C</w:t>
      </w:r>
      <w:r>
        <w:rPr>
          <w:spacing w:val="-86"/>
          <w:sz w:val="22"/>
          <w:szCs w:val="22"/>
          <w:highlight w:val="none"/>
        </w:rPr>
        <w:t xml:space="preserve"> </w:t>
      </w:r>
      <w:r>
        <w:rPr>
          <w:b/>
          <w:bCs/>
          <w:spacing w:val="-11"/>
          <w:sz w:val="22"/>
          <w:szCs w:val="22"/>
          <w:highlight w:val="none"/>
        </w:rPr>
        <w:t>、D</w:t>
      </w:r>
      <w:r>
        <w:rPr>
          <w:spacing w:val="-46"/>
          <w:sz w:val="22"/>
          <w:szCs w:val="22"/>
          <w:highlight w:val="none"/>
        </w:rPr>
        <w:t xml:space="preserve"> </w:t>
      </w:r>
      <w:r>
        <w:rPr>
          <w:b/>
          <w:bCs/>
          <w:spacing w:val="-11"/>
          <w:sz w:val="22"/>
          <w:szCs w:val="22"/>
          <w:highlight w:val="none"/>
        </w:rPr>
        <w:t>包</w:t>
      </w:r>
    </w:p>
    <w:p w14:paraId="0C750CBB">
      <w:pPr>
        <w:pStyle w:val="4"/>
        <w:spacing w:before="197" w:line="220" w:lineRule="auto"/>
        <w:ind w:left="122"/>
        <w:rPr>
          <w:sz w:val="22"/>
          <w:szCs w:val="22"/>
          <w:highlight w:val="none"/>
        </w:rPr>
      </w:pPr>
      <w:r>
        <w:rPr>
          <w:b/>
          <w:bCs/>
          <w:spacing w:val="-5"/>
          <w:sz w:val="22"/>
          <w:szCs w:val="22"/>
          <w:highlight w:val="none"/>
        </w:rPr>
        <w:t>一、技术部分</w:t>
      </w:r>
    </w:p>
    <w:p w14:paraId="20A12DBF">
      <w:pPr>
        <w:pStyle w:val="4"/>
        <w:spacing w:before="205" w:line="220" w:lineRule="auto"/>
        <w:ind w:left="135"/>
        <w:rPr>
          <w:sz w:val="22"/>
          <w:szCs w:val="22"/>
          <w:highlight w:val="none"/>
        </w:rPr>
      </w:pPr>
      <w:r>
        <w:rPr>
          <w:b/>
          <w:bCs/>
          <w:spacing w:val="-5"/>
          <w:sz w:val="22"/>
          <w:szCs w:val="22"/>
          <w:highlight w:val="none"/>
        </w:rPr>
        <w:t>1、技术指标响应情况</w:t>
      </w:r>
    </w:p>
    <w:p w14:paraId="57AFC354">
      <w:pPr>
        <w:spacing w:line="288" w:lineRule="auto"/>
        <w:rPr>
          <w:rFonts w:ascii="Arial"/>
          <w:sz w:val="21"/>
          <w:highlight w:val="none"/>
        </w:rPr>
      </w:pPr>
    </w:p>
    <w:p w14:paraId="1D828691">
      <w:pPr>
        <w:pStyle w:val="4"/>
        <w:spacing w:before="78" w:line="220" w:lineRule="auto"/>
        <w:ind w:left="120"/>
        <w:rPr>
          <w:sz w:val="24"/>
          <w:szCs w:val="24"/>
          <w:highlight w:val="none"/>
        </w:rPr>
      </w:pPr>
      <w:r>
        <w:rPr>
          <w:b/>
          <w:bCs/>
          <w:spacing w:val="-3"/>
          <w:sz w:val="24"/>
          <w:szCs w:val="24"/>
          <w:highlight w:val="none"/>
        </w:rPr>
        <w:t>技术参数偏离表</w:t>
      </w:r>
      <w:r>
        <w:rPr>
          <w:spacing w:val="-3"/>
          <w:sz w:val="24"/>
          <w:szCs w:val="24"/>
          <w:highlight w:val="none"/>
        </w:rPr>
        <w:t>（格式）</w:t>
      </w:r>
    </w:p>
    <w:p w14:paraId="39DF0356">
      <w:pPr>
        <w:spacing w:before="97"/>
        <w:rPr>
          <w:highlight w:val="none"/>
        </w:rPr>
      </w:pPr>
    </w:p>
    <w:tbl>
      <w:tblPr>
        <w:tblStyle w:val="23"/>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281"/>
        <w:gridCol w:w="2078"/>
        <w:gridCol w:w="1888"/>
        <w:gridCol w:w="1972"/>
        <w:gridCol w:w="1254"/>
      </w:tblGrid>
      <w:tr w14:paraId="26AFE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13" w:type="dxa"/>
            <w:vAlign w:val="top"/>
          </w:tcPr>
          <w:p w14:paraId="3C4C1290">
            <w:pPr>
              <w:pStyle w:val="24"/>
              <w:spacing w:before="207" w:line="222" w:lineRule="auto"/>
              <w:ind w:left="201"/>
              <w:rPr>
                <w:sz w:val="21"/>
                <w:szCs w:val="21"/>
                <w:highlight w:val="none"/>
              </w:rPr>
            </w:pPr>
            <w:r>
              <w:rPr>
                <w:spacing w:val="-2"/>
                <w:sz w:val="21"/>
                <w:szCs w:val="21"/>
                <w:highlight w:val="none"/>
              </w:rPr>
              <w:t>序号</w:t>
            </w:r>
          </w:p>
        </w:tc>
        <w:tc>
          <w:tcPr>
            <w:tcW w:w="1281" w:type="dxa"/>
            <w:vAlign w:val="top"/>
          </w:tcPr>
          <w:p w14:paraId="717D6935">
            <w:pPr>
              <w:pStyle w:val="24"/>
              <w:spacing w:before="207" w:line="220" w:lineRule="auto"/>
              <w:ind w:left="229"/>
              <w:rPr>
                <w:sz w:val="21"/>
                <w:szCs w:val="21"/>
                <w:highlight w:val="none"/>
              </w:rPr>
            </w:pPr>
            <w:r>
              <w:rPr>
                <w:spacing w:val="-3"/>
                <w:sz w:val="21"/>
                <w:szCs w:val="21"/>
                <w:highlight w:val="none"/>
              </w:rPr>
              <w:t>货物名称</w:t>
            </w:r>
          </w:p>
        </w:tc>
        <w:tc>
          <w:tcPr>
            <w:tcW w:w="2078" w:type="dxa"/>
            <w:vAlign w:val="top"/>
          </w:tcPr>
          <w:p w14:paraId="2B27DAE5">
            <w:pPr>
              <w:pStyle w:val="24"/>
              <w:spacing w:before="206" w:line="221" w:lineRule="auto"/>
              <w:ind w:left="202"/>
              <w:rPr>
                <w:sz w:val="21"/>
                <w:szCs w:val="21"/>
                <w:highlight w:val="none"/>
              </w:rPr>
            </w:pPr>
            <w:r>
              <w:rPr>
                <w:spacing w:val="-1"/>
                <w:sz w:val="21"/>
                <w:szCs w:val="21"/>
                <w:highlight w:val="none"/>
              </w:rPr>
              <w:t>招标技术参数要求</w:t>
            </w:r>
          </w:p>
        </w:tc>
        <w:tc>
          <w:tcPr>
            <w:tcW w:w="1888" w:type="dxa"/>
            <w:vAlign w:val="top"/>
          </w:tcPr>
          <w:p w14:paraId="07E1FCD8">
            <w:pPr>
              <w:pStyle w:val="24"/>
              <w:spacing w:before="206" w:line="221" w:lineRule="auto"/>
              <w:ind w:left="214"/>
              <w:rPr>
                <w:sz w:val="21"/>
                <w:szCs w:val="21"/>
                <w:highlight w:val="none"/>
              </w:rPr>
            </w:pPr>
            <w:r>
              <w:rPr>
                <w:spacing w:val="-2"/>
                <w:sz w:val="21"/>
                <w:szCs w:val="21"/>
                <w:highlight w:val="none"/>
              </w:rPr>
              <w:t>投标品牌和型号</w:t>
            </w:r>
          </w:p>
        </w:tc>
        <w:tc>
          <w:tcPr>
            <w:tcW w:w="1972" w:type="dxa"/>
            <w:vAlign w:val="top"/>
          </w:tcPr>
          <w:p w14:paraId="1C69E321">
            <w:pPr>
              <w:pStyle w:val="24"/>
              <w:spacing w:before="206" w:line="221" w:lineRule="auto"/>
              <w:ind w:left="155"/>
              <w:rPr>
                <w:sz w:val="21"/>
                <w:szCs w:val="21"/>
                <w:highlight w:val="none"/>
              </w:rPr>
            </w:pPr>
            <w:r>
              <w:rPr>
                <w:spacing w:val="-1"/>
                <w:sz w:val="21"/>
                <w:szCs w:val="21"/>
                <w:highlight w:val="none"/>
              </w:rPr>
              <w:t>投标产品技术参数</w:t>
            </w:r>
          </w:p>
        </w:tc>
        <w:tc>
          <w:tcPr>
            <w:tcW w:w="1254" w:type="dxa"/>
            <w:vAlign w:val="top"/>
          </w:tcPr>
          <w:p w14:paraId="241CECE0">
            <w:pPr>
              <w:pStyle w:val="24"/>
              <w:spacing w:before="206" w:line="221" w:lineRule="auto"/>
              <w:ind w:left="209"/>
              <w:rPr>
                <w:sz w:val="21"/>
                <w:szCs w:val="21"/>
                <w:highlight w:val="none"/>
              </w:rPr>
            </w:pPr>
            <w:r>
              <w:rPr>
                <w:spacing w:val="-2"/>
                <w:sz w:val="21"/>
                <w:szCs w:val="21"/>
                <w:highlight w:val="none"/>
              </w:rPr>
              <w:t>偏离说明</w:t>
            </w:r>
          </w:p>
        </w:tc>
      </w:tr>
      <w:tr w14:paraId="56AF0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3DA0A02E">
            <w:pPr>
              <w:rPr>
                <w:rFonts w:ascii="Arial"/>
                <w:sz w:val="21"/>
                <w:highlight w:val="none"/>
              </w:rPr>
            </w:pPr>
          </w:p>
        </w:tc>
        <w:tc>
          <w:tcPr>
            <w:tcW w:w="1281" w:type="dxa"/>
            <w:vAlign w:val="top"/>
          </w:tcPr>
          <w:p w14:paraId="35E37D45">
            <w:pPr>
              <w:rPr>
                <w:rFonts w:ascii="Arial"/>
                <w:sz w:val="21"/>
                <w:highlight w:val="none"/>
              </w:rPr>
            </w:pPr>
          </w:p>
        </w:tc>
        <w:tc>
          <w:tcPr>
            <w:tcW w:w="2078" w:type="dxa"/>
            <w:vAlign w:val="top"/>
          </w:tcPr>
          <w:p w14:paraId="06663223">
            <w:pPr>
              <w:rPr>
                <w:rFonts w:ascii="Arial"/>
                <w:sz w:val="21"/>
                <w:highlight w:val="none"/>
              </w:rPr>
            </w:pPr>
          </w:p>
        </w:tc>
        <w:tc>
          <w:tcPr>
            <w:tcW w:w="1888" w:type="dxa"/>
            <w:vAlign w:val="top"/>
          </w:tcPr>
          <w:p w14:paraId="7F22325C">
            <w:pPr>
              <w:rPr>
                <w:rFonts w:ascii="Arial"/>
                <w:sz w:val="21"/>
                <w:highlight w:val="none"/>
              </w:rPr>
            </w:pPr>
          </w:p>
        </w:tc>
        <w:tc>
          <w:tcPr>
            <w:tcW w:w="1972" w:type="dxa"/>
            <w:vAlign w:val="top"/>
          </w:tcPr>
          <w:p w14:paraId="551930C7">
            <w:pPr>
              <w:rPr>
                <w:rFonts w:ascii="Arial"/>
                <w:sz w:val="21"/>
                <w:highlight w:val="none"/>
              </w:rPr>
            </w:pPr>
          </w:p>
        </w:tc>
        <w:tc>
          <w:tcPr>
            <w:tcW w:w="1254" w:type="dxa"/>
            <w:vAlign w:val="top"/>
          </w:tcPr>
          <w:p w14:paraId="53693F2A">
            <w:pPr>
              <w:rPr>
                <w:rFonts w:ascii="Arial"/>
                <w:sz w:val="21"/>
                <w:highlight w:val="none"/>
              </w:rPr>
            </w:pPr>
          </w:p>
        </w:tc>
      </w:tr>
      <w:tr w14:paraId="7EF6C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3EA54617">
            <w:pPr>
              <w:rPr>
                <w:rFonts w:ascii="Arial"/>
                <w:sz w:val="21"/>
                <w:highlight w:val="none"/>
              </w:rPr>
            </w:pPr>
          </w:p>
        </w:tc>
        <w:tc>
          <w:tcPr>
            <w:tcW w:w="1281" w:type="dxa"/>
            <w:vAlign w:val="top"/>
          </w:tcPr>
          <w:p w14:paraId="366B4659">
            <w:pPr>
              <w:rPr>
                <w:rFonts w:ascii="Arial"/>
                <w:sz w:val="21"/>
                <w:highlight w:val="none"/>
              </w:rPr>
            </w:pPr>
          </w:p>
        </w:tc>
        <w:tc>
          <w:tcPr>
            <w:tcW w:w="2078" w:type="dxa"/>
            <w:vAlign w:val="top"/>
          </w:tcPr>
          <w:p w14:paraId="0C6D4D26">
            <w:pPr>
              <w:rPr>
                <w:rFonts w:ascii="Arial"/>
                <w:sz w:val="21"/>
                <w:highlight w:val="none"/>
              </w:rPr>
            </w:pPr>
          </w:p>
        </w:tc>
        <w:tc>
          <w:tcPr>
            <w:tcW w:w="1888" w:type="dxa"/>
            <w:vAlign w:val="top"/>
          </w:tcPr>
          <w:p w14:paraId="2919B120">
            <w:pPr>
              <w:rPr>
                <w:rFonts w:ascii="Arial"/>
                <w:sz w:val="21"/>
                <w:highlight w:val="none"/>
              </w:rPr>
            </w:pPr>
          </w:p>
        </w:tc>
        <w:tc>
          <w:tcPr>
            <w:tcW w:w="1972" w:type="dxa"/>
            <w:vAlign w:val="top"/>
          </w:tcPr>
          <w:p w14:paraId="0E2F473C">
            <w:pPr>
              <w:rPr>
                <w:rFonts w:ascii="Arial"/>
                <w:sz w:val="21"/>
                <w:highlight w:val="none"/>
              </w:rPr>
            </w:pPr>
          </w:p>
        </w:tc>
        <w:tc>
          <w:tcPr>
            <w:tcW w:w="1254" w:type="dxa"/>
            <w:vAlign w:val="top"/>
          </w:tcPr>
          <w:p w14:paraId="485AA852">
            <w:pPr>
              <w:rPr>
                <w:rFonts w:ascii="Arial"/>
                <w:sz w:val="21"/>
                <w:highlight w:val="none"/>
              </w:rPr>
            </w:pPr>
          </w:p>
        </w:tc>
      </w:tr>
      <w:tr w14:paraId="50675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3842637E">
            <w:pPr>
              <w:rPr>
                <w:rFonts w:ascii="Arial"/>
                <w:sz w:val="21"/>
                <w:highlight w:val="none"/>
              </w:rPr>
            </w:pPr>
          </w:p>
        </w:tc>
        <w:tc>
          <w:tcPr>
            <w:tcW w:w="1281" w:type="dxa"/>
            <w:vAlign w:val="top"/>
          </w:tcPr>
          <w:p w14:paraId="33938A44">
            <w:pPr>
              <w:rPr>
                <w:rFonts w:ascii="Arial"/>
                <w:sz w:val="21"/>
                <w:highlight w:val="none"/>
              </w:rPr>
            </w:pPr>
          </w:p>
        </w:tc>
        <w:tc>
          <w:tcPr>
            <w:tcW w:w="2078" w:type="dxa"/>
            <w:vAlign w:val="top"/>
          </w:tcPr>
          <w:p w14:paraId="4B0DBEE2">
            <w:pPr>
              <w:rPr>
                <w:rFonts w:ascii="Arial"/>
                <w:sz w:val="21"/>
                <w:highlight w:val="none"/>
              </w:rPr>
            </w:pPr>
          </w:p>
        </w:tc>
        <w:tc>
          <w:tcPr>
            <w:tcW w:w="1888" w:type="dxa"/>
            <w:vAlign w:val="top"/>
          </w:tcPr>
          <w:p w14:paraId="2309399A">
            <w:pPr>
              <w:rPr>
                <w:rFonts w:ascii="Arial"/>
                <w:sz w:val="21"/>
                <w:highlight w:val="none"/>
              </w:rPr>
            </w:pPr>
          </w:p>
        </w:tc>
        <w:tc>
          <w:tcPr>
            <w:tcW w:w="1972" w:type="dxa"/>
            <w:vAlign w:val="top"/>
          </w:tcPr>
          <w:p w14:paraId="5C940CD7">
            <w:pPr>
              <w:rPr>
                <w:rFonts w:ascii="Arial"/>
                <w:sz w:val="21"/>
                <w:highlight w:val="none"/>
              </w:rPr>
            </w:pPr>
          </w:p>
        </w:tc>
        <w:tc>
          <w:tcPr>
            <w:tcW w:w="1254" w:type="dxa"/>
            <w:vAlign w:val="top"/>
          </w:tcPr>
          <w:p w14:paraId="38CCFB32">
            <w:pPr>
              <w:rPr>
                <w:rFonts w:ascii="Arial"/>
                <w:sz w:val="21"/>
                <w:highlight w:val="none"/>
              </w:rPr>
            </w:pPr>
          </w:p>
        </w:tc>
      </w:tr>
      <w:tr w14:paraId="76AF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13" w:type="dxa"/>
            <w:vAlign w:val="top"/>
          </w:tcPr>
          <w:p w14:paraId="353C7AA3">
            <w:pPr>
              <w:rPr>
                <w:rFonts w:ascii="Arial"/>
                <w:sz w:val="21"/>
                <w:highlight w:val="none"/>
              </w:rPr>
            </w:pPr>
          </w:p>
        </w:tc>
        <w:tc>
          <w:tcPr>
            <w:tcW w:w="1281" w:type="dxa"/>
            <w:vAlign w:val="top"/>
          </w:tcPr>
          <w:p w14:paraId="3B2CC2D4">
            <w:pPr>
              <w:rPr>
                <w:rFonts w:ascii="Arial"/>
                <w:sz w:val="21"/>
                <w:highlight w:val="none"/>
              </w:rPr>
            </w:pPr>
          </w:p>
        </w:tc>
        <w:tc>
          <w:tcPr>
            <w:tcW w:w="2078" w:type="dxa"/>
            <w:vAlign w:val="top"/>
          </w:tcPr>
          <w:p w14:paraId="450E31A9">
            <w:pPr>
              <w:rPr>
                <w:rFonts w:ascii="Arial"/>
                <w:sz w:val="21"/>
                <w:highlight w:val="none"/>
              </w:rPr>
            </w:pPr>
          </w:p>
        </w:tc>
        <w:tc>
          <w:tcPr>
            <w:tcW w:w="1888" w:type="dxa"/>
            <w:vAlign w:val="top"/>
          </w:tcPr>
          <w:p w14:paraId="268A310C">
            <w:pPr>
              <w:rPr>
                <w:rFonts w:ascii="Arial"/>
                <w:sz w:val="21"/>
                <w:highlight w:val="none"/>
              </w:rPr>
            </w:pPr>
          </w:p>
        </w:tc>
        <w:tc>
          <w:tcPr>
            <w:tcW w:w="1972" w:type="dxa"/>
            <w:vAlign w:val="top"/>
          </w:tcPr>
          <w:p w14:paraId="5D3A8381">
            <w:pPr>
              <w:rPr>
                <w:rFonts w:ascii="Arial"/>
                <w:sz w:val="21"/>
                <w:highlight w:val="none"/>
              </w:rPr>
            </w:pPr>
          </w:p>
        </w:tc>
        <w:tc>
          <w:tcPr>
            <w:tcW w:w="1254" w:type="dxa"/>
            <w:vAlign w:val="top"/>
          </w:tcPr>
          <w:p w14:paraId="1DF98004">
            <w:pPr>
              <w:rPr>
                <w:rFonts w:ascii="Arial"/>
                <w:sz w:val="21"/>
                <w:highlight w:val="none"/>
              </w:rPr>
            </w:pPr>
          </w:p>
        </w:tc>
      </w:tr>
    </w:tbl>
    <w:p w14:paraId="63694D34">
      <w:pPr>
        <w:pStyle w:val="4"/>
        <w:spacing w:before="202" w:line="424" w:lineRule="auto"/>
        <w:ind w:left="118" w:right="111"/>
        <w:rPr>
          <w:sz w:val="21"/>
          <w:szCs w:val="21"/>
          <w:highlight w:val="none"/>
        </w:rPr>
      </w:pPr>
      <w:r>
        <w:rPr>
          <w:sz w:val="21"/>
          <w:szCs w:val="21"/>
          <w:highlight w:val="none"/>
        </w:rPr>
        <w:t>注：供应商应根据投标设备的技术参数对照招标文件要求对比偏离情况，</w:t>
      </w:r>
      <w:r>
        <w:rPr>
          <w:b/>
          <w:bCs/>
          <w:sz w:val="21"/>
          <w:szCs w:val="21"/>
          <w:highlight w:val="none"/>
        </w:rPr>
        <w:t>提供相关证明材料并标明</w:t>
      </w:r>
      <w:r>
        <w:rPr>
          <w:b/>
          <w:bCs/>
          <w:spacing w:val="-1"/>
          <w:sz w:val="21"/>
          <w:szCs w:val="21"/>
          <w:highlight w:val="none"/>
        </w:rPr>
        <w:t>每条技术参数对应的证明材料页码及条款</w:t>
      </w:r>
      <w:r>
        <w:rPr>
          <w:spacing w:val="-1"/>
          <w:sz w:val="21"/>
          <w:szCs w:val="21"/>
          <w:highlight w:val="none"/>
        </w:rPr>
        <w:t>，否则按负偏离处理，表格不</w:t>
      </w:r>
      <w:r>
        <w:rPr>
          <w:spacing w:val="-2"/>
          <w:sz w:val="21"/>
          <w:szCs w:val="21"/>
          <w:highlight w:val="none"/>
        </w:rPr>
        <w:t>够可自行拓展。</w:t>
      </w:r>
    </w:p>
    <w:p w14:paraId="49EAE005">
      <w:pPr>
        <w:pStyle w:val="4"/>
        <w:spacing w:before="308" w:line="219" w:lineRule="auto"/>
        <w:ind w:left="121"/>
        <w:rPr>
          <w:sz w:val="22"/>
          <w:szCs w:val="22"/>
          <w:highlight w:val="none"/>
        </w:rPr>
      </w:pPr>
      <w:r>
        <w:rPr>
          <w:b/>
          <w:bCs/>
          <w:spacing w:val="-3"/>
          <w:sz w:val="22"/>
          <w:szCs w:val="22"/>
          <w:highlight w:val="none"/>
        </w:rPr>
        <w:t>2、供货、安装调试、培训方案</w:t>
      </w:r>
    </w:p>
    <w:p w14:paraId="34344178">
      <w:pPr>
        <w:pStyle w:val="4"/>
        <w:spacing w:before="207" w:line="220" w:lineRule="auto"/>
        <w:ind w:left="123"/>
        <w:rPr>
          <w:sz w:val="22"/>
          <w:szCs w:val="22"/>
          <w:highlight w:val="none"/>
        </w:rPr>
      </w:pPr>
      <w:r>
        <w:rPr>
          <w:b/>
          <w:bCs/>
          <w:spacing w:val="-5"/>
          <w:sz w:val="22"/>
          <w:szCs w:val="22"/>
          <w:highlight w:val="none"/>
        </w:rPr>
        <w:t>3、技术先进性</w:t>
      </w:r>
    </w:p>
    <w:p w14:paraId="58AC29FC">
      <w:pPr>
        <w:pStyle w:val="4"/>
        <w:spacing w:before="205" w:line="220" w:lineRule="auto"/>
        <w:ind w:left="122"/>
        <w:rPr>
          <w:sz w:val="22"/>
          <w:szCs w:val="22"/>
          <w:highlight w:val="none"/>
        </w:rPr>
      </w:pPr>
      <w:r>
        <w:rPr>
          <w:b/>
          <w:bCs/>
          <w:spacing w:val="-4"/>
          <w:sz w:val="22"/>
          <w:szCs w:val="22"/>
          <w:highlight w:val="none"/>
        </w:rPr>
        <w:t>二、综合部分</w:t>
      </w:r>
    </w:p>
    <w:p w14:paraId="7D0D6A94">
      <w:pPr>
        <w:pStyle w:val="4"/>
        <w:spacing w:before="206" w:line="221" w:lineRule="auto"/>
        <w:ind w:left="135"/>
        <w:rPr>
          <w:sz w:val="22"/>
          <w:szCs w:val="22"/>
          <w:highlight w:val="none"/>
        </w:rPr>
      </w:pPr>
      <w:r>
        <w:rPr>
          <w:b/>
          <w:bCs/>
          <w:spacing w:val="-6"/>
          <w:sz w:val="22"/>
          <w:szCs w:val="22"/>
          <w:highlight w:val="none"/>
        </w:rPr>
        <w:t>1、企业业绩</w:t>
      </w:r>
    </w:p>
    <w:p w14:paraId="40B58D65">
      <w:pPr>
        <w:pStyle w:val="4"/>
        <w:spacing w:before="205" w:line="219" w:lineRule="auto"/>
        <w:ind w:left="121"/>
        <w:rPr>
          <w:sz w:val="22"/>
          <w:szCs w:val="22"/>
          <w:highlight w:val="none"/>
        </w:rPr>
      </w:pPr>
      <w:r>
        <w:rPr>
          <w:b/>
          <w:bCs/>
          <w:spacing w:val="-17"/>
          <w:sz w:val="22"/>
          <w:szCs w:val="22"/>
          <w:highlight w:val="none"/>
        </w:rPr>
        <w:t>2、售后服务(1、质保期内；</w:t>
      </w:r>
      <w:r>
        <w:rPr>
          <w:spacing w:val="-17"/>
          <w:sz w:val="22"/>
          <w:szCs w:val="22"/>
          <w:highlight w:val="none"/>
        </w:rPr>
        <w:t xml:space="preserve"> </w:t>
      </w:r>
      <w:r>
        <w:rPr>
          <w:b/>
          <w:bCs/>
          <w:spacing w:val="-17"/>
          <w:sz w:val="22"/>
          <w:szCs w:val="22"/>
          <w:highlight w:val="none"/>
        </w:rPr>
        <w:t>2、质保期外；</w:t>
      </w:r>
      <w:r>
        <w:rPr>
          <w:spacing w:val="-17"/>
          <w:sz w:val="22"/>
          <w:szCs w:val="22"/>
          <w:highlight w:val="none"/>
        </w:rPr>
        <w:t xml:space="preserve"> </w:t>
      </w:r>
      <w:r>
        <w:rPr>
          <w:b/>
          <w:bCs/>
          <w:spacing w:val="-17"/>
          <w:sz w:val="22"/>
          <w:szCs w:val="22"/>
          <w:highlight w:val="none"/>
        </w:rPr>
        <w:t>3、易损件价格、耗材价格（如有）、维保服务价格。</w:t>
      </w:r>
      <w:r>
        <w:rPr>
          <w:spacing w:val="-17"/>
          <w:sz w:val="22"/>
          <w:szCs w:val="22"/>
          <w:highlight w:val="none"/>
        </w:rPr>
        <w:t xml:space="preserve"> </w:t>
      </w:r>
      <w:r>
        <w:rPr>
          <w:b/>
          <w:bCs/>
          <w:spacing w:val="-17"/>
          <w:sz w:val="22"/>
          <w:szCs w:val="22"/>
          <w:highlight w:val="none"/>
        </w:rPr>
        <w:t>)</w:t>
      </w:r>
    </w:p>
    <w:p w14:paraId="0EECB025">
      <w:pPr>
        <w:pStyle w:val="4"/>
        <w:spacing w:before="284" w:line="220" w:lineRule="auto"/>
        <w:ind w:left="123"/>
        <w:rPr>
          <w:sz w:val="22"/>
          <w:szCs w:val="22"/>
          <w:highlight w:val="none"/>
        </w:rPr>
      </w:pPr>
      <w:r>
        <w:rPr>
          <w:b/>
          <w:bCs/>
          <w:spacing w:val="-6"/>
          <w:sz w:val="22"/>
          <w:szCs w:val="22"/>
          <w:highlight w:val="none"/>
        </w:rPr>
        <w:t>3、节能清单产品</w:t>
      </w:r>
    </w:p>
    <w:p w14:paraId="3D2F46ED">
      <w:pPr>
        <w:pStyle w:val="4"/>
        <w:spacing w:before="206" w:line="220" w:lineRule="auto"/>
        <w:ind w:left="118"/>
        <w:rPr>
          <w:sz w:val="22"/>
          <w:szCs w:val="22"/>
          <w:highlight w:val="none"/>
        </w:rPr>
      </w:pPr>
      <w:r>
        <w:rPr>
          <w:b/>
          <w:bCs/>
          <w:spacing w:val="-6"/>
          <w:sz w:val="22"/>
          <w:szCs w:val="22"/>
          <w:highlight w:val="none"/>
        </w:rPr>
        <w:t>4、环保清单产品</w:t>
      </w:r>
    </w:p>
    <w:p w14:paraId="7ABF35D8">
      <w:pPr>
        <w:pStyle w:val="4"/>
        <w:spacing w:before="309" w:line="219" w:lineRule="auto"/>
        <w:ind w:left="125"/>
        <w:rPr>
          <w:sz w:val="22"/>
          <w:szCs w:val="22"/>
          <w:highlight w:val="none"/>
        </w:rPr>
      </w:pPr>
      <w:r>
        <w:rPr>
          <w:b/>
          <w:bCs/>
          <w:spacing w:val="-4"/>
          <w:sz w:val="22"/>
          <w:szCs w:val="22"/>
          <w:highlight w:val="none"/>
        </w:rPr>
        <w:t>（根据项目评分办法需要设定，格式自拟）</w:t>
      </w:r>
    </w:p>
    <w:p w14:paraId="7AE5715A">
      <w:pPr>
        <w:spacing w:line="219" w:lineRule="auto"/>
        <w:rPr>
          <w:sz w:val="22"/>
          <w:szCs w:val="22"/>
          <w:highlight w:val="none"/>
        </w:rPr>
        <w:sectPr>
          <w:footerReference r:id="rId45" w:type="default"/>
          <w:pgSz w:w="11907" w:h="16839"/>
          <w:pgMar w:top="1431" w:right="1306" w:bottom="1159" w:left="1308" w:header="0" w:footer="959" w:gutter="0"/>
          <w:cols w:space="720" w:num="1"/>
        </w:sectPr>
      </w:pPr>
    </w:p>
    <w:p w14:paraId="29A20BE6">
      <w:pPr>
        <w:pStyle w:val="4"/>
        <w:spacing w:before="135" w:line="222" w:lineRule="auto"/>
        <w:ind w:left="3373"/>
        <w:rPr>
          <w:highlight w:val="none"/>
        </w:rPr>
      </w:pPr>
      <w:r>
        <w:rPr>
          <w:b/>
          <w:bCs/>
          <w:spacing w:val="3"/>
          <w:highlight w:val="none"/>
        </w:rPr>
        <w:t>10.投标供应商基本情况表</w:t>
      </w:r>
    </w:p>
    <w:tbl>
      <w:tblPr>
        <w:tblStyle w:val="23"/>
        <w:tblW w:w="97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0"/>
        <w:gridCol w:w="1094"/>
        <w:gridCol w:w="1833"/>
        <w:gridCol w:w="1274"/>
        <w:gridCol w:w="1106"/>
        <w:gridCol w:w="180"/>
        <w:gridCol w:w="735"/>
        <w:gridCol w:w="1458"/>
      </w:tblGrid>
      <w:tr w14:paraId="66182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20" w:type="dxa"/>
            <w:vAlign w:val="top"/>
          </w:tcPr>
          <w:p w14:paraId="73E1942C">
            <w:pPr>
              <w:pStyle w:val="24"/>
              <w:spacing w:before="257" w:line="220" w:lineRule="auto"/>
              <w:ind w:left="488"/>
              <w:rPr>
                <w:sz w:val="21"/>
                <w:szCs w:val="21"/>
                <w:highlight w:val="none"/>
              </w:rPr>
            </w:pPr>
            <w:r>
              <w:rPr>
                <w:spacing w:val="-1"/>
                <w:sz w:val="21"/>
                <w:szCs w:val="21"/>
                <w:highlight w:val="none"/>
              </w:rPr>
              <w:t>供应商名称</w:t>
            </w:r>
          </w:p>
        </w:tc>
        <w:tc>
          <w:tcPr>
            <w:tcW w:w="7680" w:type="dxa"/>
            <w:gridSpan w:val="7"/>
            <w:vAlign w:val="top"/>
          </w:tcPr>
          <w:p w14:paraId="46F78B13">
            <w:pPr>
              <w:rPr>
                <w:rFonts w:ascii="Arial"/>
                <w:sz w:val="21"/>
                <w:highlight w:val="none"/>
              </w:rPr>
            </w:pPr>
          </w:p>
        </w:tc>
      </w:tr>
      <w:tr w14:paraId="3F00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20" w:type="dxa"/>
            <w:vAlign w:val="top"/>
          </w:tcPr>
          <w:p w14:paraId="2B91FBF1">
            <w:pPr>
              <w:pStyle w:val="24"/>
              <w:spacing w:before="252" w:line="222" w:lineRule="auto"/>
              <w:ind w:left="594"/>
              <w:rPr>
                <w:sz w:val="21"/>
                <w:szCs w:val="21"/>
                <w:highlight w:val="none"/>
              </w:rPr>
            </w:pPr>
            <w:r>
              <w:rPr>
                <w:spacing w:val="-2"/>
                <w:sz w:val="21"/>
                <w:szCs w:val="21"/>
                <w:highlight w:val="none"/>
              </w:rPr>
              <w:t>注册地址</w:t>
            </w:r>
          </w:p>
        </w:tc>
        <w:tc>
          <w:tcPr>
            <w:tcW w:w="4201" w:type="dxa"/>
            <w:gridSpan w:val="3"/>
            <w:vAlign w:val="top"/>
          </w:tcPr>
          <w:p w14:paraId="78B5B0CD">
            <w:pPr>
              <w:rPr>
                <w:rFonts w:ascii="Arial"/>
                <w:sz w:val="21"/>
                <w:highlight w:val="none"/>
              </w:rPr>
            </w:pPr>
          </w:p>
        </w:tc>
        <w:tc>
          <w:tcPr>
            <w:tcW w:w="1106" w:type="dxa"/>
            <w:vAlign w:val="top"/>
          </w:tcPr>
          <w:p w14:paraId="5E79D0E9">
            <w:pPr>
              <w:pStyle w:val="24"/>
              <w:spacing w:before="252" w:line="221" w:lineRule="auto"/>
              <w:ind w:left="154"/>
              <w:rPr>
                <w:sz w:val="21"/>
                <w:szCs w:val="21"/>
                <w:highlight w:val="none"/>
              </w:rPr>
            </w:pPr>
            <w:r>
              <w:rPr>
                <w:spacing w:val="-6"/>
                <w:sz w:val="21"/>
                <w:szCs w:val="21"/>
                <w:highlight w:val="none"/>
              </w:rPr>
              <w:t>邮政编码</w:t>
            </w:r>
          </w:p>
        </w:tc>
        <w:tc>
          <w:tcPr>
            <w:tcW w:w="2373" w:type="dxa"/>
            <w:gridSpan w:val="3"/>
            <w:vAlign w:val="top"/>
          </w:tcPr>
          <w:p w14:paraId="1215688C">
            <w:pPr>
              <w:rPr>
                <w:rFonts w:ascii="Arial"/>
                <w:sz w:val="21"/>
                <w:highlight w:val="none"/>
              </w:rPr>
            </w:pPr>
          </w:p>
        </w:tc>
      </w:tr>
      <w:tr w14:paraId="1CA3F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020" w:type="dxa"/>
            <w:vMerge w:val="restart"/>
            <w:tcBorders>
              <w:bottom w:val="nil"/>
            </w:tcBorders>
            <w:vAlign w:val="top"/>
          </w:tcPr>
          <w:p w14:paraId="4462368C">
            <w:pPr>
              <w:spacing w:line="258" w:lineRule="auto"/>
              <w:rPr>
                <w:rFonts w:ascii="Arial"/>
                <w:sz w:val="21"/>
                <w:highlight w:val="none"/>
              </w:rPr>
            </w:pPr>
          </w:p>
          <w:p w14:paraId="50B5D247">
            <w:pPr>
              <w:spacing w:line="258" w:lineRule="auto"/>
              <w:rPr>
                <w:rFonts w:ascii="Arial"/>
                <w:sz w:val="21"/>
                <w:highlight w:val="none"/>
              </w:rPr>
            </w:pPr>
          </w:p>
          <w:p w14:paraId="6580F388">
            <w:pPr>
              <w:pStyle w:val="24"/>
              <w:spacing w:before="68" w:line="222" w:lineRule="auto"/>
              <w:ind w:left="594"/>
              <w:rPr>
                <w:sz w:val="21"/>
                <w:szCs w:val="21"/>
                <w:highlight w:val="none"/>
              </w:rPr>
            </w:pPr>
            <w:r>
              <w:rPr>
                <w:spacing w:val="-2"/>
                <w:sz w:val="21"/>
                <w:szCs w:val="21"/>
                <w:highlight w:val="none"/>
              </w:rPr>
              <w:t>联系方式</w:t>
            </w:r>
          </w:p>
        </w:tc>
        <w:tc>
          <w:tcPr>
            <w:tcW w:w="1094" w:type="dxa"/>
            <w:vAlign w:val="top"/>
          </w:tcPr>
          <w:p w14:paraId="11C8463D">
            <w:pPr>
              <w:pStyle w:val="24"/>
              <w:spacing w:before="299" w:line="223" w:lineRule="auto"/>
              <w:ind w:left="235"/>
              <w:rPr>
                <w:sz w:val="21"/>
                <w:szCs w:val="21"/>
                <w:highlight w:val="none"/>
              </w:rPr>
            </w:pPr>
            <w:r>
              <w:rPr>
                <w:spacing w:val="-2"/>
                <w:sz w:val="21"/>
                <w:szCs w:val="21"/>
                <w:highlight w:val="none"/>
              </w:rPr>
              <w:t>联系人</w:t>
            </w:r>
          </w:p>
        </w:tc>
        <w:tc>
          <w:tcPr>
            <w:tcW w:w="3107" w:type="dxa"/>
            <w:gridSpan w:val="2"/>
            <w:vAlign w:val="top"/>
          </w:tcPr>
          <w:p w14:paraId="09585B4B">
            <w:pPr>
              <w:rPr>
                <w:rFonts w:ascii="Arial"/>
                <w:sz w:val="21"/>
                <w:highlight w:val="none"/>
              </w:rPr>
            </w:pPr>
          </w:p>
        </w:tc>
        <w:tc>
          <w:tcPr>
            <w:tcW w:w="1106" w:type="dxa"/>
            <w:vAlign w:val="top"/>
          </w:tcPr>
          <w:p w14:paraId="29A76239">
            <w:pPr>
              <w:pStyle w:val="24"/>
              <w:spacing w:before="299" w:line="223" w:lineRule="auto"/>
              <w:ind w:left="372"/>
              <w:rPr>
                <w:sz w:val="21"/>
                <w:szCs w:val="21"/>
                <w:highlight w:val="none"/>
              </w:rPr>
            </w:pPr>
            <w:r>
              <w:rPr>
                <w:spacing w:val="-8"/>
                <w:sz w:val="21"/>
                <w:szCs w:val="21"/>
                <w:highlight w:val="none"/>
              </w:rPr>
              <w:t>电话</w:t>
            </w:r>
          </w:p>
        </w:tc>
        <w:tc>
          <w:tcPr>
            <w:tcW w:w="2373" w:type="dxa"/>
            <w:gridSpan w:val="3"/>
            <w:vAlign w:val="top"/>
          </w:tcPr>
          <w:p w14:paraId="3BF82782">
            <w:pPr>
              <w:rPr>
                <w:rFonts w:ascii="Arial"/>
                <w:sz w:val="21"/>
                <w:highlight w:val="none"/>
              </w:rPr>
            </w:pPr>
          </w:p>
        </w:tc>
      </w:tr>
      <w:tr w14:paraId="1101C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Merge w:val="continue"/>
            <w:tcBorders>
              <w:top w:val="nil"/>
            </w:tcBorders>
            <w:vAlign w:val="top"/>
          </w:tcPr>
          <w:p w14:paraId="7A06FC32">
            <w:pPr>
              <w:rPr>
                <w:rFonts w:ascii="Arial"/>
                <w:sz w:val="21"/>
                <w:highlight w:val="none"/>
              </w:rPr>
            </w:pPr>
          </w:p>
        </w:tc>
        <w:tc>
          <w:tcPr>
            <w:tcW w:w="1094" w:type="dxa"/>
            <w:vAlign w:val="top"/>
          </w:tcPr>
          <w:p w14:paraId="3BC8D2C5">
            <w:pPr>
              <w:pStyle w:val="24"/>
              <w:spacing w:before="254" w:line="220" w:lineRule="auto"/>
              <w:ind w:left="338"/>
              <w:rPr>
                <w:sz w:val="21"/>
                <w:szCs w:val="21"/>
                <w:highlight w:val="none"/>
              </w:rPr>
            </w:pPr>
            <w:r>
              <w:rPr>
                <w:spacing w:val="-2"/>
                <w:sz w:val="21"/>
                <w:szCs w:val="21"/>
                <w:highlight w:val="none"/>
              </w:rPr>
              <w:t>传真</w:t>
            </w:r>
          </w:p>
        </w:tc>
        <w:tc>
          <w:tcPr>
            <w:tcW w:w="3107" w:type="dxa"/>
            <w:gridSpan w:val="2"/>
            <w:vAlign w:val="top"/>
          </w:tcPr>
          <w:p w14:paraId="6B8C4812">
            <w:pPr>
              <w:rPr>
                <w:rFonts w:ascii="Arial"/>
                <w:sz w:val="21"/>
                <w:highlight w:val="none"/>
              </w:rPr>
            </w:pPr>
          </w:p>
        </w:tc>
        <w:tc>
          <w:tcPr>
            <w:tcW w:w="1106" w:type="dxa"/>
            <w:vAlign w:val="top"/>
          </w:tcPr>
          <w:p w14:paraId="59D617C7">
            <w:pPr>
              <w:pStyle w:val="24"/>
              <w:spacing w:before="253" w:line="226" w:lineRule="auto"/>
              <w:ind w:left="364"/>
              <w:rPr>
                <w:sz w:val="21"/>
                <w:szCs w:val="21"/>
                <w:highlight w:val="none"/>
              </w:rPr>
            </w:pPr>
            <w:r>
              <w:rPr>
                <w:spacing w:val="-6"/>
                <w:sz w:val="21"/>
                <w:szCs w:val="21"/>
                <w:highlight w:val="none"/>
              </w:rPr>
              <w:t>网址</w:t>
            </w:r>
          </w:p>
        </w:tc>
        <w:tc>
          <w:tcPr>
            <w:tcW w:w="2373" w:type="dxa"/>
            <w:gridSpan w:val="3"/>
            <w:vAlign w:val="top"/>
          </w:tcPr>
          <w:p w14:paraId="7549E767">
            <w:pPr>
              <w:rPr>
                <w:rFonts w:ascii="Arial"/>
                <w:sz w:val="21"/>
                <w:highlight w:val="none"/>
              </w:rPr>
            </w:pPr>
          </w:p>
        </w:tc>
      </w:tr>
      <w:tr w14:paraId="2D551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7AC212AD">
            <w:pPr>
              <w:pStyle w:val="24"/>
              <w:spacing w:before="254" w:line="221" w:lineRule="auto"/>
              <w:ind w:left="489"/>
              <w:rPr>
                <w:sz w:val="21"/>
                <w:szCs w:val="21"/>
                <w:highlight w:val="none"/>
              </w:rPr>
            </w:pPr>
            <w:r>
              <w:rPr>
                <w:spacing w:val="-2"/>
                <w:sz w:val="21"/>
                <w:szCs w:val="21"/>
                <w:highlight w:val="none"/>
              </w:rPr>
              <w:t>法定代表人</w:t>
            </w:r>
          </w:p>
        </w:tc>
        <w:tc>
          <w:tcPr>
            <w:tcW w:w="1094" w:type="dxa"/>
            <w:vAlign w:val="top"/>
          </w:tcPr>
          <w:p w14:paraId="22489CD4">
            <w:pPr>
              <w:pStyle w:val="24"/>
              <w:spacing w:before="254" w:line="221" w:lineRule="auto"/>
              <w:ind w:left="340"/>
              <w:rPr>
                <w:sz w:val="21"/>
                <w:szCs w:val="21"/>
                <w:highlight w:val="none"/>
              </w:rPr>
            </w:pPr>
            <w:r>
              <w:rPr>
                <w:spacing w:val="-2"/>
                <w:sz w:val="21"/>
                <w:szCs w:val="21"/>
                <w:highlight w:val="none"/>
              </w:rPr>
              <w:t>姓名</w:t>
            </w:r>
          </w:p>
        </w:tc>
        <w:tc>
          <w:tcPr>
            <w:tcW w:w="1833" w:type="dxa"/>
            <w:vAlign w:val="top"/>
          </w:tcPr>
          <w:p w14:paraId="4528D3C5">
            <w:pPr>
              <w:rPr>
                <w:rFonts w:ascii="Arial"/>
                <w:sz w:val="21"/>
                <w:highlight w:val="none"/>
              </w:rPr>
            </w:pPr>
          </w:p>
        </w:tc>
        <w:tc>
          <w:tcPr>
            <w:tcW w:w="1274" w:type="dxa"/>
            <w:vAlign w:val="top"/>
          </w:tcPr>
          <w:p w14:paraId="47E7BC17">
            <w:pPr>
              <w:pStyle w:val="24"/>
              <w:spacing w:before="254" w:line="221" w:lineRule="auto"/>
              <w:ind w:left="220"/>
              <w:rPr>
                <w:sz w:val="21"/>
                <w:szCs w:val="21"/>
                <w:highlight w:val="none"/>
              </w:rPr>
            </w:pPr>
            <w:r>
              <w:rPr>
                <w:spacing w:val="-2"/>
                <w:sz w:val="21"/>
                <w:szCs w:val="21"/>
                <w:highlight w:val="none"/>
              </w:rPr>
              <w:t>技术职称</w:t>
            </w:r>
          </w:p>
        </w:tc>
        <w:tc>
          <w:tcPr>
            <w:tcW w:w="1286" w:type="dxa"/>
            <w:gridSpan w:val="2"/>
            <w:vAlign w:val="top"/>
          </w:tcPr>
          <w:p w14:paraId="04762F3A">
            <w:pPr>
              <w:rPr>
                <w:rFonts w:ascii="Arial"/>
                <w:sz w:val="21"/>
                <w:highlight w:val="none"/>
              </w:rPr>
            </w:pPr>
          </w:p>
        </w:tc>
        <w:tc>
          <w:tcPr>
            <w:tcW w:w="735" w:type="dxa"/>
            <w:vAlign w:val="top"/>
          </w:tcPr>
          <w:p w14:paraId="2A8E4E4B">
            <w:pPr>
              <w:pStyle w:val="24"/>
              <w:spacing w:before="254" w:line="223" w:lineRule="auto"/>
              <w:ind w:left="190"/>
              <w:rPr>
                <w:sz w:val="21"/>
                <w:szCs w:val="21"/>
                <w:highlight w:val="none"/>
              </w:rPr>
            </w:pPr>
            <w:r>
              <w:rPr>
                <w:spacing w:val="-8"/>
                <w:sz w:val="21"/>
                <w:szCs w:val="21"/>
                <w:highlight w:val="none"/>
              </w:rPr>
              <w:t>电话</w:t>
            </w:r>
          </w:p>
        </w:tc>
        <w:tc>
          <w:tcPr>
            <w:tcW w:w="1458" w:type="dxa"/>
            <w:vAlign w:val="top"/>
          </w:tcPr>
          <w:p w14:paraId="606A8E80">
            <w:pPr>
              <w:rPr>
                <w:rFonts w:ascii="Arial"/>
                <w:sz w:val="21"/>
                <w:highlight w:val="none"/>
              </w:rPr>
            </w:pPr>
          </w:p>
        </w:tc>
      </w:tr>
      <w:tr w14:paraId="2ACC0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4CE42541">
            <w:pPr>
              <w:pStyle w:val="24"/>
              <w:spacing w:before="254" w:line="221" w:lineRule="auto"/>
              <w:ind w:left="489"/>
              <w:rPr>
                <w:sz w:val="21"/>
                <w:szCs w:val="21"/>
                <w:highlight w:val="none"/>
              </w:rPr>
            </w:pPr>
            <w:r>
              <w:rPr>
                <w:spacing w:val="-2"/>
                <w:sz w:val="21"/>
                <w:szCs w:val="21"/>
                <w:highlight w:val="none"/>
              </w:rPr>
              <w:t>技术负责人</w:t>
            </w:r>
          </w:p>
        </w:tc>
        <w:tc>
          <w:tcPr>
            <w:tcW w:w="1094" w:type="dxa"/>
            <w:vAlign w:val="top"/>
          </w:tcPr>
          <w:p w14:paraId="32C019DF">
            <w:pPr>
              <w:pStyle w:val="24"/>
              <w:spacing w:before="254" w:line="221" w:lineRule="auto"/>
              <w:ind w:left="340"/>
              <w:rPr>
                <w:sz w:val="21"/>
                <w:szCs w:val="21"/>
                <w:highlight w:val="none"/>
              </w:rPr>
            </w:pPr>
            <w:r>
              <w:rPr>
                <w:spacing w:val="-2"/>
                <w:sz w:val="21"/>
                <w:szCs w:val="21"/>
                <w:highlight w:val="none"/>
              </w:rPr>
              <w:t>姓名</w:t>
            </w:r>
          </w:p>
        </w:tc>
        <w:tc>
          <w:tcPr>
            <w:tcW w:w="1833" w:type="dxa"/>
            <w:vAlign w:val="top"/>
          </w:tcPr>
          <w:p w14:paraId="3A2C059E">
            <w:pPr>
              <w:rPr>
                <w:rFonts w:ascii="Arial"/>
                <w:sz w:val="21"/>
                <w:highlight w:val="none"/>
              </w:rPr>
            </w:pPr>
          </w:p>
        </w:tc>
        <w:tc>
          <w:tcPr>
            <w:tcW w:w="1274" w:type="dxa"/>
            <w:vAlign w:val="top"/>
          </w:tcPr>
          <w:p w14:paraId="0E1BBFD9">
            <w:pPr>
              <w:pStyle w:val="24"/>
              <w:spacing w:before="254" w:line="221" w:lineRule="auto"/>
              <w:ind w:left="220"/>
              <w:rPr>
                <w:sz w:val="21"/>
                <w:szCs w:val="21"/>
                <w:highlight w:val="none"/>
              </w:rPr>
            </w:pPr>
            <w:r>
              <w:rPr>
                <w:spacing w:val="-2"/>
                <w:sz w:val="21"/>
                <w:szCs w:val="21"/>
                <w:highlight w:val="none"/>
              </w:rPr>
              <w:t>技术职称</w:t>
            </w:r>
          </w:p>
        </w:tc>
        <w:tc>
          <w:tcPr>
            <w:tcW w:w="1286" w:type="dxa"/>
            <w:gridSpan w:val="2"/>
            <w:vAlign w:val="top"/>
          </w:tcPr>
          <w:p w14:paraId="08C8EC3D">
            <w:pPr>
              <w:rPr>
                <w:rFonts w:ascii="Arial"/>
                <w:sz w:val="21"/>
                <w:highlight w:val="none"/>
              </w:rPr>
            </w:pPr>
          </w:p>
        </w:tc>
        <w:tc>
          <w:tcPr>
            <w:tcW w:w="735" w:type="dxa"/>
            <w:vAlign w:val="top"/>
          </w:tcPr>
          <w:p w14:paraId="747F355E">
            <w:pPr>
              <w:pStyle w:val="24"/>
              <w:spacing w:before="254" w:line="223" w:lineRule="auto"/>
              <w:ind w:left="190"/>
              <w:rPr>
                <w:sz w:val="21"/>
                <w:szCs w:val="21"/>
                <w:highlight w:val="none"/>
              </w:rPr>
            </w:pPr>
            <w:r>
              <w:rPr>
                <w:spacing w:val="-8"/>
                <w:sz w:val="21"/>
                <w:szCs w:val="21"/>
                <w:highlight w:val="none"/>
              </w:rPr>
              <w:t>电话</w:t>
            </w:r>
          </w:p>
        </w:tc>
        <w:tc>
          <w:tcPr>
            <w:tcW w:w="1458" w:type="dxa"/>
            <w:vAlign w:val="top"/>
          </w:tcPr>
          <w:p w14:paraId="4810527E">
            <w:pPr>
              <w:rPr>
                <w:rFonts w:ascii="Arial"/>
                <w:sz w:val="21"/>
                <w:highlight w:val="none"/>
              </w:rPr>
            </w:pPr>
          </w:p>
        </w:tc>
      </w:tr>
      <w:tr w14:paraId="0C03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Align w:val="top"/>
          </w:tcPr>
          <w:p w14:paraId="28A2B4F4">
            <w:pPr>
              <w:pStyle w:val="24"/>
              <w:spacing w:before="255" w:line="222" w:lineRule="auto"/>
              <w:ind w:left="595"/>
              <w:rPr>
                <w:sz w:val="21"/>
                <w:szCs w:val="21"/>
                <w:highlight w:val="none"/>
              </w:rPr>
            </w:pPr>
            <w:r>
              <w:rPr>
                <w:spacing w:val="-2"/>
                <w:sz w:val="21"/>
                <w:szCs w:val="21"/>
                <w:highlight w:val="none"/>
              </w:rPr>
              <w:t>成立时间</w:t>
            </w:r>
          </w:p>
        </w:tc>
        <w:tc>
          <w:tcPr>
            <w:tcW w:w="7680" w:type="dxa"/>
            <w:gridSpan w:val="7"/>
            <w:vAlign w:val="top"/>
          </w:tcPr>
          <w:p w14:paraId="77C439B8">
            <w:pPr>
              <w:rPr>
                <w:rFonts w:ascii="Arial"/>
                <w:sz w:val="21"/>
                <w:highlight w:val="none"/>
              </w:rPr>
            </w:pPr>
          </w:p>
        </w:tc>
      </w:tr>
      <w:tr w14:paraId="32507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20" w:type="dxa"/>
            <w:vAlign w:val="top"/>
          </w:tcPr>
          <w:p w14:paraId="19301817">
            <w:pPr>
              <w:pStyle w:val="24"/>
              <w:spacing w:before="255" w:line="221" w:lineRule="auto"/>
              <w:ind w:left="495"/>
              <w:rPr>
                <w:sz w:val="21"/>
                <w:szCs w:val="21"/>
                <w:highlight w:val="none"/>
              </w:rPr>
            </w:pPr>
            <w:r>
              <w:rPr>
                <w:spacing w:val="-3"/>
                <w:sz w:val="21"/>
                <w:szCs w:val="21"/>
                <w:highlight w:val="none"/>
              </w:rPr>
              <w:t>营业执照号</w:t>
            </w:r>
          </w:p>
        </w:tc>
        <w:tc>
          <w:tcPr>
            <w:tcW w:w="7680" w:type="dxa"/>
            <w:gridSpan w:val="7"/>
            <w:vAlign w:val="top"/>
          </w:tcPr>
          <w:p w14:paraId="10CC37C8">
            <w:pPr>
              <w:rPr>
                <w:rFonts w:ascii="Arial"/>
                <w:sz w:val="21"/>
                <w:highlight w:val="none"/>
              </w:rPr>
            </w:pPr>
          </w:p>
        </w:tc>
      </w:tr>
      <w:tr w14:paraId="23114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Align w:val="top"/>
          </w:tcPr>
          <w:p w14:paraId="563E78D9">
            <w:pPr>
              <w:pStyle w:val="24"/>
              <w:spacing w:before="256" w:line="222" w:lineRule="auto"/>
              <w:ind w:left="594"/>
              <w:rPr>
                <w:sz w:val="21"/>
                <w:szCs w:val="21"/>
                <w:highlight w:val="none"/>
              </w:rPr>
            </w:pPr>
            <w:r>
              <w:rPr>
                <w:spacing w:val="-2"/>
                <w:sz w:val="21"/>
                <w:szCs w:val="21"/>
                <w:highlight w:val="none"/>
              </w:rPr>
              <w:t>注册资金</w:t>
            </w:r>
          </w:p>
        </w:tc>
        <w:tc>
          <w:tcPr>
            <w:tcW w:w="7680" w:type="dxa"/>
            <w:gridSpan w:val="7"/>
            <w:vAlign w:val="top"/>
          </w:tcPr>
          <w:p w14:paraId="08606A9E">
            <w:pPr>
              <w:rPr>
                <w:rFonts w:ascii="Arial"/>
                <w:sz w:val="21"/>
                <w:highlight w:val="none"/>
              </w:rPr>
            </w:pPr>
          </w:p>
        </w:tc>
      </w:tr>
      <w:tr w14:paraId="37D6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2BFF1A86">
            <w:pPr>
              <w:pStyle w:val="24"/>
              <w:spacing w:before="257" w:line="221" w:lineRule="auto"/>
              <w:ind w:left="594"/>
              <w:rPr>
                <w:sz w:val="21"/>
                <w:szCs w:val="21"/>
                <w:highlight w:val="none"/>
              </w:rPr>
            </w:pPr>
            <w:r>
              <w:rPr>
                <w:spacing w:val="-2"/>
                <w:sz w:val="21"/>
                <w:szCs w:val="21"/>
                <w:highlight w:val="none"/>
              </w:rPr>
              <w:t>开户银行</w:t>
            </w:r>
          </w:p>
        </w:tc>
        <w:tc>
          <w:tcPr>
            <w:tcW w:w="7680" w:type="dxa"/>
            <w:gridSpan w:val="7"/>
            <w:vAlign w:val="top"/>
          </w:tcPr>
          <w:p w14:paraId="2A36A7DF">
            <w:pPr>
              <w:rPr>
                <w:rFonts w:ascii="Arial"/>
                <w:sz w:val="21"/>
                <w:highlight w:val="none"/>
              </w:rPr>
            </w:pPr>
          </w:p>
        </w:tc>
      </w:tr>
      <w:tr w14:paraId="18B4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08A4925F">
            <w:pPr>
              <w:pStyle w:val="24"/>
              <w:spacing w:before="256" w:line="222" w:lineRule="auto"/>
              <w:ind w:left="806"/>
              <w:rPr>
                <w:sz w:val="21"/>
                <w:szCs w:val="21"/>
                <w:highlight w:val="none"/>
              </w:rPr>
            </w:pPr>
            <w:r>
              <w:rPr>
                <w:spacing w:val="-3"/>
                <w:sz w:val="21"/>
                <w:szCs w:val="21"/>
                <w:highlight w:val="none"/>
              </w:rPr>
              <w:t>账号</w:t>
            </w:r>
          </w:p>
        </w:tc>
        <w:tc>
          <w:tcPr>
            <w:tcW w:w="7680" w:type="dxa"/>
            <w:gridSpan w:val="7"/>
            <w:vAlign w:val="top"/>
          </w:tcPr>
          <w:p w14:paraId="274F924B">
            <w:pPr>
              <w:rPr>
                <w:rFonts w:ascii="Arial"/>
                <w:sz w:val="21"/>
                <w:highlight w:val="none"/>
              </w:rPr>
            </w:pPr>
          </w:p>
        </w:tc>
      </w:tr>
      <w:tr w14:paraId="6864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2" w:hRule="atLeast"/>
        </w:trPr>
        <w:tc>
          <w:tcPr>
            <w:tcW w:w="2020" w:type="dxa"/>
            <w:vAlign w:val="top"/>
          </w:tcPr>
          <w:p w14:paraId="1A4FD001">
            <w:pPr>
              <w:spacing w:line="312" w:lineRule="auto"/>
              <w:rPr>
                <w:rFonts w:ascii="Arial"/>
                <w:sz w:val="21"/>
                <w:highlight w:val="none"/>
              </w:rPr>
            </w:pPr>
          </w:p>
          <w:p w14:paraId="4EA35DD1">
            <w:pPr>
              <w:spacing w:line="312" w:lineRule="auto"/>
              <w:rPr>
                <w:rFonts w:ascii="Arial"/>
                <w:sz w:val="21"/>
                <w:highlight w:val="none"/>
              </w:rPr>
            </w:pPr>
          </w:p>
          <w:p w14:paraId="35621909">
            <w:pPr>
              <w:spacing w:line="313" w:lineRule="auto"/>
              <w:rPr>
                <w:rFonts w:ascii="Arial"/>
                <w:sz w:val="21"/>
                <w:highlight w:val="none"/>
              </w:rPr>
            </w:pPr>
          </w:p>
          <w:p w14:paraId="346898DA">
            <w:pPr>
              <w:pStyle w:val="24"/>
              <w:spacing w:before="68" w:line="221" w:lineRule="auto"/>
              <w:ind w:left="595"/>
              <w:rPr>
                <w:sz w:val="21"/>
                <w:szCs w:val="21"/>
                <w:highlight w:val="none"/>
              </w:rPr>
            </w:pPr>
            <w:r>
              <w:rPr>
                <w:spacing w:val="-2"/>
                <w:sz w:val="21"/>
                <w:szCs w:val="21"/>
                <w:highlight w:val="none"/>
              </w:rPr>
              <w:t>经营范围</w:t>
            </w:r>
          </w:p>
        </w:tc>
        <w:tc>
          <w:tcPr>
            <w:tcW w:w="7680" w:type="dxa"/>
            <w:gridSpan w:val="7"/>
            <w:vAlign w:val="top"/>
          </w:tcPr>
          <w:p w14:paraId="5B49AE9A">
            <w:pPr>
              <w:rPr>
                <w:rFonts w:ascii="Arial"/>
                <w:sz w:val="21"/>
                <w:highlight w:val="none"/>
              </w:rPr>
            </w:pPr>
          </w:p>
        </w:tc>
      </w:tr>
    </w:tbl>
    <w:p w14:paraId="74B9DD68">
      <w:pPr>
        <w:spacing w:line="304" w:lineRule="auto"/>
        <w:rPr>
          <w:rFonts w:ascii="Arial"/>
          <w:sz w:val="21"/>
          <w:highlight w:val="none"/>
        </w:rPr>
      </w:pPr>
    </w:p>
    <w:p w14:paraId="5C33F43A">
      <w:pPr>
        <w:spacing w:line="305" w:lineRule="auto"/>
        <w:rPr>
          <w:rFonts w:ascii="Arial"/>
          <w:sz w:val="21"/>
          <w:highlight w:val="none"/>
        </w:rPr>
      </w:pPr>
    </w:p>
    <w:p w14:paraId="219C4CF5">
      <w:pPr>
        <w:pStyle w:val="4"/>
        <w:spacing w:before="78" w:line="219" w:lineRule="auto"/>
        <w:ind w:left="4294"/>
        <w:rPr>
          <w:sz w:val="24"/>
          <w:szCs w:val="24"/>
          <w:highlight w:val="none"/>
        </w:rPr>
      </w:pPr>
      <w:r>
        <w:rPr>
          <w:spacing w:val="-8"/>
          <w:sz w:val="24"/>
          <w:szCs w:val="24"/>
          <w:highlight w:val="none"/>
        </w:rPr>
        <w:t>供应商</w:t>
      </w:r>
      <w:r>
        <w:rPr>
          <w:spacing w:val="-66"/>
          <w:sz w:val="24"/>
          <w:szCs w:val="24"/>
          <w:highlight w:val="none"/>
        </w:rPr>
        <w:t xml:space="preserve"> </w:t>
      </w:r>
      <w:r>
        <w:rPr>
          <w:spacing w:val="-8"/>
          <w:sz w:val="24"/>
          <w:szCs w:val="24"/>
          <w:highlight w:val="none"/>
        </w:rPr>
        <w:t>(盖章)：</w:t>
      </w:r>
    </w:p>
    <w:p w14:paraId="22D9DD85">
      <w:pPr>
        <w:spacing w:line="259" w:lineRule="auto"/>
        <w:rPr>
          <w:rFonts w:ascii="Arial"/>
          <w:sz w:val="21"/>
          <w:highlight w:val="none"/>
        </w:rPr>
      </w:pPr>
    </w:p>
    <w:p w14:paraId="6A0E7B93">
      <w:pPr>
        <w:pStyle w:val="4"/>
        <w:spacing w:before="78" w:line="219" w:lineRule="auto"/>
        <w:ind w:left="4295"/>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16461F6">
      <w:pPr>
        <w:spacing w:line="259" w:lineRule="auto"/>
        <w:rPr>
          <w:rFonts w:ascii="Arial"/>
          <w:sz w:val="21"/>
          <w:highlight w:val="none"/>
        </w:rPr>
      </w:pPr>
    </w:p>
    <w:p w14:paraId="648A5C39">
      <w:pPr>
        <w:pStyle w:val="4"/>
        <w:spacing w:before="78" w:line="220" w:lineRule="auto"/>
        <w:ind w:left="4335"/>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8"/>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211DFC4D">
      <w:pPr>
        <w:spacing w:line="220" w:lineRule="auto"/>
        <w:rPr>
          <w:sz w:val="24"/>
          <w:szCs w:val="24"/>
          <w:highlight w:val="none"/>
        </w:rPr>
        <w:sectPr>
          <w:footerReference r:id="rId46" w:type="default"/>
          <w:pgSz w:w="11907" w:h="16839"/>
          <w:pgMar w:top="1431" w:right="1099" w:bottom="1159" w:left="1101" w:header="0" w:footer="959" w:gutter="0"/>
          <w:cols w:space="720" w:num="1"/>
        </w:sectPr>
      </w:pPr>
    </w:p>
    <w:p w14:paraId="277F4E64">
      <w:pPr>
        <w:pStyle w:val="4"/>
        <w:spacing w:before="150" w:line="225" w:lineRule="auto"/>
        <w:ind w:left="3016"/>
        <w:rPr>
          <w:highlight w:val="none"/>
        </w:rPr>
      </w:pPr>
      <w:r>
        <w:rPr>
          <w:b/>
          <w:bCs/>
          <w:spacing w:val="3"/>
          <w:highlight w:val="none"/>
        </w:rPr>
        <w:t>11.投标设备合格文件</w:t>
      </w:r>
    </w:p>
    <w:p w14:paraId="45BB1E95">
      <w:pPr>
        <w:spacing w:line="328" w:lineRule="auto"/>
        <w:rPr>
          <w:rFonts w:ascii="Arial"/>
          <w:sz w:val="21"/>
          <w:highlight w:val="none"/>
        </w:rPr>
      </w:pPr>
    </w:p>
    <w:p w14:paraId="229D3D93">
      <w:pPr>
        <w:spacing w:line="329" w:lineRule="auto"/>
        <w:rPr>
          <w:rFonts w:ascii="Arial"/>
          <w:sz w:val="21"/>
          <w:highlight w:val="none"/>
        </w:rPr>
      </w:pPr>
    </w:p>
    <w:p w14:paraId="2557E2F3">
      <w:pPr>
        <w:pStyle w:val="4"/>
        <w:spacing w:before="78" w:line="218" w:lineRule="auto"/>
        <w:rPr>
          <w:sz w:val="24"/>
          <w:szCs w:val="24"/>
          <w:highlight w:val="none"/>
        </w:rPr>
      </w:pPr>
      <w:r>
        <w:rPr>
          <w:b/>
          <w:bCs/>
          <w:spacing w:val="-3"/>
          <w:sz w:val="24"/>
          <w:szCs w:val="24"/>
          <w:highlight w:val="none"/>
        </w:rPr>
        <w:t>11.1</w:t>
      </w:r>
      <w:r>
        <w:rPr>
          <w:spacing w:val="-3"/>
          <w:sz w:val="24"/>
          <w:szCs w:val="24"/>
          <w:highlight w:val="none"/>
        </w:rPr>
        <w:t xml:space="preserve"> </w:t>
      </w:r>
      <w:r>
        <w:rPr>
          <w:b/>
          <w:bCs/>
          <w:spacing w:val="-3"/>
          <w:sz w:val="24"/>
          <w:szCs w:val="24"/>
          <w:highlight w:val="none"/>
        </w:rPr>
        <w:t>所投产品检测报告、彩页相关证明材料</w:t>
      </w:r>
    </w:p>
    <w:p w14:paraId="0BF1A0BB">
      <w:pPr>
        <w:pStyle w:val="4"/>
        <w:spacing w:before="184" w:line="219" w:lineRule="auto"/>
        <w:rPr>
          <w:sz w:val="24"/>
          <w:szCs w:val="24"/>
          <w:highlight w:val="none"/>
        </w:rPr>
      </w:pPr>
      <w:r>
        <w:rPr>
          <w:b/>
          <w:bCs/>
          <w:spacing w:val="-4"/>
          <w:sz w:val="24"/>
          <w:szCs w:val="24"/>
          <w:highlight w:val="none"/>
        </w:rPr>
        <w:t>11.2</w:t>
      </w:r>
      <w:r>
        <w:rPr>
          <w:spacing w:val="-51"/>
          <w:sz w:val="24"/>
          <w:szCs w:val="24"/>
          <w:highlight w:val="none"/>
        </w:rPr>
        <w:t xml:space="preserve"> </w:t>
      </w:r>
      <w:r>
        <w:rPr>
          <w:b/>
          <w:bCs/>
          <w:spacing w:val="-4"/>
          <w:sz w:val="24"/>
          <w:szCs w:val="24"/>
          <w:highlight w:val="none"/>
        </w:rPr>
        <w:t>供应商认为可附的其他资料</w:t>
      </w:r>
    </w:p>
    <w:sectPr>
      <w:footerReference r:id="rId47" w:type="default"/>
      <w:pgSz w:w="11907" w:h="16839"/>
      <w:pgMar w:top="1431" w:right="1785" w:bottom="1159" w:left="1446" w:header="0" w:footer="9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79F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68A9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E68A9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96F7">
    <w:pPr>
      <w:spacing w:line="220" w:lineRule="auto"/>
      <w:ind w:left="43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6187D">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36187D">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22D7">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4FF42">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84FF42">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F5279">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726BA">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A5726BA">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2CBF">
    <w:pPr>
      <w:spacing w:line="223"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D9128">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9D9128">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4A77">
    <w:pPr>
      <w:spacing w:line="220"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FA09E">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8FA09E">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40C6">
    <w:pPr>
      <w:spacing w:line="223"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68C23">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C68C23">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0966">
    <w:pPr>
      <w:spacing w:line="220"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BB034">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DABB034">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BF53">
    <w:pPr>
      <w:spacing w:line="220" w:lineRule="auto"/>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B4BA6">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EFB4BA6">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7C8F">
    <w:pPr>
      <w:spacing w:line="220" w:lineRule="auto"/>
      <w:ind w:left="43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71C49">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F71C49">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1C55">
    <w:pPr>
      <w:spacing w:line="220" w:lineRule="auto"/>
      <w:ind w:left="43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EAF94">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29EAF94">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7F92F">
    <w:pPr>
      <w:spacing w:line="223"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635ED">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7635E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ED77">
    <w:pPr>
      <w:spacing w:line="220"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D0B80">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24D0B80">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0996">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88E41">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D888E41">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6101">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50AD2">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F850AD2">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43D5">
    <w:pPr>
      <w:spacing w:line="220"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13E91">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CB13E91">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AF3E">
    <w:pPr>
      <w:spacing w:line="220" w:lineRule="auto"/>
      <w:ind w:left="40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9FE0C">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D09FE0C">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24A6">
    <w:pPr>
      <w:spacing w:line="220" w:lineRule="auto"/>
      <w:ind w:left="40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ED0A9">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5DED0A9">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2C47">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46FF2">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4846FF2">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A3EC">
    <w:pPr>
      <w:spacing w:line="220" w:lineRule="auto"/>
      <w:ind w:left="44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32306">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9B32306">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25BA">
    <w:pPr>
      <w:spacing w:line="220" w:lineRule="auto"/>
      <w:ind w:left="44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D5A4E">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EFD5A4E">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13AD7">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2D18F">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022D18F">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B2FE">
    <w:pPr>
      <w:spacing w:line="220"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47DD7">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47DD7">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7B7D">
    <w:pPr>
      <w:spacing w:line="220"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08A9C">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9F08A9C">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D351">
    <w:pPr>
      <w:spacing w:line="220"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13F96">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C713F96">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CEF0">
    <w:pPr>
      <w:spacing w:line="220"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721BF">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45721BF">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2A78">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3BA6C">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4C3BA6C">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8CF9">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9ECE1">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4C9ECE1">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8368">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BB405">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8BBB405">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716FD">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E4426">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27E4426">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A7DD9">
    <w:pPr>
      <w:spacing w:line="220" w:lineRule="auto"/>
      <w:ind w:left="43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18E2E">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8E18E2E">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483A">
    <w:pPr>
      <w:spacing w:line="220" w:lineRule="auto"/>
      <w:ind w:left="43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86377">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3786377">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B130">
    <w:pPr>
      <w:spacing w:line="220" w:lineRule="auto"/>
      <w:ind w:left="43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EAED7">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0EEAED7">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0125">
    <w:pPr>
      <w:spacing w:line="220"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084D">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084D">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A0D1">
    <w:pPr>
      <w:spacing w:line="220" w:lineRule="auto"/>
      <w:ind w:left="44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2699">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CC32699">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C175">
    <w:pPr>
      <w:spacing w:line="220" w:lineRule="auto"/>
      <w:ind w:left="44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2701D">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2D2701D">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40D5">
    <w:pPr>
      <w:spacing w:line="220" w:lineRule="auto"/>
      <w:ind w:left="46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A2A5D">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EDA2A5D">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2511">
    <w:pPr>
      <w:spacing w:line="220" w:lineRule="auto"/>
      <w:ind w:left="43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456AE">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BB456AE">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0F3A">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4E98F">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94E98F">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40EE">
    <w:pPr>
      <w:spacing w:line="223"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F76E4">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4F76E4">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AE0A">
    <w:pPr>
      <w:spacing w:line="220"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B1738">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FB1738">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CE86E">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2FDC5">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02FDC5">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AE31">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147CA">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8147CA">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CE746"/>
    <w:multiLevelType w:val="singleLevel"/>
    <w:tmpl w:val="E32CE746"/>
    <w:lvl w:ilvl="0" w:tentative="0">
      <w:start w:val="2"/>
      <w:numFmt w:val="decimal"/>
      <w:lvlText w:val="%1."/>
      <w:lvlJc w:val="left"/>
      <w:pPr>
        <w:tabs>
          <w:tab w:val="left" w:pos="312"/>
        </w:tabs>
      </w:pPr>
    </w:lvl>
  </w:abstractNum>
  <w:abstractNum w:abstractNumId="1">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22"/>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dit="trackedChanges" w:enforcement="1" w:cryptProviderType="rsaFull" w:cryptAlgorithmClass="hash" w:cryptAlgorithmType="typeAny" w:cryptAlgorithmSid="4" w:cryptSpinCount="0" w:hash="T9n9mR8D0d8CrzA1xDl1JmeWjQE=" w:salt="91iqn0qDWhS/H7Yb9Ryv6g=="/>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F68C4"/>
    <w:rsid w:val="051A51B8"/>
    <w:rsid w:val="0781507A"/>
    <w:rsid w:val="0C0B7609"/>
    <w:rsid w:val="0EBB3568"/>
    <w:rsid w:val="118C11EC"/>
    <w:rsid w:val="14A92ECC"/>
    <w:rsid w:val="16AB2E5D"/>
    <w:rsid w:val="179E0B74"/>
    <w:rsid w:val="17DB2585"/>
    <w:rsid w:val="184E71FB"/>
    <w:rsid w:val="1AEE033B"/>
    <w:rsid w:val="1D805800"/>
    <w:rsid w:val="20C51B0E"/>
    <w:rsid w:val="228201CD"/>
    <w:rsid w:val="24A501A2"/>
    <w:rsid w:val="2E601E54"/>
    <w:rsid w:val="2FD938D2"/>
    <w:rsid w:val="341817E2"/>
    <w:rsid w:val="3667350A"/>
    <w:rsid w:val="37AB7C28"/>
    <w:rsid w:val="37C45426"/>
    <w:rsid w:val="38B558BE"/>
    <w:rsid w:val="39D774CA"/>
    <w:rsid w:val="3B082DE1"/>
    <w:rsid w:val="3C4165AB"/>
    <w:rsid w:val="3D042240"/>
    <w:rsid w:val="3D845313"/>
    <w:rsid w:val="3DC52952"/>
    <w:rsid w:val="3EC139D3"/>
    <w:rsid w:val="3F6734D7"/>
    <w:rsid w:val="3FB7739D"/>
    <w:rsid w:val="40414DCB"/>
    <w:rsid w:val="407C5E04"/>
    <w:rsid w:val="420A4BA1"/>
    <w:rsid w:val="42A32262"/>
    <w:rsid w:val="431762B8"/>
    <w:rsid w:val="45AF0A87"/>
    <w:rsid w:val="46952B8E"/>
    <w:rsid w:val="46E6205C"/>
    <w:rsid w:val="471C3E9C"/>
    <w:rsid w:val="49B17161"/>
    <w:rsid w:val="4A6D7C29"/>
    <w:rsid w:val="4AEB34D5"/>
    <w:rsid w:val="4B3F45FD"/>
    <w:rsid w:val="4C5C3791"/>
    <w:rsid w:val="4CCD3B2D"/>
    <w:rsid w:val="4CDC0AF1"/>
    <w:rsid w:val="4D7A191D"/>
    <w:rsid w:val="50D715FA"/>
    <w:rsid w:val="539A4AC7"/>
    <w:rsid w:val="54012CB9"/>
    <w:rsid w:val="540E4C66"/>
    <w:rsid w:val="561623FF"/>
    <w:rsid w:val="57577A0E"/>
    <w:rsid w:val="59106702"/>
    <w:rsid w:val="59794012"/>
    <w:rsid w:val="59C30D60"/>
    <w:rsid w:val="5CE2128D"/>
    <w:rsid w:val="5E1D32B1"/>
    <w:rsid w:val="5E532442"/>
    <w:rsid w:val="5EB72009"/>
    <w:rsid w:val="60E03D35"/>
    <w:rsid w:val="62EC25A2"/>
    <w:rsid w:val="65942ECF"/>
    <w:rsid w:val="65D25B87"/>
    <w:rsid w:val="687D7A91"/>
    <w:rsid w:val="6A040A94"/>
    <w:rsid w:val="6AE3108D"/>
    <w:rsid w:val="6AF844D3"/>
    <w:rsid w:val="6B4C77C2"/>
    <w:rsid w:val="6B5B3268"/>
    <w:rsid w:val="6D5B2EF5"/>
    <w:rsid w:val="746E5488"/>
    <w:rsid w:val="77176730"/>
    <w:rsid w:val="776C1A27"/>
    <w:rsid w:val="782F4F2E"/>
    <w:rsid w:val="78B071B5"/>
    <w:rsid w:val="79183C14"/>
    <w:rsid w:val="7AF97A75"/>
    <w:rsid w:val="7C3E119D"/>
    <w:rsid w:val="7C736B12"/>
    <w:rsid w:val="7ED06D3F"/>
    <w:rsid w:val="7F7713D4"/>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character" w:customStyle="1" w:styleId="25">
    <w:name w:val="hover"/>
    <w:basedOn w:val="9"/>
    <w:qFormat/>
    <w:uiPriority w:val="0"/>
  </w:style>
  <w:style w:type="character" w:customStyle="1" w:styleId="26">
    <w:name w:val="hover1"/>
    <w:basedOn w:val="9"/>
    <w:qFormat/>
    <w:uiPriority w:val="0"/>
    <w:rPr>
      <w:color w:val="2590EB"/>
    </w:rPr>
  </w:style>
  <w:style w:type="character" w:customStyle="1" w:styleId="27">
    <w:name w:val="hover2"/>
    <w:basedOn w:val="9"/>
    <w:qFormat/>
    <w:uiPriority w:val="0"/>
    <w:rPr>
      <w:color w:val="2590EB"/>
    </w:rPr>
  </w:style>
  <w:style w:type="character" w:customStyle="1" w:styleId="28">
    <w:name w:val="mini-outputtext1"/>
    <w:basedOn w:val="9"/>
    <w:qFormat/>
    <w:uiPriority w:val="0"/>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15322</Words>
  <Characters>17580</Characters>
  <TotalTime>13</TotalTime>
  <ScaleCrop>false</ScaleCrop>
  <LinksUpToDate>false</LinksUpToDate>
  <CharactersWithSpaces>18334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2025-09-25T16:23:00Z</dcterms:created>
  <dc:creator>86186</dc:creator>
  <cp:lastModifiedBy>又又</cp:lastModifiedBy>
  <cp:lastPrinted>2026-05-08T03:35:00Z</cp:lastPrinted>
  <dcterms:modified xsi:type="dcterms:W3CDTF">2026-06-08T09:41:23Z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2026-03-03T11:13:38Z</vt:filetime>
  </property>
  <property fmtid="{D5CDD505-2E9C-101B-9397-08002B2CF9AE}" pid="4" name="KSOTemplateDocerSaveRecord">
    <vt:lpwstr>eyJoZGlkIjoiNmQ2NTM3YzVmZDZkMTVjM2I0MTEyMjhkNTA3ZTQ1ODgiLCJ1c2VySWQiOiIzNDk5MDEzOTAifQ==</vt:lpwstr>
  </property>
  <property fmtid="{D5CDD505-2E9C-101B-9397-08002B2CF9AE}" pid="5" name="KSOProductBuildVer">
    <vt:lpwstr>2052-12.1.0.26895</vt:lpwstr>
  </property>
  <property fmtid="{D5CDD505-2E9C-101B-9397-08002B2CF9AE}" pid="6" name="ICV">
    <vt:lpwstr>33E8BE1680B445C9BEA773EC58B1303E_13</vt:lpwstr>
  </property>
</Properties>
</file>