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ADF6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44"/>
          <w:szCs w:val="44"/>
          <w:highlight w:val="none"/>
          <w:lang w:eastAsia="zh-CN"/>
        </w:rPr>
      </w:pPr>
      <w:bookmarkStart w:id="97" w:name="_GoBack"/>
      <w:bookmarkEnd w:id="97"/>
    </w:p>
    <w:p w14:paraId="6F4F2F7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lang w:eastAsia="zh-CN"/>
        </w:rPr>
        <w:t>卢氏县城区绿地日常管护（2026-2027）</w:t>
      </w:r>
    </w:p>
    <w:p w14:paraId="5A9F67D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Theme="minorEastAsia" w:hAnsiTheme="minorEastAsia"/>
          <w:b/>
          <w:sz w:val="76"/>
        </w:rPr>
      </w:pPr>
      <w:r>
        <w:rPr>
          <w:rFonts w:hint="eastAsia" w:ascii="宋体" w:hAnsi="宋体" w:eastAsia="宋体" w:cs="宋体"/>
          <w:b/>
          <w:bCs/>
          <w:color w:val="auto"/>
          <w:sz w:val="44"/>
          <w:szCs w:val="44"/>
          <w:highlight w:val="none"/>
          <w:lang w:eastAsia="zh-CN"/>
        </w:rPr>
        <w:t>项目</w:t>
      </w:r>
    </w:p>
    <w:p w14:paraId="1C8D4AB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44"/>
          <w:szCs w:val="44"/>
          <w:highlight w:val="none"/>
        </w:rPr>
      </w:pPr>
    </w:p>
    <w:p w14:paraId="1C416DA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44"/>
          <w:szCs w:val="44"/>
          <w:highlight w:val="none"/>
        </w:rPr>
      </w:pPr>
    </w:p>
    <w:p w14:paraId="573474B4">
      <w:pPr>
        <w:pStyle w:val="20"/>
        <w:rPr>
          <w:rFonts w:hint="eastAsia"/>
        </w:rPr>
      </w:pPr>
    </w:p>
    <w:p w14:paraId="07074C1B">
      <w:pPr>
        <w:keepNext w:val="0"/>
        <w:keepLines w:val="0"/>
        <w:pageBreakBefore w:val="0"/>
        <w:kinsoku/>
        <w:wordWrap/>
        <w:overflowPunct/>
        <w:topLinePunct w:val="0"/>
        <w:autoSpaceDE/>
        <w:autoSpaceDN/>
        <w:bidi w:val="0"/>
        <w:adjustRightInd/>
        <w:snapToGrid/>
        <w:spacing w:line="360" w:lineRule="auto"/>
        <w:jc w:val="center"/>
        <w:textAlignment w:val="auto"/>
        <w:rPr>
          <w:rFonts w:asciiTheme="minorEastAsia" w:hAnsiTheme="minorEastAsia"/>
          <w:b/>
          <w:sz w:val="32"/>
          <w:szCs w:val="32"/>
        </w:rPr>
      </w:pPr>
      <w:r>
        <w:rPr>
          <w:rFonts w:hint="eastAsia" w:ascii="宋体" w:hAnsi="宋体" w:eastAsia="宋体" w:cs="宋体"/>
          <w:b/>
          <w:bCs/>
          <w:color w:val="auto"/>
          <w:sz w:val="44"/>
          <w:szCs w:val="44"/>
          <w:highlight w:val="none"/>
        </w:rPr>
        <w:t>竞争性磋商文件</w:t>
      </w:r>
    </w:p>
    <w:p w14:paraId="4008EE67">
      <w:pPr>
        <w:widowControl/>
        <w:shd w:val="clear" w:color="auto" w:fill="FFFFFF"/>
        <w:spacing w:line="390" w:lineRule="atLeast"/>
        <w:jc w:val="center"/>
        <w:rPr>
          <w:rFonts w:asciiTheme="minorEastAsia" w:hAnsiTheme="minorEastAsia"/>
          <w:b/>
          <w:sz w:val="32"/>
          <w:szCs w:val="32"/>
        </w:rPr>
      </w:pPr>
    </w:p>
    <w:p w14:paraId="26BC9DA1">
      <w:pPr>
        <w:widowControl/>
        <w:shd w:val="clear" w:color="auto" w:fill="FFFFFF"/>
        <w:spacing w:line="390" w:lineRule="atLeast"/>
        <w:jc w:val="center"/>
        <w:rPr>
          <w:rFonts w:asciiTheme="minorEastAsia" w:hAnsiTheme="minorEastAsia"/>
          <w:b/>
          <w:sz w:val="32"/>
          <w:szCs w:val="32"/>
        </w:rPr>
      </w:pPr>
    </w:p>
    <w:p w14:paraId="20EA5693">
      <w:pPr>
        <w:pStyle w:val="20"/>
      </w:pPr>
    </w:p>
    <w:p w14:paraId="539D09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90" w:lineRule="atLeast"/>
        <w:ind w:right="0"/>
        <w:jc w:val="left"/>
        <w:textAlignment w:val="auto"/>
        <w:rPr>
          <w:rFonts w:hint="eastAsia" w:cs="新宋体" w:asciiTheme="minorEastAsia" w:hAnsiTheme="minorEastAsia"/>
          <w:b/>
          <w:bCs/>
          <w:color w:val="000000" w:themeColor="text1"/>
          <w:sz w:val="32"/>
          <w:szCs w:val="32"/>
          <w:highlight w:val="yellow"/>
          <w:lang w:eastAsia="zh-CN"/>
          <w14:textFill>
            <w14:solidFill>
              <w14:schemeClr w14:val="tx1"/>
            </w14:solidFill>
          </w14:textFill>
        </w:rPr>
      </w:pPr>
      <w:r>
        <w:rPr>
          <w:rFonts w:hint="eastAsia" w:cs="新宋体" w:asciiTheme="minorEastAsia" w:hAnsiTheme="minorEastAsia"/>
          <w:b/>
          <w:bCs/>
          <w:color w:val="000000" w:themeColor="text1"/>
          <w:sz w:val="32"/>
          <w:szCs w:val="32"/>
          <w:highlight w:val="none"/>
          <w14:textFill>
            <w14:solidFill>
              <w14:schemeClr w14:val="tx1"/>
            </w14:solidFill>
          </w14:textFill>
        </w:rPr>
        <w:t>项目编号：</w:t>
      </w:r>
      <w:r>
        <w:rPr>
          <w:rFonts w:hint="eastAsia" w:cs="新宋体" w:asciiTheme="minorEastAsia" w:hAnsiTheme="minorEastAsia"/>
          <w:b/>
          <w:bCs/>
          <w:color w:val="000000" w:themeColor="text1"/>
          <w:sz w:val="32"/>
          <w:szCs w:val="32"/>
          <w:highlight w:val="none"/>
          <w:lang w:eastAsia="zh-CN"/>
          <w14:textFill>
            <w14:solidFill>
              <w14:schemeClr w14:val="tx1"/>
            </w14:solidFill>
          </w14:textFill>
        </w:rPr>
        <w:t>三卢竞磋采购-2026-52、</w:t>
      </w:r>
      <w:r>
        <w:rPr>
          <w:rFonts w:hint="eastAsia" w:cs="新宋体" w:asciiTheme="minorEastAsia" w:hAnsiTheme="minorEastAsia"/>
          <w:b/>
          <w:bCs/>
          <w:color w:val="000000" w:themeColor="text1"/>
          <w:sz w:val="32"/>
          <w:szCs w:val="32"/>
          <w:highlight w:val="none"/>
          <w:lang w:val="en-US" w:eastAsia="zh-CN"/>
          <w14:textFill>
            <w14:solidFill>
              <w14:schemeClr w14:val="tx1"/>
            </w14:solidFill>
          </w14:textFill>
        </w:rPr>
        <w:t>LSGZ[2026]122-ZC093</w:t>
      </w:r>
    </w:p>
    <w:p w14:paraId="5BA4E9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left"/>
        <w:rPr>
          <w:rFonts w:ascii="微软雅黑" w:hAnsi="微软雅黑" w:eastAsia="微软雅黑" w:cs="微软雅黑"/>
          <w:color w:val="EE822F" w:themeColor="accent2"/>
          <w:sz w:val="21"/>
          <w:szCs w:val="21"/>
          <w14:textFill>
            <w14:solidFill>
              <w14:schemeClr w14:val="accent2"/>
            </w14:solidFill>
          </w14:textFill>
        </w:rPr>
      </w:pPr>
    </w:p>
    <w:p w14:paraId="61DE2161">
      <w:pPr>
        <w:widowControl/>
        <w:shd w:val="clear" w:color="auto" w:fill="FFFFFF"/>
        <w:spacing w:line="390" w:lineRule="atLeast"/>
        <w:jc w:val="center"/>
        <w:rPr>
          <w:rFonts w:hint="eastAsia" w:cs="新宋体" w:asciiTheme="minorEastAsia" w:hAnsiTheme="minorEastAsia" w:eastAsiaTheme="minorEastAsia"/>
          <w:sz w:val="32"/>
          <w:szCs w:val="32"/>
          <w:lang w:eastAsia="zh-CN"/>
        </w:rPr>
      </w:pPr>
    </w:p>
    <w:p w14:paraId="3935A4E6">
      <w:pPr>
        <w:widowControl/>
        <w:shd w:val="clear" w:color="auto" w:fill="FFFFFF"/>
        <w:spacing w:line="390" w:lineRule="atLeast"/>
        <w:jc w:val="both"/>
        <w:rPr>
          <w:rFonts w:cs="微软雅黑" w:asciiTheme="minorEastAsia" w:hAnsiTheme="minorEastAsia"/>
          <w:szCs w:val="21"/>
        </w:rPr>
      </w:pPr>
    </w:p>
    <w:p w14:paraId="4203514E">
      <w:pPr>
        <w:ind w:left="440" w:firstLine="420"/>
        <w:rPr>
          <w:rFonts w:asciiTheme="minorEastAsia" w:hAnsiTheme="minorEastAsia"/>
        </w:rPr>
      </w:pPr>
      <w:r>
        <w:rPr>
          <w:rFonts w:hint="eastAsia" w:ascii="宋体" w:hAnsi="宋体" w:cs="宋体"/>
        </w:rPr>
        <w:drawing>
          <wp:anchor distT="0" distB="0" distL="114300" distR="114300" simplePos="0" relativeHeight="251659264" behindDoc="0" locked="0" layoutInCell="1" allowOverlap="1">
            <wp:simplePos x="0" y="0"/>
            <wp:positionH relativeFrom="column">
              <wp:posOffset>185420</wp:posOffset>
            </wp:positionH>
            <wp:positionV relativeFrom="paragraph">
              <wp:posOffset>128905</wp:posOffset>
            </wp:positionV>
            <wp:extent cx="4742180" cy="1250315"/>
            <wp:effectExtent l="0" t="0" r="1270" b="6985"/>
            <wp:wrapNone/>
            <wp:docPr id="2" name="图片 2" descr="35c3600887bdc01e0bd668a665de6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5c3600887bdc01e0bd668a665de6ba"/>
                    <pic:cNvPicPr>
                      <a:picLocks noChangeAspect="1"/>
                    </pic:cNvPicPr>
                  </pic:nvPicPr>
                  <pic:blipFill>
                    <a:blip r:embed="rId15"/>
                    <a:stretch>
                      <a:fillRect/>
                    </a:stretch>
                  </pic:blipFill>
                  <pic:spPr>
                    <a:xfrm>
                      <a:off x="0" y="0"/>
                      <a:ext cx="4742180" cy="1250315"/>
                    </a:xfrm>
                    <a:prstGeom prst="rect">
                      <a:avLst/>
                    </a:prstGeom>
                  </pic:spPr>
                </pic:pic>
              </a:graphicData>
            </a:graphic>
          </wp:anchor>
        </w:drawing>
      </w:r>
    </w:p>
    <w:p w14:paraId="63C3ABCA">
      <w:pPr>
        <w:wordWrap w:val="0"/>
        <w:jc w:val="center"/>
        <w:rPr>
          <w:rFonts w:hint="default" w:ascii="宋体" w:hAnsi="宋体" w:eastAsia="宋体" w:cs="宋体"/>
          <w:b/>
          <w:i/>
          <w:color w:val="FF0000"/>
          <w:sz w:val="28"/>
          <w:szCs w:val="28"/>
          <w:lang w:val="en-US" w:eastAsia="zh-CN"/>
        </w:rPr>
      </w:pPr>
    </w:p>
    <w:p w14:paraId="418F917C">
      <w:pPr>
        <w:wordWrap w:val="0"/>
        <w:jc w:val="center"/>
        <w:rPr>
          <w:rFonts w:hint="default" w:ascii="宋体" w:hAnsi="宋体" w:eastAsia="宋体" w:cs="宋体"/>
          <w:b/>
          <w:i/>
          <w:color w:val="FF0000"/>
          <w:sz w:val="28"/>
          <w:szCs w:val="28"/>
          <w:lang w:val="en-US" w:eastAsia="zh-CN"/>
        </w:rPr>
      </w:pPr>
    </w:p>
    <w:p w14:paraId="566F0EC2">
      <w:pPr>
        <w:wordWrap w:val="0"/>
        <w:rPr>
          <w:rFonts w:asciiTheme="minorEastAsia" w:hAnsiTheme="minorEastAsia"/>
          <w:b/>
          <w:sz w:val="32"/>
          <w:szCs w:val="32"/>
        </w:rPr>
      </w:pPr>
    </w:p>
    <w:p w14:paraId="0026F0BE">
      <w:pPr>
        <w:keepNext w:val="0"/>
        <w:keepLines w:val="0"/>
        <w:pageBreakBefore w:val="0"/>
        <w:widowControl w:val="0"/>
        <w:tabs>
          <w:tab w:val="left" w:pos="2751"/>
          <w:tab w:val="left" w:pos="3555"/>
        </w:tabs>
        <w:kinsoku/>
        <w:wordWrap w:val="0"/>
        <w:overflowPunct/>
        <w:topLinePunct w:val="0"/>
        <w:autoSpaceDE/>
        <w:autoSpaceDN/>
        <w:bidi w:val="0"/>
        <w:spacing w:line="600" w:lineRule="auto"/>
        <w:ind w:right="830"/>
        <w:jc w:val="both"/>
        <w:textAlignment w:val="auto"/>
        <w:rPr>
          <w:rFonts w:asciiTheme="minorEastAsia" w:hAnsiTheme="minorEastAsia"/>
          <w:b/>
          <w:sz w:val="32"/>
        </w:rPr>
      </w:pPr>
    </w:p>
    <w:p w14:paraId="77C89C67">
      <w:pPr>
        <w:pStyle w:val="20"/>
      </w:pPr>
    </w:p>
    <w:p w14:paraId="76217466">
      <w:pPr>
        <w:keepNext w:val="0"/>
        <w:keepLines w:val="0"/>
        <w:pageBreakBefore w:val="0"/>
        <w:widowControl w:val="0"/>
        <w:tabs>
          <w:tab w:val="left" w:pos="2751"/>
          <w:tab w:val="left" w:pos="3555"/>
        </w:tabs>
        <w:kinsoku/>
        <w:wordWrap w:val="0"/>
        <w:overflowPunct/>
        <w:topLinePunct w:val="0"/>
        <w:autoSpaceDE/>
        <w:autoSpaceDN/>
        <w:bidi w:val="0"/>
        <w:spacing w:line="600" w:lineRule="auto"/>
        <w:ind w:right="830" w:firstLine="964" w:firstLineChars="300"/>
        <w:jc w:val="center"/>
        <w:textAlignment w:val="auto"/>
        <w:rPr>
          <w:rFonts w:asciiTheme="minorEastAsia" w:hAnsiTheme="minorEastAsia"/>
          <w:b/>
          <w:sz w:val="32"/>
        </w:rPr>
      </w:pPr>
      <w:r>
        <w:rPr>
          <w:rFonts w:asciiTheme="minorEastAsia" w:hAnsiTheme="minorEastAsia"/>
          <w:b/>
          <w:sz w:val="32"/>
        </w:rPr>
        <w:t>采购人：</w:t>
      </w:r>
      <w:r>
        <w:rPr>
          <w:rFonts w:hint="eastAsia" w:asciiTheme="minorEastAsia" w:hAnsiTheme="minorEastAsia"/>
          <w:b/>
          <w:sz w:val="32"/>
          <w:lang w:eastAsia="zh-CN"/>
        </w:rPr>
        <w:t>卢氏县城市管理局</w:t>
      </w:r>
    </w:p>
    <w:p w14:paraId="6B9148BE">
      <w:pPr>
        <w:keepNext w:val="0"/>
        <w:keepLines w:val="0"/>
        <w:pageBreakBefore w:val="0"/>
        <w:widowControl w:val="0"/>
        <w:tabs>
          <w:tab w:val="left" w:pos="2751"/>
          <w:tab w:val="left" w:pos="3555"/>
        </w:tabs>
        <w:kinsoku/>
        <w:wordWrap w:val="0"/>
        <w:overflowPunct/>
        <w:topLinePunct w:val="0"/>
        <w:autoSpaceDE/>
        <w:autoSpaceDN/>
        <w:bidi w:val="0"/>
        <w:spacing w:line="600" w:lineRule="auto"/>
        <w:ind w:right="830" w:firstLine="964" w:firstLineChars="300"/>
        <w:jc w:val="center"/>
        <w:textAlignment w:val="auto"/>
        <w:rPr>
          <w:rFonts w:hint="eastAsia" w:asciiTheme="minorEastAsia" w:hAnsiTheme="minorEastAsia"/>
          <w:b/>
          <w:sz w:val="32"/>
          <w:lang w:eastAsia="zh-CN"/>
        </w:rPr>
      </w:pPr>
      <w:r>
        <w:rPr>
          <w:rFonts w:asciiTheme="minorEastAsia" w:hAnsiTheme="minorEastAsia"/>
          <w:b/>
          <w:sz w:val="32"/>
        </w:rPr>
        <w:t>代理机构：</w:t>
      </w:r>
      <w:r>
        <w:rPr>
          <w:rFonts w:hint="eastAsia" w:asciiTheme="minorEastAsia" w:hAnsiTheme="minorEastAsia"/>
          <w:b/>
          <w:sz w:val="32"/>
          <w:lang w:eastAsia="zh-CN"/>
        </w:rPr>
        <w:t>恒恺工程管理咨询有限公司</w:t>
      </w:r>
    </w:p>
    <w:p w14:paraId="16276F66">
      <w:pPr>
        <w:keepNext w:val="0"/>
        <w:keepLines w:val="0"/>
        <w:pageBreakBefore w:val="0"/>
        <w:widowControl w:val="0"/>
        <w:tabs>
          <w:tab w:val="left" w:pos="2751"/>
          <w:tab w:val="left" w:pos="3555"/>
        </w:tabs>
        <w:kinsoku/>
        <w:wordWrap w:val="0"/>
        <w:overflowPunct/>
        <w:topLinePunct w:val="0"/>
        <w:autoSpaceDE/>
        <w:autoSpaceDN/>
        <w:bidi w:val="0"/>
        <w:spacing w:line="600" w:lineRule="auto"/>
        <w:ind w:right="830" w:firstLine="964" w:firstLineChars="300"/>
        <w:jc w:val="center"/>
        <w:textAlignment w:val="auto"/>
        <w:rPr>
          <w:rFonts w:asciiTheme="minorEastAsia" w:hAnsiTheme="minorEastAsia"/>
          <w:b/>
          <w:sz w:val="32"/>
        </w:rPr>
      </w:pPr>
      <w:r>
        <w:rPr>
          <w:rFonts w:hint="eastAsia" w:asciiTheme="minorEastAsia" w:hAnsiTheme="minorEastAsia"/>
          <w:b/>
          <w:sz w:val="32"/>
        </w:rPr>
        <w:t>日</w:t>
      </w:r>
      <w:r>
        <w:rPr>
          <w:rFonts w:asciiTheme="minorEastAsia" w:hAnsiTheme="minorEastAsia"/>
          <w:b/>
          <w:sz w:val="32"/>
        </w:rPr>
        <w:t>期：二</w:t>
      </w:r>
      <w:r>
        <w:rPr>
          <w:rFonts w:hint="eastAsia" w:asciiTheme="minorEastAsia" w:hAnsiTheme="minorEastAsia"/>
          <w:b/>
          <w:sz w:val="32"/>
          <w:lang w:val="en-US" w:eastAsia="zh-CN"/>
        </w:rPr>
        <w:t>零</w:t>
      </w:r>
      <w:r>
        <w:rPr>
          <w:rFonts w:asciiTheme="minorEastAsia" w:hAnsiTheme="minorEastAsia"/>
          <w:b/>
          <w:sz w:val="32"/>
        </w:rPr>
        <w:t>二</w:t>
      </w:r>
      <w:r>
        <w:rPr>
          <w:rFonts w:hint="eastAsia" w:asciiTheme="minorEastAsia" w:hAnsiTheme="minorEastAsia"/>
          <w:b/>
          <w:sz w:val="32"/>
          <w:lang w:val="en-US" w:eastAsia="zh-CN"/>
        </w:rPr>
        <w:t>六</w:t>
      </w:r>
      <w:r>
        <w:rPr>
          <w:rFonts w:asciiTheme="minorEastAsia" w:hAnsiTheme="minorEastAsia"/>
          <w:b/>
          <w:sz w:val="32"/>
        </w:rPr>
        <w:t>年</w:t>
      </w:r>
      <w:r>
        <w:rPr>
          <w:rFonts w:hint="eastAsia" w:asciiTheme="minorEastAsia" w:hAnsiTheme="minorEastAsia"/>
          <w:b/>
          <w:sz w:val="32"/>
          <w:lang w:val="en-US" w:eastAsia="zh-CN"/>
        </w:rPr>
        <w:t>七</w:t>
      </w:r>
      <w:r>
        <w:rPr>
          <w:rFonts w:asciiTheme="minorEastAsia" w:hAnsiTheme="minorEastAsia"/>
          <w:b/>
          <w:sz w:val="32"/>
        </w:rPr>
        <w:t>月</w:t>
      </w:r>
    </w:p>
    <w:p w14:paraId="4E2BD977">
      <w:pPr>
        <w:spacing w:before="0" w:beforeLines="0" w:after="0" w:afterLines="0" w:line="240" w:lineRule="auto"/>
        <w:ind w:left="0" w:leftChars="0" w:right="0" w:rightChars="0" w:firstLine="0" w:firstLineChars="0"/>
        <w:jc w:val="center"/>
        <w:rPr>
          <w:rFonts w:ascii="宋体" w:hAnsi="宋体" w:eastAsia="宋体"/>
          <w:b/>
          <w:bCs/>
          <w:sz w:val="32"/>
          <w:szCs w:val="28"/>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14:paraId="224979B5">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32"/>
          <w:szCs w:val="28"/>
        </w:rPr>
        <w:t>目</w:t>
      </w:r>
      <w:r>
        <w:rPr>
          <w:rFonts w:hint="eastAsia" w:ascii="宋体" w:hAnsi="宋体" w:eastAsia="宋体"/>
          <w:b/>
          <w:bCs/>
          <w:sz w:val="32"/>
          <w:szCs w:val="28"/>
          <w:lang w:val="en-US" w:eastAsia="zh-CN"/>
        </w:rPr>
        <w:t xml:space="preserve">  </w:t>
      </w:r>
      <w:r>
        <w:rPr>
          <w:rFonts w:ascii="宋体" w:hAnsi="宋体" w:eastAsia="宋体"/>
          <w:b/>
          <w:bCs/>
          <w:sz w:val="32"/>
          <w:szCs w:val="28"/>
        </w:rPr>
        <w:t>录</w:t>
      </w:r>
    </w:p>
    <w:p w14:paraId="07E8777B">
      <w:pPr>
        <w:pStyle w:val="4"/>
        <w:bidi w:val="0"/>
        <w:rPr>
          <w:rFonts w:hint="eastAsia" w:ascii="宋体" w:hAnsi="宋体" w:eastAsia="宋体" w:cs="宋体"/>
          <w:sz w:val="28"/>
          <w:szCs w:val="28"/>
        </w:rPr>
      </w:pPr>
      <w:r>
        <w:rPr>
          <w:rFonts w:ascii="Calibri" w:hAnsi="Calibri"/>
          <w:sz w:val="32"/>
          <w:szCs w:val="40"/>
        </w:rPr>
        <w:fldChar w:fldCharType="begin"/>
      </w:r>
      <w:r>
        <w:rPr>
          <w:rFonts w:ascii="Calibri" w:hAnsi="Calibri"/>
          <w:sz w:val="32"/>
          <w:szCs w:val="40"/>
        </w:rPr>
        <w:instrText xml:space="preserve">TOC \o "1-1" \h \u </w:instrText>
      </w:r>
      <w:r>
        <w:rPr>
          <w:rFonts w:ascii="Calibri" w:hAnsi="Calibri"/>
          <w:sz w:val="32"/>
          <w:szCs w:val="40"/>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_Toc29630 </w:instrText>
      </w:r>
      <w:r>
        <w:rPr>
          <w:rFonts w:hint="eastAsia" w:ascii="宋体" w:hAnsi="宋体" w:eastAsia="宋体" w:cs="宋体"/>
          <w:sz w:val="28"/>
          <w:szCs w:val="28"/>
        </w:rPr>
        <w:fldChar w:fldCharType="separate"/>
      </w:r>
      <w:r>
        <w:rPr>
          <w:rFonts w:hint="eastAsia" w:ascii="宋体" w:hAnsi="宋体" w:eastAsia="宋体" w:cs="宋体"/>
          <w:sz w:val="28"/>
          <w:szCs w:val="28"/>
        </w:rPr>
        <w:t>第一章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竞争性磋商公告</w:t>
      </w:r>
      <w:r>
        <w:rPr>
          <w:rFonts w:hint="eastAsia" w:ascii="宋体" w:hAnsi="宋体" w:eastAsia="宋体" w:cs="宋体"/>
          <w:sz w:val="28"/>
          <w:szCs w:val="28"/>
          <w:lang w:val="en-US" w:eastAsia="zh-CN"/>
        </w:rPr>
        <w:t>.....................................1</w:t>
      </w:r>
      <w:r>
        <w:rPr>
          <w:rFonts w:hint="eastAsia" w:ascii="宋体" w:hAnsi="宋体" w:eastAsia="宋体" w:cs="宋体"/>
          <w:sz w:val="28"/>
          <w:szCs w:val="28"/>
        </w:rPr>
        <w:fldChar w:fldCharType="end"/>
      </w:r>
    </w:p>
    <w:p w14:paraId="27463AE3">
      <w:pPr>
        <w:pStyle w:val="4"/>
        <w:bidi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_Toc7224 </w:instrText>
      </w:r>
      <w:r>
        <w:rPr>
          <w:rFonts w:hint="eastAsia" w:ascii="宋体" w:hAnsi="宋体" w:eastAsia="宋体" w:cs="宋体"/>
          <w:sz w:val="28"/>
          <w:szCs w:val="28"/>
        </w:rPr>
        <w:fldChar w:fldCharType="separate"/>
      </w:r>
      <w:r>
        <w:rPr>
          <w:rFonts w:hint="eastAsia" w:ascii="宋体" w:hAnsi="宋体" w:eastAsia="宋体" w:cs="宋体"/>
          <w:sz w:val="28"/>
          <w:szCs w:val="28"/>
        </w:rPr>
        <w:t>第二章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供应商须知</w:t>
      </w:r>
      <w:r>
        <w:rPr>
          <w:rFonts w:hint="eastAsia" w:ascii="宋体" w:hAnsi="宋体" w:eastAsia="宋体" w:cs="宋体"/>
          <w:sz w:val="28"/>
          <w:szCs w:val="28"/>
          <w:lang w:val="en-US" w:eastAsia="zh-CN"/>
        </w:rPr>
        <w:t>.........................................7</w:t>
      </w:r>
      <w:r>
        <w:rPr>
          <w:rFonts w:hint="eastAsia" w:ascii="宋体" w:hAnsi="宋体" w:eastAsia="宋体" w:cs="宋体"/>
          <w:sz w:val="28"/>
          <w:szCs w:val="28"/>
        </w:rPr>
        <w:fldChar w:fldCharType="end"/>
      </w:r>
    </w:p>
    <w:p w14:paraId="3CCE84F8">
      <w:pPr>
        <w:pStyle w:val="4"/>
        <w:bidi w:val="0"/>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_Toc5221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第三章 </w:t>
      </w:r>
      <w:r>
        <w:rPr>
          <w:rFonts w:hint="eastAsia" w:ascii="宋体" w:hAnsi="宋体" w:eastAsia="宋体" w:cs="宋体"/>
          <w:sz w:val="28"/>
          <w:szCs w:val="28"/>
          <w:lang w:eastAsia="zh-CN"/>
        </w:rPr>
        <w:t>服务</w:t>
      </w:r>
      <w:r>
        <w:rPr>
          <w:rFonts w:hint="eastAsia" w:ascii="宋体" w:hAnsi="宋体" w:eastAsia="宋体" w:cs="宋体"/>
          <w:sz w:val="28"/>
          <w:szCs w:val="28"/>
          <w:lang w:val="en-US" w:eastAsia="zh-CN"/>
        </w:rPr>
        <w:t>需求..........................................2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4</w:t>
      </w:r>
    </w:p>
    <w:p w14:paraId="2A09E9BA">
      <w:pPr>
        <w:pStyle w:val="4"/>
        <w:bidi w:val="0"/>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_Toc5422 </w:instrText>
      </w:r>
      <w:r>
        <w:rPr>
          <w:rFonts w:hint="eastAsia" w:ascii="宋体" w:hAnsi="宋体" w:eastAsia="宋体" w:cs="宋体"/>
          <w:sz w:val="28"/>
          <w:szCs w:val="28"/>
        </w:rPr>
        <w:fldChar w:fldCharType="separate"/>
      </w:r>
      <w:r>
        <w:rPr>
          <w:rFonts w:hint="eastAsia" w:ascii="宋体" w:hAnsi="宋体" w:eastAsia="宋体" w:cs="宋体"/>
          <w:sz w:val="28"/>
          <w:szCs w:val="28"/>
        </w:rPr>
        <w:t>第四章 合同条款及格式</w:t>
      </w:r>
      <w:r>
        <w:rPr>
          <w:rFonts w:hint="eastAsia" w:ascii="宋体" w:hAnsi="宋体" w:eastAsia="宋体" w:cs="宋体"/>
          <w:sz w:val="28"/>
          <w:szCs w:val="28"/>
          <w:lang w:val="en-US" w:eastAsia="zh-CN"/>
        </w:rPr>
        <w:t>....................................4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3</w:t>
      </w:r>
    </w:p>
    <w:p w14:paraId="33F153C4">
      <w:pPr>
        <w:pStyle w:val="4"/>
        <w:bidi w:val="0"/>
        <w:rPr>
          <w:rFonts w:hint="eastAsia"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_Toc1817 </w:instrText>
      </w:r>
      <w:r>
        <w:rPr>
          <w:rFonts w:hint="eastAsia" w:ascii="宋体" w:hAnsi="宋体" w:eastAsia="宋体" w:cs="宋体"/>
          <w:sz w:val="28"/>
          <w:szCs w:val="28"/>
        </w:rPr>
        <w:fldChar w:fldCharType="separate"/>
      </w:r>
      <w:r>
        <w:rPr>
          <w:rFonts w:hint="eastAsia" w:ascii="宋体" w:hAnsi="宋体" w:eastAsia="宋体" w:cs="宋体"/>
          <w:sz w:val="28"/>
          <w:szCs w:val="28"/>
        </w:rPr>
        <w:t>第五章 评审标准</w:t>
      </w:r>
      <w:r>
        <w:rPr>
          <w:rFonts w:hint="eastAsia" w:ascii="宋体" w:hAnsi="宋体" w:eastAsia="宋体" w:cs="宋体"/>
          <w:sz w:val="28"/>
          <w:szCs w:val="28"/>
          <w:lang w:val="en-US" w:eastAsia="zh-CN"/>
        </w:rPr>
        <w:t>..........................................4</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7</w:t>
      </w:r>
    </w:p>
    <w:p w14:paraId="2F5B95BD">
      <w:pPr>
        <w:pStyle w:val="4"/>
        <w:bidi w:val="0"/>
        <w:rPr>
          <w:rFonts w:hint="default"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_Toc1016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第六章 </w:t>
      </w:r>
      <w:r>
        <w:rPr>
          <w:rFonts w:hint="eastAsia" w:ascii="宋体" w:hAnsi="宋体" w:eastAsia="宋体" w:cs="宋体"/>
          <w:sz w:val="28"/>
          <w:szCs w:val="28"/>
          <w:lang w:eastAsia="zh-CN"/>
        </w:rPr>
        <w:t>响应</w:t>
      </w:r>
      <w:r>
        <w:rPr>
          <w:rFonts w:hint="eastAsia" w:ascii="宋体" w:hAnsi="宋体" w:eastAsia="宋体" w:cs="宋体"/>
          <w:sz w:val="28"/>
          <w:szCs w:val="28"/>
        </w:rPr>
        <w:t>文件</w:t>
      </w:r>
      <w:r>
        <w:rPr>
          <w:rFonts w:hint="eastAsia" w:ascii="宋体" w:hAnsi="宋体" w:eastAsia="宋体" w:cs="宋体"/>
          <w:sz w:val="28"/>
          <w:szCs w:val="28"/>
          <w:lang w:eastAsia="zh-CN"/>
        </w:rPr>
        <w:t>内容及</w:t>
      </w:r>
      <w:r>
        <w:rPr>
          <w:rFonts w:hint="eastAsia" w:ascii="宋体" w:hAnsi="宋体" w:eastAsia="宋体" w:cs="宋体"/>
          <w:sz w:val="28"/>
          <w:szCs w:val="28"/>
        </w:rPr>
        <w:t>格式</w:t>
      </w: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57</w:t>
      </w:r>
    </w:p>
    <w:p w14:paraId="7602057B">
      <w:pPr>
        <w:pStyle w:val="10"/>
        <w:tabs>
          <w:tab w:val="right" w:leader="dot" w:pos="9071"/>
        </w:tabs>
        <w:rPr>
          <w:rFonts w:hint="eastAsia" w:ascii="宋体" w:hAnsi="宋体" w:eastAsia="宋体" w:cs="宋体"/>
          <w:sz w:val="32"/>
          <w:szCs w:val="40"/>
          <w:lang w:val="en-US" w:eastAsia="zh-CN"/>
        </w:rPr>
      </w:pPr>
    </w:p>
    <w:p w14:paraId="1D2A151A">
      <w:pPr>
        <w:pStyle w:val="10"/>
        <w:tabs>
          <w:tab w:val="right" w:leader="dot" w:pos="9071"/>
        </w:tabs>
        <w:rPr>
          <w:sz w:val="32"/>
          <w:szCs w:val="40"/>
        </w:rPr>
      </w:pPr>
    </w:p>
    <w:p w14:paraId="28672D62">
      <w:pPr>
        <w:rPr>
          <w:rFonts w:ascii="宋体" w:hAnsi="宋体" w:eastAsia="宋体" w:cs="Times New Roman"/>
          <w:sz w:val="32"/>
          <w:szCs w:val="32"/>
        </w:rPr>
      </w:pPr>
      <w:r>
        <w:rPr>
          <w:rFonts w:ascii="Calibri" w:hAnsi="Calibri"/>
          <w:sz w:val="28"/>
          <w:szCs w:val="40"/>
        </w:rPr>
        <w:fldChar w:fldCharType="end"/>
      </w:r>
    </w:p>
    <w:p w14:paraId="213AA02A">
      <w:pPr>
        <w:rPr>
          <w:rFonts w:ascii="宋体" w:hAnsi="宋体" w:eastAsia="宋体" w:cs="Times New Roman"/>
          <w:sz w:val="32"/>
          <w:szCs w:val="32"/>
        </w:rPr>
      </w:pPr>
    </w:p>
    <w:p w14:paraId="2B2F8803">
      <w:pPr>
        <w:rPr>
          <w:rFonts w:ascii="宋体" w:hAnsi="宋体" w:eastAsia="宋体" w:cs="Times New Roman"/>
          <w:sz w:val="32"/>
          <w:szCs w:val="32"/>
        </w:rPr>
      </w:pPr>
    </w:p>
    <w:p w14:paraId="7082A455">
      <w:pPr>
        <w:tabs>
          <w:tab w:val="left" w:pos="4785"/>
        </w:tabs>
        <w:rPr>
          <w:rFonts w:ascii="宋体" w:hAnsi="宋体" w:eastAsia="宋体" w:cs="Times New Roman"/>
          <w:sz w:val="32"/>
          <w:szCs w:val="32"/>
        </w:rPr>
      </w:pPr>
      <w:r>
        <w:rPr>
          <w:rFonts w:ascii="宋体" w:hAnsi="宋体" w:eastAsia="宋体" w:cs="Times New Roman"/>
          <w:sz w:val="32"/>
          <w:szCs w:val="32"/>
        </w:rPr>
        <w:tab/>
      </w:r>
    </w:p>
    <w:p w14:paraId="74873D19">
      <w:pPr>
        <w:rPr>
          <w:rFonts w:ascii="宋体" w:hAnsi="宋体" w:eastAsia="宋体" w:cs="Times New Roman"/>
          <w:sz w:val="32"/>
          <w:szCs w:val="32"/>
        </w:rPr>
      </w:pPr>
    </w:p>
    <w:p w14:paraId="60C6B7DE">
      <w:pPr>
        <w:rPr>
          <w:rFonts w:ascii="宋体" w:hAnsi="宋体" w:eastAsia="宋体" w:cs="Times New Roman"/>
          <w:sz w:val="32"/>
          <w:szCs w:val="32"/>
        </w:rPr>
        <w:sectPr>
          <w:footerReference r:id="rId5" w:type="default"/>
          <w:pgSz w:w="11906" w:h="16838"/>
          <w:pgMar w:top="1440" w:right="1800" w:bottom="1440" w:left="1800" w:header="851" w:footer="992" w:gutter="0"/>
          <w:pgNumType w:start="1"/>
          <w:cols w:space="425" w:num="1"/>
          <w:docGrid w:type="lines" w:linePitch="312" w:charSpace="0"/>
        </w:sectPr>
      </w:pPr>
    </w:p>
    <w:p w14:paraId="084B6260">
      <w:pPr>
        <w:jc w:val="center"/>
        <w:outlineLvl w:val="0"/>
        <w:rPr>
          <w:rFonts w:ascii="宋体" w:hAnsi="宋体" w:eastAsia="宋体" w:cs="宋体"/>
          <w:b/>
          <w:sz w:val="32"/>
          <w:szCs w:val="32"/>
        </w:rPr>
      </w:pPr>
      <w:bookmarkStart w:id="0" w:name="_Toc23380"/>
      <w:r>
        <w:rPr>
          <w:rFonts w:hint="eastAsia" w:ascii="宋体" w:hAnsi="宋体" w:eastAsia="宋体" w:cs="Times New Roman"/>
          <w:b/>
          <w:bCs/>
          <w:sz w:val="32"/>
          <w:szCs w:val="32"/>
        </w:rPr>
        <w:t>第一章  竞争性磋商公告</w:t>
      </w:r>
      <w:bookmarkEnd w:id="0"/>
      <w:bookmarkStart w:id="1" w:name="_Toc2820184451"/>
      <w:bookmarkEnd w:id="1"/>
      <w:bookmarkStart w:id="2" w:name="_Toc2820163531"/>
      <w:bookmarkEnd w:id="2"/>
      <w:bookmarkStart w:id="3" w:name="_Toc488052440"/>
      <w:bookmarkStart w:id="4" w:name="_Toc30773"/>
    </w:p>
    <w:bookmarkEnd w:id="3"/>
    <w:bookmarkEnd w:id="4"/>
    <w:p w14:paraId="3B2A62F7">
      <w:pPr>
        <w:keepNext w:val="0"/>
        <w:keepLines w:val="0"/>
        <w:pageBreakBefore w:val="0"/>
        <w:widowControl w:val="0"/>
        <w:kinsoku/>
        <w:wordWrap w:val="0"/>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bookmarkStart w:id="5" w:name="OLE_LINK3"/>
      <w:bookmarkStart w:id="6" w:name="OLE_LINK2"/>
      <w:bookmarkStart w:id="7" w:name="OLE_LINK1"/>
      <w:r>
        <w:rPr>
          <w:rFonts w:hint="eastAsia" w:cs="新宋体" w:asciiTheme="minorEastAsia" w:hAnsiTheme="minorEastAsia"/>
          <w:sz w:val="28"/>
          <w:szCs w:val="28"/>
          <w:lang w:eastAsia="zh-CN"/>
        </w:rPr>
        <w:t>恒恺工程管理咨询有限公司</w:t>
      </w:r>
      <w:r>
        <w:rPr>
          <w:rFonts w:hint="eastAsia" w:cs="新宋体" w:asciiTheme="minorEastAsia" w:hAnsiTheme="minorEastAsia"/>
          <w:sz w:val="28"/>
          <w:szCs w:val="28"/>
        </w:rPr>
        <w:t>受</w:t>
      </w:r>
      <w:r>
        <w:rPr>
          <w:rFonts w:hint="eastAsia" w:cs="新宋体" w:asciiTheme="minorEastAsia" w:hAnsiTheme="minorEastAsia"/>
          <w:sz w:val="28"/>
          <w:szCs w:val="28"/>
          <w:lang w:eastAsia="zh-CN"/>
        </w:rPr>
        <w:t>卢氏县城市管理局</w:t>
      </w:r>
      <w:r>
        <w:rPr>
          <w:rFonts w:hint="eastAsia" w:cs="新宋体" w:asciiTheme="minorEastAsia" w:hAnsiTheme="minorEastAsia"/>
          <w:sz w:val="28"/>
          <w:szCs w:val="28"/>
        </w:rPr>
        <w:t>的委托，就</w:t>
      </w:r>
      <w:r>
        <w:rPr>
          <w:rFonts w:hint="eastAsia" w:cs="新宋体" w:asciiTheme="minorEastAsia" w:hAnsiTheme="minorEastAsia"/>
          <w:sz w:val="28"/>
          <w:szCs w:val="28"/>
          <w:lang w:eastAsia="zh-CN"/>
        </w:rPr>
        <w:t>卢氏县城区绿地日常管护（2026-2027）项目</w:t>
      </w:r>
      <w:r>
        <w:rPr>
          <w:rFonts w:hint="eastAsia" w:cs="新宋体" w:asciiTheme="minorEastAsia" w:hAnsiTheme="minorEastAsia"/>
          <w:sz w:val="28"/>
          <w:szCs w:val="28"/>
        </w:rPr>
        <w:t>进行竞争性磋商，欢迎符合资格条件的供应商参加。</w:t>
      </w:r>
    </w:p>
    <w:p w14:paraId="3418819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eastAsiaTheme="minorEastAsia"/>
          <w:sz w:val="28"/>
          <w:szCs w:val="28"/>
          <w:lang w:val="en-US" w:eastAsia="zh-CN"/>
        </w:rPr>
      </w:pPr>
      <w:r>
        <w:rPr>
          <w:rFonts w:hint="eastAsia" w:cs="新宋体" w:asciiTheme="minorEastAsia" w:hAnsiTheme="minorEastAsia"/>
          <w:sz w:val="28"/>
          <w:szCs w:val="28"/>
        </w:rPr>
        <w:t>一、项目概况</w:t>
      </w:r>
      <w:r>
        <w:rPr>
          <w:rFonts w:hint="eastAsia" w:cs="新宋体" w:asciiTheme="minorEastAsia" w:hAnsiTheme="minorEastAsia"/>
          <w:sz w:val="28"/>
          <w:szCs w:val="28"/>
          <w:lang w:val="en-US" w:eastAsia="zh-CN"/>
        </w:rPr>
        <w:t>与采购范围</w:t>
      </w:r>
    </w:p>
    <w:p w14:paraId="0B3FD8D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1、采购人：</w:t>
      </w:r>
      <w:r>
        <w:rPr>
          <w:rFonts w:hint="eastAsia" w:cs="新宋体" w:asciiTheme="minorEastAsia" w:hAnsiTheme="minorEastAsia"/>
          <w:sz w:val="28"/>
          <w:szCs w:val="28"/>
          <w:lang w:eastAsia="zh-CN"/>
        </w:rPr>
        <w:t>卢氏县城市管理局</w:t>
      </w:r>
    </w:p>
    <w:p w14:paraId="24ABC97F">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2、项目名称：</w:t>
      </w:r>
      <w:r>
        <w:rPr>
          <w:rFonts w:hint="eastAsia" w:cs="新宋体" w:asciiTheme="minorEastAsia" w:hAnsiTheme="minorEastAsia"/>
          <w:sz w:val="28"/>
          <w:szCs w:val="28"/>
          <w:lang w:eastAsia="zh-CN"/>
        </w:rPr>
        <w:t>卢氏县城区绿地日常管护（2026-2027）项目</w:t>
      </w:r>
    </w:p>
    <w:p w14:paraId="35E372F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color w:val="EE822F" w:themeColor="accent2"/>
          <w:sz w:val="28"/>
          <w:szCs w:val="28"/>
          <w:highlight w:val="yellow"/>
          <w:lang w:eastAsia="zh-CN"/>
          <w14:textFill>
            <w14:solidFill>
              <w14:schemeClr w14:val="accent2"/>
            </w14:solidFill>
          </w14:textFill>
        </w:rPr>
      </w:pPr>
      <w:r>
        <w:rPr>
          <w:rFonts w:hint="eastAsia" w:cs="新宋体" w:asciiTheme="minorEastAsia" w:hAnsiTheme="minorEastAsia"/>
          <w:sz w:val="28"/>
          <w:szCs w:val="28"/>
          <w:highlight w:val="none"/>
        </w:rPr>
        <w:t>3、项目编号：</w:t>
      </w:r>
      <w:r>
        <w:rPr>
          <w:rFonts w:hint="eastAsia" w:cs="新宋体" w:asciiTheme="minorEastAsia" w:hAnsiTheme="minorEastAsia"/>
          <w:color w:val="000000" w:themeColor="text1"/>
          <w:sz w:val="28"/>
          <w:szCs w:val="28"/>
          <w:highlight w:val="none"/>
          <w:lang w:eastAsia="zh-CN"/>
          <w14:textFill>
            <w14:solidFill>
              <w14:schemeClr w14:val="tx1"/>
            </w14:solidFill>
          </w14:textFill>
        </w:rPr>
        <w:t>三卢竞磋采购-2026-52</w:t>
      </w:r>
      <w:r>
        <w:rPr>
          <w:rFonts w:hint="eastAsia" w:cs="新宋体" w:asciiTheme="minorEastAsia" w:hAnsiTheme="minorEastAsia"/>
          <w:color w:val="000000" w:themeColor="text1"/>
          <w:sz w:val="28"/>
          <w:szCs w:val="28"/>
          <w:highlight w:val="none"/>
          <w14:textFill>
            <w14:solidFill>
              <w14:schemeClr w14:val="tx1"/>
            </w14:solidFill>
          </w14:textFill>
        </w:rPr>
        <w:t>、</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LSGZ[2026]122-ZC093</w:t>
      </w:r>
    </w:p>
    <w:p w14:paraId="0815114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highlight w:val="none"/>
          <w:lang w:val="en-US" w:eastAsia="zh-CN"/>
        </w:rPr>
        <w:t>4</w:t>
      </w:r>
      <w:r>
        <w:rPr>
          <w:rFonts w:hint="eastAsia" w:cs="新宋体" w:asciiTheme="minorEastAsia" w:hAnsiTheme="minorEastAsia"/>
          <w:sz w:val="28"/>
          <w:szCs w:val="28"/>
          <w:highlight w:val="none"/>
        </w:rPr>
        <w:t>、预算金额：¥</w:t>
      </w:r>
      <w:r>
        <w:rPr>
          <w:rFonts w:hint="eastAsia" w:cs="新宋体" w:asciiTheme="minorEastAsia" w:hAnsiTheme="minorEastAsia"/>
          <w:sz w:val="28"/>
          <w:szCs w:val="28"/>
          <w:highlight w:val="none"/>
          <w:lang w:val="en-US" w:eastAsia="zh-CN"/>
        </w:rPr>
        <w:t>1483648.50</w:t>
      </w:r>
      <w:r>
        <w:rPr>
          <w:rFonts w:hint="eastAsia" w:cs="新宋体" w:asciiTheme="minorEastAsia" w:hAnsiTheme="minorEastAsia"/>
          <w:sz w:val="28"/>
          <w:szCs w:val="28"/>
          <w:highlight w:val="none"/>
        </w:rPr>
        <w:t>元</w:t>
      </w:r>
    </w:p>
    <w:p w14:paraId="024CDB6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highlight w:val="none"/>
          <w:lang w:val="en-US" w:eastAsia="zh-CN"/>
        </w:rPr>
        <w:t>5</w:t>
      </w:r>
      <w:r>
        <w:rPr>
          <w:rFonts w:hint="eastAsia" w:cs="新宋体" w:asciiTheme="minorEastAsia" w:hAnsiTheme="minorEastAsia"/>
          <w:sz w:val="28"/>
          <w:szCs w:val="28"/>
          <w:highlight w:val="none"/>
        </w:rPr>
        <w:t>、资金来源：</w:t>
      </w:r>
      <w:r>
        <w:rPr>
          <w:rFonts w:hint="eastAsia" w:cs="新宋体" w:asciiTheme="minorEastAsia" w:hAnsiTheme="minorEastAsia"/>
          <w:color w:val="000000" w:themeColor="text1"/>
          <w:sz w:val="28"/>
          <w:szCs w:val="28"/>
          <w:highlight w:val="none"/>
          <w14:textFill>
            <w14:solidFill>
              <w14:schemeClr w14:val="tx1"/>
            </w14:solidFill>
          </w14:textFill>
        </w:rPr>
        <w:t>财政资金，已落实</w:t>
      </w:r>
    </w:p>
    <w:p w14:paraId="3598DC09">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6</w:t>
      </w:r>
      <w:r>
        <w:rPr>
          <w:rFonts w:hint="eastAsia" w:cs="新宋体" w:asciiTheme="minorEastAsia" w:hAnsiTheme="minorEastAsia"/>
          <w:sz w:val="28"/>
          <w:szCs w:val="28"/>
        </w:rPr>
        <w:t>、</w:t>
      </w:r>
      <w:r>
        <w:rPr>
          <w:rFonts w:hint="eastAsia" w:cs="新宋体" w:asciiTheme="minorEastAsia" w:hAnsiTheme="minorEastAsia"/>
          <w:sz w:val="28"/>
          <w:szCs w:val="28"/>
          <w:lang w:val="en-US" w:eastAsia="zh-CN"/>
        </w:rPr>
        <w:t>服务</w:t>
      </w:r>
      <w:r>
        <w:rPr>
          <w:rFonts w:hint="eastAsia" w:cs="新宋体" w:asciiTheme="minorEastAsia" w:hAnsiTheme="minorEastAsia"/>
          <w:sz w:val="28"/>
          <w:szCs w:val="28"/>
        </w:rPr>
        <w:t>内容：本项目</w:t>
      </w:r>
      <w:r>
        <w:rPr>
          <w:rFonts w:hint="eastAsia" w:cs="新宋体" w:asciiTheme="minorEastAsia" w:hAnsiTheme="minorEastAsia"/>
          <w:sz w:val="28"/>
          <w:szCs w:val="28"/>
          <w:lang w:val="en-US" w:eastAsia="zh-CN"/>
        </w:rPr>
        <w:t>内容为</w:t>
      </w:r>
      <w:r>
        <w:rPr>
          <w:rFonts w:hint="eastAsia" w:cs="新宋体" w:asciiTheme="minorEastAsia" w:hAnsiTheme="minorEastAsia"/>
          <w:sz w:val="28"/>
          <w:szCs w:val="28"/>
        </w:rPr>
        <w:t>城区道路绿篱、南岸道路绿篱、行道树、交通渠化岛、洛神公园、小游园及小广场</w:t>
      </w:r>
      <w:r>
        <w:rPr>
          <w:rFonts w:hint="eastAsia" w:cs="新宋体" w:asciiTheme="minorEastAsia" w:hAnsiTheme="minorEastAsia"/>
          <w:sz w:val="28"/>
          <w:szCs w:val="28"/>
          <w:lang w:eastAsia="zh-CN"/>
        </w:rPr>
        <w:t>、</w:t>
      </w:r>
      <w:r>
        <w:rPr>
          <w:rFonts w:hint="eastAsia" w:cs="新宋体" w:asciiTheme="minorEastAsia" w:hAnsiTheme="minorEastAsia"/>
          <w:sz w:val="28"/>
          <w:szCs w:val="28"/>
          <w:lang w:val="en-US" w:eastAsia="zh-CN"/>
        </w:rPr>
        <w:t>健康步道、淇河路至西苑路段</w:t>
      </w:r>
      <w:r>
        <w:rPr>
          <w:rFonts w:hint="eastAsia" w:cs="新宋体" w:asciiTheme="minorEastAsia" w:hAnsiTheme="minorEastAsia"/>
          <w:sz w:val="28"/>
          <w:szCs w:val="28"/>
        </w:rPr>
        <w:t>80米绿化带、</w:t>
      </w:r>
      <w:r>
        <w:rPr>
          <w:rFonts w:hint="eastAsia" w:cs="新宋体" w:asciiTheme="minorEastAsia" w:hAnsiTheme="minorEastAsia"/>
          <w:sz w:val="28"/>
          <w:szCs w:val="28"/>
          <w:lang w:val="en-US" w:eastAsia="zh-CN"/>
        </w:rPr>
        <w:t>和平</w:t>
      </w:r>
      <w:r>
        <w:rPr>
          <w:rFonts w:hint="eastAsia" w:cs="新宋体" w:asciiTheme="minorEastAsia" w:hAnsiTheme="minorEastAsia"/>
          <w:sz w:val="28"/>
          <w:szCs w:val="28"/>
        </w:rPr>
        <w:t>路至</w:t>
      </w:r>
      <w:r>
        <w:rPr>
          <w:rFonts w:hint="eastAsia" w:cs="新宋体" w:asciiTheme="minorEastAsia" w:hAnsiTheme="minorEastAsia"/>
          <w:sz w:val="28"/>
          <w:szCs w:val="28"/>
          <w:lang w:val="en-US" w:eastAsia="zh-CN"/>
        </w:rPr>
        <w:t>卢傲</w:t>
      </w:r>
      <w:r>
        <w:rPr>
          <w:rFonts w:hint="eastAsia" w:cs="新宋体" w:asciiTheme="minorEastAsia" w:hAnsiTheme="minorEastAsia"/>
          <w:sz w:val="28"/>
          <w:szCs w:val="28"/>
        </w:rPr>
        <w:t>路段80米绿化带</w:t>
      </w:r>
      <w:r>
        <w:rPr>
          <w:rFonts w:hint="eastAsia" w:cs="新宋体" w:asciiTheme="minorEastAsia" w:hAnsiTheme="minorEastAsia"/>
          <w:sz w:val="28"/>
          <w:szCs w:val="28"/>
          <w:lang w:eastAsia="zh-CN"/>
        </w:rPr>
        <w:t>、</w:t>
      </w:r>
      <w:r>
        <w:rPr>
          <w:rFonts w:hint="eastAsia" w:cs="新宋体" w:asciiTheme="minorEastAsia" w:hAnsiTheme="minorEastAsia"/>
          <w:sz w:val="28"/>
          <w:szCs w:val="28"/>
        </w:rPr>
        <w:t>南岸公园绿地</w:t>
      </w:r>
      <w:r>
        <w:rPr>
          <w:rFonts w:hint="eastAsia" w:cs="新宋体" w:asciiTheme="minorEastAsia" w:hAnsiTheme="minorEastAsia"/>
          <w:sz w:val="28"/>
          <w:szCs w:val="28"/>
          <w:lang w:val="en-US" w:eastAsia="zh-CN"/>
        </w:rPr>
        <w:t>日常管护等（</w:t>
      </w:r>
      <w:r>
        <w:rPr>
          <w:rFonts w:hint="eastAsia" w:cs="新宋体" w:asciiTheme="minorEastAsia" w:hAnsiTheme="minorEastAsia"/>
          <w:sz w:val="28"/>
          <w:szCs w:val="28"/>
          <w:lang w:eastAsia="zh-CN"/>
        </w:rPr>
        <w:t>具体详见磋商文件第三章服务需求</w:t>
      </w:r>
      <w:r>
        <w:rPr>
          <w:rFonts w:hint="eastAsia" w:cs="新宋体" w:asciiTheme="minorEastAsia" w:hAnsiTheme="minorEastAsia"/>
          <w:sz w:val="28"/>
          <w:szCs w:val="28"/>
          <w:lang w:val="en-US" w:eastAsia="zh-CN"/>
        </w:rPr>
        <w:t>）</w:t>
      </w:r>
    </w:p>
    <w:p w14:paraId="0DB96F6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7</w:t>
      </w:r>
      <w:r>
        <w:rPr>
          <w:rFonts w:hint="eastAsia" w:cs="新宋体" w:asciiTheme="minorEastAsia" w:hAnsiTheme="minorEastAsia"/>
          <w:sz w:val="28"/>
          <w:szCs w:val="28"/>
        </w:rPr>
        <w:t>、标段划分：</w:t>
      </w:r>
      <w:r>
        <w:rPr>
          <w:rFonts w:hint="eastAsia" w:cs="新宋体" w:asciiTheme="minorEastAsia" w:hAnsiTheme="minorEastAsia"/>
          <w:sz w:val="28"/>
          <w:szCs w:val="28"/>
          <w:lang w:eastAsia="zh-CN"/>
        </w:rPr>
        <w:t>本项目共</w:t>
      </w:r>
      <w:r>
        <w:rPr>
          <w:rFonts w:hint="eastAsia" w:cs="新宋体" w:asciiTheme="minorEastAsia" w:hAnsiTheme="minorEastAsia"/>
          <w:sz w:val="28"/>
          <w:szCs w:val="28"/>
          <w:lang w:val="en-US" w:eastAsia="zh-CN"/>
        </w:rPr>
        <w:t>一</w:t>
      </w:r>
      <w:r>
        <w:rPr>
          <w:rFonts w:hint="eastAsia" w:cs="新宋体" w:asciiTheme="minorEastAsia" w:hAnsiTheme="minorEastAsia"/>
          <w:sz w:val="28"/>
          <w:szCs w:val="28"/>
          <w:lang w:eastAsia="zh-CN"/>
        </w:rPr>
        <w:t>个标段</w:t>
      </w:r>
    </w:p>
    <w:p w14:paraId="73C152E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val="en-US" w:eastAsia="zh-CN"/>
        </w:rPr>
      </w:pPr>
      <w:r>
        <w:rPr>
          <w:rFonts w:hint="eastAsia" w:cs="新宋体" w:asciiTheme="minorEastAsia" w:hAnsiTheme="minorEastAsia"/>
          <w:sz w:val="28"/>
          <w:szCs w:val="28"/>
          <w:lang w:val="en-US" w:eastAsia="zh-CN"/>
        </w:rPr>
        <w:t>8</w:t>
      </w:r>
      <w:r>
        <w:rPr>
          <w:rFonts w:hint="eastAsia" w:cs="新宋体" w:asciiTheme="minorEastAsia" w:hAnsiTheme="minorEastAsia"/>
          <w:sz w:val="28"/>
          <w:szCs w:val="28"/>
        </w:rPr>
        <w:t>、</w:t>
      </w:r>
      <w:r>
        <w:rPr>
          <w:rFonts w:hint="eastAsia" w:cs="新宋体" w:asciiTheme="minorEastAsia" w:hAnsiTheme="minorEastAsia"/>
          <w:sz w:val="28"/>
          <w:szCs w:val="28"/>
          <w:lang w:val="en-US" w:eastAsia="zh-CN"/>
        </w:rPr>
        <w:t>管护</w:t>
      </w:r>
      <w:r>
        <w:rPr>
          <w:rFonts w:hint="eastAsia" w:cs="新宋体" w:asciiTheme="minorEastAsia" w:hAnsiTheme="minorEastAsia"/>
          <w:sz w:val="28"/>
          <w:szCs w:val="28"/>
        </w:rPr>
        <w:t>期限：</w:t>
      </w:r>
      <w:r>
        <w:rPr>
          <w:rFonts w:hint="eastAsia" w:cs="新宋体" w:asciiTheme="minorEastAsia" w:hAnsiTheme="minorEastAsia"/>
          <w:color w:val="000000" w:themeColor="text1"/>
          <w:sz w:val="28"/>
          <w:szCs w:val="28"/>
          <w:lang w:val="en-US" w:eastAsia="zh-CN"/>
          <w14:textFill>
            <w14:solidFill>
              <w14:schemeClr w14:val="tx1"/>
            </w14:solidFill>
          </w14:textFill>
        </w:rPr>
        <w:t>一年</w:t>
      </w:r>
    </w:p>
    <w:p w14:paraId="0667B9D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val="en-US" w:eastAsia="zh-CN"/>
        </w:rPr>
      </w:pPr>
      <w:r>
        <w:rPr>
          <w:rFonts w:hint="eastAsia" w:cs="新宋体" w:asciiTheme="minorEastAsia" w:hAnsiTheme="minorEastAsia"/>
          <w:sz w:val="28"/>
          <w:szCs w:val="28"/>
          <w:lang w:val="en-US" w:eastAsia="zh-CN"/>
        </w:rPr>
        <w:t>9</w:t>
      </w:r>
      <w:r>
        <w:rPr>
          <w:rFonts w:hint="eastAsia" w:cs="新宋体" w:asciiTheme="minorEastAsia" w:hAnsiTheme="minorEastAsia"/>
          <w:sz w:val="28"/>
          <w:szCs w:val="28"/>
        </w:rPr>
        <w:t>、质量要求：符合国家及相关行业标准，并满足采购人要求</w:t>
      </w:r>
    </w:p>
    <w:p w14:paraId="75971EC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10</w:t>
      </w:r>
      <w:r>
        <w:rPr>
          <w:rFonts w:hint="eastAsia" w:cs="新宋体" w:asciiTheme="minorEastAsia" w:hAnsiTheme="minorEastAsia"/>
          <w:sz w:val="28"/>
          <w:szCs w:val="28"/>
        </w:rPr>
        <w:t>、</w:t>
      </w:r>
      <w:r>
        <w:rPr>
          <w:rFonts w:hint="eastAsia" w:cs="新宋体" w:asciiTheme="minorEastAsia" w:hAnsiTheme="minorEastAsia"/>
          <w:sz w:val="28"/>
          <w:szCs w:val="28"/>
          <w:lang w:val="en-US" w:eastAsia="zh-CN"/>
        </w:rPr>
        <w:t>服务</w:t>
      </w:r>
      <w:r>
        <w:rPr>
          <w:rFonts w:hint="eastAsia" w:cs="新宋体" w:asciiTheme="minorEastAsia" w:hAnsiTheme="minorEastAsia"/>
          <w:sz w:val="28"/>
          <w:szCs w:val="28"/>
        </w:rPr>
        <w:t>地点：</w:t>
      </w:r>
      <w:r>
        <w:rPr>
          <w:rFonts w:hint="eastAsia" w:cs="新宋体" w:asciiTheme="minorEastAsia" w:hAnsiTheme="minorEastAsia"/>
          <w:sz w:val="28"/>
          <w:szCs w:val="28"/>
          <w:lang w:val="en-US" w:eastAsia="zh-CN"/>
        </w:rPr>
        <w:t>卢氏县</w:t>
      </w:r>
    </w:p>
    <w:p w14:paraId="4AF7F03B">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lang w:val="en-US" w:eastAsia="zh-CN"/>
        </w:rPr>
        <w:t>11、</w:t>
      </w:r>
      <w:r>
        <w:rPr>
          <w:rFonts w:hint="eastAsia" w:cs="新宋体" w:asciiTheme="minorEastAsia" w:hAnsiTheme="minorEastAsia"/>
          <w:sz w:val="28"/>
          <w:szCs w:val="28"/>
        </w:rPr>
        <w:t>落实政府采购政策满足的资格要求：根据《政府采购促进中小企业发展管理办法》（财库〔2020〕46号）规定，本项目专门面向中小企业采购</w:t>
      </w:r>
      <w:r>
        <w:rPr>
          <w:rFonts w:hint="eastAsia" w:cs="新宋体" w:asciiTheme="minorEastAsia" w:hAnsiTheme="minorEastAsia"/>
          <w:sz w:val="28"/>
          <w:szCs w:val="28"/>
          <w:lang w:eastAsia="zh-CN"/>
        </w:rPr>
        <w:t>，</w:t>
      </w:r>
      <w:r>
        <w:rPr>
          <w:rFonts w:hint="eastAsia" w:cs="新宋体" w:asciiTheme="minorEastAsia" w:hAnsiTheme="minorEastAsia"/>
          <w:sz w:val="28"/>
          <w:szCs w:val="28"/>
        </w:rPr>
        <w:t>同时供应商须提供《中小企业声明函》</w:t>
      </w:r>
      <w:r>
        <w:rPr>
          <w:rFonts w:hint="eastAsia" w:cs="新宋体" w:asciiTheme="minorEastAsia" w:hAnsiTheme="minorEastAsia"/>
          <w:sz w:val="28"/>
          <w:szCs w:val="28"/>
          <w:lang w:eastAsia="zh-CN"/>
        </w:rPr>
        <w:t>。</w:t>
      </w:r>
    </w:p>
    <w:p w14:paraId="3A0B1588">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二、供应商资格要求</w:t>
      </w:r>
    </w:p>
    <w:p w14:paraId="436A258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lang w:eastAsia="zh-CN"/>
        </w:rPr>
        <w:t>供应商参加本次政府采购活动必须符合《中华人民共和国政府采购法》第二十二条的规定并同时具备下列条件：</w:t>
      </w:r>
    </w:p>
    <w:p w14:paraId="2BAA5BF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lang w:val="en-US" w:eastAsia="zh-CN"/>
        </w:rPr>
        <w:t>1、</w:t>
      </w:r>
      <w:r>
        <w:rPr>
          <w:rFonts w:hint="eastAsia" w:cs="新宋体" w:asciiTheme="minorEastAsia" w:hAnsiTheme="minorEastAsia"/>
          <w:sz w:val="28"/>
          <w:szCs w:val="28"/>
        </w:rPr>
        <w:t>供应商须具有独立承担民事责任的能力，须提供有效的营业执照或其他证明材料；</w:t>
      </w:r>
    </w:p>
    <w:p w14:paraId="424C517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2、供应商须具有履行合同所必需的设备和专业技术服务能力（提供相关证明资料或承诺书，格式自拟）；</w:t>
      </w:r>
    </w:p>
    <w:p w14:paraId="210A2B20">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3、拟派项目负责人须为本单位正式员工，与投标单位签订劳动合同；</w:t>
      </w:r>
    </w:p>
    <w:p w14:paraId="5060BAD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4</w:t>
      </w:r>
      <w:r>
        <w:rPr>
          <w:rFonts w:hint="eastAsia" w:cs="新宋体" w:asciiTheme="minorEastAsia" w:hAnsiTheme="minorEastAsia"/>
          <w:sz w:val="28"/>
          <w:szCs w:val="28"/>
        </w:rPr>
        <w:t>、</w:t>
      </w:r>
      <w:r>
        <w:rPr>
          <w:rFonts w:hint="eastAsia" w:cs="新宋体" w:asciiTheme="minorEastAsia" w:hAnsiTheme="minorEastAsia"/>
          <w:sz w:val="28"/>
          <w:szCs w:val="28"/>
          <w:lang w:val="en-US" w:eastAsia="zh-CN"/>
        </w:rPr>
        <w:t>参加政府采购活动前3年内无行贿犯罪记录，供应商出具的无行贿犯罪记录在《中国裁判文书网》自行查询或自行承诺（查询/承诺对象：“企业、法定代表人、</w:t>
      </w:r>
      <w:r>
        <w:rPr>
          <w:rFonts w:hint="eastAsia" w:cs="新宋体" w:asciiTheme="minorEastAsia" w:hAnsiTheme="minorEastAsia"/>
          <w:sz w:val="28"/>
          <w:szCs w:val="28"/>
        </w:rPr>
        <w:t>项目负责人”）；</w:t>
      </w:r>
    </w:p>
    <w:p w14:paraId="70F6CCB9">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lang w:val="en-US" w:eastAsia="zh-CN"/>
        </w:rPr>
        <w:t>5</w:t>
      </w:r>
      <w:r>
        <w:rPr>
          <w:rFonts w:hint="eastAsia" w:cs="新宋体" w:asciiTheme="minorEastAsia" w:hAnsiTheme="minorEastAsia"/>
          <w:sz w:val="28"/>
          <w:szCs w:val="28"/>
        </w:rPr>
        <w:t>、参加政府采购活动前3年内无商业贿赂、不正当竞争行为、骗取中标、严重违约及重大工程质量等问题；</w:t>
      </w:r>
      <w:r>
        <w:rPr>
          <w:rFonts w:hint="eastAsia" w:cs="新宋体" w:asciiTheme="minorEastAsia" w:hAnsiTheme="minorEastAsia"/>
          <w:sz w:val="28"/>
          <w:szCs w:val="28"/>
          <w:lang w:eastAsia="zh-CN"/>
        </w:rPr>
        <w:t>提供企业注册地工商管理部门出具的无商业贿赂和不正当竞争行为的查询证明（若当地工商管理部门不办理此项业务，供应商须自行出具本企业无商业贿赂和不正当竞争行为承诺书）；</w:t>
      </w:r>
    </w:p>
    <w:p w14:paraId="52EF77B1">
      <w:pPr>
        <w:keepNext w:val="0"/>
        <w:keepLines w:val="0"/>
        <w:pageBreakBefore w:val="0"/>
        <w:widowControl w:val="0"/>
        <w:kinsoku/>
        <w:wordWrap w:val="0"/>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lang w:val="en-US" w:eastAsia="zh-CN"/>
        </w:rPr>
        <w:t>6</w:t>
      </w:r>
      <w:r>
        <w:rPr>
          <w:rFonts w:hint="eastAsia" w:cs="新宋体" w:asciiTheme="minorEastAsia" w:hAnsiTheme="minorEastAsia"/>
          <w:sz w:val="28"/>
          <w:szCs w:val="28"/>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w:t>
      </w:r>
      <w:r>
        <w:rPr>
          <w:rFonts w:hint="eastAsia" w:cs="新宋体" w:asciiTheme="minorEastAsia" w:hAnsiTheme="minorEastAsia"/>
          <w:sz w:val="28"/>
          <w:szCs w:val="28"/>
          <w:lang w:val="en-US" w:eastAsia="zh-CN"/>
        </w:rPr>
        <w:t>磋商</w:t>
      </w:r>
      <w:r>
        <w:rPr>
          <w:rFonts w:hint="eastAsia" w:cs="新宋体" w:asciiTheme="minorEastAsia" w:hAnsiTheme="minorEastAsia"/>
          <w:sz w:val="28"/>
          <w:szCs w:val="28"/>
        </w:rPr>
        <w:t>公告发布之后至开标截止时间之前，查询结果清晰可见</w:t>
      </w:r>
      <w:r>
        <w:rPr>
          <w:rFonts w:hint="eastAsia" w:cs="新宋体" w:asciiTheme="minorEastAsia" w:hAnsiTheme="minorEastAsia"/>
          <w:sz w:val="28"/>
          <w:szCs w:val="28"/>
          <w:lang w:eastAsia="zh-CN"/>
        </w:rPr>
        <w:t>；</w:t>
      </w:r>
    </w:p>
    <w:p w14:paraId="1B283D98">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lang w:val="en-US" w:eastAsia="zh-CN"/>
        </w:rPr>
        <w:t>7、</w:t>
      </w:r>
      <w:r>
        <w:rPr>
          <w:rFonts w:hint="eastAsia" w:cs="新宋体" w:asciiTheme="minorEastAsia" w:hAnsiTheme="minorEastAsia"/>
          <w:sz w:val="28"/>
          <w:szCs w:val="28"/>
        </w:rPr>
        <w:t>单位负责人为同一人或者存在控股、管理关系的不同单位，不得同时参加同一项目的投标（提供“国家企业信用信息公示系统”中公示的公司基础信息、股东或投资人信息，査询时间须是本项目</w:t>
      </w:r>
      <w:r>
        <w:rPr>
          <w:rFonts w:hint="eastAsia" w:cs="新宋体" w:asciiTheme="minorEastAsia" w:hAnsiTheme="minorEastAsia"/>
          <w:sz w:val="28"/>
          <w:szCs w:val="28"/>
          <w:lang w:val="en-US" w:eastAsia="zh-CN"/>
        </w:rPr>
        <w:t>磋商</w:t>
      </w:r>
      <w:r>
        <w:rPr>
          <w:rFonts w:hint="eastAsia" w:cs="新宋体" w:asciiTheme="minorEastAsia" w:hAnsiTheme="minorEastAsia"/>
          <w:sz w:val="28"/>
          <w:szCs w:val="28"/>
        </w:rPr>
        <w:t>公告发布之后至开标截止时间之前，查询结果清晰可见）</w:t>
      </w:r>
      <w:r>
        <w:rPr>
          <w:rFonts w:hint="eastAsia" w:cs="新宋体" w:asciiTheme="minorEastAsia" w:hAnsiTheme="minorEastAsia"/>
          <w:sz w:val="28"/>
          <w:szCs w:val="28"/>
          <w:lang w:eastAsia="zh-CN"/>
        </w:rPr>
        <w:t>；</w:t>
      </w:r>
    </w:p>
    <w:p w14:paraId="02264EF3">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8</w:t>
      </w:r>
      <w:r>
        <w:rPr>
          <w:rFonts w:hint="eastAsia" w:cs="新宋体" w:asciiTheme="minorEastAsia" w:hAnsiTheme="minorEastAsia"/>
          <w:sz w:val="28"/>
          <w:szCs w:val="28"/>
        </w:rPr>
        <w:t>、本项目不接受联合体</w:t>
      </w:r>
      <w:r>
        <w:rPr>
          <w:rFonts w:hint="eastAsia" w:cs="新宋体" w:asciiTheme="minorEastAsia" w:hAnsiTheme="minorEastAsia"/>
          <w:sz w:val="28"/>
          <w:szCs w:val="28"/>
          <w:lang w:val="en-US" w:eastAsia="zh-CN"/>
        </w:rPr>
        <w:t>磋商</w:t>
      </w:r>
      <w:r>
        <w:rPr>
          <w:rFonts w:hint="eastAsia" w:cs="新宋体" w:asciiTheme="minorEastAsia" w:hAnsiTheme="minorEastAsia"/>
          <w:sz w:val="28"/>
          <w:szCs w:val="28"/>
        </w:rPr>
        <w:t>；</w:t>
      </w:r>
    </w:p>
    <w:p w14:paraId="69AEF15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9</w:t>
      </w:r>
      <w:r>
        <w:rPr>
          <w:rFonts w:hint="eastAsia" w:cs="新宋体" w:asciiTheme="minorEastAsia" w:hAnsiTheme="minorEastAsia"/>
          <w:sz w:val="28"/>
          <w:szCs w:val="28"/>
        </w:rPr>
        <w:t>、本</w:t>
      </w:r>
      <w:r>
        <w:rPr>
          <w:rFonts w:hint="eastAsia" w:cs="新宋体" w:asciiTheme="minorEastAsia" w:hAnsiTheme="minorEastAsia"/>
          <w:sz w:val="28"/>
          <w:szCs w:val="28"/>
          <w:lang w:val="en-US" w:eastAsia="zh-CN"/>
        </w:rPr>
        <w:t>项目</w:t>
      </w:r>
      <w:r>
        <w:rPr>
          <w:rFonts w:hint="eastAsia" w:cs="新宋体" w:asciiTheme="minorEastAsia" w:hAnsiTheme="minorEastAsia"/>
          <w:sz w:val="28"/>
          <w:szCs w:val="28"/>
        </w:rPr>
        <w:t>实行资格后审；</w:t>
      </w:r>
    </w:p>
    <w:p w14:paraId="4590C15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val="en-US" w:eastAsia="zh-CN"/>
        </w:rPr>
      </w:pPr>
      <w:r>
        <w:rPr>
          <w:rFonts w:hint="eastAsia" w:cs="新宋体" w:asciiTheme="minorEastAsia" w:hAnsiTheme="minorEastAsia"/>
          <w:sz w:val="28"/>
          <w:szCs w:val="28"/>
          <w:highlight w:val="none"/>
          <w:lang w:val="en-US" w:eastAsia="zh-CN"/>
        </w:rPr>
        <w:t>10、</w:t>
      </w:r>
      <w:r>
        <w:rPr>
          <w:rFonts w:hint="eastAsia" w:cs="新宋体" w:asciiTheme="minorEastAsia" w:hAnsiTheme="minorEastAsia"/>
          <w:sz w:val="28"/>
          <w:szCs w:val="28"/>
          <w:highlight w:val="none"/>
        </w:rPr>
        <w:t>本</w:t>
      </w:r>
      <w:r>
        <w:rPr>
          <w:rFonts w:hint="eastAsia" w:cs="新宋体" w:asciiTheme="minorEastAsia" w:hAnsiTheme="minorEastAsia"/>
          <w:sz w:val="28"/>
          <w:szCs w:val="28"/>
          <w:highlight w:val="none"/>
          <w:lang w:val="en-US" w:eastAsia="zh-CN"/>
        </w:rPr>
        <w:t>项目不允许分包转包，如果在项目运行过程中，供应商出现项目分包转包的情况，采购人可以立即终止项目服务合同。</w:t>
      </w:r>
    </w:p>
    <w:p w14:paraId="662F299F">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rPr>
        <w:t>注：被列入失信被执行人、重大税收违法失信主体、政府采购严重违法失信行为记录名单的供应商做无效标处理。采购人或采购代理机构有权对供应商信用记录进行甄别和复查</w:t>
      </w:r>
      <w:r>
        <w:rPr>
          <w:rFonts w:hint="eastAsia" w:cs="新宋体" w:asciiTheme="minorEastAsia" w:hAnsiTheme="minorEastAsia"/>
          <w:sz w:val="28"/>
          <w:szCs w:val="28"/>
          <w:lang w:eastAsia="zh-CN"/>
        </w:rPr>
        <w:t>。</w:t>
      </w:r>
    </w:p>
    <w:p w14:paraId="553EEFE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三、竞争性磋商文件的获取</w:t>
      </w:r>
    </w:p>
    <w:p w14:paraId="28DC013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1、本项目没有报名环节，供应商凭CA数字证书通过三门峡市公共资源交易中心网（网址：http://gzjy.smx.gov.cn/），点击交易平台选择“交易主体登录”，在所参与项目右侧点击参与投标，即可直接下载本项目磋商文件；</w:t>
      </w:r>
    </w:p>
    <w:p w14:paraId="6F7E356E">
      <w:pPr>
        <w:keepNext w:val="0"/>
        <w:keepLines w:val="0"/>
        <w:pageBreakBefore w:val="0"/>
        <w:widowControl w:val="0"/>
        <w:kinsoku/>
        <w:wordWrap w:val="0"/>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办理CA证书：http://gzjy.smx.gov.cn/bzzx/008001/20211105/57b16af9-ab87-4395-a723-7758c628a3f8.html</w:t>
      </w:r>
    </w:p>
    <w:p w14:paraId="66A3B3B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rPr>
        <w:t>2、</w:t>
      </w:r>
      <w:r>
        <w:rPr>
          <w:rFonts w:hint="eastAsia" w:ascii="宋体" w:hAnsi="宋体"/>
          <w:color w:val="auto"/>
          <w:sz w:val="28"/>
          <w:szCs w:val="28"/>
          <w:highlight w:val="none"/>
          <w:shd w:val="clear" w:color="auto" w:fill="FFFFFF"/>
          <w:lang w:val="en-US" w:eastAsia="zh-CN"/>
        </w:rPr>
        <w:t>磋商</w:t>
      </w:r>
      <w:r>
        <w:rPr>
          <w:rFonts w:hint="eastAsia" w:cs="新宋体" w:asciiTheme="minorEastAsia" w:hAnsiTheme="minorEastAsia"/>
          <w:sz w:val="28"/>
          <w:szCs w:val="28"/>
        </w:rPr>
        <w:t>文件下载时间：</w:t>
      </w:r>
      <w:r>
        <w:rPr>
          <w:rFonts w:hint="eastAsia" w:cs="新宋体" w:asciiTheme="minorEastAsia" w:hAnsiTheme="minorEastAsia"/>
          <w:color w:val="000000" w:themeColor="text1"/>
          <w:sz w:val="28"/>
          <w:szCs w:val="28"/>
          <w:highlight w:val="none"/>
          <w14:textFill>
            <w14:solidFill>
              <w14:schemeClr w14:val="tx1"/>
            </w14:solidFill>
          </w14:textFill>
        </w:rPr>
        <w:t>202</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6</w:t>
      </w:r>
      <w:r>
        <w:rPr>
          <w:rFonts w:hint="eastAsia" w:cs="新宋体" w:asciiTheme="minorEastAsia" w:hAnsiTheme="minorEastAsia"/>
          <w:color w:val="000000" w:themeColor="text1"/>
          <w:sz w:val="28"/>
          <w:szCs w:val="28"/>
          <w:highlight w:val="none"/>
          <w14:textFill>
            <w14:solidFill>
              <w14:schemeClr w14:val="tx1"/>
            </w14:solidFill>
          </w14:textFill>
        </w:rPr>
        <w:t>年</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07</w:t>
      </w:r>
      <w:r>
        <w:rPr>
          <w:rFonts w:hint="eastAsia" w:cs="新宋体" w:asciiTheme="minorEastAsia" w:hAnsiTheme="minorEastAsia"/>
          <w:color w:val="000000" w:themeColor="text1"/>
          <w:sz w:val="28"/>
          <w:szCs w:val="28"/>
          <w:highlight w:val="none"/>
          <w14:textFill>
            <w14:solidFill>
              <w14:schemeClr w14:val="tx1"/>
            </w14:solidFill>
          </w14:textFill>
        </w:rPr>
        <w:t>月</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04</w:t>
      </w:r>
      <w:r>
        <w:rPr>
          <w:rFonts w:hint="eastAsia" w:cs="新宋体" w:asciiTheme="minorEastAsia" w:hAnsiTheme="minorEastAsia"/>
          <w:color w:val="000000" w:themeColor="text1"/>
          <w:sz w:val="28"/>
          <w:szCs w:val="28"/>
          <w:highlight w:val="none"/>
          <w14:textFill>
            <w14:solidFill>
              <w14:schemeClr w14:val="tx1"/>
            </w14:solidFill>
          </w14:textFill>
        </w:rPr>
        <w:t>日08时00分至</w:t>
      </w:r>
      <w:r>
        <w:rPr>
          <w:rFonts w:hint="eastAsia" w:cs="新宋体" w:asciiTheme="minorEastAsia" w:hAnsiTheme="minorEastAsia"/>
          <w:color w:val="000000" w:themeColor="text1"/>
          <w:sz w:val="28"/>
          <w:szCs w:val="28"/>
          <w:highlight w:val="none"/>
          <w:lang w:eastAsia="zh-CN"/>
          <w14:textFill>
            <w14:solidFill>
              <w14:schemeClr w14:val="tx1"/>
            </w14:solidFill>
          </w14:textFill>
        </w:rPr>
        <w:t>2026年0</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7</w:t>
      </w:r>
      <w:r>
        <w:rPr>
          <w:rFonts w:hint="eastAsia" w:cs="新宋体" w:asciiTheme="minorEastAsia" w:hAnsiTheme="minorEastAsia"/>
          <w:color w:val="000000" w:themeColor="text1"/>
          <w:sz w:val="28"/>
          <w:szCs w:val="28"/>
          <w:highlight w:val="none"/>
          <w:lang w:eastAsia="zh-CN"/>
          <w14:textFill>
            <w14:solidFill>
              <w14:schemeClr w14:val="tx1"/>
            </w14:solidFill>
          </w14:textFill>
        </w:rPr>
        <w:t>月</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15</w:t>
      </w:r>
      <w:r>
        <w:rPr>
          <w:rFonts w:hint="eastAsia" w:cs="新宋体" w:asciiTheme="minorEastAsia" w:hAnsiTheme="minorEastAsia"/>
          <w:color w:val="000000" w:themeColor="text1"/>
          <w:sz w:val="28"/>
          <w:szCs w:val="28"/>
          <w:highlight w:val="none"/>
          <w:lang w:eastAsia="zh-CN"/>
          <w14:textFill>
            <w14:solidFill>
              <w14:schemeClr w14:val="tx1"/>
            </w14:solidFill>
          </w14:textFill>
        </w:rPr>
        <w:t>日08时40分</w:t>
      </w:r>
      <w:r>
        <w:rPr>
          <w:rFonts w:hint="eastAsia" w:cs="新宋体" w:asciiTheme="minorEastAsia" w:hAnsiTheme="minorEastAsia"/>
          <w:color w:val="000000" w:themeColor="text1"/>
          <w:sz w:val="28"/>
          <w:szCs w:val="28"/>
          <w:highlight w:val="none"/>
          <w14:textFill>
            <w14:solidFill>
              <w14:schemeClr w14:val="tx1"/>
            </w14:solidFill>
          </w14:textFill>
        </w:rPr>
        <w:t>；</w:t>
      </w:r>
    </w:p>
    <w:p w14:paraId="76B024D2">
      <w:pPr>
        <w:keepNext w:val="0"/>
        <w:keepLines w:val="0"/>
        <w:pageBreakBefore w:val="0"/>
        <w:widowControl w:val="0"/>
        <w:kinsoku/>
        <w:wordWrap w:val="0"/>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3、本项目为不见面开标项目。开标当日，供应商无需到开标现场参加开标会议，供应商应当在开标截止时间前，登陆不见面开标大厅选择登陆三门峡市公共资源电子招投标系统进行登陆（网址为http://120.194.249.36:10094/BidOpening/bidopeninghallaction/hall/login）,在线准时参加开标活动并进行响应文件解密等。每位供应商的解密时间为开标时间起30分钟内完成。因供应商原因未能解密、解密失败或解密超时的将被拒绝；</w:t>
      </w:r>
    </w:p>
    <w:p w14:paraId="3645E960">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4、本项目为全电子招标，不再收取磋商文件费用。</w:t>
      </w:r>
    </w:p>
    <w:p w14:paraId="348F2DA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bookmarkStart w:id="8" w:name="_Toc12451"/>
      <w:r>
        <w:rPr>
          <w:rFonts w:hint="eastAsia" w:cs="新宋体" w:asciiTheme="minorEastAsia" w:hAnsiTheme="minorEastAsia"/>
          <w:sz w:val="28"/>
          <w:szCs w:val="28"/>
        </w:rPr>
        <w:t>四、磋商保证金</w:t>
      </w:r>
      <w:bookmarkEnd w:id="8"/>
    </w:p>
    <w:p w14:paraId="76C5C49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按照《河南省财政厅关于优化政府采购营商环境有关问题的通知》（豫财购[2019]4号文）的要求</w:t>
      </w:r>
      <w:r>
        <w:rPr>
          <w:rFonts w:hint="eastAsia" w:cs="新宋体" w:asciiTheme="minorEastAsia" w:hAnsiTheme="minorEastAsia"/>
          <w:sz w:val="28"/>
          <w:szCs w:val="28"/>
          <w:lang w:eastAsia="zh-CN"/>
        </w:rPr>
        <w:t>，</w:t>
      </w:r>
      <w:r>
        <w:rPr>
          <w:rFonts w:hint="eastAsia" w:cs="新宋体" w:asciiTheme="minorEastAsia" w:hAnsiTheme="minorEastAsia"/>
          <w:sz w:val="28"/>
          <w:szCs w:val="28"/>
        </w:rPr>
        <w:t>本项目不再收取磋商保证金。</w:t>
      </w:r>
    </w:p>
    <w:p w14:paraId="4D369CB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bookmarkStart w:id="9" w:name="_Toc13329"/>
      <w:r>
        <w:rPr>
          <w:rFonts w:hint="eastAsia" w:cs="新宋体" w:asciiTheme="minorEastAsia" w:hAnsiTheme="minorEastAsia"/>
          <w:sz w:val="28"/>
          <w:szCs w:val="28"/>
        </w:rPr>
        <w:t>五、供应商资料的提交</w:t>
      </w:r>
      <w:bookmarkEnd w:id="9"/>
    </w:p>
    <w:p w14:paraId="6290A892">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本项目实行资格后审，审查内容以开标截止时间前在三门峡市公共资源交易系统上传的响应文件的信息为准。其上传资料真实性由供应商自行承担，同时，供应商需要完善主体库信息。否则，由此造成应得分而未得分或资格审查不合格等情况的，由供应商自行承担责任。</w:t>
      </w:r>
    </w:p>
    <w:p w14:paraId="67A1DCD3">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highlight w:val="none"/>
        </w:rPr>
        <w:t>六、响应文件的递交截止时间及开评标地点</w:t>
      </w:r>
    </w:p>
    <w:p w14:paraId="00A5D4D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highlight w:val="none"/>
        </w:rPr>
        <w:t>1、</w:t>
      </w:r>
      <w:r>
        <w:rPr>
          <w:rFonts w:hint="eastAsia" w:cs="新宋体" w:asciiTheme="minorEastAsia" w:hAnsiTheme="minorEastAsia"/>
          <w:sz w:val="28"/>
          <w:szCs w:val="28"/>
          <w:highlight w:val="none"/>
          <w:lang w:val="en-US" w:eastAsia="zh-CN"/>
        </w:rPr>
        <w:t>响应</w:t>
      </w:r>
      <w:r>
        <w:rPr>
          <w:rFonts w:hint="eastAsia" w:cs="新宋体" w:asciiTheme="minorEastAsia" w:hAnsiTheme="minorEastAsia"/>
          <w:sz w:val="28"/>
          <w:szCs w:val="28"/>
          <w:highlight w:val="none"/>
        </w:rPr>
        <w:t>文件递交的截止时间（开标时间）</w:t>
      </w:r>
      <w:r>
        <w:rPr>
          <w:rFonts w:hint="eastAsia" w:cs="新宋体" w:asciiTheme="minorEastAsia" w:hAnsiTheme="minorEastAsia"/>
          <w:sz w:val="28"/>
          <w:szCs w:val="28"/>
          <w:highlight w:val="none"/>
          <w:lang w:val="en-US" w:eastAsia="zh-CN"/>
        </w:rPr>
        <w:t>为</w:t>
      </w:r>
      <w:r>
        <w:rPr>
          <w:rFonts w:hint="eastAsia" w:cs="新宋体" w:asciiTheme="minorEastAsia" w:hAnsiTheme="minorEastAsia"/>
          <w:sz w:val="28"/>
          <w:szCs w:val="28"/>
          <w:highlight w:val="none"/>
        </w:rPr>
        <w:t>：</w:t>
      </w:r>
      <w:r>
        <w:rPr>
          <w:rFonts w:hint="eastAsia" w:cs="新宋体" w:asciiTheme="minorEastAsia" w:hAnsiTheme="minorEastAsia"/>
          <w:sz w:val="28"/>
          <w:szCs w:val="28"/>
          <w:highlight w:val="none"/>
          <w:lang w:eastAsia="zh-CN"/>
        </w:rPr>
        <w:t>2026年0</w:t>
      </w:r>
      <w:r>
        <w:rPr>
          <w:rFonts w:hint="eastAsia" w:cs="新宋体" w:asciiTheme="minorEastAsia" w:hAnsiTheme="minorEastAsia"/>
          <w:sz w:val="28"/>
          <w:szCs w:val="28"/>
          <w:highlight w:val="none"/>
          <w:lang w:val="en-US" w:eastAsia="zh-CN"/>
        </w:rPr>
        <w:t>7</w:t>
      </w:r>
      <w:r>
        <w:rPr>
          <w:rFonts w:hint="eastAsia" w:cs="新宋体" w:asciiTheme="minorEastAsia" w:hAnsiTheme="minorEastAsia"/>
          <w:sz w:val="28"/>
          <w:szCs w:val="28"/>
          <w:highlight w:val="none"/>
          <w:lang w:eastAsia="zh-CN"/>
        </w:rPr>
        <w:t>月</w:t>
      </w:r>
      <w:r>
        <w:rPr>
          <w:rFonts w:hint="eastAsia" w:cs="新宋体" w:asciiTheme="minorEastAsia" w:hAnsiTheme="minorEastAsia"/>
          <w:sz w:val="28"/>
          <w:szCs w:val="28"/>
          <w:highlight w:val="none"/>
          <w:lang w:val="en-US" w:eastAsia="zh-CN"/>
        </w:rPr>
        <w:t>15</w:t>
      </w:r>
      <w:r>
        <w:rPr>
          <w:rFonts w:hint="eastAsia" w:cs="新宋体" w:asciiTheme="minorEastAsia" w:hAnsiTheme="minorEastAsia"/>
          <w:sz w:val="28"/>
          <w:szCs w:val="28"/>
          <w:highlight w:val="none"/>
          <w:lang w:eastAsia="zh-CN"/>
        </w:rPr>
        <w:t>日08时40分</w:t>
      </w:r>
      <w:r>
        <w:rPr>
          <w:rFonts w:hint="eastAsia" w:cs="新宋体" w:asciiTheme="minorEastAsia" w:hAnsiTheme="minorEastAsia"/>
          <w:sz w:val="28"/>
          <w:szCs w:val="28"/>
          <w:highlight w:val="none"/>
        </w:rPr>
        <w:t>；</w:t>
      </w:r>
    </w:p>
    <w:p w14:paraId="339AE42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color w:val="000000" w:themeColor="text1"/>
          <w:sz w:val="28"/>
          <w:szCs w:val="28"/>
          <w:highlight w:val="none"/>
          <w14:textFill>
            <w14:solidFill>
              <w14:schemeClr w14:val="tx1"/>
            </w14:solidFill>
          </w14:textFill>
        </w:rPr>
      </w:pPr>
      <w:r>
        <w:rPr>
          <w:rFonts w:hint="eastAsia" w:cs="新宋体" w:asciiTheme="minorEastAsia" w:hAnsiTheme="minorEastAsia"/>
          <w:sz w:val="28"/>
          <w:szCs w:val="28"/>
          <w:highlight w:val="none"/>
        </w:rPr>
        <w:t>2、开标地点：卢氏县公共资源交易中心四楼</w:t>
      </w:r>
      <w:r>
        <w:rPr>
          <w:rFonts w:hint="eastAsia" w:cs="新宋体" w:asciiTheme="minorEastAsia" w:hAnsiTheme="minorEastAsia"/>
          <w:color w:val="000000" w:themeColor="text1"/>
          <w:sz w:val="28"/>
          <w:szCs w:val="28"/>
          <w:highlight w:val="none"/>
          <w14:textFill>
            <w14:solidFill>
              <w14:schemeClr w14:val="tx1"/>
            </w14:solidFill>
          </w14:textFill>
        </w:rPr>
        <w:t>第</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一</w:t>
      </w:r>
      <w:r>
        <w:rPr>
          <w:rFonts w:hint="eastAsia" w:cs="新宋体" w:asciiTheme="minorEastAsia" w:hAnsiTheme="minorEastAsia"/>
          <w:color w:val="000000" w:themeColor="text1"/>
          <w:sz w:val="28"/>
          <w:szCs w:val="28"/>
          <w:highlight w:val="none"/>
          <w14:textFill>
            <w14:solidFill>
              <w14:schemeClr w14:val="tx1"/>
            </w14:solidFill>
          </w14:textFill>
        </w:rPr>
        <w:t>开标室；</w:t>
      </w:r>
    </w:p>
    <w:p w14:paraId="5D94B83F">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highlight w:val="none"/>
          <w:lang w:eastAsia="zh-CN"/>
        </w:rPr>
      </w:pPr>
      <w:r>
        <w:rPr>
          <w:rFonts w:hint="eastAsia" w:cs="新宋体" w:asciiTheme="minorEastAsia" w:hAnsiTheme="minorEastAsia"/>
          <w:color w:val="000000" w:themeColor="text1"/>
          <w:sz w:val="28"/>
          <w:szCs w:val="28"/>
          <w:highlight w:val="none"/>
          <w14:textFill>
            <w14:solidFill>
              <w14:schemeClr w14:val="tx1"/>
            </w14:solidFill>
          </w14:textFill>
        </w:rPr>
        <w:t>3、评标地点：卢氏县公共资源交易中心二楼第</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一</w:t>
      </w:r>
      <w:r>
        <w:rPr>
          <w:rFonts w:hint="eastAsia" w:cs="新宋体" w:asciiTheme="minorEastAsia" w:hAnsiTheme="minorEastAsia"/>
          <w:color w:val="000000" w:themeColor="text1"/>
          <w:sz w:val="28"/>
          <w:szCs w:val="28"/>
          <w:highlight w:val="none"/>
          <w14:textFill>
            <w14:solidFill>
              <w14:schemeClr w14:val="tx1"/>
            </w14:solidFill>
          </w14:textFill>
        </w:rPr>
        <w:t>评</w:t>
      </w:r>
      <w:r>
        <w:rPr>
          <w:rFonts w:hint="eastAsia" w:cs="新宋体" w:asciiTheme="minorEastAsia" w:hAnsiTheme="minorEastAsia"/>
          <w:sz w:val="28"/>
          <w:szCs w:val="28"/>
          <w:highlight w:val="none"/>
        </w:rPr>
        <w:t>标室</w:t>
      </w:r>
      <w:r>
        <w:rPr>
          <w:rFonts w:hint="eastAsia" w:cs="新宋体" w:asciiTheme="minorEastAsia" w:hAnsiTheme="minorEastAsia"/>
          <w:sz w:val="28"/>
          <w:szCs w:val="28"/>
          <w:highlight w:val="none"/>
          <w:lang w:eastAsia="zh-CN"/>
        </w:rPr>
        <w:t>。</w:t>
      </w:r>
    </w:p>
    <w:p w14:paraId="5D7B89F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七、其他事项</w:t>
      </w:r>
    </w:p>
    <w:p w14:paraId="15E8785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0"/>
        <w:rPr>
          <w:rFonts w:hint="eastAsia" w:ascii="宋体" w:hAnsi="宋体" w:cs="宋体"/>
          <w:kern w:val="2"/>
          <w:sz w:val="28"/>
          <w:szCs w:val="28"/>
        </w:rPr>
      </w:pPr>
      <w:bookmarkStart w:id="10" w:name="_Toc11450"/>
      <w:bookmarkStart w:id="11" w:name="_Toc30380"/>
      <w:r>
        <w:rPr>
          <w:rFonts w:hint="eastAsia" w:ascii="宋体" w:hAnsi="宋体" w:cs="宋体"/>
          <w:kern w:val="2"/>
          <w:sz w:val="28"/>
          <w:szCs w:val="28"/>
        </w:rPr>
        <w:t>1、</w:t>
      </w:r>
      <w:r>
        <w:rPr>
          <w:rFonts w:hint="eastAsia" w:ascii="宋体" w:hAnsi="宋体" w:eastAsia="宋体" w:cs="宋体"/>
          <w:color w:val="auto"/>
          <w:kern w:val="0"/>
          <w:sz w:val="28"/>
          <w:szCs w:val="28"/>
        </w:rPr>
        <w:t>供应商应仔细阅读操作手册，在本公告中要求的截止时间前完成磋商文件下载等工作。并充分考虑人为操作和时间等因素，因供应商操作不当等问题造成的无法报名、无法下载磋商文件、无法</w:t>
      </w:r>
      <w:r>
        <w:rPr>
          <w:rFonts w:hint="eastAsia" w:ascii="宋体" w:hAnsi="宋体" w:cs="宋体"/>
          <w:color w:val="auto"/>
          <w:kern w:val="0"/>
          <w:sz w:val="28"/>
          <w:szCs w:val="28"/>
          <w:lang w:val="en-US" w:eastAsia="zh-CN"/>
        </w:rPr>
        <w:t>投</w:t>
      </w:r>
      <w:r>
        <w:rPr>
          <w:rFonts w:hint="eastAsia" w:ascii="宋体" w:hAnsi="宋体" w:eastAsia="宋体" w:cs="宋体"/>
          <w:color w:val="auto"/>
          <w:kern w:val="0"/>
          <w:sz w:val="28"/>
          <w:szCs w:val="28"/>
        </w:rPr>
        <w:t>标等一切后果，由供应商自行承担</w:t>
      </w:r>
      <w:r>
        <w:rPr>
          <w:rFonts w:hint="eastAsia" w:ascii="宋体" w:hAnsi="宋体" w:cs="宋体"/>
          <w:kern w:val="2"/>
          <w:sz w:val="28"/>
          <w:szCs w:val="28"/>
        </w:rPr>
        <w:t>；</w:t>
      </w:r>
      <w:bookmarkEnd w:id="10"/>
      <w:bookmarkEnd w:id="11"/>
    </w:p>
    <w:p w14:paraId="1AF6921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0"/>
        <w:rPr>
          <w:rFonts w:hint="eastAsia" w:ascii="宋体" w:hAnsi="宋体" w:cs="宋体"/>
          <w:kern w:val="2"/>
          <w:sz w:val="28"/>
          <w:szCs w:val="28"/>
          <w:lang w:val="en-US" w:eastAsia="zh-CN"/>
        </w:rPr>
      </w:pPr>
      <w:bookmarkStart w:id="12" w:name="_Toc29822"/>
      <w:bookmarkStart w:id="13" w:name="_Toc6753"/>
      <w:r>
        <w:rPr>
          <w:rFonts w:hint="eastAsia" w:ascii="宋体" w:hAnsi="宋体" w:cs="宋体"/>
          <w:kern w:val="2"/>
          <w:sz w:val="28"/>
          <w:szCs w:val="28"/>
        </w:rPr>
        <w:t>2、</w:t>
      </w:r>
      <w:bookmarkEnd w:id="12"/>
      <w:bookmarkEnd w:id="13"/>
      <w:bookmarkStart w:id="14" w:name="_Toc21668"/>
      <w:bookmarkStart w:id="15" w:name="_Toc5715"/>
      <w:r>
        <w:rPr>
          <w:rFonts w:hint="eastAsia" w:ascii="宋体" w:hAnsi="宋体" w:cs="宋体"/>
          <w:kern w:val="2"/>
          <w:sz w:val="28"/>
          <w:szCs w:val="28"/>
          <w:lang w:eastAsia="zh-CN"/>
        </w:rPr>
        <w:t>投</w:t>
      </w:r>
      <w:r>
        <w:rPr>
          <w:rFonts w:hint="eastAsia" w:ascii="宋体" w:hAnsi="宋体" w:cs="宋体"/>
          <w:kern w:val="2"/>
          <w:sz w:val="28"/>
          <w:szCs w:val="28"/>
        </w:rPr>
        <w:t>标所发生的一切费用由各供应商自行承担，并承担相应的风险和责任</w:t>
      </w:r>
      <w:r>
        <w:rPr>
          <w:rFonts w:hint="eastAsia" w:ascii="宋体" w:hAnsi="宋体" w:cs="宋体"/>
          <w:kern w:val="2"/>
          <w:sz w:val="28"/>
          <w:szCs w:val="28"/>
          <w:lang w:val="en-US" w:eastAsia="zh-CN"/>
        </w:rPr>
        <w:t>；</w:t>
      </w:r>
      <w:bookmarkEnd w:id="14"/>
      <w:bookmarkEnd w:id="15"/>
      <w:r>
        <w:rPr>
          <w:rFonts w:hint="eastAsia" w:ascii="宋体" w:hAnsi="宋体" w:cs="宋体"/>
          <w:kern w:val="2"/>
          <w:sz w:val="28"/>
          <w:szCs w:val="28"/>
          <w:lang w:val="en-US" w:eastAsia="zh-CN"/>
        </w:rPr>
        <w:t xml:space="preserve"> </w:t>
      </w:r>
    </w:p>
    <w:p w14:paraId="1700676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eastAsia="zh-CN"/>
        </w:rPr>
      </w:pPr>
      <w:bookmarkStart w:id="16" w:name="_Toc7955"/>
      <w:bookmarkStart w:id="17" w:name="_Toc7545"/>
      <w:r>
        <w:rPr>
          <w:rFonts w:hint="eastAsia" w:ascii="宋体" w:hAnsi="宋体" w:cs="宋体"/>
          <w:kern w:val="2"/>
          <w:sz w:val="28"/>
          <w:szCs w:val="28"/>
        </w:rPr>
        <w:t>3、供应商递交的响应文件不论中标与否均不予退还</w:t>
      </w:r>
      <w:bookmarkEnd w:id="16"/>
      <w:bookmarkEnd w:id="17"/>
      <w:r>
        <w:rPr>
          <w:rFonts w:hint="eastAsia" w:cs="新宋体" w:asciiTheme="minorEastAsia" w:hAnsiTheme="minorEastAsia"/>
          <w:sz w:val="28"/>
          <w:szCs w:val="28"/>
          <w:lang w:eastAsia="zh-CN"/>
        </w:rPr>
        <w:t>。</w:t>
      </w:r>
    </w:p>
    <w:p w14:paraId="22FA7A7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温馨提示：本项目为电子化、无纸化交易项目，开标时不再接受任何纸质资料，为保证您能开标成功，请需仔细阅读磋商文件和三门峡市公共资源交易中心官网业务办理指南。</w:t>
      </w:r>
    </w:p>
    <w:p w14:paraId="6D39860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八、发布公告的媒介</w:t>
      </w:r>
    </w:p>
    <w:p w14:paraId="57F7C88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本次磋商公告同时在《河南省政府采购网》、《三门峡市公共资源交易中心网》</w:t>
      </w:r>
      <w:r>
        <w:rPr>
          <w:rFonts w:hint="eastAsia" w:cs="新宋体" w:asciiTheme="minorEastAsia" w:hAnsiTheme="minorEastAsia"/>
          <w:sz w:val="28"/>
          <w:szCs w:val="28"/>
          <w:lang w:eastAsia="zh-CN"/>
        </w:rPr>
        <w:t>、</w:t>
      </w:r>
      <w:r>
        <w:rPr>
          <w:rFonts w:hint="eastAsia" w:cs="新宋体" w:asciiTheme="minorEastAsia" w:hAnsiTheme="minorEastAsia"/>
          <w:sz w:val="28"/>
          <w:szCs w:val="28"/>
          <w:lang w:val="en-US" w:eastAsia="zh-CN"/>
        </w:rPr>
        <w:t>《中国招标投标公共服务平台》</w:t>
      </w:r>
      <w:r>
        <w:rPr>
          <w:rFonts w:hint="eastAsia" w:cs="新宋体" w:asciiTheme="minorEastAsia" w:hAnsiTheme="minorEastAsia"/>
          <w:sz w:val="28"/>
          <w:szCs w:val="28"/>
        </w:rPr>
        <w:t>发布。</w:t>
      </w:r>
    </w:p>
    <w:p w14:paraId="48265BB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九、联系方式</w:t>
      </w:r>
    </w:p>
    <w:p w14:paraId="7BEFF58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监督单位：卢氏县政府采购办公室</w:t>
      </w:r>
    </w:p>
    <w:p w14:paraId="45B92169">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联系人：郭亚楠</w:t>
      </w:r>
    </w:p>
    <w:p w14:paraId="3626C0A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lang w:val="en-US" w:eastAsia="zh-CN"/>
        </w:rPr>
        <w:t>联系方式：</w:t>
      </w:r>
      <w:r>
        <w:rPr>
          <w:rFonts w:hint="eastAsia" w:cs="新宋体" w:asciiTheme="minorEastAsia" w:hAnsiTheme="minorEastAsia"/>
          <w:sz w:val="28"/>
          <w:szCs w:val="28"/>
        </w:rPr>
        <w:t xml:space="preserve">0398-7863556 </w:t>
      </w:r>
    </w:p>
    <w:p w14:paraId="7B49BB4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地址：卢氏县城关镇解放路中段</w:t>
      </w:r>
    </w:p>
    <w:p w14:paraId="24FE8D0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lang w:val="en-US" w:eastAsia="zh-CN"/>
        </w:rPr>
      </w:pPr>
      <w:r>
        <w:rPr>
          <w:rFonts w:hint="eastAsia" w:cs="新宋体" w:asciiTheme="minorEastAsia" w:hAnsiTheme="minorEastAsia"/>
          <w:sz w:val="28"/>
          <w:szCs w:val="28"/>
        </w:rPr>
        <w:t>监督单位：</w:t>
      </w:r>
      <w:r>
        <w:rPr>
          <w:rFonts w:hint="eastAsia" w:cs="新宋体" w:asciiTheme="minorEastAsia" w:hAnsiTheme="minorEastAsia"/>
          <w:sz w:val="28"/>
          <w:szCs w:val="28"/>
          <w:lang w:val="en-US" w:eastAsia="zh-CN"/>
        </w:rPr>
        <w:t>卢氏县城市管理局</w:t>
      </w:r>
    </w:p>
    <w:p w14:paraId="55858B79">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highlight w:val="none"/>
          <w:lang w:val="en-US"/>
        </w:rPr>
      </w:pPr>
      <w:r>
        <w:rPr>
          <w:rFonts w:hint="eastAsia" w:cs="新宋体" w:asciiTheme="minorEastAsia" w:hAnsiTheme="minorEastAsia"/>
          <w:sz w:val="28"/>
          <w:szCs w:val="28"/>
          <w:highlight w:val="none"/>
          <w:lang w:val="en-US" w:eastAsia="zh-CN"/>
        </w:rPr>
        <w:t>联系人：刘章军</w:t>
      </w:r>
    </w:p>
    <w:p w14:paraId="740F656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highlight w:val="none"/>
          <w:lang w:val="en-US"/>
        </w:rPr>
      </w:pPr>
      <w:r>
        <w:rPr>
          <w:rFonts w:hint="eastAsia" w:cs="新宋体" w:asciiTheme="minorEastAsia" w:hAnsiTheme="minorEastAsia"/>
          <w:sz w:val="28"/>
          <w:szCs w:val="28"/>
          <w:highlight w:val="none"/>
          <w:lang w:val="en-US" w:eastAsia="zh-CN"/>
        </w:rPr>
        <w:t>联系方式：13839878721、0398-2157659</w:t>
      </w:r>
    </w:p>
    <w:p w14:paraId="3419DB22">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地址：</w:t>
      </w:r>
      <w:r>
        <w:rPr>
          <w:rFonts w:hint="eastAsia" w:cs="新宋体" w:asciiTheme="minorEastAsia" w:hAnsiTheme="minorEastAsia"/>
          <w:sz w:val="28"/>
          <w:szCs w:val="28"/>
          <w:lang w:val="en-US" w:eastAsia="zh-CN"/>
        </w:rPr>
        <w:t>卢氏县东明路与解放路交叉口东北100米</w:t>
      </w:r>
    </w:p>
    <w:bookmarkEnd w:id="5"/>
    <w:bookmarkEnd w:id="6"/>
    <w:bookmarkEnd w:id="7"/>
    <w:p w14:paraId="31E5EB63">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bookmarkStart w:id="18" w:name="_Toc8203"/>
      <w:r>
        <w:rPr>
          <w:rFonts w:hint="eastAsia" w:cs="新宋体" w:asciiTheme="minorEastAsia" w:hAnsiTheme="minorEastAsia"/>
          <w:sz w:val="28"/>
          <w:szCs w:val="28"/>
          <w:lang w:val="en-US" w:eastAsia="zh-CN"/>
        </w:rPr>
        <w:t>采购人：卢氏县城市管理局</w:t>
      </w:r>
    </w:p>
    <w:p w14:paraId="465616C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联系人：范秋阁</w:t>
      </w:r>
    </w:p>
    <w:p w14:paraId="3F55D5CB">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联系方式：0398-2157667</w:t>
      </w:r>
    </w:p>
    <w:p w14:paraId="25F31DE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地址：卢氏县东明路与解放路交叉口东北100米</w:t>
      </w:r>
    </w:p>
    <w:p w14:paraId="77870FC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代理机构：恒恺工程管理咨询有限公司</w:t>
      </w:r>
    </w:p>
    <w:p w14:paraId="2098DC3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联系人：张伟</w:t>
      </w:r>
    </w:p>
    <w:p w14:paraId="3A7AE8F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联系方式：18739829026、17329132999</w:t>
      </w:r>
    </w:p>
    <w:p w14:paraId="066DB080">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lang w:val="en-US" w:eastAsia="zh-CN"/>
        </w:rPr>
        <w:t>地址：河南自贸试验区郑州片区(郑东)和谐路与福禄路海赋国际19层1927号</w:t>
      </w:r>
    </w:p>
    <w:p w14:paraId="35AA70A1">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65B4F735">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4CC0B58A">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0D94F3B7">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068DE46B">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3ECF89E3">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1F331CC9">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69C128D4">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4E12CA2B">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4FE808CA">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33947871">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5D75320E">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1456316C">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2392128C">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087D6E65">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60B8E427">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2BF8FA2B">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29E8F43D">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43049D3C">
      <w:pPr>
        <w:keepNext w:val="0"/>
        <w:keepLines w:val="0"/>
        <w:pageBreakBefore w:val="0"/>
        <w:widowControl w:val="0"/>
        <w:kinsoku/>
        <w:overflowPunct/>
        <w:autoSpaceDE/>
        <w:autoSpaceDN/>
        <w:bidi w:val="0"/>
        <w:adjustRightInd/>
        <w:snapToGrid/>
        <w:spacing w:line="600" w:lineRule="exact"/>
        <w:jc w:val="both"/>
        <w:textAlignment w:val="auto"/>
        <w:outlineLvl w:val="0"/>
        <w:rPr>
          <w:rFonts w:hint="eastAsia" w:ascii="宋体" w:hAnsi="宋体" w:eastAsia="宋体" w:cs="Times New Roman"/>
          <w:b/>
          <w:bCs/>
          <w:sz w:val="32"/>
          <w:szCs w:val="32"/>
        </w:rPr>
      </w:pPr>
    </w:p>
    <w:p w14:paraId="5904142D">
      <w:pPr>
        <w:keepNext w:val="0"/>
        <w:keepLines w:val="0"/>
        <w:pageBreakBefore w:val="0"/>
        <w:widowControl w:val="0"/>
        <w:kinsoku/>
        <w:overflowPunct/>
        <w:autoSpaceDE/>
        <w:autoSpaceDN/>
        <w:bidi w:val="0"/>
        <w:adjustRightInd/>
        <w:snapToGrid/>
        <w:spacing w:line="600" w:lineRule="exact"/>
        <w:jc w:val="center"/>
        <w:textAlignment w:val="auto"/>
        <w:outlineLvl w:val="0"/>
        <w:rPr>
          <w:rFonts w:ascii="宋体" w:hAnsi="宋体" w:eastAsia="宋体" w:cs="Times New Roman"/>
          <w:b/>
          <w:bCs/>
          <w:sz w:val="32"/>
          <w:szCs w:val="32"/>
        </w:rPr>
      </w:pPr>
      <w:r>
        <w:rPr>
          <w:rFonts w:hint="eastAsia" w:ascii="宋体" w:hAnsi="宋体" w:eastAsia="宋体" w:cs="Times New Roman"/>
          <w:b/>
          <w:bCs/>
          <w:sz w:val="32"/>
          <w:szCs w:val="32"/>
        </w:rPr>
        <w:t>第二章   供应商须知</w:t>
      </w:r>
      <w:bookmarkEnd w:id="18"/>
    </w:p>
    <w:p w14:paraId="3BB6B7CE">
      <w:pPr>
        <w:keepNext w:val="0"/>
        <w:keepLines w:val="0"/>
        <w:pageBreakBefore w:val="0"/>
        <w:widowControl w:val="0"/>
        <w:kinsoku/>
        <w:wordWrap w:val="0"/>
        <w:overflowPunct/>
        <w:topLinePunct/>
        <w:autoSpaceDE/>
        <w:autoSpaceDN/>
        <w:bidi w:val="0"/>
        <w:adjustRightInd/>
        <w:snapToGrid/>
        <w:spacing w:line="600" w:lineRule="exact"/>
        <w:jc w:val="center"/>
        <w:textAlignment w:val="auto"/>
        <w:rPr>
          <w:rFonts w:ascii="宋体" w:hAnsi="宋体" w:eastAsia="宋体" w:cs="宋体"/>
          <w:b/>
          <w:bCs/>
          <w:sz w:val="30"/>
          <w:szCs w:val="30"/>
        </w:rPr>
      </w:pPr>
      <w:r>
        <w:rPr>
          <w:rFonts w:hint="eastAsia" w:ascii="宋体" w:hAnsi="宋体" w:eastAsia="宋体" w:cs="宋体"/>
          <w:b/>
          <w:bCs/>
          <w:sz w:val="30"/>
          <w:szCs w:val="30"/>
        </w:rPr>
        <w:t>供应商须知前附表</w:t>
      </w:r>
    </w:p>
    <w:tbl>
      <w:tblPr>
        <w:tblStyle w:val="15"/>
        <w:tblW w:w="9359" w:type="dxa"/>
        <w:jc w:val="center"/>
        <w:tblLayout w:type="fixed"/>
        <w:tblCellMar>
          <w:top w:w="0" w:type="dxa"/>
          <w:left w:w="108" w:type="dxa"/>
          <w:bottom w:w="0" w:type="dxa"/>
          <w:right w:w="108" w:type="dxa"/>
        </w:tblCellMar>
      </w:tblPr>
      <w:tblGrid>
        <w:gridCol w:w="728"/>
        <w:gridCol w:w="1986"/>
        <w:gridCol w:w="6645"/>
      </w:tblGrid>
      <w:tr w14:paraId="1367B825">
        <w:tblPrEx>
          <w:tblCellMar>
            <w:top w:w="0" w:type="dxa"/>
            <w:left w:w="108" w:type="dxa"/>
            <w:bottom w:w="0" w:type="dxa"/>
            <w:right w:w="108" w:type="dxa"/>
          </w:tblCellMar>
        </w:tblPrEx>
        <w:trPr>
          <w:cantSplit/>
          <w:trHeight w:val="697" w:hRule="atLeast"/>
          <w:jc w:val="center"/>
        </w:trPr>
        <w:tc>
          <w:tcPr>
            <w:tcW w:w="728" w:type="dxa"/>
            <w:tcBorders>
              <w:top w:val="single" w:color="auto" w:sz="12" w:space="0"/>
              <w:left w:val="single" w:color="auto" w:sz="12" w:space="0"/>
              <w:bottom w:val="single" w:color="auto" w:sz="6" w:space="0"/>
              <w:right w:val="single" w:color="auto" w:sz="6" w:space="0"/>
            </w:tcBorders>
            <w:noWrap w:val="0"/>
            <w:vAlign w:val="center"/>
          </w:tcPr>
          <w:p w14:paraId="750901D1">
            <w:pPr>
              <w:keepNext w:val="0"/>
              <w:keepLines w:val="0"/>
              <w:pageBreakBefore w:val="0"/>
              <w:widowControl w:val="0"/>
              <w:kinsoku/>
              <w:wordWrap w:val="0"/>
              <w:overflowPunct/>
              <w:topLinePunct/>
              <w:autoSpaceDE/>
              <w:autoSpaceDN/>
              <w:bidi w:val="0"/>
              <w:adjustRightInd w:val="0"/>
              <w:snapToGrid/>
              <w:spacing w:line="400" w:lineRule="exact"/>
              <w:ind w:left="3" w:hanging="2" w:hangingChars="1"/>
              <w:jc w:val="center"/>
              <w:textAlignment w:val="auto"/>
              <w:rPr>
                <w:rFonts w:ascii="宋体" w:hAnsi="宋体" w:cs="宋体"/>
                <w:spacing w:val="6"/>
                <w:sz w:val="24"/>
                <w:szCs w:val="24"/>
              </w:rPr>
            </w:pPr>
            <w:bookmarkStart w:id="19" w:name="_Toc23306"/>
            <w:bookmarkEnd w:id="19"/>
            <w:bookmarkStart w:id="20" w:name="_Toc27425"/>
            <w:bookmarkEnd w:id="20"/>
            <w:r>
              <w:rPr>
                <w:rFonts w:ascii="宋体" w:hAnsi="宋体" w:cs="宋体"/>
                <w:spacing w:val="6"/>
                <w:sz w:val="24"/>
                <w:szCs w:val="24"/>
              </w:rPr>
              <w:t>条款</w:t>
            </w:r>
          </w:p>
        </w:tc>
        <w:tc>
          <w:tcPr>
            <w:tcW w:w="1986" w:type="dxa"/>
            <w:tcBorders>
              <w:top w:val="single" w:color="auto" w:sz="12" w:space="0"/>
              <w:left w:val="single" w:color="auto" w:sz="6" w:space="0"/>
              <w:bottom w:val="single" w:color="auto" w:sz="6" w:space="0"/>
              <w:right w:val="single" w:color="auto" w:sz="6" w:space="0"/>
            </w:tcBorders>
            <w:noWrap w:val="0"/>
            <w:vAlign w:val="center"/>
          </w:tcPr>
          <w:p w14:paraId="55587ACC">
            <w:pPr>
              <w:keepNext w:val="0"/>
              <w:keepLines w:val="0"/>
              <w:pageBreakBefore w:val="0"/>
              <w:widowControl w:val="0"/>
              <w:kinsoku/>
              <w:wordWrap w:val="0"/>
              <w:overflowPunct/>
              <w:topLinePunct/>
              <w:autoSpaceDE/>
              <w:autoSpaceDN/>
              <w:bidi w:val="0"/>
              <w:adjustRightInd w:val="0"/>
              <w:snapToGrid/>
              <w:spacing w:line="400" w:lineRule="exact"/>
              <w:ind w:left="3" w:hanging="2" w:hangingChars="1"/>
              <w:jc w:val="center"/>
              <w:textAlignment w:val="auto"/>
              <w:rPr>
                <w:rFonts w:ascii="宋体" w:hAnsi="宋体" w:cs="宋体"/>
                <w:spacing w:val="6"/>
                <w:sz w:val="24"/>
                <w:szCs w:val="24"/>
              </w:rPr>
            </w:pPr>
            <w:r>
              <w:rPr>
                <w:rFonts w:ascii="宋体" w:hAnsi="宋体" w:cs="宋体"/>
                <w:spacing w:val="6"/>
                <w:sz w:val="24"/>
                <w:szCs w:val="24"/>
              </w:rPr>
              <w:t>条款号</w:t>
            </w:r>
          </w:p>
        </w:tc>
        <w:tc>
          <w:tcPr>
            <w:tcW w:w="6645" w:type="dxa"/>
            <w:tcBorders>
              <w:top w:val="single" w:color="auto" w:sz="12" w:space="0"/>
              <w:left w:val="single" w:color="auto" w:sz="6" w:space="0"/>
              <w:bottom w:val="single" w:color="auto" w:sz="6" w:space="0"/>
              <w:right w:val="single" w:color="auto" w:sz="12" w:space="0"/>
            </w:tcBorders>
            <w:noWrap w:val="0"/>
            <w:vAlign w:val="center"/>
          </w:tcPr>
          <w:p w14:paraId="5DE04BD3">
            <w:pPr>
              <w:keepNext w:val="0"/>
              <w:keepLines w:val="0"/>
              <w:pageBreakBefore w:val="0"/>
              <w:widowControl w:val="0"/>
              <w:kinsoku/>
              <w:wordWrap w:val="0"/>
              <w:overflowPunct/>
              <w:topLinePunct/>
              <w:autoSpaceDE/>
              <w:autoSpaceDN/>
              <w:bidi w:val="0"/>
              <w:adjustRightInd w:val="0"/>
              <w:snapToGrid/>
              <w:spacing w:line="400" w:lineRule="exact"/>
              <w:ind w:left="3" w:hanging="2" w:hangingChars="1"/>
              <w:jc w:val="center"/>
              <w:textAlignment w:val="auto"/>
              <w:rPr>
                <w:rFonts w:ascii="宋体" w:hAnsi="宋体" w:cs="宋体"/>
                <w:spacing w:val="6"/>
                <w:sz w:val="24"/>
                <w:szCs w:val="24"/>
              </w:rPr>
            </w:pPr>
            <w:r>
              <w:rPr>
                <w:rFonts w:ascii="宋体" w:hAnsi="宋体" w:cs="宋体"/>
                <w:spacing w:val="6"/>
                <w:sz w:val="24"/>
                <w:szCs w:val="24"/>
              </w:rPr>
              <w:t>编列内容</w:t>
            </w:r>
          </w:p>
        </w:tc>
      </w:tr>
      <w:tr w14:paraId="2F5FF82D">
        <w:tblPrEx>
          <w:tblCellMar>
            <w:top w:w="0" w:type="dxa"/>
            <w:left w:w="108" w:type="dxa"/>
            <w:bottom w:w="0" w:type="dxa"/>
            <w:right w:w="108" w:type="dxa"/>
          </w:tblCellMar>
        </w:tblPrEx>
        <w:trPr>
          <w:cantSplit/>
          <w:trHeight w:val="487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314C448">
            <w:pPr>
              <w:keepNext w:val="0"/>
              <w:keepLines w:val="0"/>
              <w:pageBreakBefore w:val="0"/>
              <w:widowControl w:val="0"/>
              <w:kinsoku/>
              <w:wordWrap w:val="0"/>
              <w:overflowPunct/>
              <w:topLinePunct/>
              <w:autoSpaceDE/>
              <w:autoSpaceDN/>
              <w:bidi w:val="0"/>
              <w:adjustRightInd w:val="0"/>
              <w:snapToGrid/>
              <w:spacing w:line="400" w:lineRule="exact"/>
              <w:jc w:val="center"/>
              <w:textAlignment w:val="auto"/>
              <w:rPr>
                <w:rFonts w:ascii="宋体" w:hAnsi="宋体" w:cs="宋体"/>
                <w:spacing w:val="6"/>
                <w:sz w:val="24"/>
                <w:szCs w:val="24"/>
              </w:rPr>
            </w:pPr>
            <w:r>
              <w:rPr>
                <w:rFonts w:hint="eastAsia" w:ascii="宋体" w:hAnsi="宋体" w:cs="宋体"/>
                <w:spacing w:val="6"/>
                <w:sz w:val="24"/>
                <w:szCs w:val="24"/>
              </w:rPr>
              <w:t>1</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4DD4677A">
            <w:pPr>
              <w:keepNext w:val="0"/>
              <w:keepLines w:val="0"/>
              <w:pageBreakBefore w:val="0"/>
              <w:widowControl w:val="0"/>
              <w:kinsoku/>
              <w:wordWrap w:val="0"/>
              <w:overflowPunct/>
              <w:topLinePunct/>
              <w:autoSpaceDE/>
              <w:autoSpaceDN/>
              <w:bidi w:val="0"/>
              <w:adjustRightInd w:val="0"/>
              <w:snapToGrid/>
              <w:spacing w:line="400" w:lineRule="exact"/>
              <w:ind w:left="3" w:hanging="2" w:hangingChars="1"/>
              <w:jc w:val="center"/>
              <w:textAlignment w:val="auto"/>
              <w:rPr>
                <w:rFonts w:hint="eastAsia" w:ascii="宋体" w:hAnsi="宋体" w:cs="宋体"/>
                <w:spacing w:val="6"/>
                <w:sz w:val="24"/>
                <w:szCs w:val="24"/>
              </w:rPr>
            </w:pPr>
            <w:r>
              <w:rPr>
                <w:rFonts w:hint="eastAsia" w:ascii="宋体" w:hAnsi="宋体" w:cs="宋体"/>
                <w:spacing w:val="6"/>
                <w:sz w:val="24"/>
                <w:szCs w:val="24"/>
              </w:rPr>
              <w:t>监督单位及</w:t>
            </w:r>
          </w:p>
          <w:p w14:paraId="6B82B3C5">
            <w:pPr>
              <w:keepNext w:val="0"/>
              <w:keepLines w:val="0"/>
              <w:pageBreakBefore w:val="0"/>
              <w:widowControl w:val="0"/>
              <w:kinsoku/>
              <w:wordWrap w:val="0"/>
              <w:overflowPunct/>
              <w:topLinePunct/>
              <w:autoSpaceDE/>
              <w:autoSpaceDN/>
              <w:bidi w:val="0"/>
              <w:adjustRightInd w:val="0"/>
              <w:snapToGrid/>
              <w:spacing w:line="400" w:lineRule="exact"/>
              <w:ind w:left="3" w:hanging="2" w:hangingChars="1"/>
              <w:jc w:val="center"/>
              <w:textAlignment w:val="auto"/>
              <w:rPr>
                <w:rFonts w:ascii="宋体" w:hAnsi="宋体" w:cs="宋体"/>
                <w:spacing w:val="6"/>
                <w:sz w:val="24"/>
                <w:szCs w:val="24"/>
              </w:rPr>
            </w:pPr>
            <w:r>
              <w:rPr>
                <w:rFonts w:hint="eastAsia" w:ascii="宋体" w:hAnsi="宋体" w:cs="宋体"/>
                <w:spacing w:val="6"/>
                <w:sz w:val="24"/>
                <w:szCs w:val="24"/>
              </w:rPr>
              <w:t>采购人</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636D778D">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rPr>
            </w:pPr>
            <w:r>
              <w:rPr>
                <w:rFonts w:hint="eastAsia" w:ascii="宋体" w:hAnsi="宋体" w:cs="宋体"/>
                <w:spacing w:val="6"/>
                <w:sz w:val="24"/>
                <w:szCs w:val="24"/>
              </w:rPr>
              <w:t>监督单位：卢氏县政府采购办公室</w:t>
            </w:r>
          </w:p>
          <w:p w14:paraId="22B519B2">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rPr>
            </w:pPr>
            <w:r>
              <w:rPr>
                <w:rFonts w:hint="eastAsia" w:ascii="宋体" w:hAnsi="宋体" w:cs="宋体"/>
                <w:spacing w:val="6"/>
                <w:sz w:val="24"/>
                <w:szCs w:val="24"/>
              </w:rPr>
              <w:t>联系人：郭亚楠</w:t>
            </w:r>
          </w:p>
          <w:p w14:paraId="287D36B8">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rPr>
            </w:pPr>
            <w:r>
              <w:rPr>
                <w:rFonts w:hint="eastAsia" w:ascii="宋体" w:hAnsi="宋体" w:cs="宋体"/>
                <w:spacing w:val="6"/>
                <w:sz w:val="24"/>
                <w:szCs w:val="24"/>
                <w:lang w:val="en-US" w:eastAsia="zh-CN"/>
              </w:rPr>
              <w:t>联系方式：</w:t>
            </w:r>
            <w:r>
              <w:rPr>
                <w:rFonts w:hint="eastAsia" w:ascii="宋体" w:hAnsi="宋体" w:cs="宋体"/>
                <w:spacing w:val="6"/>
                <w:sz w:val="24"/>
                <w:szCs w:val="24"/>
              </w:rPr>
              <w:t xml:space="preserve">0398-7863556 </w:t>
            </w:r>
          </w:p>
          <w:p w14:paraId="0EEC8247">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rPr>
            </w:pPr>
            <w:r>
              <w:rPr>
                <w:rFonts w:hint="eastAsia" w:ascii="宋体" w:hAnsi="宋体" w:cs="宋体"/>
                <w:spacing w:val="6"/>
                <w:sz w:val="24"/>
                <w:szCs w:val="24"/>
              </w:rPr>
              <w:t>地址：卢氏县城关镇解放路中段</w:t>
            </w:r>
          </w:p>
          <w:p w14:paraId="25130CD8">
            <w:pPr>
              <w:keepNext w:val="0"/>
              <w:keepLines w:val="0"/>
              <w:pageBreakBefore w:val="0"/>
              <w:widowControl w:val="0"/>
              <w:kinsoku/>
              <w:wordWrap w:val="0"/>
              <w:overflowPunct/>
              <w:topLinePunct/>
              <w:autoSpaceDE/>
              <w:autoSpaceDN/>
              <w:bidi w:val="0"/>
              <w:snapToGrid/>
              <w:spacing w:line="400" w:lineRule="exact"/>
              <w:textAlignment w:val="auto"/>
              <w:rPr>
                <w:rFonts w:hint="default" w:ascii="宋体" w:hAnsi="宋体" w:cs="宋体"/>
                <w:spacing w:val="6"/>
                <w:sz w:val="24"/>
                <w:szCs w:val="24"/>
                <w:lang w:val="en-US" w:eastAsia="zh-CN"/>
              </w:rPr>
            </w:pPr>
            <w:r>
              <w:rPr>
                <w:rFonts w:hint="eastAsia" w:ascii="宋体" w:hAnsi="宋体" w:cs="宋体"/>
                <w:spacing w:val="6"/>
                <w:sz w:val="24"/>
                <w:szCs w:val="24"/>
              </w:rPr>
              <w:t>监督单位：</w:t>
            </w:r>
            <w:r>
              <w:rPr>
                <w:rFonts w:hint="eastAsia" w:ascii="宋体" w:hAnsi="宋体" w:cs="宋体"/>
                <w:spacing w:val="6"/>
                <w:sz w:val="24"/>
                <w:szCs w:val="24"/>
                <w:lang w:val="en-US" w:eastAsia="zh-CN"/>
              </w:rPr>
              <w:t>卢氏县城市管理局</w:t>
            </w:r>
          </w:p>
          <w:p w14:paraId="7659975D">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lang w:val="en-US"/>
              </w:rPr>
            </w:pPr>
            <w:r>
              <w:rPr>
                <w:rFonts w:hint="eastAsia" w:ascii="宋体" w:hAnsi="宋体" w:cs="宋体"/>
                <w:spacing w:val="6"/>
                <w:sz w:val="24"/>
                <w:szCs w:val="24"/>
                <w:lang w:val="en-US" w:eastAsia="zh-CN"/>
              </w:rPr>
              <w:t>联系人：刘章军</w:t>
            </w:r>
          </w:p>
          <w:p w14:paraId="3441566E">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lang w:val="en-US"/>
              </w:rPr>
            </w:pPr>
            <w:r>
              <w:rPr>
                <w:rFonts w:hint="eastAsia" w:ascii="宋体" w:hAnsi="宋体" w:cs="宋体"/>
                <w:spacing w:val="6"/>
                <w:sz w:val="24"/>
                <w:szCs w:val="24"/>
                <w:lang w:val="en-US" w:eastAsia="zh-CN"/>
              </w:rPr>
              <w:t>联系方式：13839878721、0398-2157659</w:t>
            </w:r>
          </w:p>
          <w:p w14:paraId="27BD1BD8">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rPr>
            </w:pPr>
            <w:r>
              <w:rPr>
                <w:rFonts w:hint="eastAsia" w:ascii="宋体" w:hAnsi="宋体" w:cs="宋体"/>
                <w:spacing w:val="6"/>
                <w:sz w:val="24"/>
                <w:szCs w:val="24"/>
              </w:rPr>
              <w:t>地址：</w:t>
            </w:r>
            <w:r>
              <w:rPr>
                <w:rFonts w:hint="eastAsia" w:ascii="宋体" w:hAnsi="宋体" w:cs="宋体"/>
                <w:spacing w:val="6"/>
                <w:sz w:val="24"/>
                <w:szCs w:val="24"/>
                <w:lang w:val="en-US" w:eastAsia="zh-CN"/>
              </w:rPr>
              <w:t>卢氏县东明路与解放路交叉口东北100米</w:t>
            </w:r>
          </w:p>
          <w:p w14:paraId="414A629D">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lang w:val="en-US" w:eastAsia="zh-CN"/>
              </w:rPr>
            </w:pPr>
            <w:r>
              <w:rPr>
                <w:rFonts w:hint="eastAsia" w:ascii="宋体" w:hAnsi="宋体" w:cs="宋体"/>
                <w:spacing w:val="6"/>
                <w:sz w:val="24"/>
                <w:szCs w:val="24"/>
                <w:lang w:val="en-US" w:eastAsia="zh-CN"/>
              </w:rPr>
              <w:t>采购人：卢氏县城市管理局</w:t>
            </w:r>
          </w:p>
          <w:p w14:paraId="7370AF4C">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lang w:val="en-US" w:eastAsia="zh-CN"/>
              </w:rPr>
            </w:pPr>
            <w:r>
              <w:rPr>
                <w:rFonts w:hint="eastAsia" w:ascii="宋体" w:hAnsi="宋体" w:cs="宋体"/>
                <w:spacing w:val="6"/>
                <w:sz w:val="24"/>
                <w:szCs w:val="24"/>
                <w:lang w:val="en-US" w:eastAsia="zh-CN"/>
              </w:rPr>
              <w:t>联系人：范秋阁</w:t>
            </w:r>
          </w:p>
          <w:p w14:paraId="4BA64AC9">
            <w:pPr>
              <w:keepNext w:val="0"/>
              <w:keepLines w:val="0"/>
              <w:pageBreakBefore w:val="0"/>
              <w:widowControl w:val="0"/>
              <w:kinsoku/>
              <w:wordWrap w:val="0"/>
              <w:overflowPunct/>
              <w:topLinePunct/>
              <w:autoSpaceDE/>
              <w:autoSpaceDN/>
              <w:bidi w:val="0"/>
              <w:snapToGrid/>
              <w:spacing w:line="400" w:lineRule="exact"/>
              <w:textAlignment w:val="auto"/>
              <w:rPr>
                <w:rFonts w:hint="eastAsia" w:ascii="宋体" w:hAnsi="宋体" w:cs="宋体"/>
                <w:spacing w:val="6"/>
                <w:sz w:val="24"/>
                <w:szCs w:val="24"/>
                <w:lang w:val="en-US" w:eastAsia="zh-CN"/>
              </w:rPr>
            </w:pPr>
            <w:r>
              <w:rPr>
                <w:rFonts w:hint="eastAsia" w:ascii="宋体" w:hAnsi="宋体" w:cs="宋体"/>
                <w:spacing w:val="6"/>
                <w:sz w:val="24"/>
                <w:szCs w:val="24"/>
                <w:lang w:val="en-US" w:eastAsia="zh-CN"/>
              </w:rPr>
              <w:t>联系方式：0398-2157667</w:t>
            </w:r>
          </w:p>
          <w:p w14:paraId="7C3EC08C">
            <w:pPr>
              <w:keepNext w:val="0"/>
              <w:keepLines w:val="0"/>
              <w:pageBreakBefore w:val="0"/>
              <w:widowControl w:val="0"/>
              <w:kinsoku/>
              <w:wordWrap w:val="0"/>
              <w:overflowPunct/>
              <w:topLinePunct/>
              <w:autoSpaceDE/>
              <w:autoSpaceDN/>
              <w:bidi w:val="0"/>
              <w:snapToGrid/>
              <w:spacing w:line="400" w:lineRule="exact"/>
              <w:textAlignment w:val="auto"/>
              <w:rPr>
                <w:rFonts w:ascii="宋体" w:hAnsi="宋体" w:cs="宋体"/>
                <w:spacing w:val="6"/>
                <w:sz w:val="24"/>
                <w:szCs w:val="24"/>
              </w:rPr>
            </w:pPr>
            <w:r>
              <w:rPr>
                <w:rFonts w:hint="eastAsia" w:ascii="宋体" w:hAnsi="宋体" w:cs="宋体"/>
                <w:spacing w:val="6"/>
                <w:sz w:val="24"/>
                <w:szCs w:val="24"/>
                <w:lang w:val="en-US" w:eastAsia="zh-CN"/>
              </w:rPr>
              <w:t>地址：卢氏县东明路与解放路交叉口东北100米</w:t>
            </w:r>
          </w:p>
        </w:tc>
      </w:tr>
      <w:tr w14:paraId="56F66652">
        <w:tblPrEx>
          <w:tblCellMar>
            <w:top w:w="0" w:type="dxa"/>
            <w:left w:w="108" w:type="dxa"/>
            <w:bottom w:w="0" w:type="dxa"/>
            <w:right w:w="108" w:type="dxa"/>
          </w:tblCellMar>
        </w:tblPrEx>
        <w:trPr>
          <w:cantSplit/>
          <w:trHeight w:val="210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A297ED9">
            <w:pPr>
              <w:keepNext w:val="0"/>
              <w:keepLines w:val="0"/>
              <w:pageBreakBefore w:val="0"/>
              <w:widowControl w:val="0"/>
              <w:kinsoku/>
              <w:wordWrap w:val="0"/>
              <w:overflowPunct/>
              <w:topLinePunct/>
              <w:autoSpaceDE/>
              <w:autoSpaceDN/>
              <w:bidi w:val="0"/>
              <w:adjustRightInd w:val="0"/>
              <w:snapToGrid/>
              <w:spacing w:line="400" w:lineRule="exact"/>
              <w:jc w:val="center"/>
              <w:textAlignment w:val="auto"/>
              <w:rPr>
                <w:rFonts w:ascii="宋体" w:hAnsi="宋体" w:cs="宋体"/>
                <w:spacing w:val="6"/>
                <w:sz w:val="24"/>
                <w:szCs w:val="24"/>
              </w:rPr>
            </w:pPr>
            <w:r>
              <w:rPr>
                <w:rFonts w:hint="eastAsia" w:ascii="宋体" w:hAnsi="宋体" w:cs="宋体"/>
                <w:spacing w:val="6"/>
                <w:sz w:val="24"/>
                <w:szCs w:val="24"/>
              </w:rPr>
              <w:t>2</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5C22A9AB">
            <w:pPr>
              <w:keepNext w:val="0"/>
              <w:keepLines w:val="0"/>
              <w:pageBreakBefore w:val="0"/>
              <w:widowControl w:val="0"/>
              <w:kinsoku/>
              <w:wordWrap w:val="0"/>
              <w:overflowPunct/>
              <w:topLinePunct/>
              <w:autoSpaceDE/>
              <w:autoSpaceDN/>
              <w:bidi w:val="0"/>
              <w:adjustRightInd w:val="0"/>
              <w:snapToGrid/>
              <w:spacing w:line="400" w:lineRule="exact"/>
              <w:ind w:left="3" w:hanging="2" w:hangingChars="1"/>
              <w:jc w:val="center"/>
              <w:textAlignment w:val="auto"/>
              <w:rPr>
                <w:rFonts w:ascii="宋体" w:hAnsi="宋体" w:cs="宋体"/>
                <w:spacing w:val="6"/>
                <w:sz w:val="24"/>
                <w:szCs w:val="24"/>
              </w:rPr>
            </w:pPr>
            <w:r>
              <w:rPr>
                <w:rFonts w:hint="eastAsia" w:ascii="宋体" w:hAnsi="宋体" w:cs="宋体"/>
                <w:spacing w:val="6"/>
                <w:sz w:val="24"/>
                <w:szCs w:val="24"/>
              </w:rPr>
              <w:t>代理机构</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4E17A6B4">
            <w:pPr>
              <w:keepNext w:val="0"/>
              <w:keepLines w:val="0"/>
              <w:pageBreakBefore w:val="0"/>
              <w:widowControl w:val="0"/>
              <w:kinsoku/>
              <w:wordWrap w:val="0"/>
              <w:overflowPunct/>
              <w:topLinePunct/>
              <w:autoSpaceDE/>
              <w:autoSpaceDN/>
              <w:bidi w:val="0"/>
              <w:snapToGrid/>
              <w:spacing w:line="400" w:lineRule="exact"/>
              <w:ind w:left="3" w:hanging="2" w:hangingChars="1"/>
              <w:textAlignment w:val="auto"/>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代理机构：恒恺工程管理咨询有限公司</w:t>
            </w:r>
          </w:p>
          <w:p w14:paraId="5324B019">
            <w:pPr>
              <w:keepNext w:val="0"/>
              <w:keepLines w:val="0"/>
              <w:pageBreakBefore w:val="0"/>
              <w:widowControl w:val="0"/>
              <w:kinsoku/>
              <w:wordWrap w:val="0"/>
              <w:overflowPunct/>
              <w:topLinePunct/>
              <w:autoSpaceDE/>
              <w:autoSpaceDN/>
              <w:bidi w:val="0"/>
              <w:snapToGrid/>
              <w:spacing w:line="400" w:lineRule="exact"/>
              <w:ind w:left="3" w:hanging="2" w:hangingChars="1"/>
              <w:textAlignment w:val="auto"/>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联系人：张伟</w:t>
            </w:r>
          </w:p>
          <w:p w14:paraId="3020ACAD">
            <w:pPr>
              <w:keepNext w:val="0"/>
              <w:keepLines w:val="0"/>
              <w:pageBreakBefore w:val="0"/>
              <w:widowControl w:val="0"/>
              <w:kinsoku/>
              <w:wordWrap w:val="0"/>
              <w:overflowPunct/>
              <w:topLinePunct/>
              <w:autoSpaceDE/>
              <w:autoSpaceDN/>
              <w:bidi w:val="0"/>
              <w:snapToGrid/>
              <w:spacing w:line="400" w:lineRule="exact"/>
              <w:ind w:left="3" w:hanging="2" w:hangingChars="1"/>
              <w:textAlignment w:val="auto"/>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联系方式：18739829026、17329132999</w:t>
            </w:r>
          </w:p>
          <w:p w14:paraId="21204E13">
            <w:pPr>
              <w:keepNext w:val="0"/>
              <w:keepLines w:val="0"/>
              <w:pageBreakBefore w:val="0"/>
              <w:widowControl w:val="0"/>
              <w:kinsoku/>
              <w:wordWrap w:val="0"/>
              <w:overflowPunct/>
              <w:topLinePunct/>
              <w:autoSpaceDE/>
              <w:autoSpaceDN/>
              <w:bidi w:val="0"/>
              <w:snapToGrid/>
              <w:spacing w:line="400" w:lineRule="exact"/>
              <w:ind w:left="3" w:hanging="2" w:hangingChars="1"/>
              <w:textAlignment w:val="auto"/>
              <w:rPr>
                <w:rFonts w:hint="eastAsia" w:ascii="宋体" w:hAnsi="宋体" w:eastAsia="宋体" w:cs="宋体"/>
                <w:spacing w:val="6"/>
                <w:sz w:val="24"/>
                <w:szCs w:val="24"/>
                <w:lang w:eastAsia="zh-CN"/>
              </w:rPr>
            </w:pPr>
            <w:r>
              <w:rPr>
                <w:rFonts w:hint="eastAsia" w:ascii="宋体" w:hAnsi="宋体" w:eastAsia="宋体" w:cs="宋体"/>
                <w:spacing w:val="6"/>
                <w:sz w:val="24"/>
                <w:szCs w:val="24"/>
                <w:lang w:val="en-US" w:eastAsia="zh-CN"/>
              </w:rPr>
              <w:t>地址：河南自贸试验区郑州片区(郑东)和谐路与福禄路海赋国际19层1927号</w:t>
            </w:r>
          </w:p>
        </w:tc>
      </w:tr>
      <w:tr w14:paraId="6D57B7C4">
        <w:tblPrEx>
          <w:tblCellMar>
            <w:top w:w="0" w:type="dxa"/>
            <w:left w:w="108" w:type="dxa"/>
            <w:bottom w:w="0" w:type="dxa"/>
            <w:right w:w="108" w:type="dxa"/>
          </w:tblCellMar>
        </w:tblPrEx>
        <w:trPr>
          <w:cantSplit/>
          <w:trHeight w:val="56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8FA292B">
            <w:pPr>
              <w:keepNext w:val="0"/>
              <w:keepLines w:val="0"/>
              <w:pageBreakBefore w:val="0"/>
              <w:widowControl w:val="0"/>
              <w:kinsoku/>
              <w:wordWrap w:val="0"/>
              <w:overflowPunct/>
              <w:topLinePunct/>
              <w:autoSpaceDE/>
              <w:autoSpaceDN/>
              <w:bidi w:val="0"/>
              <w:adjustRightInd w:val="0"/>
              <w:snapToGrid/>
              <w:spacing w:line="400" w:lineRule="exact"/>
              <w:jc w:val="center"/>
              <w:textAlignment w:val="auto"/>
              <w:rPr>
                <w:rFonts w:ascii="宋体" w:hAnsi="宋体" w:cs="宋体"/>
                <w:spacing w:val="6"/>
                <w:sz w:val="24"/>
                <w:szCs w:val="24"/>
              </w:rPr>
            </w:pPr>
            <w:r>
              <w:rPr>
                <w:rFonts w:hint="eastAsia" w:ascii="宋体" w:hAnsi="宋体" w:cs="宋体"/>
                <w:spacing w:val="6"/>
                <w:sz w:val="24"/>
                <w:szCs w:val="24"/>
              </w:rPr>
              <w:t>3</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4F836C4A">
            <w:pPr>
              <w:keepNext w:val="0"/>
              <w:keepLines w:val="0"/>
              <w:pageBreakBefore w:val="0"/>
              <w:widowControl w:val="0"/>
              <w:kinsoku/>
              <w:wordWrap w:val="0"/>
              <w:overflowPunct/>
              <w:topLinePunct/>
              <w:autoSpaceDE/>
              <w:autoSpaceDN/>
              <w:bidi w:val="0"/>
              <w:snapToGrid/>
              <w:spacing w:line="400" w:lineRule="exact"/>
              <w:ind w:left="3" w:hanging="2" w:hangingChars="1"/>
              <w:jc w:val="center"/>
              <w:textAlignment w:val="auto"/>
              <w:rPr>
                <w:rFonts w:hint="eastAsia" w:ascii="宋体" w:hAnsi="宋体" w:cs="宋体"/>
                <w:spacing w:val="6"/>
                <w:sz w:val="24"/>
                <w:szCs w:val="24"/>
              </w:rPr>
            </w:pPr>
            <w:r>
              <w:rPr>
                <w:rFonts w:hint="eastAsia" w:ascii="宋体" w:hAnsi="宋体" w:cs="宋体"/>
                <w:spacing w:val="6"/>
                <w:sz w:val="24"/>
                <w:szCs w:val="24"/>
              </w:rPr>
              <w:t>项目名称</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2E4373E">
            <w:pPr>
              <w:keepNext w:val="0"/>
              <w:keepLines w:val="0"/>
              <w:pageBreakBefore w:val="0"/>
              <w:widowControl w:val="0"/>
              <w:kinsoku/>
              <w:wordWrap w:val="0"/>
              <w:overflowPunct/>
              <w:topLinePunct/>
              <w:autoSpaceDE/>
              <w:autoSpaceDN/>
              <w:bidi w:val="0"/>
              <w:snapToGrid/>
              <w:spacing w:line="400" w:lineRule="exact"/>
              <w:ind w:left="3" w:hanging="2" w:hangingChars="1"/>
              <w:textAlignment w:val="auto"/>
              <w:rPr>
                <w:rFonts w:hint="eastAsia" w:ascii="宋体" w:hAnsi="宋体" w:eastAsia="宋体" w:cs="宋体"/>
                <w:spacing w:val="6"/>
                <w:sz w:val="24"/>
                <w:szCs w:val="24"/>
                <w:lang w:eastAsia="zh-CN"/>
              </w:rPr>
            </w:pPr>
            <w:r>
              <w:rPr>
                <w:rFonts w:hint="eastAsia" w:ascii="宋体" w:hAnsi="宋体" w:cs="宋体"/>
                <w:spacing w:val="6"/>
                <w:sz w:val="24"/>
                <w:szCs w:val="24"/>
                <w:lang w:eastAsia="zh-CN"/>
              </w:rPr>
              <w:t>卢氏县城区绿地日常管护（2026-2027）项目</w:t>
            </w:r>
          </w:p>
        </w:tc>
      </w:tr>
      <w:tr w14:paraId="41E90A19">
        <w:tblPrEx>
          <w:tblCellMar>
            <w:top w:w="0" w:type="dxa"/>
            <w:left w:w="108" w:type="dxa"/>
            <w:bottom w:w="0" w:type="dxa"/>
            <w:right w:w="108" w:type="dxa"/>
          </w:tblCellMar>
        </w:tblPrEx>
        <w:trPr>
          <w:cantSplit/>
          <w:trHeight w:val="528"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747EC154">
            <w:pPr>
              <w:keepNext w:val="0"/>
              <w:keepLines w:val="0"/>
              <w:pageBreakBefore w:val="0"/>
              <w:widowControl w:val="0"/>
              <w:kinsoku/>
              <w:wordWrap w:val="0"/>
              <w:overflowPunct/>
              <w:topLinePunct/>
              <w:autoSpaceDE/>
              <w:autoSpaceDN/>
              <w:bidi w:val="0"/>
              <w:adjustRightInd w:val="0"/>
              <w:snapToGrid/>
              <w:spacing w:line="400" w:lineRule="exact"/>
              <w:ind w:left="3" w:hanging="2" w:hangingChars="1"/>
              <w:jc w:val="center"/>
              <w:textAlignment w:val="auto"/>
              <w:rPr>
                <w:rFonts w:ascii="宋体" w:hAnsi="宋体" w:cs="宋体"/>
                <w:spacing w:val="6"/>
                <w:sz w:val="24"/>
                <w:szCs w:val="24"/>
                <w:highlight w:val="none"/>
              </w:rPr>
            </w:pPr>
            <w:r>
              <w:rPr>
                <w:rFonts w:hint="eastAsia" w:ascii="宋体" w:hAnsi="宋体" w:cs="宋体"/>
                <w:spacing w:val="6"/>
                <w:sz w:val="24"/>
                <w:szCs w:val="24"/>
                <w:highlight w:val="none"/>
              </w:rPr>
              <w:t>4</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2D0E331E">
            <w:pPr>
              <w:keepNext w:val="0"/>
              <w:keepLines w:val="0"/>
              <w:pageBreakBefore w:val="0"/>
              <w:widowControl w:val="0"/>
              <w:kinsoku/>
              <w:wordWrap w:val="0"/>
              <w:overflowPunct/>
              <w:topLinePunct/>
              <w:autoSpaceDE/>
              <w:autoSpaceDN/>
              <w:bidi w:val="0"/>
              <w:adjustRightInd w:val="0"/>
              <w:snapToGrid/>
              <w:spacing w:line="400" w:lineRule="exact"/>
              <w:ind w:left="2" w:hanging="2" w:hangingChars="1"/>
              <w:jc w:val="center"/>
              <w:textAlignment w:val="auto"/>
              <w:rPr>
                <w:rFonts w:ascii="宋体" w:hAnsi="宋体" w:cs="宋体"/>
                <w:color w:val="auto"/>
                <w:sz w:val="24"/>
                <w:szCs w:val="24"/>
                <w:highlight w:val="none"/>
              </w:rPr>
            </w:pPr>
            <w:r>
              <w:rPr>
                <w:rFonts w:ascii="宋体" w:hAnsi="宋体" w:cs="宋体"/>
                <w:color w:val="auto"/>
                <w:sz w:val="24"/>
                <w:szCs w:val="24"/>
                <w:highlight w:val="none"/>
              </w:rPr>
              <w:t>项目编号</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35942F94">
            <w:pPr>
              <w:keepNext w:val="0"/>
              <w:keepLines w:val="0"/>
              <w:pageBreakBefore w:val="0"/>
              <w:widowControl w:val="0"/>
              <w:kinsoku/>
              <w:wordWrap w:val="0"/>
              <w:overflowPunct/>
              <w:topLinePunct/>
              <w:autoSpaceDE/>
              <w:autoSpaceDN/>
              <w:bidi w:val="0"/>
              <w:adjustRightInd w:val="0"/>
              <w:snapToGrid/>
              <w:spacing w:line="400" w:lineRule="exact"/>
              <w:jc w:val="both"/>
              <w:textAlignment w:val="auto"/>
              <w:rPr>
                <w:rFonts w:hint="eastAsia" w:ascii="宋体" w:hAnsi="宋体" w:eastAsia="宋体" w:cs="宋体"/>
                <w:color w:val="auto"/>
                <w:spacing w:val="6"/>
                <w:sz w:val="24"/>
                <w:szCs w:val="24"/>
                <w:highlight w:val="yellow"/>
                <w:lang w:eastAsia="zh-CN"/>
              </w:rPr>
            </w:pPr>
            <w:r>
              <w:rPr>
                <w:rFonts w:hint="eastAsia" w:ascii="宋体" w:hAnsi="宋体" w:eastAsia="宋体" w:cs="宋体"/>
                <w:color w:val="auto"/>
                <w:spacing w:val="6"/>
                <w:sz w:val="24"/>
                <w:szCs w:val="24"/>
                <w:highlight w:val="none"/>
                <w:lang w:eastAsia="zh-CN"/>
              </w:rPr>
              <w:t>三卢竞磋采购-2026-52、</w:t>
            </w:r>
            <w:r>
              <w:rPr>
                <w:rFonts w:hint="eastAsia" w:ascii="宋体" w:hAnsi="宋体" w:eastAsia="宋体" w:cs="宋体"/>
                <w:color w:val="auto"/>
                <w:spacing w:val="6"/>
                <w:sz w:val="24"/>
                <w:szCs w:val="24"/>
                <w:highlight w:val="none"/>
                <w:lang w:val="en-US" w:eastAsia="zh-CN"/>
              </w:rPr>
              <w:t>LSGZ[2026]122-ZC093</w:t>
            </w:r>
          </w:p>
        </w:tc>
      </w:tr>
      <w:tr w14:paraId="0C432625">
        <w:tblPrEx>
          <w:tblCellMar>
            <w:top w:w="0" w:type="dxa"/>
            <w:left w:w="108" w:type="dxa"/>
            <w:bottom w:w="0" w:type="dxa"/>
            <w:right w:w="108" w:type="dxa"/>
          </w:tblCellMar>
        </w:tblPrEx>
        <w:trPr>
          <w:cantSplit/>
          <w:trHeight w:val="53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FAF8E30">
            <w:pPr>
              <w:keepNext w:val="0"/>
              <w:keepLines w:val="0"/>
              <w:pageBreakBefore w:val="0"/>
              <w:widowControl w:val="0"/>
              <w:kinsoku/>
              <w:wordWrap w:val="0"/>
              <w:overflowPunct/>
              <w:topLinePunct/>
              <w:autoSpaceDE/>
              <w:autoSpaceDN/>
              <w:bidi w:val="0"/>
              <w:adjustRightInd w:val="0"/>
              <w:snapToGrid/>
              <w:spacing w:line="400" w:lineRule="exact"/>
              <w:jc w:val="center"/>
              <w:textAlignment w:val="auto"/>
              <w:rPr>
                <w:rFonts w:ascii="宋体" w:hAnsi="宋体" w:cs="宋体"/>
                <w:spacing w:val="6"/>
                <w:sz w:val="24"/>
                <w:szCs w:val="24"/>
              </w:rPr>
            </w:pPr>
            <w:r>
              <w:rPr>
                <w:rFonts w:hint="eastAsia" w:ascii="宋体" w:hAnsi="宋体" w:cs="宋体"/>
                <w:spacing w:val="6"/>
                <w:sz w:val="24"/>
                <w:szCs w:val="24"/>
              </w:rPr>
              <w:t>5</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4C3D8D46">
            <w:pPr>
              <w:keepNext w:val="0"/>
              <w:keepLines w:val="0"/>
              <w:pageBreakBefore w:val="0"/>
              <w:widowControl w:val="0"/>
              <w:kinsoku/>
              <w:wordWrap w:val="0"/>
              <w:overflowPunct/>
              <w:topLinePunct/>
              <w:autoSpaceDE/>
              <w:autoSpaceDN/>
              <w:bidi w:val="0"/>
              <w:adjustRightInd w:val="0"/>
              <w:snapToGrid/>
              <w:spacing w:line="400" w:lineRule="exact"/>
              <w:jc w:val="center"/>
              <w:textAlignment w:val="auto"/>
              <w:rPr>
                <w:rFonts w:ascii="宋体" w:hAnsi="宋体" w:cs="宋体"/>
                <w:sz w:val="24"/>
                <w:szCs w:val="24"/>
              </w:rPr>
            </w:pPr>
            <w:r>
              <w:rPr>
                <w:rFonts w:hint="eastAsia" w:ascii="宋体" w:hAnsi="宋体" w:cs="宋体"/>
                <w:sz w:val="24"/>
                <w:szCs w:val="24"/>
              </w:rPr>
              <w:t>标段划分</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444F295">
            <w:pPr>
              <w:keepNext w:val="0"/>
              <w:keepLines w:val="0"/>
              <w:pageBreakBefore w:val="0"/>
              <w:widowControl w:val="0"/>
              <w:kinsoku/>
              <w:wordWrap w:val="0"/>
              <w:overflowPunct/>
              <w:topLinePunct/>
              <w:autoSpaceDE/>
              <w:autoSpaceDN/>
              <w:bidi w:val="0"/>
              <w:adjustRightInd w:val="0"/>
              <w:snapToGrid/>
              <w:spacing w:line="400" w:lineRule="exact"/>
              <w:ind w:left="3" w:hanging="2" w:hangingChars="1"/>
              <w:textAlignment w:val="auto"/>
              <w:rPr>
                <w:rFonts w:hint="eastAsia" w:ascii="宋体" w:hAnsi="宋体" w:eastAsia="宋体" w:cs="宋体"/>
                <w:spacing w:val="6"/>
                <w:sz w:val="24"/>
                <w:szCs w:val="24"/>
                <w:lang w:eastAsia="zh-CN"/>
              </w:rPr>
            </w:pPr>
            <w:r>
              <w:rPr>
                <w:rFonts w:hint="eastAsia" w:ascii="宋体" w:hAnsi="宋体" w:eastAsia="宋体" w:cs="宋体"/>
                <w:spacing w:val="6"/>
                <w:sz w:val="24"/>
                <w:szCs w:val="24"/>
                <w:lang w:eastAsia="zh-CN"/>
              </w:rPr>
              <w:t>本项目共</w:t>
            </w:r>
            <w:r>
              <w:rPr>
                <w:rFonts w:hint="eastAsia" w:ascii="宋体" w:hAnsi="宋体" w:eastAsia="宋体" w:cs="宋体"/>
                <w:spacing w:val="6"/>
                <w:sz w:val="24"/>
                <w:szCs w:val="24"/>
                <w:lang w:val="en-US" w:eastAsia="zh-CN"/>
              </w:rPr>
              <w:t>一</w:t>
            </w:r>
            <w:r>
              <w:rPr>
                <w:rFonts w:hint="eastAsia" w:ascii="宋体" w:hAnsi="宋体" w:eastAsia="宋体" w:cs="宋体"/>
                <w:spacing w:val="6"/>
                <w:sz w:val="24"/>
                <w:szCs w:val="24"/>
                <w:lang w:eastAsia="zh-CN"/>
              </w:rPr>
              <w:t>个标段</w:t>
            </w:r>
          </w:p>
        </w:tc>
      </w:tr>
      <w:tr w14:paraId="455C6A78">
        <w:tblPrEx>
          <w:tblCellMar>
            <w:top w:w="0" w:type="dxa"/>
            <w:left w:w="108" w:type="dxa"/>
            <w:bottom w:w="0" w:type="dxa"/>
            <w:right w:w="108" w:type="dxa"/>
          </w:tblCellMar>
        </w:tblPrEx>
        <w:trPr>
          <w:cantSplit/>
          <w:trHeight w:val="5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E3C5687">
            <w:pPr>
              <w:widowControl w:val="0"/>
              <w:adjustRightInd w:val="0"/>
              <w:spacing w:line="400" w:lineRule="exact"/>
              <w:jc w:val="center"/>
              <w:rPr>
                <w:rFonts w:hint="eastAsia" w:ascii="宋体" w:hAnsi="宋体" w:cs="宋体" w:eastAsiaTheme="minorEastAsia"/>
                <w:spacing w:val="6"/>
                <w:sz w:val="24"/>
                <w:szCs w:val="24"/>
                <w:lang w:eastAsia="zh-CN"/>
              </w:rPr>
            </w:pPr>
            <w:r>
              <w:rPr>
                <w:rFonts w:hint="eastAsia" w:ascii="宋体" w:hAnsi="宋体" w:cs="宋体"/>
                <w:spacing w:val="6"/>
                <w:sz w:val="24"/>
                <w:szCs w:val="24"/>
                <w:lang w:val="en-US" w:eastAsia="zh-CN"/>
              </w:rPr>
              <w:t>6</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044D2EE">
            <w:pPr>
              <w:keepNext w:val="0"/>
              <w:keepLines w:val="0"/>
              <w:pageBreakBefore w:val="0"/>
              <w:widowControl w:val="0"/>
              <w:kinsoku/>
              <w:wordWrap w:val="0"/>
              <w:overflowPunct/>
              <w:topLinePunct/>
              <w:autoSpaceDE/>
              <w:autoSpaceDN/>
              <w:bidi w:val="0"/>
              <w:adjustRightInd w:val="0"/>
              <w:snapToGrid/>
              <w:spacing w:line="400" w:lineRule="exact"/>
              <w:jc w:val="center"/>
              <w:textAlignment w:val="auto"/>
              <w:rPr>
                <w:rFonts w:ascii="宋体" w:hAnsi="宋体" w:cs="宋体"/>
                <w:spacing w:val="6"/>
                <w:sz w:val="24"/>
                <w:szCs w:val="24"/>
              </w:rPr>
            </w:pPr>
            <w:r>
              <w:rPr>
                <w:rFonts w:hint="eastAsia" w:ascii="宋体" w:hAnsi="宋体" w:cs="宋体"/>
                <w:spacing w:val="6"/>
                <w:sz w:val="24"/>
                <w:szCs w:val="24"/>
                <w:lang w:val="en-US" w:eastAsia="zh-CN"/>
              </w:rPr>
              <w:t>服务</w:t>
            </w:r>
            <w:r>
              <w:rPr>
                <w:rFonts w:hint="eastAsia" w:ascii="宋体" w:hAnsi="宋体" w:cs="宋体"/>
                <w:spacing w:val="6"/>
                <w:sz w:val="24"/>
                <w:szCs w:val="24"/>
              </w:rPr>
              <w:t>内容</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158DEA43">
            <w:pPr>
              <w:keepNext w:val="0"/>
              <w:keepLines w:val="0"/>
              <w:pageBreakBefore w:val="0"/>
              <w:widowControl w:val="0"/>
              <w:shd w:val="clear" w:color="auto" w:fill="FFFFFF"/>
              <w:kinsoku/>
              <w:wordWrap w:val="0"/>
              <w:overflowPunct/>
              <w:topLinePunct/>
              <w:autoSpaceDE/>
              <w:autoSpaceDN/>
              <w:bidi w:val="0"/>
              <w:snapToGrid/>
              <w:spacing w:line="400" w:lineRule="exact"/>
              <w:textAlignment w:val="auto"/>
              <w:rPr>
                <w:rFonts w:ascii="宋体" w:hAnsi="宋体" w:cs="宋体"/>
                <w:spacing w:val="6"/>
                <w:sz w:val="24"/>
                <w:szCs w:val="24"/>
              </w:rPr>
            </w:pPr>
            <w:r>
              <w:rPr>
                <w:rFonts w:hint="eastAsia" w:ascii="宋体" w:hAnsi="宋体" w:cs="宋体"/>
                <w:spacing w:val="6"/>
                <w:sz w:val="24"/>
                <w:szCs w:val="24"/>
              </w:rPr>
              <w:t>本项目</w:t>
            </w:r>
            <w:r>
              <w:rPr>
                <w:rFonts w:hint="eastAsia" w:ascii="宋体" w:hAnsi="宋体" w:cs="宋体"/>
                <w:spacing w:val="6"/>
                <w:sz w:val="24"/>
                <w:szCs w:val="24"/>
                <w:lang w:val="en-US" w:eastAsia="zh-CN"/>
              </w:rPr>
              <w:t>内容为</w:t>
            </w:r>
            <w:r>
              <w:rPr>
                <w:rFonts w:hint="eastAsia" w:ascii="宋体" w:hAnsi="宋体" w:cs="宋体"/>
                <w:spacing w:val="6"/>
                <w:sz w:val="24"/>
                <w:szCs w:val="24"/>
              </w:rPr>
              <w:t>城区道路绿篱、南岸道路绿篱、行道树、交通渠化岛、洛神公园、小游园及小广场</w:t>
            </w:r>
            <w:r>
              <w:rPr>
                <w:rFonts w:hint="eastAsia" w:ascii="宋体" w:hAnsi="宋体" w:cs="宋体"/>
                <w:spacing w:val="6"/>
                <w:sz w:val="24"/>
                <w:szCs w:val="24"/>
                <w:lang w:eastAsia="zh-CN"/>
              </w:rPr>
              <w:t>、</w:t>
            </w:r>
            <w:r>
              <w:rPr>
                <w:rFonts w:hint="eastAsia" w:ascii="宋体" w:hAnsi="宋体" w:cs="宋体"/>
                <w:spacing w:val="6"/>
                <w:sz w:val="24"/>
                <w:szCs w:val="24"/>
                <w:lang w:val="en-US" w:eastAsia="zh-CN"/>
              </w:rPr>
              <w:t>健康步道、淇河路至西苑路段</w:t>
            </w:r>
            <w:r>
              <w:rPr>
                <w:rFonts w:hint="eastAsia" w:ascii="宋体" w:hAnsi="宋体" w:cs="宋体"/>
                <w:spacing w:val="6"/>
                <w:sz w:val="24"/>
                <w:szCs w:val="24"/>
              </w:rPr>
              <w:t>80米绿化带、</w:t>
            </w:r>
            <w:r>
              <w:rPr>
                <w:rFonts w:hint="eastAsia" w:ascii="宋体" w:hAnsi="宋体" w:cs="宋体"/>
                <w:spacing w:val="6"/>
                <w:sz w:val="24"/>
                <w:szCs w:val="24"/>
                <w:lang w:val="en-US" w:eastAsia="zh-CN"/>
              </w:rPr>
              <w:t>和平</w:t>
            </w:r>
            <w:r>
              <w:rPr>
                <w:rFonts w:hint="eastAsia" w:ascii="宋体" w:hAnsi="宋体" w:cs="宋体"/>
                <w:spacing w:val="6"/>
                <w:sz w:val="24"/>
                <w:szCs w:val="24"/>
              </w:rPr>
              <w:t>路至</w:t>
            </w:r>
            <w:r>
              <w:rPr>
                <w:rFonts w:hint="eastAsia" w:ascii="宋体" w:hAnsi="宋体" w:cs="宋体"/>
                <w:spacing w:val="6"/>
                <w:sz w:val="24"/>
                <w:szCs w:val="24"/>
                <w:lang w:val="en-US" w:eastAsia="zh-CN"/>
              </w:rPr>
              <w:t>卢傲</w:t>
            </w:r>
            <w:r>
              <w:rPr>
                <w:rFonts w:hint="eastAsia" w:ascii="宋体" w:hAnsi="宋体" w:cs="宋体"/>
                <w:spacing w:val="6"/>
                <w:sz w:val="24"/>
                <w:szCs w:val="24"/>
              </w:rPr>
              <w:t>路段80米绿化带</w:t>
            </w:r>
            <w:r>
              <w:rPr>
                <w:rFonts w:hint="eastAsia" w:ascii="宋体" w:hAnsi="宋体" w:cs="宋体"/>
                <w:spacing w:val="6"/>
                <w:sz w:val="24"/>
                <w:szCs w:val="24"/>
                <w:lang w:eastAsia="zh-CN"/>
              </w:rPr>
              <w:t>、</w:t>
            </w:r>
            <w:r>
              <w:rPr>
                <w:rFonts w:hint="eastAsia" w:ascii="宋体" w:hAnsi="宋体" w:cs="宋体"/>
                <w:spacing w:val="6"/>
                <w:sz w:val="24"/>
                <w:szCs w:val="24"/>
              </w:rPr>
              <w:t>南岸公园绿地</w:t>
            </w:r>
            <w:r>
              <w:rPr>
                <w:rFonts w:hint="eastAsia" w:ascii="宋体" w:hAnsi="宋体" w:cs="宋体"/>
                <w:spacing w:val="6"/>
                <w:sz w:val="24"/>
                <w:szCs w:val="24"/>
                <w:lang w:val="en-US" w:eastAsia="zh-CN"/>
              </w:rPr>
              <w:t>日常管护等（具体详见磋商文件第三章服务需求）</w:t>
            </w:r>
          </w:p>
        </w:tc>
      </w:tr>
      <w:tr w14:paraId="374C915A">
        <w:tblPrEx>
          <w:tblCellMar>
            <w:top w:w="0" w:type="dxa"/>
            <w:left w:w="108" w:type="dxa"/>
            <w:bottom w:w="0" w:type="dxa"/>
            <w:right w:w="108" w:type="dxa"/>
          </w:tblCellMar>
        </w:tblPrEx>
        <w:trPr>
          <w:trHeight w:val="489"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E0BBF60">
            <w:pPr>
              <w:widowControl w:val="0"/>
              <w:adjustRightInd w:val="0"/>
              <w:spacing w:line="400" w:lineRule="exact"/>
              <w:jc w:val="center"/>
              <w:rPr>
                <w:rFonts w:hint="eastAsia" w:ascii="宋体" w:hAnsi="宋体" w:cs="宋体" w:eastAsiaTheme="minorEastAsia"/>
                <w:spacing w:val="6"/>
                <w:sz w:val="24"/>
                <w:szCs w:val="24"/>
                <w:lang w:eastAsia="zh-CN"/>
              </w:rPr>
            </w:pPr>
            <w:r>
              <w:rPr>
                <w:rFonts w:hint="eastAsia" w:ascii="宋体" w:hAnsi="宋体" w:cs="宋体"/>
                <w:spacing w:val="6"/>
                <w:sz w:val="24"/>
                <w:szCs w:val="24"/>
                <w:lang w:val="en-US" w:eastAsia="zh-CN"/>
              </w:rPr>
              <w:t>7</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013327B7">
            <w:pPr>
              <w:widowControl w:val="0"/>
              <w:adjustRightInd w:val="0"/>
              <w:spacing w:line="400" w:lineRule="exact"/>
              <w:jc w:val="center"/>
              <w:rPr>
                <w:rFonts w:ascii="宋体" w:hAnsi="宋体" w:cs="宋体"/>
                <w:spacing w:val="6"/>
                <w:sz w:val="24"/>
                <w:szCs w:val="24"/>
              </w:rPr>
            </w:pPr>
            <w:r>
              <w:rPr>
                <w:rFonts w:ascii="宋体" w:hAnsi="宋体" w:cs="宋体"/>
                <w:spacing w:val="6"/>
                <w:sz w:val="24"/>
                <w:szCs w:val="24"/>
              </w:rPr>
              <w:t>采购方式</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68980259">
            <w:pPr>
              <w:widowControl w:val="0"/>
              <w:adjustRightInd w:val="0"/>
              <w:spacing w:line="400" w:lineRule="exact"/>
              <w:jc w:val="both"/>
              <w:rPr>
                <w:rFonts w:ascii="宋体" w:hAnsi="宋体" w:cs="宋体"/>
                <w:spacing w:val="6"/>
                <w:sz w:val="24"/>
                <w:szCs w:val="24"/>
              </w:rPr>
            </w:pPr>
            <w:r>
              <w:rPr>
                <w:rFonts w:ascii="宋体" w:hAnsi="宋体" w:cs="宋体"/>
                <w:spacing w:val="6"/>
                <w:sz w:val="24"/>
                <w:szCs w:val="24"/>
              </w:rPr>
              <w:t>竞争性磋商</w:t>
            </w:r>
          </w:p>
        </w:tc>
      </w:tr>
      <w:tr w14:paraId="5601A265">
        <w:tblPrEx>
          <w:tblCellMar>
            <w:top w:w="0" w:type="dxa"/>
            <w:left w:w="108" w:type="dxa"/>
            <w:bottom w:w="0" w:type="dxa"/>
            <w:right w:w="108" w:type="dxa"/>
          </w:tblCellMar>
        </w:tblPrEx>
        <w:trPr>
          <w:trHeight w:val="506"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3A118CB">
            <w:pPr>
              <w:widowControl w:val="0"/>
              <w:adjustRightInd w:val="0"/>
              <w:spacing w:line="400" w:lineRule="exact"/>
              <w:jc w:val="center"/>
              <w:rPr>
                <w:rFonts w:hint="default" w:ascii="宋体" w:hAnsi="宋体" w:cs="宋体"/>
                <w:spacing w:val="6"/>
                <w:sz w:val="24"/>
                <w:szCs w:val="24"/>
                <w:lang w:val="en-US" w:eastAsia="zh-CN"/>
              </w:rPr>
            </w:pPr>
            <w:r>
              <w:rPr>
                <w:rFonts w:hint="eastAsia" w:ascii="宋体" w:hAnsi="宋体" w:cs="宋体"/>
                <w:spacing w:val="6"/>
                <w:sz w:val="24"/>
                <w:szCs w:val="24"/>
                <w:lang w:val="en-US" w:eastAsia="zh-CN"/>
              </w:rPr>
              <w:t>8</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07E2770C">
            <w:pPr>
              <w:widowControl w:val="0"/>
              <w:adjustRightInd w:val="0"/>
              <w:spacing w:line="400" w:lineRule="exact"/>
              <w:jc w:val="center"/>
              <w:rPr>
                <w:rFonts w:ascii="宋体" w:hAnsi="宋体" w:cs="宋体"/>
                <w:spacing w:val="6"/>
                <w:sz w:val="24"/>
                <w:szCs w:val="24"/>
              </w:rPr>
            </w:pPr>
            <w:r>
              <w:rPr>
                <w:rFonts w:hint="eastAsia" w:ascii="宋体" w:hAnsi="宋体" w:cs="宋体"/>
                <w:sz w:val="24"/>
                <w:szCs w:val="24"/>
                <w:lang w:val="en-US" w:eastAsia="zh-CN"/>
              </w:rPr>
              <w:t>管护期限</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18E37B30">
            <w:pPr>
              <w:widowControl w:val="0"/>
              <w:spacing w:line="400" w:lineRule="exact"/>
              <w:rPr>
                <w:rFonts w:hint="eastAsia" w:ascii="宋体" w:hAnsi="宋体" w:eastAsia="宋体" w:cs="宋体"/>
                <w:spacing w:val="6"/>
                <w:sz w:val="24"/>
                <w:szCs w:val="24"/>
                <w:lang w:eastAsia="zh-CN"/>
              </w:rPr>
            </w:pPr>
            <w:r>
              <w:rPr>
                <w:rFonts w:hint="eastAsia" w:ascii="宋体" w:hAnsi="宋体" w:eastAsia="宋体" w:cs="宋体"/>
                <w:sz w:val="24"/>
                <w:szCs w:val="24"/>
                <w:lang w:val="en-US" w:eastAsia="zh-CN"/>
              </w:rPr>
              <w:t>一年</w:t>
            </w:r>
          </w:p>
        </w:tc>
      </w:tr>
      <w:tr w14:paraId="01831A18">
        <w:tblPrEx>
          <w:tblCellMar>
            <w:top w:w="0" w:type="dxa"/>
            <w:left w:w="108" w:type="dxa"/>
            <w:bottom w:w="0" w:type="dxa"/>
            <w:right w:w="108" w:type="dxa"/>
          </w:tblCellMar>
        </w:tblPrEx>
        <w:trPr>
          <w:trHeight w:val="506"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AEE9AC0">
            <w:pPr>
              <w:widowControl w:val="0"/>
              <w:adjustRightInd w:val="0"/>
              <w:spacing w:line="400" w:lineRule="exact"/>
              <w:jc w:val="center"/>
              <w:rPr>
                <w:rFonts w:hint="eastAsia" w:ascii="宋体" w:hAnsi="宋体" w:cs="宋体" w:eastAsiaTheme="minorEastAsia"/>
                <w:spacing w:val="6"/>
                <w:sz w:val="24"/>
                <w:szCs w:val="24"/>
                <w:lang w:eastAsia="zh-CN"/>
              </w:rPr>
            </w:pPr>
            <w:r>
              <w:rPr>
                <w:rFonts w:hint="eastAsia" w:ascii="宋体" w:hAnsi="宋体" w:cs="宋体"/>
                <w:spacing w:val="6"/>
                <w:sz w:val="24"/>
                <w:szCs w:val="24"/>
                <w:lang w:val="en-US" w:eastAsia="zh-CN"/>
              </w:rPr>
              <w:t>9</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1C66F542">
            <w:pPr>
              <w:widowControl w:val="0"/>
              <w:adjustRightInd w:val="0"/>
              <w:spacing w:line="400" w:lineRule="exact"/>
              <w:jc w:val="center"/>
              <w:rPr>
                <w:rFonts w:ascii="宋体" w:hAnsi="宋体" w:cs="宋体"/>
                <w:spacing w:val="6"/>
                <w:sz w:val="24"/>
                <w:szCs w:val="24"/>
              </w:rPr>
            </w:pPr>
            <w:r>
              <w:rPr>
                <w:rFonts w:ascii="宋体" w:hAnsi="宋体" w:cs="宋体"/>
                <w:spacing w:val="6"/>
                <w:sz w:val="24"/>
                <w:szCs w:val="24"/>
              </w:rPr>
              <w:t>质量要求</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3BAB83FA">
            <w:pPr>
              <w:widowControl w:val="0"/>
              <w:adjustRightInd w:val="0"/>
              <w:spacing w:line="400" w:lineRule="exact"/>
              <w:jc w:val="both"/>
              <w:rPr>
                <w:rFonts w:hint="eastAsia" w:ascii="宋体" w:hAnsi="宋体" w:eastAsia="宋体" w:cs="宋体"/>
                <w:spacing w:val="6"/>
                <w:sz w:val="24"/>
                <w:szCs w:val="24"/>
                <w:lang w:eastAsia="zh-CN"/>
              </w:rPr>
            </w:pPr>
            <w:r>
              <w:rPr>
                <w:rFonts w:hint="eastAsia" w:ascii="宋体" w:hAnsi="宋体" w:eastAsia="宋体" w:cs="宋体"/>
                <w:spacing w:val="6"/>
                <w:sz w:val="24"/>
                <w:szCs w:val="24"/>
                <w:lang w:eastAsia="zh-CN"/>
              </w:rPr>
              <w:t>符合国家及相关行业标准，并满足采购人要求</w:t>
            </w:r>
          </w:p>
        </w:tc>
      </w:tr>
      <w:tr w14:paraId="0322B6DE">
        <w:tblPrEx>
          <w:tblCellMar>
            <w:top w:w="0" w:type="dxa"/>
            <w:left w:w="108" w:type="dxa"/>
            <w:bottom w:w="0" w:type="dxa"/>
            <w:right w:w="108" w:type="dxa"/>
          </w:tblCellMar>
        </w:tblPrEx>
        <w:trPr>
          <w:trHeight w:val="60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7F88928">
            <w:pPr>
              <w:widowControl w:val="0"/>
              <w:adjustRightInd w:val="0"/>
              <w:spacing w:line="400" w:lineRule="exact"/>
              <w:jc w:val="center"/>
              <w:rPr>
                <w:rFonts w:hint="eastAsia" w:ascii="宋体" w:hAnsi="宋体" w:eastAsia="宋体" w:cs="宋体"/>
                <w:spacing w:val="6"/>
                <w:sz w:val="24"/>
                <w:szCs w:val="24"/>
                <w:lang w:val="en-US" w:eastAsia="zh-CN" w:bidi="ar-SA"/>
              </w:rPr>
            </w:pPr>
            <w:r>
              <w:rPr>
                <w:rFonts w:hint="eastAsia" w:ascii="宋体" w:hAnsi="宋体" w:cs="宋体"/>
                <w:spacing w:val="6"/>
                <w:sz w:val="24"/>
                <w:szCs w:val="24"/>
              </w:rPr>
              <w:t>10</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7A8436CC">
            <w:pPr>
              <w:widowControl w:val="0"/>
              <w:adjustRightInd w:val="0"/>
              <w:spacing w:line="400" w:lineRule="exact"/>
              <w:jc w:val="center"/>
              <w:rPr>
                <w:rFonts w:hint="eastAsia" w:ascii="宋体" w:hAnsi="宋体" w:eastAsia="宋体" w:cs="宋体"/>
                <w:sz w:val="24"/>
                <w:szCs w:val="24"/>
                <w:lang w:val="en-US" w:eastAsia="zh-CN" w:bidi="ar-SA"/>
              </w:rPr>
            </w:pPr>
            <w:r>
              <w:rPr>
                <w:rFonts w:hint="eastAsia" w:ascii="宋体" w:hAnsi="宋体" w:cs="宋体"/>
                <w:sz w:val="24"/>
                <w:szCs w:val="24"/>
              </w:rPr>
              <w:t>服务地点</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1A0142B0">
            <w:pPr>
              <w:shd w:val="clear" w:color="auto" w:fill="FFFFFF"/>
              <w:spacing w:line="400" w:lineRule="exac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卢氏县</w:t>
            </w:r>
          </w:p>
        </w:tc>
      </w:tr>
      <w:tr w14:paraId="2D2C4EF6">
        <w:tblPrEx>
          <w:tblCellMar>
            <w:top w:w="0" w:type="dxa"/>
            <w:left w:w="108" w:type="dxa"/>
            <w:bottom w:w="0" w:type="dxa"/>
            <w:right w:w="108" w:type="dxa"/>
          </w:tblCellMar>
        </w:tblPrEx>
        <w:trPr>
          <w:trHeight w:val="45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61C6A2A1">
            <w:pPr>
              <w:widowControl w:val="0"/>
              <w:adjustRightInd w:val="0"/>
              <w:spacing w:line="400" w:lineRule="exact"/>
              <w:jc w:val="center"/>
              <w:rPr>
                <w:rFonts w:hint="eastAsia" w:ascii="宋体" w:hAnsi="宋体" w:eastAsia="宋体" w:cs="宋体"/>
                <w:spacing w:val="6"/>
                <w:sz w:val="24"/>
                <w:szCs w:val="24"/>
                <w:highlight w:val="none"/>
                <w:lang w:val="en-US" w:eastAsia="zh-CN" w:bidi="ar-SA"/>
              </w:rPr>
            </w:pPr>
            <w:r>
              <w:rPr>
                <w:rFonts w:hint="eastAsia" w:ascii="宋体" w:hAnsi="宋体" w:cs="宋体"/>
                <w:spacing w:val="6"/>
                <w:sz w:val="24"/>
                <w:szCs w:val="24"/>
                <w:highlight w:val="none"/>
              </w:rPr>
              <w:t>11</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498F7821">
            <w:pPr>
              <w:widowControl w:val="0"/>
              <w:adjustRightInd w:val="0"/>
              <w:spacing w:line="400" w:lineRule="exact"/>
              <w:jc w:val="center"/>
              <w:rPr>
                <w:rFonts w:hint="eastAsia" w:ascii="宋体" w:hAnsi="宋体" w:cs="宋体"/>
                <w:spacing w:val="6"/>
                <w:sz w:val="24"/>
                <w:szCs w:val="24"/>
                <w:highlight w:val="none"/>
              </w:rPr>
            </w:pPr>
            <w:r>
              <w:rPr>
                <w:rFonts w:hint="eastAsia" w:ascii="宋体" w:hAnsi="宋体" w:cs="宋体"/>
                <w:spacing w:val="6"/>
                <w:sz w:val="24"/>
                <w:szCs w:val="24"/>
                <w:highlight w:val="none"/>
              </w:rPr>
              <w:t>预算资金</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A65912F">
            <w:pPr>
              <w:widowControl w:val="0"/>
              <w:adjustRightInd w:val="0"/>
              <w:spacing w:line="400" w:lineRule="exact"/>
              <w:jc w:val="both"/>
              <w:rPr>
                <w:rFonts w:hint="eastAsia" w:ascii="宋体" w:hAnsi="宋体" w:cs="宋体"/>
                <w:spacing w:val="6"/>
                <w:sz w:val="24"/>
                <w:szCs w:val="24"/>
                <w:highlight w:val="none"/>
              </w:rPr>
            </w:pPr>
            <w:r>
              <w:rPr>
                <w:rFonts w:hint="eastAsia" w:ascii="宋体" w:hAnsi="宋体" w:cs="宋体"/>
                <w:spacing w:val="6"/>
                <w:sz w:val="24"/>
                <w:szCs w:val="24"/>
                <w:highlight w:val="none"/>
              </w:rPr>
              <w:t>￥</w:t>
            </w:r>
            <w:r>
              <w:rPr>
                <w:rFonts w:hint="eastAsia" w:ascii="宋体" w:hAnsi="宋体" w:cs="宋体"/>
                <w:spacing w:val="6"/>
                <w:sz w:val="24"/>
                <w:szCs w:val="24"/>
                <w:highlight w:val="none"/>
                <w:lang w:val="en-US" w:eastAsia="zh-CN"/>
              </w:rPr>
              <w:t>1483648.50</w:t>
            </w:r>
            <w:r>
              <w:rPr>
                <w:rFonts w:hint="eastAsia" w:ascii="宋体" w:hAnsi="宋体" w:cs="宋体"/>
                <w:spacing w:val="6"/>
                <w:sz w:val="24"/>
                <w:szCs w:val="24"/>
                <w:highlight w:val="none"/>
              </w:rPr>
              <w:t>元（各供应商报价不能高于预算金额，否则视为无效报价）</w:t>
            </w:r>
          </w:p>
        </w:tc>
      </w:tr>
      <w:tr w14:paraId="5B21B426">
        <w:tblPrEx>
          <w:tblCellMar>
            <w:top w:w="0" w:type="dxa"/>
            <w:left w:w="108" w:type="dxa"/>
            <w:bottom w:w="0" w:type="dxa"/>
            <w:right w:w="108" w:type="dxa"/>
          </w:tblCellMar>
        </w:tblPrEx>
        <w:trPr>
          <w:trHeight w:val="607"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36830EB0">
            <w:pPr>
              <w:widowControl w:val="0"/>
              <w:adjustRightInd w:val="0"/>
              <w:spacing w:line="400" w:lineRule="exact"/>
              <w:jc w:val="center"/>
              <w:rPr>
                <w:rFonts w:hint="eastAsia" w:ascii="宋体" w:hAnsi="宋体" w:eastAsia="宋体" w:cs="宋体"/>
                <w:spacing w:val="6"/>
                <w:sz w:val="24"/>
                <w:szCs w:val="24"/>
                <w:lang w:val="en-US" w:eastAsia="zh-CN" w:bidi="ar-SA"/>
              </w:rPr>
            </w:pPr>
            <w:r>
              <w:rPr>
                <w:rFonts w:hint="eastAsia" w:ascii="宋体" w:hAnsi="宋体" w:cs="宋体"/>
                <w:spacing w:val="6"/>
                <w:sz w:val="24"/>
                <w:szCs w:val="24"/>
              </w:rPr>
              <w:t>12</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71160A15">
            <w:pPr>
              <w:widowControl w:val="0"/>
              <w:adjustRightInd w:val="0"/>
              <w:spacing w:line="400" w:lineRule="exact"/>
              <w:jc w:val="center"/>
              <w:rPr>
                <w:rFonts w:ascii="宋体" w:hAnsi="宋体" w:cs="宋体"/>
                <w:sz w:val="24"/>
                <w:szCs w:val="24"/>
              </w:rPr>
            </w:pPr>
            <w:r>
              <w:rPr>
                <w:rFonts w:ascii="宋体" w:hAnsi="宋体" w:cs="宋体"/>
                <w:sz w:val="24"/>
                <w:szCs w:val="24"/>
              </w:rPr>
              <w:t>资金来源</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95796FF">
            <w:pPr>
              <w:widowControl w:val="0"/>
              <w:adjustRightInd w:val="0"/>
              <w:spacing w:line="400" w:lineRule="exact"/>
              <w:jc w:val="both"/>
              <w:rPr>
                <w:rFonts w:ascii="宋体" w:hAnsi="宋体" w:cs="宋体"/>
                <w:spacing w:val="6"/>
                <w:sz w:val="24"/>
                <w:szCs w:val="24"/>
              </w:rPr>
            </w:pPr>
            <w:r>
              <w:rPr>
                <w:rFonts w:hint="eastAsia" w:ascii="宋体" w:hAnsi="宋体" w:cs="宋体"/>
                <w:sz w:val="24"/>
                <w:szCs w:val="24"/>
              </w:rPr>
              <w:t>财政资金，已落实</w:t>
            </w:r>
          </w:p>
        </w:tc>
      </w:tr>
      <w:tr w14:paraId="0141E4B3">
        <w:tblPrEx>
          <w:tblCellMar>
            <w:top w:w="0" w:type="dxa"/>
            <w:left w:w="108" w:type="dxa"/>
            <w:bottom w:w="0" w:type="dxa"/>
            <w:right w:w="108" w:type="dxa"/>
          </w:tblCellMar>
        </w:tblPrEx>
        <w:trPr>
          <w:trHeight w:val="536"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6F57C04C">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13</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DA52535">
            <w:pPr>
              <w:widowControl w:val="0"/>
              <w:adjustRightInd w:val="0"/>
              <w:spacing w:line="400" w:lineRule="exact"/>
              <w:jc w:val="center"/>
              <w:rPr>
                <w:rFonts w:ascii="宋体" w:hAnsi="宋体" w:cs="宋体"/>
                <w:spacing w:val="-40"/>
                <w:sz w:val="24"/>
                <w:szCs w:val="24"/>
                <w:highlight w:val="yellow"/>
              </w:rPr>
            </w:pPr>
            <w:r>
              <w:rPr>
                <w:rFonts w:ascii="宋体" w:hAnsi="宋体" w:cs="宋体"/>
                <w:sz w:val="24"/>
                <w:szCs w:val="24"/>
              </w:rPr>
              <w:t>供应商资</w:t>
            </w:r>
            <w:r>
              <w:rPr>
                <w:rFonts w:hint="eastAsia" w:ascii="宋体" w:hAnsi="宋体" w:cs="宋体"/>
                <w:sz w:val="24"/>
                <w:szCs w:val="24"/>
                <w:lang w:eastAsia="zh-CN"/>
              </w:rPr>
              <w:t>格</w:t>
            </w:r>
            <w:r>
              <w:rPr>
                <w:rFonts w:ascii="宋体" w:hAnsi="宋体" w:cs="宋体"/>
                <w:sz w:val="24"/>
                <w:szCs w:val="24"/>
              </w:rPr>
              <w:t>要求</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2BBDCFB4">
            <w:pPr>
              <w:shd w:val="clear" w:color="auto" w:fill="FFFFFF"/>
              <w:spacing w:line="400" w:lineRule="exact"/>
              <w:rPr>
                <w:rFonts w:ascii="宋体" w:hAnsi="宋体" w:cs="宋体"/>
                <w:sz w:val="24"/>
                <w:szCs w:val="24"/>
              </w:rPr>
            </w:pPr>
            <w:r>
              <w:rPr>
                <w:rFonts w:hint="eastAsia" w:ascii="宋体" w:hAnsi="宋体" w:cs="宋体"/>
                <w:sz w:val="24"/>
                <w:szCs w:val="24"/>
              </w:rPr>
              <w:t>具体详见公告部分</w:t>
            </w:r>
          </w:p>
        </w:tc>
      </w:tr>
      <w:tr w14:paraId="26D1FFBF">
        <w:tblPrEx>
          <w:tblCellMar>
            <w:top w:w="0" w:type="dxa"/>
            <w:left w:w="108" w:type="dxa"/>
            <w:bottom w:w="0" w:type="dxa"/>
            <w:right w:w="108" w:type="dxa"/>
          </w:tblCellMar>
        </w:tblPrEx>
        <w:trPr>
          <w:trHeight w:val="552"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BDA0D0D">
            <w:pPr>
              <w:widowControl w:val="0"/>
              <w:adjustRightInd w:val="0"/>
              <w:spacing w:line="400" w:lineRule="exact"/>
              <w:jc w:val="center"/>
              <w:rPr>
                <w:rFonts w:hint="eastAsia" w:ascii="宋体" w:hAnsi="宋体" w:cs="宋体"/>
                <w:spacing w:val="6"/>
                <w:sz w:val="24"/>
                <w:szCs w:val="24"/>
              </w:rPr>
            </w:pPr>
            <w:r>
              <w:rPr>
                <w:rFonts w:ascii="宋体" w:hAnsi="宋体" w:cs="宋体"/>
                <w:spacing w:val="6"/>
                <w:sz w:val="24"/>
                <w:szCs w:val="24"/>
              </w:rPr>
              <w:t>1</w:t>
            </w:r>
            <w:r>
              <w:rPr>
                <w:rFonts w:hint="eastAsia" w:ascii="宋体" w:hAnsi="宋体" w:cs="宋体"/>
                <w:spacing w:val="6"/>
                <w:sz w:val="24"/>
                <w:szCs w:val="24"/>
              </w:rPr>
              <w:t>4</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792B640">
            <w:pPr>
              <w:widowControl w:val="0"/>
              <w:adjustRightInd w:val="0"/>
              <w:spacing w:line="400" w:lineRule="exact"/>
              <w:jc w:val="center"/>
              <w:rPr>
                <w:rFonts w:ascii="宋体" w:hAnsi="宋体" w:cs="宋体"/>
                <w:spacing w:val="6"/>
                <w:sz w:val="24"/>
                <w:szCs w:val="24"/>
              </w:rPr>
            </w:pPr>
            <w:r>
              <w:rPr>
                <w:rFonts w:ascii="宋体" w:hAnsi="宋体" w:cs="宋体"/>
                <w:spacing w:val="6"/>
                <w:sz w:val="24"/>
                <w:szCs w:val="24"/>
              </w:rPr>
              <w:t>竞争性磋商</w:t>
            </w:r>
          </w:p>
          <w:p w14:paraId="6460344D">
            <w:pPr>
              <w:widowControl w:val="0"/>
              <w:adjustRightInd w:val="0"/>
              <w:spacing w:line="400" w:lineRule="exact"/>
              <w:jc w:val="center"/>
              <w:rPr>
                <w:rFonts w:ascii="宋体" w:hAnsi="宋体" w:cs="宋体"/>
                <w:sz w:val="24"/>
                <w:szCs w:val="24"/>
              </w:rPr>
            </w:pPr>
            <w:r>
              <w:rPr>
                <w:rFonts w:ascii="宋体" w:hAnsi="宋体" w:cs="宋体"/>
                <w:spacing w:val="6"/>
                <w:sz w:val="24"/>
                <w:szCs w:val="24"/>
              </w:rPr>
              <w:t>有效</w:t>
            </w:r>
            <w:r>
              <w:rPr>
                <w:rFonts w:ascii="宋体" w:hAnsi="宋体" w:cs="宋体"/>
                <w:sz w:val="24"/>
                <w:szCs w:val="24"/>
              </w:rPr>
              <w:t>期</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54A3536D">
            <w:pPr>
              <w:widowControl w:val="0"/>
              <w:adjustRightInd w:val="0"/>
              <w:spacing w:line="400" w:lineRule="exact"/>
              <w:jc w:val="both"/>
              <w:rPr>
                <w:rFonts w:ascii="宋体" w:hAnsi="宋体" w:cs="宋体"/>
                <w:spacing w:val="6"/>
                <w:sz w:val="24"/>
                <w:szCs w:val="24"/>
              </w:rPr>
            </w:pPr>
            <w:r>
              <w:rPr>
                <w:rFonts w:ascii="宋体" w:hAnsi="宋体" w:cs="宋体"/>
                <w:spacing w:val="6"/>
                <w:sz w:val="24"/>
                <w:szCs w:val="24"/>
                <w:u w:val="none"/>
              </w:rPr>
              <w:t>60</w:t>
            </w:r>
            <w:r>
              <w:rPr>
                <w:rFonts w:ascii="宋体" w:hAnsi="宋体" w:cs="宋体"/>
                <w:spacing w:val="6"/>
                <w:sz w:val="24"/>
                <w:szCs w:val="24"/>
              </w:rPr>
              <w:t>日历天(</w:t>
            </w:r>
            <w:r>
              <w:rPr>
                <w:rFonts w:hint="eastAsia" w:ascii="宋体" w:hAnsi="宋体" w:cs="宋体"/>
                <w:spacing w:val="6"/>
                <w:sz w:val="24"/>
                <w:szCs w:val="24"/>
                <w:lang w:val="en-US" w:eastAsia="zh-CN"/>
              </w:rPr>
              <w:t>指本项目递交响应文件截止之日起</w:t>
            </w:r>
            <w:r>
              <w:rPr>
                <w:rFonts w:ascii="宋体" w:hAnsi="宋体" w:cs="宋体"/>
                <w:spacing w:val="6"/>
                <w:sz w:val="24"/>
                <w:szCs w:val="24"/>
              </w:rPr>
              <w:t>)</w:t>
            </w:r>
          </w:p>
        </w:tc>
      </w:tr>
      <w:tr w14:paraId="540248F2">
        <w:tblPrEx>
          <w:tblCellMar>
            <w:top w:w="0" w:type="dxa"/>
            <w:left w:w="108" w:type="dxa"/>
            <w:bottom w:w="0" w:type="dxa"/>
            <w:right w:w="108" w:type="dxa"/>
          </w:tblCellMar>
        </w:tblPrEx>
        <w:trPr>
          <w:trHeight w:val="90"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73D685B8">
            <w:pPr>
              <w:widowControl w:val="0"/>
              <w:adjustRightInd w:val="0"/>
              <w:spacing w:line="400" w:lineRule="exact"/>
              <w:jc w:val="center"/>
              <w:rPr>
                <w:rFonts w:hint="eastAsia" w:ascii="宋体" w:hAnsi="宋体" w:cs="宋体"/>
                <w:spacing w:val="6"/>
                <w:sz w:val="24"/>
                <w:szCs w:val="24"/>
              </w:rPr>
            </w:pPr>
            <w:r>
              <w:rPr>
                <w:rFonts w:ascii="宋体" w:hAnsi="宋体" w:cs="宋体"/>
                <w:spacing w:val="6"/>
                <w:sz w:val="24"/>
                <w:szCs w:val="24"/>
              </w:rPr>
              <w:t>1</w:t>
            </w:r>
            <w:r>
              <w:rPr>
                <w:rFonts w:hint="eastAsia" w:ascii="宋体" w:hAnsi="宋体" w:cs="宋体"/>
                <w:spacing w:val="6"/>
                <w:sz w:val="24"/>
                <w:szCs w:val="24"/>
              </w:rPr>
              <w:t>5</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0EFF446F">
            <w:pPr>
              <w:widowControl w:val="0"/>
              <w:adjustRightInd w:val="0"/>
              <w:spacing w:line="400" w:lineRule="exact"/>
              <w:jc w:val="center"/>
              <w:rPr>
                <w:rFonts w:ascii="宋体" w:hAnsi="宋体" w:cs="宋体"/>
                <w:sz w:val="24"/>
                <w:szCs w:val="24"/>
              </w:rPr>
            </w:pPr>
            <w:r>
              <w:rPr>
                <w:rFonts w:ascii="宋体" w:hAnsi="宋体" w:cs="宋体"/>
                <w:sz w:val="24"/>
                <w:szCs w:val="24"/>
              </w:rPr>
              <w:t>竞争性磋商保证金</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036A321E">
            <w:pPr>
              <w:spacing w:line="400" w:lineRule="exact"/>
              <w:rPr>
                <w:rFonts w:ascii="宋体" w:hAnsi="宋体" w:cs="宋体"/>
                <w:spacing w:val="6"/>
                <w:sz w:val="24"/>
                <w:szCs w:val="24"/>
              </w:rPr>
            </w:pPr>
            <w:r>
              <w:rPr>
                <w:rFonts w:hint="eastAsia" w:ascii="宋体" w:hAnsi="宋体" w:cs="宋体"/>
                <w:spacing w:val="6"/>
                <w:sz w:val="24"/>
                <w:szCs w:val="24"/>
              </w:rPr>
              <w:t>按照《河南省财政厅关于优化政府采购营商环境有关问题的通知》（豫财购[2019]4号文）的要求本项目不再收取磋商保证金</w:t>
            </w:r>
          </w:p>
        </w:tc>
      </w:tr>
      <w:tr w14:paraId="52344711">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5DB1751C">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16</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04440CA9">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是否接受联合体投标</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663F8987">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不接受</w:t>
            </w:r>
          </w:p>
        </w:tc>
      </w:tr>
      <w:tr w14:paraId="2BEB5CF0">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03DEAC3">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17</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2986D876">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踏勘现场</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EFB4B0F">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不组织</w:t>
            </w:r>
          </w:p>
        </w:tc>
      </w:tr>
      <w:tr w14:paraId="6C25BAFC">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5F121D05">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18</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9FE686B">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投标预备会</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2A1D9811">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不召开</w:t>
            </w:r>
          </w:p>
        </w:tc>
      </w:tr>
      <w:tr w14:paraId="4FF2479D">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9387097">
            <w:pPr>
              <w:widowControl w:val="0"/>
              <w:adjustRightInd w:val="0"/>
              <w:spacing w:line="400" w:lineRule="exact"/>
              <w:jc w:val="center"/>
              <w:rPr>
                <w:rFonts w:ascii="宋体" w:hAnsi="宋体" w:cs="宋体"/>
                <w:spacing w:val="6"/>
                <w:sz w:val="24"/>
                <w:szCs w:val="24"/>
                <w:highlight w:val="none"/>
              </w:rPr>
            </w:pPr>
            <w:r>
              <w:rPr>
                <w:rFonts w:hint="eastAsia" w:ascii="宋体" w:hAnsi="宋体" w:cs="宋体"/>
                <w:spacing w:val="6"/>
                <w:sz w:val="24"/>
                <w:szCs w:val="24"/>
                <w:highlight w:val="none"/>
              </w:rPr>
              <w:t>19</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5AF23AD6">
            <w:pPr>
              <w:widowControl w:val="0"/>
              <w:adjustRightInd w:val="0"/>
              <w:spacing w:line="400" w:lineRule="exact"/>
              <w:jc w:val="center"/>
              <w:rPr>
                <w:rFonts w:hint="eastAsia" w:ascii="宋体" w:hAnsi="宋体" w:cs="宋体" w:eastAsiaTheme="minorEastAsia"/>
                <w:spacing w:val="6"/>
                <w:sz w:val="24"/>
                <w:szCs w:val="24"/>
                <w:highlight w:val="none"/>
                <w:lang w:val="en-US" w:eastAsia="zh-CN"/>
              </w:rPr>
            </w:pPr>
            <w:r>
              <w:rPr>
                <w:rFonts w:hint="eastAsia" w:ascii="宋体" w:hAnsi="宋体" w:cs="宋体"/>
                <w:spacing w:val="6"/>
                <w:sz w:val="24"/>
                <w:szCs w:val="24"/>
                <w:highlight w:val="none"/>
              </w:rPr>
              <w:t>分包</w:t>
            </w:r>
            <w:r>
              <w:rPr>
                <w:rFonts w:hint="eastAsia" w:ascii="宋体" w:hAnsi="宋体" w:cs="宋体"/>
                <w:spacing w:val="6"/>
                <w:sz w:val="24"/>
                <w:szCs w:val="24"/>
                <w:highlight w:val="none"/>
                <w:lang w:val="en-US" w:eastAsia="zh-CN"/>
              </w:rPr>
              <w:t>转包</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33EFE74F">
            <w:pPr>
              <w:widowControl w:val="0"/>
              <w:adjustRightInd w:val="0"/>
              <w:spacing w:line="400" w:lineRule="exact"/>
              <w:rPr>
                <w:rFonts w:ascii="宋体" w:hAnsi="宋体" w:cs="宋体"/>
                <w:spacing w:val="6"/>
                <w:sz w:val="24"/>
                <w:szCs w:val="24"/>
                <w:highlight w:val="none"/>
              </w:rPr>
            </w:pPr>
            <w:r>
              <w:rPr>
                <w:rFonts w:hint="eastAsia" w:ascii="宋体" w:hAnsi="宋体" w:cs="宋体"/>
                <w:spacing w:val="6"/>
                <w:sz w:val="24"/>
                <w:szCs w:val="24"/>
                <w:highlight w:val="none"/>
              </w:rPr>
              <w:t>本</w:t>
            </w:r>
            <w:r>
              <w:rPr>
                <w:rFonts w:hint="eastAsia" w:ascii="宋体" w:hAnsi="宋体" w:cs="宋体"/>
                <w:spacing w:val="6"/>
                <w:sz w:val="24"/>
                <w:szCs w:val="24"/>
                <w:highlight w:val="none"/>
                <w:lang w:val="en-US" w:eastAsia="zh-CN"/>
              </w:rPr>
              <w:t>项目不允许分包转包，如果在项目运行过程中，供应商出现项目分包转包的情况，采购人可以立即终止项目服务合同</w:t>
            </w:r>
          </w:p>
        </w:tc>
      </w:tr>
      <w:tr w14:paraId="5F9110D6">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5691ED51">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20</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73426EC4">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偏离</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5A0D3053">
            <w:pPr>
              <w:widowControl w:val="0"/>
              <w:adjustRightInd w:val="0"/>
              <w:spacing w:line="400" w:lineRule="exact"/>
              <w:rPr>
                <w:rFonts w:hint="eastAsia" w:ascii="宋体" w:hAnsi="宋体" w:eastAsia="宋体" w:cs="宋体"/>
                <w:spacing w:val="6"/>
                <w:sz w:val="24"/>
                <w:szCs w:val="24"/>
                <w:lang w:val="en-US" w:eastAsia="zh-CN"/>
              </w:rPr>
            </w:pPr>
            <w:r>
              <w:rPr>
                <w:rFonts w:hint="eastAsia" w:ascii="宋体" w:hAnsi="宋体" w:cs="宋体"/>
                <w:spacing w:val="6"/>
                <w:sz w:val="24"/>
                <w:szCs w:val="24"/>
              </w:rPr>
              <w:t>不允许</w:t>
            </w:r>
            <w:r>
              <w:rPr>
                <w:rFonts w:hint="eastAsia" w:ascii="宋体" w:hAnsi="宋体" w:cs="宋体"/>
                <w:spacing w:val="6"/>
                <w:sz w:val="24"/>
                <w:szCs w:val="24"/>
                <w:lang w:val="en-US" w:eastAsia="zh-CN"/>
              </w:rPr>
              <w:t>负偏离</w:t>
            </w:r>
          </w:p>
        </w:tc>
      </w:tr>
      <w:tr w14:paraId="67DA9564">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22FC79C">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21</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009AA795">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是否接受进口</w:t>
            </w:r>
          </w:p>
          <w:p w14:paraId="7AE9FB40">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产品</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26E9871B">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否</w:t>
            </w:r>
          </w:p>
        </w:tc>
      </w:tr>
      <w:tr w14:paraId="7A7730FB">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58B94413">
            <w:pPr>
              <w:widowControl w:val="0"/>
              <w:adjustRightInd w:val="0"/>
              <w:spacing w:line="400" w:lineRule="exact"/>
              <w:jc w:val="center"/>
              <w:rPr>
                <w:rFonts w:hint="default" w:ascii="宋体" w:hAnsi="宋体" w:cs="宋体" w:eastAsiaTheme="minorEastAsia"/>
                <w:spacing w:val="6"/>
                <w:sz w:val="24"/>
                <w:szCs w:val="24"/>
                <w:lang w:val="en-US" w:eastAsia="zh-CN"/>
              </w:rPr>
            </w:pPr>
            <w:r>
              <w:rPr>
                <w:rFonts w:hint="eastAsia" w:ascii="宋体" w:hAnsi="宋体" w:cs="宋体"/>
                <w:spacing w:val="6"/>
                <w:sz w:val="24"/>
                <w:szCs w:val="24"/>
              </w:rPr>
              <w:t>22</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7B9C3A6E">
            <w:pPr>
              <w:adjustRightInd w:val="0"/>
              <w:snapToGrid w:val="0"/>
              <w:spacing w:line="400" w:lineRule="exact"/>
              <w:jc w:val="center"/>
              <w:rPr>
                <w:rFonts w:hint="eastAsia" w:ascii="宋体" w:hAnsi="宋体" w:cs="宋体"/>
                <w:spacing w:val="-10"/>
                <w:sz w:val="24"/>
                <w:szCs w:val="24"/>
              </w:rPr>
            </w:pPr>
            <w:r>
              <w:rPr>
                <w:rFonts w:hint="eastAsia" w:ascii="宋体" w:hAnsi="宋体" w:cs="宋体"/>
                <w:sz w:val="24"/>
              </w:rPr>
              <w:t>构成磋商文件的其他材料</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5DF433DC">
            <w:pPr>
              <w:adjustRightInd w:val="0"/>
              <w:snapToGrid w:val="0"/>
              <w:spacing w:line="400" w:lineRule="exact"/>
              <w:rPr>
                <w:rFonts w:hint="eastAsia" w:ascii="宋体" w:hAnsi="宋体" w:cs="宋体"/>
                <w:spacing w:val="-10"/>
                <w:sz w:val="24"/>
                <w:szCs w:val="24"/>
              </w:rPr>
            </w:pPr>
            <w:r>
              <w:rPr>
                <w:rFonts w:hint="eastAsia" w:ascii="宋体" w:hAnsi="宋体" w:cs="宋体"/>
                <w:sz w:val="24"/>
              </w:rPr>
              <w:t>对磋商文件所作的澄清（含答疑）、修改，补充构成磋商文件的组成部分</w:t>
            </w:r>
          </w:p>
        </w:tc>
      </w:tr>
      <w:tr w14:paraId="1D226D3B">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7F9783E">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lang w:val="en-US" w:eastAsia="zh-CN"/>
              </w:rPr>
              <w:t>23</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6F010EDC">
            <w:pPr>
              <w:spacing w:line="400" w:lineRule="exact"/>
              <w:jc w:val="center"/>
              <w:rPr>
                <w:rFonts w:hint="eastAsia" w:ascii="宋体" w:hAnsi="宋体" w:cs="宋体"/>
                <w:spacing w:val="-10"/>
                <w:sz w:val="24"/>
                <w:szCs w:val="24"/>
              </w:rPr>
            </w:pPr>
            <w:r>
              <w:rPr>
                <w:rFonts w:hint="eastAsia" w:ascii="宋体" w:hAnsi="宋体" w:cs="宋体"/>
                <w:sz w:val="24"/>
                <w:szCs w:val="24"/>
              </w:rPr>
              <w:t>响应人要求澄清竞争性磋商文件的截止时间</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2A2BBC32">
            <w:pPr>
              <w:spacing w:line="400" w:lineRule="exact"/>
              <w:rPr>
                <w:rFonts w:hint="eastAsia" w:ascii="宋体" w:hAnsi="宋体" w:cs="宋体"/>
                <w:spacing w:val="-10"/>
                <w:sz w:val="24"/>
                <w:szCs w:val="24"/>
              </w:rPr>
            </w:pPr>
            <w:r>
              <w:rPr>
                <w:rFonts w:hint="eastAsia" w:ascii="宋体" w:hAnsi="宋体" w:cs="宋体"/>
                <w:sz w:val="24"/>
                <w:szCs w:val="24"/>
              </w:rPr>
              <w:t>响应文件递交截止时间5日前</w:t>
            </w:r>
          </w:p>
        </w:tc>
      </w:tr>
      <w:tr w14:paraId="145CC02E">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D30567C">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24</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409FDDC2">
            <w:pPr>
              <w:spacing w:line="400" w:lineRule="exact"/>
              <w:ind w:left="240" w:hanging="240" w:hangingChars="100"/>
              <w:jc w:val="center"/>
              <w:rPr>
                <w:rFonts w:ascii="宋体" w:hAnsi="宋体" w:cs="宋体"/>
                <w:sz w:val="24"/>
                <w:szCs w:val="24"/>
              </w:rPr>
            </w:pPr>
            <w:r>
              <w:rPr>
                <w:rFonts w:hint="eastAsia" w:ascii="宋体" w:hAnsi="宋体" w:cs="宋体"/>
                <w:sz w:val="24"/>
                <w:szCs w:val="24"/>
              </w:rPr>
              <w:t>响应文件递</w:t>
            </w:r>
          </w:p>
          <w:p w14:paraId="4E927902">
            <w:pPr>
              <w:spacing w:line="400" w:lineRule="exact"/>
              <w:ind w:left="240" w:hanging="240" w:hangingChars="100"/>
              <w:jc w:val="center"/>
              <w:rPr>
                <w:rFonts w:hint="eastAsia" w:ascii="宋体" w:hAnsi="宋体" w:cs="宋体"/>
                <w:spacing w:val="-10"/>
                <w:sz w:val="24"/>
                <w:szCs w:val="24"/>
              </w:rPr>
            </w:pPr>
            <w:r>
              <w:rPr>
                <w:rFonts w:hint="eastAsia" w:ascii="宋体" w:hAnsi="宋体" w:cs="宋体"/>
                <w:sz w:val="24"/>
                <w:szCs w:val="24"/>
              </w:rPr>
              <w:t>交截止时间</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470CD9A6">
            <w:pPr>
              <w:spacing w:line="400" w:lineRule="exact"/>
              <w:rPr>
                <w:rFonts w:hint="eastAsia" w:ascii="宋体" w:hAnsi="宋体" w:cs="宋体"/>
                <w:spacing w:val="-10"/>
                <w:sz w:val="24"/>
                <w:szCs w:val="24"/>
              </w:rPr>
            </w:pPr>
            <w:r>
              <w:rPr>
                <w:rFonts w:hint="eastAsia" w:ascii="宋体" w:hAnsi="宋体" w:cs="宋体"/>
                <w:spacing w:val="6"/>
                <w:sz w:val="24"/>
                <w:szCs w:val="24"/>
              </w:rPr>
              <w:t>具体详见公告部分</w:t>
            </w:r>
          </w:p>
        </w:tc>
      </w:tr>
      <w:tr w14:paraId="511D35B4">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057A124">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25</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6C3C6C3B">
            <w:pPr>
              <w:spacing w:line="400" w:lineRule="exact"/>
              <w:jc w:val="center"/>
              <w:rPr>
                <w:rFonts w:hint="eastAsia" w:ascii="宋体" w:hAnsi="宋体" w:cs="宋体"/>
                <w:spacing w:val="-10"/>
                <w:sz w:val="24"/>
                <w:szCs w:val="24"/>
              </w:rPr>
            </w:pPr>
            <w:r>
              <w:rPr>
                <w:rFonts w:hint="eastAsia" w:ascii="宋体" w:hAnsi="宋体" w:cs="宋体"/>
                <w:sz w:val="24"/>
                <w:szCs w:val="24"/>
              </w:rPr>
              <w:t>响应人确认收到竞争性磋商文件澄清的时间</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6E9C679F">
            <w:pPr>
              <w:spacing w:line="400" w:lineRule="exact"/>
              <w:rPr>
                <w:rFonts w:hint="eastAsia" w:ascii="宋体" w:hAnsi="宋体" w:cs="宋体"/>
                <w:spacing w:val="-10"/>
                <w:sz w:val="24"/>
                <w:szCs w:val="24"/>
              </w:rPr>
            </w:pPr>
            <w:r>
              <w:rPr>
                <w:rFonts w:hint="eastAsia" w:ascii="宋体" w:hAnsi="宋体" w:cs="宋体"/>
                <w:sz w:val="24"/>
                <w:szCs w:val="24"/>
              </w:rPr>
              <w:t>收到相应澄清文件后</w:t>
            </w:r>
            <w:r>
              <w:rPr>
                <w:rFonts w:hint="eastAsia" w:ascii="宋体" w:hAnsi="宋体" w:cs="宋体"/>
                <w:sz w:val="24"/>
                <w:szCs w:val="24"/>
                <w:u w:val="none"/>
              </w:rPr>
              <w:t>24</w:t>
            </w:r>
            <w:r>
              <w:rPr>
                <w:rFonts w:hint="eastAsia" w:ascii="宋体" w:hAnsi="宋体" w:cs="宋体"/>
                <w:sz w:val="24"/>
                <w:szCs w:val="24"/>
              </w:rPr>
              <w:t>小时内</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以</w:t>
            </w:r>
            <w:r>
              <w:rPr>
                <w:rFonts w:hint="eastAsia" w:ascii="宋体" w:hAnsi="宋体" w:eastAsia="宋体" w:cs="宋体"/>
                <w:color w:val="auto"/>
                <w:sz w:val="24"/>
                <w:szCs w:val="24"/>
              </w:rPr>
              <w:t>发出时间为准）</w:t>
            </w:r>
          </w:p>
        </w:tc>
      </w:tr>
      <w:tr w14:paraId="3DAE70B5">
        <w:tblPrEx>
          <w:tblCellMar>
            <w:top w:w="0" w:type="dxa"/>
            <w:left w:w="108" w:type="dxa"/>
            <w:bottom w:w="0" w:type="dxa"/>
            <w:right w:w="108" w:type="dxa"/>
          </w:tblCellMar>
        </w:tblPrEx>
        <w:trPr>
          <w:trHeight w:val="420"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52C42DB1">
            <w:pPr>
              <w:widowControl w:val="0"/>
              <w:adjustRightInd w:val="0"/>
              <w:spacing w:line="400" w:lineRule="exact"/>
              <w:jc w:val="center"/>
              <w:rPr>
                <w:rFonts w:hint="default" w:ascii="宋体" w:hAnsi="宋体" w:cs="宋体" w:eastAsiaTheme="minorEastAsia"/>
                <w:spacing w:val="6"/>
                <w:sz w:val="24"/>
                <w:szCs w:val="24"/>
                <w:lang w:val="en-US" w:eastAsia="zh-CN"/>
              </w:rPr>
            </w:pPr>
            <w:r>
              <w:rPr>
                <w:rFonts w:hint="eastAsia" w:ascii="宋体" w:hAnsi="宋体" w:cs="宋体"/>
                <w:spacing w:val="6"/>
                <w:sz w:val="24"/>
                <w:szCs w:val="24"/>
                <w:lang w:val="en-US" w:eastAsia="zh-CN"/>
              </w:rPr>
              <w:t>26</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66A33CC4">
            <w:pPr>
              <w:spacing w:line="400" w:lineRule="exact"/>
              <w:jc w:val="center"/>
              <w:rPr>
                <w:rFonts w:hint="eastAsia" w:ascii="宋体" w:hAnsi="宋体" w:cs="宋体"/>
                <w:spacing w:val="-10"/>
                <w:sz w:val="24"/>
                <w:szCs w:val="24"/>
              </w:rPr>
            </w:pPr>
            <w:r>
              <w:rPr>
                <w:rFonts w:hint="eastAsia" w:ascii="宋体" w:hAnsi="宋体" w:cs="宋体"/>
                <w:sz w:val="24"/>
                <w:szCs w:val="24"/>
              </w:rPr>
              <w:t>响应人确认收到竞争性磋商文件修改的时间</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6171CB2">
            <w:pPr>
              <w:spacing w:line="400" w:lineRule="exact"/>
              <w:rPr>
                <w:rFonts w:hint="eastAsia" w:ascii="宋体" w:hAnsi="宋体" w:cs="宋体"/>
                <w:spacing w:val="-10"/>
                <w:sz w:val="24"/>
                <w:szCs w:val="24"/>
              </w:rPr>
            </w:pPr>
            <w:r>
              <w:rPr>
                <w:rFonts w:hint="eastAsia" w:ascii="宋体" w:hAnsi="宋体" w:cs="宋体"/>
                <w:sz w:val="24"/>
                <w:szCs w:val="24"/>
              </w:rPr>
              <w:t>收到相应修改文件后</w:t>
            </w:r>
            <w:r>
              <w:rPr>
                <w:rFonts w:hint="eastAsia" w:ascii="宋体" w:hAnsi="宋体" w:cs="宋体"/>
                <w:sz w:val="24"/>
                <w:szCs w:val="24"/>
                <w:u w:val="none"/>
              </w:rPr>
              <w:t>24</w:t>
            </w:r>
            <w:r>
              <w:rPr>
                <w:rFonts w:hint="eastAsia" w:ascii="宋体" w:hAnsi="宋体" w:cs="宋体"/>
                <w:sz w:val="24"/>
                <w:szCs w:val="24"/>
              </w:rPr>
              <w:t>小时内</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以</w:t>
            </w:r>
            <w:r>
              <w:rPr>
                <w:rFonts w:hint="eastAsia" w:ascii="宋体" w:hAnsi="宋体" w:eastAsia="宋体" w:cs="宋体"/>
                <w:color w:val="auto"/>
                <w:sz w:val="24"/>
                <w:szCs w:val="24"/>
              </w:rPr>
              <w:t>发出时间为准）</w:t>
            </w:r>
          </w:p>
        </w:tc>
      </w:tr>
      <w:tr w14:paraId="09AAAC8E">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F706592">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27</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732BC654">
            <w:pPr>
              <w:spacing w:line="400" w:lineRule="exact"/>
              <w:jc w:val="center"/>
              <w:rPr>
                <w:rFonts w:hint="eastAsia" w:ascii="宋体" w:hAnsi="宋体" w:cs="宋体"/>
                <w:sz w:val="24"/>
                <w:szCs w:val="24"/>
              </w:rPr>
            </w:pPr>
            <w:r>
              <w:rPr>
                <w:rFonts w:hint="eastAsia" w:ascii="宋体" w:hAnsi="宋体" w:cs="宋体"/>
                <w:sz w:val="24"/>
                <w:szCs w:val="24"/>
              </w:rPr>
              <w:t>响应文件是否</w:t>
            </w:r>
          </w:p>
          <w:p w14:paraId="1600F204">
            <w:pPr>
              <w:spacing w:line="400" w:lineRule="exact"/>
              <w:jc w:val="center"/>
              <w:rPr>
                <w:rFonts w:hint="eastAsia" w:ascii="宋体" w:hAnsi="宋体" w:cs="宋体"/>
                <w:sz w:val="24"/>
                <w:szCs w:val="24"/>
              </w:rPr>
            </w:pPr>
            <w:r>
              <w:rPr>
                <w:rFonts w:hint="eastAsia" w:ascii="宋体" w:hAnsi="宋体" w:cs="宋体"/>
                <w:sz w:val="24"/>
                <w:szCs w:val="24"/>
              </w:rPr>
              <w:t>退还</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6396DC83">
            <w:pPr>
              <w:spacing w:line="400" w:lineRule="exact"/>
              <w:jc w:val="left"/>
              <w:rPr>
                <w:rFonts w:hint="eastAsia" w:ascii="宋体" w:hAnsi="宋体" w:cs="宋体"/>
                <w:sz w:val="24"/>
                <w:szCs w:val="24"/>
              </w:rPr>
            </w:pPr>
            <w:r>
              <w:rPr>
                <w:rFonts w:hint="eastAsia" w:ascii="宋体" w:hAnsi="宋体" w:cs="宋体"/>
                <w:sz w:val="24"/>
                <w:szCs w:val="24"/>
              </w:rPr>
              <w:t>否</w:t>
            </w:r>
          </w:p>
        </w:tc>
      </w:tr>
      <w:tr w14:paraId="73C75BD4">
        <w:tblPrEx>
          <w:tblCellMar>
            <w:top w:w="0" w:type="dxa"/>
            <w:left w:w="108" w:type="dxa"/>
            <w:bottom w:w="0" w:type="dxa"/>
            <w:right w:w="108" w:type="dxa"/>
          </w:tblCellMar>
        </w:tblPrEx>
        <w:trPr>
          <w:trHeight w:val="871"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35168B2">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28</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17A386F">
            <w:pPr>
              <w:widowControl w:val="0"/>
              <w:spacing w:line="400" w:lineRule="exact"/>
              <w:jc w:val="center"/>
              <w:rPr>
                <w:rFonts w:ascii="宋体" w:hAnsi="宋体" w:cs="宋体"/>
                <w:spacing w:val="6"/>
                <w:sz w:val="24"/>
                <w:szCs w:val="24"/>
              </w:rPr>
            </w:pPr>
            <w:r>
              <w:rPr>
                <w:rFonts w:hint="eastAsia" w:ascii="宋体" w:hAnsi="宋体" w:cs="宋体"/>
                <w:spacing w:val="6"/>
                <w:sz w:val="24"/>
                <w:szCs w:val="24"/>
              </w:rPr>
              <w:t>是否允许递交备选磋商方案</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1FEA976B">
            <w:pPr>
              <w:spacing w:line="400" w:lineRule="exact"/>
              <w:jc w:val="both"/>
              <w:rPr>
                <w:rFonts w:ascii="宋体" w:hAnsi="宋体" w:cs="宋体"/>
                <w:spacing w:val="6"/>
                <w:sz w:val="24"/>
                <w:szCs w:val="24"/>
              </w:rPr>
            </w:pPr>
            <w:r>
              <w:rPr>
                <w:rFonts w:hint="eastAsia" w:ascii="宋体" w:hAnsi="宋体" w:cs="宋体"/>
                <w:spacing w:val="6"/>
                <w:sz w:val="24"/>
                <w:szCs w:val="24"/>
              </w:rPr>
              <w:t>不允许</w:t>
            </w:r>
          </w:p>
        </w:tc>
      </w:tr>
      <w:tr w14:paraId="3702864E">
        <w:tblPrEx>
          <w:tblCellMar>
            <w:top w:w="0" w:type="dxa"/>
            <w:left w:w="108" w:type="dxa"/>
            <w:bottom w:w="0" w:type="dxa"/>
            <w:right w:w="108" w:type="dxa"/>
          </w:tblCellMar>
        </w:tblPrEx>
        <w:trPr>
          <w:trHeight w:val="1021"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5BDC71E1">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29</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6C356498">
            <w:pPr>
              <w:spacing w:line="400" w:lineRule="exact"/>
              <w:jc w:val="center"/>
              <w:rPr>
                <w:rFonts w:hint="eastAsia" w:ascii="宋体" w:hAnsi="宋体" w:cs="宋体"/>
                <w:sz w:val="24"/>
                <w:szCs w:val="24"/>
              </w:rPr>
            </w:pPr>
            <w:r>
              <w:rPr>
                <w:rFonts w:hint="eastAsia" w:ascii="宋体" w:hAnsi="宋体" w:cs="宋体"/>
                <w:sz w:val="24"/>
                <w:szCs w:val="24"/>
              </w:rPr>
              <w:t>签字和（或）盖章要求</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6F6ACD14">
            <w:pPr>
              <w:spacing w:line="400" w:lineRule="exact"/>
              <w:rPr>
                <w:rFonts w:ascii="宋体" w:hAnsi="宋体" w:cs="宋体"/>
                <w:sz w:val="24"/>
                <w:szCs w:val="24"/>
              </w:rPr>
            </w:pPr>
            <w:r>
              <w:rPr>
                <w:rFonts w:hint="eastAsia" w:ascii="宋体" w:hAnsi="宋体" w:cs="宋体"/>
                <w:sz w:val="24"/>
                <w:szCs w:val="24"/>
              </w:rPr>
              <w:t>电子化响应文件的签章：</w:t>
            </w:r>
          </w:p>
          <w:p w14:paraId="03A3B3D8">
            <w:pPr>
              <w:spacing w:line="400" w:lineRule="exact"/>
              <w:rPr>
                <w:rFonts w:ascii="宋体" w:hAnsi="宋体" w:cs="宋体"/>
                <w:sz w:val="24"/>
                <w:szCs w:val="24"/>
              </w:rPr>
            </w:pPr>
            <w:r>
              <w:rPr>
                <w:rFonts w:hint="eastAsia" w:ascii="宋体" w:hAnsi="宋体" w:cs="宋体"/>
                <w:sz w:val="24"/>
                <w:szCs w:val="24"/>
              </w:rPr>
              <w:t>1、响应人在生成电子化响应文件后，应对电子化响应文件进行签章，未对电子化响应文件进行签章的视为无效文件。</w:t>
            </w:r>
          </w:p>
          <w:p w14:paraId="12DBEAEC">
            <w:pPr>
              <w:spacing w:line="400" w:lineRule="exact"/>
              <w:rPr>
                <w:rFonts w:ascii="宋体" w:hAnsi="宋体" w:cs="宋体"/>
                <w:sz w:val="24"/>
                <w:szCs w:val="24"/>
              </w:rPr>
            </w:pPr>
            <w:r>
              <w:rPr>
                <w:rFonts w:hint="eastAsia" w:ascii="宋体" w:hAnsi="宋体" w:cs="宋体"/>
                <w:sz w:val="24"/>
                <w:szCs w:val="24"/>
              </w:rPr>
              <w:t>2、竞争性磋商文件中要求法定代表人或</w:t>
            </w:r>
            <w:r>
              <w:rPr>
                <w:rFonts w:hint="eastAsia" w:ascii="宋体" w:hAnsi="宋体" w:cs="宋体"/>
                <w:sz w:val="24"/>
                <w:szCs w:val="24"/>
                <w:lang w:val="en-US" w:eastAsia="zh-CN"/>
              </w:rPr>
              <w:t>其委托代理人签字或签</w:t>
            </w:r>
            <w:r>
              <w:rPr>
                <w:rFonts w:hint="eastAsia" w:ascii="宋体" w:hAnsi="宋体" w:cs="宋体"/>
                <w:sz w:val="24"/>
                <w:szCs w:val="24"/>
              </w:rPr>
              <w:t>章的，响应人在进行电子化响应文件签章时，以签盖法定代表人签章为准。</w:t>
            </w:r>
          </w:p>
          <w:p w14:paraId="6FC85523">
            <w:pPr>
              <w:wordWrap w:val="0"/>
              <w:spacing w:line="400" w:lineRule="exact"/>
              <w:rPr>
                <w:rFonts w:hint="eastAsia" w:ascii="宋体" w:hAnsi="宋体" w:cs="宋体"/>
                <w:sz w:val="24"/>
              </w:rPr>
            </w:pPr>
            <w:r>
              <w:rPr>
                <w:rFonts w:hint="eastAsia" w:ascii="宋体" w:hAnsi="宋体" w:cs="宋体"/>
                <w:sz w:val="24"/>
                <w:szCs w:val="24"/>
              </w:rPr>
              <w:t>3、电子化响应文件工具请点击</w:t>
            </w:r>
            <w:r>
              <w:rPr>
                <w:rFonts w:ascii="宋体" w:hAnsi="宋体" w:cs="宋体"/>
                <w:sz w:val="24"/>
                <w:szCs w:val="24"/>
              </w:rPr>
              <w:t>https://download.bqpoint.com/download/downloadlist.html?SoftTypeCode=06</w:t>
            </w:r>
            <w:r>
              <w:rPr>
                <w:rFonts w:hint="eastAsia" w:ascii="宋体" w:hAnsi="宋体" w:cs="宋体"/>
                <w:sz w:val="24"/>
                <w:szCs w:val="24"/>
              </w:rPr>
              <w:t>进行下载。</w:t>
            </w:r>
          </w:p>
        </w:tc>
      </w:tr>
      <w:tr w14:paraId="5B8C30FE">
        <w:tblPrEx>
          <w:tblCellMar>
            <w:top w:w="0" w:type="dxa"/>
            <w:left w:w="108" w:type="dxa"/>
            <w:bottom w:w="0" w:type="dxa"/>
            <w:right w:w="108" w:type="dxa"/>
          </w:tblCellMar>
        </w:tblPrEx>
        <w:trPr>
          <w:trHeight w:val="831"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6AA7A40">
            <w:pPr>
              <w:widowControl w:val="0"/>
              <w:adjustRightInd w:val="0"/>
              <w:spacing w:line="400" w:lineRule="exact"/>
              <w:jc w:val="center"/>
              <w:rPr>
                <w:rFonts w:hint="eastAsia" w:ascii="宋体" w:hAnsi="宋体" w:cs="宋体"/>
                <w:spacing w:val="6"/>
                <w:sz w:val="24"/>
                <w:szCs w:val="24"/>
                <w:lang w:val="en-US" w:eastAsia="zh-CN"/>
              </w:rPr>
            </w:pPr>
            <w:r>
              <w:rPr>
                <w:rFonts w:hint="eastAsia" w:ascii="宋体" w:hAnsi="宋体" w:cs="宋体"/>
                <w:spacing w:val="6"/>
                <w:sz w:val="24"/>
                <w:szCs w:val="24"/>
              </w:rPr>
              <w:t>30</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19E5C37B">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近年完成的类似项目的业绩年份要求</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2AABCD57">
            <w:pPr>
              <w:widowControl w:val="0"/>
              <w:adjustRightInd w:val="0"/>
              <w:spacing w:line="400" w:lineRule="exact"/>
              <w:jc w:val="left"/>
              <w:rPr>
                <w:rFonts w:hint="eastAsia" w:ascii="宋体" w:hAnsi="宋体" w:cs="宋体"/>
                <w:spacing w:val="6"/>
                <w:sz w:val="24"/>
                <w:szCs w:val="24"/>
              </w:rPr>
            </w:pPr>
            <w:r>
              <w:rPr>
                <w:rFonts w:hint="eastAsia" w:ascii="宋体" w:hAnsi="宋体" w:cs="宋体"/>
                <w:spacing w:val="6"/>
                <w:sz w:val="24"/>
                <w:szCs w:val="24"/>
                <w:lang w:eastAsia="zh-CN"/>
              </w:rPr>
              <w:t>近</w:t>
            </w:r>
            <w:r>
              <w:rPr>
                <w:rFonts w:hint="eastAsia" w:ascii="宋体" w:hAnsi="宋体" w:cs="宋体"/>
                <w:spacing w:val="6"/>
                <w:sz w:val="24"/>
                <w:szCs w:val="24"/>
                <w:lang w:val="en-US" w:eastAsia="zh-CN"/>
              </w:rPr>
              <w:t>三</w:t>
            </w:r>
            <w:r>
              <w:rPr>
                <w:rFonts w:hint="eastAsia" w:ascii="宋体" w:hAnsi="宋体" w:cs="宋体"/>
                <w:spacing w:val="6"/>
                <w:sz w:val="24"/>
                <w:szCs w:val="24"/>
                <w:lang w:eastAsia="zh-CN"/>
              </w:rPr>
              <w:t>年（指</w:t>
            </w:r>
            <w:r>
              <w:rPr>
                <w:rFonts w:hint="eastAsia" w:ascii="宋体" w:hAnsi="宋体" w:cs="宋体"/>
                <w:spacing w:val="6"/>
                <w:sz w:val="24"/>
                <w:szCs w:val="24"/>
              </w:rPr>
              <w:t>20</w:t>
            </w:r>
            <w:r>
              <w:rPr>
                <w:rFonts w:hint="eastAsia" w:ascii="宋体" w:hAnsi="宋体" w:cs="宋体"/>
                <w:spacing w:val="6"/>
                <w:sz w:val="24"/>
                <w:szCs w:val="24"/>
                <w:lang w:val="en-US" w:eastAsia="zh-CN"/>
              </w:rPr>
              <w:t>23</w:t>
            </w:r>
            <w:r>
              <w:rPr>
                <w:rFonts w:hint="eastAsia" w:ascii="宋体" w:hAnsi="宋体" w:cs="宋体"/>
                <w:spacing w:val="6"/>
                <w:sz w:val="24"/>
                <w:szCs w:val="24"/>
              </w:rPr>
              <w:t>年01月01日以来完成类似项目</w:t>
            </w:r>
            <w:r>
              <w:rPr>
                <w:rFonts w:hint="eastAsia" w:ascii="宋体" w:hAnsi="宋体" w:cs="宋体"/>
                <w:spacing w:val="6"/>
                <w:sz w:val="24"/>
                <w:szCs w:val="24"/>
                <w:lang w:eastAsia="zh-CN"/>
              </w:rPr>
              <w:t>）</w:t>
            </w:r>
          </w:p>
        </w:tc>
      </w:tr>
      <w:tr w14:paraId="3ABD82AA">
        <w:tblPrEx>
          <w:tblCellMar>
            <w:top w:w="0" w:type="dxa"/>
            <w:left w:w="108" w:type="dxa"/>
            <w:bottom w:w="0" w:type="dxa"/>
            <w:right w:w="108" w:type="dxa"/>
          </w:tblCellMar>
        </w:tblPrEx>
        <w:trPr>
          <w:trHeight w:val="90"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5650751">
            <w:pPr>
              <w:widowControl w:val="0"/>
              <w:adjustRightInd w:val="0"/>
              <w:spacing w:line="400" w:lineRule="exact"/>
              <w:jc w:val="center"/>
              <w:rPr>
                <w:rFonts w:ascii="宋体" w:hAnsi="宋体" w:eastAsia="宋体" w:cs="宋体"/>
                <w:spacing w:val="6"/>
                <w:sz w:val="24"/>
                <w:szCs w:val="24"/>
                <w:lang w:val="en-US" w:eastAsia="zh-CN" w:bidi="ar-SA"/>
              </w:rPr>
            </w:pPr>
            <w:r>
              <w:rPr>
                <w:rFonts w:hint="eastAsia" w:ascii="宋体" w:hAnsi="宋体" w:cs="宋体"/>
                <w:spacing w:val="6"/>
                <w:sz w:val="24"/>
                <w:szCs w:val="24"/>
              </w:rPr>
              <w:t>31</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79243CA9">
            <w:pPr>
              <w:widowControl w:val="0"/>
              <w:adjustRightInd w:val="0"/>
              <w:spacing w:line="400" w:lineRule="exact"/>
              <w:jc w:val="center"/>
              <w:rPr>
                <w:rFonts w:ascii="宋体" w:hAnsi="宋体" w:cs="宋体"/>
                <w:spacing w:val="6"/>
                <w:sz w:val="24"/>
                <w:szCs w:val="24"/>
              </w:rPr>
            </w:pPr>
            <w:r>
              <w:rPr>
                <w:rFonts w:ascii="宋体" w:hAnsi="宋体" w:cs="宋体"/>
                <w:spacing w:val="6"/>
                <w:sz w:val="24"/>
                <w:szCs w:val="24"/>
              </w:rPr>
              <w:t>竞争性磋商响应文件上传</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F1DC6AA">
            <w:pPr>
              <w:widowControl w:val="0"/>
              <w:spacing w:line="400" w:lineRule="exact"/>
              <w:jc w:val="both"/>
              <w:rPr>
                <w:rFonts w:ascii="宋体" w:hAnsi="宋体" w:cs="宋体"/>
                <w:spacing w:val="6"/>
                <w:sz w:val="24"/>
                <w:szCs w:val="24"/>
              </w:rPr>
            </w:pPr>
            <w:r>
              <w:rPr>
                <w:rFonts w:hint="eastAsia" w:ascii="宋体" w:hAnsi="宋体" w:cs="宋体"/>
                <w:spacing w:val="6"/>
                <w:sz w:val="24"/>
                <w:szCs w:val="24"/>
              </w:rPr>
              <w:t>用CA在电子平台上传电子响应文件</w:t>
            </w:r>
          </w:p>
        </w:tc>
      </w:tr>
      <w:tr w14:paraId="5B9413DE">
        <w:tblPrEx>
          <w:tblCellMar>
            <w:top w:w="0" w:type="dxa"/>
            <w:left w:w="108" w:type="dxa"/>
            <w:bottom w:w="0" w:type="dxa"/>
            <w:right w:w="108" w:type="dxa"/>
          </w:tblCellMar>
        </w:tblPrEx>
        <w:trPr>
          <w:trHeight w:val="840"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3C9F15C7">
            <w:pPr>
              <w:widowControl w:val="0"/>
              <w:adjustRightInd w:val="0"/>
              <w:spacing w:line="400" w:lineRule="exact"/>
              <w:jc w:val="center"/>
              <w:rPr>
                <w:rFonts w:hint="default" w:ascii="宋体" w:hAnsi="宋体" w:eastAsia="宋体" w:cs="宋体"/>
                <w:spacing w:val="6"/>
                <w:sz w:val="24"/>
                <w:szCs w:val="24"/>
                <w:lang w:val="en-US" w:eastAsia="zh-CN" w:bidi="ar-SA"/>
              </w:rPr>
            </w:pPr>
            <w:r>
              <w:rPr>
                <w:rFonts w:hint="eastAsia" w:ascii="宋体" w:hAnsi="宋体" w:cs="宋体"/>
                <w:spacing w:val="6"/>
                <w:sz w:val="24"/>
                <w:szCs w:val="24"/>
              </w:rPr>
              <w:t>32</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45A718D7">
            <w:pPr>
              <w:widowControl w:val="0"/>
              <w:spacing w:line="400" w:lineRule="exact"/>
              <w:jc w:val="center"/>
              <w:rPr>
                <w:rFonts w:ascii="宋体" w:hAnsi="宋体" w:cs="宋体"/>
                <w:spacing w:val="6"/>
                <w:sz w:val="24"/>
                <w:szCs w:val="24"/>
              </w:rPr>
            </w:pPr>
            <w:r>
              <w:rPr>
                <w:rFonts w:ascii="宋体" w:hAnsi="宋体" w:cs="宋体"/>
                <w:spacing w:val="6"/>
                <w:sz w:val="24"/>
                <w:szCs w:val="24"/>
              </w:rPr>
              <w:t>磋商小组的组建</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3E6F9006">
            <w:pPr>
              <w:spacing w:line="400" w:lineRule="exact"/>
              <w:jc w:val="both"/>
              <w:rPr>
                <w:rFonts w:ascii="宋体" w:hAnsi="宋体" w:cs="宋体"/>
                <w:spacing w:val="6"/>
                <w:sz w:val="24"/>
                <w:szCs w:val="24"/>
              </w:rPr>
            </w:pPr>
            <w:r>
              <w:rPr>
                <w:rFonts w:ascii="宋体" w:hAnsi="宋体" w:cs="宋体"/>
                <w:spacing w:val="6"/>
                <w:sz w:val="24"/>
                <w:szCs w:val="24"/>
              </w:rPr>
              <w:t>磋商小组成员为3人，</w:t>
            </w:r>
            <w:r>
              <w:rPr>
                <w:rFonts w:hint="eastAsia" w:ascii="宋体" w:hAnsi="宋体" w:cs="宋体"/>
                <w:spacing w:val="6"/>
                <w:sz w:val="24"/>
                <w:szCs w:val="24"/>
              </w:rPr>
              <w:t>由</w:t>
            </w:r>
            <w:r>
              <w:rPr>
                <w:rFonts w:ascii="宋体" w:hAnsi="宋体" w:cs="宋体"/>
                <w:spacing w:val="6"/>
                <w:sz w:val="24"/>
                <w:szCs w:val="24"/>
              </w:rPr>
              <w:t>采购人代表1人，其余</w:t>
            </w:r>
            <w:r>
              <w:rPr>
                <w:rFonts w:hint="eastAsia" w:ascii="宋体" w:hAnsi="宋体" w:cs="宋体"/>
                <w:spacing w:val="6"/>
                <w:sz w:val="24"/>
                <w:szCs w:val="24"/>
              </w:rPr>
              <w:t>技术、经济类</w:t>
            </w:r>
            <w:r>
              <w:rPr>
                <w:rFonts w:ascii="宋体" w:hAnsi="宋体" w:cs="宋体"/>
                <w:spacing w:val="6"/>
                <w:sz w:val="24"/>
                <w:szCs w:val="24"/>
              </w:rPr>
              <w:t>专家2人</w:t>
            </w:r>
            <w:r>
              <w:rPr>
                <w:rFonts w:hint="eastAsia" w:ascii="宋体" w:hAnsi="宋体" w:cs="宋体"/>
                <w:spacing w:val="6"/>
                <w:sz w:val="24"/>
                <w:szCs w:val="24"/>
              </w:rPr>
              <w:t>组成；开标后从相关专家库中随机抽取。</w:t>
            </w:r>
          </w:p>
        </w:tc>
      </w:tr>
      <w:tr w14:paraId="24D37C6D">
        <w:tblPrEx>
          <w:tblCellMar>
            <w:top w:w="0" w:type="dxa"/>
            <w:left w:w="108" w:type="dxa"/>
            <w:bottom w:w="0" w:type="dxa"/>
            <w:right w:w="108" w:type="dxa"/>
          </w:tblCellMar>
        </w:tblPrEx>
        <w:trPr>
          <w:trHeight w:val="199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404B430">
            <w:pPr>
              <w:widowControl w:val="0"/>
              <w:adjustRightInd w:val="0"/>
              <w:spacing w:line="400" w:lineRule="exact"/>
              <w:jc w:val="center"/>
              <w:rPr>
                <w:rFonts w:ascii="宋体" w:hAnsi="宋体" w:eastAsia="宋体" w:cs="宋体"/>
                <w:spacing w:val="6"/>
                <w:sz w:val="24"/>
                <w:szCs w:val="24"/>
                <w:lang w:val="en-US" w:eastAsia="zh-CN" w:bidi="ar-SA"/>
              </w:rPr>
            </w:pPr>
            <w:r>
              <w:rPr>
                <w:rFonts w:hint="eastAsia" w:ascii="宋体" w:hAnsi="宋体" w:eastAsia="宋体" w:cs="宋体"/>
                <w:spacing w:val="6"/>
                <w:sz w:val="24"/>
                <w:szCs w:val="24"/>
                <w:lang w:val="en-US" w:eastAsia="zh-CN"/>
              </w:rPr>
              <w:t>33</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59CFDE91">
            <w:pPr>
              <w:spacing w:line="400" w:lineRule="exact"/>
              <w:jc w:val="center"/>
              <w:rPr>
                <w:rFonts w:ascii="宋体" w:hAnsi="宋体" w:cs="宋体"/>
                <w:spacing w:val="6"/>
                <w:sz w:val="24"/>
                <w:szCs w:val="24"/>
              </w:rPr>
            </w:pPr>
            <w:r>
              <w:rPr>
                <w:rFonts w:hint="eastAsia" w:ascii="宋体" w:hAnsi="宋体" w:cs="宋体"/>
                <w:spacing w:val="6"/>
                <w:sz w:val="24"/>
                <w:szCs w:val="24"/>
              </w:rPr>
              <w:t>评标标准</w:t>
            </w:r>
            <w:r>
              <w:rPr>
                <w:rFonts w:ascii="宋体" w:hAnsi="宋体" w:cs="宋体"/>
                <w:spacing w:val="6"/>
                <w:sz w:val="24"/>
                <w:szCs w:val="24"/>
              </w:rPr>
              <w:t>及方法</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555330CF">
            <w:pPr>
              <w:spacing w:line="400" w:lineRule="exact"/>
              <w:jc w:val="both"/>
              <w:rPr>
                <w:rFonts w:ascii="宋体" w:hAnsi="宋体" w:cs="宋体"/>
                <w:spacing w:val="6"/>
                <w:sz w:val="24"/>
                <w:szCs w:val="24"/>
              </w:rPr>
            </w:pPr>
            <w:r>
              <w:rPr>
                <w:rFonts w:ascii="宋体" w:hAnsi="宋体" w:cs="宋体"/>
                <w:spacing w:val="6"/>
                <w:sz w:val="24"/>
                <w:szCs w:val="24"/>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r>
              <w:rPr>
                <w:rFonts w:hint="eastAsia" w:ascii="宋体" w:hAnsi="宋体" w:cs="宋体"/>
                <w:spacing w:val="6"/>
                <w:sz w:val="24"/>
                <w:szCs w:val="24"/>
              </w:rPr>
              <w:t>（且推荐</w:t>
            </w:r>
            <w:r>
              <w:rPr>
                <w:rFonts w:hint="eastAsia" w:ascii="宋体" w:hAnsi="宋体" w:cs="宋体"/>
                <w:spacing w:val="6"/>
                <w:sz w:val="24"/>
                <w:szCs w:val="24"/>
                <w:lang w:eastAsia="zh-CN"/>
              </w:rPr>
              <w:t>成交</w:t>
            </w:r>
            <w:r>
              <w:rPr>
                <w:rFonts w:hint="eastAsia" w:ascii="宋体" w:hAnsi="宋体" w:cs="宋体"/>
                <w:spacing w:val="6"/>
                <w:sz w:val="24"/>
                <w:szCs w:val="24"/>
              </w:rPr>
              <w:t>候选人为三名）</w:t>
            </w:r>
          </w:p>
        </w:tc>
      </w:tr>
      <w:tr w14:paraId="4DCABAEB">
        <w:tblPrEx>
          <w:tblCellMar>
            <w:top w:w="0" w:type="dxa"/>
            <w:left w:w="108" w:type="dxa"/>
            <w:bottom w:w="0" w:type="dxa"/>
            <w:right w:w="108" w:type="dxa"/>
          </w:tblCellMar>
        </w:tblPrEx>
        <w:trPr>
          <w:trHeight w:val="489"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D71A9D7">
            <w:pPr>
              <w:widowControl w:val="0"/>
              <w:adjustRightInd w:val="0"/>
              <w:spacing w:line="400" w:lineRule="exact"/>
              <w:jc w:val="center"/>
              <w:rPr>
                <w:rFonts w:ascii="宋体" w:hAnsi="宋体" w:eastAsia="宋体" w:cs="宋体"/>
                <w:spacing w:val="6"/>
                <w:sz w:val="24"/>
                <w:szCs w:val="24"/>
                <w:lang w:val="en-US" w:eastAsia="zh-CN" w:bidi="ar-SA"/>
              </w:rPr>
            </w:pPr>
            <w:r>
              <w:rPr>
                <w:rFonts w:hint="eastAsia" w:ascii="宋体" w:hAnsi="宋体" w:cs="宋体"/>
                <w:spacing w:val="6"/>
                <w:sz w:val="24"/>
                <w:szCs w:val="24"/>
              </w:rPr>
              <w:t>34</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47B676F">
            <w:pPr>
              <w:spacing w:line="400" w:lineRule="exact"/>
              <w:jc w:val="center"/>
              <w:rPr>
                <w:rFonts w:ascii="宋体" w:hAnsi="宋体" w:cs="宋体"/>
                <w:spacing w:val="6"/>
                <w:sz w:val="24"/>
                <w:szCs w:val="24"/>
              </w:rPr>
            </w:pPr>
            <w:r>
              <w:rPr>
                <w:rFonts w:hint="eastAsia" w:ascii="宋体" w:hAnsi="宋体" w:cs="宋体"/>
                <w:spacing w:val="6"/>
                <w:sz w:val="24"/>
                <w:szCs w:val="24"/>
              </w:rPr>
              <w:t>是否授权磋商小组确定</w:t>
            </w:r>
            <w:r>
              <w:rPr>
                <w:rFonts w:hint="eastAsia" w:ascii="宋体" w:hAnsi="宋体" w:cs="宋体"/>
                <w:spacing w:val="6"/>
                <w:sz w:val="24"/>
                <w:szCs w:val="24"/>
                <w:lang w:eastAsia="zh-CN"/>
              </w:rPr>
              <w:t>成交</w:t>
            </w:r>
            <w:r>
              <w:rPr>
                <w:rFonts w:hint="eastAsia" w:ascii="宋体" w:hAnsi="宋体" w:cs="宋体"/>
                <w:spacing w:val="6"/>
                <w:sz w:val="24"/>
                <w:szCs w:val="24"/>
              </w:rPr>
              <w:t>人</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12416CE4">
            <w:pPr>
              <w:spacing w:line="400" w:lineRule="exact"/>
              <w:jc w:val="both"/>
              <w:rPr>
                <w:rFonts w:ascii="宋体" w:hAnsi="宋体" w:cs="宋体"/>
                <w:spacing w:val="6"/>
                <w:sz w:val="24"/>
                <w:szCs w:val="24"/>
              </w:rPr>
            </w:pPr>
            <w:r>
              <w:rPr>
                <w:rFonts w:hint="eastAsia" w:ascii="宋体" w:hAnsi="宋体" w:cs="宋体"/>
                <w:spacing w:val="6"/>
                <w:sz w:val="24"/>
                <w:szCs w:val="24"/>
              </w:rPr>
              <w:t>否，磋商小组推选三名</w:t>
            </w:r>
            <w:r>
              <w:rPr>
                <w:rFonts w:hint="eastAsia" w:ascii="宋体" w:hAnsi="宋体" w:cs="宋体"/>
                <w:spacing w:val="6"/>
                <w:sz w:val="24"/>
                <w:szCs w:val="24"/>
                <w:lang w:eastAsia="zh-CN"/>
              </w:rPr>
              <w:t>成交</w:t>
            </w:r>
            <w:r>
              <w:rPr>
                <w:rFonts w:hint="eastAsia" w:ascii="宋体" w:hAnsi="宋体" w:cs="宋体"/>
                <w:spacing w:val="6"/>
                <w:sz w:val="24"/>
                <w:szCs w:val="24"/>
              </w:rPr>
              <w:t>候选人</w:t>
            </w:r>
          </w:p>
        </w:tc>
      </w:tr>
      <w:tr w14:paraId="5585C9EA">
        <w:tblPrEx>
          <w:tblCellMar>
            <w:top w:w="0" w:type="dxa"/>
            <w:left w:w="108" w:type="dxa"/>
            <w:bottom w:w="0" w:type="dxa"/>
            <w:right w:w="108" w:type="dxa"/>
          </w:tblCellMar>
        </w:tblPrEx>
        <w:trPr>
          <w:trHeight w:val="564"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F983D6C">
            <w:pPr>
              <w:widowControl w:val="0"/>
              <w:adjustRightInd w:val="0"/>
              <w:spacing w:line="400" w:lineRule="exact"/>
              <w:jc w:val="center"/>
              <w:rPr>
                <w:rFonts w:hint="eastAsia" w:ascii="宋体" w:hAnsi="宋体" w:eastAsia="宋体" w:cs="宋体"/>
                <w:spacing w:val="6"/>
                <w:sz w:val="24"/>
                <w:szCs w:val="24"/>
                <w:lang w:val="en-US" w:eastAsia="zh-CN" w:bidi="ar-SA"/>
              </w:rPr>
            </w:pPr>
            <w:r>
              <w:rPr>
                <w:rFonts w:hint="eastAsia" w:ascii="宋体" w:hAnsi="宋体" w:cs="宋体"/>
                <w:spacing w:val="6"/>
                <w:sz w:val="24"/>
                <w:szCs w:val="24"/>
              </w:rPr>
              <w:t>35</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0E86C264">
            <w:pPr>
              <w:spacing w:line="400" w:lineRule="exact"/>
              <w:jc w:val="center"/>
              <w:rPr>
                <w:rFonts w:hint="eastAsia" w:ascii="宋体" w:hAnsi="宋体" w:eastAsia="宋体" w:cs="宋体"/>
                <w:spacing w:val="6"/>
                <w:sz w:val="24"/>
                <w:szCs w:val="24"/>
                <w:lang w:val="en-US" w:eastAsia="zh-CN" w:bidi="ar-SA"/>
              </w:rPr>
            </w:pPr>
            <w:r>
              <w:rPr>
                <w:rFonts w:hint="eastAsia" w:ascii="宋体" w:hAnsi="宋体" w:cs="宋体"/>
                <w:spacing w:val="6"/>
                <w:sz w:val="24"/>
                <w:szCs w:val="24"/>
              </w:rPr>
              <w:t>履约保证金</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5CC23EE5">
            <w:pPr>
              <w:widowControl w:val="0"/>
              <w:spacing w:line="400" w:lineRule="exact"/>
              <w:jc w:val="both"/>
              <w:rPr>
                <w:rFonts w:hint="eastAsia" w:ascii="宋体" w:hAnsi="宋体" w:eastAsia="宋体" w:cs="宋体"/>
                <w:sz w:val="24"/>
                <w:szCs w:val="24"/>
                <w:lang w:val="en-US" w:eastAsia="zh-CN" w:bidi="ar-SA"/>
              </w:rPr>
            </w:pPr>
            <w:r>
              <w:rPr>
                <w:rFonts w:hint="eastAsia" w:ascii="宋体" w:hAnsi="宋体" w:cs="宋体"/>
                <w:sz w:val="24"/>
                <w:szCs w:val="24"/>
              </w:rPr>
              <w:t>不收取</w:t>
            </w:r>
          </w:p>
        </w:tc>
      </w:tr>
      <w:tr w14:paraId="65A35B2D">
        <w:tblPrEx>
          <w:tblCellMar>
            <w:top w:w="0" w:type="dxa"/>
            <w:left w:w="108" w:type="dxa"/>
            <w:bottom w:w="0" w:type="dxa"/>
            <w:right w:w="108" w:type="dxa"/>
          </w:tblCellMar>
        </w:tblPrEx>
        <w:trPr>
          <w:trHeight w:val="68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7B79330">
            <w:pPr>
              <w:widowControl w:val="0"/>
              <w:adjustRightInd w:val="0"/>
              <w:spacing w:line="400" w:lineRule="exact"/>
              <w:jc w:val="center"/>
              <w:rPr>
                <w:rFonts w:hint="default" w:ascii="宋体" w:hAnsi="宋体" w:eastAsia="宋体" w:cs="宋体"/>
                <w:spacing w:val="6"/>
                <w:sz w:val="24"/>
                <w:szCs w:val="24"/>
                <w:highlight w:val="none"/>
                <w:lang w:val="en-US" w:eastAsia="zh-CN"/>
              </w:rPr>
            </w:pPr>
            <w:r>
              <w:rPr>
                <w:rFonts w:hint="eastAsia" w:ascii="宋体" w:hAnsi="宋体" w:eastAsia="宋体" w:cs="宋体"/>
                <w:spacing w:val="6"/>
                <w:sz w:val="24"/>
                <w:szCs w:val="24"/>
                <w:highlight w:val="none"/>
                <w:lang w:val="en-US" w:eastAsia="zh-CN"/>
              </w:rPr>
              <w:t>36</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0FDFD1C3">
            <w:pPr>
              <w:widowControl w:val="0"/>
              <w:spacing w:line="400" w:lineRule="exact"/>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付款方式</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44AF9FF1">
            <w:pPr>
              <w:widowControl w:val="0"/>
              <w:numPr>
                <w:ilvl w:val="0"/>
                <w:numId w:val="0"/>
              </w:numPr>
              <w:spacing w:line="400" w:lineRule="exact"/>
              <w:ind w:left="0" w:leftChars="0"/>
              <w:jc w:val="both"/>
              <w:rPr>
                <w:rFonts w:hint="eastAsia" w:ascii="宋体" w:hAnsi="宋体" w:cs="宋体"/>
                <w:kern w:val="0"/>
                <w:sz w:val="24"/>
                <w:highlight w:val="none"/>
                <w:lang w:val="en-US" w:eastAsia="zh-CN"/>
              </w:rPr>
            </w:pPr>
            <w:r>
              <w:rPr>
                <w:rFonts w:hint="eastAsia" w:ascii="宋体" w:hAnsi="宋体" w:cs="宋体" w:eastAsiaTheme="minorEastAsia"/>
                <w:kern w:val="0"/>
                <w:sz w:val="24"/>
                <w:szCs w:val="22"/>
                <w:highlight w:val="none"/>
                <w:lang w:val="en-US" w:eastAsia="zh-CN" w:bidi="ar-SA"/>
              </w:rPr>
              <w:t>1、</w:t>
            </w:r>
            <w:r>
              <w:rPr>
                <w:rFonts w:hint="eastAsia" w:ascii="宋体" w:hAnsi="宋体" w:cs="宋体"/>
                <w:kern w:val="0"/>
                <w:sz w:val="24"/>
                <w:highlight w:val="none"/>
                <w:lang w:eastAsia="zh-CN"/>
              </w:rPr>
              <w:t>每</w:t>
            </w:r>
            <w:r>
              <w:rPr>
                <w:rFonts w:hint="eastAsia" w:ascii="宋体" w:hAnsi="宋体" w:cs="宋体"/>
                <w:kern w:val="0"/>
                <w:sz w:val="24"/>
                <w:highlight w:val="none"/>
                <w:lang w:val="en-US" w:eastAsia="zh-CN"/>
              </w:rPr>
              <w:t>月考核</w:t>
            </w:r>
            <w:r>
              <w:rPr>
                <w:rFonts w:hint="eastAsia" w:ascii="宋体" w:hAnsi="宋体" w:cs="宋体"/>
                <w:kern w:val="0"/>
                <w:sz w:val="24"/>
                <w:highlight w:val="none"/>
                <w:lang w:eastAsia="zh-CN"/>
              </w:rPr>
              <w:t>一次，</w:t>
            </w:r>
            <w:r>
              <w:rPr>
                <w:rFonts w:hint="eastAsia" w:ascii="宋体" w:hAnsi="宋体" w:cs="宋体"/>
                <w:kern w:val="0"/>
                <w:sz w:val="24"/>
                <w:highlight w:val="none"/>
                <w:lang w:val="en-US" w:eastAsia="zh-CN"/>
              </w:rPr>
              <w:t>每半年为一个付款周期；半年内每月考核均达到合格标准，支付合同金额的50%；（合格标准：详见第三章服务需求《卢氏县园林绿化养护管理标准》）</w:t>
            </w:r>
          </w:p>
          <w:p w14:paraId="3D89A186">
            <w:pPr>
              <w:widowControl w:val="0"/>
              <w:numPr>
                <w:ilvl w:val="0"/>
                <w:numId w:val="0"/>
              </w:numPr>
              <w:spacing w:line="400" w:lineRule="exact"/>
              <w:ind w:left="0" w:leftChars="0"/>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2、</w:t>
            </w:r>
            <w:r>
              <w:rPr>
                <w:rFonts w:hint="eastAsia" w:ascii="宋体" w:hAnsi="宋体" w:cs="宋体"/>
                <w:kern w:val="0"/>
                <w:sz w:val="24"/>
                <w:highlight w:val="none"/>
                <w:lang w:val="en-US" w:eastAsia="zh-CN"/>
              </w:rPr>
              <w:t>考核未达合格标准的，暂缓一切款项支付；乙方按甲方整改要求限期整改，若因乙方管理养护不当造成损失的，将进行相应处罚，整改完毕完成复验且考核合格后，再启动付款流程；经两次整改仍考核不合格，甲方有权解除合同、拒付款项并追究乙方违约责任；</w:t>
            </w:r>
          </w:p>
          <w:p w14:paraId="79CD1061">
            <w:pPr>
              <w:widowControl w:val="0"/>
              <w:numPr>
                <w:ilvl w:val="0"/>
                <w:numId w:val="0"/>
              </w:numPr>
              <w:spacing w:line="400" w:lineRule="exact"/>
              <w:ind w:left="0" w:leftChars="0"/>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3、</w:t>
            </w:r>
            <w:r>
              <w:rPr>
                <w:rFonts w:hint="eastAsia" w:ascii="宋体" w:hAnsi="宋体" w:cs="宋体"/>
                <w:kern w:val="0"/>
                <w:sz w:val="24"/>
                <w:highlight w:val="none"/>
                <w:lang w:val="en-US" w:eastAsia="zh-CN"/>
              </w:rPr>
              <w:t>服务期结束，待年度综合考核合格后一次性无息付清。</w:t>
            </w:r>
          </w:p>
          <w:p w14:paraId="1933E6BF">
            <w:pPr>
              <w:widowControl w:val="0"/>
              <w:numPr>
                <w:ilvl w:val="0"/>
                <w:numId w:val="0"/>
              </w:numPr>
              <w:spacing w:line="400" w:lineRule="exact"/>
              <w:ind w:left="0" w:leftChars="0"/>
              <w:jc w:val="both"/>
              <w:rPr>
                <w:rFonts w:hint="eastAsia" w:ascii="宋体" w:hAnsi="宋体" w:eastAsia="宋体" w:cs="宋体"/>
                <w:color w:val="000000"/>
                <w:sz w:val="24"/>
                <w:szCs w:val="24"/>
                <w:highlight w:val="none"/>
                <w:lang w:val="en-US" w:eastAsia="zh-CN" w:bidi="ar-SA"/>
              </w:rPr>
            </w:pPr>
            <w:r>
              <w:rPr>
                <w:rFonts w:hint="eastAsia" w:ascii="宋体" w:hAnsi="宋体" w:cs="宋体"/>
                <w:kern w:val="0"/>
                <w:sz w:val="24"/>
                <w:highlight w:val="none"/>
                <w:lang w:eastAsia="zh-CN"/>
              </w:rPr>
              <w:t>（具体</w:t>
            </w:r>
            <w:r>
              <w:rPr>
                <w:rFonts w:hint="eastAsia" w:ascii="宋体" w:hAnsi="宋体" w:cs="宋体"/>
                <w:kern w:val="0"/>
                <w:sz w:val="24"/>
                <w:highlight w:val="none"/>
                <w:lang w:val="en-US" w:eastAsia="zh-CN"/>
              </w:rPr>
              <w:t>以实际签订合同为准</w:t>
            </w:r>
            <w:r>
              <w:rPr>
                <w:rFonts w:hint="eastAsia" w:ascii="宋体" w:hAnsi="宋体" w:cs="宋体"/>
                <w:kern w:val="0"/>
                <w:sz w:val="24"/>
                <w:highlight w:val="none"/>
                <w:lang w:eastAsia="zh-CN"/>
              </w:rPr>
              <w:t>）</w:t>
            </w:r>
          </w:p>
        </w:tc>
      </w:tr>
      <w:tr w14:paraId="069B3576">
        <w:tblPrEx>
          <w:tblCellMar>
            <w:top w:w="0" w:type="dxa"/>
            <w:left w:w="108" w:type="dxa"/>
            <w:bottom w:w="0" w:type="dxa"/>
            <w:right w:w="108" w:type="dxa"/>
          </w:tblCellMar>
        </w:tblPrEx>
        <w:trPr>
          <w:trHeight w:val="68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E074997">
            <w:pPr>
              <w:widowControl w:val="0"/>
              <w:adjustRightInd w:val="0"/>
              <w:spacing w:line="400" w:lineRule="exact"/>
              <w:jc w:val="center"/>
              <w:rPr>
                <w:rFonts w:hint="default" w:ascii="宋体" w:hAnsi="宋体" w:eastAsia="宋体" w:cs="宋体"/>
                <w:spacing w:val="6"/>
                <w:sz w:val="24"/>
                <w:szCs w:val="24"/>
                <w:highlight w:val="none"/>
                <w:lang w:val="en-US" w:eastAsia="zh-CN"/>
              </w:rPr>
            </w:pPr>
            <w:r>
              <w:rPr>
                <w:rFonts w:hint="eastAsia" w:ascii="宋体" w:hAnsi="宋体" w:eastAsia="宋体" w:cs="宋体"/>
                <w:spacing w:val="6"/>
                <w:sz w:val="24"/>
                <w:szCs w:val="24"/>
                <w:highlight w:val="none"/>
                <w:lang w:val="en-US" w:eastAsia="zh-CN"/>
              </w:rPr>
              <w:t>37</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515D76B8">
            <w:pPr>
              <w:spacing w:line="400" w:lineRule="exact"/>
              <w:jc w:val="center"/>
              <w:rPr>
                <w:rFonts w:hint="eastAsia" w:ascii="宋体" w:hAnsi="宋体" w:eastAsia="宋体" w:cs="宋体"/>
                <w:sz w:val="24"/>
                <w:szCs w:val="24"/>
                <w:highlight w:val="none"/>
              </w:rPr>
            </w:pPr>
            <w:r>
              <w:rPr>
                <w:rFonts w:hint="eastAsia" w:ascii="宋体" w:hAnsi="宋体" w:cs="宋体"/>
                <w:spacing w:val="6"/>
                <w:sz w:val="24"/>
                <w:szCs w:val="24"/>
                <w:lang w:eastAsia="zh-CN"/>
              </w:rPr>
              <w:t>发布公告媒介</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45808DD">
            <w:pPr>
              <w:spacing w:line="400" w:lineRule="exact"/>
              <w:rPr>
                <w:rFonts w:hint="eastAsia" w:ascii="宋体" w:hAnsi="宋体" w:cs="宋体"/>
                <w:kern w:val="0"/>
                <w:sz w:val="24"/>
                <w:highlight w:val="none"/>
                <w:lang w:eastAsia="zh-CN"/>
              </w:rPr>
            </w:pPr>
            <w:r>
              <w:rPr>
                <w:rFonts w:hint="eastAsia" w:ascii="宋体" w:hAnsi="宋体" w:cs="宋体"/>
                <w:sz w:val="24"/>
                <w:szCs w:val="24"/>
              </w:rPr>
              <w:t>在《河南省政府采购网》、《三门峡市公共资源交易中心网》</w:t>
            </w:r>
            <w:r>
              <w:rPr>
                <w:rFonts w:hint="eastAsia" w:ascii="宋体" w:hAnsi="宋体" w:cs="宋体"/>
                <w:sz w:val="24"/>
                <w:szCs w:val="24"/>
                <w:lang w:eastAsia="zh-CN"/>
              </w:rPr>
              <w:t>、</w:t>
            </w:r>
            <w:r>
              <w:rPr>
                <w:rFonts w:hint="eastAsia" w:ascii="宋体" w:hAnsi="宋体" w:cs="宋体"/>
                <w:sz w:val="24"/>
                <w:szCs w:val="24"/>
                <w:lang w:val="en-US" w:eastAsia="zh-CN"/>
              </w:rPr>
              <w:t>《中国招标投标公共服务平台》</w:t>
            </w:r>
            <w:r>
              <w:rPr>
                <w:rFonts w:hint="eastAsia" w:ascii="宋体" w:hAnsi="宋体" w:cs="宋体"/>
                <w:sz w:val="24"/>
                <w:szCs w:val="24"/>
                <w:lang w:eastAsia="zh-CN"/>
              </w:rPr>
              <w:t>发布</w:t>
            </w:r>
            <w:r>
              <w:rPr>
                <w:rFonts w:hint="eastAsia" w:ascii="宋体" w:hAnsi="宋体" w:cs="宋体"/>
                <w:sz w:val="24"/>
                <w:szCs w:val="24"/>
              </w:rPr>
              <w:t>公告</w:t>
            </w:r>
          </w:p>
        </w:tc>
      </w:tr>
      <w:tr w14:paraId="76754675">
        <w:tblPrEx>
          <w:tblCellMar>
            <w:top w:w="0" w:type="dxa"/>
            <w:left w:w="108" w:type="dxa"/>
            <w:bottom w:w="0" w:type="dxa"/>
            <w:right w:w="108" w:type="dxa"/>
          </w:tblCellMar>
        </w:tblPrEx>
        <w:trPr>
          <w:trHeight w:val="2124"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1CC066F">
            <w:pPr>
              <w:widowControl w:val="0"/>
              <w:adjustRightInd w:val="0"/>
              <w:spacing w:line="400" w:lineRule="exact"/>
              <w:jc w:val="center"/>
              <w:rPr>
                <w:rFonts w:hint="eastAsia" w:ascii="宋体" w:hAnsi="宋体" w:eastAsia="宋体" w:cs="宋体"/>
                <w:spacing w:val="6"/>
                <w:sz w:val="24"/>
                <w:szCs w:val="24"/>
                <w:lang w:eastAsia="zh-CN"/>
              </w:rPr>
            </w:pPr>
            <w:r>
              <w:rPr>
                <w:rFonts w:hint="eastAsia" w:ascii="宋体" w:hAnsi="宋体" w:cs="宋体"/>
                <w:spacing w:val="6"/>
                <w:sz w:val="24"/>
                <w:szCs w:val="24"/>
              </w:rPr>
              <w:t>3</w:t>
            </w:r>
            <w:r>
              <w:rPr>
                <w:rFonts w:hint="eastAsia" w:ascii="宋体" w:hAnsi="宋体" w:cs="宋体"/>
                <w:spacing w:val="6"/>
                <w:sz w:val="24"/>
                <w:szCs w:val="24"/>
                <w:lang w:val="en-US" w:eastAsia="zh-CN"/>
              </w:rPr>
              <w:t>8</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65DC2FE0">
            <w:pPr>
              <w:spacing w:line="400" w:lineRule="exact"/>
              <w:jc w:val="center"/>
              <w:rPr>
                <w:rFonts w:ascii="宋体" w:hAnsi="宋体" w:cs="宋体"/>
                <w:spacing w:val="6"/>
                <w:sz w:val="24"/>
                <w:szCs w:val="24"/>
              </w:rPr>
            </w:pPr>
            <w:r>
              <w:rPr>
                <w:rFonts w:hint="eastAsia" w:ascii="宋体" w:hAnsi="宋体" w:cs="宋体"/>
                <w:spacing w:val="6"/>
                <w:sz w:val="24"/>
                <w:szCs w:val="24"/>
              </w:rPr>
              <w:t>其他事项</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2BB323D3">
            <w:pPr>
              <w:widowControl w:val="0"/>
              <w:spacing w:line="400" w:lineRule="exact"/>
              <w:jc w:val="both"/>
              <w:rPr>
                <w:rFonts w:hint="eastAsia" w:ascii="宋体" w:hAnsi="宋体" w:eastAsia="宋体" w:cs="宋体"/>
                <w:sz w:val="24"/>
                <w:szCs w:val="24"/>
                <w:lang w:eastAsia="zh-CN"/>
              </w:rPr>
            </w:pPr>
            <w:r>
              <w:rPr>
                <w:rFonts w:hint="eastAsia" w:ascii="宋体" w:hAnsi="宋体" w:cs="宋体"/>
                <w:sz w:val="24"/>
                <w:szCs w:val="24"/>
              </w:rPr>
              <w:t>1.电子化投标文件应在投标截止时间前成功上传至三门峡市公共资源电子化交易系统。至投标截止时间止，仍未上传成功的电子化</w:t>
            </w:r>
            <w:r>
              <w:rPr>
                <w:rFonts w:hint="eastAsia" w:ascii="宋体" w:hAnsi="宋体" w:cs="宋体"/>
                <w:sz w:val="24"/>
                <w:szCs w:val="24"/>
                <w:lang w:val="en-US" w:eastAsia="zh-CN"/>
              </w:rPr>
              <w:t>响应</w:t>
            </w:r>
            <w:r>
              <w:rPr>
                <w:rFonts w:hint="eastAsia" w:ascii="宋体" w:hAnsi="宋体" w:cs="宋体"/>
                <w:sz w:val="24"/>
                <w:szCs w:val="24"/>
              </w:rPr>
              <w:t>文件，将不予接受</w:t>
            </w:r>
            <w:r>
              <w:rPr>
                <w:rFonts w:hint="eastAsia" w:ascii="宋体" w:hAnsi="宋体" w:cs="宋体"/>
                <w:sz w:val="24"/>
                <w:szCs w:val="24"/>
                <w:lang w:eastAsia="zh-CN"/>
              </w:rPr>
              <w:t>；</w:t>
            </w:r>
          </w:p>
          <w:p w14:paraId="1B3AACBF">
            <w:pPr>
              <w:widowControl w:val="0"/>
              <w:spacing w:line="400" w:lineRule="exact"/>
              <w:jc w:val="both"/>
              <w:rPr>
                <w:rFonts w:ascii="宋体" w:hAnsi="宋体" w:cs="宋体"/>
                <w:sz w:val="24"/>
                <w:szCs w:val="24"/>
              </w:rPr>
            </w:pPr>
            <w:r>
              <w:rPr>
                <w:rFonts w:hint="eastAsia" w:ascii="宋体" w:hAnsi="宋体" w:cs="宋体"/>
                <w:sz w:val="24"/>
                <w:szCs w:val="24"/>
              </w:rPr>
              <w:t>2.中标方领取通知书时，须提供与上传电子版内容一致的纸质版</w:t>
            </w:r>
            <w:r>
              <w:rPr>
                <w:rFonts w:hint="eastAsia" w:ascii="宋体" w:hAnsi="宋体" w:cs="宋体"/>
                <w:sz w:val="24"/>
                <w:szCs w:val="24"/>
                <w:lang w:val="en-US" w:eastAsia="zh-CN"/>
              </w:rPr>
              <w:t>标书</w:t>
            </w:r>
            <w:r>
              <w:rPr>
                <w:rFonts w:hint="eastAsia" w:ascii="宋体" w:hAnsi="宋体" w:cs="宋体"/>
                <w:sz w:val="24"/>
                <w:szCs w:val="24"/>
              </w:rPr>
              <w:t>一份，不得采用活页夹形式</w:t>
            </w:r>
            <w:r>
              <w:rPr>
                <w:rFonts w:hint="eastAsia" w:ascii="宋体" w:hAnsi="宋体" w:cs="宋体"/>
                <w:sz w:val="24"/>
                <w:szCs w:val="24"/>
                <w:lang w:eastAsia="zh-CN"/>
              </w:rPr>
              <w:t>，</w:t>
            </w:r>
            <w:r>
              <w:rPr>
                <w:rFonts w:hint="eastAsia" w:ascii="宋体" w:hAnsi="宋体" w:cs="宋体"/>
                <w:sz w:val="24"/>
                <w:szCs w:val="24"/>
                <w:lang w:val="en-US" w:eastAsia="zh-CN"/>
              </w:rPr>
              <w:t>应有目录，并逐页标注连续页码，需加盖单位公章。</w:t>
            </w:r>
          </w:p>
        </w:tc>
      </w:tr>
      <w:tr w14:paraId="0110078A">
        <w:tblPrEx>
          <w:tblCellMar>
            <w:top w:w="0" w:type="dxa"/>
            <w:left w:w="108" w:type="dxa"/>
            <w:bottom w:w="0" w:type="dxa"/>
            <w:right w:w="108" w:type="dxa"/>
          </w:tblCellMar>
        </w:tblPrEx>
        <w:trPr>
          <w:trHeight w:val="370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59E14158">
            <w:pPr>
              <w:widowControl w:val="0"/>
              <w:adjustRightInd w:val="0"/>
              <w:spacing w:line="400" w:lineRule="exact"/>
              <w:jc w:val="center"/>
              <w:rPr>
                <w:rFonts w:hint="default"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39</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354ADE6">
            <w:pPr>
              <w:spacing w:line="400" w:lineRule="exact"/>
              <w:jc w:val="center"/>
              <w:rPr>
                <w:rFonts w:ascii="宋体" w:hAnsi="宋体" w:cs="宋体"/>
                <w:spacing w:val="6"/>
                <w:sz w:val="24"/>
                <w:szCs w:val="24"/>
              </w:rPr>
            </w:pPr>
            <w:r>
              <w:rPr>
                <w:rFonts w:ascii="宋体" w:hAnsi="宋体" w:cs="宋体"/>
                <w:spacing w:val="6"/>
                <w:sz w:val="24"/>
                <w:szCs w:val="24"/>
              </w:rPr>
              <w:t>代理服务费</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1A0021C">
            <w:pPr>
              <w:spacing w:line="400" w:lineRule="exact"/>
              <w:jc w:val="both"/>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rPr>
              <w:t>本</w:t>
            </w:r>
            <w:r>
              <w:rPr>
                <w:rFonts w:hint="eastAsia" w:ascii="宋体" w:hAnsi="宋体" w:eastAsia="宋体" w:cs="宋体"/>
                <w:spacing w:val="6"/>
                <w:sz w:val="24"/>
                <w:szCs w:val="24"/>
                <w:lang w:eastAsia="zh-CN"/>
              </w:rPr>
              <w:t>项目</w:t>
            </w:r>
            <w:r>
              <w:rPr>
                <w:rFonts w:hint="eastAsia" w:ascii="宋体" w:hAnsi="宋体" w:eastAsia="宋体" w:cs="宋体"/>
                <w:spacing w:val="6"/>
                <w:sz w:val="24"/>
                <w:szCs w:val="24"/>
              </w:rPr>
              <w:t>代理服务费参照豫招协[2023]002号河南省招标投标协会关于印发《河南省招标代理服务收费指导意见》规定的收费标准</w:t>
            </w:r>
            <w:r>
              <w:rPr>
                <w:rFonts w:hint="eastAsia" w:ascii="宋体" w:hAnsi="宋体" w:eastAsia="宋体" w:cs="宋体"/>
                <w:spacing w:val="6"/>
                <w:sz w:val="24"/>
                <w:szCs w:val="24"/>
                <w:lang w:eastAsia="zh-CN"/>
              </w:rPr>
              <w:t>收取：服务</w:t>
            </w:r>
            <w:r>
              <w:rPr>
                <w:rFonts w:hint="eastAsia" w:ascii="宋体" w:hAnsi="宋体" w:eastAsia="宋体" w:cs="宋体"/>
                <w:spacing w:val="6"/>
                <w:sz w:val="24"/>
                <w:szCs w:val="24"/>
                <w:lang w:val="en-US" w:eastAsia="zh-CN"/>
              </w:rPr>
              <w:t>类项目100万元以下（含100万元）按1.7%，100万-500万（含500万）按1.2%计取。该</w:t>
            </w:r>
            <w:r>
              <w:rPr>
                <w:rFonts w:hint="eastAsia" w:ascii="宋体" w:hAnsi="宋体" w:eastAsia="宋体" w:cs="宋体"/>
                <w:spacing w:val="6"/>
                <w:sz w:val="24"/>
                <w:szCs w:val="24"/>
                <w:lang w:eastAsia="zh-CN"/>
              </w:rPr>
              <w:t>代理服务费由成交人领取成交通知书时向代理机构</w:t>
            </w:r>
            <w:r>
              <w:rPr>
                <w:rFonts w:hint="eastAsia" w:ascii="宋体" w:hAnsi="宋体" w:eastAsia="宋体" w:cs="宋体"/>
                <w:spacing w:val="6"/>
                <w:sz w:val="24"/>
                <w:szCs w:val="24"/>
                <w:lang w:val="en-US" w:eastAsia="zh-CN"/>
              </w:rPr>
              <w:t>一次性</w:t>
            </w:r>
            <w:r>
              <w:rPr>
                <w:rFonts w:hint="eastAsia" w:ascii="宋体" w:hAnsi="宋体" w:eastAsia="宋体" w:cs="宋体"/>
                <w:spacing w:val="6"/>
                <w:sz w:val="24"/>
                <w:szCs w:val="24"/>
                <w:lang w:eastAsia="zh-CN"/>
              </w:rPr>
              <w:t>缴纳</w:t>
            </w:r>
            <w:r>
              <w:rPr>
                <w:rFonts w:hint="eastAsia" w:ascii="宋体" w:hAnsi="宋体" w:eastAsia="宋体" w:cs="宋体"/>
                <w:spacing w:val="6"/>
                <w:sz w:val="24"/>
                <w:szCs w:val="24"/>
              </w:rPr>
              <w:t>。</w:t>
            </w:r>
          </w:p>
          <w:p w14:paraId="12B7B5A8">
            <w:pPr>
              <w:spacing w:line="400" w:lineRule="exact"/>
              <w:jc w:val="both"/>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收取方式：现金或转账</w:t>
            </w:r>
          </w:p>
          <w:p w14:paraId="3A682715">
            <w:pPr>
              <w:spacing w:line="400" w:lineRule="exact"/>
              <w:jc w:val="both"/>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 xml:space="preserve">账户名称：恒恺工程管理咨询有限公司 </w:t>
            </w:r>
          </w:p>
          <w:p w14:paraId="11B4E499">
            <w:pPr>
              <w:spacing w:line="400" w:lineRule="exact"/>
              <w:jc w:val="both"/>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账    号：261168439794</w:t>
            </w:r>
          </w:p>
          <w:p w14:paraId="285619F9">
            <w:pPr>
              <w:spacing w:line="400" w:lineRule="exact"/>
              <w:jc w:val="both"/>
            </w:pPr>
            <w:r>
              <w:rPr>
                <w:rFonts w:hint="eastAsia" w:ascii="宋体" w:hAnsi="宋体" w:eastAsia="宋体" w:cs="宋体"/>
                <w:spacing w:val="6"/>
                <w:sz w:val="24"/>
                <w:szCs w:val="24"/>
                <w:lang w:val="en-US" w:eastAsia="zh-CN"/>
              </w:rPr>
              <w:t>开户银行：中国银行股份有限公司郑州高铁东站支行</w:t>
            </w:r>
          </w:p>
        </w:tc>
      </w:tr>
      <w:tr w14:paraId="3045B083">
        <w:tblPrEx>
          <w:tblCellMar>
            <w:top w:w="0" w:type="dxa"/>
            <w:left w:w="108" w:type="dxa"/>
            <w:bottom w:w="0" w:type="dxa"/>
            <w:right w:w="108" w:type="dxa"/>
          </w:tblCellMar>
        </w:tblPrEx>
        <w:trPr>
          <w:trHeight w:val="828"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A11EAA3">
            <w:pPr>
              <w:widowControl w:val="0"/>
              <w:adjustRightInd w:val="0"/>
              <w:spacing w:line="400" w:lineRule="exact"/>
              <w:jc w:val="center"/>
              <w:rPr>
                <w:rFonts w:hint="default" w:ascii="宋体" w:hAnsi="宋体" w:cs="宋体"/>
                <w:spacing w:val="6"/>
                <w:sz w:val="24"/>
                <w:szCs w:val="24"/>
                <w:lang w:val="en-US" w:eastAsia="zh-CN"/>
              </w:rPr>
            </w:pPr>
            <w:r>
              <w:rPr>
                <w:rFonts w:hint="eastAsia" w:ascii="宋体" w:hAnsi="宋体" w:eastAsia="宋体" w:cs="宋体"/>
                <w:spacing w:val="6"/>
                <w:sz w:val="24"/>
                <w:szCs w:val="24"/>
                <w:lang w:val="en-US" w:eastAsia="zh-CN"/>
              </w:rPr>
              <w:t>40</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1719CB93">
            <w:pPr>
              <w:spacing w:line="360" w:lineRule="exact"/>
              <w:jc w:val="center"/>
              <w:rPr>
                <w:rFonts w:hint="eastAsia" w:ascii="宋体" w:hAnsi="宋体" w:eastAsia="宋体" w:cs="宋体"/>
                <w:color w:val="000000"/>
                <w:sz w:val="24"/>
                <w:szCs w:val="24"/>
                <w:lang w:val="zh-CN" w:eastAsia="zh-CN" w:bidi="zh-CN"/>
              </w:rPr>
            </w:pPr>
            <w:r>
              <w:rPr>
                <w:rFonts w:hint="eastAsia" w:ascii="宋体" w:hAnsi="宋体" w:eastAsia="宋体" w:cs="宋体"/>
                <w:color w:val="000000"/>
                <w:sz w:val="24"/>
                <w:szCs w:val="24"/>
              </w:rPr>
              <w:t>合同签订</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4055ADAC">
            <w:pPr>
              <w:spacing w:line="360" w:lineRule="exact"/>
              <w:jc w:val="both"/>
              <w:rPr>
                <w:rFonts w:hint="eastAsia" w:ascii="宋体" w:hAnsi="宋体" w:eastAsia="宋体" w:cs="宋体"/>
                <w:color w:val="000000"/>
                <w:sz w:val="24"/>
                <w:szCs w:val="24"/>
                <w:lang w:val="en-US" w:eastAsia="en-US" w:bidi="zh-CN"/>
              </w:rPr>
            </w:pPr>
            <w:r>
              <w:rPr>
                <w:rFonts w:hint="eastAsia" w:ascii="宋体" w:hAnsi="宋体" w:eastAsia="宋体" w:cs="宋体"/>
                <w:color w:val="auto"/>
                <w:sz w:val="24"/>
                <w:szCs w:val="24"/>
                <w:highlight w:val="none"/>
              </w:rPr>
              <w:t>评标结束当天发出成交通知书；</w:t>
            </w:r>
            <w:r>
              <w:rPr>
                <w:rFonts w:hint="eastAsia" w:ascii="宋体" w:hAnsi="宋体" w:eastAsia="宋体" w:cs="宋体"/>
                <w:sz w:val="24"/>
                <w:szCs w:val="24"/>
                <w:lang w:val="en-US" w:eastAsia="zh-CN"/>
              </w:rPr>
              <w:t>成交</w:t>
            </w:r>
            <w:r>
              <w:rPr>
                <w:rFonts w:hint="eastAsia" w:ascii="宋体" w:hAnsi="宋体" w:eastAsia="宋体" w:cs="宋体"/>
                <w:sz w:val="24"/>
                <w:szCs w:val="24"/>
                <w:lang w:val="en-US" w:eastAsia="en-US"/>
              </w:rPr>
              <w:t>供应商</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人</w:t>
            </w:r>
            <w:r>
              <w:rPr>
                <w:rFonts w:hint="eastAsia" w:ascii="宋体" w:hAnsi="宋体" w:eastAsia="宋体" w:cs="宋体"/>
                <w:sz w:val="24"/>
                <w:szCs w:val="24"/>
                <w:lang w:val="en-US" w:eastAsia="en-US"/>
              </w:rPr>
              <w:t>应自成交通知书发出之日起</w:t>
            </w:r>
            <w:r>
              <w:rPr>
                <w:rFonts w:hint="eastAsia" w:ascii="宋体" w:hAnsi="宋体" w:eastAsia="宋体" w:cs="宋体"/>
                <w:sz w:val="24"/>
                <w:szCs w:val="24"/>
                <w:lang w:val="en-US" w:eastAsia="zh-CN"/>
              </w:rPr>
              <w:t>1</w:t>
            </w:r>
            <w:r>
              <w:rPr>
                <w:rFonts w:hint="eastAsia" w:ascii="宋体" w:hAnsi="宋体" w:eastAsia="宋体" w:cs="宋体"/>
                <w:sz w:val="24"/>
                <w:szCs w:val="24"/>
                <w:lang w:val="en-US" w:eastAsia="en-US"/>
              </w:rPr>
              <w:t xml:space="preserve">个工作日内按照成交通知书和供应商响应文件内容及要求签订合同 </w:t>
            </w:r>
            <w:r>
              <w:rPr>
                <w:rFonts w:hint="eastAsia" w:ascii="宋体" w:hAnsi="宋体" w:eastAsia="宋体" w:cs="宋体"/>
                <w:sz w:val="24"/>
                <w:szCs w:val="24"/>
              </w:rPr>
              <w:t xml:space="preserve">          </w:t>
            </w:r>
            <w:r>
              <w:rPr>
                <w:rFonts w:hint="eastAsia" w:ascii="宋体" w:hAnsi="宋体" w:eastAsia="宋体" w:cs="宋体"/>
                <w:color w:val="000000"/>
                <w:sz w:val="24"/>
                <w:szCs w:val="24"/>
              </w:rPr>
              <w:t xml:space="preserve">                                                                                                                                                                                                                                                                                                                                                                                                                                                                                                                                                               </w:t>
            </w:r>
          </w:p>
        </w:tc>
      </w:tr>
      <w:tr w14:paraId="037728A4">
        <w:tblPrEx>
          <w:tblCellMar>
            <w:top w:w="0" w:type="dxa"/>
            <w:left w:w="108" w:type="dxa"/>
            <w:bottom w:w="0" w:type="dxa"/>
            <w:right w:w="108" w:type="dxa"/>
          </w:tblCellMar>
        </w:tblPrEx>
        <w:trPr>
          <w:trHeight w:val="783"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748DE792">
            <w:pPr>
              <w:widowControl w:val="0"/>
              <w:adjustRightInd w:val="0"/>
              <w:spacing w:line="400" w:lineRule="exact"/>
              <w:jc w:val="center"/>
              <w:rPr>
                <w:rFonts w:hint="default" w:ascii="宋体" w:hAnsi="宋体" w:cs="宋体"/>
                <w:spacing w:val="6"/>
                <w:sz w:val="24"/>
                <w:szCs w:val="24"/>
                <w:lang w:val="en-US" w:eastAsia="zh-CN"/>
              </w:rPr>
            </w:pPr>
            <w:r>
              <w:rPr>
                <w:rFonts w:hint="eastAsia" w:ascii="宋体" w:hAnsi="宋体" w:cs="宋体"/>
                <w:spacing w:val="6"/>
                <w:sz w:val="24"/>
                <w:szCs w:val="24"/>
                <w:lang w:val="en-US" w:eastAsia="zh-CN"/>
              </w:rPr>
              <w:t>41</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4D935BA">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政府采购合同</w:t>
            </w:r>
          </w:p>
          <w:p w14:paraId="71ACEA36">
            <w:pPr>
              <w:spacing w:line="360" w:lineRule="exact"/>
              <w:jc w:val="center"/>
              <w:rPr>
                <w:rFonts w:hint="eastAsia" w:ascii="宋体" w:hAnsi="宋体" w:eastAsia="宋体" w:cs="宋体"/>
                <w:sz w:val="24"/>
                <w:szCs w:val="24"/>
                <w:lang w:val="zh-CN" w:eastAsia="zh-CN" w:bidi="ar-SA"/>
              </w:rPr>
            </w:pPr>
            <w:r>
              <w:rPr>
                <w:rFonts w:hint="eastAsia" w:ascii="宋体" w:hAnsi="宋体" w:eastAsia="宋体" w:cs="宋体"/>
                <w:sz w:val="24"/>
                <w:szCs w:val="24"/>
              </w:rPr>
              <w:t>融资政策</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1D553F08">
            <w:pPr>
              <w:spacing w:line="360" w:lineRule="exact"/>
              <w:jc w:val="left"/>
              <w:rPr>
                <w:rFonts w:hint="eastAsia" w:ascii="宋体" w:hAnsi="宋体" w:eastAsia="宋体" w:cs="宋体"/>
                <w:sz w:val="24"/>
                <w:szCs w:val="24"/>
                <w:lang w:val="en-US" w:eastAsia="en-US" w:bidi="ar-SA"/>
              </w:rPr>
            </w:pPr>
            <w:r>
              <w:rPr>
                <w:rFonts w:hint="eastAsia" w:ascii="宋体" w:hAnsi="宋体" w:eastAsia="宋体" w:cs="宋体"/>
                <w:sz w:val="24"/>
                <w:szCs w:val="24"/>
              </w:rPr>
              <w:t>中标后如需融资，参照《河南省政府采购合同融资工作实施方案》（豫财购〔2017〕10号）执行。</w:t>
            </w:r>
          </w:p>
        </w:tc>
      </w:tr>
      <w:tr w14:paraId="5B6C539F">
        <w:tblPrEx>
          <w:tblCellMar>
            <w:top w:w="0" w:type="dxa"/>
            <w:left w:w="108" w:type="dxa"/>
            <w:bottom w:w="0" w:type="dxa"/>
            <w:right w:w="108" w:type="dxa"/>
          </w:tblCellMar>
        </w:tblPrEx>
        <w:trPr>
          <w:trHeight w:val="1263"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CF506B8">
            <w:pPr>
              <w:widowControl w:val="0"/>
              <w:adjustRightInd w:val="0"/>
              <w:spacing w:line="400" w:lineRule="exact"/>
              <w:jc w:val="center"/>
              <w:rPr>
                <w:rFonts w:hint="default" w:ascii="宋体" w:hAnsi="宋体" w:cs="宋体"/>
                <w:spacing w:val="6"/>
                <w:sz w:val="24"/>
                <w:szCs w:val="24"/>
                <w:lang w:val="en-US" w:eastAsia="zh-CN"/>
              </w:rPr>
            </w:pPr>
            <w:r>
              <w:rPr>
                <w:rFonts w:hint="eastAsia" w:ascii="宋体" w:hAnsi="宋体" w:cs="宋体"/>
                <w:spacing w:val="6"/>
                <w:sz w:val="24"/>
                <w:szCs w:val="24"/>
                <w:lang w:val="en-US" w:eastAsia="zh-CN"/>
              </w:rPr>
              <w:t>42</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4E2FAC8C">
            <w:pPr>
              <w:widowControl w:val="0"/>
              <w:adjustRightInd w:val="0"/>
              <w:spacing w:line="400" w:lineRule="exact"/>
              <w:jc w:val="center"/>
              <w:rPr>
                <w:rFonts w:hint="eastAsia" w:ascii="宋体" w:hAnsi="宋体" w:eastAsia="宋体" w:cs="宋体"/>
                <w:b w:val="0"/>
                <w:bCs/>
                <w:sz w:val="24"/>
                <w:szCs w:val="24"/>
                <w:highlight w:val="none"/>
                <w:lang w:val="zh-CN" w:eastAsia="zh-CN" w:bidi="ar-SA"/>
              </w:rPr>
            </w:pPr>
            <w:r>
              <w:rPr>
                <w:rFonts w:hint="eastAsia" w:ascii="宋体" w:hAnsi="宋体" w:eastAsia="宋体" w:cs="宋体"/>
                <w:b w:val="0"/>
                <w:bCs/>
                <w:sz w:val="24"/>
                <w:szCs w:val="24"/>
                <w:highlight w:val="none"/>
                <w:lang w:val="zh-CN" w:eastAsia="zh-CN" w:bidi="ar-SA"/>
              </w:rPr>
              <w:t>采购标的所属</w:t>
            </w:r>
          </w:p>
          <w:p w14:paraId="3AA34552">
            <w:pPr>
              <w:widowControl w:val="0"/>
              <w:adjustRightInd w:val="0"/>
              <w:spacing w:line="400" w:lineRule="exact"/>
              <w:jc w:val="center"/>
              <w:rPr>
                <w:rFonts w:hint="eastAsia" w:ascii="宋体" w:hAnsi="宋体" w:eastAsia="宋体" w:cs="宋体"/>
                <w:b/>
                <w:sz w:val="24"/>
                <w:szCs w:val="24"/>
                <w:highlight w:val="none"/>
                <w:lang w:val="zh-CN" w:eastAsia="zh-CN" w:bidi="ar-SA"/>
              </w:rPr>
            </w:pPr>
            <w:r>
              <w:rPr>
                <w:rFonts w:hint="eastAsia" w:ascii="宋体" w:hAnsi="宋体" w:eastAsia="宋体" w:cs="宋体"/>
                <w:b w:val="0"/>
                <w:bCs/>
                <w:sz w:val="24"/>
                <w:szCs w:val="24"/>
                <w:highlight w:val="none"/>
                <w:lang w:val="zh-CN" w:eastAsia="zh-CN" w:bidi="ar-SA"/>
              </w:rPr>
              <w:t>行业</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0411F803">
            <w:pPr>
              <w:widowControl w:val="0"/>
              <w:snapToGrid w:val="0"/>
              <w:spacing w:line="400" w:lineRule="exact"/>
              <w:jc w:val="both"/>
              <w:rPr>
                <w:rFonts w:hint="eastAsia" w:ascii="宋体" w:hAnsi="宋体"/>
                <w:sz w:val="24"/>
                <w:szCs w:val="24"/>
                <w:highlight w:val="yellow"/>
                <w:lang w:eastAsia="zh-CN"/>
              </w:rPr>
            </w:pPr>
            <w:r>
              <w:rPr>
                <w:rFonts w:hint="eastAsia" w:ascii="宋体" w:hAnsi="宋体"/>
                <w:sz w:val="24"/>
                <w:szCs w:val="24"/>
                <w:highlight w:val="none"/>
                <w:lang w:eastAsia="zh-CN"/>
              </w:rPr>
              <w:t>本项目采购标的所属行业：其他未列明行业</w:t>
            </w:r>
          </w:p>
          <w:p w14:paraId="10E6FE44">
            <w:pPr>
              <w:pStyle w:val="26"/>
              <w:rPr>
                <w:rFonts w:hint="eastAsia" w:ascii="Times New Roman" w:hAnsi="Times New Roman" w:eastAsia="宋体" w:cs="Times New Roman"/>
                <w:sz w:val="24"/>
                <w:lang w:val="en-US" w:eastAsia="en-US" w:bidi="ar-SA"/>
              </w:rPr>
            </w:pPr>
            <w:r>
              <w:rPr>
                <w:rFonts w:hint="eastAsia"/>
                <w:lang w:val="en-US" w:eastAsia="en-US"/>
              </w:rPr>
              <w:t>划定标准为：《工业和信息化部、国家统计局、国家发展和改革委员会、财政部关于印发&lt;中小企业划型标准规定的通知&gt;（工信部联企业</w:t>
            </w:r>
            <w:r>
              <w:rPr>
                <w:rFonts w:hint="eastAsia" w:ascii="宋体" w:hAnsi="宋体" w:eastAsia="宋体" w:cs="宋体"/>
                <w:lang w:val="en-US" w:eastAsia="en-US"/>
              </w:rPr>
              <w:t>〔2011〕300号）</w:t>
            </w:r>
            <w:r>
              <w:rPr>
                <w:rFonts w:hint="eastAsia"/>
                <w:lang w:val="en-US" w:eastAsia="en-US"/>
              </w:rPr>
              <w:t>规定的划分标准为依据。</w:t>
            </w:r>
          </w:p>
        </w:tc>
      </w:tr>
      <w:tr w14:paraId="30F94610">
        <w:tblPrEx>
          <w:tblCellMar>
            <w:top w:w="0" w:type="dxa"/>
            <w:left w:w="108" w:type="dxa"/>
            <w:bottom w:w="0" w:type="dxa"/>
            <w:right w:w="108" w:type="dxa"/>
          </w:tblCellMar>
        </w:tblPrEx>
        <w:trPr>
          <w:trHeight w:val="1263"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35B5580C">
            <w:pPr>
              <w:widowControl w:val="0"/>
              <w:adjustRightInd w:val="0"/>
              <w:spacing w:line="400" w:lineRule="exact"/>
              <w:jc w:val="center"/>
              <w:rPr>
                <w:rFonts w:hint="default"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43</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31AA8A50">
            <w:pPr>
              <w:spacing w:line="400" w:lineRule="exact"/>
              <w:jc w:val="center"/>
              <w:rPr>
                <w:rFonts w:hint="eastAsia" w:ascii="宋体" w:hAnsi="宋体" w:cs="宋体"/>
                <w:spacing w:val="6"/>
                <w:sz w:val="24"/>
                <w:szCs w:val="24"/>
              </w:rPr>
            </w:pPr>
            <w:r>
              <w:rPr>
                <w:rFonts w:hint="eastAsia" w:ascii="宋体" w:hAnsi="宋体" w:cs="宋体"/>
                <w:sz w:val="24"/>
                <w:szCs w:val="24"/>
              </w:rPr>
              <w:t>竞争性磋商文件的解释</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7739825E">
            <w:pPr>
              <w:spacing w:line="400" w:lineRule="exact"/>
              <w:rPr>
                <w:rFonts w:hint="eastAsia" w:ascii="宋体" w:hAnsi="宋体" w:cs="宋体"/>
                <w:spacing w:val="6"/>
                <w:sz w:val="24"/>
                <w:szCs w:val="24"/>
              </w:rPr>
            </w:pPr>
            <w:r>
              <w:rPr>
                <w:rFonts w:hint="eastAsia" w:ascii="宋体" w:hAnsi="宋体" w:cs="宋体"/>
                <w:sz w:val="24"/>
                <w:szCs w:val="24"/>
              </w:rPr>
              <w:t>在符合相关法律法规的前题下，竞争性磋商文件的解释权归采购人所有。本竞争性磋商文件中其他部分内容与响应人须知前附表不一致的，以</w:t>
            </w:r>
            <w:r>
              <w:rPr>
                <w:rFonts w:hint="eastAsia" w:ascii="宋体" w:hAnsi="宋体" w:cs="宋体"/>
                <w:sz w:val="24"/>
                <w:szCs w:val="24"/>
                <w:lang w:eastAsia="zh-CN"/>
              </w:rPr>
              <w:t>供应商</w:t>
            </w:r>
            <w:r>
              <w:rPr>
                <w:rFonts w:hint="eastAsia" w:ascii="宋体" w:hAnsi="宋体" w:cs="宋体"/>
                <w:sz w:val="24"/>
                <w:szCs w:val="24"/>
              </w:rPr>
              <w:t>须知前附表为准。</w:t>
            </w:r>
          </w:p>
        </w:tc>
      </w:tr>
      <w:tr w14:paraId="7DD13DEF">
        <w:tblPrEx>
          <w:tblCellMar>
            <w:top w:w="0" w:type="dxa"/>
            <w:left w:w="108" w:type="dxa"/>
            <w:bottom w:w="0" w:type="dxa"/>
            <w:right w:w="108" w:type="dxa"/>
          </w:tblCellMar>
        </w:tblPrEx>
        <w:trPr>
          <w:trHeight w:val="1263"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5EF815D3">
            <w:pPr>
              <w:widowControl w:val="0"/>
              <w:adjustRightInd w:val="0"/>
              <w:spacing w:line="400" w:lineRule="exact"/>
              <w:jc w:val="center"/>
              <w:rPr>
                <w:rFonts w:hint="eastAsia" w:ascii="宋体" w:hAnsi="宋体" w:eastAsia="宋体" w:cs="宋体"/>
                <w:spacing w:val="6"/>
                <w:sz w:val="24"/>
                <w:szCs w:val="24"/>
                <w:lang w:eastAsia="zh-CN"/>
              </w:rPr>
            </w:pPr>
            <w:r>
              <w:rPr>
                <w:rFonts w:hint="eastAsia" w:ascii="宋体" w:hAnsi="宋体" w:cs="宋体"/>
                <w:spacing w:val="6"/>
                <w:sz w:val="24"/>
                <w:szCs w:val="24"/>
              </w:rPr>
              <w:t>4</w:t>
            </w:r>
            <w:r>
              <w:rPr>
                <w:rFonts w:hint="eastAsia" w:ascii="宋体" w:hAnsi="宋体" w:cs="宋体"/>
                <w:spacing w:val="6"/>
                <w:sz w:val="24"/>
                <w:szCs w:val="24"/>
                <w:lang w:val="en-US" w:eastAsia="zh-CN"/>
              </w:rPr>
              <w:t>4</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477C2E25">
            <w:pPr>
              <w:spacing w:line="400" w:lineRule="exact"/>
              <w:jc w:val="center"/>
              <w:rPr>
                <w:rFonts w:hint="eastAsia" w:ascii="宋体" w:hAnsi="宋体" w:cs="宋体"/>
                <w:spacing w:val="6"/>
                <w:sz w:val="24"/>
                <w:szCs w:val="24"/>
              </w:rPr>
            </w:pPr>
            <w:r>
              <w:rPr>
                <w:rFonts w:hint="eastAsia" w:ascii="宋体" w:hAnsi="宋体" w:cs="宋体"/>
                <w:sz w:val="24"/>
                <w:szCs w:val="24"/>
              </w:rPr>
              <w:t>答疑</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40AA9C7D">
            <w:pPr>
              <w:spacing w:line="400" w:lineRule="exact"/>
              <w:rPr>
                <w:rFonts w:hint="eastAsia" w:ascii="宋体" w:hAnsi="宋体" w:cs="宋体"/>
                <w:spacing w:val="6"/>
                <w:sz w:val="24"/>
                <w:szCs w:val="24"/>
              </w:rPr>
            </w:pPr>
            <w:r>
              <w:rPr>
                <w:rFonts w:hint="eastAsia" w:ascii="宋体" w:hAnsi="宋体" w:cs="宋体"/>
                <w:sz w:val="24"/>
                <w:szCs w:val="24"/>
              </w:rPr>
              <w:t>需要解答的疑问以书面形式加盖单位公章递交至采购人或代理机构，逾期提交的问题概不做回复。采购人将需要解答的内容以公告形式发至所有潜在响应人。</w:t>
            </w:r>
          </w:p>
        </w:tc>
      </w:tr>
      <w:tr w14:paraId="5E8C5763">
        <w:tblPrEx>
          <w:tblCellMar>
            <w:top w:w="0" w:type="dxa"/>
            <w:left w:w="108" w:type="dxa"/>
            <w:bottom w:w="0" w:type="dxa"/>
            <w:right w:w="108" w:type="dxa"/>
          </w:tblCellMar>
        </w:tblPrEx>
        <w:trPr>
          <w:trHeight w:val="448"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17FDC93">
            <w:pPr>
              <w:widowControl w:val="0"/>
              <w:adjustRightInd w:val="0"/>
              <w:spacing w:line="400" w:lineRule="exact"/>
              <w:jc w:val="center"/>
              <w:rPr>
                <w:rFonts w:hint="eastAsia" w:ascii="宋体" w:hAnsi="宋体" w:eastAsia="宋体" w:cs="宋体"/>
                <w:spacing w:val="6"/>
                <w:sz w:val="24"/>
                <w:szCs w:val="24"/>
                <w:lang w:eastAsia="zh-CN"/>
              </w:rPr>
            </w:pPr>
            <w:r>
              <w:rPr>
                <w:rFonts w:hint="eastAsia" w:ascii="宋体" w:hAnsi="宋体" w:cs="宋体"/>
                <w:spacing w:val="6"/>
                <w:sz w:val="24"/>
                <w:szCs w:val="24"/>
              </w:rPr>
              <w:t>4</w:t>
            </w:r>
            <w:r>
              <w:rPr>
                <w:rFonts w:hint="eastAsia" w:ascii="宋体" w:hAnsi="宋体" w:cs="宋体"/>
                <w:spacing w:val="6"/>
                <w:sz w:val="24"/>
                <w:szCs w:val="24"/>
                <w:lang w:val="en-US" w:eastAsia="zh-CN"/>
              </w:rPr>
              <w:t>5</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79EF7825">
            <w:pPr>
              <w:spacing w:line="400" w:lineRule="exact"/>
              <w:jc w:val="center"/>
              <w:rPr>
                <w:rFonts w:hint="eastAsia" w:ascii="宋体" w:hAnsi="宋体" w:cs="宋体"/>
                <w:spacing w:val="6"/>
                <w:sz w:val="24"/>
                <w:szCs w:val="24"/>
              </w:rPr>
            </w:pPr>
            <w:r>
              <w:rPr>
                <w:rFonts w:hint="eastAsia" w:ascii="宋体" w:hAnsi="宋体" w:cs="宋体"/>
                <w:sz w:val="24"/>
                <w:szCs w:val="24"/>
              </w:rPr>
              <w:t>知识产权</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50C78176">
            <w:pPr>
              <w:spacing w:line="400" w:lineRule="exact"/>
              <w:rPr>
                <w:rFonts w:hint="eastAsia" w:ascii="宋体" w:hAnsi="宋体" w:cs="宋体"/>
                <w:spacing w:val="6"/>
                <w:sz w:val="24"/>
                <w:szCs w:val="24"/>
              </w:rPr>
            </w:pPr>
            <w:r>
              <w:rPr>
                <w:rFonts w:hint="eastAsia" w:ascii="宋体" w:hAnsi="宋体" w:cs="宋体"/>
                <w:sz w:val="24"/>
                <w:szCs w:val="24"/>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0724A1B1">
        <w:tblPrEx>
          <w:tblCellMar>
            <w:top w:w="0" w:type="dxa"/>
            <w:left w:w="108" w:type="dxa"/>
            <w:bottom w:w="0" w:type="dxa"/>
            <w:right w:w="108" w:type="dxa"/>
          </w:tblCellMar>
        </w:tblPrEx>
        <w:trPr>
          <w:trHeight w:val="393"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500F1B9">
            <w:pPr>
              <w:widowControl w:val="0"/>
              <w:adjustRightInd w:val="0"/>
              <w:spacing w:line="400" w:lineRule="exact"/>
              <w:jc w:val="center"/>
              <w:rPr>
                <w:rFonts w:hint="default" w:ascii="宋体" w:hAnsi="宋体" w:eastAsia="宋体" w:cs="宋体"/>
                <w:spacing w:val="6"/>
                <w:sz w:val="24"/>
                <w:szCs w:val="24"/>
                <w:lang w:val="en-US" w:eastAsia="zh-CN"/>
              </w:rPr>
            </w:pPr>
            <w:r>
              <w:rPr>
                <w:rFonts w:hint="eastAsia" w:ascii="宋体" w:hAnsi="宋体" w:cs="宋体"/>
                <w:spacing w:val="6"/>
                <w:sz w:val="24"/>
                <w:szCs w:val="24"/>
              </w:rPr>
              <w:t>4</w:t>
            </w:r>
            <w:r>
              <w:rPr>
                <w:rFonts w:hint="eastAsia" w:ascii="宋体" w:hAnsi="宋体" w:cs="宋体"/>
                <w:spacing w:val="6"/>
                <w:sz w:val="24"/>
                <w:szCs w:val="24"/>
                <w:lang w:val="en-US" w:eastAsia="zh-CN"/>
              </w:rPr>
              <w:t>6</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1DA6663E">
            <w:pPr>
              <w:spacing w:line="400" w:lineRule="exact"/>
              <w:jc w:val="center"/>
              <w:rPr>
                <w:rFonts w:hint="eastAsia" w:ascii="宋体" w:hAnsi="宋体" w:cs="宋体"/>
                <w:spacing w:val="6"/>
                <w:sz w:val="24"/>
                <w:szCs w:val="24"/>
              </w:rPr>
            </w:pPr>
            <w:r>
              <w:rPr>
                <w:rFonts w:hint="eastAsia" w:ascii="宋体" w:hAnsi="宋体" w:cs="宋体"/>
                <w:sz w:val="24"/>
                <w:szCs w:val="24"/>
              </w:rPr>
              <w:t>重新招标的其他情形</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52C0B88A">
            <w:pPr>
              <w:spacing w:line="400" w:lineRule="exact"/>
              <w:rPr>
                <w:rFonts w:hint="eastAsia" w:ascii="宋体" w:hAnsi="宋体" w:cs="宋体"/>
                <w:spacing w:val="6"/>
                <w:sz w:val="24"/>
                <w:szCs w:val="24"/>
              </w:rPr>
            </w:pP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人确定</w:t>
            </w:r>
            <w:r>
              <w:rPr>
                <w:rFonts w:hint="eastAsia" w:ascii="宋体" w:hAnsi="宋体" w:cs="宋体"/>
                <w:color w:val="auto"/>
                <w:sz w:val="24"/>
                <w:szCs w:val="24"/>
                <w:highlight w:val="none"/>
                <w:lang w:val="en-US" w:eastAsia="zh-CN"/>
              </w:rPr>
              <w:t>磋商小组</w:t>
            </w:r>
            <w:r>
              <w:rPr>
                <w:rFonts w:hint="eastAsia" w:ascii="宋体" w:hAnsi="宋体" w:eastAsia="宋体" w:cs="宋体"/>
                <w:color w:val="auto"/>
                <w:sz w:val="24"/>
                <w:szCs w:val="24"/>
                <w:highlight w:val="none"/>
              </w:rPr>
              <w:t>推荐的排名第一的</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候选人为</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人。排名第一的</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候选人放弃</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、因不可抗力不能履行合同，或者被查实存在影响</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结果的违法行为等情形，不符合</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条件的，</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人可以按照</w:t>
            </w:r>
            <w:r>
              <w:rPr>
                <w:rFonts w:hint="eastAsia" w:ascii="宋体" w:hAnsi="宋体" w:cs="宋体"/>
                <w:color w:val="auto"/>
                <w:sz w:val="24"/>
                <w:szCs w:val="24"/>
                <w:highlight w:val="none"/>
                <w:lang w:val="en-US" w:eastAsia="zh-CN"/>
              </w:rPr>
              <w:t>磋商小组</w:t>
            </w:r>
            <w:r>
              <w:rPr>
                <w:rFonts w:hint="eastAsia" w:ascii="宋体" w:hAnsi="宋体" w:eastAsia="宋体" w:cs="宋体"/>
                <w:color w:val="auto"/>
                <w:sz w:val="24"/>
                <w:szCs w:val="24"/>
                <w:highlight w:val="none"/>
              </w:rPr>
              <w:t>提出的</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候选人名单排序依次确定其他</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候选人为</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人，也可以重新招标。</w:t>
            </w:r>
            <w:r>
              <w:rPr>
                <w:rFonts w:hint="eastAsia" w:ascii="宋体" w:hAnsi="宋体" w:eastAsia="宋体" w:cs="宋体"/>
                <w:sz w:val="24"/>
                <w:szCs w:val="24"/>
              </w:rPr>
              <w:t>除响应人须知正文规定的情形外，除非已经产生</w:t>
            </w:r>
            <w:r>
              <w:rPr>
                <w:rFonts w:hint="eastAsia" w:ascii="宋体" w:hAnsi="宋体" w:cs="宋体"/>
                <w:color w:val="auto"/>
                <w:sz w:val="24"/>
                <w:szCs w:val="24"/>
                <w:highlight w:val="none"/>
                <w:lang w:eastAsia="zh-CN"/>
              </w:rPr>
              <w:t>成交</w:t>
            </w:r>
            <w:r>
              <w:rPr>
                <w:rFonts w:hint="eastAsia" w:ascii="宋体" w:hAnsi="宋体" w:eastAsia="宋体" w:cs="宋体"/>
                <w:sz w:val="24"/>
                <w:szCs w:val="24"/>
              </w:rPr>
              <w:t>候选人，在磋商有效期内同意延长磋商有效期的响应人少于三个的，采购人应当依法重新招标。</w:t>
            </w:r>
          </w:p>
        </w:tc>
      </w:tr>
      <w:tr w14:paraId="65CD9404">
        <w:tblPrEx>
          <w:tblCellMar>
            <w:top w:w="0" w:type="dxa"/>
            <w:left w:w="108" w:type="dxa"/>
            <w:bottom w:w="0" w:type="dxa"/>
            <w:right w:w="108" w:type="dxa"/>
          </w:tblCellMar>
        </w:tblPrEx>
        <w:trPr>
          <w:trHeight w:val="843"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089767A">
            <w:pPr>
              <w:widowControl w:val="0"/>
              <w:adjustRightInd w:val="0"/>
              <w:spacing w:line="400" w:lineRule="exact"/>
              <w:jc w:val="center"/>
              <w:rPr>
                <w:rFonts w:hint="eastAsia" w:ascii="宋体" w:hAnsi="宋体" w:eastAsia="宋体" w:cs="宋体"/>
                <w:spacing w:val="6"/>
                <w:sz w:val="24"/>
                <w:szCs w:val="24"/>
                <w:lang w:eastAsia="zh-CN"/>
              </w:rPr>
            </w:pPr>
            <w:r>
              <w:rPr>
                <w:rFonts w:hint="eastAsia" w:ascii="宋体" w:hAnsi="宋体" w:eastAsia="宋体" w:cs="宋体"/>
                <w:spacing w:val="6"/>
                <w:sz w:val="24"/>
                <w:szCs w:val="24"/>
                <w:lang w:val="en-US" w:eastAsia="zh-CN"/>
              </w:rPr>
              <w:t>47</w:t>
            </w:r>
          </w:p>
        </w:tc>
        <w:tc>
          <w:tcPr>
            <w:tcW w:w="1986" w:type="dxa"/>
            <w:tcBorders>
              <w:top w:val="single" w:color="auto" w:sz="6" w:space="0"/>
              <w:left w:val="single" w:color="auto" w:sz="6" w:space="0"/>
              <w:bottom w:val="single" w:color="auto" w:sz="6" w:space="0"/>
              <w:right w:val="single" w:color="auto" w:sz="6" w:space="0"/>
            </w:tcBorders>
            <w:noWrap w:val="0"/>
            <w:vAlign w:val="center"/>
          </w:tcPr>
          <w:p w14:paraId="04CF45EA">
            <w:pPr>
              <w:spacing w:line="400" w:lineRule="exact"/>
              <w:jc w:val="center"/>
              <w:rPr>
                <w:rFonts w:hint="eastAsia" w:ascii="宋体" w:hAnsi="宋体" w:cs="宋体"/>
                <w:spacing w:val="6"/>
                <w:sz w:val="24"/>
                <w:szCs w:val="24"/>
              </w:rPr>
            </w:pPr>
            <w:r>
              <w:rPr>
                <w:rFonts w:hint="eastAsia" w:ascii="宋体" w:hAnsi="宋体" w:cs="宋体"/>
                <w:sz w:val="24"/>
                <w:szCs w:val="24"/>
              </w:rPr>
              <w:t>监  督</w:t>
            </w:r>
          </w:p>
        </w:tc>
        <w:tc>
          <w:tcPr>
            <w:tcW w:w="6645" w:type="dxa"/>
            <w:tcBorders>
              <w:top w:val="single" w:color="auto" w:sz="6" w:space="0"/>
              <w:left w:val="single" w:color="auto" w:sz="6" w:space="0"/>
              <w:bottom w:val="single" w:color="auto" w:sz="6" w:space="0"/>
              <w:right w:val="single" w:color="auto" w:sz="12" w:space="0"/>
            </w:tcBorders>
            <w:noWrap w:val="0"/>
            <w:vAlign w:val="center"/>
          </w:tcPr>
          <w:p w14:paraId="30D47C25">
            <w:pPr>
              <w:spacing w:line="400" w:lineRule="exact"/>
              <w:rPr>
                <w:rFonts w:hint="eastAsia" w:ascii="宋体" w:hAnsi="宋体" w:cs="宋体"/>
                <w:spacing w:val="6"/>
                <w:sz w:val="24"/>
                <w:szCs w:val="24"/>
              </w:rPr>
            </w:pPr>
            <w:r>
              <w:rPr>
                <w:rFonts w:hint="eastAsia" w:ascii="宋体" w:hAnsi="宋体" w:cs="宋体"/>
                <w:sz w:val="24"/>
                <w:szCs w:val="24"/>
              </w:rPr>
              <w:t>本项目的磋商活动及其相关当事人应当接受有管辖权的招标投标行政监督部门依法实施的监督。</w:t>
            </w:r>
          </w:p>
        </w:tc>
      </w:tr>
      <w:tr w14:paraId="209ECF60">
        <w:tblPrEx>
          <w:tblCellMar>
            <w:top w:w="0" w:type="dxa"/>
            <w:left w:w="108" w:type="dxa"/>
            <w:bottom w:w="0" w:type="dxa"/>
            <w:right w:w="108" w:type="dxa"/>
          </w:tblCellMar>
        </w:tblPrEx>
        <w:trPr>
          <w:trHeight w:val="404" w:hRule="atLeast"/>
          <w:jc w:val="center"/>
        </w:trPr>
        <w:tc>
          <w:tcPr>
            <w:tcW w:w="728" w:type="dxa"/>
            <w:tcBorders>
              <w:top w:val="single" w:color="auto" w:sz="6" w:space="0"/>
              <w:left w:val="single" w:color="auto" w:sz="12" w:space="0"/>
              <w:bottom w:val="single" w:color="auto" w:sz="12" w:space="0"/>
              <w:right w:val="single" w:color="auto" w:sz="6" w:space="0"/>
            </w:tcBorders>
            <w:noWrap w:val="0"/>
            <w:vAlign w:val="center"/>
          </w:tcPr>
          <w:p w14:paraId="5BF9FD60">
            <w:pPr>
              <w:widowControl w:val="0"/>
              <w:adjustRightInd w:val="0"/>
              <w:spacing w:line="400" w:lineRule="exact"/>
              <w:jc w:val="center"/>
              <w:rPr>
                <w:rFonts w:hint="eastAsia" w:ascii="宋体" w:hAnsi="宋体" w:eastAsia="宋体" w:cs="宋体"/>
                <w:spacing w:val="6"/>
                <w:sz w:val="24"/>
                <w:szCs w:val="24"/>
                <w:lang w:eastAsia="zh-CN"/>
              </w:rPr>
            </w:pPr>
            <w:r>
              <w:rPr>
                <w:rFonts w:hint="eastAsia" w:ascii="宋体" w:hAnsi="宋体" w:cs="宋体"/>
                <w:spacing w:val="6"/>
                <w:sz w:val="24"/>
                <w:szCs w:val="24"/>
              </w:rPr>
              <w:t>4</w:t>
            </w:r>
            <w:r>
              <w:rPr>
                <w:rFonts w:hint="eastAsia" w:ascii="宋体" w:hAnsi="宋体" w:cs="宋体"/>
                <w:spacing w:val="6"/>
                <w:sz w:val="24"/>
                <w:szCs w:val="24"/>
                <w:lang w:val="en-US" w:eastAsia="zh-CN"/>
              </w:rPr>
              <w:t>8</w:t>
            </w:r>
          </w:p>
        </w:tc>
        <w:tc>
          <w:tcPr>
            <w:tcW w:w="1986" w:type="dxa"/>
            <w:tcBorders>
              <w:top w:val="single" w:color="auto" w:sz="6" w:space="0"/>
              <w:left w:val="single" w:color="auto" w:sz="6" w:space="0"/>
              <w:bottom w:val="single" w:color="auto" w:sz="12" w:space="0"/>
              <w:right w:val="single" w:color="auto" w:sz="6" w:space="0"/>
            </w:tcBorders>
            <w:noWrap w:val="0"/>
            <w:vAlign w:val="center"/>
          </w:tcPr>
          <w:p w14:paraId="3703AE38">
            <w:pPr>
              <w:widowControl w:val="0"/>
              <w:adjustRightInd w:val="0"/>
              <w:spacing w:line="400" w:lineRule="exact"/>
              <w:jc w:val="center"/>
              <w:rPr>
                <w:rFonts w:ascii="宋体" w:hAnsi="宋体" w:cs="宋体"/>
                <w:spacing w:val="6"/>
                <w:sz w:val="24"/>
                <w:szCs w:val="24"/>
              </w:rPr>
            </w:pPr>
            <w:r>
              <w:rPr>
                <w:rFonts w:ascii="宋体" w:hAnsi="宋体" w:cs="宋体"/>
                <w:b/>
                <w:sz w:val="24"/>
                <w:szCs w:val="24"/>
              </w:rPr>
              <w:t>电子化注意事项</w:t>
            </w:r>
          </w:p>
        </w:tc>
        <w:tc>
          <w:tcPr>
            <w:tcW w:w="6645" w:type="dxa"/>
            <w:tcBorders>
              <w:top w:val="single" w:color="auto" w:sz="6" w:space="0"/>
              <w:left w:val="single" w:color="auto" w:sz="6" w:space="0"/>
              <w:bottom w:val="single" w:color="auto" w:sz="12" w:space="0"/>
              <w:right w:val="single" w:color="auto" w:sz="12" w:space="0"/>
            </w:tcBorders>
            <w:noWrap w:val="0"/>
            <w:vAlign w:val="center"/>
          </w:tcPr>
          <w:p w14:paraId="229F9CAE">
            <w:pPr>
              <w:widowControl w:val="0"/>
              <w:spacing w:line="400" w:lineRule="exact"/>
              <w:jc w:val="both"/>
              <w:rPr>
                <w:rFonts w:ascii="宋体" w:hAnsi="宋体"/>
                <w:b w:val="0"/>
                <w:bCs/>
                <w:sz w:val="24"/>
                <w:szCs w:val="24"/>
              </w:rPr>
            </w:pPr>
            <w:r>
              <w:rPr>
                <w:rFonts w:hint="eastAsia" w:ascii="宋体" w:hAnsi="宋体" w:eastAsia="宋体" w:cs="宋体"/>
                <w:kern w:val="2"/>
                <w:sz w:val="24"/>
                <w:szCs w:val="24"/>
                <w:lang w:val="en-US" w:eastAsia="zh-CN"/>
              </w:rPr>
              <w:t>本项目为电子化、无纸化交易项目，</w:t>
            </w:r>
            <w:r>
              <w:rPr>
                <w:rFonts w:ascii="宋体" w:hAnsi="宋体" w:cs="宋体"/>
                <w:b w:val="0"/>
                <w:bCs/>
                <w:sz w:val="24"/>
                <w:szCs w:val="24"/>
              </w:rPr>
              <w:t>响应文件</w:t>
            </w:r>
            <w:r>
              <w:rPr>
                <w:rFonts w:hint="eastAsia" w:ascii="宋体" w:hAnsi="宋体" w:cs="宋体"/>
                <w:b w:val="0"/>
                <w:bCs/>
                <w:sz w:val="24"/>
                <w:szCs w:val="24"/>
              </w:rPr>
              <w:t>是</w:t>
            </w:r>
            <w:r>
              <w:rPr>
                <w:rFonts w:ascii="宋体" w:hAnsi="宋体" w:cs="宋体"/>
                <w:b w:val="0"/>
                <w:bCs/>
                <w:sz w:val="24"/>
                <w:szCs w:val="24"/>
              </w:rPr>
              <w:t>供应商通过中心</w:t>
            </w:r>
            <w:r>
              <w:rPr>
                <w:rFonts w:hint="eastAsia" w:ascii="宋体" w:hAnsi="宋体" w:cs="宋体"/>
                <w:b w:val="0"/>
                <w:bCs/>
                <w:sz w:val="24"/>
                <w:szCs w:val="24"/>
                <w:lang w:val="en-US" w:eastAsia="zh-CN"/>
              </w:rPr>
              <w:t>投标文件制作系统制作</w:t>
            </w:r>
            <w:r>
              <w:rPr>
                <w:rFonts w:ascii="宋体" w:hAnsi="宋体" w:cs="宋体"/>
                <w:b w:val="0"/>
                <w:bCs/>
                <w:sz w:val="24"/>
                <w:szCs w:val="24"/>
              </w:rPr>
              <w:t>，并经过签章和加密后生成的电子版响应文件。</w:t>
            </w:r>
            <w:r>
              <w:rPr>
                <w:rFonts w:hint="eastAsia" w:ascii="宋体" w:hAnsi="宋体" w:cs="宋体"/>
                <w:b w:val="0"/>
                <w:bCs/>
                <w:sz w:val="24"/>
                <w:szCs w:val="24"/>
              </w:rPr>
              <w:t>开</w:t>
            </w:r>
            <w:r>
              <w:rPr>
                <w:rFonts w:ascii="宋体" w:hAnsi="宋体" w:cs="宋体"/>
                <w:b w:val="0"/>
                <w:bCs/>
                <w:sz w:val="24"/>
                <w:szCs w:val="24"/>
              </w:rPr>
              <w:t>标时，将不再接受任何纸质文件资料。</w:t>
            </w:r>
          </w:p>
          <w:p w14:paraId="1F4EAC50">
            <w:pPr>
              <w:widowControl w:val="0"/>
              <w:spacing w:line="400" w:lineRule="exact"/>
              <w:jc w:val="both"/>
              <w:rPr>
                <w:rFonts w:ascii="宋体" w:hAnsi="宋体"/>
                <w:b w:val="0"/>
                <w:bCs/>
                <w:sz w:val="24"/>
                <w:szCs w:val="24"/>
              </w:rPr>
            </w:pPr>
            <w:r>
              <w:rPr>
                <w:rFonts w:ascii="宋体" w:hAnsi="宋体" w:cs="宋体"/>
                <w:b w:val="0"/>
                <w:bCs/>
                <w:sz w:val="24"/>
                <w:szCs w:val="24"/>
              </w:rPr>
              <w:t>电子化响应文件具体制作教材请</w:t>
            </w:r>
            <w:r>
              <w:rPr>
                <w:rFonts w:hint="eastAsia" w:ascii="宋体" w:hAnsi="宋体" w:cs="宋体"/>
                <w:b w:val="0"/>
                <w:bCs/>
                <w:sz w:val="24"/>
                <w:szCs w:val="24"/>
              </w:rPr>
              <w:t>供应商</w:t>
            </w:r>
            <w:r>
              <w:rPr>
                <w:rFonts w:ascii="宋体" w:hAnsi="宋体" w:cs="宋体"/>
                <w:b w:val="0"/>
                <w:bCs/>
                <w:sz w:val="24"/>
                <w:szCs w:val="24"/>
              </w:rPr>
              <w:t>通过</w:t>
            </w:r>
            <w:r>
              <w:rPr>
                <w:rFonts w:ascii="宋体" w:hAnsi="宋体"/>
                <w:b w:val="0"/>
                <w:bCs/>
                <w:sz w:val="24"/>
                <w:szCs w:val="24"/>
              </w:rPr>
              <w:t>CA</w:t>
            </w:r>
            <w:r>
              <w:rPr>
                <w:rFonts w:ascii="宋体" w:hAnsi="宋体" w:cs="宋体"/>
                <w:b w:val="0"/>
                <w:bCs/>
                <w:sz w:val="24"/>
                <w:szCs w:val="24"/>
              </w:rPr>
              <w:t>证书登录三门峡市公共资源电子化交易系统在“</w:t>
            </w:r>
            <w:r>
              <w:rPr>
                <w:rFonts w:hint="eastAsia" w:ascii="宋体" w:hAnsi="宋体" w:cs="宋体"/>
                <w:b w:val="0"/>
                <w:bCs/>
                <w:sz w:val="24"/>
                <w:szCs w:val="24"/>
                <w:lang w:val="en-US" w:eastAsia="en-US"/>
              </w:rPr>
              <w:t>交易智库</w:t>
            </w:r>
            <w:r>
              <w:rPr>
                <w:rFonts w:ascii="宋体" w:hAnsi="宋体" w:cs="宋体"/>
                <w:b w:val="0"/>
                <w:bCs/>
                <w:sz w:val="24"/>
                <w:szCs w:val="24"/>
              </w:rPr>
              <w:t>”中查看。</w:t>
            </w:r>
          </w:p>
          <w:p w14:paraId="3930DC52">
            <w:pPr>
              <w:widowControl w:val="0"/>
              <w:spacing w:line="400" w:lineRule="exact"/>
              <w:jc w:val="both"/>
              <w:rPr>
                <w:rFonts w:ascii="宋体" w:hAnsi="宋体"/>
                <w:b w:val="0"/>
                <w:bCs/>
                <w:sz w:val="24"/>
                <w:szCs w:val="24"/>
              </w:rPr>
            </w:pPr>
            <w:r>
              <w:rPr>
                <w:rFonts w:ascii="宋体" w:hAnsi="宋体" w:cs="宋体"/>
                <w:b w:val="0"/>
                <w:bCs/>
                <w:sz w:val="24"/>
                <w:szCs w:val="24"/>
              </w:rPr>
              <w:t>温馨提示：本项目为电子化、无纸化交易项目，开标时不接受任何纸质资料，为保证您能</w:t>
            </w:r>
            <w:r>
              <w:rPr>
                <w:rFonts w:hint="eastAsia" w:ascii="宋体" w:hAnsi="宋体" w:cs="宋体"/>
                <w:b w:val="0"/>
                <w:bCs/>
                <w:sz w:val="24"/>
                <w:szCs w:val="24"/>
              </w:rPr>
              <w:t>开</w:t>
            </w:r>
            <w:r>
              <w:rPr>
                <w:rFonts w:ascii="宋体" w:hAnsi="宋体" w:cs="宋体"/>
                <w:b w:val="0"/>
                <w:bCs/>
                <w:sz w:val="24"/>
                <w:szCs w:val="24"/>
              </w:rPr>
              <w:t>标成功，请需仔细阅读以下条款。</w:t>
            </w:r>
          </w:p>
          <w:p w14:paraId="5CDDD7A7">
            <w:pPr>
              <w:widowControl w:val="0"/>
              <w:spacing w:line="400" w:lineRule="exact"/>
              <w:jc w:val="both"/>
              <w:rPr>
                <w:rFonts w:ascii="宋体" w:hAnsi="宋体" w:cs="宋体"/>
                <w:b w:val="0"/>
                <w:bCs/>
                <w:sz w:val="24"/>
                <w:szCs w:val="24"/>
              </w:rPr>
            </w:pPr>
            <w:r>
              <w:rPr>
                <w:rFonts w:ascii="宋体" w:hAnsi="宋体" w:cs="宋体"/>
                <w:b w:val="0"/>
                <w:bCs/>
                <w:sz w:val="24"/>
                <w:szCs w:val="24"/>
              </w:rPr>
              <w:t>一、电子化投标</w:t>
            </w:r>
          </w:p>
          <w:p w14:paraId="6EB429E0">
            <w:pPr>
              <w:widowControl w:val="0"/>
              <w:spacing w:line="400" w:lineRule="exact"/>
              <w:jc w:val="both"/>
              <w:rPr>
                <w:rFonts w:ascii="宋体" w:hAnsi="宋体" w:cs="宋体"/>
                <w:sz w:val="24"/>
                <w:szCs w:val="24"/>
              </w:rPr>
            </w:pPr>
            <w:r>
              <w:rPr>
                <w:rFonts w:ascii="宋体" w:hAnsi="宋体" w:cs="宋体"/>
                <w:sz w:val="24"/>
                <w:szCs w:val="24"/>
              </w:rPr>
              <w:t>（一）网上投标保证金的缴纳</w:t>
            </w:r>
          </w:p>
          <w:p w14:paraId="06DCE538">
            <w:pPr>
              <w:spacing w:line="400" w:lineRule="exact"/>
              <w:rPr>
                <w:rFonts w:ascii="宋体" w:hAnsi="宋体" w:cs="宋体"/>
                <w:sz w:val="24"/>
                <w:szCs w:val="24"/>
              </w:rPr>
            </w:pPr>
            <w:r>
              <w:rPr>
                <w:rFonts w:hint="eastAsia" w:ascii="宋体" w:hAnsi="宋体" w:cs="宋体"/>
                <w:sz w:val="24"/>
                <w:szCs w:val="24"/>
              </w:rPr>
              <w:t>按照《河南省财政厅关于优化政府采购营商环境有关问题的通知》（豫财购[2019]4号文）的要求本项目不再收取磋商保证金；</w:t>
            </w:r>
          </w:p>
          <w:p w14:paraId="762372CD">
            <w:pPr>
              <w:spacing w:line="400" w:lineRule="exact"/>
              <w:rPr>
                <w:rFonts w:ascii="宋体" w:hAnsi="宋体" w:cs="宋体"/>
                <w:sz w:val="24"/>
                <w:szCs w:val="24"/>
              </w:rPr>
            </w:pPr>
            <w:r>
              <w:rPr>
                <w:rFonts w:ascii="宋体" w:hAnsi="宋体" w:cs="宋体"/>
                <w:sz w:val="24"/>
                <w:szCs w:val="24"/>
              </w:rPr>
              <w:t>（二）电子化响应文件的签章</w:t>
            </w:r>
          </w:p>
          <w:p w14:paraId="613D7CC4">
            <w:pPr>
              <w:spacing w:line="400" w:lineRule="exact"/>
              <w:rPr>
                <w:rFonts w:ascii="宋体" w:hAnsi="宋体" w:cs="宋体"/>
                <w:sz w:val="24"/>
                <w:szCs w:val="24"/>
              </w:rPr>
            </w:pPr>
            <w:r>
              <w:rPr>
                <w:rFonts w:ascii="宋体" w:hAnsi="宋体" w:cs="宋体"/>
                <w:sz w:val="24"/>
                <w:szCs w:val="24"/>
              </w:rPr>
              <w:t>1、</w:t>
            </w:r>
            <w:r>
              <w:rPr>
                <w:rFonts w:hint="eastAsia" w:ascii="宋体" w:hAnsi="宋体"/>
                <w:sz w:val="24"/>
                <w:szCs w:val="24"/>
              </w:rPr>
              <w:t>供应商</w:t>
            </w:r>
            <w:r>
              <w:rPr>
                <w:rFonts w:ascii="宋体" w:hAnsi="宋体" w:cs="宋体"/>
                <w:sz w:val="24"/>
                <w:szCs w:val="24"/>
              </w:rPr>
              <w:t>在生成电子化响应文件后，应对电子化响应文件进行签章，未进行签章的视为无效</w:t>
            </w:r>
            <w:r>
              <w:rPr>
                <w:rFonts w:hint="eastAsia" w:ascii="宋体" w:hAnsi="宋体" w:cs="宋体"/>
                <w:sz w:val="24"/>
                <w:szCs w:val="24"/>
              </w:rPr>
              <w:t>文件</w:t>
            </w:r>
            <w:r>
              <w:rPr>
                <w:rFonts w:ascii="宋体" w:hAnsi="宋体" w:cs="宋体"/>
                <w:sz w:val="24"/>
                <w:szCs w:val="24"/>
              </w:rPr>
              <w:t>。</w:t>
            </w:r>
          </w:p>
          <w:p w14:paraId="6DA3175C">
            <w:pPr>
              <w:spacing w:line="400" w:lineRule="exact"/>
              <w:rPr>
                <w:rFonts w:ascii="宋体" w:hAnsi="宋体" w:cs="宋体"/>
                <w:sz w:val="24"/>
                <w:szCs w:val="24"/>
              </w:rPr>
            </w:pPr>
            <w:r>
              <w:rPr>
                <w:rFonts w:ascii="宋体" w:hAnsi="宋体" w:cs="宋体"/>
                <w:sz w:val="24"/>
                <w:szCs w:val="24"/>
              </w:rPr>
              <w:t>2、</w:t>
            </w:r>
            <w:r>
              <w:rPr>
                <w:rFonts w:hint="eastAsia" w:ascii="宋体" w:hAnsi="宋体" w:cs="宋体"/>
                <w:sz w:val="24"/>
                <w:szCs w:val="24"/>
              </w:rPr>
              <w:t>磋商</w:t>
            </w:r>
            <w:r>
              <w:rPr>
                <w:rFonts w:ascii="宋体" w:hAnsi="宋体" w:cs="宋体"/>
                <w:sz w:val="24"/>
                <w:szCs w:val="24"/>
              </w:rPr>
              <w:t>文件中要求法定代表人或</w:t>
            </w:r>
            <w:r>
              <w:rPr>
                <w:rFonts w:hint="eastAsia" w:ascii="宋体" w:hAnsi="宋体" w:cs="宋体"/>
                <w:sz w:val="24"/>
                <w:szCs w:val="24"/>
                <w:lang w:val="en-US" w:eastAsia="zh-CN"/>
              </w:rPr>
              <w:t>其委托代理人</w:t>
            </w:r>
            <w:r>
              <w:rPr>
                <w:rFonts w:ascii="宋体" w:hAnsi="宋体" w:cs="宋体"/>
                <w:sz w:val="24"/>
                <w:szCs w:val="24"/>
              </w:rPr>
              <w:t>签字或</w:t>
            </w:r>
            <w:r>
              <w:rPr>
                <w:rFonts w:hint="eastAsia" w:ascii="宋体" w:hAnsi="宋体" w:cs="宋体"/>
                <w:sz w:val="24"/>
                <w:szCs w:val="24"/>
                <w:lang w:val="en-US" w:eastAsia="zh-CN"/>
              </w:rPr>
              <w:t>签</w:t>
            </w:r>
            <w:r>
              <w:rPr>
                <w:rFonts w:ascii="宋体" w:hAnsi="宋体" w:cs="宋体"/>
                <w:sz w:val="24"/>
                <w:szCs w:val="24"/>
              </w:rPr>
              <w:t>章的，</w:t>
            </w:r>
            <w:r>
              <w:rPr>
                <w:rFonts w:hint="eastAsia" w:ascii="宋体" w:hAnsi="宋体"/>
                <w:sz w:val="24"/>
                <w:szCs w:val="24"/>
              </w:rPr>
              <w:t>供应商</w:t>
            </w:r>
            <w:r>
              <w:rPr>
                <w:rFonts w:ascii="宋体" w:hAnsi="宋体" w:cs="宋体"/>
                <w:sz w:val="24"/>
                <w:szCs w:val="24"/>
              </w:rPr>
              <w:t>在进行电子化响应文件</w:t>
            </w:r>
            <w:r>
              <w:rPr>
                <w:rFonts w:hint="eastAsia" w:ascii="宋体" w:hAnsi="宋体" w:cs="宋体"/>
                <w:sz w:val="24"/>
                <w:szCs w:val="24"/>
              </w:rPr>
              <w:t>需逐页</w:t>
            </w:r>
            <w:r>
              <w:rPr>
                <w:rFonts w:ascii="宋体" w:hAnsi="宋体" w:cs="宋体"/>
                <w:sz w:val="24"/>
                <w:szCs w:val="24"/>
              </w:rPr>
              <w:t>签章</w:t>
            </w:r>
            <w:r>
              <w:rPr>
                <w:rFonts w:hint="eastAsia" w:ascii="宋体" w:hAnsi="宋体" w:cs="宋体"/>
                <w:sz w:val="24"/>
                <w:szCs w:val="24"/>
              </w:rPr>
              <w:t>，</w:t>
            </w:r>
            <w:r>
              <w:rPr>
                <w:rFonts w:ascii="宋体" w:hAnsi="宋体" w:cs="宋体"/>
                <w:sz w:val="24"/>
                <w:szCs w:val="24"/>
              </w:rPr>
              <w:t>签章时以签盖法定代表人签章为准。</w:t>
            </w:r>
          </w:p>
          <w:p w14:paraId="186D6686">
            <w:pPr>
              <w:spacing w:line="400" w:lineRule="exact"/>
              <w:rPr>
                <w:rFonts w:ascii="宋体" w:hAnsi="宋体" w:cs="宋体"/>
                <w:sz w:val="24"/>
                <w:szCs w:val="24"/>
              </w:rPr>
            </w:pPr>
            <w:r>
              <w:rPr>
                <w:rFonts w:ascii="宋体" w:hAnsi="宋体" w:cs="宋体"/>
                <w:sz w:val="24"/>
                <w:szCs w:val="24"/>
              </w:rPr>
              <w:t>（三）电子化响应文件的格式及上传投标</w:t>
            </w:r>
          </w:p>
          <w:p w14:paraId="478E96CE">
            <w:pPr>
              <w:widowControl w:val="0"/>
              <w:snapToGrid w:val="0"/>
              <w:spacing w:line="400" w:lineRule="exact"/>
              <w:jc w:val="both"/>
              <w:rPr>
                <w:rStyle w:val="27"/>
                <w:rFonts w:hint="eastAsia"/>
              </w:rPr>
            </w:pPr>
            <w:r>
              <w:rPr>
                <w:rFonts w:ascii="宋体" w:hAnsi="宋体" w:cs="宋体"/>
                <w:sz w:val="24"/>
                <w:szCs w:val="24"/>
              </w:rPr>
              <w:t>1、</w:t>
            </w:r>
            <w:r>
              <w:rPr>
                <w:rFonts w:hint="eastAsia" w:ascii="宋体" w:hAnsi="宋体" w:cs="宋体"/>
                <w:sz w:val="24"/>
                <w:szCs w:val="24"/>
              </w:rPr>
              <w:t>供应商所上传的电子化磋商响应文件，应是通过中心磋商响应文件制作系统制作的</w:t>
            </w:r>
            <w:r>
              <w:rPr>
                <w:rFonts w:hint="eastAsia" w:ascii="宋体" w:hAnsi="宋体" w:cs="宋体"/>
                <w:sz w:val="24"/>
                <w:szCs w:val="24"/>
                <w:lang w:eastAsia="zh-CN"/>
              </w:rPr>
              <w:t>（</w:t>
            </w:r>
            <w:r>
              <w:rPr>
                <w:rFonts w:hint="eastAsia" w:ascii="宋体" w:hAnsi="宋体" w:cs="宋体"/>
                <w:sz w:val="24"/>
                <w:szCs w:val="24"/>
              </w:rPr>
              <w:t>响应文件制作工具下载地址：</w:t>
            </w:r>
            <w:r>
              <w:rPr>
                <w:rFonts w:hint="eastAsia"/>
              </w:rPr>
              <w:fldChar w:fldCharType="begin"/>
            </w:r>
            <w:r>
              <w:rPr>
                <w:rStyle w:val="27"/>
                <w:rFonts w:hint="eastAsia"/>
              </w:rPr>
              <w:instrText xml:space="preserve"> HYPERLINK "https://download.bqpoint.com/download/downloadlist.html?SoftTypeCode=03），经过签章和加密后生成的电子版磋商响应文件。其中包含用于磋商响应文件上传的主文件（后缀为.smxtf）和用于应急补救的磋商响应文件备份文件（后缀为.nsmxtf）。备份文件主要用于电子化开标出现技术问题后的补救，请供应商随身携带。" </w:instrText>
            </w:r>
            <w:r>
              <w:rPr>
                <w:rFonts w:hint="eastAsia"/>
              </w:rPr>
              <w:fldChar w:fldCharType="separate"/>
            </w:r>
            <w:r>
              <w:rPr>
                <w:rStyle w:val="27"/>
                <w:rFonts w:hint="eastAsia"/>
              </w:rPr>
              <w:t>https://download.bqpoint.com/download/downloadlist.html?SoftTypeCode=03），经过签章和加密后生成的电子版磋商响应文件。其中包含用于磋商响应文件上传的主文件（后缀为.smxtf）和用于应急补救的磋商响应文件备份文件（后缀为.nsmxtf）。备份文件主要用于电子化开标出现技术问题后的补救，请供应商随身携带。</w:t>
            </w:r>
            <w:r>
              <w:rPr>
                <w:rFonts w:hint="eastAsia"/>
              </w:rPr>
              <w:fldChar w:fldCharType="end"/>
            </w:r>
          </w:p>
          <w:p w14:paraId="373B15CF">
            <w:pPr>
              <w:widowControl w:val="0"/>
              <w:snapToGrid w:val="0"/>
              <w:spacing w:line="400" w:lineRule="exact"/>
              <w:jc w:val="both"/>
              <w:rPr>
                <w:rFonts w:hint="eastAsia" w:ascii="宋体" w:hAnsi="宋体"/>
                <w:bCs/>
                <w:sz w:val="24"/>
                <w:szCs w:val="24"/>
              </w:rPr>
            </w:pPr>
            <w:r>
              <w:rPr>
                <w:rFonts w:ascii="宋体" w:hAnsi="宋体" w:cs="宋体"/>
                <w:bCs/>
                <w:sz w:val="24"/>
                <w:szCs w:val="24"/>
              </w:rPr>
              <w:t>注：</w:t>
            </w:r>
            <w:r>
              <w:rPr>
                <w:rFonts w:hint="eastAsia" w:ascii="宋体" w:hAnsi="宋体" w:cs="宋体"/>
                <w:bCs/>
                <w:sz w:val="24"/>
                <w:szCs w:val="24"/>
              </w:rPr>
              <w:t>供应商投报多个标段的，每个标段均要生成独立的电子响应文件。</w:t>
            </w:r>
          </w:p>
          <w:p w14:paraId="57681481">
            <w:pPr>
              <w:widowControl w:val="0"/>
              <w:snapToGrid w:val="0"/>
              <w:spacing w:line="400" w:lineRule="exact"/>
              <w:jc w:val="both"/>
              <w:rPr>
                <w:rFonts w:ascii="宋体" w:hAnsi="宋体"/>
                <w:sz w:val="24"/>
                <w:szCs w:val="24"/>
              </w:rPr>
            </w:pPr>
            <w:r>
              <w:rPr>
                <w:rFonts w:ascii="宋体" w:hAnsi="宋体"/>
                <w:sz w:val="24"/>
                <w:szCs w:val="24"/>
              </w:rPr>
              <w:t>2</w:t>
            </w:r>
            <w:r>
              <w:rPr>
                <w:rFonts w:ascii="宋体" w:hAnsi="宋体" w:cs="宋体"/>
                <w:sz w:val="24"/>
                <w:szCs w:val="24"/>
              </w:rPr>
              <w:t>、电子化响应文件应在</w:t>
            </w:r>
            <w:r>
              <w:rPr>
                <w:rFonts w:hint="eastAsia" w:ascii="宋体" w:hAnsi="宋体" w:cs="宋体"/>
                <w:sz w:val="24"/>
                <w:szCs w:val="24"/>
              </w:rPr>
              <w:t>递交</w:t>
            </w:r>
            <w:r>
              <w:rPr>
                <w:rFonts w:ascii="宋体" w:hAnsi="宋体" w:cs="宋体"/>
                <w:sz w:val="24"/>
                <w:szCs w:val="24"/>
              </w:rPr>
              <w:t>截止时间前成功上传至三门峡市公共资源电子化交易系统。至</w:t>
            </w:r>
            <w:r>
              <w:rPr>
                <w:rFonts w:hint="eastAsia" w:ascii="宋体" w:hAnsi="宋体" w:cs="宋体"/>
                <w:sz w:val="24"/>
                <w:szCs w:val="24"/>
              </w:rPr>
              <w:t>开标</w:t>
            </w:r>
            <w:r>
              <w:rPr>
                <w:rFonts w:ascii="宋体" w:hAnsi="宋体" w:cs="宋体"/>
                <w:sz w:val="24"/>
                <w:szCs w:val="24"/>
              </w:rPr>
              <w:t>截止时间止，仍未上传成功的电子化响应文件将不予接收。</w:t>
            </w:r>
          </w:p>
          <w:p w14:paraId="4C38066C">
            <w:pPr>
              <w:widowControl w:val="0"/>
              <w:snapToGrid w:val="0"/>
              <w:spacing w:line="400" w:lineRule="exact"/>
              <w:jc w:val="both"/>
              <w:rPr>
                <w:rFonts w:ascii="宋体" w:hAnsi="宋体"/>
                <w:sz w:val="24"/>
                <w:szCs w:val="24"/>
              </w:rPr>
            </w:pPr>
            <w:r>
              <w:rPr>
                <w:rFonts w:ascii="宋体" w:hAnsi="宋体" w:cs="宋体"/>
                <w:b w:val="0"/>
                <w:bCs/>
                <w:sz w:val="24"/>
                <w:szCs w:val="24"/>
              </w:rPr>
              <w:t>注：如按照电子化投标操作教材制作完成的电子化响应文件无法上传的，</w:t>
            </w:r>
            <w:r>
              <w:rPr>
                <w:rFonts w:hint="eastAsia" w:ascii="宋体" w:hAnsi="宋体"/>
                <w:b w:val="0"/>
                <w:bCs/>
                <w:sz w:val="24"/>
                <w:szCs w:val="24"/>
              </w:rPr>
              <w:t>供应商</w:t>
            </w:r>
            <w:r>
              <w:rPr>
                <w:rFonts w:ascii="宋体" w:hAnsi="宋体" w:cs="宋体"/>
                <w:b w:val="0"/>
                <w:bCs/>
                <w:sz w:val="24"/>
                <w:szCs w:val="24"/>
              </w:rPr>
              <w:t>应在</w:t>
            </w:r>
            <w:r>
              <w:rPr>
                <w:rFonts w:hint="eastAsia" w:ascii="宋体" w:hAnsi="宋体" w:cs="宋体"/>
                <w:b w:val="0"/>
                <w:bCs/>
                <w:sz w:val="24"/>
                <w:szCs w:val="24"/>
              </w:rPr>
              <w:t>开标</w:t>
            </w:r>
            <w:r>
              <w:rPr>
                <w:rFonts w:ascii="宋体" w:hAnsi="宋体" w:cs="宋体"/>
                <w:b w:val="0"/>
                <w:bCs/>
                <w:sz w:val="24"/>
                <w:szCs w:val="24"/>
              </w:rPr>
              <w:t>截止时间前尽早的联系中心技术人员，以便有充分的时间进行处理。</w:t>
            </w:r>
            <w:r>
              <w:rPr>
                <w:rFonts w:hint="eastAsia" w:ascii="宋体" w:hAnsi="宋体" w:cs="宋体"/>
                <w:b w:val="0"/>
                <w:bCs/>
                <w:sz w:val="24"/>
                <w:szCs w:val="24"/>
              </w:rPr>
              <w:t>供应商</w:t>
            </w:r>
            <w:r>
              <w:rPr>
                <w:rFonts w:ascii="宋体" w:hAnsi="宋体" w:cs="宋体"/>
                <w:b w:val="0"/>
                <w:bCs/>
                <w:sz w:val="24"/>
                <w:szCs w:val="24"/>
              </w:rPr>
              <w:t>应充分考虑到处理技术问题和上传数据等工作所需的时间问题，响应文件未在</w:t>
            </w:r>
            <w:r>
              <w:rPr>
                <w:rFonts w:hint="eastAsia" w:ascii="宋体" w:hAnsi="宋体" w:cs="宋体"/>
                <w:b w:val="0"/>
                <w:bCs/>
                <w:sz w:val="24"/>
                <w:szCs w:val="24"/>
              </w:rPr>
              <w:t>开</w:t>
            </w:r>
            <w:r>
              <w:rPr>
                <w:rFonts w:ascii="宋体" w:hAnsi="宋体" w:cs="宋体"/>
                <w:b w:val="0"/>
                <w:bCs/>
                <w:sz w:val="24"/>
                <w:szCs w:val="24"/>
              </w:rPr>
              <w:t>标截止时间前成功上传的，其响应文件不予接收。</w:t>
            </w:r>
          </w:p>
          <w:p w14:paraId="60777855">
            <w:pPr>
              <w:widowControl w:val="0"/>
              <w:snapToGrid w:val="0"/>
              <w:spacing w:line="400" w:lineRule="exact"/>
              <w:jc w:val="both"/>
              <w:rPr>
                <w:rFonts w:ascii="宋体" w:hAnsi="宋体"/>
                <w:sz w:val="24"/>
                <w:szCs w:val="24"/>
              </w:rPr>
            </w:pPr>
            <w:r>
              <w:rPr>
                <w:rFonts w:ascii="宋体" w:hAnsi="宋体" w:cs="宋体"/>
                <w:sz w:val="24"/>
                <w:szCs w:val="24"/>
              </w:rPr>
              <w:t>技术联系电话：</w:t>
            </w:r>
            <w:r>
              <w:rPr>
                <w:rFonts w:hint="eastAsia" w:ascii="宋体" w:hAnsi="宋体"/>
                <w:sz w:val="24"/>
                <w:szCs w:val="24"/>
              </w:rPr>
              <w:t>400 998 0000</w:t>
            </w:r>
          </w:p>
          <w:p w14:paraId="52F6B26F">
            <w:pPr>
              <w:widowControl w:val="0"/>
              <w:snapToGrid w:val="0"/>
              <w:spacing w:line="400" w:lineRule="exact"/>
              <w:jc w:val="both"/>
              <w:rPr>
                <w:rFonts w:ascii="宋体" w:hAnsi="宋体"/>
                <w:sz w:val="24"/>
                <w:szCs w:val="24"/>
              </w:rPr>
            </w:pPr>
            <w:r>
              <w:rPr>
                <w:rFonts w:ascii="宋体" w:hAnsi="宋体" w:cs="宋体"/>
                <w:sz w:val="24"/>
                <w:szCs w:val="24"/>
              </w:rPr>
              <w:t>（四）电子化项目开标、解密、唱标、</w:t>
            </w:r>
            <w:r>
              <w:rPr>
                <w:rFonts w:hint="eastAsia" w:ascii="宋体" w:hAnsi="宋体" w:cs="宋体"/>
                <w:sz w:val="24"/>
                <w:szCs w:val="24"/>
              </w:rPr>
              <w:t>磋商</w:t>
            </w:r>
          </w:p>
          <w:p w14:paraId="7753F2FB">
            <w:pPr>
              <w:widowControl w:val="0"/>
              <w:snapToGrid w:val="0"/>
              <w:spacing w:line="400" w:lineRule="exact"/>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本项目采用电子化、无纸化进行招标，开标当日，供应商无需到开标现场参加开标会议；</w:t>
            </w:r>
          </w:p>
          <w:p w14:paraId="787D73C9">
            <w:pPr>
              <w:widowControl w:val="0"/>
              <w:wordWrap w:val="0"/>
              <w:snapToGrid w:val="0"/>
              <w:spacing w:line="400" w:lineRule="exact"/>
              <w:rPr>
                <w:rFonts w:ascii="宋体" w:hAnsi="宋体"/>
                <w:sz w:val="24"/>
                <w:szCs w:val="24"/>
              </w:rPr>
            </w:pPr>
            <w:r>
              <w:rPr>
                <w:rFonts w:ascii="宋体" w:hAnsi="宋体" w:cs="宋体"/>
                <w:sz w:val="24"/>
                <w:szCs w:val="24"/>
              </w:rPr>
              <w:t>2、开标时，</w:t>
            </w:r>
            <w:r>
              <w:rPr>
                <w:rFonts w:hint="eastAsia" w:ascii="宋体" w:hAnsi="宋体" w:cs="宋体"/>
                <w:sz w:val="24"/>
                <w:szCs w:val="24"/>
              </w:rPr>
              <w:t>登陆三门</w:t>
            </w:r>
            <w:r>
              <w:rPr>
                <w:rFonts w:hint="eastAsia" w:ascii="宋体" w:hAnsi="宋体"/>
                <w:sz w:val="24"/>
                <w:szCs w:val="24"/>
                <w:shd w:val="clear" w:color="auto" w:fill="FFFFFF"/>
              </w:rPr>
              <w:t>峡市公共资源电子招投标系统进行登陆（网址为</w:t>
            </w:r>
            <w:r>
              <w:rPr>
                <w:rFonts w:hint="eastAsia" w:ascii="Times New Roman" w:hAnsi="Times New Roman"/>
                <w:sz w:val="24"/>
                <w:szCs w:val="24"/>
              </w:rPr>
              <w:t>http://120.194.249.36:10094/BidOpening/bidopeninghallaction/hall/login</w:t>
            </w:r>
            <w:r>
              <w:rPr>
                <w:rFonts w:hint="eastAsia" w:ascii="宋体" w:hAnsi="宋体"/>
                <w:sz w:val="24"/>
                <w:szCs w:val="24"/>
                <w:shd w:val="clear" w:color="auto" w:fill="FFFFFF"/>
              </w:rPr>
              <w:t>）</w:t>
            </w:r>
            <w:r>
              <w:rPr>
                <w:rFonts w:hint="eastAsia" w:ascii="宋体" w:hAnsi="宋体"/>
                <w:sz w:val="24"/>
                <w:szCs w:val="24"/>
                <w:shd w:val="clear" w:color="auto" w:fill="FFFFFF"/>
                <w:lang w:eastAsia="zh-CN"/>
              </w:rPr>
              <w:t>，</w:t>
            </w:r>
            <w:r>
              <w:rPr>
                <w:rFonts w:hint="eastAsia" w:ascii="宋体" w:hAnsi="宋体"/>
                <w:sz w:val="24"/>
                <w:szCs w:val="24"/>
                <w:shd w:val="clear" w:color="auto" w:fill="FFFFFF"/>
              </w:rPr>
              <w:t>在线准时参加开标活动并进行响应文件解密</w:t>
            </w:r>
            <w:r>
              <w:rPr>
                <w:rFonts w:ascii="宋体" w:hAnsi="宋体" w:cs="宋体"/>
                <w:sz w:val="24"/>
                <w:szCs w:val="24"/>
              </w:rPr>
              <w:t>。每位</w:t>
            </w:r>
            <w:r>
              <w:rPr>
                <w:rFonts w:hint="eastAsia" w:ascii="宋体" w:hAnsi="宋体" w:cs="宋体"/>
                <w:sz w:val="24"/>
                <w:szCs w:val="24"/>
              </w:rPr>
              <w:t>供应商</w:t>
            </w:r>
            <w:r>
              <w:rPr>
                <w:rFonts w:ascii="宋体" w:hAnsi="宋体" w:cs="宋体"/>
                <w:sz w:val="24"/>
                <w:szCs w:val="24"/>
              </w:rPr>
              <w:t>的解密时间为开标时间起</w:t>
            </w:r>
            <w:r>
              <w:rPr>
                <w:rFonts w:hint="eastAsia" w:ascii="宋体" w:hAnsi="宋体"/>
                <w:sz w:val="24"/>
                <w:szCs w:val="24"/>
              </w:rPr>
              <w:t>30</w:t>
            </w:r>
            <w:r>
              <w:rPr>
                <w:rFonts w:ascii="宋体" w:hAnsi="宋体" w:cs="宋体"/>
                <w:sz w:val="24"/>
                <w:szCs w:val="24"/>
              </w:rPr>
              <w:t>分钟内完成。待所有</w:t>
            </w:r>
            <w:r>
              <w:rPr>
                <w:rFonts w:hint="eastAsia" w:ascii="宋体" w:hAnsi="宋体"/>
                <w:sz w:val="24"/>
                <w:szCs w:val="24"/>
              </w:rPr>
              <w:t>供应商</w:t>
            </w:r>
            <w:r>
              <w:rPr>
                <w:rFonts w:ascii="宋体" w:hAnsi="宋体" w:cs="宋体"/>
                <w:sz w:val="24"/>
                <w:szCs w:val="24"/>
              </w:rPr>
              <w:t>全部解密完成后，</w:t>
            </w:r>
            <w:r>
              <w:rPr>
                <w:rFonts w:hint="eastAsia" w:ascii="宋体" w:hAnsi="宋体" w:cs="宋体"/>
                <w:sz w:val="24"/>
                <w:szCs w:val="24"/>
              </w:rPr>
              <w:t>由中介服务机构操作，对所有已解密响应文件进行唱标。</w:t>
            </w:r>
          </w:p>
          <w:p w14:paraId="52BFC3CB">
            <w:pPr>
              <w:widowControl w:val="0"/>
              <w:snapToGrid w:val="0"/>
              <w:spacing w:line="400" w:lineRule="exact"/>
              <w:jc w:val="both"/>
              <w:rPr>
                <w:rFonts w:ascii="宋体" w:hAnsi="宋体"/>
                <w:b/>
                <w:sz w:val="24"/>
                <w:szCs w:val="24"/>
              </w:rPr>
            </w:pPr>
            <w:r>
              <w:rPr>
                <w:rFonts w:ascii="宋体" w:hAnsi="宋体"/>
                <w:sz w:val="24"/>
                <w:szCs w:val="24"/>
              </w:rPr>
              <w:t>3</w:t>
            </w:r>
            <w:r>
              <w:rPr>
                <w:rFonts w:ascii="宋体" w:hAnsi="宋体" w:cs="宋体"/>
                <w:sz w:val="24"/>
                <w:szCs w:val="24"/>
              </w:rPr>
              <w:t>、电子化</w:t>
            </w:r>
            <w:r>
              <w:rPr>
                <w:rFonts w:hint="eastAsia" w:ascii="宋体" w:hAnsi="宋体" w:cs="宋体"/>
                <w:sz w:val="24"/>
                <w:szCs w:val="24"/>
              </w:rPr>
              <w:t>响应</w:t>
            </w:r>
            <w:r>
              <w:rPr>
                <w:rFonts w:ascii="宋体" w:hAnsi="宋体" w:cs="宋体"/>
                <w:sz w:val="24"/>
                <w:szCs w:val="24"/>
              </w:rPr>
              <w:t>文件解密异常的处理</w:t>
            </w:r>
          </w:p>
          <w:p w14:paraId="3711FEE6">
            <w:pPr>
              <w:widowControl w:val="0"/>
              <w:snapToGrid w:val="0"/>
              <w:spacing w:line="400" w:lineRule="exact"/>
              <w:jc w:val="both"/>
              <w:rPr>
                <w:rFonts w:ascii="宋体" w:hAnsi="宋体"/>
                <w:sz w:val="24"/>
                <w:szCs w:val="24"/>
              </w:rPr>
            </w:pPr>
            <w:r>
              <w:rPr>
                <w:rFonts w:ascii="宋体" w:hAnsi="宋体" w:cs="宋体"/>
                <w:sz w:val="24"/>
                <w:szCs w:val="24"/>
              </w:rPr>
              <w:t>如出现</w:t>
            </w:r>
            <w:r>
              <w:rPr>
                <w:rFonts w:hint="eastAsia" w:ascii="宋体" w:hAnsi="宋体"/>
                <w:sz w:val="24"/>
                <w:szCs w:val="24"/>
              </w:rPr>
              <w:t>供应商</w:t>
            </w:r>
            <w:r>
              <w:rPr>
                <w:rFonts w:ascii="宋体" w:hAnsi="宋体" w:cs="宋体"/>
                <w:sz w:val="24"/>
                <w:szCs w:val="24"/>
              </w:rPr>
              <w:t>的电子响应文件无法解密等异常情况，</w:t>
            </w:r>
            <w:r>
              <w:rPr>
                <w:rFonts w:hint="eastAsia" w:ascii="宋体" w:hAnsi="宋体"/>
                <w:sz w:val="24"/>
                <w:szCs w:val="24"/>
              </w:rPr>
              <w:t>供应商</w:t>
            </w:r>
            <w:r>
              <w:rPr>
                <w:rFonts w:ascii="宋体" w:hAnsi="宋体" w:cs="宋体"/>
                <w:sz w:val="24"/>
                <w:szCs w:val="24"/>
              </w:rPr>
              <w:t>应及时致电中介服务机构说明。</w:t>
            </w:r>
            <w:r>
              <w:rPr>
                <w:rFonts w:hint="eastAsia" w:ascii="宋体" w:hAnsi="宋体" w:cs="宋体"/>
                <w:sz w:val="24"/>
                <w:szCs w:val="24"/>
              </w:rPr>
              <w:t>响应</w:t>
            </w:r>
            <w:r>
              <w:rPr>
                <w:rFonts w:ascii="宋体" w:hAnsi="宋体" w:cs="宋体"/>
                <w:sz w:val="24"/>
                <w:szCs w:val="24"/>
              </w:rPr>
              <w:t>文件异常，按以下步骤进行处理：</w:t>
            </w:r>
          </w:p>
          <w:p w14:paraId="7E9228F4">
            <w:pPr>
              <w:widowControl w:val="0"/>
              <w:snapToGrid w:val="0"/>
              <w:spacing w:line="400" w:lineRule="exact"/>
              <w:jc w:val="both"/>
              <w:rPr>
                <w:rFonts w:ascii="宋体" w:hAnsi="宋体"/>
                <w:sz w:val="24"/>
                <w:szCs w:val="24"/>
              </w:rPr>
            </w:pPr>
            <w:r>
              <w:rPr>
                <w:rFonts w:ascii="宋体" w:hAnsi="宋体" w:cs="宋体"/>
                <w:sz w:val="24"/>
                <w:szCs w:val="24"/>
              </w:rPr>
              <w:t>（</w:t>
            </w:r>
            <w:r>
              <w:rPr>
                <w:rFonts w:ascii="宋体" w:hAnsi="宋体"/>
                <w:sz w:val="24"/>
                <w:szCs w:val="24"/>
              </w:rPr>
              <w:t>1</w:t>
            </w:r>
            <w:r>
              <w:rPr>
                <w:rFonts w:ascii="宋体" w:hAnsi="宋体" w:cs="宋体"/>
                <w:sz w:val="24"/>
                <w:szCs w:val="24"/>
              </w:rPr>
              <w:t>）首先由技术人员进行问题排查。</w:t>
            </w:r>
          </w:p>
          <w:p w14:paraId="06660886">
            <w:pPr>
              <w:widowControl w:val="0"/>
              <w:snapToGrid w:val="0"/>
              <w:spacing w:line="400" w:lineRule="exact"/>
              <w:jc w:val="both"/>
              <w:rPr>
                <w:rFonts w:ascii="宋体" w:hAnsi="宋体"/>
                <w:sz w:val="24"/>
                <w:szCs w:val="24"/>
              </w:rPr>
            </w:pPr>
            <w:r>
              <w:rPr>
                <w:rFonts w:ascii="宋体" w:hAnsi="宋体" w:cs="宋体"/>
                <w:sz w:val="24"/>
                <w:szCs w:val="24"/>
              </w:rPr>
              <w:t>（</w:t>
            </w:r>
            <w:r>
              <w:rPr>
                <w:rFonts w:ascii="宋体" w:hAnsi="宋体"/>
                <w:sz w:val="24"/>
                <w:szCs w:val="24"/>
              </w:rPr>
              <w:t>2</w:t>
            </w:r>
            <w:r>
              <w:rPr>
                <w:rFonts w:ascii="宋体" w:hAnsi="宋体" w:cs="宋体"/>
                <w:sz w:val="24"/>
                <w:szCs w:val="24"/>
              </w:rPr>
              <w:t>）经技术人员排查后，是</w:t>
            </w:r>
            <w:r>
              <w:rPr>
                <w:rFonts w:hint="eastAsia" w:ascii="宋体" w:hAnsi="宋体" w:cs="宋体"/>
                <w:sz w:val="24"/>
                <w:szCs w:val="24"/>
              </w:rPr>
              <w:t>供应商</w:t>
            </w:r>
            <w:r>
              <w:rPr>
                <w:rFonts w:ascii="宋体" w:hAnsi="宋体" w:cs="宋体"/>
                <w:sz w:val="24"/>
                <w:szCs w:val="24"/>
              </w:rPr>
              <w:t>文件自身问题导致响应文件无法解密的，该</w:t>
            </w:r>
            <w:r>
              <w:rPr>
                <w:rFonts w:hint="eastAsia" w:ascii="宋体" w:hAnsi="宋体" w:cs="宋体"/>
                <w:sz w:val="24"/>
                <w:szCs w:val="24"/>
              </w:rPr>
              <w:t>响应</w:t>
            </w:r>
            <w:r>
              <w:rPr>
                <w:rFonts w:ascii="宋体" w:hAnsi="宋体" w:cs="宋体"/>
                <w:sz w:val="24"/>
                <w:szCs w:val="24"/>
              </w:rPr>
              <w:t>文件将不予接收、解密和唱标。开标会议继续进行。</w:t>
            </w:r>
          </w:p>
          <w:p w14:paraId="6AF90C9B">
            <w:pPr>
              <w:widowControl w:val="0"/>
              <w:snapToGrid w:val="0"/>
              <w:spacing w:line="400" w:lineRule="exact"/>
              <w:jc w:val="both"/>
              <w:rPr>
                <w:rFonts w:ascii="宋体" w:hAnsi="宋体"/>
                <w:sz w:val="24"/>
                <w:szCs w:val="24"/>
              </w:rPr>
            </w:pPr>
            <w:r>
              <w:rPr>
                <w:rFonts w:ascii="宋体" w:hAnsi="宋体" w:cs="宋体"/>
                <w:sz w:val="24"/>
                <w:szCs w:val="24"/>
              </w:rPr>
              <w:t>（</w:t>
            </w:r>
            <w:r>
              <w:rPr>
                <w:rFonts w:ascii="宋体" w:hAnsi="宋体"/>
                <w:sz w:val="24"/>
                <w:szCs w:val="24"/>
              </w:rPr>
              <w:t>3</w:t>
            </w:r>
            <w:r>
              <w:rPr>
                <w:rFonts w:ascii="宋体" w:hAnsi="宋体" w:cs="宋体"/>
                <w:sz w:val="24"/>
                <w:szCs w:val="24"/>
              </w:rPr>
              <w:t>）经技术人员排查后，如果是电子化交易系统问题造成</w:t>
            </w:r>
            <w:r>
              <w:rPr>
                <w:rFonts w:hint="eastAsia" w:ascii="宋体" w:hAnsi="宋体" w:cs="宋体"/>
                <w:sz w:val="24"/>
                <w:szCs w:val="24"/>
              </w:rPr>
              <w:t>响应</w:t>
            </w:r>
            <w:r>
              <w:rPr>
                <w:rFonts w:ascii="宋体" w:hAnsi="宋体" w:cs="宋体"/>
                <w:sz w:val="24"/>
                <w:szCs w:val="24"/>
              </w:rPr>
              <w:t>文件无法解密的，将由技术人员对问题进行处理。如短时间内问题无法解决的，将由中介服务机构向监督部门申请，经监督部门同意后，暂停开标会议，待问题解决后继续开标。</w:t>
            </w:r>
          </w:p>
          <w:p w14:paraId="59699C67">
            <w:pPr>
              <w:widowControl w:val="0"/>
              <w:snapToGrid w:val="0"/>
              <w:spacing w:line="400" w:lineRule="exact"/>
              <w:jc w:val="both"/>
              <w:rPr>
                <w:rFonts w:ascii="宋体" w:hAnsi="宋体"/>
                <w:sz w:val="24"/>
                <w:szCs w:val="24"/>
              </w:rPr>
            </w:pPr>
            <w:r>
              <w:rPr>
                <w:rFonts w:ascii="宋体" w:hAnsi="宋体"/>
                <w:sz w:val="24"/>
                <w:szCs w:val="24"/>
              </w:rPr>
              <w:t>4</w:t>
            </w:r>
            <w:r>
              <w:rPr>
                <w:rFonts w:ascii="宋体" w:hAnsi="宋体" w:cs="宋体"/>
                <w:sz w:val="24"/>
                <w:szCs w:val="24"/>
              </w:rPr>
              <w:t>、待所有</w:t>
            </w:r>
            <w:r>
              <w:rPr>
                <w:rFonts w:hint="eastAsia" w:ascii="宋体" w:hAnsi="宋体" w:cs="宋体"/>
                <w:sz w:val="24"/>
                <w:szCs w:val="24"/>
              </w:rPr>
              <w:t>供应商磋商</w:t>
            </w:r>
            <w:r>
              <w:rPr>
                <w:rFonts w:ascii="宋体" w:hAnsi="宋体" w:cs="宋体"/>
                <w:sz w:val="24"/>
                <w:szCs w:val="24"/>
              </w:rPr>
              <w:t>文件解密完成后，由中介服务机构操作，对所有已解密</w:t>
            </w:r>
            <w:r>
              <w:rPr>
                <w:rFonts w:hint="eastAsia" w:ascii="宋体" w:hAnsi="宋体" w:cs="宋体"/>
                <w:sz w:val="24"/>
                <w:szCs w:val="24"/>
              </w:rPr>
              <w:t>响应</w:t>
            </w:r>
            <w:r>
              <w:rPr>
                <w:rFonts w:ascii="宋体" w:hAnsi="宋体" w:cs="宋体"/>
                <w:sz w:val="24"/>
                <w:szCs w:val="24"/>
              </w:rPr>
              <w:t>文件进行唱标。</w:t>
            </w:r>
          </w:p>
          <w:p w14:paraId="3D6C3977">
            <w:pPr>
              <w:widowControl w:val="0"/>
              <w:snapToGrid w:val="0"/>
              <w:spacing w:line="400" w:lineRule="exact"/>
              <w:jc w:val="both"/>
              <w:rPr>
                <w:rFonts w:ascii="宋体" w:hAnsi="宋体" w:cs="宋体"/>
                <w:b w:val="0"/>
                <w:bCs/>
                <w:sz w:val="24"/>
                <w:szCs w:val="24"/>
              </w:rPr>
            </w:pPr>
            <w:r>
              <w:rPr>
                <w:rFonts w:hint="eastAsia" w:ascii="宋体" w:hAnsi="宋体" w:cs="宋体"/>
                <w:b w:val="0"/>
                <w:bCs/>
                <w:sz w:val="24"/>
                <w:szCs w:val="24"/>
              </w:rPr>
              <w:t>供应商</w:t>
            </w:r>
            <w:r>
              <w:rPr>
                <w:rFonts w:ascii="宋体" w:hAnsi="宋体" w:cs="宋体"/>
                <w:b w:val="0"/>
                <w:bCs/>
                <w:sz w:val="24"/>
                <w:szCs w:val="24"/>
              </w:rPr>
              <w:t>应保证在开标期间电话、电脑、网络能够正常工作，</w:t>
            </w:r>
            <w:r>
              <w:rPr>
                <w:rFonts w:hint="eastAsia" w:ascii="宋体" w:hAnsi="宋体" w:cs="宋体"/>
                <w:b w:val="0"/>
                <w:bCs/>
                <w:sz w:val="24"/>
                <w:szCs w:val="24"/>
              </w:rPr>
              <w:t>供应商</w:t>
            </w:r>
            <w:r>
              <w:rPr>
                <w:rFonts w:ascii="宋体" w:hAnsi="宋体" w:cs="宋体"/>
                <w:b w:val="0"/>
                <w:bCs/>
                <w:sz w:val="24"/>
                <w:szCs w:val="24"/>
              </w:rPr>
              <w:t>因停电、电脑病毒、网络堵塞等原因，未在规定的解密时间内对响应文件进行解密的，其响应文件不予接收、唱标。</w:t>
            </w:r>
          </w:p>
          <w:p w14:paraId="07D39C83">
            <w:pPr>
              <w:widowControl w:val="0"/>
              <w:snapToGrid w:val="0"/>
              <w:spacing w:line="400" w:lineRule="exact"/>
              <w:jc w:val="both"/>
              <w:rPr>
                <w:rFonts w:ascii="宋体" w:hAnsi="宋体" w:cs="宋体"/>
                <w:sz w:val="24"/>
                <w:szCs w:val="24"/>
              </w:rPr>
            </w:pPr>
            <w:r>
              <w:rPr>
                <w:rFonts w:ascii="宋体" w:hAnsi="宋体" w:cs="宋体"/>
                <w:sz w:val="24"/>
                <w:szCs w:val="24"/>
              </w:rPr>
              <w:t>5、开标时</w:t>
            </w:r>
            <w:r>
              <w:rPr>
                <w:rFonts w:hint="eastAsia" w:ascii="宋体" w:hAnsi="宋体"/>
                <w:sz w:val="24"/>
                <w:szCs w:val="24"/>
              </w:rPr>
              <w:t>供应商</w:t>
            </w:r>
            <w:r>
              <w:rPr>
                <w:rFonts w:ascii="宋体" w:hAnsi="宋体" w:cs="宋体"/>
                <w:sz w:val="24"/>
                <w:szCs w:val="24"/>
              </w:rPr>
              <w:t>可登录到交易系统中在开标解密栏</w:t>
            </w:r>
            <w:r>
              <w:rPr>
                <w:rFonts w:hint="eastAsia" w:ascii="宋体" w:hAnsi="宋体" w:cs="宋体"/>
                <w:sz w:val="24"/>
                <w:szCs w:val="24"/>
                <w:lang w:val="en-US" w:eastAsia="zh-CN"/>
              </w:rPr>
              <w:t>中点击报价一览表</w:t>
            </w:r>
            <w:r>
              <w:rPr>
                <w:rFonts w:ascii="宋体" w:hAnsi="宋体" w:cs="宋体"/>
                <w:sz w:val="24"/>
                <w:szCs w:val="24"/>
              </w:rPr>
              <w:t>查看自己的报价。如对自己的唱标内容有异议的，应在</w:t>
            </w:r>
            <w:r>
              <w:rPr>
                <w:rFonts w:hint="eastAsia" w:ascii="宋体" w:hAnsi="宋体"/>
                <w:sz w:val="24"/>
                <w:szCs w:val="24"/>
              </w:rPr>
              <w:t>供应商</w:t>
            </w:r>
            <w:r>
              <w:rPr>
                <w:rFonts w:ascii="宋体" w:hAnsi="宋体" w:cs="宋体"/>
                <w:sz w:val="24"/>
                <w:szCs w:val="24"/>
              </w:rPr>
              <w:t>解密成功后</w:t>
            </w:r>
            <w:r>
              <w:rPr>
                <w:rFonts w:hint="eastAsia" w:ascii="宋体" w:hAnsi="宋体" w:cs="宋体"/>
                <w:sz w:val="24"/>
                <w:szCs w:val="24"/>
              </w:rPr>
              <w:t>1</w:t>
            </w:r>
            <w:r>
              <w:rPr>
                <w:rFonts w:ascii="宋体" w:hAnsi="宋体" w:cs="宋体"/>
                <w:sz w:val="24"/>
                <w:szCs w:val="24"/>
              </w:rPr>
              <w:t>0分钟内向中介服务机构</w:t>
            </w:r>
            <w:r>
              <w:rPr>
                <w:rFonts w:hint="eastAsia" w:ascii="宋体" w:hAnsi="宋体" w:cs="宋体"/>
                <w:sz w:val="24"/>
                <w:szCs w:val="24"/>
                <w:lang w:val="en-US" w:eastAsia="zh-CN"/>
              </w:rPr>
              <w:t>通过开标大厅对话框提出质疑</w:t>
            </w:r>
            <w:r>
              <w:rPr>
                <w:rFonts w:hint="eastAsia" w:ascii="宋体" w:hAnsi="宋体" w:cs="宋体"/>
                <w:sz w:val="24"/>
                <w:szCs w:val="24"/>
                <w:lang w:eastAsia="zh-CN"/>
              </w:rPr>
              <w:t>，</w:t>
            </w:r>
            <w:r>
              <w:rPr>
                <w:rFonts w:ascii="宋体" w:hAnsi="宋体" w:cs="宋体"/>
                <w:sz w:val="24"/>
                <w:szCs w:val="24"/>
              </w:rPr>
              <w:t>中介服务机构应做好书面记录。</w:t>
            </w:r>
            <w:r>
              <w:rPr>
                <w:rFonts w:hint="eastAsia" w:ascii="宋体" w:hAnsi="宋体"/>
                <w:sz w:val="24"/>
                <w:szCs w:val="24"/>
              </w:rPr>
              <w:t>供应商</w:t>
            </w:r>
            <w:r>
              <w:rPr>
                <w:rFonts w:ascii="宋体" w:hAnsi="宋体" w:cs="宋体"/>
                <w:sz w:val="24"/>
                <w:szCs w:val="24"/>
              </w:rPr>
              <w:t>未在规定时间内提出质疑的，视为认可唱标内容。</w:t>
            </w:r>
          </w:p>
          <w:p w14:paraId="4E702E40">
            <w:pPr>
              <w:widowControl w:val="0"/>
              <w:snapToGrid w:val="0"/>
              <w:spacing w:line="400" w:lineRule="exact"/>
              <w:jc w:val="both"/>
              <w:rPr>
                <w:rFonts w:ascii="宋体" w:hAnsi="宋体"/>
                <w:sz w:val="24"/>
                <w:szCs w:val="24"/>
              </w:rPr>
            </w:pPr>
            <w:r>
              <w:rPr>
                <w:rFonts w:hint="eastAsia" w:ascii="宋体" w:hAnsi="宋体"/>
                <w:sz w:val="24"/>
                <w:szCs w:val="24"/>
                <w:lang w:val="en-US" w:eastAsia="zh-CN"/>
              </w:rPr>
              <w:t>6</w:t>
            </w:r>
            <w:r>
              <w:rPr>
                <w:rFonts w:ascii="宋体" w:hAnsi="宋体" w:cs="宋体"/>
                <w:sz w:val="24"/>
                <w:szCs w:val="24"/>
              </w:rPr>
              <w:t>、</w:t>
            </w:r>
            <w:r>
              <w:rPr>
                <w:rFonts w:hint="eastAsia" w:ascii="宋体" w:hAnsi="宋体" w:eastAsia="宋体" w:cs="Times New Roman"/>
                <w:sz w:val="24"/>
                <w:szCs w:val="24"/>
                <w:lang w:val="en-US" w:eastAsia="zh-CN"/>
              </w:rPr>
              <w:t>评标时，</w:t>
            </w:r>
            <w:r>
              <w:rPr>
                <w:rFonts w:hint="eastAsia" w:ascii="宋体" w:hAnsi="宋体" w:eastAsia="宋体" w:cs="Times New Roman"/>
                <w:sz w:val="24"/>
                <w:szCs w:val="24"/>
              </w:rPr>
              <w:t>磋商小组对电子化响应文件有质疑的，将通过电子化交易系统对供应商发起质疑。供应商的回复文件必须以经过供应商和其法定代表人签章的PDF格式文件为准，并通过电子化交易系统提交至磋商小组</w:t>
            </w:r>
            <w:r>
              <w:rPr>
                <w:rFonts w:ascii="宋体" w:hAnsi="宋体" w:cs="宋体"/>
                <w:sz w:val="24"/>
                <w:szCs w:val="24"/>
              </w:rPr>
              <w:t>。</w:t>
            </w:r>
          </w:p>
          <w:p w14:paraId="2C4999C6">
            <w:pPr>
              <w:widowControl w:val="0"/>
              <w:snapToGrid w:val="0"/>
              <w:spacing w:line="400" w:lineRule="exact"/>
              <w:jc w:val="both"/>
              <w:rPr>
                <w:rFonts w:ascii="宋体" w:hAnsi="宋体" w:cs="宋体"/>
                <w:sz w:val="24"/>
                <w:szCs w:val="24"/>
              </w:rPr>
            </w:pPr>
            <w:r>
              <w:rPr>
                <w:rFonts w:hint="eastAsia" w:ascii="宋体" w:hAnsi="宋体"/>
                <w:sz w:val="24"/>
                <w:szCs w:val="24"/>
                <w:lang w:val="en-US" w:eastAsia="zh-CN"/>
              </w:rPr>
              <w:t>7</w:t>
            </w:r>
            <w:r>
              <w:rPr>
                <w:rFonts w:ascii="宋体" w:hAnsi="宋体" w:cs="宋体"/>
                <w:sz w:val="24"/>
                <w:szCs w:val="24"/>
              </w:rPr>
              <w:t>、</w:t>
            </w:r>
            <w:r>
              <w:rPr>
                <w:rFonts w:hint="default" w:ascii="宋体" w:hAnsi="宋体" w:eastAsia="宋体" w:cs="Times New Roman"/>
                <w:sz w:val="24"/>
                <w:szCs w:val="24"/>
                <w:lang w:val="en-US" w:eastAsia="zh-CN"/>
              </w:rPr>
              <w:t>如</w:t>
            </w:r>
            <w:r>
              <w:rPr>
                <w:rFonts w:hint="eastAsia" w:ascii="宋体" w:hAnsi="宋体" w:eastAsia="宋体" w:cs="Times New Roman"/>
                <w:sz w:val="24"/>
                <w:szCs w:val="24"/>
              </w:rPr>
              <w:t>磋商小组</w:t>
            </w:r>
            <w:r>
              <w:rPr>
                <w:rFonts w:hint="default" w:ascii="宋体" w:hAnsi="宋体" w:eastAsia="宋体" w:cs="Times New Roman"/>
                <w:sz w:val="24"/>
                <w:szCs w:val="24"/>
                <w:lang w:val="en-US" w:eastAsia="zh-CN"/>
              </w:rPr>
              <w:t>对需要回复的</w:t>
            </w:r>
            <w:r>
              <w:rPr>
                <w:rFonts w:hint="eastAsia" w:ascii="宋体" w:hAnsi="宋体" w:eastAsia="宋体" w:cs="Times New Roman"/>
                <w:sz w:val="24"/>
                <w:szCs w:val="24"/>
                <w:lang w:val="en-US" w:eastAsia="zh-CN"/>
              </w:rPr>
              <w:t>供应商</w:t>
            </w:r>
            <w:r>
              <w:rPr>
                <w:rFonts w:hint="default" w:ascii="宋体" w:hAnsi="宋体" w:eastAsia="宋体" w:cs="Times New Roman"/>
                <w:sz w:val="24"/>
                <w:szCs w:val="24"/>
                <w:lang w:val="en-US" w:eastAsia="zh-CN"/>
              </w:rPr>
              <w:t>在规定时间内通过电子化交易系统未收到回复的，视为</w:t>
            </w:r>
            <w:r>
              <w:rPr>
                <w:rFonts w:hint="eastAsia" w:ascii="宋体" w:hAnsi="宋体" w:eastAsia="宋体" w:cs="Times New Roman"/>
                <w:sz w:val="24"/>
                <w:szCs w:val="24"/>
                <w:lang w:val="en-US" w:eastAsia="zh-CN"/>
              </w:rPr>
              <w:t>供应商</w:t>
            </w:r>
            <w:r>
              <w:rPr>
                <w:rFonts w:hint="default" w:ascii="宋体" w:hAnsi="宋体" w:eastAsia="宋体" w:cs="Times New Roman"/>
                <w:sz w:val="24"/>
                <w:szCs w:val="24"/>
                <w:lang w:val="en-US" w:eastAsia="zh-CN"/>
              </w:rPr>
              <w:t>放弃回复，</w:t>
            </w:r>
            <w:r>
              <w:rPr>
                <w:rFonts w:hint="eastAsia" w:ascii="宋体" w:hAnsi="宋体" w:eastAsia="宋体" w:cs="Times New Roman"/>
                <w:sz w:val="24"/>
                <w:szCs w:val="24"/>
                <w:lang w:val="en-US" w:eastAsia="zh-CN"/>
              </w:rPr>
              <w:t>磋商小组</w:t>
            </w:r>
            <w:r>
              <w:rPr>
                <w:rFonts w:hint="default" w:ascii="宋体" w:hAnsi="宋体" w:eastAsia="宋体" w:cs="Times New Roman"/>
                <w:sz w:val="24"/>
                <w:szCs w:val="24"/>
                <w:lang w:val="en-US" w:eastAsia="zh-CN"/>
              </w:rPr>
              <w:t>将自行对需要回复的内容进行认定</w:t>
            </w:r>
            <w:r>
              <w:rPr>
                <w:rFonts w:ascii="宋体" w:hAnsi="宋体" w:cs="宋体"/>
                <w:sz w:val="24"/>
                <w:szCs w:val="24"/>
              </w:rPr>
              <w:t>。</w:t>
            </w:r>
          </w:p>
          <w:p w14:paraId="3579CDBB">
            <w:pPr>
              <w:widowControl w:val="0"/>
              <w:snapToGrid w:val="0"/>
              <w:spacing w:line="400" w:lineRule="exact"/>
              <w:jc w:val="both"/>
              <w:rPr>
                <w:rFonts w:hint="eastAsia" w:ascii="宋体" w:hAnsi="宋体"/>
                <w:sz w:val="24"/>
                <w:szCs w:val="24"/>
              </w:rPr>
            </w:pPr>
            <w:r>
              <w:rPr>
                <w:rFonts w:hint="eastAsia" w:ascii="宋体" w:hAnsi="宋体"/>
                <w:sz w:val="24"/>
                <w:szCs w:val="24"/>
              </w:rPr>
              <w:t>二、相关证书原件的提交</w:t>
            </w:r>
          </w:p>
          <w:p w14:paraId="329C9D5F">
            <w:pPr>
              <w:widowControl w:val="0"/>
              <w:snapToGrid w:val="0"/>
              <w:spacing w:line="400" w:lineRule="exact"/>
              <w:jc w:val="both"/>
              <w:rPr>
                <w:rFonts w:hint="eastAsia" w:ascii="宋体" w:hAnsi="宋体"/>
                <w:sz w:val="24"/>
                <w:szCs w:val="24"/>
              </w:rPr>
            </w:pPr>
            <w:r>
              <w:rPr>
                <w:rFonts w:hint="eastAsia" w:ascii="宋体" w:hAnsi="宋体"/>
                <w:sz w:val="24"/>
                <w:szCs w:val="24"/>
              </w:rPr>
              <w:t>本项目实行资格后审，磋商文件中要求供应商提交资质、业绩、荣誉及单位人员等相关资料原件的，供应商需将原件扫描件制作到电子响应文件中，其上传资料真实性由供应商自行承担，同时，供应商要完善主体库。磋商小组对原件的核验工作按以下条款进行：</w:t>
            </w:r>
          </w:p>
          <w:p w14:paraId="748F9D6A">
            <w:pPr>
              <w:widowControl w:val="0"/>
              <w:snapToGrid w:val="0"/>
              <w:spacing w:line="400" w:lineRule="exact"/>
              <w:jc w:val="both"/>
              <w:rPr>
                <w:rFonts w:hint="eastAsia" w:ascii="宋体" w:hAnsi="宋体"/>
                <w:sz w:val="24"/>
                <w:szCs w:val="24"/>
              </w:rPr>
            </w:pPr>
            <w:r>
              <w:rPr>
                <w:rFonts w:hint="eastAsia" w:ascii="宋体" w:hAnsi="宋体"/>
                <w:sz w:val="24"/>
                <w:szCs w:val="24"/>
              </w:rPr>
              <w:t>（一）评标时，磋商小组先查阅响应文件中是否具有该资料的原件扫描件，其上传资料真实性由供应商自行承担，同时，供应商需要完善主体库信息。本项目需要提交的原件扫描件以开标截止时间前在以供应商自行上传到响应文件中的相应内容为准。规定时间外上传或更改的信息不作为评标依据。评标时不接受供应商所提交的任何原件。</w:t>
            </w:r>
          </w:p>
          <w:p w14:paraId="1FDA6936">
            <w:pPr>
              <w:widowControl w:val="0"/>
              <w:snapToGrid w:val="0"/>
              <w:spacing w:line="400" w:lineRule="exact"/>
              <w:jc w:val="both"/>
              <w:rPr>
                <w:rFonts w:hint="eastAsia" w:ascii="宋体" w:hAnsi="宋体"/>
                <w:sz w:val="24"/>
                <w:szCs w:val="24"/>
              </w:rPr>
            </w:pPr>
            <w:r>
              <w:rPr>
                <w:rFonts w:hint="eastAsia" w:ascii="宋体" w:hAnsi="宋体"/>
                <w:sz w:val="24"/>
                <w:szCs w:val="24"/>
              </w:rPr>
              <w:t>（二）供应商需应仔细阅读操作手册，保证上传内容齐全，真实有效，原件扫描件清晰可辨。因供应商上传原因导致应得分项而未得分或资格审查不合格等情况的，由供应商自行承担责任。</w:t>
            </w:r>
          </w:p>
          <w:p w14:paraId="0AAB75C0">
            <w:pPr>
              <w:widowControl w:val="0"/>
              <w:snapToGrid w:val="0"/>
              <w:spacing w:line="400" w:lineRule="exact"/>
              <w:jc w:val="both"/>
              <w:rPr>
                <w:rFonts w:ascii="宋体" w:hAnsi="宋体"/>
                <w:sz w:val="24"/>
                <w:szCs w:val="24"/>
              </w:rPr>
            </w:pPr>
            <w:r>
              <w:rPr>
                <w:rFonts w:hint="eastAsia" w:ascii="宋体" w:hAnsi="宋体"/>
                <w:sz w:val="24"/>
                <w:szCs w:val="24"/>
              </w:rPr>
              <w:t>提示：本项目为电子化、无纸化交易项目，开标时不再接受任何纸质资料，为保证您能开标成功，请需仔细阅读以上条款。</w:t>
            </w:r>
          </w:p>
        </w:tc>
      </w:tr>
    </w:tbl>
    <w:p w14:paraId="6196092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1"/>
        <w:rPr>
          <w:rFonts w:hint="eastAsia" w:ascii="宋体" w:hAnsi="宋体" w:cs="宋体"/>
          <w:b/>
          <w:spacing w:val="0"/>
          <w:sz w:val="24"/>
          <w:szCs w:val="24"/>
        </w:rPr>
      </w:pPr>
      <w:r>
        <w:rPr>
          <w:rFonts w:hint="eastAsia" w:ascii="宋体" w:hAnsi="宋体" w:cs="宋体"/>
          <w:b/>
          <w:spacing w:val="0"/>
          <w:sz w:val="24"/>
          <w:szCs w:val="24"/>
        </w:rPr>
        <w:t>一、说明</w:t>
      </w:r>
    </w:p>
    <w:p w14:paraId="168FE4EA">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1.适用范围</w:t>
      </w:r>
    </w:p>
    <w:p w14:paraId="3DAB4D4C">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本竞争性磋商文件仅适用于竞争性磋商公告中所叙述项目的</w:t>
      </w:r>
      <w:r>
        <w:rPr>
          <w:rFonts w:hint="eastAsia" w:ascii="宋体" w:hAnsi="宋体" w:cs="宋体"/>
          <w:spacing w:val="0"/>
          <w:sz w:val="24"/>
          <w:szCs w:val="24"/>
          <w:lang w:eastAsia="zh-CN"/>
        </w:rPr>
        <w:t>服务</w:t>
      </w:r>
      <w:r>
        <w:rPr>
          <w:rFonts w:hint="eastAsia" w:ascii="宋体" w:hAnsi="宋体" w:cs="宋体"/>
          <w:spacing w:val="0"/>
          <w:sz w:val="24"/>
          <w:szCs w:val="24"/>
        </w:rPr>
        <w:t>。</w:t>
      </w:r>
    </w:p>
    <w:p w14:paraId="5730CCD2">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2.定义</w:t>
      </w:r>
    </w:p>
    <w:p w14:paraId="5F3BF71B">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2.1 “采购人”系指本次项目内容的采购单位。</w:t>
      </w:r>
    </w:p>
    <w:p w14:paraId="213885E7">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2.2 “采购代理机构”系指本次采购项目活动组织方。</w:t>
      </w:r>
    </w:p>
    <w:p w14:paraId="10ED0C12">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2.3 “供应商”系指响应采购、参加磋商的法人或者其他组织。</w:t>
      </w:r>
    </w:p>
    <w:p w14:paraId="7FF8C843">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2.4 “供应商代表”系指代表供应商参加本次磋商活动的供应商的法定代表人或其委托代理人。</w:t>
      </w:r>
    </w:p>
    <w:p w14:paraId="5D99E8E0">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2.5 “服务”系指供应商按竞争性磋商文件规定提供采购人所要求的一切项目内容。</w:t>
      </w:r>
    </w:p>
    <w:p w14:paraId="2B19D09C">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2.6 “相关服务”系指竞争性磋商文件规定供应商须承担的与本次采购项目相关的服务、协调工作以及其他类似的义务。</w:t>
      </w:r>
    </w:p>
    <w:p w14:paraId="5B8F5343">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2.7 “竞争性磋商文件有效期”系指本次采购项目递交响应文件截止之日起至合同签订之日止的期限。成交供应商的竞争性磋商文件有效期至合同完全履行止。</w:t>
      </w:r>
    </w:p>
    <w:p w14:paraId="332624C2">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3.资金来源：财政资金，已落实。</w:t>
      </w:r>
    </w:p>
    <w:p w14:paraId="198705EA">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hint="default" w:ascii="宋体" w:hAnsi="宋体" w:eastAsia="宋体" w:cs="宋体"/>
          <w:b/>
          <w:spacing w:val="0"/>
          <w:sz w:val="24"/>
          <w:szCs w:val="24"/>
          <w:lang w:val="en-US" w:eastAsia="zh-CN"/>
        </w:rPr>
      </w:pPr>
      <w:r>
        <w:rPr>
          <w:rFonts w:hint="eastAsia" w:ascii="宋体" w:hAnsi="宋体" w:cs="宋体"/>
          <w:spacing w:val="0"/>
          <w:sz w:val="24"/>
          <w:szCs w:val="24"/>
        </w:rPr>
        <w:t>4.供应商</w:t>
      </w:r>
      <w:r>
        <w:rPr>
          <w:rFonts w:hint="eastAsia" w:ascii="宋体" w:hAnsi="宋体" w:cs="宋体"/>
          <w:spacing w:val="0"/>
          <w:sz w:val="24"/>
          <w:szCs w:val="24"/>
          <w:lang w:eastAsia="zh-CN"/>
        </w:rPr>
        <w:t>资格要求：</w:t>
      </w:r>
      <w:r>
        <w:rPr>
          <w:rFonts w:hint="eastAsia" w:ascii="宋体" w:hAnsi="宋体" w:cs="宋体"/>
          <w:spacing w:val="0"/>
          <w:kern w:val="2"/>
          <w:sz w:val="24"/>
          <w:szCs w:val="24"/>
        </w:rPr>
        <w:t>具体详见供应商须知</w:t>
      </w:r>
      <w:r>
        <w:rPr>
          <w:rFonts w:hint="eastAsia" w:ascii="宋体" w:hAnsi="宋体" w:cs="宋体"/>
          <w:spacing w:val="0"/>
          <w:kern w:val="2"/>
          <w:sz w:val="24"/>
          <w:szCs w:val="24"/>
          <w:lang w:eastAsia="zh-CN"/>
        </w:rPr>
        <w:t>第</w:t>
      </w:r>
      <w:r>
        <w:rPr>
          <w:rFonts w:hint="eastAsia" w:ascii="宋体" w:hAnsi="宋体" w:cs="宋体"/>
          <w:spacing w:val="0"/>
          <w:kern w:val="2"/>
          <w:sz w:val="24"/>
          <w:szCs w:val="24"/>
          <w:lang w:val="en-US" w:eastAsia="zh-CN"/>
        </w:rPr>
        <w:t>13条</w:t>
      </w:r>
    </w:p>
    <w:p w14:paraId="0D0E440B">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5.磋商费用</w:t>
      </w:r>
    </w:p>
    <w:p w14:paraId="2CD6DE23">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不论磋商结果如何，供应商均应自行承担所有与磋商有关的全部费用。</w:t>
      </w:r>
    </w:p>
    <w:p w14:paraId="0DBFB9B2">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6.联合体参加磋商</w:t>
      </w:r>
    </w:p>
    <w:p w14:paraId="5EF45E7A">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6.1 本项目不接受联合体参加磋商。</w:t>
      </w:r>
    </w:p>
    <w:p w14:paraId="22C59816">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7.转包与分包</w:t>
      </w:r>
    </w:p>
    <w:p w14:paraId="7F038731">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hint="eastAsia" w:ascii="宋体" w:hAnsi="宋体" w:cs="宋体"/>
          <w:spacing w:val="0"/>
          <w:sz w:val="24"/>
          <w:szCs w:val="24"/>
        </w:rPr>
      </w:pPr>
      <w:r>
        <w:rPr>
          <w:rFonts w:hint="eastAsia" w:ascii="宋体" w:hAnsi="宋体" w:cs="宋体"/>
          <w:spacing w:val="0"/>
          <w:sz w:val="24"/>
          <w:szCs w:val="24"/>
        </w:rPr>
        <w:t>7.1 本项目不允许采取转包方式履行合同。</w:t>
      </w:r>
    </w:p>
    <w:p w14:paraId="52E97669">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hint="eastAsia" w:ascii="宋体" w:hAnsi="宋体" w:cs="宋体"/>
          <w:spacing w:val="0"/>
          <w:sz w:val="24"/>
          <w:szCs w:val="24"/>
        </w:rPr>
      </w:pPr>
      <w:r>
        <w:rPr>
          <w:rFonts w:hint="eastAsia" w:ascii="宋体" w:hAnsi="宋体" w:cs="宋体"/>
          <w:spacing w:val="0"/>
          <w:sz w:val="24"/>
          <w:szCs w:val="24"/>
        </w:rPr>
        <w:t>7.2 本项目不允许采取分包方式履行合同。</w:t>
      </w:r>
    </w:p>
    <w:p w14:paraId="329DF874">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8.特别说明：</w:t>
      </w:r>
    </w:p>
    <w:p w14:paraId="411E2D86">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8.1 供应商参加磋商所使用的资格、信誉、荣誉、业绩与企业认证必须为本法人所拥有。</w:t>
      </w:r>
    </w:p>
    <w:p w14:paraId="28C468FE">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8.2 供应商代表只能接受一个供应商的委托参加磋商。</w:t>
      </w:r>
    </w:p>
    <w:p w14:paraId="25984417">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8.3 供应商在磋商活动中提供虚假材料或从事其他违法活动的</w:t>
      </w:r>
      <w:r>
        <w:rPr>
          <w:rFonts w:hint="eastAsia" w:ascii="宋体" w:hAnsi="宋体" w:cs="宋体"/>
          <w:spacing w:val="0"/>
          <w:sz w:val="24"/>
          <w:szCs w:val="24"/>
          <w:lang w:eastAsia="zh-CN"/>
        </w:rPr>
        <w:t>，</w:t>
      </w:r>
      <w:r>
        <w:rPr>
          <w:rFonts w:hint="eastAsia" w:ascii="宋体" w:hAnsi="宋体" w:cs="宋体"/>
          <w:spacing w:val="0"/>
          <w:sz w:val="24"/>
          <w:szCs w:val="24"/>
        </w:rPr>
        <w:t>其响应无效，由相关部门查处。</w:t>
      </w:r>
    </w:p>
    <w:p w14:paraId="3651AF04">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9.质疑和投诉</w:t>
      </w:r>
    </w:p>
    <w:p w14:paraId="43CA34F9">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9.1 供应商认为磋商过程和成交结果使自己的合法权益受到损害的，应当在知道或者应知其权益受到损害之日起7个工作日内，向采购人或采购代理机构提出质疑。供应商对采购人或采购代理机构的质疑答复不满意或采购人或采购代理机构未在规定时间内作出答复的，可以在答复期满后15个工作日内向同级财政部门投诉。</w:t>
      </w:r>
    </w:p>
    <w:p w14:paraId="022F3B81">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0E9243C6">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10.供应商的风险</w:t>
      </w:r>
    </w:p>
    <w:p w14:paraId="7992588A">
      <w:pPr>
        <w:keepNext w:val="0"/>
        <w:keepLines w:val="0"/>
        <w:pageBreakBefore w:val="0"/>
        <w:widowControl w:val="0"/>
        <w:kinsoku/>
        <w:wordWrap/>
        <w:overflowPunct/>
        <w:topLinePunct w:val="0"/>
        <w:autoSpaceDE w:val="0"/>
        <w:autoSpaceDN w:val="0"/>
        <w:bidi w:val="0"/>
        <w:adjustRightInd w:val="0"/>
        <w:snapToGrid/>
        <w:spacing w:before="32" w:line="360" w:lineRule="auto"/>
        <w:ind w:right="-58" w:firstLine="480" w:firstLineChars="200"/>
        <w:jc w:val="both"/>
        <w:textAlignment w:val="auto"/>
        <w:rPr>
          <w:rFonts w:ascii="宋体" w:hAnsi="宋体" w:cs="宋体"/>
          <w:spacing w:val="0"/>
          <w:sz w:val="24"/>
          <w:szCs w:val="24"/>
        </w:rPr>
      </w:pPr>
      <w:r>
        <w:rPr>
          <w:rFonts w:hint="eastAsia" w:ascii="宋体" w:hAnsi="宋体" w:cs="宋体"/>
          <w:spacing w:val="0"/>
          <w:sz w:val="24"/>
          <w:szCs w:val="24"/>
        </w:rPr>
        <w:t>供应商没有按照竞争性磋商文件要求提供全部资料，或者供应商没有对响应文件在各方面都作出实质性响应是供应商的风险，并可能导致其响应被拒绝。</w:t>
      </w:r>
    </w:p>
    <w:p w14:paraId="230DC57B">
      <w:pPr>
        <w:keepNext w:val="0"/>
        <w:keepLines w:val="0"/>
        <w:pageBreakBefore w:val="0"/>
        <w:widowControl w:val="0"/>
        <w:kinsoku/>
        <w:wordWrap/>
        <w:overflowPunct/>
        <w:topLinePunct w:val="0"/>
        <w:bidi w:val="0"/>
        <w:snapToGrid/>
        <w:spacing w:before="20" w:after="20" w:line="360" w:lineRule="auto"/>
        <w:jc w:val="center"/>
        <w:textAlignment w:val="auto"/>
        <w:outlineLvl w:val="1"/>
        <w:rPr>
          <w:rFonts w:ascii="宋体" w:hAnsi="宋体"/>
          <w:b/>
          <w:spacing w:val="0"/>
          <w:sz w:val="24"/>
          <w:szCs w:val="24"/>
        </w:rPr>
      </w:pPr>
      <w:bookmarkStart w:id="21" w:name="_Toc461977415"/>
      <w:bookmarkEnd w:id="21"/>
      <w:r>
        <w:rPr>
          <w:rFonts w:hint="eastAsia" w:ascii="宋体" w:hAnsi="宋体" w:cs="宋体"/>
          <w:b/>
          <w:spacing w:val="0"/>
          <w:sz w:val="24"/>
          <w:szCs w:val="24"/>
        </w:rPr>
        <w:t>二、竞争性磋商文件</w:t>
      </w:r>
    </w:p>
    <w:p w14:paraId="1BB62436">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11.竞争性磋商文件的构成。本竞争性磋商文件由以下部分组成：</w:t>
      </w:r>
    </w:p>
    <w:p w14:paraId="36A74678">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11.1 竞争性磋商公告</w:t>
      </w:r>
    </w:p>
    <w:p w14:paraId="2E0688C9">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11.2 供应商须知</w:t>
      </w:r>
    </w:p>
    <w:p w14:paraId="3A0C8A0A">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 xml:space="preserve">11.3 </w:t>
      </w:r>
      <w:r>
        <w:rPr>
          <w:rFonts w:hint="eastAsia" w:ascii="宋体" w:hAnsi="宋体" w:eastAsia="宋体" w:cs="宋体"/>
          <w:spacing w:val="0"/>
          <w:sz w:val="24"/>
          <w:szCs w:val="24"/>
          <w:lang w:val="en-US" w:eastAsia="zh-CN"/>
        </w:rPr>
        <w:t>服务需求</w:t>
      </w:r>
    </w:p>
    <w:p w14:paraId="4D61085E">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11.4 合同条款及格式</w:t>
      </w:r>
    </w:p>
    <w:p w14:paraId="47E6F34B">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11.5 评审标准</w:t>
      </w:r>
    </w:p>
    <w:p w14:paraId="754B89E6">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 xml:space="preserve">11.6 </w:t>
      </w:r>
      <w:r>
        <w:rPr>
          <w:rFonts w:hint="eastAsia" w:ascii="宋体" w:hAnsi="宋体" w:eastAsia="宋体" w:cs="宋体"/>
          <w:spacing w:val="0"/>
          <w:sz w:val="24"/>
          <w:szCs w:val="24"/>
          <w:lang w:val="zh-CN"/>
        </w:rPr>
        <w:t>响应文件内容及格式</w:t>
      </w:r>
    </w:p>
    <w:p w14:paraId="6CA972A1">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12.竞争性磋商文件的澄清与修改</w:t>
      </w:r>
    </w:p>
    <w:p w14:paraId="1CC5754D">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12.1 采购代理机构对已发出的竞争性磋商文件进行必要澄清、修改或补充的，应当在竞争性磋商文件要求提交响应文件截止时间5日（如至原定截止时间不足5日，则需延长磋商开始时间）前，在发布公告的相关媒体上发布更正公告。竞争性磋商文件公示期间对竞争性磋商文件进行的澄清、修改或补充不受上述限制。</w:t>
      </w:r>
    </w:p>
    <w:p w14:paraId="523E3D77">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12.2 竞争性磋商文件澄清、修改或补充的内容为竞争性磋商文件的组成部分。</w:t>
      </w:r>
    </w:p>
    <w:p w14:paraId="2B9A3DE2">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hint="eastAsia" w:ascii="宋体" w:hAnsi="宋体" w:eastAsia="宋体" w:cs="宋体"/>
          <w:spacing w:val="0"/>
          <w:sz w:val="24"/>
          <w:szCs w:val="24"/>
        </w:rPr>
      </w:pPr>
      <w:r>
        <w:rPr>
          <w:rFonts w:hint="eastAsia" w:ascii="宋体" w:hAnsi="宋体" w:eastAsia="宋体" w:cs="宋体"/>
          <w:spacing w:val="0"/>
          <w:sz w:val="24"/>
          <w:szCs w:val="24"/>
        </w:rPr>
        <w:t>12.3 竞争性磋商文件的澄清、修改或补充都应通过本采购代理机构以法定形式发布。采购人未通过本采购代理机构对竞争性磋商文件进行的澄清、修改或补充无效，磋商时不予认可。</w:t>
      </w:r>
    </w:p>
    <w:p w14:paraId="20B134D9">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hint="eastAsia" w:ascii="宋体" w:hAnsi="宋体" w:eastAsia="宋体" w:cs="宋体"/>
          <w:spacing w:val="0"/>
          <w:sz w:val="24"/>
          <w:szCs w:val="24"/>
        </w:rPr>
      </w:pPr>
      <w:r>
        <w:rPr>
          <w:rFonts w:hint="eastAsia" w:ascii="宋体" w:hAnsi="宋体" w:eastAsia="宋体" w:cs="宋体"/>
          <w:spacing w:val="0"/>
          <w:sz w:val="24"/>
          <w:szCs w:val="24"/>
        </w:rPr>
        <w:t>12.4 采购代理机构可以视采购具体情况，延长递交响应文件截止时间和开始磋商时间，但至少应当在竞争性磋商文件要求提交响应文件的截止时间5日前，将变更时间在《河南省政府采购网》、《三门峡市公共资源交易中心网》</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《中国招标投标公共服务平台》</w:t>
      </w:r>
      <w:r>
        <w:rPr>
          <w:rFonts w:hint="eastAsia" w:ascii="宋体" w:hAnsi="宋体" w:eastAsia="宋体" w:cs="宋体"/>
          <w:spacing w:val="0"/>
          <w:sz w:val="24"/>
          <w:szCs w:val="24"/>
        </w:rPr>
        <w:t>等相关媒体上发布更正公告，磋商时间不足应顺延开标时间。</w:t>
      </w:r>
    </w:p>
    <w:p w14:paraId="10A7530B">
      <w:pPr>
        <w:keepNext w:val="0"/>
        <w:keepLines w:val="0"/>
        <w:pageBreakBefore w:val="0"/>
        <w:widowControl w:val="0"/>
        <w:kinsoku/>
        <w:overflowPunct/>
        <w:topLinePunct w:val="0"/>
        <w:bidi w:val="0"/>
        <w:snapToGrid/>
        <w:spacing w:before="20" w:after="20" w:line="360" w:lineRule="auto"/>
        <w:jc w:val="center"/>
        <w:outlineLvl w:val="1"/>
        <w:rPr>
          <w:rFonts w:ascii="宋体" w:hAnsi="宋体"/>
          <w:b/>
          <w:spacing w:val="0"/>
          <w:sz w:val="24"/>
          <w:szCs w:val="24"/>
        </w:rPr>
      </w:pPr>
      <w:bookmarkStart w:id="22" w:name="_Toc461977416"/>
      <w:bookmarkEnd w:id="22"/>
      <w:r>
        <w:rPr>
          <w:rFonts w:hint="eastAsia" w:ascii="宋体" w:hAnsi="宋体" w:cs="宋体"/>
          <w:b/>
          <w:spacing w:val="0"/>
          <w:sz w:val="24"/>
          <w:szCs w:val="24"/>
        </w:rPr>
        <w:t>三、响应文件的编制</w:t>
      </w:r>
    </w:p>
    <w:p w14:paraId="2E37B399">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13.要求</w:t>
      </w:r>
    </w:p>
    <w:p w14:paraId="72E40CDE">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13.1供应商应仔细阅读竞争性磋商文件的所有内容，按照竞争性磋商文件提供的格式编写响应文件，不得缺少或留空任何竞争性磋商文件要求填写的表格或提交的资料。竞争性磋商文件提供格式的按格式填列，未提供格式的可自行拟定。响应文件应对竞争性磋商文件的要求作出实质性响应（包括</w:t>
      </w:r>
      <w:r>
        <w:rPr>
          <w:rFonts w:hint="eastAsia" w:ascii="宋体" w:hAnsi="宋体" w:cs="宋体"/>
          <w:spacing w:val="0"/>
          <w:sz w:val="24"/>
          <w:szCs w:val="24"/>
          <w:lang w:val="zh-CN"/>
        </w:rPr>
        <w:t>响应文件内容及格式</w:t>
      </w:r>
      <w:r>
        <w:rPr>
          <w:rFonts w:hint="eastAsia" w:ascii="宋体" w:hAnsi="宋体" w:cs="宋体"/>
          <w:spacing w:val="0"/>
          <w:sz w:val="24"/>
          <w:szCs w:val="24"/>
        </w:rPr>
        <w:t>），供应商对所提供的全部资料的合法性、真实性负责。</w:t>
      </w:r>
    </w:p>
    <w:p w14:paraId="06C6501A">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14.响应文件的语言和计量单位</w:t>
      </w:r>
    </w:p>
    <w:p w14:paraId="2A1B556B">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14.1 响应文件以及供应商与采购、代理机构就有关磋商事宜的所有来往函电均应使用简体中文书写。</w:t>
      </w:r>
    </w:p>
    <w:p w14:paraId="58F3FC9B">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14.2 关于计量单位，竞争性磋商文件已有明确规定的，使用竞争性磋商文件规定的计量单位；竞争性磋商文件没有规定的，应采用中华人民共和国法定计量单位。</w:t>
      </w:r>
    </w:p>
    <w:p w14:paraId="51AEFC8C">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hint="eastAsia" w:ascii="宋体" w:hAnsi="宋体" w:eastAsia="宋体" w:cs="宋体"/>
          <w:spacing w:val="0"/>
          <w:sz w:val="24"/>
          <w:szCs w:val="24"/>
          <w:lang w:eastAsia="zh-CN"/>
        </w:rPr>
      </w:pPr>
      <w:r>
        <w:rPr>
          <w:rFonts w:hint="eastAsia" w:ascii="宋体" w:hAnsi="宋体" w:cs="宋体"/>
          <w:spacing w:val="0"/>
          <w:sz w:val="24"/>
          <w:szCs w:val="24"/>
        </w:rPr>
        <w:t>15.响应文件的组成。响应文件应包括：详见磋商文件</w:t>
      </w:r>
      <w:r>
        <w:rPr>
          <w:rFonts w:hint="eastAsia" w:ascii="宋体" w:hAnsi="宋体" w:cs="宋体"/>
          <w:spacing w:val="0"/>
          <w:sz w:val="24"/>
          <w:szCs w:val="24"/>
          <w:lang w:eastAsia="zh-CN"/>
        </w:rPr>
        <w:t xml:space="preserve">“第六章  </w:t>
      </w:r>
      <w:r>
        <w:rPr>
          <w:rFonts w:hint="eastAsia" w:ascii="宋体" w:hAnsi="宋体" w:cs="宋体"/>
          <w:spacing w:val="0"/>
          <w:sz w:val="24"/>
          <w:szCs w:val="24"/>
          <w:lang w:val="zh-CN" w:eastAsia="zh-CN"/>
        </w:rPr>
        <w:t>响应文件内容及格式</w:t>
      </w:r>
      <w:r>
        <w:rPr>
          <w:rFonts w:hint="eastAsia" w:ascii="宋体" w:hAnsi="宋体" w:cs="宋体"/>
          <w:spacing w:val="0"/>
          <w:sz w:val="24"/>
          <w:szCs w:val="24"/>
          <w:lang w:eastAsia="zh-CN"/>
        </w:rPr>
        <w:t>”</w:t>
      </w:r>
    </w:p>
    <w:p w14:paraId="7735EFD1">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16.响应文件有效期</w:t>
      </w:r>
    </w:p>
    <w:p w14:paraId="32A9D4D8">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16.1 响应文件从所规定的递交响应文件截止期之后开始生效，有效期不足将导致其响应文件被拒绝。成交供应商的响应文件有效期至合同完全履行止。</w:t>
      </w:r>
    </w:p>
    <w:p w14:paraId="29FDB455">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16.2 特殊情况下采购代理机构可于响应文件有效期满之前要求供应商同意延长有效期，供应商应在采购代理机构规定的期限内予以答复。</w:t>
      </w:r>
    </w:p>
    <w:p w14:paraId="352EA5DC">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17.磋商报价</w:t>
      </w:r>
    </w:p>
    <w:p w14:paraId="023E572A">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17.1 所有磋商报价均以人民币元为计算单位。供应商的报价为项目实施所需的人工费、服务费、税费及完成项目所需其他一切费用。</w:t>
      </w:r>
    </w:p>
    <w:p w14:paraId="6DF8B540">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18.磋商保证金</w:t>
      </w:r>
    </w:p>
    <w:p w14:paraId="25FD1E4C">
      <w:pPr>
        <w:keepNext w:val="0"/>
        <w:keepLines w:val="0"/>
        <w:pageBreakBefore w:val="0"/>
        <w:widowControl w:val="0"/>
        <w:kinsoku/>
        <w:wordWrap w:val="0"/>
        <w:overflowPunct/>
        <w:topLinePunct w:val="0"/>
        <w:autoSpaceDE w:val="0"/>
        <w:autoSpaceDN w:val="0"/>
        <w:bidi w:val="0"/>
        <w:adjustRightInd w:val="0"/>
        <w:snapToGrid/>
        <w:spacing w:before="32" w:line="360" w:lineRule="auto"/>
        <w:ind w:right="-57"/>
        <w:jc w:val="both"/>
        <w:textAlignment w:val="auto"/>
        <w:rPr>
          <w:rFonts w:hint="eastAsia" w:ascii="宋体" w:hAnsi="宋体" w:cs="宋体"/>
          <w:spacing w:val="0"/>
          <w:sz w:val="24"/>
          <w:szCs w:val="24"/>
        </w:rPr>
      </w:pPr>
      <w:r>
        <w:rPr>
          <w:rFonts w:hint="eastAsia" w:ascii="宋体" w:hAnsi="宋体" w:cs="宋体"/>
          <w:spacing w:val="0"/>
          <w:sz w:val="24"/>
          <w:szCs w:val="24"/>
        </w:rPr>
        <w:t>18.1.1按照《河南省财政厅关于优化政府采购营商环境有关问题的通知》（豫财购[2019]4号文）的要求本项目不再收取磋商保证金；</w:t>
      </w:r>
    </w:p>
    <w:p w14:paraId="3C374724">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hint="eastAsia" w:ascii="宋体" w:hAnsi="宋体" w:cs="宋体"/>
          <w:spacing w:val="0"/>
          <w:sz w:val="24"/>
          <w:szCs w:val="24"/>
        </w:rPr>
      </w:pPr>
      <w:r>
        <w:rPr>
          <w:rFonts w:hint="eastAsia" w:ascii="宋体" w:hAnsi="宋体" w:cs="宋体"/>
          <w:spacing w:val="0"/>
          <w:sz w:val="24"/>
          <w:szCs w:val="24"/>
        </w:rPr>
        <w:t>18.1.2响应人需提供磋</w:t>
      </w:r>
      <w:r>
        <w:rPr>
          <w:rFonts w:hint="eastAsia" w:ascii="宋体" w:hAnsi="宋体" w:eastAsia="宋体" w:cs="宋体"/>
          <w:spacing w:val="0"/>
          <w:sz w:val="24"/>
          <w:szCs w:val="24"/>
        </w:rPr>
        <w:t>商承诺函。（</w:t>
      </w:r>
      <w:r>
        <w:rPr>
          <w:rFonts w:hint="eastAsia" w:ascii="宋体" w:hAnsi="宋体" w:cs="宋体"/>
          <w:spacing w:val="0"/>
          <w:sz w:val="24"/>
          <w:szCs w:val="24"/>
        </w:rPr>
        <w:t>承诺事项及违背承诺的责任追究措施，详见磋商文件</w:t>
      </w:r>
      <w:r>
        <w:rPr>
          <w:rFonts w:hint="eastAsia" w:ascii="宋体" w:hAnsi="宋体" w:cs="宋体"/>
          <w:spacing w:val="0"/>
          <w:sz w:val="24"/>
          <w:szCs w:val="24"/>
          <w:lang w:eastAsia="zh-CN"/>
        </w:rPr>
        <w:t>“</w:t>
      </w:r>
      <w:r>
        <w:rPr>
          <w:rFonts w:hint="eastAsia" w:ascii="宋体" w:hAnsi="宋体" w:cs="宋体"/>
          <w:spacing w:val="0"/>
          <w:sz w:val="24"/>
          <w:szCs w:val="24"/>
        </w:rPr>
        <w:t>第</w:t>
      </w:r>
      <w:r>
        <w:rPr>
          <w:rFonts w:hint="eastAsia" w:ascii="宋体" w:hAnsi="宋体" w:cs="宋体"/>
          <w:spacing w:val="0"/>
          <w:sz w:val="24"/>
          <w:szCs w:val="24"/>
          <w:lang w:eastAsia="zh-CN"/>
        </w:rPr>
        <w:t>六</w:t>
      </w:r>
      <w:r>
        <w:rPr>
          <w:rFonts w:hint="eastAsia" w:ascii="宋体" w:hAnsi="宋体" w:cs="宋体"/>
          <w:spacing w:val="0"/>
          <w:sz w:val="24"/>
          <w:szCs w:val="24"/>
        </w:rPr>
        <w:t>章</w:t>
      </w:r>
      <w:r>
        <w:rPr>
          <w:rFonts w:hint="eastAsia" w:ascii="宋体" w:hAnsi="宋体" w:cs="宋体"/>
          <w:spacing w:val="0"/>
          <w:sz w:val="24"/>
          <w:szCs w:val="24"/>
          <w:lang w:val="en-US" w:eastAsia="zh-CN"/>
        </w:rPr>
        <w:t xml:space="preserve"> </w:t>
      </w:r>
      <w:r>
        <w:rPr>
          <w:rFonts w:hint="eastAsia" w:ascii="宋体" w:hAnsi="宋体" w:cs="宋体"/>
          <w:spacing w:val="0"/>
          <w:sz w:val="24"/>
          <w:szCs w:val="24"/>
        </w:rPr>
        <w:t>响应文件</w:t>
      </w:r>
      <w:r>
        <w:rPr>
          <w:rFonts w:hint="eastAsia" w:ascii="宋体" w:hAnsi="宋体" w:cs="宋体"/>
          <w:spacing w:val="0"/>
          <w:sz w:val="24"/>
          <w:szCs w:val="24"/>
          <w:lang w:eastAsia="zh-CN"/>
        </w:rPr>
        <w:t>内容及</w:t>
      </w:r>
      <w:r>
        <w:rPr>
          <w:rFonts w:hint="eastAsia" w:ascii="宋体" w:hAnsi="宋体" w:cs="宋体"/>
          <w:spacing w:val="0"/>
          <w:sz w:val="24"/>
          <w:szCs w:val="24"/>
        </w:rPr>
        <w:t>格式</w:t>
      </w:r>
      <w:r>
        <w:rPr>
          <w:rFonts w:hint="eastAsia" w:ascii="宋体" w:hAnsi="宋体" w:cs="宋体"/>
          <w:spacing w:val="0"/>
          <w:sz w:val="24"/>
          <w:szCs w:val="24"/>
          <w:lang w:eastAsia="zh-CN"/>
        </w:rPr>
        <w:t>”</w:t>
      </w:r>
      <w:r>
        <w:rPr>
          <w:rFonts w:hint="eastAsia" w:ascii="宋体" w:hAnsi="宋体" w:cs="宋体"/>
          <w:spacing w:val="0"/>
          <w:sz w:val="24"/>
          <w:szCs w:val="24"/>
        </w:rPr>
        <w:t>）。</w:t>
      </w:r>
    </w:p>
    <w:p w14:paraId="46B09019">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19.响应文件的签署</w:t>
      </w:r>
    </w:p>
    <w:p w14:paraId="77F0F549">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19.1 供应商应按本竞争性磋商文件规定的格式和顺序编制响应文件。除了响应文件封面以外，每个页面都要在明显位置编制页码，响应文件的目录必须编序。响应文件内容不完整、编排混乱导致被误读、漏读或者查找不到相关内容的，由供应商负责。</w:t>
      </w:r>
    </w:p>
    <w:p w14:paraId="20715AE7">
      <w:pPr>
        <w:keepNext w:val="0"/>
        <w:keepLines w:val="0"/>
        <w:pageBreakBefore w:val="0"/>
        <w:widowControl w:val="0"/>
        <w:kinsoku/>
        <w:overflowPunct/>
        <w:topLinePunct w:val="0"/>
        <w:bidi w:val="0"/>
        <w:snapToGrid/>
        <w:spacing w:before="20" w:after="20" w:line="360" w:lineRule="auto"/>
        <w:jc w:val="center"/>
        <w:outlineLvl w:val="1"/>
        <w:rPr>
          <w:rFonts w:ascii="宋体" w:hAnsi="宋体" w:cs="宋体"/>
          <w:spacing w:val="0"/>
          <w:sz w:val="24"/>
          <w:szCs w:val="24"/>
        </w:rPr>
      </w:pPr>
      <w:bookmarkStart w:id="23" w:name="_Toc461977417"/>
      <w:bookmarkEnd w:id="23"/>
      <w:r>
        <w:rPr>
          <w:rFonts w:hint="eastAsia" w:ascii="宋体" w:hAnsi="宋体" w:cs="宋体"/>
          <w:b/>
          <w:spacing w:val="0"/>
          <w:sz w:val="24"/>
          <w:szCs w:val="24"/>
        </w:rPr>
        <w:t>四、响应文件的递交</w:t>
      </w:r>
    </w:p>
    <w:p w14:paraId="580FD3D0">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20.响应文件的递交</w:t>
      </w:r>
    </w:p>
    <w:p w14:paraId="20E71EBB">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在响应文件截止时间前上传至三门峡市公共资源交易中心系统平台。</w:t>
      </w:r>
    </w:p>
    <w:p w14:paraId="54CE5DEF">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21.响应文件的修改和撤回</w:t>
      </w:r>
    </w:p>
    <w:p w14:paraId="2523B80D">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21.1供应商在递交竞争性磋商文件截止时间前，可以对所提交的响应文件进行补充、修改或者撤回。</w:t>
      </w:r>
    </w:p>
    <w:p w14:paraId="3A8F77E8">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ascii="宋体" w:hAnsi="宋体" w:cs="宋体"/>
          <w:spacing w:val="0"/>
          <w:sz w:val="24"/>
          <w:szCs w:val="24"/>
        </w:rPr>
      </w:pPr>
      <w:r>
        <w:rPr>
          <w:rFonts w:hint="eastAsia" w:ascii="宋体" w:hAnsi="宋体" w:cs="宋体"/>
          <w:spacing w:val="0"/>
          <w:sz w:val="24"/>
          <w:szCs w:val="24"/>
        </w:rPr>
        <w:t>22.供应商有下列情形之一的，采购人或采购代理机构将拒绝接受其响应文件：</w:t>
      </w:r>
    </w:p>
    <w:p w14:paraId="1489BC41">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ascii="宋体" w:hAnsi="宋体" w:cs="宋体"/>
          <w:spacing w:val="0"/>
          <w:sz w:val="24"/>
          <w:szCs w:val="24"/>
        </w:rPr>
      </w:pPr>
      <w:r>
        <w:rPr>
          <w:rFonts w:hint="eastAsia" w:ascii="宋体" w:hAnsi="宋体" w:cs="宋体"/>
          <w:spacing w:val="0"/>
          <w:sz w:val="24"/>
          <w:szCs w:val="24"/>
        </w:rPr>
        <w:t>22.1 在竞争性磋商文件规定的递交竞争性磋商文件截止时间之后上传竞争性磋商文件的。</w:t>
      </w:r>
    </w:p>
    <w:p w14:paraId="04CB11AF">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ascii="宋体" w:hAnsi="宋体" w:cs="宋体"/>
          <w:spacing w:val="0"/>
          <w:sz w:val="24"/>
          <w:szCs w:val="24"/>
        </w:rPr>
      </w:pPr>
      <w:r>
        <w:rPr>
          <w:rFonts w:hint="eastAsia" w:ascii="宋体" w:hAnsi="宋体" w:cs="宋体"/>
          <w:spacing w:val="0"/>
          <w:sz w:val="24"/>
          <w:szCs w:val="24"/>
        </w:rPr>
        <w:t>22.2</w:t>
      </w:r>
      <w:r>
        <w:rPr>
          <w:rFonts w:hint="eastAsia" w:ascii="宋体" w:hAnsi="宋体" w:cs="宋体"/>
          <w:spacing w:val="0"/>
          <w:sz w:val="24"/>
          <w:szCs w:val="24"/>
          <w:lang w:val="en-US" w:eastAsia="zh-CN"/>
        </w:rPr>
        <w:t xml:space="preserve"> </w:t>
      </w:r>
      <w:r>
        <w:rPr>
          <w:rFonts w:hint="eastAsia" w:ascii="宋体" w:hAnsi="宋体" w:cs="宋体"/>
          <w:spacing w:val="0"/>
          <w:sz w:val="24"/>
          <w:szCs w:val="24"/>
        </w:rPr>
        <w:t>未按竞争性磋商文件参加磋商的。</w:t>
      </w:r>
    </w:p>
    <w:p w14:paraId="14CAC22B">
      <w:pPr>
        <w:keepNext w:val="0"/>
        <w:keepLines w:val="0"/>
        <w:pageBreakBefore w:val="0"/>
        <w:widowControl w:val="0"/>
        <w:kinsoku/>
        <w:wordWrap/>
        <w:overflowPunct/>
        <w:topLinePunct w:val="0"/>
        <w:bidi w:val="0"/>
        <w:snapToGrid/>
        <w:spacing w:before="20" w:after="20" w:line="360" w:lineRule="auto"/>
        <w:jc w:val="center"/>
        <w:textAlignment w:val="auto"/>
        <w:outlineLvl w:val="1"/>
        <w:rPr>
          <w:rFonts w:ascii="宋体" w:hAnsi="宋体"/>
          <w:b/>
          <w:spacing w:val="0"/>
          <w:sz w:val="24"/>
          <w:szCs w:val="24"/>
        </w:rPr>
      </w:pPr>
      <w:bookmarkStart w:id="24" w:name="_Toc461977418"/>
      <w:bookmarkEnd w:id="24"/>
      <w:r>
        <w:rPr>
          <w:rFonts w:hint="eastAsia" w:ascii="宋体" w:hAnsi="宋体" w:cs="宋体"/>
          <w:b/>
          <w:spacing w:val="0"/>
          <w:sz w:val="24"/>
          <w:szCs w:val="24"/>
        </w:rPr>
        <w:t>五、磋商</w:t>
      </w:r>
    </w:p>
    <w:p w14:paraId="4EC24194">
      <w:pPr>
        <w:keepNext w:val="0"/>
        <w:keepLines w:val="0"/>
        <w:pageBreakBefore w:val="0"/>
        <w:widowControl w:val="0"/>
        <w:kinsoku/>
        <w:wordWrap/>
        <w:overflowPunct/>
        <w:topLinePunct w:val="0"/>
        <w:autoSpaceDE w:val="0"/>
        <w:autoSpaceDN w:val="0"/>
        <w:bidi w:val="0"/>
        <w:adjustRightInd w:val="0"/>
        <w:snapToGrid/>
        <w:spacing w:before="32" w:line="360" w:lineRule="auto"/>
        <w:ind w:right="-58"/>
        <w:jc w:val="both"/>
        <w:textAlignment w:val="auto"/>
        <w:rPr>
          <w:rFonts w:hint="eastAsia" w:ascii="宋体" w:hAnsi="宋体" w:cs="宋体"/>
          <w:spacing w:val="0"/>
          <w:sz w:val="24"/>
          <w:szCs w:val="24"/>
        </w:rPr>
      </w:pPr>
      <w:r>
        <w:rPr>
          <w:rFonts w:hint="eastAsia" w:ascii="宋体" w:hAnsi="宋体" w:cs="宋体"/>
          <w:spacing w:val="0"/>
          <w:sz w:val="24"/>
          <w:szCs w:val="24"/>
        </w:rPr>
        <w:t>23、磋商仪式</w:t>
      </w:r>
    </w:p>
    <w:p w14:paraId="3645632F">
      <w:pPr>
        <w:keepNext w:val="0"/>
        <w:keepLines w:val="0"/>
        <w:pageBreakBefore w:val="0"/>
        <w:widowControl w:val="0"/>
        <w:kinsoku/>
        <w:wordWrap/>
        <w:overflowPunct/>
        <w:topLinePunct w:val="0"/>
        <w:autoSpaceDE w:val="0"/>
        <w:autoSpaceDN w:val="0"/>
        <w:bidi w:val="0"/>
        <w:adjustRightInd w:val="0"/>
        <w:snapToGrid/>
        <w:spacing w:before="32" w:line="360" w:lineRule="auto"/>
        <w:ind w:right="-58" w:firstLine="480" w:firstLineChars="200"/>
        <w:jc w:val="both"/>
        <w:textAlignment w:val="auto"/>
        <w:rPr>
          <w:rFonts w:hint="eastAsia" w:ascii="宋体" w:hAnsi="宋体" w:eastAsia="宋体"/>
          <w:spacing w:val="0"/>
          <w:sz w:val="24"/>
          <w:szCs w:val="24"/>
          <w:shd w:val="clear" w:color="auto" w:fill="FFFFFF"/>
          <w:lang w:eastAsia="zh-CN"/>
        </w:rPr>
      </w:pPr>
      <w:r>
        <w:rPr>
          <w:rFonts w:hint="eastAsia" w:ascii="宋体" w:hAnsi="宋体" w:cs="宋体"/>
          <w:spacing w:val="0"/>
          <w:sz w:val="24"/>
          <w:szCs w:val="24"/>
        </w:rPr>
        <w:t>磋商仪式由代理公司主持，采购人代表、监督代表以及有关工作人员参加，本项目为不见面开标项目，所有参与交易活动的</w:t>
      </w:r>
      <w:r>
        <w:rPr>
          <w:rFonts w:hint="eastAsia" w:ascii="宋体" w:hAnsi="宋体" w:cs="宋体"/>
          <w:spacing w:val="0"/>
          <w:sz w:val="24"/>
          <w:szCs w:val="24"/>
          <w:lang w:val="en-US" w:eastAsia="zh-CN"/>
        </w:rPr>
        <w:t>供应商</w:t>
      </w:r>
      <w:r>
        <w:rPr>
          <w:rFonts w:hint="eastAsia" w:ascii="宋体" w:hAnsi="宋体" w:cs="宋体"/>
          <w:spacing w:val="0"/>
          <w:sz w:val="24"/>
          <w:szCs w:val="24"/>
        </w:rPr>
        <w:t>无需到现场参加开标，</w:t>
      </w:r>
      <w:r>
        <w:rPr>
          <w:rFonts w:hint="eastAsia" w:ascii="宋体" w:hAnsi="宋体" w:cs="宋体"/>
          <w:spacing w:val="0"/>
          <w:sz w:val="24"/>
          <w:szCs w:val="24"/>
          <w:lang w:val="en-US" w:eastAsia="zh-CN"/>
        </w:rPr>
        <w:t>供应商</w:t>
      </w:r>
      <w:r>
        <w:rPr>
          <w:rFonts w:hint="eastAsia" w:ascii="宋体" w:hAnsi="宋体" w:cs="宋体"/>
          <w:spacing w:val="0"/>
          <w:sz w:val="24"/>
          <w:szCs w:val="24"/>
        </w:rPr>
        <w:t>进行远程开标解密工作，每位</w:t>
      </w:r>
      <w:r>
        <w:rPr>
          <w:rFonts w:hint="eastAsia" w:ascii="宋体" w:hAnsi="宋体" w:cs="宋体"/>
          <w:spacing w:val="0"/>
          <w:sz w:val="24"/>
          <w:szCs w:val="24"/>
          <w:lang w:val="en-US" w:eastAsia="zh-CN"/>
        </w:rPr>
        <w:t>供应商</w:t>
      </w:r>
      <w:r>
        <w:rPr>
          <w:rFonts w:hint="eastAsia" w:ascii="宋体" w:hAnsi="宋体" w:cs="宋体"/>
          <w:spacing w:val="0"/>
          <w:sz w:val="24"/>
          <w:szCs w:val="24"/>
        </w:rPr>
        <w:t>的解密时间为开标时间起30分钟内完成，</w:t>
      </w:r>
      <w:r>
        <w:rPr>
          <w:rFonts w:hint="eastAsia" w:ascii="宋体" w:hAnsi="宋体"/>
          <w:spacing w:val="0"/>
          <w:sz w:val="24"/>
          <w:szCs w:val="24"/>
          <w:shd w:val="clear" w:color="auto" w:fill="FFFFFF"/>
        </w:rPr>
        <w:t>因供应商原因未能解密、解密失败或解密超时的将被拒绝</w:t>
      </w:r>
      <w:r>
        <w:rPr>
          <w:rFonts w:hint="eastAsia" w:ascii="宋体" w:hAnsi="宋体"/>
          <w:spacing w:val="0"/>
          <w:sz w:val="24"/>
          <w:szCs w:val="24"/>
          <w:shd w:val="clear" w:color="auto" w:fill="FFFFFF"/>
          <w:lang w:eastAsia="zh-CN"/>
        </w:rPr>
        <w:t>。</w:t>
      </w:r>
    </w:p>
    <w:p w14:paraId="44D4E44A">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24、磋商小组</w:t>
      </w:r>
      <w:r>
        <w:rPr>
          <w:rFonts w:hint="eastAsia" w:ascii="宋体" w:hAnsi="宋体" w:cs="宋体"/>
          <w:spacing w:val="0"/>
          <w:sz w:val="24"/>
          <w:szCs w:val="24"/>
        </w:rPr>
        <w:tab/>
      </w:r>
    </w:p>
    <w:p w14:paraId="0EA73B57">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采购代理机构根据采购项目的特点依法组建磋商小组。磋商小组由3人</w:t>
      </w:r>
      <w:r>
        <w:rPr>
          <w:rFonts w:hint="eastAsia" w:ascii="宋体" w:hAnsi="宋体" w:cs="宋体"/>
          <w:spacing w:val="0"/>
          <w:sz w:val="24"/>
          <w:szCs w:val="24"/>
          <w:lang w:val="en-US" w:eastAsia="zh-CN"/>
        </w:rPr>
        <w:t>组成</w:t>
      </w:r>
      <w:r>
        <w:rPr>
          <w:rFonts w:hint="eastAsia" w:ascii="宋体" w:hAnsi="宋体" w:cs="宋体"/>
          <w:spacing w:val="0"/>
          <w:sz w:val="24"/>
          <w:szCs w:val="24"/>
          <w:lang w:eastAsia="zh-CN"/>
        </w:rPr>
        <w:t>，</w:t>
      </w:r>
      <w:r>
        <w:rPr>
          <w:rFonts w:hint="eastAsia" w:ascii="宋体" w:hAnsi="宋体" w:cs="宋体"/>
          <w:spacing w:val="0"/>
          <w:sz w:val="24"/>
          <w:szCs w:val="24"/>
        </w:rPr>
        <w:t>其中：采购人代表1名</w:t>
      </w:r>
      <w:r>
        <w:rPr>
          <w:rFonts w:hint="eastAsia" w:ascii="宋体" w:hAnsi="宋体" w:cs="宋体"/>
          <w:spacing w:val="0"/>
          <w:sz w:val="24"/>
          <w:szCs w:val="24"/>
          <w:lang w:eastAsia="zh-CN"/>
        </w:rPr>
        <w:t>，</w:t>
      </w:r>
      <w:r>
        <w:rPr>
          <w:rFonts w:hint="eastAsia" w:ascii="宋体" w:hAnsi="宋体" w:cs="宋体"/>
          <w:spacing w:val="0"/>
          <w:sz w:val="24"/>
          <w:szCs w:val="24"/>
        </w:rPr>
        <w:t>技术、经济等方面的专家2名。采购人代表不得担任磋商小组组长。</w:t>
      </w:r>
    </w:p>
    <w:p w14:paraId="4018C7B7">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25、磋商工作纪律及保密</w:t>
      </w:r>
    </w:p>
    <w:p w14:paraId="13191766">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评审专家应当遵守评审工作纪律，不得泄露评审情况和评审中获悉的商业秘密。</w:t>
      </w:r>
    </w:p>
    <w:p w14:paraId="17FB8212">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26、磋商小组工作原则</w:t>
      </w:r>
    </w:p>
    <w:p w14:paraId="3377F14A">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574CBC05">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27、响应文件审查</w:t>
      </w:r>
    </w:p>
    <w:p w14:paraId="7E8F0168">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06FDB0B">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28、供应商澄清</w:t>
      </w:r>
    </w:p>
    <w:p w14:paraId="1348B424">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磋商小组要求供应商澄清、说明或者更正响应文件将在电子系统作出。</w:t>
      </w:r>
    </w:p>
    <w:p w14:paraId="4930F878">
      <w:pPr>
        <w:keepNext w:val="0"/>
        <w:keepLines w:val="0"/>
        <w:pageBreakBefore w:val="0"/>
        <w:widowControl w:val="0"/>
        <w:kinsoku/>
        <w:overflowPunct/>
        <w:topLinePunct w:val="0"/>
        <w:autoSpaceDE w:val="0"/>
        <w:autoSpaceDN w:val="0"/>
        <w:bidi w:val="0"/>
        <w:adjustRightInd w:val="0"/>
        <w:snapToGrid/>
        <w:spacing w:before="32" w:line="360" w:lineRule="auto"/>
        <w:ind w:right="-58"/>
        <w:jc w:val="both"/>
        <w:rPr>
          <w:rFonts w:ascii="宋体" w:hAnsi="宋体" w:cs="宋体"/>
          <w:spacing w:val="0"/>
          <w:sz w:val="24"/>
          <w:szCs w:val="24"/>
        </w:rPr>
      </w:pPr>
      <w:r>
        <w:rPr>
          <w:rFonts w:hint="eastAsia" w:ascii="宋体" w:hAnsi="宋体" w:cs="宋体"/>
          <w:spacing w:val="0"/>
          <w:sz w:val="24"/>
          <w:szCs w:val="24"/>
        </w:rPr>
        <w:t>29、磋商程序、最后报价、综合评分</w:t>
      </w:r>
    </w:p>
    <w:p w14:paraId="5771870D">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磋商小组所有成员应当集中与单一供应商分别进行磋商，并给予所有参加磋商的供应商平等的磋商机会。</w:t>
      </w:r>
    </w:p>
    <w:p w14:paraId="18B3DBB2">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在磋商过程中，磋商小组可以根据磋商文件和磋商情况实质性变动采购需求中的技术、服务</w:t>
      </w:r>
      <w:r>
        <w:rPr>
          <w:rFonts w:hint="eastAsia" w:ascii="宋体" w:hAnsi="宋体" w:cs="宋体"/>
          <w:spacing w:val="0"/>
          <w:sz w:val="24"/>
          <w:szCs w:val="24"/>
          <w:lang w:eastAsia="zh-CN"/>
        </w:rPr>
        <w:t>内容及</w:t>
      </w:r>
      <w:r>
        <w:rPr>
          <w:rFonts w:hint="eastAsia" w:ascii="宋体" w:hAnsi="宋体" w:cs="宋体"/>
          <w:spacing w:val="0"/>
          <w:sz w:val="24"/>
          <w:szCs w:val="24"/>
        </w:rPr>
        <w:t>要求以及合同草案条款，但不得变动磋商文件中的其他内容。对磋商文件作出的实质性变动是磋商文件的有效组成部分，磋商小组应当及时通知所有参加磋商的供应商。供应商应当按照磋商文件的变动情况和磋商小组的要求重新提交响应文件，并由其法定代表人或</w:t>
      </w:r>
      <w:r>
        <w:rPr>
          <w:rFonts w:hint="eastAsia" w:ascii="宋体" w:hAnsi="宋体" w:cs="宋体"/>
          <w:spacing w:val="0"/>
          <w:sz w:val="24"/>
          <w:szCs w:val="24"/>
          <w:lang w:val="en-US" w:eastAsia="zh-CN"/>
        </w:rPr>
        <w:t>其委托代理人</w:t>
      </w:r>
      <w:r>
        <w:rPr>
          <w:rFonts w:hint="eastAsia" w:ascii="宋体" w:hAnsi="宋体" w:cs="宋体"/>
          <w:spacing w:val="0"/>
          <w:sz w:val="24"/>
          <w:szCs w:val="24"/>
        </w:rPr>
        <w:t>签</w:t>
      </w:r>
      <w:r>
        <w:rPr>
          <w:rFonts w:hint="eastAsia" w:ascii="宋体" w:hAnsi="宋体" w:cs="宋体"/>
          <w:spacing w:val="0"/>
          <w:sz w:val="24"/>
          <w:szCs w:val="24"/>
          <w:lang w:val="en-US" w:eastAsia="zh-CN"/>
        </w:rPr>
        <w:t>章</w:t>
      </w:r>
      <w:r>
        <w:rPr>
          <w:rFonts w:hint="eastAsia" w:ascii="宋体" w:hAnsi="宋体" w:cs="宋体"/>
          <w:spacing w:val="0"/>
          <w:sz w:val="24"/>
          <w:szCs w:val="24"/>
        </w:rPr>
        <w:t>或者加盖</w:t>
      </w:r>
      <w:r>
        <w:rPr>
          <w:rFonts w:hint="eastAsia" w:ascii="宋体" w:hAnsi="宋体" w:cs="宋体"/>
          <w:spacing w:val="0"/>
          <w:sz w:val="24"/>
          <w:szCs w:val="24"/>
          <w:lang w:val="en-US" w:eastAsia="zh-CN"/>
        </w:rPr>
        <w:t>单位</w:t>
      </w:r>
      <w:r>
        <w:rPr>
          <w:rFonts w:hint="eastAsia" w:ascii="宋体" w:hAnsi="宋体" w:cs="宋体"/>
          <w:spacing w:val="0"/>
          <w:sz w:val="24"/>
          <w:szCs w:val="24"/>
        </w:rPr>
        <w:t>公章。</w:t>
      </w:r>
    </w:p>
    <w:p w14:paraId="0DF479A5">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磋商文件能够详细列明采购的</w:t>
      </w:r>
      <w:r>
        <w:rPr>
          <w:rFonts w:hint="eastAsia" w:ascii="宋体" w:hAnsi="宋体" w:cs="宋体"/>
          <w:spacing w:val="0"/>
          <w:sz w:val="24"/>
          <w:szCs w:val="24"/>
          <w:lang w:val="en-US" w:eastAsia="zh-CN"/>
        </w:rPr>
        <w:t>服务内容及要求的</w:t>
      </w:r>
      <w:r>
        <w:rPr>
          <w:rFonts w:hint="eastAsia" w:ascii="宋体" w:hAnsi="宋体" w:cs="宋体"/>
          <w:spacing w:val="0"/>
          <w:sz w:val="24"/>
          <w:szCs w:val="24"/>
        </w:rPr>
        <w:t>，磋商结束后，磋商小组将要求所有实质性响应的供应商在规定时间内提交最后报价。最后报价是供应商响应文件的有效组成部分。</w:t>
      </w:r>
    </w:p>
    <w:p w14:paraId="1B512ACC">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hint="eastAsia" w:ascii="宋体" w:hAnsi="宋体" w:cs="宋体"/>
          <w:spacing w:val="0"/>
          <w:sz w:val="24"/>
          <w:szCs w:val="24"/>
        </w:rPr>
      </w:pPr>
      <w:r>
        <w:rPr>
          <w:rFonts w:hint="eastAsia" w:ascii="宋体" w:hAnsi="宋体" w:cs="宋体"/>
          <w:spacing w:val="0"/>
          <w:sz w:val="24"/>
          <w:szCs w:val="24"/>
        </w:rPr>
        <w:t>通过交易中心系统以电子形式递交，第二次报价为最终报价。</w:t>
      </w:r>
    </w:p>
    <w:p w14:paraId="219034F6">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hint="eastAsia" w:ascii="宋体" w:hAnsi="宋体" w:cs="宋体"/>
          <w:spacing w:val="0"/>
          <w:sz w:val="24"/>
          <w:szCs w:val="24"/>
        </w:rPr>
      </w:pPr>
      <w:r>
        <w:rPr>
          <w:rFonts w:hint="eastAsia" w:ascii="宋体" w:hAnsi="宋体" w:cs="宋体"/>
          <w:spacing w:val="0"/>
          <w:sz w:val="24"/>
          <w:szCs w:val="24"/>
        </w:rPr>
        <w:t>【注：1、最终报价不得超出采购人预算金额；2、最终报价明显低于成本价的，供应商需做出合理说明，否则将承担不被接受的风险；</w:t>
      </w:r>
    </w:p>
    <w:p w14:paraId="64BE8BB7">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hint="eastAsia" w:ascii="宋体" w:hAnsi="宋体" w:cs="宋体"/>
          <w:spacing w:val="0"/>
          <w:sz w:val="24"/>
          <w:szCs w:val="24"/>
        </w:rPr>
      </w:pPr>
      <w:r>
        <w:rPr>
          <w:rFonts w:hint="eastAsia" w:ascii="宋体" w:hAnsi="宋体" w:cs="宋体"/>
          <w:spacing w:val="0"/>
          <w:sz w:val="24"/>
          <w:szCs w:val="24"/>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7D2104F4">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评审时，磋商小组各成员独立对每个有效响应的文件进行评价、打分，然后汇总每个供应商每项评分因素的得分。</w:t>
      </w:r>
    </w:p>
    <w:p w14:paraId="1F27E9B8">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磋商小组应当根据综合评分情况，按照评审得分由高到低顺序推荐3名成交候选供应商并编写评审报告。评审得分相同的，按照最后报价由低到高的顺序推荐。评审得分且最后报价相同的，按照技术指标优劣顺序推荐。</w:t>
      </w:r>
    </w:p>
    <w:p w14:paraId="68176F53">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出现下列情形之一的，将终止竞争性磋商采购活动，发布项目终止公告并说明原因，重新开展采购活动：</w:t>
      </w:r>
    </w:p>
    <w:p w14:paraId="130FC911">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1、不符合法律、法规和竞争性磋商文件中规定的其他实质性要求的；</w:t>
      </w:r>
    </w:p>
    <w:p w14:paraId="4F9408F7">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2、其他法律、法规及本竞争性磋商文件规定的属响应无效的情形。终止竞争性磋商采购活动的条款；</w:t>
      </w:r>
    </w:p>
    <w:p w14:paraId="7C38DFE2">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3、因情况变化，不再符合规定的竞争性磋商采购方式适用情形的；出现影响采购公正的违法、违规行为的；</w:t>
      </w:r>
    </w:p>
    <w:p w14:paraId="737BDDFF">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rPr>
        <w:t>30、磋商截止时间结束后参加供应商不足3家的，应重新组织采购，评审期间符合专业条件的供应商或者对磋商响应文件作出实质响应的供应商不足3家的，采购代理机构将报请主管监督部门批准。</w:t>
      </w:r>
    </w:p>
    <w:p w14:paraId="36C559F8">
      <w:pPr>
        <w:keepNext w:val="0"/>
        <w:keepLines w:val="0"/>
        <w:pageBreakBefore w:val="0"/>
        <w:widowControl w:val="0"/>
        <w:kinsoku/>
        <w:overflowPunct/>
        <w:topLinePunct w:val="0"/>
        <w:bidi w:val="0"/>
        <w:snapToGrid/>
        <w:spacing w:before="20" w:after="20" w:line="360" w:lineRule="auto"/>
        <w:jc w:val="center"/>
        <w:outlineLvl w:val="1"/>
        <w:rPr>
          <w:rFonts w:ascii="宋体" w:hAnsi="宋体"/>
          <w:b/>
          <w:spacing w:val="0"/>
          <w:sz w:val="24"/>
          <w:szCs w:val="24"/>
        </w:rPr>
      </w:pPr>
      <w:bookmarkStart w:id="25" w:name="_Toc461977419"/>
      <w:bookmarkEnd w:id="25"/>
      <w:r>
        <w:rPr>
          <w:rFonts w:hint="eastAsia" w:ascii="宋体" w:hAnsi="宋体" w:cs="宋体"/>
          <w:b/>
          <w:spacing w:val="0"/>
          <w:sz w:val="24"/>
          <w:szCs w:val="24"/>
        </w:rPr>
        <w:t>六、确定成交</w:t>
      </w:r>
    </w:p>
    <w:p w14:paraId="4FA9FE6E">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hint="eastAsia" w:ascii="宋体" w:hAnsi="宋体" w:cs="宋体"/>
          <w:spacing w:val="0"/>
          <w:sz w:val="24"/>
          <w:szCs w:val="24"/>
        </w:rPr>
      </w:pPr>
      <w:bookmarkStart w:id="26" w:name="_Toc461977420"/>
      <w:bookmarkEnd w:id="26"/>
      <w:r>
        <w:rPr>
          <w:rFonts w:hint="eastAsia" w:ascii="宋体" w:hAnsi="宋体" w:cs="宋体"/>
          <w:spacing w:val="0"/>
          <w:sz w:val="24"/>
          <w:szCs w:val="24"/>
          <w:lang w:val="en-US" w:eastAsia="zh-CN"/>
        </w:rPr>
        <w:t>31、</w:t>
      </w:r>
      <w:r>
        <w:rPr>
          <w:rFonts w:hint="eastAsia" w:ascii="宋体" w:hAnsi="宋体" w:cs="宋体"/>
          <w:spacing w:val="0"/>
          <w:sz w:val="24"/>
          <w:szCs w:val="24"/>
        </w:rPr>
        <w:t>评标结束后，采购人和其委托的采购代理机构，在政府采购项目评审结束当日完成评标报告的报送、成交供应商的确定、</w:t>
      </w:r>
      <w:r>
        <w:rPr>
          <w:rFonts w:hint="eastAsia" w:ascii="宋体" w:hAnsi="宋体" w:cs="宋体"/>
          <w:spacing w:val="0"/>
          <w:sz w:val="24"/>
          <w:szCs w:val="24"/>
          <w:lang w:eastAsia="zh-CN"/>
        </w:rPr>
        <w:t>成交</w:t>
      </w:r>
      <w:r>
        <w:rPr>
          <w:rFonts w:hint="eastAsia" w:ascii="宋体" w:hAnsi="宋体" w:cs="宋体"/>
          <w:spacing w:val="0"/>
          <w:sz w:val="24"/>
          <w:szCs w:val="24"/>
        </w:rPr>
        <w:t>公告的发布、成交通知书发出。成交通知书对采购人和成交供应商具有同等法律效力。成交通知书发出后，采购人改变成交结果，或者成交供应商放弃成交，应按相关法律、规章、规范性文件的要求承担相应的法律责任。未按规定交纳服务费、领取成交通知书的视为自动放弃成交。</w:t>
      </w:r>
    </w:p>
    <w:p w14:paraId="70895EAC">
      <w:pPr>
        <w:keepNext w:val="0"/>
        <w:keepLines w:val="0"/>
        <w:pageBreakBefore w:val="0"/>
        <w:widowControl w:val="0"/>
        <w:kinsoku/>
        <w:wordWrap w:val="0"/>
        <w:overflowPunct/>
        <w:topLinePunct/>
        <w:autoSpaceDE w:val="0"/>
        <w:autoSpaceDN/>
        <w:bidi w:val="0"/>
        <w:adjustRightInd w:val="0"/>
        <w:snapToGrid/>
        <w:spacing w:before="32" w:line="360" w:lineRule="auto"/>
        <w:ind w:right="-58" w:firstLine="480" w:firstLineChars="200"/>
        <w:jc w:val="both"/>
        <w:rPr>
          <w:rFonts w:hint="eastAsia" w:ascii="宋体" w:hAnsi="宋体" w:cs="宋体"/>
          <w:spacing w:val="0"/>
          <w:sz w:val="24"/>
          <w:szCs w:val="24"/>
          <w:lang w:val="en-US" w:eastAsia="zh-CN"/>
        </w:rPr>
      </w:pPr>
      <w:r>
        <w:rPr>
          <w:rFonts w:hint="eastAsia" w:ascii="宋体" w:hAnsi="宋体" w:cs="宋体"/>
          <w:spacing w:val="0"/>
          <w:sz w:val="24"/>
          <w:szCs w:val="24"/>
          <w:lang w:val="en-US" w:eastAsia="zh-CN"/>
        </w:rPr>
        <w:t>32、招标代理服务收费参照豫招协[2023]002号河南省招标投标协会关于印发《河南省招标代理服务收费指导意见》规定的收费标准收取中标服务费。</w:t>
      </w:r>
    </w:p>
    <w:p w14:paraId="67B83DEA">
      <w:pPr>
        <w:keepNext w:val="0"/>
        <w:keepLines w:val="0"/>
        <w:pageBreakBefore w:val="0"/>
        <w:widowControl w:val="0"/>
        <w:kinsoku/>
        <w:wordWrap w:val="0"/>
        <w:overflowPunct/>
        <w:topLinePunct/>
        <w:autoSpaceDE w:val="0"/>
        <w:autoSpaceDN/>
        <w:bidi w:val="0"/>
        <w:adjustRightInd w:val="0"/>
        <w:snapToGrid/>
        <w:spacing w:line="360" w:lineRule="auto"/>
        <w:ind w:right="0" w:firstLine="480" w:firstLineChars="200"/>
        <w:jc w:val="both"/>
        <w:textAlignment w:val="auto"/>
        <w:rPr>
          <w:rFonts w:hint="eastAsia" w:ascii="宋体" w:hAnsi="宋体" w:cs="宋体"/>
          <w:spacing w:val="0"/>
          <w:sz w:val="24"/>
          <w:szCs w:val="24"/>
          <w:lang w:val="en-US" w:eastAsia="zh-CN"/>
        </w:rPr>
      </w:pPr>
      <w:r>
        <w:rPr>
          <w:rFonts w:hint="eastAsia" w:ascii="宋体" w:hAnsi="宋体" w:cs="宋体"/>
          <w:spacing w:val="0"/>
          <w:sz w:val="24"/>
          <w:szCs w:val="24"/>
          <w:lang w:val="en-US" w:eastAsia="zh-CN"/>
        </w:rPr>
        <w:t>河南省招标代理服务费计算标准：</w:t>
      </w:r>
    </w:p>
    <w:tbl>
      <w:tblPr>
        <w:tblStyle w:val="16"/>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1611"/>
        <w:gridCol w:w="1506"/>
        <w:gridCol w:w="1393"/>
      </w:tblGrid>
      <w:tr w14:paraId="106C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3848" w:type="dxa"/>
            <w:noWrap w:val="0"/>
            <w:vAlign w:val="center"/>
          </w:tcPr>
          <w:p w14:paraId="1B5327FC">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项目类型/（金额万元）</w:t>
            </w:r>
          </w:p>
        </w:tc>
        <w:tc>
          <w:tcPr>
            <w:tcW w:w="1611" w:type="dxa"/>
            <w:noWrap w:val="0"/>
            <w:vAlign w:val="center"/>
          </w:tcPr>
          <w:p w14:paraId="514E9B2C">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工程</w:t>
            </w:r>
          </w:p>
        </w:tc>
        <w:tc>
          <w:tcPr>
            <w:tcW w:w="1506" w:type="dxa"/>
            <w:noWrap w:val="0"/>
            <w:vAlign w:val="center"/>
          </w:tcPr>
          <w:p w14:paraId="18EDFF2D">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货物</w:t>
            </w:r>
          </w:p>
        </w:tc>
        <w:tc>
          <w:tcPr>
            <w:tcW w:w="1393" w:type="dxa"/>
            <w:noWrap w:val="0"/>
            <w:vAlign w:val="center"/>
          </w:tcPr>
          <w:p w14:paraId="3FD8A87E">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服务</w:t>
            </w:r>
          </w:p>
        </w:tc>
      </w:tr>
      <w:tr w14:paraId="0B97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3848" w:type="dxa"/>
            <w:noWrap w:val="0"/>
            <w:vAlign w:val="center"/>
          </w:tcPr>
          <w:p w14:paraId="51E6EABE">
            <w:pPr>
              <w:keepNext w:val="0"/>
              <w:keepLines w:val="0"/>
              <w:pageBreakBefore w:val="0"/>
              <w:widowControl w:val="0"/>
              <w:kinsoku/>
              <w:wordWrap w:val="0"/>
              <w:overflowPunct/>
              <w:topLinePunct/>
              <w:autoSpaceDE/>
              <w:autoSpaceDN/>
              <w:bidi w:val="0"/>
              <w:snapToGrid/>
              <w:jc w:val="left"/>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100万元以下（含100万元）</w:t>
            </w:r>
          </w:p>
        </w:tc>
        <w:tc>
          <w:tcPr>
            <w:tcW w:w="1611" w:type="dxa"/>
            <w:noWrap w:val="0"/>
            <w:vAlign w:val="center"/>
          </w:tcPr>
          <w:p w14:paraId="18048AD5">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1.20%</w:t>
            </w:r>
          </w:p>
        </w:tc>
        <w:tc>
          <w:tcPr>
            <w:tcW w:w="1506" w:type="dxa"/>
            <w:noWrap w:val="0"/>
            <w:vAlign w:val="center"/>
          </w:tcPr>
          <w:p w14:paraId="3A5F9637">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1.70%</w:t>
            </w:r>
          </w:p>
        </w:tc>
        <w:tc>
          <w:tcPr>
            <w:tcW w:w="1393" w:type="dxa"/>
            <w:noWrap w:val="0"/>
            <w:vAlign w:val="center"/>
          </w:tcPr>
          <w:p w14:paraId="67117561">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1.70%</w:t>
            </w:r>
          </w:p>
        </w:tc>
      </w:tr>
      <w:tr w14:paraId="7669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848" w:type="dxa"/>
            <w:noWrap w:val="0"/>
            <w:vAlign w:val="center"/>
          </w:tcPr>
          <w:p w14:paraId="07FFC823">
            <w:pPr>
              <w:keepNext w:val="0"/>
              <w:keepLines w:val="0"/>
              <w:pageBreakBefore w:val="0"/>
              <w:widowControl w:val="0"/>
              <w:kinsoku/>
              <w:wordWrap w:val="0"/>
              <w:overflowPunct/>
              <w:topLinePunct/>
              <w:autoSpaceDE/>
              <w:autoSpaceDN/>
              <w:bidi w:val="0"/>
              <w:snapToGrid/>
              <w:jc w:val="left"/>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100-500万元（含500万元）</w:t>
            </w:r>
          </w:p>
        </w:tc>
        <w:tc>
          <w:tcPr>
            <w:tcW w:w="1611" w:type="dxa"/>
            <w:noWrap w:val="0"/>
            <w:vAlign w:val="center"/>
          </w:tcPr>
          <w:p w14:paraId="39143143">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1.00%</w:t>
            </w:r>
          </w:p>
        </w:tc>
        <w:tc>
          <w:tcPr>
            <w:tcW w:w="1506" w:type="dxa"/>
            <w:noWrap w:val="0"/>
            <w:vAlign w:val="center"/>
          </w:tcPr>
          <w:p w14:paraId="60E676E6">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1.20%</w:t>
            </w:r>
          </w:p>
        </w:tc>
        <w:tc>
          <w:tcPr>
            <w:tcW w:w="1393" w:type="dxa"/>
            <w:noWrap w:val="0"/>
            <w:vAlign w:val="center"/>
          </w:tcPr>
          <w:p w14:paraId="76E58E14">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1.20%</w:t>
            </w:r>
          </w:p>
        </w:tc>
      </w:tr>
      <w:tr w14:paraId="081C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3848" w:type="dxa"/>
            <w:noWrap w:val="0"/>
            <w:vAlign w:val="center"/>
          </w:tcPr>
          <w:p w14:paraId="135F2F2A">
            <w:pPr>
              <w:keepNext w:val="0"/>
              <w:keepLines w:val="0"/>
              <w:pageBreakBefore w:val="0"/>
              <w:widowControl w:val="0"/>
              <w:kinsoku/>
              <w:wordWrap w:val="0"/>
              <w:overflowPunct/>
              <w:topLinePunct/>
              <w:autoSpaceDE/>
              <w:autoSpaceDN/>
              <w:bidi w:val="0"/>
              <w:snapToGrid/>
              <w:jc w:val="left"/>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500-1000万元（含1000万元）</w:t>
            </w:r>
          </w:p>
        </w:tc>
        <w:tc>
          <w:tcPr>
            <w:tcW w:w="1611" w:type="dxa"/>
            <w:noWrap w:val="0"/>
            <w:vAlign w:val="center"/>
          </w:tcPr>
          <w:p w14:paraId="7DEBFBA4">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0.70%</w:t>
            </w:r>
          </w:p>
        </w:tc>
        <w:tc>
          <w:tcPr>
            <w:tcW w:w="1506" w:type="dxa"/>
            <w:noWrap w:val="0"/>
            <w:vAlign w:val="center"/>
          </w:tcPr>
          <w:p w14:paraId="563500EF">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0.80%</w:t>
            </w:r>
          </w:p>
        </w:tc>
        <w:tc>
          <w:tcPr>
            <w:tcW w:w="1393" w:type="dxa"/>
            <w:noWrap w:val="0"/>
            <w:vAlign w:val="center"/>
          </w:tcPr>
          <w:p w14:paraId="5E589551">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highlight w:val="none"/>
                <w:lang w:val="en-US" w:eastAsia="zh-CN" w:bidi="ar-SA"/>
              </w:rPr>
            </w:pPr>
            <w:r>
              <w:rPr>
                <w:rFonts w:hint="default" w:ascii="宋体" w:hAnsi="宋体" w:eastAsia="宋体"/>
                <w:b w:val="0"/>
                <w:i w:val="0"/>
                <w:snapToGrid/>
                <w:color w:val="auto"/>
                <w:spacing w:val="0"/>
                <w:sz w:val="24"/>
                <w:szCs w:val="18"/>
                <w:u w:val="none"/>
                <w:lang w:eastAsia="zh-CN"/>
              </w:rPr>
              <w:t>0.70%</w:t>
            </w:r>
          </w:p>
        </w:tc>
      </w:tr>
      <w:tr w14:paraId="1715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3848" w:type="dxa"/>
            <w:noWrap w:val="0"/>
            <w:vAlign w:val="center"/>
          </w:tcPr>
          <w:p w14:paraId="25BC9409">
            <w:pPr>
              <w:keepNext w:val="0"/>
              <w:keepLines w:val="0"/>
              <w:pageBreakBefore w:val="0"/>
              <w:widowControl w:val="0"/>
              <w:kinsoku/>
              <w:wordWrap w:val="0"/>
              <w:overflowPunct/>
              <w:topLinePunct/>
              <w:autoSpaceDE/>
              <w:autoSpaceDN/>
              <w:bidi w:val="0"/>
              <w:snapToGrid/>
              <w:jc w:val="left"/>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1000-5000万元（含5000万元）</w:t>
            </w:r>
          </w:p>
        </w:tc>
        <w:tc>
          <w:tcPr>
            <w:tcW w:w="1611" w:type="dxa"/>
            <w:noWrap w:val="0"/>
            <w:vAlign w:val="center"/>
          </w:tcPr>
          <w:p w14:paraId="29C2C864">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0.40%</w:t>
            </w:r>
          </w:p>
        </w:tc>
        <w:tc>
          <w:tcPr>
            <w:tcW w:w="1506" w:type="dxa"/>
            <w:noWrap w:val="0"/>
            <w:vAlign w:val="center"/>
          </w:tcPr>
          <w:p w14:paraId="34CBF062">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0.50%</w:t>
            </w:r>
          </w:p>
        </w:tc>
        <w:tc>
          <w:tcPr>
            <w:tcW w:w="1393" w:type="dxa"/>
            <w:noWrap w:val="0"/>
            <w:vAlign w:val="center"/>
          </w:tcPr>
          <w:p w14:paraId="17F2A4C2">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sz w:val="24"/>
                <w:szCs w:val="24"/>
                <w:highlight w:val="none"/>
                <w:lang w:val="en-US" w:eastAsia="zh-CN"/>
              </w:rPr>
            </w:pPr>
            <w:r>
              <w:rPr>
                <w:rFonts w:hint="default" w:ascii="宋体" w:hAnsi="宋体" w:eastAsia="宋体"/>
                <w:b w:val="0"/>
                <w:i w:val="0"/>
                <w:snapToGrid/>
                <w:color w:val="auto"/>
                <w:spacing w:val="0"/>
                <w:sz w:val="24"/>
                <w:szCs w:val="18"/>
                <w:u w:val="none"/>
                <w:lang w:eastAsia="zh-CN"/>
              </w:rPr>
              <w:t>0.40%</w:t>
            </w:r>
          </w:p>
        </w:tc>
      </w:tr>
      <w:tr w14:paraId="479C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848" w:type="dxa"/>
            <w:noWrap w:val="0"/>
            <w:vAlign w:val="center"/>
          </w:tcPr>
          <w:p w14:paraId="76D0DB76">
            <w:pPr>
              <w:keepNext w:val="0"/>
              <w:keepLines w:val="0"/>
              <w:pageBreakBefore w:val="0"/>
              <w:widowControl w:val="0"/>
              <w:kinsoku/>
              <w:wordWrap w:val="0"/>
              <w:overflowPunct/>
              <w:topLinePunct/>
              <w:autoSpaceDE/>
              <w:autoSpaceDN/>
              <w:bidi w:val="0"/>
              <w:snapToGrid/>
              <w:jc w:val="left"/>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5000万元--1亿元（含1亿元）</w:t>
            </w:r>
          </w:p>
        </w:tc>
        <w:tc>
          <w:tcPr>
            <w:tcW w:w="1611" w:type="dxa"/>
            <w:noWrap w:val="0"/>
            <w:vAlign w:val="center"/>
          </w:tcPr>
          <w:p w14:paraId="58421DEB">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0.25%</w:t>
            </w:r>
          </w:p>
        </w:tc>
        <w:tc>
          <w:tcPr>
            <w:tcW w:w="1506" w:type="dxa"/>
            <w:noWrap w:val="0"/>
            <w:vAlign w:val="center"/>
          </w:tcPr>
          <w:p w14:paraId="26EBF072">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0.30%</w:t>
            </w:r>
          </w:p>
        </w:tc>
        <w:tc>
          <w:tcPr>
            <w:tcW w:w="1393" w:type="dxa"/>
            <w:noWrap w:val="0"/>
            <w:vAlign w:val="center"/>
          </w:tcPr>
          <w:p w14:paraId="36B2722F">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sz w:val="24"/>
                <w:szCs w:val="24"/>
                <w:highlight w:val="none"/>
                <w:lang w:val="en-US" w:eastAsia="zh-CN"/>
              </w:rPr>
            </w:pPr>
            <w:r>
              <w:rPr>
                <w:rFonts w:hint="default" w:ascii="宋体" w:hAnsi="宋体" w:eastAsia="宋体"/>
                <w:b w:val="0"/>
                <w:i w:val="0"/>
                <w:snapToGrid/>
                <w:color w:val="auto"/>
                <w:spacing w:val="0"/>
                <w:sz w:val="24"/>
                <w:szCs w:val="18"/>
                <w:u w:val="none"/>
                <w:lang w:eastAsia="zh-CN"/>
              </w:rPr>
              <w:t>0.25%</w:t>
            </w:r>
          </w:p>
        </w:tc>
      </w:tr>
      <w:tr w14:paraId="22A1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848" w:type="dxa"/>
            <w:noWrap w:val="0"/>
            <w:vAlign w:val="center"/>
          </w:tcPr>
          <w:p w14:paraId="0A52AF1B">
            <w:pPr>
              <w:keepNext w:val="0"/>
              <w:keepLines w:val="0"/>
              <w:pageBreakBefore w:val="0"/>
              <w:widowControl w:val="0"/>
              <w:kinsoku/>
              <w:wordWrap w:val="0"/>
              <w:overflowPunct/>
              <w:topLinePunct/>
              <w:autoSpaceDE/>
              <w:autoSpaceDN/>
              <w:bidi w:val="0"/>
              <w:snapToGrid/>
              <w:jc w:val="left"/>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1亿--5亿元（含5亿元）</w:t>
            </w:r>
          </w:p>
        </w:tc>
        <w:tc>
          <w:tcPr>
            <w:tcW w:w="1611" w:type="dxa"/>
            <w:noWrap w:val="0"/>
            <w:vAlign w:val="center"/>
          </w:tcPr>
          <w:p w14:paraId="2857B52F">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0.10%</w:t>
            </w:r>
          </w:p>
        </w:tc>
        <w:tc>
          <w:tcPr>
            <w:tcW w:w="1506" w:type="dxa"/>
            <w:noWrap w:val="0"/>
            <w:vAlign w:val="center"/>
          </w:tcPr>
          <w:p w14:paraId="0FA79101">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0.10%</w:t>
            </w:r>
          </w:p>
        </w:tc>
        <w:tc>
          <w:tcPr>
            <w:tcW w:w="1393" w:type="dxa"/>
            <w:noWrap w:val="0"/>
            <w:vAlign w:val="center"/>
          </w:tcPr>
          <w:p w14:paraId="1F5733B1">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sz w:val="24"/>
                <w:szCs w:val="24"/>
                <w:highlight w:val="none"/>
                <w:lang w:val="en-US" w:eastAsia="zh-CN"/>
              </w:rPr>
            </w:pPr>
            <w:r>
              <w:rPr>
                <w:rFonts w:hint="default" w:ascii="宋体" w:hAnsi="宋体" w:eastAsia="宋体"/>
                <w:b w:val="0"/>
                <w:i w:val="0"/>
                <w:snapToGrid/>
                <w:color w:val="auto"/>
                <w:spacing w:val="0"/>
                <w:sz w:val="24"/>
                <w:szCs w:val="18"/>
                <w:u w:val="none"/>
                <w:lang w:eastAsia="zh-CN"/>
              </w:rPr>
              <w:t>0.10%</w:t>
            </w:r>
          </w:p>
        </w:tc>
      </w:tr>
      <w:tr w14:paraId="4904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848" w:type="dxa"/>
            <w:noWrap w:val="0"/>
            <w:vAlign w:val="center"/>
          </w:tcPr>
          <w:p w14:paraId="15578D04">
            <w:pPr>
              <w:keepNext w:val="0"/>
              <w:keepLines w:val="0"/>
              <w:pageBreakBefore w:val="0"/>
              <w:widowControl w:val="0"/>
              <w:kinsoku/>
              <w:wordWrap w:val="0"/>
              <w:overflowPunct/>
              <w:topLinePunct/>
              <w:autoSpaceDE/>
              <w:autoSpaceDN/>
              <w:bidi w:val="0"/>
              <w:snapToGrid/>
              <w:jc w:val="left"/>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5亿--10亿元（含10亿元）</w:t>
            </w:r>
          </w:p>
        </w:tc>
        <w:tc>
          <w:tcPr>
            <w:tcW w:w="1611" w:type="dxa"/>
            <w:noWrap w:val="0"/>
            <w:vAlign w:val="center"/>
          </w:tcPr>
          <w:p w14:paraId="0D441A6A">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0.045%</w:t>
            </w:r>
          </w:p>
        </w:tc>
        <w:tc>
          <w:tcPr>
            <w:tcW w:w="1506" w:type="dxa"/>
            <w:noWrap w:val="0"/>
            <w:vAlign w:val="center"/>
          </w:tcPr>
          <w:p w14:paraId="4C823C4F">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0.045%</w:t>
            </w:r>
          </w:p>
        </w:tc>
        <w:tc>
          <w:tcPr>
            <w:tcW w:w="1393" w:type="dxa"/>
            <w:noWrap w:val="0"/>
            <w:vAlign w:val="center"/>
          </w:tcPr>
          <w:p w14:paraId="61934651">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sz w:val="24"/>
                <w:szCs w:val="24"/>
                <w:highlight w:val="none"/>
                <w:lang w:val="en-US" w:eastAsia="zh-CN"/>
              </w:rPr>
            </w:pPr>
            <w:r>
              <w:rPr>
                <w:rFonts w:hint="default" w:ascii="宋体" w:hAnsi="宋体" w:eastAsia="宋体"/>
                <w:b w:val="0"/>
                <w:i w:val="0"/>
                <w:snapToGrid/>
                <w:color w:val="auto"/>
                <w:spacing w:val="0"/>
                <w:sz w:val="24"/>
                <w:szCs w:val="18"/>
                <w:u w:val="none"/>
                <w:lang w:eastAsia="zh-CN"/>
              </w:rPr>
              <w:t>0.045%</w:t>
            </w:r>
          </w:p>
        </w:tc>
      </w:tr>
      <w:tr w14:paraId="202EA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3848" w:type="dxa"/>
            <w:noWrap w:val="0"/>
            <w:vAlign w:val="center"/>
          </w:tcPr>
          <w:p w14:paraId="28907DD6">
            <w:pPr>
              <w:keepNext w:val="0"/>
              <w:keepLines w:val="0"/>
              <w:pageBreakBefore w:val="0"/>
              <w:widowControl w:val="0"/>
              <w:kinsoku/>
              <w:wordWrap w:val="0"/>
              <w:overflowPunct/>
              <w:topLinePunct/>
              <w:autoSpaceDE/>
              <w:autoSpaceDN/>
              <w:bidi w:val="0"/>
              <w:snapToGrid/>
              <w:jc w:val="left"/>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10亿--50亿元（含50亿元）</w:t>
            </w:r>
          </w:p>
        </w:tc>
        <w:tc>
          <w:tcPr>
            <w:tcW w:w="1611" w:type="dxa"/>
            <w:noWrap w:val="0"/>
            <w:vAlign w:val="center"/>
          </w:tcPr>
          <w:p w14:paraId="1187EF9B">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0.010%</w:t>
            </w:r>
          </w:p>
        </w:tc>
        <w:tc>
          <w:tcPr>
            <w:tcW w:w="1506" w:type="dxa"/>
            <w:noWrap w:val="0"/>
            <w:vAlign w:val="center"/>
          </w:tcPr>
          <w:p w14:paraId="691136BD">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0.010%</w:t>
            </w:r>
          </w:p>
        </w:tc>
        <w:tc>
          <w:tcPr>
            <w:tcW w:w="1393" w:type="dxa"/>
            <w:noWrap w:val="0"/>
            <w:vAlign w:val="center"/>
          </w:tcPr>
          <w:p w14:paraId="266B0E52">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sz w:val="24"/>
                <w:szCs w:val="24"/>
                <w:highlight w:val="none"/>
                <w:lang w:val="en-US" w:eastAsia="zh-CN"/>
              </w:rPr>
            </w:pPr>
            <w:r>
              <w:rPr>
                <w:rFonts w:hint="default" w:ascii="宋体" w:hAnsi="宋体" w:eastAsia="宋体"/>
                <w:b w:val="0"/>
                <w:i w:val="0"/>
                <w:snapToGrid/>
                <w:color w:val="auto"/>
                <w:spacing w:val="0"/>
                <w:sz w:val="24"/>
                <w:szCs w:val="18"/>
                <w:u w:val="none"/>
                <w:lang w:eastAsia="zh-CN"/>
              </w:rPr>
              <w:t>0.010%</w:t>
            </w:r>
          </w:p>
        </w:tc>
      </w:tr>
      <w:tr w14:paraId="4F94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3848" w:type="dxa"/>
            <w:tcBorders>
              <w:bottom w:val="single" w:color="000000" w:sz="4" w:space="0"/>
            </w:tcBorders>
            <w:noWrap w:val="0"/>
            <w:vAlign w:val="center"/>
          </w:tcPr>
          <w:p w14:paraId="542F5976">
            <w:pPr>
              <w:keepNext w:val="0"/>
              <w:keepLines w:val="0"/>
              <w:pageBreakBefore w:val="0"/>
              <w:widowControl w:val="0"/>
              <w:kinsoku/>
              <w:wordWrap w:val="0"/>
              <w:overflowPunct/>
              <w:topLinePunct/>
              <w:autoSpaceDE/>
              <w:autoSpaceDN/>
              <w:bidi w:val="0"/>
              <w:snapToGrid/>
              <w:jc w:val="left"/>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50亿--100亿元（含</w:t>
            </w:r>
            <w:r>
              <w:rPr>
                <w:rFonts w:hint="eastAsia" w:ascii="宋体" w:hAnsi="宋体"/>
                <w:b w:val="0"/>
                <w:i w:val="0"/>
                <w:snapToGrid/>
                <w:color w:val="auto"/>
                <w:spacing w:val="0"/>
                <w:sz w:val="24"/>
                <w:szCs w:val="18"/>
                <w:u w:val="none"/>
                <w:lang w:val="en-US" w:eastAsia="zh-CN"/>
              </w:rPr>
              <w:t>100</w:t>
            </w:r>
            <w:r>
              <w:rPr>
                <w:rFonts w:hint="default" w:ascii="宋体" w:hAnsi="宋体" w:eastAsia="宋体"/>
                <w:b w:val="0"/>
                <w:i w:val="0"/>
                <w:snapToGrid/>
                <w:color w:val="auto"/>
                <w:spacing w:val="0"/>
                <w:sz w:val="24"/>
                <w:szCs w:val="18"/>
                <w:u w:val="none"/>
                <w:lang w:eastAsia="zh-CN"/>
              </w:rPr>
              <w:t>亿元）</w:t>
            </w:r>
          </w:p>
        </w:tc>
        <w:tc>
          <w:tcPr>
            <w:tcW w:w="1611" w:type="dxa"/>
            <w:tcBorders>
              <w:bottom w:val="single" w:color="000000" w:sz="4" w:space="0"/>
            </w:tcBorders>
            <w:noWrap w:val="0"/>
            <w:vAlign w:val="center"/>
          </w:tcPr>
          <w:p w14:paraId="2F6F5313">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0.008%</w:t>
            </w:r>
          </w:p>
        </w:tc>
        <w:tc>
          <w:tcPr>
            <w:tcW w:w="1506" w:type="dxa"/>
            <w:tcBorders>
              <w:bottom w:val="single" w:color="000000" w:sz="4" w:space="0"/>
            </w:tcBorders>
            <w:noWrap w:val="0"/>
            <w:vAlign w:val="center"/>
          </w:tcPr>
          <w:p w14:paraId="58367AF3">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eastAsia="宋体" w:cs="Times New Roman"/>
                <w:spacing w:val="0"/>
                <w:kern w:val="2"/>
                <w:sz w:val="24"/>
                <w:szCs w:val="24"/>
                <w:lang w:val="en-US" w:eastAsia="zh-CN" w:bidi="ar-SA"/>
              </w:rPr>
            </w:pPr>
            <w:r>
              <w:rPr>
                <w:rFonts w:hint="default" w:ascii="宋体" w:hAnsi="宋体" w:eastAsia="宋体"/>
                <w:b w:val="0"/>
                <w:i w:val="0"/>
                <w:snapToGrid/>
                <w:color w:val="auto"/>
                <w:spacing w:val="0"/>
                <w:sz w:val="24"/>
                <w:szCs w:val="18"/>
                <w:u w:val="none"/>
                <w:lang w:eastAsia="zh-CN"/>
              </w:rPr>
              <w:t>0.008%</w:t>
            </w:r>
          </w:p>
        </w:tc>
        <w:tc>
          <w:tcPr>
            <w:tcW w:w="1393" w:type="dxa"/>
            <w:tcBorders>
              <w:bottom w:val="single" w:color="000000" w:sz="4" w:space="0"/>
            </w:tcBorders>
            <w:noWrap w:val="0"/>
            <w:vAlign w:val="center"/>
          </w:tcPr>
          <w:p w14:paraId="7C9A9A8D">
            <w:pPr>
              <w:keepNext w:val="0"/>
              <w:keepLines w:val="0"/>
              <w:pageBreakBefore w:val="0"/>
              <w:widowControl w:val="0"/>
              <w:kinsoku/>
              <w:wordWrap w:val="0"/>
              <w:overflowPunct/>
              <w:topLinePunct/>
              <w:autoSpaceDE/>
              <w:autoSpaceDN/>
              <w:bidi w:val="0"/>
              <w:snapToGrid/>
              <w:jc w:val="center"/>
              <w:textAlignment w:val="center"/>
              <w:rPr>
                <w:rFonts w:hint="eastAsia" w:ascii="宋体" w:hAnsi="宋体" w:cs="Times New Roman"/>
                <w:spacing w:val="0"/>
                <w:sz w:val="24"/>
                <w:szCs w:val="24"/>
                <w:highlight w:val="none"/>
                <w:lang w:val="en-US" w:eastAsia="zh-CN"/>
              </w:rPr>
            </w:pPr>
            <w:r>
              <w:rPr>
                <w:rFonts w:hint="default" w:ascii="宋体" w:hAnsi="宋体" w:eastAsia="宋体"/>
                <w:b w:val="0"/>
                <w:i w:val="0"/>
                <w:snapToGrid/>
                <w:color w:val="auto"/>
                <w:spacing w:val="0"/>
                <w:sz w:val="24"/>
                <w:szCs w:val="18"/>
                <w:u w:val="none"/>
                <w:lang w:eastAsia="zh-CN"/>
              </w:rPr>
              <w:t>0.008%</w:t>
            </w:r>
          </w:p>
        </w:tc>
      </w:tr>
      <w:tr w14:paraId="7DED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848" w:type="dxa"/>
            <w:tcBorders>
              <w:top w:val="single" w:color="000000" w:sz="4" w:space="0"/>
              <w:left w:val="single" w:color="000000" w:sz="4" w:space="0"/>
              <w:bottom w:val="single" w:color="000000" w:sz="4" w:space="0"/>
              <w:right w:val="single" w:color="000000" w:sz="4" w:space="0"/>
            </w:tcBorders>
            <w:noWrap w:val="0"/>
            <w:vAlign w:val="center"/>
          </w:tcPr>
          <w:p w14:paraId="0196AF00">
            <w:pPr>
              <w:keepNext w:val="0"/>
              <w:keepLines w:val="0"/>
              <w:pageBreakBefore w:val="0"/>
              <w:widowControl w:val="0"/>
              <w:kinsoku/>
              <w:wordWrap w:val="0"/>
              <w:overflowPunct/>
              <w:topLinePunct/>
              <w:autoSpaceDE/>
              <w:autoSpaceDN/>
              <w:bidi w:val="0"/>
              <w:snapToGrid/>
              <w:jc w:val="left"/>
              <w:textAlignment w:val="center"/>
              <w:rPr>
                <w:rFonts w:hint="default" w:ascii="宋体" w:hAnsi="宋体" w:eastAsia="宋体" w:cs="Times New Roman"/>
                <w:b w:val="0"/>
                <w:i w:val="0"/>
                <w:snapToGrid/>
                <w:color w:val="auto"/>
                <w:spacing w:val="0"/>
                <w:sz w:val="24"/>
                <w:szCs w:val="18"/>
                <w:u w:val="none"/>
                <w:lang w:val="en-US" w:eastAsia="zh-CN" w:bidi="ar-SA"/>
              </w:rPr>
            </w:pPr>
            <w:r>
              <w:rPr>
                <w:rFonts w:hint="default" w:ascii="宋体" w:hAnsi="宋体" w:eastAsia="宋体"/>
                <w:b w:val="0"/>
                <w:i w:val="0"/>
                <w:snapToGrid/>
                <w:color w:val="auto"/>
                <w:spacing w:val="0"/>
                <w:sz w:val="24"/>
                <w:szCs w:val="18"/>
                <w:u w:val="none"/>
                <w:lang w:eastAsia="zh-CN"/>
              </w:rPr>
              <w:t>100亿元以上</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5114B40D">
            <w:pPr>
              <w:keepNext w:val="0"/>
              <w:keepLines w:val="0"/>
              <w:pageBreakBefore w:val="0"/>
              <w:widowControl w:val="0"/>
              <w:kinsoku/>
              <w:wordWrap w:val="0"/>
              <w:overflowPunct/>
              <w:topLinePunct/>
              <w:autoSpaceDE/>
              <w:autoSpaceDN/>
              <w:bidi w:val="0"/>
              <w:snapToGrid/>
              <w:jc w:val="center"/>
              <w:textAlignment w:val="center"/>
              <w:rPr>
                <w:rFonts w:hint="default" w:ascii="宋体" w:hAnsi="宋体" w:eastAsia="宋体" w:cs="Times New Roman"/>
                <w:b w:val="0"/>
                <w:i w:val="0"/>
                <w:snapToGrid/>
                <w:color w:val="auto"/>
                <w:spacing w:val="0"/>
                <w:sz w:val="24"/>
                <w:szCs w:val="18"/>
                <w:u w:val="none"/>
                <w:lang w:val="en-US" w:eastAsia="zh-CN" w:bidi="ar-SA"/>
              </w:rPr>
            </w:pPr>
            <w:r>
              <w:rPr>
                <w:rFonts w:hint="default" w:ascii="宋体" w:hAnsi="宋体" w:eastAsia="宋体"/>
                <w:b w:val="0"/>
                <w:i w:val="0"/>
                <w:snapToGrid/>
                <w:color w:val="auto"/>
                <w:spacing w:val="0"/>
                <w:sz w:val="24"/>
                <w:szCs w:val="18"/>
                <w:u w:val="none"/>
                <w:lang w:eastAsia="zh-CN"/>
              </w:rPr>
              <w:t>0.004%</w:t>
            </w:r>
          </w:p>
        </w:tc>
        <w:tc>
          <w:tcPr>
            <w:tcW w:w="1506" w:type="dxa"/>
            <w:tcBorders>
              <w:top w:val="single" w:color="000000" w:sz="4" w:space="0"/>
              <w:left w:val="single" w:color="000000" w:sz="4" w:space="0"/>
              <w:bottom w:val="single" w:color="000000" w:sz="4" w:space="0"/>
              <w:right w:val="single" w:color="000000" w:sz="4" w:space="0"/>
            </w:tcBorders>
            <w:noWrap w:val="0"/>
            <w:vAlign w:val="center"/>
          </w:tcPr>
          <w:p w14:paraId="7EEEC7C2">
            <w:pPr>
              <w:keepNext w:val="0"/>
              <w:keepLines w:val="0"/>
              <w:pageBreakBefore w:val="0"/>
              <w:widowControl w:val="0"/>
              <w:kinsoku/>
              <w:wordWrap w:val="0"/>
              <w:overflowPunct/>
              <w:topLinePunct/>
              <w:autoSpaceDE/>
              <w:autoSpaceDN/>
              <w:bidi w:val="0"/>
              <w:snapToGrid/>
              <w:jc w:val="center"/>
              <w:textAlignment w:val="center"/>
              <w:rPr>
                <w:rFonts w:hint="default" w:ascii="宋体" w:hAnsi="宋体" w:eastAsia="宋体" w:cs="Times New Roman"/>
                <w:b w:val="0"/>
                <w:i w:val="0"/>
                <w:snapToGrid/>
                <w:color w:val="auto"/>
                <w:spacing w:val="0"/>
                <w:sz w:val="24"/>
                <w:szCs w:val="18"/>
                <w:u w:val="none"/>
                <w:lang w:val="en-US" w:eastAsia="zh-CN" w:bidi="ar-SA"/>
              </w:rPr>
            </w:pPr>
            <w:r>
              <w:rPr>
                <w:rFonts w:hint="default" w:ascii="宋体" w:hAnsi="宋体" w:eastAsia="宋体"/>
                <w:b w:val="0"/>
                <w:i w:val="0"/>
                <w:snapToGrid/>
                <w:color w:val="auto"/>
                <w:spacing w:val="0"/>
                <w:sz w:val="24"/>
                <w:szCs w:val="18"/>
                <w:u w:val="none"/>
                <w:lang w:eastAsia="zh-CN"/>
              </w:rPr>
              <w:t>0.004%</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29B4DD40">
            <w:pPr>
              <w:keepNext w:val="0"/>
              <w:keepLines w:val="0"/>
              <w:pageBreakBefore w:val="0"/>
              <w:widowControl w:val="0"/>
              <w:kinsoku/>
              <w:wordWrap w:val="0"/>
              <w:overflowPunct/>
              <w:topLinePunct/>
              <w:autoSpaceDE/>
              <w:autoSpaceDN/>
              <w:bidi w:val="0"/>
              <w:snapToGrid/>
              <w:jc w:val="center"/>
              <w:textAlignment w:val="center"/>
              <w:rPr>
                <w:rFonts w:hint="default" w:ascii="宋体" w:hAnsi="宋体" w:eastAsia="宋体" w:cs="Times New Roman"/>
                <w:b w:val="0"/>
                <w:i w:val="0"/>
                <w:snapToGrid/>
                <w:color w:val="auto"/>
                <w:spacing w:val="0"/>
                <w:sz w:val="24"/>
                <w:szCs w:val="18"/>
                <w:u w:val="none"/>
                <w:lang w:val="en-US" w:eastAsia="zh-CN" w:bidi="ar-SA"/>
              </w:rPr>
            </w:pPr>
            <w:r>
              <w:rPr>
                <w:rFonts w:hint="default" w:ascii="宋体" w:hAnsi="宋体" w:eastAsia="宋体"/>
                <w:b w:val="0"/>
                <w:i w:val="0"/>
                <w:snapToGrid/>
                <w:color w:val="auto"/>
                <w:spacing w:val="0"/>
                <w:sz w:val="24"/>
                <w:szCs w:val="18"/>
                <w:u w:val="none"/>
                <w:lang w:eastAsia="zh-CN"/>
              </w:rPr>
              <w:t>0.004%</w:t>
            </w:r>
          </w:p>
        </w:tc>
      </w:tr>
      <w:tr w14:paraId="2A6F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4" w:hRule="atLeast"/>
          <w:jc w:val="center"/>
        </w:trPr>
        <w:tc>
          <w:tcPr>
            <w:tcW w:w="8358" w:type="dxa"/>
            <w:gridSpan w:val="4"/>
            <w:tcBorders>
              <w:top w:val="single" w:color="000000" w:sz="4" w:space="0"/>
              <w:left w:val="nil"/>
              <w:bottom w:val="nil"/>
              <w:right w:val="nil"/>
            </w:tcBorders>
            <w:noWrap w:val="0"/>
            <w:vAlign w:val="center"/>
          </w:tcPr>
          <w:p w14:paraId="51D9FF33">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b w:val="0"/>
                <w:i w:val="0"/>
                <w:snapToGrid/>
                <w:color w:val="auto"/>
                <w:spacing w:val="0"/>
                <w:sz w:val="24"/>
                <w:szCs w:val="24"/>
                <w:u w:val="none"/>
                <w:lang w:eastAsia="zh-CN"/>
              </w:rPr>
            </w:pPr>
            <w:r>
              <w:rPr>
                <w:rFonts w:hint="default" w:ascii="宋体" w:hAnsi="宋体" w:eastAsia="宋体"/>
                <w:b w:val="0"/>
                <w:i w:val="0"/>
                <w:snapToGrid/>
                <w:color w:val="auto"/>
                <w:spacing w:val="0"/>
                <w:sz w:val="24"/>
                <w:szCs w:val="24"/>
                <w:u w:val="none"/>
                <w:lang w:eastAsia="zh-CN"/>
              </w:rPr>
              <w:t>注：1.按本表费率计算的收费金额为招标代理服务费的基准价格，不含工程量清单、最高投标限价（招标控制价）或标底的编制费用。</w:t>
            </w:r>
          </w:p>
          <w:p w14:paraId="3B1716D2">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b w:val="0"/>
                <w:i w:val="0"/>
                <w:snapToGrid/>
                <w:color w:val="auto"/>
                <w:spacing w:val="0"/>
                <w:sz w:val="24"/>
                <w:szCs w:val="24"/>
                <w:u w:val="none"/>
                <w:lang w:val="en-US" w:eastAsia="zh-CN"/>
              </w:rPr>
            </w:pPr>
            <w:r>
              <w:rPr>
                <w:rFonts w:hint="eastAsia" w:ascii="宋体" w:hAnsi="宋体" w:eastAsia="宋体"/>
                <w:b w:val="0"/>
                <w:i w:val="0"/>
                <w:snapToGrid/>
                <w:color w:val="auto"/>
                <w:spacing w:val="0"/>
                <w:sz w:val="24"/>
                <w:szCs w:val="24"/>
                <w:u w:val="none"/>
                <w:lang w:val="en-US" w:eastAsia="zh-CN"/>
              </w:rPr>
              <w:t>2.招标代理服务收费按差额定率累进法计算。</w:t>
            </w:r>
          </w:p>
          <w:p w14:paraId="7B52CA7B">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b w:val="0"/>
                <w:i w:val="0"/>
                <w:snapToGrid/>
                <w:color w:val="auto"/>
                <w:spacing w:val="0"/>
                <w:sz w:val="24"/>
                <w:szCs w:val="24"/>
                <w:u w:val="none"/>
                <w:lang w:eastAsia="zh-CN"/>
              </w:rPr>
            </w:pPr>
            <w:r>
              <w:rPr>
                <w:rFonts w:hint="default" w:ascii="宋体" w:hAnsi="宋体" w:eastAsia="宋体"/>
                <w:b w:val="0"/>
                <w:i w:val="0"/>
                <w:snapToGrid/>
                <w:color w:val="auto"/>
                <w:spacing w:val="0"/>
                <w:sz w:val="24"/>
                <w:szCs w:val="24"/>
                <w:u w:val="none"/>
                <w:lang w:eastAsia="zh-CN"/>
              </w:rPr>
              <w:t>例如: 某工程招标代理业务，项目预算金额（招标控制价）为10000万元，招标代理服务收费计算如下:</w:t>
            </w:r>
          </w:p>
          <w:p w14:paraId="43A4F0EA">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cs="Times New Roman"/>
                <w:b w:val="0"/>
                <w:i w:val="0"/>
                <w:snapToGrid/>
                <w:color w:val="auto"/>
                <w:spacing w:val="0"/>
                <w:sz w:val="24"/>
                <w:szCs w:val="24"/>
                <w:u w:val="none"/>
                <w:lang w:eastAsia="zh-CN"/>
              </w:rPr>
            </w:pPr>
            <w:r>
              <w:rPr>
                <w:rFonts w:hint="eastAsia" w:ascii="宋体" w:hAnsi="宋体"/>
                <w:b w:val="0"/>
                <w:i w:val="0"/>
                <w:snapToGrid/>
                <w:color w:val="auto"/>
                <w:spacing w:val="0"/>
                <w:sz w:val="24"/>
                <w:szCs w:val="24"/>
                <w:u w:val="none"/>
                <w:lang w:val="en-US" w:eastAsia="zh-CN"/>
              </w:rPr>
              <w:t xml:space="preserve"> </w:t>
            </w:r>
            <w:r>
              <w:rPr>
                <w:rFonts w:hint="default" w:ascii="宋体" w:hAnsi="宋体" w:eastAsia="宋体" w:cs="Times New Roman"/>
                <w:b w:val="0"/>
                <w:i w:val="0"/>
                <w:snapToGrid/>
                <w:color w:val="auto"/>
                <w:spacing w:val="0"/>
                <w:sz w:val="24"/>
                <w:szCs w:val="24"/>
                <w:u w:val="none"/>
                <w:lang w:eastAsia="zh-CN"/>
              </w:rPr>
              <w:t>100万元×1.2%=1.2万元</w:t>
            </w:r>
          </w:p>
          <w:p w14:paraId="5AC45228">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cs="Times New Roman"/>
                <w:b w:val="0"/>
                <w:i w:val="0"/>
                <w:snapToGrid/>
                <w:color w:val="auto"/>
                <w:spacing w:val="0"/>
                <w:sz w:val="24"/>
                <w:szCs w:val="24"/>
                <w:u w:val="none"/>
                <w:lang w:eastAsia="zh-CN"/>
              </w:rPr>
            </w:pPr>
            <w:r>
              <w:rPr>
                <w:rFonts w:hint="default" w:ascii="宋体" w:hAnsi="宋体" w:eastAsia="宋体" w:cs="Times New Roman"/>
                <w:b w:val="0"/>
                <w:i w:val="0"/>
                <w:snapToGrid/>
                <w:color w:val="auto"/>
                <w:spacing w:val="0"/>
                <w:sz w:val="24"/>
                <w:szCs w:val="24"/>
                <w:u w:val="none"/>
                <w:lang w:eastAsia="zh-CN"/>
              </w:rPr>
              <w:t>（500-100）万元×1.0%=4万元</w:t>
            </w:r>
          </w:p>
          <w:p w14:paraId="60AB7305">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cs="Times New Roman"/>
                <w:b w:val="0"/>
                <w:i w:val="0"/>
                <w:snapToGrid/>
                <w:color w:val="auto"/>
                <w:spacing w:val="0"/>
                <w:sz w:val="24"/>
                <w:szCs w:val="24"/>
                <w:u w:val="none"/>
                <w:lang w:eastAsia="zh-CN"/>
              </w:rPr>
            </w:pPr>
            <w:r>
              <w:rPr>
                <w:rFonts w:hint="default" w:ascii="宋体" w:hAnsi="宋体" w:eastAsia="宋体" w:cs="Times New Roman"/>
                <w:b w:val="0"/>
                <w:i w:val="0"/>
                <w:snapToGrid/>
                <w:color w:val="auto"/>
                <w:spacing w:val="0"/>
                <w:sz w:val="24"/>
                <w:szCs w:val="24"/>
                <w:u w:val="none"/>
                <w:lang w:eastAsia="zh-CN"/>
              </w:rPr>
              <w:t>（1000-500）×0.7%=3.5万元</w:t>
            </w:r>
          </w:p>
          <w:p w14:paraId="05A9F238">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cs="Times New Roman"/>
                <w:b w:val="0"/>
                <w:i w:val="0"/>
                <w:snapToGrid/>
                <w:color w:val="auto"/>
                <w:spacing w:val="0"/>
                <w:sz w:val="24"/>
                <w:szCs w:val="24"/>
                <w:u w:val="none"/>
                <w:lang w:eastAsia="zh-CN"/>
              </w:rPr>
            </w:pPr>
            <w:r>
              <w:rPr>
                <w:rFonts w:hint="default" w:ascii="宋体" w:hAnsi="宋体" w:eastAsia="宋体" w:cs="Times New Roman"/>
                <w:b w:val="0"/>
                <w:i w:val="0"/>
                <w:snapToGrid/>
                <w:color w:val="auto"/>
                <w:spacing w:val="0"/>
                <w:sz w:val="24"/>
                <w:szCs w:val="24"/>
                <w:u w:val="none"/>
                <w:lang w:eastAsia="zh-CN"/>
              </w:rPr>
              <w:t>（5000-1000）×0.4%=16万元</w:t>
            </w:r>
          </w:p>
          <w:p w14:paraId="34BCBB35">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cs="Times New Roman"/>
                <w:b w:val="0"/>
                <w:i w:val="0"/>
                <w:snapToGrid/>
                <w:color w:val="auto"/>
                <w:spacing w:val="0"/>
                <w:sz w:val="24"/>
                <w:szCs w:val="24"/>
                <w:u w:val="none"/>
                <w:lang w:eastAsia="zh-CN"/>
              </w:rPr>
            </w:pPr>
            <w:r>
              <w:rPr>
                <w:rFonts w:hint="default" w:ascii="宋体" w:hAnsi="宋体" w:eastAsia="宋体" w:cs="Times New Roman"/>
                <w:b w:val="0"/>
                <w:i w:val="0"/>
                <w:snapToGrid/>
                <w:color w:val="auto"/>
                <w:spacing w:val="0"/>
                <w:sz w:val="24"/>
                <w:szCs w:val="24"/>
                <w:u w:val="none"/>
                <w:lang w:eastAsia="zh-CN"/>
              </w:rPr>
              <w:t>（10000-5000）×0.25%=12.5万元</w:t>
            </w:r>
          </w:p>
          <w:p w14:paraId="3E3CFF0C">
            <w:pPr>
              <w:keepNext w:val="0"/>
              <w:keepLines w:val="0"/>
              <w:pageBreakBefore w:val="0"/>
              <w:widowControl w:val="0"/>
              <w:kinsoku/>
              <w:wordWrap w:val="0"/>
              <w:overflowPunct/>
              <w:topLinePunct/>
              <w:autoSpaceDE/>
              <w:autoSpaceDN/>
              <w:bidi w:val="0"/>
              <w:adjustRightInd/>
              <w:snapToGrid/>
              <w:spacing w:line="400" w:lineRule="exact"/>
              <w:jc w:val="left"/>
              <w:textAlignment w:val="center"/>
              <w:rPr>
                <w:rFonts w:hint="default" w:ascii="宋体" w:hAnsi="宋体" w:eastAsia="宋体"/>
                <w:b w:val="0"/>
                <w:i w:val="0"/>
                <w:snapToGrid/>
                <w:color w:val="auto"/>
                <w:spacing w:val="0"/>
                <w:sz w:val="24"/>
                <w:szCs w:val="18"/>
                <w:u w:val="none"/>
                <w:lang w:eastAsia="zh-CN"/>
              </w:rPr>
            </w:pPr>
            <w:r>
              <w:rPr>
                <w:rFonts w:hint="default" w:ascii="宋体" w:hAnsi="宋体" w:eastAsia="宋体" w:cs="Times New Roman"/>
                <w:b w:val="0"/>
                <w:i w:val="0"/>
                <w:snapToGrid/>
                <w:color w:val="auto"/>
                <w:spacing w:val="0"/>
                <w:sz w:val="24"/>
                <w:szCs w:val="24"/>
                <w:u w:val="none"/>
                <w:lang w:eastAsia="zh-CN"/>
              </w:rPr>
              <w:t>合计收费=1.2+4+3.5+16+12.5=37.2万元</w:t>
            </w:r>
          </w:p>
        </w:tc>
      </w:tr>
    </w:tbl>
    <w:p w14:paraId="7E895273">
      <w:pPr>
        <w:keepNext w:val="0"/>
        <w:keepLines w:val="0"/>
        <w:pageBreakBefore w:val="0"/>
        <w:widowControl w:val="0"/>
        <w:kinsoku/>
        <w:overflowPunct/>
        <w:topLinePunct w:val="0"/>
        <w:bidi w:val="0"/>
        <w:snapToGrid/>
        <w:spacing w:before="20" w:after="20" w:line="360" w:lineRule="auto"/>
        <w:jc w:val="center"/>
        <w:outlineLvl w:val="1"/>
        <w:rPr>
          <w:rFonts w:hint="eastAsia" w:ascii="宋体" w:hAnsi="宋体" w:cs="宋体"/>
          <w:b/>
          <w:bCs w:val="0"/>
          <w:spacing w:val="0"/>
          <w:sz w:val="24"/>
          <w:szCs w:val="24"/>
        </w:rPr>
      </w:pPr>
      <w:r>
        <w:rPr>
          <w:rFonts w:hint="eastAsia" w:ascii="宋体" w:hAnsi="宋体" w:cs="宋体"/>
          <w:b/>
          <w:bCs w:val="0"/>
          <w:spacing w:val="0"/>
          <w:sz w:val="24"/>
          <w:szCs w:val="24"/>
        </w:rPr>
        <w:t>七、授予合同</w:t>
      </w:r>
    </w:p>
    <w:p w14:paraId="658D56CB">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hint="eastAsia" w:ascii="宋体" w:hAnsi="宋体" w:cs="宋体"/>
          <w:spacing w:val="0"/>
          <w:sz w:val="24"/>
          <w:szCs w:val="24"/>
          <w:lang w:val="en-US" w:eastAsia="zh-CN"/>
        </w:rPr>
      </w:pPr>
      <w:r>
        <w:rPr>
          <w:rFonts w:hint="eastAsia" w:ascii="宋体" w:hAnsi="宋体" w:cs="宋体"/>
          <w:spacing w:val="0"/>
          <w:sz w:val="24"/>
          <w:szCs w:val="24"/>
          <w:lang w:val="en-US" w:eastAsia="zh-CN"/>
        </w:rPr>
        <w:t>33、采购人、成交供应商在《成交通知书》发出之日起在1个工作日，根据竞争性磋商文件确定的事项和成交供应商响应文件签订合同，合同签订后2个工作日内在《河南省政府采购网》上发布公告并完成合同备案。双方所签订的合同不得对竞争性磋商文件和成交供应商响应文件作实质性修改。成交供应商逾期未签订合同，视为成交后无正当理由不与采购人签订合同，按照有关法律规定承担相应的法律责任。采购人逾期不与成交供应商签订合同的，按政府采购的有关规定处理。</w:t>
      </w:r>
    </w:p>
    <w:p w14:paraId="46AC975B">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lang w:val="en-US" w:eastAsia="zh-CN"/>
        </w:rPr>
        <w:t>34、</w:t>
      </w:r>
      <w:r>
        <w:rPr>
          <w:rFonts w:hint="eastAsia" w:ascii="宋体" w:hAnsi="宋体" w:cs="宋体"/>
          <w:spacing w:val="0"/>
          <w:sz w:val="24"/>
          <w:szCs w:val="24"/>
        </w:rPr>
        <w:t>竞争性磋商文件、竞争性磋商文件的修改文件、成交供应商的响应文件、补充或修改的文件及澄清或承诺文件等，均为双方签订合同的组成部分，并与合同一并作为本竞争性磋商文件所列采购项目的互补性法律文件，与合同具有同等法律效力。</w:t>
      </w:r>
    </w:p>
    <w:p w14:paraId="78472992">
      <w:pPr>
        <w:keepNext w:val="0"/>
        <w:keepLines w:val="0"/>
        <w:pageBreakBefore w:val="0"/>
        <w:widowControl w:val="0"/>
        <w:kinsoku/>
        <w:overflowPunct/>
        <w:topLinePunct w:val="0"/>
        <w:autoSpaceDE w:val="0"/>
        <w:autoSpaceDN w:val="0"/>
        <w:bidi w:val="0"/>
        <w:adjustRightInd w:val="0"/>
        <w:snapToGrid/>
        <w:spacing w:before="32" w:line="360" w:lineRule="auto"/>
        <w:ind w:right="-58" w:firstLine="480" w:firstLineChars="200"/>
        <w:jc w:val="both"/>
        <w:rPr>
          <w:rFonts w:ascii="宋体" w:hAnsi="宋体" w:cs="宋体"/>
          <w:spacing w:val="0"/>
          <w:sz w:val="24"/>
          <w:szCs w:val="24"/>
        </w:rPr>
      </w:pPr>
      <w:r>
        <w:rPr>
          <w:rFonts w:hint="eastAsia" w:ascii="宋体" w:hAnsi="宋体" w:cs="宋体"/>
          <w:spacing w:val="0"/>
          <w:sz w:val="24"/>
          <w:szCs w:val="24"/>
          <w:lang w:val="en-US" w:eastAsia="zh-CN"/>
        </w:rPr>
        <w:t>35、</w:t>
      </w:r>
      <w:r>
        <w:rPr>
          <w:rFonts w:hint="eastAsia" w:ascii="宋体" w:hAnsi="宋体" w:cs="宋体"/>
          <w:spacing w:val="0"/>
          <w:sz w:val="24"/>
          <w:szCs w:val="24"/>
        </w:rPr>
        <w:t>成交供应商放弃成交、因不可抗力不能履行合同，或者被查实存在影响成交结果的违法行为等情形，不符合成交条件的，采购人可以按照磋商小组提出的成交候选</w:t>
      </w:r>
      <w:r>
        <w:rPr>
          <w:rFonts w:hint="eastAsia" w:ascii="宋体" w:hAnsi="宋体" w:cs="宋体"/>
          <w:spacing w:val="0"/>
          <w:sz w:val="24"/>
          <w:szCs w:val="24"/>
          <w:lang w:eastAsia="zh-CN"/>
        </w:rPr>
        <w:t>人</w:t>
      </w:r>
      <w:r>
        <w:rPr>
          <w:rFonts w:hint="eastAsia" w:ascii="宋体" w:hAnsi="宋体" w:cs="宋体"/>
          <w:spacing w:val="0"/>
          <w:sz w:val="24"/>
          <w:szCs w:val="24"/>
        </w:rPr>
        <w:t>名单排序依次确定其他成交候选</w:t>
      </w:r>
      <w:r>
        <w:rPr>
          <w:rFonts w:hint="eastAsia" w:ascii="宋体" w:hAnsi="宋体" w:cs="宋体"/>
          <w:spacing w:val="0"/>
          <w:sz w:val="24"/>
          <w:szCs w:val="24"/>
          <w:lang w:eastAsia="zh-CN"/>
        </w:rPr>
        <w:t>人</w:t>
      </w:r>
      <w:r>
        <w:rPr>
          <w:rFonts w:hint="eastAsia" w:ascii="宋体" w:hAnsi="宋体" w:cs="宋体"/>
          <w:spacing w:val="0"/>
          <w:sz w:val="24"/>
          <w:szCs w:val="24"/>
        </w:rPr>
        <w:t>为成交</w:t>
      </w:r>
      <w:r>
        <w:rPr>
          <w:rFonts w:hint="eastAsia" w:ascii="宋体" w:hAnsi="宋体" w:cs="宋体"/>
          <w:spacing w:val="0"/>
          <w:sz w:val="24"/>
          <w:szCs w:val="24"/>
          <w:lang w:eastAsia="zh-CN"/>
        </w:rPr>
        <w:t>人</w:t>
      </w:r>
      <w:r>
        <w:rPr>
          <w:rFonts w:hint="eastAsia" w:ascii="宋体" w:hAnsi="宋体" w:cs="宋体"/>
          <w:spacing w:val="0"/>
          <w:sz w:val="24"/>
          <w:szCs w:val="24"/>
        </w:rPr>
        <w:t>，也可以重新组织采购。</w:t>
      </w:r>
    </w:p>
    <w:p w14:paraId="74A8E587">
      <w:pPr>
        <w:spacing w:line="440" w:lineRule="exact"/>
        <w:ind w:firstLine="480" w:firstLineChars="200"/>
        <w:rPr>
          <w:rFonts w:ascii="宋体" w:hAnsi="宋体" w:eastAsia="宋体" w:cs="宋体"/>
          <w:sz w:val="24"/>
          <w:szCs w:val="24"/>
        </w:rPr>
      </w:pPr>
    </w:p>
    <w:p w14:paraId="769EEC67">
      <w:pPr>
        <w:spacing w:line="440" w:lineRule="exact"/>
        <w:ind w:firstLine="480" w:firstLineChars="200"/>
        <w:rPr>
          <w:rFonts w:ascii="宋体" w:hAnsi="宋体" w:eastAsia="宋体" w:cs="宋体"/>
          <w:sz w:val="24"/>
          <w:szCs w:val="24"/>
        </w:rPr>
      </w:pPr>
    </w:p>
    <w:p w14:paraId="4AE163FB">
      <w:pPr>
        <w:adjustRightInd w:val="0"/>
        <w:snapToGrid w:val="0"/>
        <w:spacing w:line="360" w:lineRule="auto"/>
        <w:rPr>
          <w:rFonts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附件1：河南省政府采购合同融资政策告知函</w:t>
      </w:r>
    </w:p>
    <w:p w14:paraId="5596815D">
      <w:pPr>
        <w:adjustRightInd w:val="0"/>
        <w:snapToGrid w:val="0"/>
        <w:spacing w:line="360" w:lineRule="auto"/>
        <w:ind w:firstLine="482" w:firstLineChars="200"/>
        <w:jc w:val="center"/>
        <w:rPr>
          <w:rFonts w:ascii="宋体" w:hAnsi="宋体" w:eastAsia="宋体" w:cs="宋体"/>
          <w:b/>
          <w:bCs/>
          <w:sz w:val="24"/>
          <w:szCs w:val="24"/>
        </w:rPr>
      </w:pPr>
      <w:bookmarkStart w:id="27" w:name="_Toc19399"/>
      <w:bookmarkStart w:id="28" w:name="_Toc7567"/>
    </w:p>
    <w:p w14:paraId="1C184A1D">
      <w:pPr>
        <w:adjustRightInd w:val="0"/>
        <w:snapToGrid w:val="0"/>
        <w:spacing w:line="360" w:lineRule="auto"/>
        <w:ind w:firstLine="482" w:firstLineChars="200"/>
        <w:jc w:val="center"/>
        <w:rPr>
          <w:rFonts w:ascii="宋体" w:hAnsi="宋体" w:eastAsia="宋体" w:cs="宋体"/>
          <w:sz w:val="24"/>
          <w:szCs w:val="24"/>
        </w:rPr>
      </w:pPr>
      <w:r>
        <w:rPr>
          <w:rFonts w:hint="eastAsia" w:ascii="宋体" w:hAnsi="宋体" w:eastAsia="宋体" w:cs="宋体"/>
          <w:b/>
          <w:bCs/>
          <w:sz w:val="24"/>
          <w:szCs w:val="24"/>
        </w:rPr>
        <w:t>河南省政府采购合同融资政策告知函</w:t>
      </w:r>
      <w:bookmarkEnd w:id="27"/>
      <w:bookmarkEnd w:id="28"/>
    </w:p>
    <w:p w14:paraId="7BDBC5A2">
      <w:pPr>
        <w:adjustRightInd w:val="0"/>
        <w:snapToGrid w:val="0"/>
        <w:spacing w:line="360" w:lineRule="auto"/>
        <w:ind w:firstLine="480" w:firstLineChars="200"/>
        <w:jc w:val="left"/>
        <w:rPr>
          <w:rFonts w:ascii="宋体" w:hAnsi="宋体" w:eastAsia="宋体" w:cs="宋体"/>
          <w:sz w:val="24"/>
          <w:szCs w:val="24"/>
        </w:rPr>
      </w:pPr>
    </w:p>
    <w:p w14:paraId="2E9389AE">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各投标人：</w:t>
      </w:r>
    </w:p>
    <w:p w14:paraId="4DBF517D">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欢迎贵公司参与河南省政府采购活动！</w:t>
      </w:r>
    </w:p>
    <w:p w14:paraId="171C4BF9">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政府采购合同融资是河南省财政厅支持中小微企业发展，针对参与政府采购活动的投标人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0A553727">
      <w:pPr>
        <w:autoSpaceDE w:val="0"/>
        <w:autoSpaceDN w:val="0"/>
        <w:adjustRightInd w:val="0"/>
        <w:snapToGrid w:val="0"/>
        <w:spacing w:before="240" w:after="60" w:line="360" w:lineRule="auto"/>
        <w:ind w:firstLine="480" w:firstLineChars="200"/>
        <w:jc w:val="left"/>
        <w:rPr>
          <w:rFonts w:ascii="宋体" w:hAnsi="宋体" w:eastAsia="宋体" w:cs="宋体"/>
          <w:smallCaps/>
          <w:color w:val="000000"/>
          <w:sz w:val="24"/>
          <w:szCs w:val="24"/>
        </w:rPr>
      </w:pPr>
      <w:bookmarkStart w:id="29" w:name="_Toc15196"/>
      <w:r>
        <w:rPr>
          <w:rFonts w:hint="eastAsia" w:ascii="宋体" w:hAnsi="宋体" w:eastAsia="宋体" w:cs="宋体"/>
          <w:smallCaps/>
          <w:sz w:val="24"/>
          <w:szCs w:val="24"/>
        </w:rPr>
        <w:t>贷款渠道和提供贷款的金融机构，可在河南省政府采购网“河南省政府采购合同融资平台”查询联系。</w:t>
      </w:r>
      <w:bookmarkEnd w:id="29"/>
    </w:p>
    <w:p w14:paraId="4286C59D">
      <w:pPr>
        <w:rPr>
          <w:rFonts w:ascii="宋体" w:hAnsi="宋体" w:eastAsia="宋体" w:cs="宋体"/>
          <w:sz w:val="24"/>
          <w:szCs w:val="24"/>
        </w:rPr>
      </w:pPr>
    </w:p>
    <w:p w14:paraId="6B4D33C8">
      <w:pPr>
        <w:rPr>
          <w:rFonts w:ascii="宋体" w:hAnsi="宋体" w:eastAsia="宋体" w:cs="宋体"/>
          <w:kern w:val="0"/>
          <w:sz w:val="24"/>
          <w:szCs w:val="24"/>
          <w:shd w:val="clear" w:color="auto" w:fill="F9F9F9"/>
        </w:rPr>
      </w:pPr>
      <w:r>
        <w:rPr>
          <w:rFonts w:hint="eastAsia" w:ascii="宋体" w:hAnsi="宋体" w:eastAsia="宋体" w:cs="宋体"/>
          <w:kern w:val="0"/>
          <w:sz w:val="24"/>
          <w:szCs w:val="24"/>
          <w:shd w:val="clear" w:color="auto" w:fill="F9F9F9"/>
        </w:rPr>
        <w:br w:type="page"/>
      </w:r>
      <w:r>
        <w:rPr>
          <w:rFonts w:hint="eastAsia" w:ascii="宋体" w:hAnsi="宋体" w:eastAsia="宋体" w:cs="宋体"/>
          <w:sz w:val="24"/>
          <w:szCs w:val="24"/>
        </w:rPr>
        <w:t>附件2：卢氏县政府采购合同融资政策告知书</w:t>
      </w:r>
    </w:p>
    <w:p w14:paraId="3C3E946D">
      <w:pPr>
        <w:adjustRightInd w:val="0"/>
        <w:snapToGrid w:val="0"/>
        <w:spacing w:line="360" w:lineRule="auto"/>
        <w:ind w:firstLine="480" w:firstLineChars="200"/>
        <w:jc w:val="left"/>
        <w:rPr>
          <w:rFonts w:ascii="宋体" w:hAnsi="宋体" w:eastAsia="宋体" w:cs="宋体"/>
          <w:sz w:val="24"/>
          <w:szCs w:val="24"/>
        </w:rPr>
      </w:pPr>
    </w:p>
    <w:p w14:paraId="12BB96EC">
      <w:pPr>
        <w:adjustRightInd w:val="0"/>
        <w:snapToGrid w:val="0"/>
        <w:spacing w:line="360" w:lineRule="auto"/>
        <w:ind w:firstLine="482" w:firstLineChars="200"/>
        <w:jc w:val="center"/>
        <w:rPr>
          <w:rFonts w:ascii="宋体" w:hAnsi="宋体" w:eastAsia="宋体" w:cs="宋体"/>
          <w:b/>
          <w:bCs/>
          <w:sz w:val="24"/>
          <w:szCs w:val="24"/>
        </w:rPr>
      </w:pPr>
      <w:r>
        <w:rPr>
          <w:rFonts w:hint="eastAsia" w:ascii="宋体" w:hAnsi="宋体" w:eastAsia="宋体" w:cs="宋体"/>
          <w:b/>
          <w:bCs/>
          <w:sz w:val="24"/>
          <w:szCs w:val="24"/>
        </w:rPr>
        <w:t>卢氏县政府采购合同融资政策告知书</w:t>
      </w:r>
    </w:p>
    <w:p w14:paraId="068D2A7A">
      <w:pPr>
        <w:adjustRightInd w:val="0"/>
        <w:snapToGrid w:val="0"/>
        <w:spacing w:line="360" w:lineRule="auto"/>
        <w:ind w:firstLine="480" w:firstLineChars="200"/>
        <w:jc w:val="left"/>
        <w:rPr>
          <w:rFonts w:ascii="宋体" w:hAnsi="宋体" w:eastAsia="宋体" w:cs="宋体"/>
          <w:sz w:val="24"/>
          <w:szCs w:val="24"/>
        </w:rPr>
      </w:pPr>
    </w:p>
    <w:p w14:paraId="32800D75">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各供应商:</w:t>
      </w:r>
    </w:p>
    <w:p w14:paraId="0920CB64">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欢迎贵公司参与卢氏县政府采购活动!近年来，卢氏县积极发挥政府采购政策功能，加大对中小企业支持力度，创新运用“政采贷”信贷产品，畅通中小企业融资“绿色通道”，为企业发展提质增效注入金融活水。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2B01B5A3">
      <w:pPr>
        <w:adjustRightInd w:val="0"/>
        <w:snapToGrid w:val="0"/>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特别提醒:该告知书仅统计了我县部分可以提供线上融资的金融机构，凡参与我县政府采购项目，有融资需求的本地或外地中标(成交)供应商，均可通过“河南省政府采购网”进入“河南省政府采购合同融资平台”，申请融资服务，凡在政府采购合同融资平台登记的金融机构均可开展融资贷款业务。对“政采贷”工作开展过程中发现的新问题、新情况或者建议意见，及时向我县财政部门反馈</w:t>
      </w:r>
      <w:r>
        <w:rPr>
          <w:rFonts w:hint="eastAsia" w:ascii="宋体" w:hAnsi="宋体" w:eastAsia="宋体" w:cs="宋体"/>
          <w:sz w:val="24"/>
          <w:szCs w:val="24"/>
          <w:lang w:eastAsia="zh-CN"/>
        </w:rPr>
        <w:t>。</w:t>
      </w:r>
    </w:p>
    <w:p w14:paraId="17BBE839">
      <w:pPr>
        <w:adjustRightInd w:val="0"/>
        <w:snapToGrid w:val="0"/>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联系电话:0398-7863556</w:t>
      </w:r>
      <w:r>
        <w:rPr>
          <w:rFonts w:hint="eastAsia" w:ascii="宋体" w:hAnsi="宋体" w:eastAsia="宋体" w:cs="宋体"/>
          <w:sz w:val="24"/>
          <w:szCs w:val="24"/>
          <w:lang w:eastAsia="zh-CN"/>
        </w:rPr>
        <w:t>。</w:t>
      </w:r>
    </w:p>
    <w:p w14:paraId="54CB813E">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承接银行联系方式</w:t>
      </w:r>
    </w:p>
    <w:tbl>
      <w:tblPr>
        <w:tblStyle w:val="23"/>
        <w:tblW w:w="0" w:type="auto"/>
        <w:tblInd w:w="6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2460"/>
        <w:gridCol w:w="2505"/>
      </w:tblGrid>
      <w:tr w14:paraId="1532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225" w:type="dxa"/>
            <w:vAlign w:val="bottom"/>
          </w:tcPr>
          <w:p w14:paraId="7779AD25">
            <w:pPr>
              <w:adjustRightInd w:val="0"/>
              <w:snapToGrid w:val="0"/>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单位名称</w:t>
            </w:r>
          </w:p>
        </w:tc>
        <w:tc>
          <w:tcPr>
            <w:tcW w:w="2460" w:type="dxa"/>
            <w:vAlign w:val="bottom"/>
          </w:tcPr>
          <w:p w14:paraId="0E463A67">
            <w:pPr>
              <w:adjustRightInd w:val="0"/>
              <w:snapToGrid w:val="0"/>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联系人</w:t>
            </w:r>
          </w:p>
        </w:tc>
        <w:tc>
          <w:tcPr>
            <w:tcW w:w="2505" w:type="dxa"/>
            <w:vAlign w:val="bottom"/>
          </w:tcPr>
          <w:p w14:paraId="2DF68C8C">
            <w:pPr>
              <w:adjustRightInd w:val="0"/>
              <w:snapToGrid w:val="0"/>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联系方式</w:t>
            </w:r>
          </w:p>
        </w:tc>
      </w:tr>
      <w:tr w14:paraId="5EEC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5" w:type="dxa"/>
            <w:vAlign w:val="center"/>
          </w:tcPr>
          <w:p w14:paraId="13F43B1C">
            <w:pPr>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中国建设银行股份有限公司卢氏支行</w:t>
            </w:r>
          </w:p>
        </w:tc>
        <w:tc>
          <w:tcPr>
            <w:tcW w:w="2460" w:type="dxa"/>
            <w:vAlign w:val="center"/>
          </w:tcPr>
          <w:p w14:paraId="05F7A59D">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张江涛</w:t>
            </w:r>
          </w:p>
        </w:tc>
        <w:tc>
          <w:tcPr>
            <w:tcW w:w="2505" w:type="dxa"/>
            <w:vAlign w:val="center"/>
          </w:tcPr>
          <w:p w14:paraId="13442C32">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18739850204</w:t>
            </w:r>
          </w:p>
        </w:tc>
      </w:tr>
      <w:tr w14:paraId="2AE9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5" w:type="dxa"/>
            <w:vAlign w:val="center"/>
          </w:tcPr>
          <w:p w14:paraId="60A34E7A">
            <w:pPr>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中国农业银行股份有限公司卢氏县支行</w:t>
            </w:r>
          </w:p>
        </w:tc>
        <w:tc>
          <w:tcPr>
            <w:tcW w:w="2460" w:type="dxa"/>
            <w:vAlign w:val="center"/>
          </w:tcPr>
          <w:p w14:paraId="02169FA4">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代仁旺</w:t>
            </w:r>
          </w:p>
        </w:tc>
        <w:tc>
          <w:tcPr>
            <w:tcW w:w="2505" w:type="dxa"/>
            <w:vAlign w:val="center"/>
          </w:tcPr>
          <w:p w14:paraId="78E40741">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18939062604</w:t>
            </w:r>
          </w:p>
        </w:tc>
      </w:tr>
      <w:tr w14:paraId="4682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5" w:type="dxa"/>
            <w:vAlign w:val="center"/>
          </w:tcPr>
          <w:p w14:paraId="692F4917">
            <w:pPr>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中原银行股份有限公司</w:t>
            </w:r>
          </w:p>
          <w:p w14:paraId="6AC28595">
            <w:pPr>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卢氏支行</w:t>
            </w:r>
          </w:p>
        </w:tc>
        <w:tc>
          <w:tcPr>
            <w:tcW w:w="2460" w:type="dxa"/>
            <w:vAlign w:val="center"/>
          </w:tcPr>
          <w:p w14:paraId="1FFF6994">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李 博</w:t>
            </w:r>
          </w:p>
        </w:tc>
        <w:tc>
          <w:tcPr>
            <w:tcW w:w="2505" w:type="dxa"/>
            <w:vAlign w:val="center"/>
          </w:tcPr>
          <w:p w14:paraId="5CA1D6FC">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15839857887</w:t>
            </w:r>
          </w:p>
        </w:tc>
      </w:tr>
    </w:tbl>
    <w:p w14:paraId="1E8014A9">
      <w:pPr>
        <w:spacing w:line="440" w:lineRule="exact"/>
        <w:ind w:firstLine="480" w:firstLineChars="200"/>
        <w:rPr>
          <w:rFonts w:ascii="宋体" w:hAnsi="宋体" w:eastAsia="宋体" w:cs="宋体"/>
          <w:sz w:val="24"/>
          <w:szCs w:val="24"/>
        </w:rPr>
      </w:pPr>
    </w:p>
    <w:p w14:paraId="69341798">
      <w:pPr>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600" w:lineRule="exact"/>
        <w:jc w:val="both"/>
        <w:textAlignment w:val="auto"/>
        <w:rPr>
          <w:rFonts w:hint="eastAsia" w:ascii="黑体" w:eastAsia="宋体" w:cs="宋体" w:hAnsiTheme="minorHAnsi"/>
          <w:b/>
          <w:kern w:val="2"/>
          <w:sz w:val="28"/>
          <w:szCs w:val="28"/>
          <w:lang w:val="en-US" w:eastAsia="zh-CN" w:bidi="ar-SA"/>
        </w:rPr>
        <w:sectPr>
          <w:footerReference r:id="rId6" w:type="default"/>
          <w:pgSz w:w="11910" w:h="16840"/>
          <w:pgMar w:top="1431" w:right="1587" w:bottom="1429" w:left="1587" w:header="0" w:footer="850" w:gutter="0"/>
          <w:pgNumType w:fmt="decimal" w:start="1"/>
          <w:cols w:space="720" w:num="1"/>
        </w:sectPr>
      </w:pPr>
      <w:bookmarkStart w:id="30" w:name="_Toc93144098"/>
      <w:bookmarkStart w:id="31" w:name="_Toc467"/>
    </w:p>
    <w:p w14:paraId="4466EED8">
      <w:pPr>
        <w:keepNext w:val="0"/>
        <w:keepLines w:val="0"/>
        <w:pageBreakBefore w:val="0"/>
        <w:widowControl w:val="0"/>
        <w:numPr>
          <w:ilvl w:val="0"/>
          <w:numId w:val="0"/>
        </w:numPr>
        <w:kinsoku/>
        <w:wordWrap/>
        <w:overflowPunct/>
        <w:topLinePunct w:val="0"/>
        <w:autoSpaceDE/>
        <w:autoSpaceDN/>
        <w:bidi w:val="0"/>
        <w:adjustRightInd/>
        <w:snapToGrid/>
        <w:spacing w:before="0" w:after="0" w:line="500" w:lineRule="exact"/>
        <w:jc w:val="center"/>
        <w:textAlignment w:val="auto"/>
        <w:rPr>
          <w:rFonts w:hint="default" w:ascii="黑体" w:eastAsia="宋体" w:cs="宋体"/>
          <w:b/>
          <w:spacing w:val="0"/>
          <w:kern w:val="2"/>
          <w:sz w:val="28"/>
          <w:szCs w:val="28"/>
          <w:lang w:val="en-US" w:eastAsia="zh-CN"/>
        </w:rPr>
      </w:pPr>
      <w:r>
        <w:rPr>
          <w:rFonts w:hint="eastAsia" w:ascii="黑体" w:eastAsia="宋体" w:cs="宋体" w:hAnsiTheme="minorHAnsi"/>
          <w:b/>
          <w:spacing w:val="0"/>
          <w:kern w:val="2"/>
          <w:sz w:val="28"/>
          <w:szCs w:val="28"/>
          <w:lang w:val="en-US" w:eastAsia="zh-CN" w:bidi="ar-SA"/>
        </w:rPr>
        <w:t>第三章</w:t>
      </w:r>
      <w:r>
        <w:rPr>
          <w:rFonts w:hint="eastAsia" w:ascii="Times New Roman" w:hAnsi="Times New Roman" w:eastAsia="宋体" w:cs="Times New Roman"/>
          <w:b/>
          <w:spacing w:val="0"/>
          <w:sz w:val="32"/>
          <w:szCs w:val="40"/>
        </w:rPr>
        <w:t xml:space="preserve"> </w:t>
      </w:r>
      <w:bookmarkEnd w:id="30"/>
      <w:r>
        <w:rPr>
          <w:rFonts w:hint="eastAsia" w:ascii="黑体" w:eastAsia="宋体" w:cs="宋体"/>
          <w:b/>
          <w:spacing w:val="0"/>
          <w:kern w:val="2"/>
          <w:sz w:val="28"/>
          <w:szCs w:val="28"/>
          <w:lang w:eastAsia="zh-CN"/>
        </w:rPr>
        <w:t>服务</w:t>
      </w:r>
      <w:r>
        <w:rPr>
          <w:rFonts w:hint="eastAsia" w:ascii="黑体" w:eastAsia="宋体" w:cs="宋体"/>
          <w:b/>
          <w:spacing w:val="0"/>
          <w:kern w:val="2"/>
          <w:sz w:val="28"/>
          <w:szCs w:val="28"/>
          <w:lang w:val="en-US" w:eastAsia="zh-CN"/>
        </w:rPr>
        <w:t>需求</w:t>
      </w:r>
    </w:p>
    <w:tbl>
      <w:tblPr>
        <w:tblStyle w:val="30"/>
        <w:tblW w:w="112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1510"/>
        <w:gridCol w:w="2310"/>
        <w:gridCol w:w="2070"/>
        <w:gridCol w:w="1107"/>
        <w:gridCol w:w="1140"/>
        <w:gridCol w:w="585"/>
        <w:gridCol w:w="927"/>
        <w:gridCol w:w="906"/>
      </w:tblGrid>
      <w:tr w14:paraId="076EB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1245" w:type="dxa"/>
            <w:gridSpan w:val="9"/>
            <w:vAlign w:val="center"/>
          </w:tcPr>
          <w:p w14:paraId="710B155C">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rFonts w:hint="default"/>
                <w:b/>
                <w:bCs/>
                <w:spacing w:val="0"/>
                <w:lang w:val="en-US"/>
              </w:rPr>
            </w:pPr>
            <w:r>
              <w:rPr>
                <w:rFonts w:hint="eastAsia" w:cs="新宋体" w:asciiTheme="minorEastAsia" w:hAnsiTheme="minorEastAsia"/>
                <w:b/>
                <w:bCs/>
                <w:sz w:val="28"/>
                <w:szCs w:val="28"/>
                <w:lang w:eastAsia="zh-CN"/>
              </w:rPr>
              <w:t>卢氏县城区绿地日常管护（2026-2027）项目</w:t>
            </w:r>
            <w:r>
              <w:rPr>
                <w:rFonts w:hint="eastAsia" w:cs="新宋体" w:asciiTheme="minorEastAsia" w:hAnsiTheme="minorEastAsia"/>
                <w:b/>
                <w:bCs/>
                <w:sz w:val="28"/>
                <w:szCs w:val="28"/>
                <w:lang w:val="en-US" w:eastAsia="zh-CN"/>
              </w:rPr>
              <w:t>服务清单</w:t>
            </w:r>
          </w:p>
        </w:tc>
      </w:tr>
      <w:tr w14:paraId="5683B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jc w:val="center"/>
        </w:trPr>
        <w:tc>
          <w:tcPr>
            <w:tcW w:w="690" w:type="dxa"/>
            <w:vAlign w:val="center"/>
          </w:tcPr>
          <w:p w14:paraId="65763AC9">
            <w:pPr>
              <w:pStyle w:val="29"/>
              <w:keepNext w:val="0"/>
              <w:keepLines w:val="0"/>
              <w:pageBreakBefore w:val="0"/>
              <w:widowControl w:val="0"/>
              <w:kinsoku/>
              <w:wordWrap/>
              <w:overflowPunct/>
              <w:topLinePunct w:val="0"/>
              <w:autoSpaceDE/>
              <w:autoSpaceDN/>
              <w:bidi w:val="0"/>
              <w:adjustRightInd/>
              <w:snapToGrid/>
              <w:spacing w:before="226" w:line="240" w:lineRule="exact"/>
              <w:jc w:val="center"/>
              <w:textAlignment w:val="auto"/>
              <w:rPr>
                <w:spacing w:val="0"/>
              </w:rPr>
            </w:pPr>
            <w:r>
              <w:rPr>
                <w:b/>
                <w:bCs/>
                <w:spacing w:val="0"/>
              </w:rPr>
              <w:t>序号</w:t>
            </w:r>
          </w:p>
        </w:tc>
        <w:tc>
          <w:tcPr>
            <w:tcW w:w="1510" w:type="dxa"/>
            <w:vAlign w:val="center"/>
          </w:tcPr>
          <w:p w14:paraId="1DDD5A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spacing w:val="0"/>
                <w:sz w:val="21"/>
              </w:rPr>
            </w:pPr>
          </w:p>
        </w:tc>
        <w:tc>
          <w:tcPr>
            <w:tcW w:w="2310" w:type="dxa"/>
            <w:vAlign w:val="center"/>
          </w:tcPr>
          <w:p w14:paraId="07DE58DB">
            <w:pPr>
              <w:pStyle w:val="29"/>
              <w:keepNext w:val="0"/>
              <w:keepLines w:val="0"/>
              <w:pageBreakBefore w:val="0"/>
              <w:widowControl w:val="0"/>
              <w:kinsoku/>
              <w:wordWrap/>
              <w:overflowPunct/>
              <w:topLinePunct w:val="0"/>
              <w:autoSpaceDE/>
              <w:autoSpaceDN/>
              <w:bidi w:val="0"/>
              <w:adjustRightInd/>
              <w:snapToGrid/>
              <w:spacing w:before="226" w:line="240" w:lineRule="exact"/>
              <w:jc w:val="center"/>
              <w:textAlignment w:val="auto"/>
              <w:rPr>
                <w:spacing w:val="0"/>
              </w:rPr>
            </w:pPr>
            <w:r>
              <w:rPr>
                <w:b/>
                <w:bCs/>
                <w:spacing w:val="0"/>
              </w:rPr>
              <w:t>绿地名称</w:t>
            </w:r>
          </w:p>
        </w:tc>
        <w:tc>
          <w:tcPr>
            <w:tcW w:w="2070" w:type="dxa"/>
            <w:vAlign w:val="center"/>
          </w:tcPr>
          <w:p w14:paraId="0AEA9AA6">
            <w:pPr>
              <w:pStyle w:val="29"/>
              <w:keepNext w:val="0"/>
              <w:keepLines w:val="0"/>
              <w:pageBreakBefore w:val="0"/>
              <w:widowControl w:val="0"/>
              <w:kinsoku/>
              <w:wordWrap/>
              <w:overflowPunct/>
              <w:topLinePunct w:val="0"/>
              <w:autoSpaceDE/>
              <w:autoSpaceDN/>
              <w:bidi w:val="0"/>
              <w:adjustRightInd/>
              <w:snapToGrid/>
              <w:spacing w:before="226" w:line="240" w:lineRule="exact"/>
              <w:jc w:val="center"/>
              <w:textAlignment w:val="auto"/>
              <w:rPr>
                <w:spacing w:val="0"/>
              </w:rPr>
            </w:pPr>
            <w:r>
              <w:rPr>
                <w:b/>
                <w:bCs/>
                <w:spacing w:val="0"/>
              </w:rPr>
              <w:t>位置</w:t>
            </w:r>
          </w:p>
        </w:tc>
        <w:tc>
          <w:tcPr>
            <w:tcW w:w="1107" w:type="dxa"/>
            <w:vAlign w:val="center"/>
          </w:tcPr>
          <w:p w14:paraId="2E371E8F">
            <w:pPr>
              <w:pStyle w:val="29"/>
              <w:keepNext w:val="0"/>
              <w:keepLines w:val="0"/>
              <w:pageBreakBefore w:val="0"/>
              <w:widowControl w:val="0"/>
              <w:kinsoku/>
              <w:wordWrap/>
              <w:overflowPunct/>
              <w:topLinePunct w:val="0"/>
              <w:autoSpaceDE/>
              <w:autoSpaceDN/>
              <w:bidi w:val="0"/>
              <w:adjustRightInd/>
              <w:snapToGrid/>
              <w:spacing w:before="225" w:line="240" w:lineRule="exact"/>
              <w:jc w:val="center"/>
              <w:textAlignment w:val="auto"/>
              <w:rPr>
                <w:b/>
                <w:bCs/>
                <w:spacing w:val="0"/>
              </w:rPr>
            </w:pPr>
            <w:r>
              <w:rPr>
                <w:b/>
                <w:bCs/>
                <w:spacing w:val="0"/>
              </w:rPr>
              <w:t>面积</w:t>
            </w:r>
          </w:p>
          <w:p w14:paraId="2A6B4707">
            <w:pPr>
              <w:pStyle w:val="29"/>
              <w:keepNext w:val="0"/>
              <w:keepLines w:val="0"/>
              <w:pageBreakBefore w:val="0"/>
              <w:widowControl w:val="0"/>
              <w:kinsoku/>
              <w:wordWrap/>
              <w:overflowPunct/>
              <w:topLinePunct w:val="0"/>
              <w:autoSpaceDE/>
              <w:autoSpaceDN/>
              <w:bidi w:val="0"/>
              <w:adjustRightInd/>
              <w:snapToGrid/>
              <w:spacing w:before="225" w:line="240" w:lineRule="exact"/>
              <w:jc w:val="center"/>
              <w:textAlignment w:val="auto"/>
              <w:rPr>
                <w:spacing w:val="0"/>
              </w:rPr>
            </w:pPr>
            <w:r>
              <w:rPr>
                <w:b/>
                <w:bCs/>
                <w:spacing w:val="0"/>
              </w:rPr>
              <w:t>(平方米)</w:t>
            </w:r>
          </w:p>
        </w:tc>
        <w:tc>
          <w:tcPr>
            <w:tcW w:w="1140" w:type="dxa"/>
            <w:vAlign w:val="center"/>
          </w:tcPr>
          <w:p w14:paraId="46675B9B">
            <w:pPr>
              <w:pStyle w:val="29"/>
              <w:keepNext w:val="0"/>
              <w:keepLines w:val="0"/>
              <w:pageBreakBefore w:val="0"/>
              <w:widowControl w:val="0"/>
              <w:kinsoku/>
              <w:wordWrap/>
              <w:overflowPunct/>
              <w:topLinePunct w:val="0"/>
              <w:autoSpaceDE/>
              <w:autoSpaceDN/>
              <w:bidi w:val="0"/>
              <w:adjustRightInd/>
              <w:snapToGrid/>
              <w:spacing w:before="225" w:line="240" w:lineRule="exact"/>
              <w:jc w:val="center"/>
              <w:textAlignment w:val="auto"/>
              <w:rPr>
                <w:spacing w:val="0"/>
              </w:rPr>
            </w:pPr>
            <w:r>
              <w:rPr>
                <w:b/>
                <w:bCs/>
                <w:spacing w:val="0"/>
              </w:rPr>
              <w:t>面积/数量</w:t>
            </w:r>
          </w:p>
        </w:tc>
        <w:tc>
          <w:tcPr>
            <w:tcW w:w="585" w:type="dxa"/>
            <w:vAlign w:val="center"/>
          </w:tcPr>
          <w:p w14:paraId="793CD4D6">
            <w:pPr>
              <w:pStyle w:val="29"/>
              <w:keepNext w:val="0"/>
              <w:keepLines w:val="0"/>
              <w:pageBreakBefore w:val="0"/>
              <w:widowControl w:val="0"/>
              <w:kinsoku/>
              <w:wordWrap/>
              <w:overflowPunct/>
              <w:topLinePunct w:val="0"/>
              <w:autoSpaceDE/>
              <w:autoSpaceDN/>
              <w:bidi w:val="0"/>
              <w:adjustRightInd/>
              <w:snapToGrid/>
              <w:spacing w:before="226" w:line="240" w:lineRule="exact"/>
              <w:jc w:val="center"/>
              <w:textAlignment w:val="auto"/>
              <w:rPr>
                <w:b/>
                <w:bCs/>
                <w:spacing w:val="0"/>
              </w:rPr>
            </w:pPr>
            <w:r>
              <w:rPr>
                <w:b/>
                <w:bCs/>
                <w:spacing w:val="0"/>
              </w:rPr>
              <w:t>单位</w:t>
            </w:r>
          </w:p>
        </w:tc>
        <w:tc>
          <w:tcPr>
            <w:tcW w:w="927" w:type="dxa"/>
            <w:vAlign w:val="center"/>
          </w:tcPr>
          <w:p w14:paraId="0AA357B1">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rFonts w:ascii="宋体" w:hAnsi="宋体" w:eastAsia="宋体" w:cs="宋体"/>
                <w:b/>
                <w:bCs/>
                <w:spacing w:val="0"/>
              </w:rPr>
            </w:pPr>
            <w:r>
              <w:rPr>
                <w:rFonts w:ascii="宋体" w:hAnsi="宋体" w:eastAsia="宋体" w:cs="宋体"/>
                <w:b/>
                <w:bCs/>
                <w:spacing w:val="0"/>
              </w:rPr>
              <w:t>单价/年</w:t>
            </w:r>
          </w:p>
          <w:p w14:paraId="11C8CB97">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b/>
                <w:bCs/>
                <w:spacing w:val="0"/>
              </w:rPr>
            </w:pPr>
            <w:r>
              <w:rPr>
                <w:rFonts w:ascii="宋体" w:hAnsi="宋体" w:eastAsia="宋体" w:cs="宋体"/>
                <w:b/>
                <w:bCs/>
                <w:spacing w:val="0"/>
              </w:rPr>
              <w:t>(元)</w:t>
            </w:r>
          </w:p>
        </w:tc>
        <w:tc>
          <w:tcPr>
            <w:tcW w:w="906" w:type="dxa"/>
            <w:vAlign w:val="center"/>
          </w:tcPr>
          <w:p w14:paraId="78899BC1">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b/>
                <w:bCs/>
                <w:spacing w:val="0"/>
              </w:rPr>
            </w:pPr>
            <w:r>
              <w:rPr>
                <w:b/>
                <w:bCs/>
                <w:spacing w:val="0"/>
              </w:rPr>
              <w:t>总价/年</w:t>
            </w:r>
          </w:p>
          <w:p w14:paraId="440AE141">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spacing w:val="0"/>
              </w:rPr>
            </w:pPr>
            <w:r>
              <w:rPr>
                <w:b/>
                <w:bCs/>
                <w:spacing w:val="0"/>
              </w:rPr>
              <w:t>(元)</w:t>
            </w:r>
          </w:p>
        </w:tc>
      </w:tr>
      <w:tr w14:paraId="46A71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center"/>
          </w:tcPr>
          <w:p w14:paraId="7F2E01C5">
            <w:pPr>
              <w:pStyle w:val="29"/>
              <w:spacing w:before="137"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w:t>
            </w:r>
          </w:p>
        </w:tc>
        <w:tc>
          <w:tcPr>
            <w:tcW w:w="1510" w:type="dxa"/>
            <w:vMerge w:val="restart"/>
            <w:tcBorders>
              <w:bottom w:val="nil"/>
            </w:tcBorders>
            <w:vAlign w:val="center"/>
          </w:tcPr>
          <w:p w14:paraId="10A874C6">
            <w:pPr>
              <w:pStyle w:val="29"/>
              <w:spacing w:before="58"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城区道路绿篱</w:t>
            </w:r>
          </w:p>
        </w:tc>
        <w:tc>
          <w:tcPr>
            <w:tcW w:w="2310" w:type="dxa"/>
            <w:vAlign w:val="center"/>
          </w:tcPr>
          <w:p w14:paraId="75B4E627">
            <w:pPr>
              <w:pStyle w:val="29"/>
              <w:spacing w:before="118"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靖华路花带</w:t>
            </w:r>
          </w:p>
        </w:tc>
        <w:tc>
          <w:tcPr>
            <w:tcW w:w="2070" w:type="dxa"/>
            <w:vAlign w:val="top"/>
          </w:tcPr>
          <w:p w14:paraId="61BFC0E9">
            <w:pPr>
              <w:pStyle w:val="29"/>
              <w:spacing w:before="119"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复烤厂</w:t>
            </w:r>
            <w:r>
              <w:rPr>
                <w:rFonts w:hint="eastAsia"/>
                <w:color w:val="000000" w:themeColor="text1"/>
                <w:spacing w:val="0"/>
                <w:lang w:val="en-US" w:eastAsia="zh-CN"/>
                <w14:textFill>
                  <w14:solidFill>
                    <w14:schemeClr w14:val="tx1"/>
                  </w14:solidFill>
                </w14:textFill>
              </w:rPr>
              <w:t>-</w:t>
            </w:r>
            <w:r>
              <w:rPr>
                <w:color w:val="000000" w:themeColor="text1"/>
                <w:spacing w:val="0"/>
                <w14:textFill>
                  <w14:solidFill>
                    <w14:schemeClr w14:val="tx1"/>
                  </w14:solidFill>
                </w14:textFill>
              </w:rPr>
              <w:t>淇河路</w:t>
            </w:r>
          </w:p>
        </w:tc>
        <w:tc>
          <w:tcPr>
            <w:tcW w:w="1107" w:type="dxa"/>
            <w:vAlign w:val="center"/>
          </w:tcPr>
          <w:p w14:paraId="3098407A">
            <w:pPr>
              <w:pStyle w:val="29"/>
              <w:spacing w:before="137"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22907.55</w:t>
            </w:r>
          </w:p>
        </w:tc>
        <w:tc>
          <w:tcPr>
            <w:tcW w:w="1140" w:type="dxa"/>
            <w:vMerge w:val="restart"/>
            <w:tcBorders>
              <w:bottom w:val="nil"/>
            </w:tcBorders>
            <w:vAlign w:val="center"/>
          </w:tcPr>
          <w:p w14:paraId="6C277F4C">
            <w:pPr>
              <w:pStyle w:val="29"/>
              <w:spacing w:before="58"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45858.86</w:t>
            </w:r>
          </w:p>
        </w:tc>
        <w:tc>
          <w:tcPr>
            <w:tcW w:w="585" w:type="dxa"/>
            <w:vAlign w:val="top"/>
          </w:tcPr>
          <w:p w14:paraId="454E35FA">
            <w:pPr>
              <w:pStyle w:val="29"/>
              <w:spacing w:before="155"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restart"/>
            <w:tcBorders>
              <w:bottom w:val="nil"/>
            </w:tcBorders>
            <w:vAlign w:val="top"/>
          </w:tcPr>
          <w:p w14:paraId="59BA7EB0">
            <w:pPr>
              <w:spacing w:line="248" w:lineRule="auto"/>
              <w:rPr>
                <w:rFonts w:ascii="Arial"/>
                <w:color w:val="000000" w:themeColor="text1"/>
                <w:spacing w:val="0"/>
                <w:sz w:val="21"/>
                <w14:textFill>
                  <w14:solidFill>
                    <w14:schemeClr w14:val="tx1"/>
                  </w14:solidFill>
                </w14:textFill>
              </w:rPr>
            </w:pPr>
          </w:p>
          <w:p w14:paraId="14081061">
            <w:pPr>
              <w:spacing w:line="248" w:lineRule="auto"/>
              <w:rPr>
                <w:rFonts w:ascii="Arial"/>
                <w:color w:val="000000" w:themeColor="text1"/>
                <w:spacing w:val="0"/>
                <w:sz w:val="21"/>
                <w14:textFill>
                  <w14:solidFill>
                    <w14:schemeClr w14:val="tx1"/>
                  </w14:solidFill>
                </w14:textFill>
              </w:rPr>
            </w:pPr>
          </w:p>
          <w:p w14:paraId="651AEDB9">
            <w:pPr>
              <w:spacing w:line="248" w:lineRule="auto"/>
              <w:rPr>
                <w:rFonts w:ascii="Arial"/>
                <w:color w:val="000000" w:themeColor="text1"/>
                <w:spacing w:val="0"/>
                <w:sz w:val="21"/>
                <w14:textFill>
                  <w14:solidFill>
                    <w14:schemeClr w14:val="tx1"/>
                  </w14:solidFill>
                </w14:textFill>
              </w:rPr>
            </w:pPr>
          </w:p>
          <w:p w14:paraId="120326D8">
            <w:pPr>
              <w:spacing w:line="248" w:lineRule="auto"/>
              <w:rPr>
                <w:rFonts w:ascii="Arial"/>
                <w:color w:val="000000" w:themeColor="text1"/>
                <w:spacing w:val="0"/>
                <w:sz w:val="21"/>
                <w14:textFill>
                  <w14:solidFill>
                    <w14:schemeClr w14:val="tx1"/>
                  </w14:solidFill>
                </w14:textFill>
              </w:rPr>
            </w:pPr>
          </w:p>
          <w:p w14:paraId="1A26BD89">
            <w:pPr>
              <w:spacing w:line="248" w:lineRule="auto"/>
              <w:rPr>
                <w:rFonts w:ascii="Arial"/>
                <w:color w:val="000000" w:themeColor="text1"/>
                <w:spacing w:val="0"/>
                <w:sz w:val="21"/>
                <w14:textFill>
                  <w14:solidFill>
                    <w14:schemeClr w14:val="tx1"/>
                  </w14:solidFill>
                </w14:textFill>
              </w:rPr>
            </w:pPr>
          </w:p>
          <w:p w14:paraId="5DDD5E15">
            <w:pPr>
              <w:spacing w:line="249" w:lineRule="auto"/>
              <w:rPr>
                <w:rFonts w:ascii="Arial"/>
                <w:color w:val="000000" w:themeColor="text1"/>
                <w:spacing w:val="0"/>
                <w:sz w:val="21"/>
                <w14:textFill>
                  <w14:solidFill>
                    <w14:schemeClr w14:val="tx1"/>
                  </w14:solidFill>
                </w14:textFill>
              </w:rPr>
            </w:pPr>
          </w:p>
          <w:p w14:paraId="7F809A41">
            <w:pPr>
              <w:pStyle w:val="29"/>
              <w:spacing w:before="58" w:line="239" w:lineRule="auto"/>
              <w:jc w:val="both"/>
              <w:rPr>
                <w:color w:val="000000" w:themeColor="text1"/>
                <w:spacing w:val="0"/>
                <w14:textFill>
                  <w14:solidFill>
                    <w14:schemeClr w14:val="tx1"/>
                  </w14:solidFill>
                </w14:textFill>
              </w:rPr>
            </w:pPr>
          </w:p>
        </w:tc>
        <w:tc>
          <w:tcPr>
            <w:tcW w:w="906" w:type="dxa"/>
            <w:vMerge w:val="restart"/>
            <w:tcBorders>
              <w:bottom w:val="nil"/>
            </w:tcBorders>
            <w:vAlign w:val="top"/>
          </w:tcPr>
          <w:p w14:paraId="68E1CA6F">
            <w:pPr>
              <w:spacing w:line="248" w:lineRule="auto"/>
              <w:rPr>
                <w:rFonts w:ascii="Arial"/>
                <w:color w:val="000000" w:themeColor="text1"/>
                <w:spacing w:val="0"/>
                <w:sz w:val="21"/>
                <w14:textFill>
                  <w14:solidFill>
                    <w14:schemeClr w14:val="tx1"/>
                  </w14:solidFill>
                </w14:textFill>
              </w:rPr>
            </w:pPr>
          </w:p>
          <w:p w14:paraId="1895405C">
            <w:pPr>
              <w:spacing w:line="248" w:lineRule="auto"/>
              <w:rPr>
                <w:rFonts w:ascii="Arial"/>
                <w:color w:val="000000" w:themeColor="text1"/>
                <w:spacing w:val="0"/>
                <w:sz w:val="21"/>
                <w14:textFill>
                  <w14:solidFill>
                    <w14:schemeClr w14:val="tx1"/>
                  </w14:solidFill>
                </w14:textFill>
              </w:rPr>
            </w:pPr>
          </w:p>
          <w:p w14:paraId="046C2201">
            <w:pPr>
              <w:spacing w:line="248" w:lineRule="auto"/>
              <w:rPr>
                <w:rFonts w:ascii="Arial"/>
                <w:color w:val="000000" w:themeColor="text1"/>
                <w:spacing w:val="0"/>
                <w:sz w:val="21"/>
                <w14:textFill>
                  <w14:solidFill>
                    <w14:schemeClr w14:val="tx1"/>
                  </w14:solidFill>
                </w14:textFill>
              </w:rPr>
            </w:pPr>
          </w:p>
          <w:p w14:paraId="0D31C763">
            <w:pPr>
              <w:spacing w:line="248" w:lineRule="auto"/>
              <w:rPr>
                <w:rFonts w:ascii="Arial"/>
                <w:color w:val="000000" w:themeColor="text1"/>
                <w:spacing w:val="0"/>
                <w:sz w:val="21"/>
                <w14:textFill>
                  <w14:solidFill>
                    <w14:schemeClr w14:val="tx1"/>
                  </w14:solidFill>
                </w14:textFill>
              </w:rPr>
            </w:pPr>
          </w:p>
          <w:p w14:paraId="589FB99B">
            <w:pPr>
              <w:spacing w:line="248" w:lineRule="auto"/>
              <w:rPr>
                <w:rFonts w:ascii="Arial"/>
                <w:color w:val="000000" w:themeColor="text1"/>
                <w:spacing w:val="0"/>
                <w:sz w:val="21"/>
                <w14:textFill>
                  <w14:solidFill>
                    <w14:schemeClr w14:val="tx1"/>
                  </w14:solidFill>
                </w14:textFill>
              </w:rPr>
            </w:pPr>
          </w:p>
          <w:p w14:paraId="24D5E1D2">
            <w:pPr>
              <w:spacing w:line="249" w:lineRule="auto"/>
              <w:rPr>
                <w:rFonts w:ascii="Arial"/>
                <w:color w:val="000000" w:themeColor="text1"/>
                <w:spacing w:val="0"/>
                <w:sz w:val="21"/>
                <w14:textFill>
                  <w14:solidFill>
                    <w14:schemeClr w14:val="tx1"/>
                  </w14:solidFill>
                </w14:textFill>
              </w:rPr>
            </w:pPr>
          </w:p>
          <w:p w14:paraId="3E9EB218">
            <w:pPr>
              <w:pStyle w:val="29"/>
              <w:spacing w:before="58" w:line="239" w:lineRule="auto"/>
              <w:jc w:val="both"/>
              <w:rPr>
                <w:color w:val="000000" w:themeColor="text1"/>
                <w:spacing w:val="0"/>
                <w14:textFill>
                  <w14:solidFill>
                    <w14:schemeClr w14:val="tx1"/>
                  </w14:solidFill>
                </w14:textFill>
              </w:rPr>
            </w:pPr>
          </w:p>
        </w:tc>
      </w:tr>
      <w:tr w14:paraId="24761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61C8BFC0">
            <w:pPr>
              <w:pStyle w:val="29"/>
              <w:spacing w:before="127"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2</w:t>
            </w:r>
          </w:p>
        </w:tc>
        <w:tc>
          <w:tcPr>
            <w:tcW w:w="1510" w:type="dxa"/>
            <w:vMerge w:val="continue"/>
            <w:tcBorders>
              <w:top w:val="nil"/>
              <w:bottom w:val="nil"/>
            </w:tcBorders>
            <w:vAlign w:val="center"/>
          </w:tcPr>
          <w:p w14:paraId="276AF5B4">
            <w:pPr>
              <w:jc w:val="center"/>
              <w:rPr>
                <w:rFonts w:ascii="Arial"/>
                <w:color w:val="000000" w:themeColor="text1"/>
                <w:spacing w:val="0"/>
                <w:sz w:val="21"/>
                <w14:textFill>
                  <w14:solidFill>
                    <w14:schemeClr w14:val="tx1"/>
                  </w14:solidFill>
                </w14:textFill>
              </w:rPr>
            </w:pPr>
          </w:p>
        </w:tc>
        <w:tc>
          <w:tcPr>
            <w:tcW w:w="2310" w:type="dxa"/>
            <w:vAlign w:val="center"/>
          </w:tcPr>
          <w:p w14:paraId="589D238E">
            <w:pPr>
              <w:pStyle w:val="29"/>
              <w:spacing w:before="109"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翰林路花带</w:t>
            </w:r>
          </w:p>
        </w:tc>
        <w:tc>
          <w:tcPr>
            <w:tcW w:w="2070" w:type="dxa"/>
            <w:vAlign w:val="top"/>
          </w:tcPr>
          <w:p w14:paraId="00AC74F6">
            <w:pPr>
              <w:pStyle w:val="29"/>
              <w:spacing w:before="109"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滨河路-解放路</w:t>
            </w:r>
          </w:p>
        </w:tc>
        <w:tc>
          <w:tcPr>
            <w:tcW w:w="1107" w:type="dxa"/>
            <w:vAlign w:val="center"/>
          </w:tcPr>
          <w:p w14:paraId="1E706456">
            <w:pPr>
              <w:pStyle w:val="29"/>
              <w:spacing w:before="127"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1969.67</w:t>
            </w:r>
          </w:p>
        </w:tc>
        <w:tc>
          <w:tcPr>
            <w:tcW w:w="1140" w:type="dxa"/>
            <w:vMerge w:val="continue"/>
            <w:tcBorders>
              <w:top w:val="nil"/>
              <w:bottom w:val="nil"/>
            </w:tcBorders>
            <w:vAlign w:val="center"/>
          </w:tcPr>
          <w:p w14:paraId="796675A7">
            <w:pPr>
              <w:jc w:val="center"/>
              <w:rPr>
                <w:rFonts w:ascii="Arial"/>
                <w:color w:val="000000" w:themeColor="text1"/>
                <w:spacing w:val="0"/>
                <w:sz w:val="21"/>
                <w14:textFill>
                  <w14:solidFill>
                    <w14:schemeClr w14:val="tx1"/>
                  </w14:solidFill>
                </w14:textFill>
              </w:rPr>
            </w:pPr>
          </w:p>
        </w:tc>
        <w:tc>
          <w:tcPr>
            <w:tcW w:w="585" w:type="dxa"/>
            <w:vAlign w:val="top"/>
          </w:tcPr>
          <w:p w14:paraId="0F19A388">
            <w:pPr>
              <w:pStyle w:val="29"/>
              <w:spacing w:before="144"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bottom w:val="nil"/>
            </w:tcBorders>
            <w:vAlign w:val="top"/>
          </w:tcPr>
          <w:p w14:paraId="3CD4776A">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4C4983D2">
            <w:pPr>
              <w:rPr>
                <w:rFonts w:ascii="Arial"/>
                <w:color w:val="000000" w:themeColor="text1"/>
                <w:spacing w:val="0"/>
                <w:sz w:val="21"/>
                <w14:textFill>
                  <w14:solidFill>
                    <w14:schemeClr w14:val="tx1"/>
                  </w14:solidFill>
                </w14:textFill>
              </w:rPr>
            </w:pPr>
          </w:p>
        </w:tc>
      </w:tr>
      <w:tr w14:paraId="638F7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jc w:val="center"/>
        </w:trPr>
        <w:tc>
          <w:tcPr>
            <w:tcW w:w="690" w:type="dxa"/>
            <w:vAlign w:val="center"/>
          </w:tcPr>
          <w:p w14:paraId="038E4551">
            <w:pPr>
              <w:pStyle w:val="29"/>
              <w:spacing w:before="136"/>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3</w:t>
            </w:r>
          </w:p>
        </w:tc>
        <w:tc>
          <w:tcPr>
            <w:tcW w:w="1510" w:type="dxa"/>
            <w:vMerge w:val="continue"/>
            <w:tcBorders>
              <w:top w:val="nil"/>
              <w:bottom w:val="nil"/>
            </w:tcBorders>
            <w:vAlign w:val="center"/>
          </w:tcPr>
          <w:p w14:paraId="435C4EE2">
            <w:pPr>
              <w:jc w:val="center"/>
              <w:rPr>
                <w:rFonts w:ascii="Arial"/>
                <w:color w:val="000000" w:themeColor="text1"/>
                <w:spacing w:val="0"/>
                <w:sz w:val="21"/>
                <w14:textFill>
                  <w14:solidFill>
                    <w14:schemeClr w14:val="tx1"/>
                  </w14:solidFill>
                </w14:textFill>
              </w:rPr>
            </w:pPr>
          </w:p>
        </w:tc>
        <w:tc>
          <w:tcPr>
            <w:tcW w:w="2310" w:type="dxa"/>
            <w:vAlign w:val="center"/>
          </w:tcPr>
          <w:p w14:paraId="5FD43335">
            <w:pPr>
              <w:pStyle w:val="29"/>
              <w:spacing w:before="119"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翰林路一高两侧</w:t>
            </w:r>
          </w:p>
        </w:tc>
        <w:tc>
          <w:tcPr>
            <w:tcW w:w="2070" w:type="dxa"/>
            <w:vAlign w:val="top"/>
          </w:tcPr>
          <w:p w14:paraId="465A9695">
            <w:pPr>
              <w:jc w:val="center"/>
              <w:rPr>
                <w:rFonts w:ascii="Arial"/>
                <w:color w:val="000000" w:themeColor="text1"/>
                <w:spacing w:val="0"/>
                <w:sz w:val="21"/>
                <w14:textFill>
                  <w14:solidFill>
                    <w14:schemeClr w14:val="tx1"/>
                  </w14:solidFill>
                </w14:textFill>
              </w:rPr>
            </w:pPr>
          </w:p>
        </w:tc>
        <w:tc>
          <w:tcPr>
            <w:tcW w:w="1107" w:type="dxa"/>
            <w:vAlign w:val="center"/>
          </w:tcPr>
          <w:p w14:paraId="440AA311">
            <w:pPr>
              <w:pStyle w:val="29"/>
              <w:spacing w:before="137"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5285.53</w:t>
            </w:r>
          </w:p>
        </w:tc>
        <w:tc>
          <w:tcPr>
            <w:tcW w:w="1140" w:type="dxa"/>
            <w:vMerge w:val="continue"/>
            <w:tcBorders>
              <w:top w:val="nil"/>
              <w:bottom w:val="nil"/>
            </w:tcBorders>
            <w:vAlign w:val="center"/>
          </w:tcPr>
          <w:p w14:paraId="372F6C3A">
            <w:pPr>
              <w:jc w:val="center"/>
              <w:rPr>
                <w:rFonts w:ascii="Arial"/>
                <w:color w:val="000000" w:themeColor="text1"/>
                <w:spacing w:val="0"/>
                <w:sz w:val="21"/>
                <w14:textFill>
                  <w14:solidFill>
                    <w14:schemeClr w14:val="tx1"/>
                  </w14:solidFill>
                </w14:textFill>
              </w:rPr>
            </w:pPr>
          </w:p>
        </w:tc>
        <w:tc>
          <w:tcPr>
            <w:tcW w:w="585" w:type="dxa"/>
            <w:vAlign w:val="top"/>
          </w:tcPr>
          <w:p w14:paraId="4DBA0C36">
            <w:pPr>
              <w:pStyle w:val="29"/>
              <w:spacing w:before="154"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bottom w:val="nil"/>
            </w:tcBorders>
            <w:vAlign w:val="top"/>
          </w:tcPr>
          <w:p w14:paraId="40F13473">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7EC44914">
            <w:pPr>
              <w:rPr>
                <w:rFonts w:ascii="Arial"/>
                <w:color w:val="000000" w:themeColor="text1"/>
                <w:spacing w:val="0"/>
                <w:sz w:val="21"/>
                <w14:textFill>
                  <w14:solidFill>
                    <w14:schemeClr w14:val="tx1"/>
                  </w14:solidFill>
                </w14:textFill>
              </w:rPr>
            </w:pPr>
          </w:p>
        </w:tc>
      </w:tr>
      <w:tr w14:paraId="57256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4780E821">
            <w:pPr>
              <w:pStyle w:val="29"/>
              <w:spacing w:before="127"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4</w:t>
            </w:r>
          </w:p>
        </w:tc>
        <w:tc>
          <w:tcPr>
            <w:tcW w:w="1510" w:type="dxa"/>
            <w:vMerge w:val="continue"/>
            <w:tcBorders>
              <w:top w:val="nil"/>
              <w:bottom w:val="nil"/>
            </w:tcBorders>
            <w:vAlign w:val="center"/>
          </w:tcPr>
          <w:p w14:paraId="3E8B3C98">
            <w:pPr>
              <w:jc w:val="center"/>
              <w:rPr>
                <w:rFonts w:ascii="Arial"/>
                <w:color w:val="000000" w:themeColor="text1"/>
                <w:spacing w:val="0"/>
                <w:sz w:val="21"/>
                <w14:textFill>
                  <w14:solidFill>
                    <w14:schemeClr w14:val="tx1"/>
                  </w14:solidFill>
                </w14:textFill>
              </w:rPr>
            </w:pPr>
          </w:p>
        </w:tc>
        <w:tc>
          <w:tcPr>
            <w:tcW w:w="2310" w:type="dxa"/>
            <w:vAlign w:val="center"/>
          </w:tcPr>
          <w:p w14:paraId="7C497611">
            <w:pPr>
              <w:pStyle w:val="29"/>
              <w:spacing w:before="109"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永济路花带</w:t>
            </w:r>
          </w:p>
        </w:tc>
        <w:tc>
          <w:tcPr>
            <w:tcW w:w="2070" w:type="dxa"/>
            <w:vAlign w:val="top"/>
          </w:tcPr>
          <w:p w14:paraId="4CB1D712">
            <w:pPr>
              <w:pStyle w:val="29"/>
              <w:spacing w:before="108"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东明路</w:t>
            </w:r>
            <w:r>
              <w:rPr>
                <w:rFonts w:hint="eastAsia"/>
                <w:color w:val="000000" w:themeColor="text1"/>
                <w:spacing w:val="0"/>
                <w:lang w:val="en-US" w:eastAsia="zh-CN"/>
                <w14:textFill>
                  <w14:solidFill>
                    <w14:schemeClr w14:val="tx1"/>
                  </w14:solidFill>
                </w14:textFill>
              </w:rPr>
              <w:t>-</w:t>
            </w:r>
            <w:r>
              <w:rPr>
                <w:color w:val="000000" w:themeColor="text1"/>
                <w:spacing w:val="0"/>
                <w14:textFill>
                  <w14:solidFill>
                    <w14:schemeClr w14:val="tx1"/>
                  </w14:solidFill>
                </w14:textFill>
              </w:rPr>
              <w:t>柳林路</w:t>
            </w:r>
          </w:p>
        </w:tc>
        <w:tc>
          <w:tcPr>
            <w:tcW w:w="1107" w:type="dxa"/>
            <w:vAlign w:val="center"/>
          </w:tcPr>
          <w:p w14:paraId="279AFD30">
            <w:pPr>
              <w:pStyle w:val="29"/>
              <w:spacing w:before="127"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1938.39</w:t>
            </w:r>
          </w:p>
        </w:tc>
        <w:tc>
          <w:tcPr>
            <w:tcW w:w="1140" w:type="dxa"/>
            <w:vMerge w:val="continue"/>
            <w:tcBorders>
              <w:top w:val="nil"/>
              <w:bottom w:val="nil"/>
            </w:tcBorders>
            <w:vAlign w:val="center"/>
          </w:tcPr>
          <w:p w14:paraId="69407C6C">
            <w:pPr>
              <w:jc w:val="center"/>
              <w:rPr>
                <w:rFonts w:ascii="Arial"/>
                <w:color w:val="000000" w:themeColor="text1"/>
                <w:spacing w:val="0"/>
                <w:sz w:val="21"/>
                <w14:textFill>
                  <w14:solidFill>
                    <w14:schemeClr w14:val="tx1"/>
                  </w14:solidFill>
                </w14:textFill>
              </w:rPr>
            </w:pPr>
          </w:p>
        </w:tc>
        <w:tc>
          <w:tcPr>
            <w:tcW w:w="585" w:type="dxa"/>
            <w:vAlign w:val="top"/>
          </w:tcPr>
          <w:p w14:paraId="41C110FD">
            <w:pPr>
              <w:pStyle w:val="29"/>
              <w:spacing w:before="145"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bottom w:val="nil"/>
            </w:tcBorders>
            <w:vAlign w:val="top"/>
          </w:tcPr>
          <w:p w14:paraId="1997742F">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3BE84EB3">
            <w:pPr>
              <w:rPr>
                <w:rFonts w:ascii="Arial"/>
                <w:color w:val="000000" w:themeColor="text1"/>
                <w:spacing w:val="0"/>
                <w:sz w:val="21"/>
                <w14:textFill>
                  <w14:solidFill>
                    <w14:schemeClr w14:val="tx1"/>
                  </w14:solidFill>
                </w14:textFill>
              </w:rPr>
            </w:pPr>
          </w:p>
        </w:tc>
      </w:tr>
      <w:tr w14:paraId="22B06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690" w:type="dxa"/>
            <w:vAlign w:val="center"/>
          </w:tcPr>
          <w:p w14:paraId="6D648C07">
            <w:pPr>
              <w:pStyle w:val="29"/>
              <w:spacing w:before="136"/>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5</w:t>
            </w:r>
          </w:p>
        </w:tc>
        <w:tc>
          <w:tcPr>
            <w:tcW w:w="1510" w:type="dxa"/>
            <w:vMerge w:val="continue"/>
            <w:tcBorders>
              <w:top w:val="nil"/>
              <w:bottom w:val="nil"/>
            </w:tcBorders>
            <w:vAlign w:val="center"/>
          </w:tcPr>
          <w:p w14:paraId="0568F6E5">
            <w:pPr>
              <w:jc w:val="center"/>
              <w:rPr>
                <w:rFonts w:ascii="Arial"/>
                <w:color w:val="000000" w:themeColor="text1"/>
                <w:spacing w:val="0"/>
                <w:sz w:val="21"/>
                <w14:textFill>
                  <w14:solidFill>
                    <w14:schemeClr w14:val="tx1"/>
                  </w14:solidFill>
                </w14:textFill>
              </w:rPr>
            </w:pPr>
          </w:p>
        </w:tc>
        <w:tc>
          <w:tcPr>
            <w:tcW w:w="2310" w:type="dxa"/>
            <w:vAlign w:val="center"/>
          </w:tcPr>
          <w:p w14:paraId="79BE5BD9">
            <w:pPr>
              <w:pStyle w:val="29"/>
              <w:spacing w:before="119"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迎宾路花带</w:t>
            </w:r>
          </w:p>
        </w:tc>
        <w:tc>
          <w:tcPr>
            <w:tcW w:w="2070" w:type="dxa"/>
            <w:vAlign w:val="top"/>
          </w:tcPr>
          <w:p w14:paraId="3D9EA01C">
            <w:pPr>
              <w:pStyle w:val="29"/>
              <w:spacing w:before="118"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滨河路-伏牛路</w:t>
            </w:r>
          </w:p>
        </w:tc>
        <w:tc>
          <w:tcPr>
            <w:tcW w:w="1107" w:type="dxa"/>
            <w:vAlign w:val="center"/>
          </w:tcPr>
          <w:p w14:paraId="6F489461">
            <w:pPr>
              <w:pStyle w:val="29"/>
              <w:spacing w:before="137"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844.12</w:t>
            </w:r>
          </w:p>
        </w:tc>
        <w:tc>
          <w:tcPr>
            <w:tcW w:w="1140" w:type="dxa"/>
            <w:vMerge w:val="continue"/>
            <w:tcBorders>
              <w:top w:val="nil"/>
              <w:bottom w:val="nil"/>
            </w:tcBorders>
            <w:vAlign w:val="center"/>
          </w:tcPr>
          <w:p w14:paraId="038B6746">
            <w:pPr>
              <w:jc w:val="center"/>
              <w:rPr>
                <w:rFonts w:ascii="Arial"/>
                <w:color w:val="000000" w:themeColor="text1"/>
                <w:spacing w:val="0"/>
                <w:sz w:val="21"/>
                <w14:textFill>
                  <w14:solidFill>
                    <w14:schemeClr w14:val="tx1"/>
                  </w14:solidFill>
                </w14:textFill>
              </w:rPr>
            </w:pPr>
          </w:p>
        </w:tc>
        <w:tc>
          <w:tcPr>
            <w:tcW w:w="585" w:type="dxa"/>
            <w:vAlign w:val="top"/>
          </w:tcPr>
          <w:p w14:paraId="006B4F43">
            <w:pPr>
              <w:pStyle w:val="29"/>
              <w:spacing w:before="155"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bottom w:val="nil"/>
            </w:tcBorders>
            <w:vAlign w:val="top"/>
          </w:tcPr>
          <w:p w14:paraId="00196BAC">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714B9F1D">
            <w:pPr>
              <w:rPr>
                <w:rFonts w:ascii="Arial"/>
                <w:color w:val="000000" w:themeColor="text1"/>
                <w:spacing w:val="0"/>
                <w:sz w:val="21"/>
                <w14:textFill>
                  <w14:solidFill>
                    <w14:schemeClr w14:val="tx1"/>
                  </w14:solidFill>
                </w14:textFill>
              </w:rPr>
            </w:pPr>
          </w:p>
        </w:tc>
      </w:tr>
      <w:tr w14:paraId="631AD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04F34D15">
            <w:pPr>
              <w:pStyle w:val="29"/>
              <w:spacing w:before="127"/>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6</w:t>
            </w:r>
          </w:p>
        </w:tc>
        <w:tc>
          <w:tcPr>
            <w:tcW w:w="1510" w:type="dxa"/>
            <w:vMerge w:val="continue"/>
            <w:tcBorders>
              <w:top w:val="nil"/>
              <w:bottom w:val="nil"/>
            </w:tcBorders>
            <w:vAlign w:val="center"/>
          </w:tcPr>
          <w:p w14:paraId="5868589A">
            <w:pPr>
              <w:jc w:val="center"/>
              <w:rPr>
                <w:rFonts w:ascii="Arial"/>
                <w:color w:val="000000" w:themeColor="text1"/>
                <w:spacing w:val="0"/>
                <w:sz w:val="21"/>
                <w14:textFill>
                  <w14:solidFill>
                    <w14:schemeClr w14:val="tx1"/>
                  </w14:solidFill>
                </w14:textFill>
              </w:rPr>
            </w:pPr>
          </w:p>
        </w:tc>
        <w:tc>
          <w:tcPr>
            <w:tcW w:w="2310" w:type="dxa"/>
            <w:vAlign w:val="center"/>
          </w:tcPr>
          <w:p w14:paraId="3015F592">
            <w:pPr>
              <w:pStyle w:val="29"/>
              <w:spacing w:before="110"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新建路花带</w:t>
            </w:r>
          </w:p>
        </w:tc>
        <w:tc>
          <w:tcPr>
            <w:tcW w:w="2070" w:type="dxa"/>
            <w:vAlign w:val="top"/>
          </w:tcPr>
          <w:p w14:paraId="6296BB71">
            <w:pPr>
              <w:pStyle w:val="29"/>
              <w:spacing w:before="109"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滨河路-伏牛路</w:t>
            </w:r>
          </w:p>
        </w:tc>
        <w:tc>
          <w:tcPr>
            <w:tcW w:w="1107" w:type="dxa"/>
            <w:vAlign w:val="center"/>
          </w:tcPr>
          <w:p w14:paraId="2E0BEA70">
            <w:pPr>
              <w:pStyle w:val="29"/>
              <w:spacing w:before="128"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1643.35</w:t>
            </w:r>
          </w:p>
        </w:tc>
        <w:tc>
          <w:tcPr>
            <w:tcW w:w="1140" w:type="dxa"/>
            <w:vMerge w:val="continue"/>
            <w:tcBorders>
              <w:top w:val="nil"/>
              <w:bottom w:val="nil"/>
            </w:tcBorders>
            <w:vAlign w:val="center"/>
          </w:tcPr>
          <w:p w14:paraId="0C310B4D">
            <w:pPr>
              <w:jc w:val="center"/>
              <w:rPr>
                <w:rFonts w:ascii="Arial"/>
                <w:color w:val="000000" w:themeColor="text1"/>
                <w:spacing w:val="0"/>
                <w:sz w:val="21"/>
                <w14:textFill>
                  <w14:solidFill>
                    <w14:schemeClr w14:val="tx1"/>
                  </w14:solidFill>
                </w14:textFill>
              </w:rPr>
            </w:pPr>
          </w:p>
        </w:tc>
        <w:tc>
          <w:tcPr>
            <w:tcW w:w="585" w:type="dxa"/>
            <w:vAlign w:val="top"/>
          </w:tcPr>
          <w:p w14:paraId="0DFAEA63">
            <w:pPr>
              <w:pStyle w:val="29"/>
              <w:spacing w:before="146"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bottom w:val="nil"/>
            </w:tcBorders>
            <w:vAlign w:val="top"/>
          </w:tcPr>
          <w:p w14:paraId="455DCA87">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61C1D05D">
            <w:pPr>
              <w:rPr>
                <w:rFonts w:ascii="Arial"/>
                <w:color w:val="000000" w:themeColor="text1"/>
                <w:spacing w:val="0"/>
                <w:sz w:val="21"/>
                <w14:textFill>
                  <w14:solidFill>
                    <w14:schemeClr w14:val="tx1"/>
                  </w14:solidFill>
                </w14:textFill>
              </w:rPr>
            </w:pPr>
          </w:p>
        </w:tc>
      </w:tr>
      <w:tr w14:paraId="762A3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center"/>
          </w:tcPr>
          <w:p w14:paraId="4E4E7E0E">
            <w:pPr>
              <w:pStyle w:val="29"/>
              <w:spacing w:before="137"/>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7</w:t>
            </w:r>
          </w:p>
        </w:tc>
        <w:tc>
          <w:tcPr>
            <w:tcW w:w="1510" w:type="dxa"/>
            <w:vMerge w:val="continue"/>
            <w:tcBorders>
              <w:top w:val="nil"/>
              <w:bottom w:val="nil"/>
            </w:tcBorders>
            <w:vAlign w:val="center"/>
          </w:tcPr>
          <w:p w14:paraId="5AAB6C71">
            <w:pPr>
              <w:jc w:val="center"/>
              <w:rPr>
                <w:rFonts w:ascii="Arial"/>
                <w:color w:val="000000" w:themeColor="text1"/>
                <w:spacing w:val="0"/>
                <w:sz w:val="21"/>
                <w14:textFill>
                  <w14:solidFill>
                    <w14:schemeClr w14:val="tx1"/>
                  </w14:solidFill>
                </w14:textFill>
              </w:rPr>
            </w:pPr>
          </w:p>
        </w:tc>
        <w:tc>
          <w:tcPr>
            <w:tcW w:w="2310" w:type="dxa"/>
            <w:vAlign w:val="center"/>
          </w:tcPr>
          <w:p w14:paraId="52971C1D">
            <w:pPr>
              <w:pStyle w:val="29"/>
              <w:spacing w:before="120"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文化路花带</w:t>
            </w:r>
          </w:p>
        </w:tc>
        <w:tc>
          <w:tcPr>
            <w:tcW w:w="2070" w:type="dxa"/>
            <w:vAlign w:val="top"/>
          </w:tcPr>
          <w:p w14:paraId="03671072">
            <w:pPr>
              <w:pStyle w:val="29"/>
              <w:spacing w:before="119"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伏牛路</w:t>
            </w:r>
            <w:r>
              <w:rPr>
                <w:rFonts w:hint="eastAsia"/>
                <w:color w:val="000000" w:themeColor="text1"/>
                <w:spacing w:val="0"/>
                <w:lang w:val="en-US" w:eastAsia="zh-CN"/>
                <w14:textFill>
                  <w14:solidFill>
                    <w14:schemeClr w14:val="tx1"/>
                  </w14:solidFill>
                </w14:textFill>
              </w:rPr>
              <w:t>-</w:t>
            </w:r>
            <w:r>
              <w:rPr>
                <w:color w:val="000000" w:themeColor="text1"/>
                <w:spacing w:val="0"/>
                <w14:textFill>
                  <w14:solidFill>
                    <w14:schemeClr w14:val="tx1"/>
                  </w14:solidFill>
                </w14:textFill>
              </w:rPr>
              <w:t>崤山路</w:t>
            </w:r>
          </w:p>
        </w:tc>
        <w:tc>
          <w:tcPr>
            <w:tcW w:w="1107" w:type="dxa"/>
            <w:vAlign w:val="center"/>
          </w:tcPr>
          <w:p w14:paraId="2F98E179">
            <w:pPr>
              <w:pStyle w:val="29"/>
              <w:spacing w:before="138"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3091.85</w:t>
            </w:r>
          </w:p>
        </w:tc>
        <w:tc>
          <w:tcPr>
            <w:tcW w:w="1140" w:type="dxa"/>
            <w:vMerge w:val="continue"/>
            <w:tcBorders>
              <w:top w:val="nil"/>
              <w:bottom w:val="nil"/>
            </w:tcBorders>
            <w:vAlign w:val="center"/>
          </w:tcPr>
          <w:p w14:paraId="24709203">
            <w:pPr>
              <w:jc w:val="center"/>
              <w:rPr>
                <w:rFonts w:ascii="Arial"/>
                <w:color w:val="000000" w:themeColor="text1"/>
                <w:spacing w:val="0"/>
                <w:sz w:val="21"/>
                <w14:textFill>
                  <w14:solidFill>
                    <w14:schemeClr w14:val="tx1"/>
                  </w14:solidFill>
                </w14:textFill>
              </w:rPr>
            </w:pPr>
          </w:p>
        </w:tc>
        <w:tc>
          <w:tcPr>
            <w:tcW w:w="585" w:type="dxa"/>
            <w:vAlign w:val="top"/>
          </w:tcPr>
          <w:p w14:paraId="0C610166">
            <w:pPr>
              <w:pStyle w:val="29"/>
              <w:spacing w:before="156"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bottom w:val="nil"/>
            </w:tcBorders>
            <w:vAlign w:val="top"/>
          </w:tcPr>
          <w:p w14:paraId="00FC66E6">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7B424416">
            <w:pPr>
              <w:rPr>
                <w:rFonts w:ascii="Arial"/>
                <w:color w:val="000000" w:themeColor="text1"/>
                <w:spacing w:val="0"/>
                <w:sz w:val="21"/>
                <w14:textFill>
                  <w14:solidFill>
                    <w14:schemeClr w14:val="tx1"/>
                  </w14:solidFill>
                </w14:textFill>
              </w:rPr>
            </w:pPr>
          </w:p>
        </w:tc>
      </w:tr>
      <w:tr w14:paraId="2B897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62D18881">
            <w:pPr>
              <w:pStyle w:val="29"/>
              <w:spacing w:before="127"/>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8</w:t>
            </w:r>
          </w:p>
        </w:tc>
        <w:tc>
          <w:tcPr>
            <w:tcW w:w="1510" w:type="dxa"/>
            <w:vMerge w:val="continue"/>
            <w:tcBorders>
              <w:top w:val="nil"/>
              <w:bottom w:val="nil"/>
            </w:tcBorders>
            <w:vAlign w:val="center"/>
          </w:tcPr>
          <w:p w14:paraId="192C1DB6">
            <w:pPr>
              <w:jc w:val="center"/>
              <w:rPr>
                <w:rFonts w:ascii="Arial"/>
                <w:color w:val="000000" w:themeColor="text1"/>
                <w:spacing w:val="0"/>
                <w:sz w:val="21"/>
                <w14:textFill>
                  <w14:solidFill>
                    <w14:schemeClr w14:val="tx1"/>
                  </w14:solidFill>
                </w14:textFill>
              </w:rPr>
            </w:pPr>
          </w:p>
        </w:tc>
        <w:tc>
          <w:tcPr>
            <w:tcW w:w="2310" w:type="dxa"/>
            <w:vAlign w:val="center"/>
          </w:tcPr>
          <w:p w14:paraId="4D7BE6C5">
            <w:pPr>
              <w:pStyle w:val="29"/>
              <w:spacing w:before="110"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西苑路花带</w:t>
            </w:r>
          </w:p>
        </w:tc>
        <w:tc>
          <w:tcPr>
            <w:tcW w:w="2070" w:type="dxa"/>
            <w:vAlign w:val="top"/>
          </w:tcPr>
          <w:p w14:paraId="573ECD3C">
            <w:pPr>
              <w:pStyle w:val="29"/>
              <w:spacing w:before="110"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滨河路-崤山路</w:t>
            </w:r>
          </w:p>
        </w:tc>
        <w:tc>
          <w:tcPr>
            <w:tcW w:w="1107" w:type="dxa"/>
            <w:vAlign w:val="center"/>
          </w:tcPr>
          <w:p w14:paraId="565D1999">
            <w:pPr>
              <w:pStyle w:val="29"/>
              <w:spacing w:before="128"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5270.27</w:t>
            </w:r>
          </w:p>
        </w:tc>
        <w:tc>
          <w:tcPr>
            <w:tcW w:w="1140" w:type="dxa"/>
            <w:vMerge w:val="continue"/>
            <w:tcBorders>
              <w:top w:val="nil"/>
              <w:bottom w:val="nil"/>
            </w:tcBorders>
            <w:vAlign w:val="center"/>
          </w:tcPr>
          <w:p w14:paraId="6D022453">
            <w:pPr>
              <w:jc w:val="center"/>
              <w:rPr>
                <w:rFonts w:ascii="Arial"/>
                <w:color w:val="000000" w:themeColor="text1"/>
                <w:spacing w:val="0"/>
                <w:sz w:val="21"/>
                <w14:textFill>
                  <w14:solidFill>
                    <w14:schemeClr w14:val="tx1"/>
                  </w14:solidFill>
                </w14:textFill>
              </w:rPr>
            </w:pPr>
          </w:p>
        </w:tc>
        <w:tc>
          <w:tcPr>
            <w:tcW w:w="585" w:type="dxa"/>
            <w:vAlign w:val="top"/>
          </w:tcPr>
          <w:p w14:paraId="6A1D6C23">
            <w:pPr>
              <w:pStyle w:val="29"/>
              <w:spacing w:before="146"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bottom w:val="nil"/>
            </w:tcBorders>
            <w:vAlign w:val="top"/>
          </w:tcPr>
          <w:p w14:paraId="1F81B691">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774DD715">
            <w:pPr>
              <w:rPr>
                <w:rFonts w:ascii="Arial"/>
                <w:color w:val="000000" w:themeColor="text1"/>
                <w:spacing w:val="0"/>
                <w:sz w:val="21"/>
                <w14:textFill>
                  <w14:solidFill>
                    <w14:schemeClr w14:val="tx1"/>
                  </w14:solidFill>
                </w14:textFill>
              </w:rPr>
            </w:pPr>
          </w:p>
        </w:tc>
      </w:tr>
      <w:tr w14:paraId="46124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690" w:type="dxa"/>
            <w:vAlign w:val="center"/>
          </w:tcPr>
          <w:p w14:paraId="3A539C1B">
            <w:pPr>
              <w:pStyle w:val="29"/>
              <w:spacing w:before="147"/>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9</w:t>
            </w:r>
          </w:p>
        </w:tc>
        <w:tc>
          <w:tcPr>
            <w:tcW w:w="1510" w:type="dxa"/>
            <w:vMerge w:val="continue"/>
            <w:tcBorders>
              <w:top w:val="nil"/>
            </w:tcBorders>
            <w:vAlign w:val="center"/>
          </w:tcPr>
          <w:p w14:paraId="4856D143">
            <w:pPr>
              <w:jc w:val="center"/>
              <w:rPr>
                <w:rFonts w:ascii="Arial"/>
                <w:color w:val="000000" w:themeColor="text1"/>
                <w:spacing w:val="0"/>
                <w:sz w:val="21"/>
                <w14:textFill>
                  <w14:solidFill>
                    <w14:schemeClr w14:val="tx1"/>
                  </w14:solidFill>
                </w14:textFill>
              </w:rPr>
            </w:pPr>
          </w:p>
        </w:tc>
        <w:tc>
          <w:tcPr>
            <w:tcW w:w="2310" w:type="dxa"/>
            <w:vAlign w:val="center"/>
          </w:tcPr>
          <w:p w14:paraId="460C4551">
            <w:pPr>
              <w:pStyle w:val="29"/>
              <w:spacing w:before="130"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淇河路花带</w:t>
            </w:r>
          </w:p>
        </w:tc>
        <w:tc>
          <w:tcPr>
            <w:tcW w:w="2070" w:type="dxa"/>
            <w:vAlign w:val="top"/>
          </w:tcPr>
          <w:p w14:paraId="70E942B3">
            <w:pPr>
              <w:pStyle w:val="29"/>
              <w:spacing w:before="130"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滨河路-九龙路</w:t>
            </w:r>
          </w:p>
        </w:tc>
        <w:tc>
          <w:tcPr>
            <w:tcW w:w="1107" w:type="dxa"/>
            <w:vAlign w:val="center"/>
          </w:tcPr>
          <w:p w14:paraId="6FEEFAFC">
            <w:pPr>
              <w:pStyle w:val="29"/>
              <w:spacing w:before="148"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2908.13</w:t>
            </w:r>
          </w:p>
        </w:tc>
        <w:tc>
          <w:tcPr>
            <w:tcW w:w="1140" w:type="dxa"/>
            <w:vMerge w:val="continue"/>
            <w:tcBorders>
              <w:top w:val="nil"/>
            </w:tcBorders>
            <w:vAlign w:val="center"/>
          </w:tcPr>
          <w:p w14:paraId="2C4710F5">
            <w:pPr>
              <w:jc w:val="center"/>
              <w:rPr>
                <w:rFonts w:ascii="Arial"/>
                <w:color w:val="000000" w:themeColor="text1"/>
                <w:spacing w:val="0"/>
                <w:sz w:val="21"/>
                <w14:textFill>
                  <w14:solidFill>
                    <w14:schemeClr w14:val="tx1"/>
                  </w14:solidFill>
                </w14:textFill>
              </w:rPr>
            </w:pPr>
          </w:p>
        </w:tc>
        <w:tc>
          <w:tcPr>
            <w:tcW w:w="585" w:type="dxa"/>
            <w:vAlign w:val="top"/>
          </w:tcPr>
          <w:p w14:paraId="0991B808">
            <w:pPr>
              <w:pStyle w:val="29"/>
              <w:spacing w:before="165"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tcBorders>
            <w:vAlign w:val="top"/>
          </w:tcPr>
          <w:p w14:paraId="787A79EB">
            <w:pPr>
              <w:rPr>
                <w:rFonts w:ascii="Arial"/>
                <w:color w:val="000000" w:themeColor="text1"/>
                <w:spacing w:val="0"/>
                <w:sz w:val="21"/>
                <w14:textFill>
                  <w14:solidFill>
                    <w14:schemeClr w14:val="tx1"/>
                  </w14:solidFill>
                </w14:textFill>
              </w:rPr>
            </w:pPr>
          </w:p>
        </w:tc>
        <w:tc>
          <w:tcPr>
            <w:tcW w:w="906" w:type="dxa"/>
            <w:vMerge w:val="continue"/>
            <w:tcBorders>
              <w:top w:val="nil"/>
            </w:tcBorders>
            <w:vAlign w:val="top"/>
          </w:tcPr>
          <w:p w14:paraId="14B4D834">
            <w:pPr>
              <w:rPr>
                <w:rFonts w:ascii="Arial"/>
                <w:color w:val="000000" w:themeColor="text1"/>
                <w:spacing w:val="0"/>
                <w:sz w:val="21"/>
                <w14:textFill>
                  <w14:solidFill>
                    <w14:schemeClr w14:val="tx1"/>
                  </w14:solidFill>
                </w14:textFill>
              </w:rPr>
            </w:pPr>
          </w:p>
        </w:tc>
      </w:tr>
      <w:tr w14:paraId="7272B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402CB9DD">
            <w:pPr>
              <w:pStyle w:val="29"/>
              <w:spacing w:before="128"/>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10</w:t>
            </w:r>
          </w:p>
        </w:tc>
        <w:tc>
          <w:tcPr>
            <w:tcW w:w="1510" w:type="dxa"/>
            <w:vMerge w:val="restart"/>
            <w:tcBorders>
              <w:bottom w:val="nil"/>
            </w:tcBorders>
            <w:vAlign w:val="center"/>
          </w:tcPr>
          <w:p w14:paraId="6696B112">
            <w:pPr>
              <w:pStyle w:val="29"/>
              <w:spacing w:before="58"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南岸道路绿篱</w:t>
            </w:r>
          </w:p>
        </w:tc>
        <w:tc>
          <w:tcPr>
            <w:tcW w:w="2310" w:type="dxa"/>
            <w:vAlign w:val="center"/>
          </w:tcPr>
          <w:p w14:paraId="63125BF7">
            <w:pPr>
              <w:pStyle w:val="29"/>
              <w:spacing w:before="111"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清华园东门口花带</w:t>
            </w:r>
          </w:p>
        </w:tc>
        <w:tc>
          <w:tcPr>
            <w:tcW w:w="2070" w:type="dxa"/>
            <w:vAlign w:val="center"/>
          </w:tcPr>
          <w:p w14:paraId="7AB822FB">
            <w:pPr>
              <w:pStyle w:val="29"/>
              <w:spacing w:before="111"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熊耳路-顺义路</w:t>
            </w:r>
          </w:p>
        </w:tc>
        <w:tc>
          <w:tcPr>
            <w:tcW w:w="1107" w:type="dxa"/>
            <w:vAlign w:val="center"/>
          </w:tcPr>
          <w:p w14:paraId="0804B37A">
            <w:pPr>
              <w:pStyle w:val="29"/>
              <w:spacing w:before="129"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640.95</w:t>
            </w:r>
          </w:p>
        </w:tc>
        <w:tc>
          <w:tcPr>
            <w:tcW w:w="1140" w:type="dxa"/>
            <w:vMerge w:val="restart"/>
            <w:tcBorders>
              <w:bottom w:val="nil"/>
            </w:tcBorders>
            <w:vAlign w:val="center"/>
          </w:tcPr>
          <w:p w14:paraId="457AE4E3">
            <w:pPr>
              <w:pStyle w:val="29"/>
              <w:spacing w:before="59"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6999.9</w:t>
            </w:r>
          </w:p>
        </w:tc>
        <w:tc>
          <w:tcPr>
            <w:tcW w:w="585" w:type="dxa"/>
            <w:vAlign w:val="center"/>
          </w:tcPr>
          <w:p w14:paraId="61951462">
            <w:pPr>
              <w:pStyle w:val="29"/>
              <w:spacing w:before="146"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restart"/>
            <w:tcBorders>
              <w:bottom w:val="nil"/>
            </w:tcBorders>
            <w:vAlign w:val="center"/>
          </w:tcPr>
          <w:p w14:paraId="067184C5">
            <w:pPr>
              <w:pStyle w:val="29"/>
              <w:spacing w:before="59" w:line="239" w:lineRule="auto"/>
              <w:jc w:val="center"/>
              <w:rPr>
                <w:color w:val="000000" w:themeColor="text1"/>
                <w:spacing w:val="0"/>
                <w14:textFill>
                  <w14:solidFill>
                    <w14:schemeClr w14:val="tx1"/>
                  </w14:solidFill>
                </w14:textFill>
              </w:rPr>
            </w:pPr>
          </w:p>
        </w:tc>
        <w:tc>
          <w:tcPr>
            <w:tcW w:w="906" w:type="dxa"/>
            <w:vMerge w:val="restart"/>
            <w:tcBorders>
              <w:bottom w:val="nil"/>
            </w:tcBorders>
            <w:vAlign w:val="center"/>
          </w:tcPr>
          <w:p w14:paraId="4CC89824">
            <w:pPr>
              <w:pStyle w:val="29"/>
              <w:spacing w:before="59" w:line="239" w:lineRule="auto"/>
              <w:jc w:val="center"/>
              <w:rPr>
                <w:color w:val="000000" w:themeColor="text1"/>
                <w:spacing w:val="0"/>
                <w14:textFill>
                  <w14:solidFill>
                    <w14:schemeClr w14:val="tx1"/>
                  </w14:solidFill>
                </w14:textFill>
              </w:rPr>
            </w:pPr>
          </w:p>
        </w:tc>
      </w:tr>
      <w:tr w14:paraId="76B0D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center"/>
          </w:tcPr>
          <w:p w14:paraId="7B2FD3AD">
            <w:pPr>
              <w:pStyle w:val="29"/>
              <w:spacing w:before="139"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11</w:t>
            </w:r>
          </w:p>
        </w:tc>
        <w:tc>
          <w:tcPr>
            <w:tcW w:w="1510" w:type="dxa"/>
            <w:vMerge w:val="continue"/>
            <w:tcBorders>
              <w:top w:val="nil"/>
              <w:bottom w:val="nil"/>
            </w:tcBorders>
            <w:vAlign w:val="center"/>
          </w:tcPr>
          <w:p w14:paraId="460CC20A">
            <w:pPr>
              <w:jc w:val="center"/>
              <w:rPr>
                <w:rFonts w:ascii="Arial"/>
                <w:color w:val="000000" w:themeColor="text1"/>
                <w:spacing w:val="0"/>
                <w:sz w:val="21"/>
                <w14:textFill>
                  <w14:solidFill>
                    <w14:schemeClr w14:val="tx1"/>
                  </w14:solidFill>
                </w14:textFill>
              </w:rPr>
            </w:pPr>
          </w:p>
        </w:tc>
        <w:tc>
          <w:tcPr>
            <w:tcW w:w="2310" w:type="dxa"/>
            <w:vAlign w:val="center"/>
          </w:tcPr>
          <w:p w14:paraId="59463BD5">
            <w:pPr>
              <w:pStyle w:val="29"/>
              <w:spacing w:before="121"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站前广场路花带</w:t>
            </w:r>
          </w:p>
        </w:tc>
        <w:tc>
          <w:tcPr>
            <w:tcW w:w="2070" w:type="dxa"/>
            <w:vAlign w:val="center"/>
          </w:tcPr>
          <w:p w14:paraId="177CF9A6">
            <w:pPr>
              <w:pStyle w:val="29"/>
              <w:spacing w:before="121"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熊耳路</w:t>
            </w:r>
            <w:r>
              <w:rPr>
                <w:rFonts w:hint="eastAsia"/>
                <w:color w:val="000000" w:themeColor="text1"/>
                <w:spacing w:val="0"/>
                <w:lang w:val="en-US" w:eastAsia="zh-CN"/>
                <w14:textFill>
                  <w14:solidFill>
                    <w14:schemeClr w14:val="tx1"/>
                  </w14:solidFill>
                </w14:textFill>
              </w:rPr>
              <w:t>-</w:t>
            </w:r>
            <w:r>
              <w:rPr>
                <w:color w:val="000000" w:themeColor="text1"/>
                <w:spacing w:val="0"/>
                <w14:textFill>
                  <w14:solidFill>
                    <w14:schemeClr w14:val="tx1"/>
                  </w14:solidFill>
                </w14:textFill>
              </w:rPr>
              <w:t>兴贤大道</w:t>
            </w:r>
          </w:p>
        </w:tc>
        <w:tc>
          <w:tcPr>
            <w:tcW w:w="1107" w:type="dxa"/>
            <w:vAlign w:val="center"/>
          </w:tcPr>
          <w:p w14:paraId="618BE3AA">
            <w:pPr>
              <w:pStyle w:val="29"/>
              <w:spacing w:before="139"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2949.95</w:t>
            </w:r>
          </w:p>
        </w:tc>
        <w:tc>
          <w:tcPr>
            <w:tcW w:w="1140" w:type="dxa"/>
            <w:vMerge w:val="continue"/>
            <w:tcBorders>
              <w:top w:val="nil"/>
              <w:bottom w:val="nil"/>
            </w:tcBorders>
            <w:vAlign w:val="center"/>
          </w:tcPr>
          <w:p w14:paraId="55571AF8">
            <w:pPr>
              <w:jc w:val="center"/>
              <w:rPr>
                <w:rFonts w:ascii="Arial"/>
                <w:color w:val="000000" w:themeColor="text1"/>
                <w:spacing w:val="0"/>
                <w:sz w:val="21"/>
                <w14:textFill>
                  <w14:solidFill>
                    <w14:schemeClr w14:val="tx1"/>
                  </w14:solidFill>
                </w14:textFill>
              </w:rPr>
            </w:pPr>
          </w:p>
        </w:tc>
        <w:tc>
          <w:tcPr>
            <w:tcW w:w="585" w:type="dxa"/>
            <w:vAlign w:val="center"/>
          </w:tcPr>
          <w:p w14:paraId="6AC8303F">
            <w:pPr>
              <w:pStyle w:val="29"/>
              <w:spacing w:before="157"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bottom w:val="nil"/>
            </w:tcBorders>
            <w:vAlign w:val="top"/>
          </w:tcPr>
          <w:p w14:paraId="38AE1BE8">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0AF0240E">
            <w:pPr>
              <w:rPr>
                <w:rFonts w:ascii="Arial"/>
                <w:color w:val="000000" w:themeColor="text1"/>
                <w:spacing w:val="0"/>
                <w:sz w:val="21"/>
                <w14:textFill>
                  <w14:solidFill>
                    <w14:schemeClr w14:val="tx1"/>
                  </w14:solidFill>
                </w14:textFill>
              </w:rPr>
            </w:pPr>
          </w:p>
        </w:tc>
      </w:tr>
      <w:tr w14:paraId="1200C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690" w:type="dxa"/>
            <w:vAlign w:val="center"/>
          </w:tcPr>
          <w:p w14:paraId="3296A628">
            <w:pPr>
              <w:pStyle w:val="29"/>
              <w:spacing w:before="129"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12</w:t>
            </w:r>
          </w:p>
        </w:tc>
        <w:tc>
          <w:tcPr>
            <w:tcW w:w="1510" w:type="dxa"/>
            <w:vMerge w:val="continue"/>
            <w:tcBorders>
              <w:top w:val="nil"/>
            </w:tcBorders>
            <w:vAlign w:val="center"/>
          </w:tcPr>
          <w:p w14:paraId="5B88D33B">
            <w:pPr>
              <w:jc w:val="center"/>
              <w:rPr>
                <w:rFonts w:ascii="Arial"/>
                <w:color w:val="000000" w:themeColor="text1"/>
                <w:spacing w:val="0"/>
                <w:sz w:val="21"/>
                <w14:textFill>
                  <w14:solidFill>
                    <w14:schemeClr w14:val="tx1"/>
                  </w14:solidFill>
                </w14:textFill>
              </w:rPr>
            </w:pPr>
          </w:p>
        </w:tc>
        <w:tc>
          <w:tcPr>
            <w:tcW w:w="2310" w:type="dxa"/>
            <w:vAlign w:val="center"/>
          </w:tcPr>
          <w:p w14:paraId="4D8A731E">
            <w:pPr>
              <w:pStyle w:val="29"/>
              <w:spacing w:before="110"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文博佳苑路花带</w:t>
            </w:r>
          </w:p>
        </w:tc>
        <w:tc>
          <w:tcPr>
            <w:tcW w:w="2070" w:type="dxa"/>
            <w:vAlign w:val="center"/>
          </w:tcPr>
          <w:p w14:paraId="6E2550F1">
            <w:pPr>
              <w:jc w:val="center"/>
              <w:rPr>
                <w:rFonts w:ascii="Arial"/>
                <w:color w:val="000000" w:themeColor="text1"/>
                <w:spacing w:val="0"/>
                <w:sz w:val="21"/>
                <w14:textFill>
                  <w14:solidFill>
                    <w14:schemeClr w14:val="tx1"/>
                  </w14:solidFill>
                </w14:textFill>
              </w:rPr>
            </w:pPr>
          </w:p>
        </w:tc>
        <w:tc>
          <w:tcPr>
            <w:tcW w:w="1107" w:type="dxa"/>
            <w:vAlign w:val="center"/>
          </w:tcPr>
          <w:p w14:paraId="512EDAC1">
            <w:pPr>
              <w:pStyle w:val="29"/>
              <w:spacing w:before="128"/>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3409</w:t>
            </w:r>
          </w:p>
        </w:tc>
        <w:tc>
          <w:tcPr>
            <w:tcW w:w="1140" w:type="dxa"/>
            <w:vMerge w:val="continue"/>
            <w:tcBorders>
              <w:top w:val="nil"/>
            </w:tcBorders>
            <w:vAlign w:val="center"/>
          </w:tcPr>
          <w:p w14:paraId="5E69A13A">
            <w:pPr>
              <w:jc w:val="center"/>
              <w:rPr>
                <w:rFonts w:ascii="Arial"/>
                <w:color w:val="000000" w:themeColor="text1"/>
                <w:spacing w:val="0"/>
                <w:sz w:val="21"/>
                <w14:textFill>
                  <w14:solidFill>
                    <w14:schemeClr w14:val="tx1"/>
                  </w14:solidFill>
                </w14:textFill>
              </w:rPr>
            </w:pPr>
          </w:p>
        </w:tc>
        <w:tc>
          <w:tcPr>
            <w:tcW w:w="585" w:type="dxa"/>
            <w:vAlign w:val="center"/>
          </w:tcPr>
          <w:p w14:paraId="473D909A">
            <w:pPr>
              <w:pStyle w:val="29"/>
              <w:spacing w:before="147"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tcBorders>
            <w:vAlign w:val="top"/>
          </w:tcPr>
          <w:p w14:paraId="2B7F3BED">
            <w:pPr>
              <w:rPr>
                <w:rFonts w:ascii="Arial"/>
                <w:color w:val="000000" w:themeColor="text1"/>
                <w:spacing w:val="0"/>
                <w:sz w:val="21"/>
                <w14:textFill>
                  <w14:solidFill>
                    <w14:schemeClr w14:val="tx1"/>
                  </w14:solidFill>
                </w14:textFill>
              </w:rPr>
            </w:pPr>
          </w:p>
        </w:tc>
        <w:tc>
          <w:tcPr>
            <w:tcW w:w="906" w:type="dxa"/>
            <w:vMerge w:val="continue"/>
            <w:tcBorders>
              <w:top w:val="nil"/>
            </w:tcBorders>
            <w:vAlign w:val="top"/>
          </w:tcPr>
          <w:p w14:paraId="7D8E1BD9">
            <w:pPr>
              <w:rPr>
                <w:rFonts w:ascii="Arial"/>
                <w:color w:val="000000" w:themeColor="text1"/>
                <w:spacing w:val="0"/>
                <w:sz w:val="21"/>
                <w14:textFill>
                  <w14:solidFill>
                    <w14:schemeClr w14:val="tx1"/>
                  </w14:solidFill>
                </w14:textFill>
              </w:rPr>
            </w:pPr>
          </w:p>
        </w:tc>
      </w:tr>
      <w:tr w14:paraId="73506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Align w:val="center"/>
          </w:tcPr>
          <w:p w14:paraId="07DE8A21">
            <w:pPr>
              <w:pStyle w:val="29"/>
              <w:spacing w:before="139"/>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13</w:t>
            </w:r>
          </w:p>
        </w:tc>
        <w:tc>
          <w:tcPr>
            <w:tcW w:w="1510" w:type="dxa"/>
            <w:vAlign w:val="center"/>
          </w:tcPr>
          <w:p w14:paraId="59E33547">
            <w:pPr>
              <w:pStyle w:val="29"/>
              <w:spacing w:before="122"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行道树</w:t>
            </w:r>
          </w:p>
        </w:tc>
        <w:tc>
          <w:tcPr>
            <w:tcW w:w="2310" w:type="dxa"/>
            <w:vAlign w:val="center"/>
          </w:tcPr>
          <w:p w14:paraId="0D2FA8E1">
            <w:pPr>
              <w:jc w:val="center"/>
              <w:rPr>
                <w:rFonts w:ascii="Arial"/>
                <w:color w:val="000000" w:themeColor="text1"/>
                <w:spacing w:val="0"/>
                <w:sz w:val="21"/>
                <w14:textFill>
                  <w14:solidFill>
                    <w14:schemeClr w14:val="tx1"/>
                  </w14:solidFill>
                </w14:textFill>
              </w:rPr>
            </w:pPr>
          </w:p>
        </w:tc>
        <w:tc>
          <w:tcPr>
            <w:tcW w:w="2070" w:type="dxa"/>
            <w:vAlign w:val="top"/>
          </w:tcPr>
          <w:p w14:paraId="2D2AC9F2">
            <w:pPr>
              <w:rPr>
                <w:rFonts w:ascii="Arial"/>
                <w:color w:val="000000" w:themeColor="text1"/>
                <w:spacing w:val="0"/>
                <w:sz w:val="21"/>
                <w14:textFill>
                  <w14:solidFill>
                    <w14:schemeClr w14:val="tx1"/>
                  </w14:solidFill>
                </w14:textFill>
              </w:rPr>
            </w:pPr>
          </w:p>
        </w:tc>
        <w:tc>
          <w:tcPr>
            <w:tcW w:w="1107" w:type="dxa"/>
            <w:vAlign w:val="top"/>
          </w:tcPr>
          <w:p w14:paraId="1436D855">
            <w:pPr>
              <w:rPr>
                <w:rFonts w:ascii="Arial"/>
                <w:color w:val="000000" w:themeColor="text1"/>
                <w:spacing w:val="0"/>
                <w:sz w:val="21"/>
                <w14:textFill>
                  <w14:solidFill>
                    <w14:schemeClr w14:val="tx1"/>
                  </w14:solidFill>
                </w14:textFill>
              </w:rPr>
            </w:pPr>
          </w:p>
        </w:tc>
        <w:tc>
          <w:tcPr>
            <w:tcW w:w="1140" w:type="dxa"/>
            <w:vAlign w:val="center"/>
          </w:tcPr>
          <w:p w14:paraId="3DC02844">
            <w:pPr>
              <w:pStyle w:val="29"/>
              <w:spacing w:before="139"/>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7138</w:t>
            </w:r>
          </w:p>
        </w:tc>
        <w:tc>
          <w:tcPr>
            <w:tcW w:w="585" w:type="dxa"/>
            <w:vAlign w:val="center"/>
          </w:tcPr>
          <w:p w14:paraId="57183CD2">
            <w:pPr>
              <w:pStyle w:val="29"/>
              <w:spacing w:before="122"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株</w:t>
            </w:r>
          </w:p>
        </w:tc>
        <w:tc>
          <w:tcPr>
            <w:tcW w:w="927" w:type="dxa"/>
            <w:vAlign w:val="center"/>
          </w:tcPr>
          <w:p w14:paraId="610B8179">
            <w:pPr>
              <w:pStyle w:val="29"/>
              <w:spacing w:before="140" w:line="239" w:lineRule="auto"/>
              <w:jc w:val="center"/>
              <w:rPr>
                <w:color w:val="000000" w:themeColor="text1"/>
                <w:spacing w:val="0"/>
                <w14:textFill>
                  <w14:solidFill>
                    <w14:schemeClr w14:val="tx1"/>
                  </w14:solidFill>
                </w14:textFill>
              </w:rPr>
            </w:pPr>
          </w:p>
        </w:tc>
        <w:tc>
          <w:tcPr>
            <w:tcW w:w="906" w:type="dxa"/>
            <w:vAlign w:val="top"/>
          </w:tcPr>
          <w:p w14:paraId="533EC641">
            <w:pPr>
              <w:pStyle w:val="29"/>
              <w:spacing w:before="140" w:line="239" w:lineRule="auto"/>
              <w:ind w:left="189"/>
              <w:rPr>
                <w:color w:val="000000" w:themeColor="text1"/>
                <w:spacing w:val="0"/>
                <w14:textFill>
                  <w14:solidFill>
                    <w14:schemeClr w14:val="tx1"/>
                  </w14:solidFill>
                </w14:textFill>
              </w:rPr>
            </w:pPr>
          </w:p>
        </w:tc>
      </w:tr>
      <w:tr w14:paraId="4D6A3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jc w:val="center"/>
        </w:trPr>
        <w:tc>
          <w:tcPr>
            <w:tcW w:w="690" w:type="dxa"/>
            <w:vAlign w:val="center"/>
          </w:tcPr>
          <w:p w14:paraId="0EC2F06D">
            <w:pPr>
              <w:pStyle w:val="29"/>
              <w:spacing w:before="120"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14</w:t>
            </w:r>
          </w:p>
        </w:tc>
        <w:tc>
          <w:tcPr>
            <w:tcW w:w="1510" w:type="dxa"/>
            <w:vMerge w:val="restart"/>
            <w:tcBorders>
              <w:bottom w:val="nil"/>
            </w:tcBorders>
            <w:vAlign w:val="center"/>
          </w:tcPr>
          <w:p w14:paraId="074EA878">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交通渠化岛</w:t>
            </w:r>
          </w:p>
        </w:tc>
        <w:tc>
          <w:tcPr>
            <w:tcW w:w="2310" w:type="dxa"/>
            <w:vAlign w:val="center"/>
          </w:tcPr>
          <w:p w14:paraId="6F269783">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交通岛绿化</w:t>
            </w:r>
          </w:p>
        </w:tc>
        <w:tc>
          <w:tcPr>
            <w:tcW w:w="2070" w:type="dxa"/>
            <w:vAlign w:val="center"/>
          </w:tcPr>
          <w:p w14:paraId="520B8FA3">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清惠路-淇河路交叉口</w:t>
            </w:r>
          </w:p>
        </w:tc>
        <w:tc>
          <w:tcPr>
            <w:tcW w:w="1107" w:type="dxa"/>
            <w:vAlign w:val="center"/>
          </w:tcPr>
          <w:p w14:paraId="0F4EA841">
            <w:pPr>
              <w:pStyle w:val="29"/>
              <w:spacing w:before="119"/>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476</w:t>
            </w:r>
          </w:p>
        </w:tc>
        <w:tc>
          <w:tcPr>
            <w:tcW w:w="1140" w:type="dxa"/>
            <w:vMerge w:val="restart"/>
            <w:tcBorders>
              <w:bottom w:val="nil"/>
            </w:tcBorders>
            <w:vAlign w:val="center"/>
          </w:tcPr>
          <w:p w14:paraId="33E2AFE2">
            <w:pPr>
              <w:pStyle w:val="29"/>
              <w:spacing w:before="58"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1407.28</w:t>
            </w:r>
          </w:p>
        </w:tc>
        <w:tc>
          <w:tcPr>
            <w:tcW w:w="585" w:type="dxa"/>
            <w:vAlign w:val="center"/>
          </w:tcPr>
          <w:p w14:paraId="69D2ACFB">
            <w:pPr>
              <w:pStyle w:val="29"/>
              <w:spacing w:before="138"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restart"/>
            <w:tcBorders>
              <w:bottom w:val="nil"/>
            </w:tcBorders>
            <w:vAlign w:val="center"/>
          </w:tcPr>
          <w:p w14:paraId="7CE3B88D">
            <w:pPr>
              <w:pStyle w:val="29"/>
              <w:spacing w:before="58" w:line="239" w:lineRule="auto"/>
              <w:jc w:val="center"/>
              <w:rPr>
                <w:color w:val="000000" w:themeColor="text1"/>
                <w:spacing w:val="0"/>
                <w14:textFill>
                  <w14:solidFill>
                    <w14:schemeClr w14:val="tx1"/>
                  </w14:solidFill>
                </w14:textFill>
              </w:rPr>
            </w:pPr>
          </w:p>
        </w:tc>
        <w:tc>
          <w:tcPr>
            <w:tcW w:w="906" w:type="dxa"/>
            <w:vMerge w:val="restart"/>
            <w:tcBorders>
              <w:bottom w:val="nil"/>
            </w:tcBorders>
            <w:vAlign w:val="center"/>
          </w:tcPr>
          <w:p w14:paraId="0190BBF8">
            <w:pPr>
              <w:pStyle w:val="29"/>
              <w:spacing w:before="58" w:line="239" w:lineRule="auto"/>
              <w:jc w:val="center"/>
              <w:rPr>
                <w:color w:val="000000" w:themeColor="text1"/>
                <w:spacing w:val="0"/>
                <w14:textFill>
                  <w14:solidFill>
                    <w14:schemeClr w14:val="tx1"/>
                  </w14:solidFill>
                </w14:textFill>
              </w:rPr>
            </w:pPr>
          </w:p>
        </w:tc>
      </w:tr>
      <w:tr w14:paraId="6DD4C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690" w:type="dxa"/>
            <w:vAlign w:val="center"/>
          </w:tcPr>
          <w:p w14:paraId="152A6027">
            <w:pPr>
              <w:pStyle w:val="29"/>
              <w:spacing w:before="129"/>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15</w:t>
            </w:r>
          </w:p>
        </w:tc>
        <w:tc>
          <w:tcPr>
            <w:tcW w:w="1510" w:type="dxa"/>
            <w:vMerge w:val="continue"/>
            <w:tcBorders>
              <w:top w:val="nil"/>
            </w:tcBorders>
            <w:vAlign w:val="center"/>
          </w:tcPr>
          <w:p w14:paraId="2E1D5BCE">
            <w:pPr>
              <w:pStyle w:val="29"/>
              <w:spacing w:before="112" w:line="219" w:lineRule="auto"/>
              <w:jc w:val="center"/>
              <w:rPr>
                <w:rFonts w:ascii="宋体" w:hAnsi="宋体" w:eastAsia="宋体" w:cs="宋体"/>
                <w:color w:val="000000" w:themeColor="text1"/>
                <w:spacing w:val="0"/>
                <w14:textFill>
                  <w14:solidFill>
                    <w14:schemeClr w14:val="tx1"/>
                  </w14:solidFill>
                </w14:textFill>
              </w:rPr>
            </w:pPr>
          </w:p>
        </w:tc>
        <w:tc>
          <w:tcPr>
            <w:tcW w:w="2310" w:type="dxa"/>
            <w:vAlign w:val="center"/>
          </w:tcPr>
          <w:p w14:paraId="169CBC00">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淇河桥北交通渠化岛</w:t>
            </w:r>
          </w:p>
        </w:tc>
        <w:tc>
          <w:tcPr>
            <w:tcW w:w="2070" w:type="dxa"/>
            <w:vAlign w:val="center"/>
          </w:tcPr>
          <w:p w14:paraId="5ECB62A7">
            <w:pPr>
              <w:pStyle w:val="29"/>
              <w:spacing w:before="112" w:line="219" w:lineRule="auto"/>
              <w:jc w:val="center"/>
              <w:rPr>
                <w:rFonts w:ascii="宋体" w:hAnsi="宋体" w:eastAsia="宋体" w:cs="宋体"/>
                <w:color w:val="000000" w:themeColor="text1"/>
                <w:spacing w:val="0"/>
                <w14:textFill>
                  <w14:solidFill>
                    <w14:schemeClr w14:val="tx1"/>
                  </w14:solidFill>
                </w14:textFill>
              </w:rPr>
            </w:pPr>
          </w:p>
        </w:tc>
        <w:tc>
          <w:tcPr>
            <w:tcW w:w="1107" w:type="dxa"/>
            <w:vAlign w:val="center"/>
          </w:tcPr>
          <w:p w14:paraId="77B89302">
            <w:pPr>
              <w:pStyle w:val="29"/>
              <w:spacing w:before="130"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931.28</w:t>
            </w:r>
          </w:p>
        </w:tc>
        <w:tc>
          <w:tcPr>
            <w:tcW w:w="1140" w:type="dxa"/>
            <w:vMerge w:val="continue"/>
            <w:tcBorders>
              <w:top w:val="nil"/>
            </w:tcBorders>
            <w:vAlign w:val="center"/>
          </w:tcPr>
          <w:p w14:paraId="551A76EC">
            <w:pPr>
              <w:jc w:val="center"/>
              <w:rPr>
                <w:rFonts w:ascii="Arial"/>
                <w:color w:val="000000" w:themeColor="text1"/>
                <w:spacing w:val="0"/>
                <w:sz w:val="21"/>
                <w14:textFill>
                  <w14:solidFill>
                    <w14:schemeClr w14:val="tx1"/>
                  </w14:solidFill>
                </w14:textFill>
              </w:rPr>
            </w:pPr>
          </w:p>
        </w:tc>
        <w:tc>
          <w:tcPr>
            <w:tcW w:w="585" w:type="dxa"/>
            <w:vAlign w:val="center"/>
          </w:tcPr>
          <w:p w14:paraId="4D6E68A4">
            <w:pPr>
              <w:pStyle w:val="29"/>
              <w:spacing w:before="148"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continue"/>
            <w:tcBorders>
              <w:top w:val="nil"/>
            </w:tcBorders>
            <w:vAlign w:val="center"/>
          </w:tcPr>
          <w:p w14:paraId="267EB56D">
            <w:pPr>
              <w:jc w:val="center"/>
              <w:rPr>
                <w:rFonts w:ascii="Arial"/>
                <w:color w:val="000000" w:themeColor="text1"/>
                <w:spacing w:val="0"/>
                <w:sz w:val="21"/>
                <w14:textFill>
                  <w14:solidFill>
                    <w14:schemeClr w14:val="tx1"/>
                  </w14:solidFill>
                </w14:textFill>
              </w:rPr>
            </w:pPr>
          </w:p>
        </w:tc>
        <w:tc>
          <w:tcPr>
            <w:tcW w:w="906" w:type="dxa"/>
            <w:vMerge w:val="continue"/>
            <w:tcBorders>
              <w:top w:val="nil"/>
            </w:tcBorders>
            <w:vAlign w:val="center"/>
          </w:tcPr>
          <w:p w14:paraId="72950E80">
            <w:pPr>
              <w:jc w:val="center"/>
              <w:rPr>
                <w:rFonts w:ascii="Arial"/>
                <w:color w:val="000000" w:themeColor="text1"/>
                <w:spacing w:val="0"/>
                <w:sz w:val="21"/>
                <w14:textFill>
                  <w14:solidFill>
                    <w14:schemeClr w14:val="tx1"/>
                  </w14:solidFill>
                </w14:textFill>
              </w:rPr>
            </w:pPr>
          </w:p>
        </w:tc>
      </w:tr>
      <w:tr w14:paraId="1D415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center"/>
          </w:tcPr>
          <w:p w14:paraId="17614EDC">
            <w:pPr>
              <w:pStyle w:val="29"/>
              <w:spacing w:before="140"/>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16</w:t>
            </w:r>
          </w:p>
        </w:tc>
        <w:tc>
          <w:tcPr>
            <w:tcW w:w="1510" w:type="dxa"/>
            <w:vAlign w:val="center"/>
          </w:tcPr>
          <w:p w14:paraId="3B0F9F83">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洛神公园</w:t>
            </w:r>
          </w:p>
        </w:tc>
        <w:tc>
          <w:tcPr>
            <w:tcW w:w="2310" w:type="dxa"/>
            <w:vAlign w:val="center"/>
          </w:tcPr>
          <w:p w14:paraId="05CE012C">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洛神公园环路外侧绿化</w:t>
            </w:r>
          </w:p>
        </w:tc>
        <w:tc>
          <w:tcPr>
            <w:tcW w:w="2070" w:type="dxa"/>
            <w:vAlign w:val="center"/>
          </w:tcPr>
          <w:p w14:paraId="64DB2964">
            <w:pPr>
              <w:jc w:val="center"/>
              <w:rPr>
                <w:rFonts w:ascii="Arial"/>
                <w:color w:val="000000" w:themeColor="text1"/>
                <w:spacing w:val="0"/>
                <w:sz w:val="21"/>
                <w14:textFill>
                  <w14:solidFill>
                    <w14:schemeClr w14:val="tx1"/>
                  </w14:solidFill>
                </w14:textFill>
              </w:rPr>
            </w:pPr>
          </w:p>
        </w:tc>
        <w:tc>
          <w:tcPr>
            <w:tcW w:w="1107" w:type="dxa"/>
            <w:vAlign w:val="center"/>
          </w:tcPr>
          <w:p w14:paraId="4D9D0C79">
            <w:pPr>
              <w:pStyle w:val="29"/>
              <w:spacing w:before="141"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51686.68</w:t>
            </w:r>
          </w:p>
        </w:tc>
        <w:tc>
          <w:tcPr>
            <w:tcW w:w="1140" w:type="dxa"/>
            <w:vAlign w:val="center"/>
          </w:tcPr>
          <w:p w14:paraId="4D372D99">
            <w:pPr>
              <w:pStyle w:val="29"/>
              <w:spacing w:before="141"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51686.68</w:t>
            </w:r>
          </w:p>
        </w:tc>
        <w:tc>
          <w:tcPr>
            <w:tcW w:w="585" w:type="dxa"/>
            <w:vAlign w:val="center"/>
          </w:tcPr>
          <w:p w14:paraId="2739D2B5">
            <w:pPr>
              <w:pStyle w:val="29"/>
              <w:spacing w:before="159"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Align w:val="center"/>
          </w:tcPr>
          <w:p w14:paraId="1EA5ABC3">
            <w:pPr>
              <w:pStyle w:val="29"/>
              <w:spacing w:before="141" w:line="239" w:lineRule="auto"/>
              <w:jc w:val="center"/>
              <w:rPr>
                <w:color w:val="000000" w:themeColor="text1"/>
                <w:spacing w:val="0"/>
                <w14:textFill>
                  <w14:solidFill>
                    <w14:schemeClr w14:val="tx1"/>
                  </w14:solidFill>
                </w14:textFill>
              </w:rPr>
            </w:pPr>
          </w:p>
        </w:tc>
        <w:tc>
          <w:tcPr>
            <w:tcW w:w="906" w:type="dxa"/>
            <w:vAlign w:val="center"/>
          </w:tcPr>
          <w:p w14:paraId="3BADE3E0">
            <w:pPr>
              <w:pStyle w:val="29"/>
              <w:spacing w:before="141" w:line="239" w:lineRule="auto"/>
              <w:jc w:val="center"/>
              <w:rPr>
                <w:color w:val="000000" w:themeColor="text1"/>
                <w:spacing w:val="0"/>
                <w14:textFill>
                  <w14:solidFill>
                    <w14:schemeClr w14:val="tx1"/>
                  </w14:solidFill>
                </w14:textFill>
              </w:rPr>
            </w:pPr>
          </w:p>
        </w:tc>
      </w:tr>
      <w:tr w14:paraId="0626A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690" w:type="dxa"/>
            <w:vAlign w:val="center"/>
          </w:tcPr>
          <w:p w14:paraId="7966017D">
            <w:pPr>
              <w:pStyle w:val="29"/>
              <w:spacing w:before="130"/>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17</w:t>
            </w:r>
          </w:p>
        </w:tc>
        <w:tc>
          <w:tcPr>
            <w:tcW w:w="1510" w:type="dxa"/>
            <w:vMerge w:val="restart"/>
            <w:tcBorders>
              <w:bottom w:val="nil"/>
            </w:tcBorders>
            <w:vAlign w:val="center"/>
          </w:tcPr>
          <w:p w14:paraId="63D337DF">
            <w:pPr>
              <w:pStyle w:val="29"/>
              <w:spacing w:before="59" w:line="220"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小游园及小广场</w:t>
            </w:r>
          </w:p>
        </w:tc>
        <w:tc>
          <w:tcPr>
            <w:tcW w:w="2310" w:type="dxa"/>
            <w:vAlign w:val="center"/>
          </w:tcPr>
          <w:p w14:paraId="55E3E994">
            <w:pPr>
              <w:pStyle w:val="29"/>
              <w:spacing w:before="113" w:line="21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文明路小广场</w:t>
            </w:r>
          </w:p>
        </w:tc>
        <w:tc>
          <w:tcPr>
            <w:tcW w:w="2070" w:type="dxa"/>
            <w:vAlign w:val="top"/>
          </w:tcPr>
          <w:p w14:paraId="4C84A22A">
            <w:pPr>
              <w:rPr>
                <w:rFonts w:ascii="Arial"/>
                <w:color w:val="000000" w:themeColor="text1"/>
                <w:spacing w:val="0"/>
                <w:sz w:val="21"/>
                <w14:textFill>
                  <w14:solidFill>
                    <w14:schemeClr w14:val="tx1"/>
                  </w14:solidFill>
                </w14:textFill>
              </w:rPr>
            </w:pPr>
          </w:p>
        </w:tc>
        <w:tc>
          <w:tcPr>
            <w:tcW w:w="1107" w:type="dxa"/>
            <w:vAlign w:val="center"/>
          </w:tcPr>
          <w:p w14:paraId="6EDD31D0">
            <w:pPr>
              <w:pStyle w:val="29"/>
              <w:spacing w:before="131"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4595.72</w:t>
            </w:r>
          </w:p>
        </w:tc>
        <w:tc>
          <w:tcPr>
            <w:tcW w:w="1140" w:type="dxa"/>
            <w:vMerge w:val="restart"/>
            <w:tcBorders>
              <w:bottom w:val="nil"/>
            </w:tcBorders>
            <w:vAlign w:val="center"/>
          </w:tcPr>
          <w:p w14:paraId="73AEB259">
            <w:pPr>
              <w:pStyle w:val="29"/>
              <w:spacing w:before="59" w:line="239"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28745.89</w:t>
            </w:r>
          </w:p>
        </w:tc>
        <w:tc>
          <w:tcPr>
            <w:tcW w:w="585" w:type="dxa"/>
            <w:vAlign w:val="center"/>
          </w:tcPr>
          <w:p w14:paraId="458C745B">
            <w:pPr>
              <w:pStyle w:val="29"/>
              <w:spacing w:before="149" w:line="194"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Merge w:val="restart"/>
            <w:tcBorders>
              <w:bottom w:val="nil"/>
            </w:tcBorders>
            <w:vAlign w:val="center"/>
          </w:tcPr>
          <w:p w14:paraId="50DBBD4F">
            <w:pPr>
              <w:pStyle w:val="29"/>
              <w:spacing w:before="59" w:line="239" w:lineRule="auto"/>
              <w:jc w:val="center"/>
              <w:rPr>
                <w:color w:val="000000" w:themeColor="text1"/>
                <w:spacing w:val="0"/>
                <w14:textFill>
                  <w14:solidFill>
                    <w14:schemeClr w14:val="tx1"/>
                  </w14:solidFill>
                </w14:textFill>
              </w:rPr>
            </w:pPr>
          </w:p>
        </w:tc>
        <w:tc>
          <w:tcPr>
            <w:tcW w:w="906" w:type="dxa"/>
            <w:vMerge w:val="restart"/>
            <w:tcBorders>
              <w:bottom w:val="nil"/>
            </w:tcBorders>
            <w:vAlign w:val="center"/>
          </w:tcPr>
          <w:p w14:paraId="6561C05A">
            <w:pPr>
              <w:pStyle w:val="29"/>
              <w:spacing w:before="59" w:line="239" w:lineRule="auto"/>
              <w:jc w:val="both"/>
              <w:rPr>
                <w:color w:val="000000" w:themeColor="text1"/>
                <w:spacing w:val="0"/>
                <w14:textFill>
                  <w14:solidFill>
                    <w14:schemeClr w14:val="tx1"/>
                  </w14:solidFill>
                </w14:textFill>
              </w:rPr>
            </w:pPr>
          </w:p>
        </w:tc>
      </w:tr>
      <w:tr w14:paraId="38B55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Align w:val="top"/>
          </w:tcPr>
          <w:p w14:paraId="5189F362">
            <w:pPr>
              <w:pStyle w:val="29"/>
              <w:spacing w:before="141"/>
              <w:jc w:val="center"/>
              <w:rPr>
                <w:spacing w:val="0"/>
              </w:rPr>
            </w:pPr>
            <w:r>
              <w:rPr>
                <w:spacing w:val="0"/>
              </w:rPr>
              <w:t>18</w:t>
            </w:r>
          </w:p>
        </w:tc>
        <w:tc>
          <w:tcPr>
            <w:tcW w:w="1510" w:type="dxa"/>
            <w:vMerge w:val="continue"/>
            <w:tcBorders>
              <w:top w:val="nil"/>
              <w:bottom w:val="nil"/>
            </w:tcBorders>
            <w:vAlign w:val="top"/>
          </w:tcPr>
          <w:p w14:paraId="59DADB05">
            <w:pPr>
              <w:rPr>
                <w:rFonts w:ascii="Arial"/>
                <w:spacing w:val="0"/>
                <w:sz w:val="21"/>
              </w:rPr>
            </w:pPr>
          </w:p>
        </w:tc>
        <w:tc>
          <w:tcPr>
            <w:tcW w:w="2310" w:type="dxa"/>
            <w:vAlign w:val="center"/>
          </w:tcPr>
          <w:p w14:paraId="6B0D7D06">
            <w:pPr>
              <w:pStyle w:val="29"/>
              <w:spacing w:before="123" w:line="219" w:lineRule="auto"/>
              <w:jc w:val="center"/>
              <w:rPr>
                <w:spacing w:val="0"/>
              </w:rPr>
            </w:pPr>
            <w:r>
              <w:rPr>
                <w:spacing w:val="0"/>
              </w:rPr>
              <w:t>和平路三角地</w:t>
            </w:r>
          </w:p>
        </w:tc>
        <w:tc>
          <w:tcPr>
            <w:tcW w:w="2070" w:type="dxa"/>
            <w:vAlign w:val="top"/>
          </w:tcPr>
          <w:p w14:paraId="0DD7FD65">
            <w:pPr>
              <w:rPr>
                <w:rFonts w:ascii="Arial"/>
                <w:spacing w:val="0"/>
                <w:sz w:val="21"/>
              </w:rPr>
            </w:pPr>
          </w:p>
        </w:tc>
        <w:tc>
          <w:tcPr>
            <w:tcW w:w="1107" w:type="dxa"/>
            <w:vAlign w:val="center"/>
          </w:tcPr>
          <w:p w14:paraId="614B488C">
            <w:pPr>
              <w:pStyle w:val="29"/>
              <w:spacing w:before="142" w:line="239" w:lineRule="auto"/>
              <w:jc w:val="center"/>
              <w:rPr>
                <w:spacing w:val="0"/>
              </w:rPr>
            </w:pPr>
            <w:r>
              <w:rPr>
                <w:spacing w:val="0"/>
              </w:rPr>
              <w:t>1623.39</w:t>
            </w:r>
          </w:p>
        </w:tc>
        <w:tc>
          <w:tcPr>
            <w:tcW w:w="1140" w:type="dxa"/>
            <w:vMerge w:val="continue"/>
            <w:tcBorders>
              <w:top w:val="nil"/>
              <w:bottom w:val="nil"/>
            </w:tcBorders>
            <w:vAlign w:val="center"/>
          </w:tcPr>
          <w:p w14:paraId="14213EBE">
            <w:pPr>
              <w:jc w:val="center"/>
              <w:rPr>
                <w:rFonts w:ascii="Arial"/>
                <w:spacing w:val="0"/>
                <w:sz w:val="21"/>
              </w:rPr>
            </w:pPr>
          </w:p>
        </w:tc>
        <w:tc>
          <w:tcPr>
            <w:tcW w:w="585" w:type="dxa"/>
            <w:vAlign w:val="center"/>
          </w:tcPr>
          <w:p w14:paraId="2C50089C">
            <w:pPr>
              <w:pStyle w:val="29"/>
              <w:spacing w:before="142" w:line="241" w:lineRule="auto"/>
              <w:jc w:val="center"/>
              <w:rPr>
                <w:spacing w:val="0"/>
              </w:rPr>
            </w:pPr>
            <w:r>
              <w:rPr>
                <w:spacing w:val="0"/>
              </w:rPr>
              <w:t>m</w:t>
            </w:r>
            <w:r>
              <w:rPr>
                <w:color w:val="100030"/>
                <w:spacing w:val="0"/>
              </w:rPr>
              <w:t>²</w:t>
            </w:r>
          </w:p>
        </w:tc>
        <w:tc>
          <w:tcPr>
            <w:tcW w:w="927" w:type="dxa"/>
            <w:vMerge w:val="continue"/>
            <w:tcBorders>
              <w:top w:val="nil"/>
              <w:bottom w:val="nil"/>
            </w:tcBorders>
            <w:vAlign w:val="center"/>
          </w:tcPr>
          <w:p w14:paraId="773FE109">
            <w:pPr>
              <w:jc w:val="center"/>
              <w:rPr>
                <w:rFonts w:ascii="Arial"/>
                <w:spacing w:val="0"/>
                <w:sz w:val="21"/>
              </w:rPr>
            </w:pPr>
          </w:p>
        </w:tc>
        <w:tc>
          <w:tcPr>
            <w:tcW w:w="906" w:type="dxa"/>
            <w:vMerge w:val="continue"/>
            <w:tcBorders>
              <w:top w:val="nil"/>
              <w:bottom w:val="nil"/>
            </w:tcBorders>
            <w:vAlign w:val="center"/>
          </w:tcPr>
          <w:p w14:paraId="7AAB3774">
            <w:pPr>
              <w:jc w:val="center"/>
              <w:rPr>
                <w:rFonts w:ascii="Arial"/>
                <w:spacing w:val="0"/>
                <w:sz w:val="21"/>
              </w:rPr>
            </w:pPr>
          </w:p>
        </w:tc>
      </w:tr>
      <w:tr w14:paraId="5EDB2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690" w:type="dxa"/>
            <w:vAlign w:val="top"/>
          </w:tcPr>
          <w:p w14:paraId="5FC2C453">
            <w:pPr>
              <w:pStyle w:val="29"/>
              <w:spacing w:before="131"/>
              <w:jc w:val="center"/>
              <w:rPr>
                <w:spacing w:val="0"/>
              </w:rPr>
            </w:pPr>
            <w:r>
              <w:rPr>
                <w:spacing w:val="0"/>
              </w:rPr>
              <w:t>19</w:t>
            </w:r>
          </w:p>
        </w:tc>
        <w:tc>
          <w:tcPr>
            <w:tcW w:w="1510" w:type="dxa"/>
            <w:vMerge w:val="continue"/>
            <w:tcBorders>
              <w:top w:val="nil"/>
              <w:bottom w:val="nil"/>
            </w:tcBorders>
            <w:vAlign w:val="top"/>
          </w:tcPr>
          <w:p w14:paraId="1ACB7B6C">
            <w:pPr>
              <w:rPr>
                <w:rFonts w:ascii="Arial"/>
                <w:spacing w:val="0"/>
                <w:sz w:val="21"/>
              </w:rPr>
            </w:pPr>
          </w:p>
        </w:tc>
        <w:tc>
          <w:tcPr>
            <w:tcW w:w="2310" w:type="dxa"/>
            <w:vAlign w:val="center"/>
          </w:tcPr>
          <w:p w14:paraId="4FF1A456">
            <w:pPr>
              <w:pStyle w:val="29"/>
              <w:spacing w:before="114" w:line="219" w:lineRule="auto"/>
              <w:jc w:val="center"/>
              <w:rPr>
                <w:spacing w:val="0"/>
              </w:rPr>
            </w:pPr>
            <w:r>
              <w:rPr>
                <w:spacing w:val="0"/>
              </w:rPr>
              <w:t>东花坛绿化</w:t>
            </w:r>
          </w:p>
        </w:tc>
        <w:tc>
          <w:tcPr>
            <w:tcW w:w="2070" w:type="dxa"/>
            <w:vAlign w:val="top"/>
          </w:tcPr>
          <w:p w14:paraId="4025E542">
            <w:pPr>
              <w:rPr>
                <w:rFonts w:ascii="Arial"/>
                <w:spacing w:val="0"/>
                <w:sz w:val="21"/>
              </w:rPr>
            </w:pPr>
          </w:p>
        </w:tc>
        <w:tc>
          <w:tcPr>
            <w:tcW w:w="1107" w:type="dxa"/>
            <w:vAlign w:val="center"/>
          </w:tcPr>
          <w:p w14:paraId="5859B8C7">
            <w:pPr>
              <w:pStyle w:val="29"/>
              <w:spacing w:before="132" w:line="239" w:lineRule="auto"/>
              <w:jc w:val="center"/>
              <w:rPr>
                <w:spacing w:val="0"/>
              </w:rPr>
            </w:pPr>
            <w:r>
              <w:rPr>
                <w:spacing w:val="0"/>
              </w:rPr>
              <w:t>1024.08</w:t>
            </w:r>
          </w:p>
        </w:tc>
        <w:tc>
          <w:tcPr>
            <w:tcW w:w="1140" w:type="dxa"/>
            <w:vMerge w:val="continue"/>
            <w:tcBorders>
              <w:top w:val="nil"/>
              <w:bottom w:val="nil"/>
            </w:tcBorders>
            <w:vAlign w:val="center"/>
          </w:tcPr>
          <w:p w14:paraId="16B317DB">
            <w:pPr>
              <w:jc w:val="center"/>
              <w:rPr>
                <w:rFonts w:ascii="Arial"/>
                <w:spacing w:val="0"/>
                <w:sz w:val="21"/>
              </w:rPr>
            </w:pPr>
          </w:p>
        </w:tc>
        <w:tc>
          <w:tcPr>
            <w:tcW w:w="585" w:type="dxa"/>
            <w:vAlign w:val="center"/>
          </w:tcPr>
          <w:p w14:paraId="43957EA7">
            <w:pPr>
              <w:pStyle w:val="29"/>
              <w:spacing w:before="150" w:line="194" w:lineRule="auto"/>
              <w:jc w:val="center"/>
              <w:rPr>
                <w:spacing w:val="0"/>
              </w:rPr>
            </w:pPr>
            <w:r>
              <w:rPr>
                <w:spacing w:val="0"/>
              </w:rPr>
              <w:t>m²</w:t>
            </w:r>
          </w:p>
        </w:tc>
        <w:tc>
          <w:tcPr>
            <w:tcW w:w="927" w:type="dxa"/>
            <w:vMerge w:val="continue"/>
            <w:tcBorders>
              <w:top w:val="nil"/>
              <w:bottom w:val="nil"/>
            </w:tcBorders>
            <w:vAlign w:val="center"/>
          </w:tcPr>
          <w:p w14:paraId="7C3B1F7D">
            <w:pPr>
              <w:jc w:val="center"/>
              <w:rPr>
                <w:rFonts w:ascii="Arial"/>
                <w:spacing w:val="0"/>
                <w:sz w:val="21"/>
              </w:rPr>
            </w:pPr>
          </w:p>
        </w:tc>
        <w:tc>
          <w:tcPr>
            <w:tcW w:w="906" w:type="dxa"/>
            <w:vMerge w:val="continue"/>
            <w:tcBorders>
              <w:top w:val="nil"/>
              <w:bottom w:val="nil"/>
            </w:tcBorders>
            <w:vAlign w:val="center"/>
          </w:tcPr>
          <w:p w14:paraId="44B9132D">
            <w:pPr>
              <w:jc w:val="center"/>
              <w:rPr>
                <w:rFonts w:ascii="Arial"/>
                <w:spacing w:val="0"/>
                <w:sz w:val="21"/>
              </w:rPr>
            </w:pPr>
          </w:p>
        </w:tc>
      </w:tr>
      <w:tr w14:paraId="61FD6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top"/>
          </w:tcPr>
          <w:p w14:paraId="444381C0">
            <w:pPr>
              <w:pStyle w:val="29"/>
              <w:spacing w:before="142"/>
              <w:jc w:val="center"/>
              <w:rPr>
                <w:spacing w:val="0"/>
              </w:rPr>
            </w:pPr>
            <w:r>
              <w:rPr>
                <w:spacing w:val="0"/>
              </w:rPr>
              <w:t>20</w:t>
            </w:r>
          </w:p>
        </w:tc>
        <w:tc>
          <w:tcPr>
            <w:tcW w:w="1510" w:type="dxa"/>
            <w:vMerge w:val="continue"/>
            <w:tcBorders>
              <w:top w:val="nil"/>
              <w:bottom w:val="nil"/>
            </w:tcBorders>
            <w:vAlign w:val="top"/>
          </w:tcPr>
          <w:p w14:paraId="2EF9E33D">
            <w:pPr>
              <w:rPr>
                <w:rFonts w:ascii="Arial"/>
                <w:spacing w:val="0"/>
                <w:sz w:val="21"/>
              </w:rPr>
            </w:pPr>
          </w:p>
        </w:tc>
        <w:tc>
          <w:tcPr>
            <w:tcW w:w="2310" w:type="dxa"/>
            <w:vAlign w:val="center"/>
          </w:tcPr>
          <w:p w14:paraId="771E42E7">
            <w:pPr>
              <w:pStyle w:val="29"/>
              <w:spacing w:before="125" w:line="219" w:lineRule="auto"/>
              <w:jc w:val="center"/>
              <w:rPr>
                <w:spacing w:val="0"/>
              </w:rPr>
            </w:pPr>
            <w:r>
              <w:rPr>
                <w:spacing w:val="0"/>
              </w:rPr>
              <w:t>东花坛北侧小游园</w:t>
            </w:r>
          </w:p>
        </w:tc>
        <w:tc>
          <w:tcPr>
            <w:tcW w:w="2070" w:type="dxa"/>
            <w:vAlign w:val="top"/>
          </w:tcPr>
          <w:p w14:paraId="41D11DF1">
            <w:pPr>
              <w:rPr>
                <w:rFonts w:ascii="Arial"/>
                <w:spacing w:val="0"/>
                <w:sz w:val="21"/>
              </w:rPr>
            </w:pPr>
          </w:p>
        </w:tc>
        <w:tc>
          <w:tcPr>
            <w:tcW w:w="1107" w:type="dxa"/>
            <w:vAlign w:val="center"/>
          </w:tcPr>
          <w:p w14:paraId="13251966">
            <w:pPr>
              <w:pStyle w:val="29"/>
              <w:spacing w:before="143" w:line="239" w:lineRule="auto"/>
              <w:jc w:val="center"/>
              <w:rPr>
                <w:spacing w:val="0"/>
              </w:rPr>
            </w:pPr>
            <w:r>
              <w:rPr>
                <w:spacing w:val="0"/>
              </w:rPr>
              <w:t>311.1</w:t>
            </w:r>
          </w:p>
        </w:tc>
        <w:tc>
          <w:tcPr>
            <w:tcW w:w="1140" w:type="dxa"/>
            <w:vMerge w:val="continue"/>
            <w:tcBorders>
              <w:top w:val="nil"/>
              <w:bottom w:val="nil"/>
            </w:tcBorders>
            <w:vAlign w:val="center"/>
          </w:tcPr>
          <w:p w14:paraId="691E7259">
            <w:pPr>
              <w:jc w:val="center"/>
              <w:rPr>
                <w:rFonts w:ascii="Arial"/>
                <w:spacing w:val="0"/>
                <w:sz w:val="21"/>
              </w:rPr>
            </w:pPr>
          </w:p>
        </w:tc>
        <w:tc>
          <w:tcPr>
            <w:tcW w:w="585" w:type="dxa"/>
            <w:vAlign w:val="center"/>
          </w:tcPr>
          <w:p w14:paraId="7BFDDDCC">
            <w:pPr>
              <w:pStyle w:val="29"/>
              <w:spacing w:before="161" w:line="194" w:lineRule="auto"/>
              <w:jc w:val="center"/>
              <w:rPr>
                <w:spacing w:val="0"/>
              </w:rPr>
            </w:pPr>
            <w:r>
              <w:rPr>
                <w:spacing w:val="0"/>
              </w:rPr>
              <w:t>m²</w:t>
            </w:r>
          </w:p>
        </w:tc>
        <w:tc>
          <w:tcPr>
            <w:tcW w:w="927" w:type="dxa"/>
            <w:vMerge w:val="continue"/>
            <w:tcBorders>
              <w:top w:val="nil"/>
              <w:bottom w:val="nil"/>
            </w:tcBorders>
            <w:vAlign w:val="center"/>
          </w:tcPr>
          <w:p w14:paraId="495CA501">
            <w:pPr>
              <w:jc w:val="center"/>
              <w:rPr>
                <w:rFonts w:ascii="Arial"/>
                <w:spacing w:val="0"/>
                <w:sz w:val="21"/>
              </w:rPr>
            </w:pPr>
          </w:p>
        </w:tc>
        <w:tc>
          <w:tcPr>
            <w:tcW w:w="906" w:type="dxa"/>
            <w:vMerge w:val="continue"/>
            <w:tcBorders>
              <w:top w:val="nil"/>
              <w:bottom w:val="nil"/>
            </w:tcBorders>
            <w:vAlign w:val="center"/>
          </w:tcPr>
          <w:p w14:paraId="578FC6B7">
            <w:pPr>
              <w:jc w:val="center"/>
              <w:rPr>
                <w:rFonts w:ascii="Arial"/>
                <w:spacing w:val="0"/>
                <w:sz w:val="21"/>
              </w:rPr>
            </w:pPr>
          </w:p>
        </w:tc>
      </w:tr>
      <w:tr w14:paraId="56EAD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top"/>
          </w:tcPr>
          <w:p w14:paraId="6C01DAB7">
            <w:pPr>
              <w:pStyle w:val="29"/>
              <w:spacing w:before="133" w:line="241" w:lineRule="auto"/>
              <w:jc w:val="center"/>
              <w:rPr>
                <w:spacing w:val="0"/>
              </w:rPr>
            </w:pPr>
            <w:r>
              <w:rPr>
                <w:spacing w:val="0"/>
              </w:rPr>
              <w:t>21</w:t>
            </w:r>
          </w:p>
        </w:tc>
        <w:tc>
          <w:tcPr>
            <w:tcW w:w="1510" w:type="dxa"/>
            <w:vMerge w:val="continue"/>
            <w:tcBorders>
              <w:top w:val="nil"/>
              <w:bottom w:val="nil"/>
            </w:tcBorders>
            <w:vAlign w:val="top"/>
          </w:tcPr>
          <w:p w14:paraId="2AF72153">
            <w:pPr>
              <w:rPr>
                <w:rFonts w:ascii="Arial"/>
                <w:spacing w:val="0"/>
                <w:sz w:val="21"/>
              </w:rPr>
            </w:pPr>
          </w:p>
        </w:tc>
        <w:tc>
          <w:tcPr>
            <w:tcW w:w="2310" w:type="dxa"/>
            <w:vAlign w:val="center"/>
          </w:tcPr>
          <w:p w14:paraId="78DE79E8">
            <w:pPr>
              <w:pStyle w:val="29"/>
              <w:spacing w:before="115" w:line="219" w:lineRule="auto"/>
              <w:jc w:val="center"/>
              <w:rPr>
                <w:spacing w:val="0"/>
              </w:rPr>
            </w:pPr>
            <w:r>
              <w:rPr>
                <w:spacing w:val="0"/>
              </w:rPr>
              <w:t>东城1号西小游园</w:t>
            </w:r>
          </w:p>
        </w:tc>
        <w:tc>
          <w:tcPr>
            <w:tcW w:w="2070" w:type="dxa"/>
            <w:vAlign w:val="top"/>
          </w:tcPr>
          <w:p w14:paraId="5A742ACB">
            <w:pPr>
              <w:rPr>
                <w:rFonts w:ascii="Arial"/>
                <w:spacing w:val="0"/>
                <w:sz w:val="21"/>
              </w:rPr>
            </w:pPr>
          </w:p>
        </w:tc>
        <w:tc>
          <w:tcPr>
            <w:tcW w:w="1107" w:type="dxa"/>
            <w:vAlign w:val="center"/>
          </w:tcPr>
          <w:p w14:paraId="452EBFFF">
            <w:pPr>
              <w:pStyle w:val="29"/>
              <w:spacing w:before="133" w:line="239" w:lineRule="auto"/>
              <w:jc w:val="center"/>
              <w:rPr>
                <w:spacing w:val="0"/>
              </w:rPr>
            </w:pPr>
            <w:r>
              <w:rPr>
                <w:spacing w:val="0"/>
              </w:rPr>
              <w:t>883.16</w:t>
            </w:r>
          </w:p>
        </w:tc>
        <w:tc>
          <w:tcPr>
            <w:tcW w:w="1140" w:type="dxa"/>
            <w:vMerge w:val="continue"/>
            <w:tcBorders>
              <w:top w:val="nil"/>
              <w:bottom w:val="nil"/>
            </w:tcBorders>
            <w:vAlign w:val="center"/>
          </w:tcPr>
          <w:p w14:paraId="5A2089DF">
            <w:pPr>
              <w:jc w:val="center"/>
              <w:rPr>
                <w:rFonts w:ascii="Arial"/>
                <w:spacing w:val="0"/>
                <w:sz w:val="21"/>
              </w:rPr>
            </w:pPr>
          </w:p>
        </w:tc>
        <w:tc>
          <w:tcPr>
            <w:tcW w:w="585" w:type="dxa"/>
            <w:vAlign w:val="center"/>
          </w:tcPr>
          <w:p w14:paraId="5AC21516">
            <w:pPr>
              <w:pStyle w:val="29"/>
              <w:spacing w:before="150" w:line="194" w:lineRule="auto"/>
              <w:jc w:val="center"/>
              <w:rPr>
                <w:spacing w:val="0"/>
              </w:rPr>
            </w:pPr>
            <w:r>
              <w:rPr>
                <w:spacing w:val="0"/>
              </w:rPr>
              <w:t>m²</w:t>
            </w:r>
          </w:p>
        </w:tc>
        <w:tc>
          <w:tcPr>
            <w:tcW w:w="927" w:type="dxa"/>
            <w:vMerge w:val="continue"/>
            <w:tcBorders>
              <w:top w:val="nil"/>
              <w:bottom w:val="nil"/>
            </w:tcBorders>
            <w:vAlign w:val="center"/>
          </w:tcPr>
          <w:p w14:paraId="3569E8DD">
            <w:pPr>
              <w:jc w:val="center"/>
              <w:rPr>
                <w:rFonts w:ascii="Arial"/>
                <w:spacing w:val="0"/>
                <w:sz w:val="21"/>
              </w:rPr>
            </w:pPr>
          </w:p>
        </w:tc>
        <w:tc>
          <w:tcPr>
            <w:tcW w:w="906" w:type="dxa"/>
            <w:vMerge w:val="continue"/>
            <w:tcBorders>
              <w:top w:val="nil"/>
              <w:bottom w:val="nil"/>
            </w:tcBorders>
            <w:vAlign w:val="center"/>
          </w:tcPr>
          <w:p w14:paraId="750D9CDB">
            <w:pPr>
              <w:jc w:val="center"/>
              <w:rPr>
                <w:rFonts w:ascii="Arial"/>
                <w:spacing w:val="0"/>
                <w:sz w:val="21"/>
              </w:rPr>
            </w:pPr>
          </w:p>
        </w:tc>
      </w:tr>
      <w:tr w14:paraId="71694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top"/>
          </w:tcPr>
          <w:p w14:paraId="53BC84F1">
            <w:pPr>
              <w:pStyle w:val="29"/>
              <w:spacing w:before="143" w:line="241" w:lineRule="auto"/>
              <w:jc w:val="center"/>
              <w:rPr>
                <w:spacing w:val="0"/>
              </w:rPr>
            </w:pPr>
            <w:r>
              <w:rPr>
                <w:spacing w:val="0"/>
              </w:rPr>
              <w:t>22</w:t>
            </w:r>
          </w:p>
        </w:tc>
        <w:tc>
          <w:tcPr>
            <w:tcW w:w="1510" w:type="dxa"/>
            <w:vMerge w:val="continue"/>
            <w:tcBorders>
              <w:top w:val="nil"/>
              <w:bottom w:val="nil"/>
            </w:tcBorders>
            <w:vAlign w:val="top"/>
          </w:tcPr>
          <w:p w14:paraId="4A9D1B0F">
            <w:pPr>
              <w:rPr>
                <w:rFonts w:ascii="Arial"/>
                <w:spacing w:val="0"/>
                <w:sz w:val="21"/>
              </w:rPr>
            </w:pPr>
          </w:p>
        </w:tc>
        <w:tc>
          <w:tcPr>
            <w:tcW w:w="2310" w:type="dxa"/>
            <w:vAlign w:val="center"/>
          </w:tcPr>
          <w:p w14:paraId="518BB425">
            <w:pPr>
              <w:pStyle w:val="29"/>
              <w:spacing w:before="126" w:line="220" w:lineRule="auto"/>
              <w:jc w:val="center"/>
              <w:rPr>
                <w:spacing w:val="0"/>
              </w:rPr>
            </w:pPr>
            <w:r>
              <w:rPr>
                <w:color w:val="202040"/>
                <w:spacing w:val="0"/>
              </w:rPr>
              <w:t>地税局门口小游园</w:t>
            </w:r>
          </w:p>
        </w:tc>
        <w:tc>
          <w:tcPr>
            <w:tcW w:w="2070" w:type="dxa"/>
            <w:vAlign w:val="top"/>
          </w:tcPr>
          <w:p w14:paraId="57285396">
            <w:pPr>
              <w:rPr>
                <w:rFonts w:ascii="Arial"/>
                <w:spacing w:val="0"/>
                <w:sz w:val="21"/>
              </w:rPr>
            </w:pPr>
          </w:p>
        </w:tc>
        <w:tc>
          <w:tcPr>
            <w:tcW w:w="1107" w:type="dxa"/>
            <w:vAlign w:val="center"/>
          </w:tcPr>
          <w:p w14:paraId="7ED23337">
            <w:pPr>
              <w:pStyle w:val="29"/>
              <w:spacing w:before="143" w:line="239" w:lineRule="auto"/>
              <w:jc w:val="center"/>
              <w:rPr>
                <w:spacing w:val="0"/>
              </w:rPr>
            </w:pPr>
            <w:r>
              <w:rPr>
                <w:spacing w:val="0"/>
              </w:rPr>
              <w:t>792.23</w:t>
            </w:r>
          </w:p>
        </w:tc>
        <w:tc>
          <w:tcPr>
            <w:tcW w:w="1140" w:type="dxa"/>
            <w:vMerge w:val="continue"/>
            <w:tcBorders>
              <w:top w:val="nil"/>
              <w:bottom w:val="nil"/>
            </w:tcBorders>
            <w:vAlign w:val="center"/>
          </w:tcPr>
          <w:p w14:paraId="691E8F67">
            <w:pPr>
              <w:jc w:val="center"/>
              <w:rPr>
                <w:rFonts w:ascii="Arial"/>
                <w:spacing w:val="0"/>
                <w:sz w:val="21"/>
              </w:rPr>
            </w:pPr>
          </w:p>
        </w:tc>
        <w:tc>
          <w:tcPr>
            <w:tcW w:w="585" w:type="dxa"/>
            <w:vAlign w:val="center"/>
          </w:tcPr>
          <w:p w14:paraId="5C3E0082">
            <w:pPr>
              <w:pStyle w:val="29"/>
              <w:spacing w:before="161" w:line="194" w:lineRule="auto"/>
              <w:jc w:val="center"/>
              <w:rPr>
                <w:spacing w:val="0"/>
              </w:rPr>
            </w:pPr>
            <w:r>
              <w:rPr>
                <w:spacing w:val="0"/>
              </w:rPr>
              <w:t>m²</w:t>
            </w:r>
          </w:p>
        </w:tc>
        <w:tc>
          <w:tcPr>
            <w:tcW w:w="927" w:type="dxa"/>
            <w:vMerge w:val="continue"/>
            <w:tcBorders>
              <w:top w:val="nil"/>
              <w:bottom w:val="nil"/>
            </w:tcBorders>
            <w:vAlign w:val="center"/>
          </w:tcPr>
          <w:p w14:paraId="17CDAD32">
            <w:pPr>
              <w:jc w:val="center"/>
              <w:rPr>
                <w:rFonts w:ascii="Arial"/>
                <w:spacing w:val="0"/>
                <w:sz w:val="21"/>
              </w:rPr>
            </w:pPr>
          </w:p>
        </w:tc>
        <w:tc>
          <w:tcPr>
            <w:tcW w:w="906" w:type="dxa"/>
            <w:vMerge w:val="continue"/>
            <w:tcBorders>
              <w:top w:val="nil"/>
              <w:bottom w:val="nil"/>
            </w:tcBorders>
            <w:vAlign w:val="center"/>
          </w:tcPr>
          <w:p w14:paraId="45E0396D">
            <w:pPr>
              <w:jc w:val="center"/>
              <w:rPr>
                <w:rFonts w:ascii="Arial"/>
                <w:spacing w:val="0"/>
                <w:sz w:val="21"/>
              </w:rPr>
            </w:pPr>
          </w:p>
        </w:tc>
      </w:tr>
      <w:tr w14:paraId="798AE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top"/>
          </w:tcPr>
          <w:p w14:paraId="30F824C6">
            <w:pPr>
              <w:pStyle w:val="29"/>
              <w:spacing w:before="193" w:line="212" w:lineRule="auto"/>
              <w:jc w:val="center"/>
              <w:rPr>
                <w:spacing w:val="0"/>
              </w:rPr>
            </w:pPr>
            <w:r>
              <w:rPr>
                <w:spacing w:val="0"/>
              </w:rPr>
              <w:t>23</w:t>
            </w:r>
          </w:p>
        </w:tc>
        <w:tc>
          <w:tcPr>
            <w:tcW w:w="1510" w:type="dxa"/>
            <w:vMerge w:val="continue"/>
            <w:tcBorders>
              <w:top w:val="nil"/>
              <w:bottom w:val="nil"/>
            </w:tcBorders>
            <w:vAlign w:val="top"/>
          </w:tcPr>
          <w:p w14:paraId="038493EC">
            <w:pPr>
              <w:rPr>
                <w:rFonts w:ascii="Arial"/>
                <w:spacing w:val="0"/>
                <w:sz w:val="21"/>
              </w:rPr>
            </w:pPr>
          </w:p>
        </w:tc>
        <w:tc>
          <w:tcPr>
            <w:tcW w:w="2310" w:type="dxa"/>
            <w:vAlign w:val="center"/>
          </w:tcPr>
          <w:p w14:paraId="5346B155">
            <w:pPr>
              <w:pStyle w:val="29"/>
              <w:spacing w:before="125" w:line="219" w:lineRule="auto"/>
              <w:jc w:val="center"/>
              <w:rPr>
                <w:spacing w:val="0"/>
              </w:rPr>
            </w:pPr>
            <w:r>
              <w:rPr>
                <w:color w:val="000000" w:themeColor="text1"/>
                <w:spacing w:val="0"/>
                <w14:textFill>
                  <w14:solidFill>
                    <w14:schemeClr w14:val="tx1"/>
                  </w14:solidFill>
                </w14:textFill>
              </w:rPr>
              <w:t>红石谷街头公园</w:t>
            </w:r>
          </w:p>
        </w:tc>
        <w:tc>
          <w:tcPr>
            <w:tcW w:w="2070" w:type="dxa"/>
            <w:vAlign w:val="top"/>
          </w:tcPr>
          <w:p w14:paraId="55168F70">
            <w:pPr>
              <w:rPr>
                <w:rFonts w:ascii="Arial"/>
                <w:spacing w:val="0"/>
                <w:sz w:val="21"/>
              </w:rPr>
            </w:pPr>
          </w:p>
        </w:tc>
        <w:tc>
          <w:tcPr>
            <w:tcW w:w="1107" w:type="dxa"/>
            <w:vAlign w:val="center"/>
          </w:tcPr>
          <w:p w14:paraId="25E803A5">
            <w:pPr>
              <w:pStyle w:val="29"/>
              <w:spacing w:before="173" w:line="232" w:lineRule="auto"/>
              <w:jc w:val="center"/>
              <w:rPr>
                <w:spacing w:val="0"/>
              </w:rPr>
            </w:pPr>
            <w:r>
              <w:rPr>
                <w:spacing w:val="0"/>
              </w:rPr>
              <w:t>3880</w:t>
            </w:r>
          </w:p>
        </w:tc>
        <w:tc>
          <w:tcPr>
            <w:tcW w:w="1140" w:type="dxa"/>
            <w:vMerge w:val="continue"/>
            <w:tcBorders>
              <w:top w:val="nil"/>
              <w:bottom w:val="nil"/>
            </w:tcBorders>
            <w:vAlign w:val="center"/>
          </w:tcPr>
          <w:p w14:paraId="1B6BA522">
            <w:pPr>
              <w:jc w:val="center"/>
              <w:rPr>
                <w:rFonts w:ascii="Arial"/>
                <w:spacing w:val="0"/>
                <w:sz w:val="21"/>
              </w:rPr>
            </w:pPr>
          </w:p>
        </w:tc>
        <w:tc>
          <w:tcPr>
            <w:tcW w:w="585" w:type="dxa"/>
            <w:vAlign w:val="center"/>
          </w:tcPr>
          <w:p w14:paraId="3683659A">
            <w:pPr>
              <w:pStyle w:val="29"/>
              <w:spacing w:before="191" w:line="194" w:lineRule="auto"/>
              <w:jc w:val="center"/>
              <w:rPr>
                <w:spacing w:val="0"/>
              </w:rPr>
            </w:pPr>
            <w:r>
              <w:rPr>
                <w:spacing w:val="0"/>
              </w:rPr>
              <w:t>m²</w:t>
            </w:r>
          </w:p>
        </w:tc>
        <w:tc>
          <w:tcPr>
            <w:tcW w:w="927" w:type="dxa"/>
            <w:vMerge w:val="continue"/>
            <w:tcBorders>
              <w:top w:val="nil"/>
              <w:bottom w:val="nil"/>
            </w:tcBorders>
            <w:vAlign w:val="center"/>
          </w:tcPr>
          <w:p w14:paraId="13556F1C">
            <w:pPr>
              <w:jc w:val="center"/>
              <w:rPr>
                <w:rFonts w:ascii="Arial"/>
                <w:spacing w:val="0"/>
                <w:sz w:val="21"/>
              </w:rPr>
            </w:pPr>
          </w:p>
        </w:tc>
        <w:tc>
          <w:tcPr>
            <w:tcW w:w="906" w:type="dxa"/>
            <w:vMerge w:val="continue"/>
            <w:tcBorders>
              <w:top w:val="nil"/>
              <w:bottom w:val="nil"/>
            </w:tcBorders>
            <w:vAlign w:val="center"/>
          </w:tcPr>
          <w:p w14:paraId="76F9DAF2">
            <w:pPr>
              <w:jc w:val="center"/>
              <w:rPr>
                <w:rFonts w:ascii="Arial"/>
                <w:spacing w:val="0"/>
                <w:sz w:val="21"/>
              </w:rPr>
            </w:pPr>
          </w:p>
        </w:tc>
      </w:tr>
      <w:tr w14:paraId="26791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Align w:val="center"/>
          </w:tcPr>
          <w:p w14:paraId="017C015E">
            <w:pPr>
              <w:pStyle w:val="29"/>
              <w:spacing w:before="143" w:line="241" w:lineRule="auto"/>
              <w:jc w:val="center"/>
              <w:rPr>
                <w:spacing w:val="0"/>
              </w:rPr>
            </w:pPr>
            <w:r>
              <w:rPr>
                <w:spacing w:val="0"/>
              </w:rPr>
              <w:t>24</w:t>
            </w:r>
          </w:p>
        </w:tc>
        <w:tc>
          <w:tcPr>
            <w:tcW w:w="1510" w:type="dxa"/>
            <w:vMerge w:val="continue"/>
            <w:tcBorders>
              <w:top w:val="nil"/>
              <w:bottom w:val="nil"/>
            </w:tcBorders>
            <w:vAlign w:val="center"/>
          </w:tcPr>
          <w:p w14:paraId="32FA238A">
            <w:pPr>
              <w:jc w:val="center"/>
              <w:rPr>
                <w:rFonts w:ascii="Arial"/>
                <w:spacing w:val="0"/>
                <w:sz w:val="21"/>
              </w:rPr>
            </w:pPr>
          </w:p>
        </w:tc>
        <w:tc>
          <w:tcPr>
            <w:tcW w:w="2310" w:type="dxa"/>
            <w:vAlign w:val="center"/>
          </w:tcPr>
          <w:p w14:paraId="377BCB8B">
            <w:pPr>
              <w:pStyle w:val="29"/>
              <w:spacing w:before="125" w:line="220" w:lineRule="auto"/>
              <w:jc w:val="center"/>
              <w:rPr>
                <w:spacing w:val="0"/>
              </w:rPr>
            </w:pPr>
            <w:r>
              <w:rPr>
                <w:spacing w:val="0"/>
              </w:rPr>
              <w:t>解放公园</w:t>
            </w:r>
          </w:p>
        </w:tc>
        <w:tc>
          <w:tcPr>
            <w:tcW w:w="2070" w:type="dxa"/>
            <w:vMerge w:val="restart"/>
            <w:tcBorders>
              <w:bottom w:val="nil"/>
            </w:tcBorders>
            <w:vAlign w:val="center"/>
          </w:tcPr>
          <w:p w14:paraId="60834C39">
            <w:pPr>
              <w:pStyle w:val="29"/>
              <w:spacing w:before="59" w:line="213" w:lineRule="auto"/>
              <w:ind w:right="1"/>
              <w:jc w:val="center"/>
              <w:rPr>
                <w:spacing w:val="0"/>
              </w:rPr>
            </w:pPr>
            <w:r>
              <w:rPr>
                <w:color w:val="000000" w:themeColor="text1"/>
                <w:spacing w:val="0"/>
                <w14:textFill>
                  <w14:solidFill>
                    <w14:schemeClr w14:val="tx1"/>
                  </w14:solidFill>
                </w14:textFill>
              </w:rPr>
              <w:t>(备注：</w:t>
            </w:r>
            <w:r>
              <w:rPr>
                <w:spacing w:val="0"/>
              </w:rPr>
              <w:t>不含铺装和基础设施，立体绿化养护较多。)</w:t>
            </w:r>
          </w:p>
        </w:tc>
        <w:tc>
          <w:tcPr>
            <w:tcW w:w="1107" w:type="dxa"/>
            <w:vAlign w:val="center"/>
          </w:tcPr>
          <w:p w14:paraId="62DA19C8">
            <w:pPr>
              <w:pStyle w:val="29"/>
              <w:spacing w:before="142"/>
              <w:jc w:val="center"/>
              <w:rPr>
                <w:spacing w:val="0"/>
              </w:rPr>
            </w:pPr>
            <w:r>
              <w:rPr>
                <w:spacing w:val="0"/>
              </w:rPr>
              <w:t>9944</w:t>
            </w:r>
          </w:p>
        </w:tc>
        <w:tc>
          <w:tcPr>
            <w:tcW w:w="1140" w:type="dxa"/>
            <w:vMerge w:val="continue"/>
            <w:tcBorders>
              <w:top w:val="nil"/>
              <w:bottom w:val="nil"/>
            </w:tcBorders>
            <w:vAlign w:val="center"/>
          </w:tcPr>
          <w:p w14:paraId="26956881">
            <w:pPr>
              <w:jc w:val="center"/>
              <w:rPr>
                <w:rFonts w:ascii="Arial"/>
                <w:spacing w:val="0"/>
                <w:sz w:val="21"/>
              </w:rPr>
            </w:pPr>
          </w:p>
        </w:tc>
        <w:tc>
          <w:tcPr>
            <w:tcW w:w="585" w:type="dxa"/>
            <w:vAlign w:val="center"/>
          </w:tcPr>
          <w:p w14:paraId="6B93D15A">
            <w:pPr>
              <w:pStyle w:val="29"/>
              <w:spacing w:before="161" w:line="194" w:lineRule="auto"/>
              <w:jc w:val="center"/>
              <w:rPr>
                <w:spacing w:val="0"/>
              </w:rPr>
            </w:pPr>
            <w:r>
              <w:rPr>
                <w:spacing w:val="0"/>
              </w:rPr>
              <w:t>m²</w:t>
            </w:r>
          </w:p>
        </w:tc>
        <w:tc>
          <w:tcPr>
            <w:tcW w:w="927" w:type="dxa"/>
            <w:vMerge w:val="continue"/>
            <w:tcBorders>
              <w:top w:val="nil"/>
              <w:bottom w:val="nil"/>
            </w:tcBorders>
            <w:vAlign w:val="center"/>
          </w:tcPr>
          <w:p w14:paraId="02FF5FA7">
            <w:pPr>
              <w:jc w:val="center"/>
              <w:rPr>
                <w:rFonts w:ascii="Arial"/>
                <w:spacing w:val="0"/>
                <w:sz w:val="21"/>
              </w:rPr>
            </w:pPr>
          </w:p>
        </w:tc>
        <w:tc>
          <w:tcPr>
            <w:tcW w:w="906" w:type="dxa"/>
            <w:vMerge w:val="continue"/>
            <w:tcBorders>
              <w:top w:val="nil"/>
              <w:bottom w:val="nil"/>
            </w:tcBorders>
            <w:vAlign w:val="center"/>
          </w:tcPr>
          <w:p w14:paraId="1FE98AF2">
            <w:pPr>
              <w:jc w:val="center"/>
              <w:rPr>
                <w:rFonts w:ascii="Arial"/>
                <w:spacing w:val="0"/>
                <w:sz w:val="21"/>
              </w:rPr>
            </w:pPr>
          </w:p>
        </w:tc>
      </w:tr>
      <w:tr w14:paraId="06A26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690" w:type="dxa"/>
            <w:vAlign w:val="center"/>
          </w:tcPr>
          <w:p w14:paraId="295821F6">
            <w:pPr>
              <w:pStyle w:val="29"/>
              <w:spacing w:before="132"/>
              <w:jc w:val="center"/>
              <w:rPr>
                <w:spacing w:val="0"/>
              </w:rPr>
            </w:pPr>
            <w:r>
              <w:rPr>
                <w:spacing w:val="0"/>
              </w:rPr>
              <w:t>25</w:t>
            </w:r>
          </w:p>
        </w:tc>
        <w:tc>
          <w:tcPr>
            <w:tcW w:w="1510" w:type="dxa"/>
            <w:vMerge w:val="continue"/>
            <w:tcBorders>
              <w:top w:val="nil"/>
              <w:bottom w:val="nil"/>
            </w:tcBorders>
            <w:vAlign w:val="center"/>
          </w:tcPr>
          <w:p w14:paraId="47F1414F">
            <w:pPr>
              <w:jc w:val="center"/>
              <w:rPr>
                <w:rFonts w:ascii="Arial"/>
                <w:spacing w:val="0"/>
                <w:sz w:val="21"/>
              </w:rPr>
            </w:pPr>
          </w:p>
        </w:tc>
        <w:tc>
          <w:tcPr>
            <w:tcW w:w="2310" w:type="dxa"/>
            <w:vAlign w:val="center"/>
          </w:tcPr>
          <w:p w14:paraId="634B709F">
            <w:pPr>
              <w:pStyle w:val="29"/>
              <w:spacing w:before="115" w:line="219" w:lineRule="auto"/>
              <w:jc w:val="center"/>
              <w:rPr>
                <w:spacing w:val="0"/>
              </w:rPr>
            </w:pPr>
            <w:r>
              <w:rPr>
                <w:spacing w:val="0"/>
              </w:rPr>
              <w:t>西大街绿化</w:t>
            </w:r>
          </w:p>
        </w:tc>
        <w:tc>
          <w:tcPr>
            <w:tcW w:w="2070" w:type="dxa"/>
            <w:vMerge w:val="continue"/>
            <w:tcBorders>
              <w:top w:val="nil"/>
              <w:bottom w:val="nil"/>
            </w:tcBorders>
            <w:vAlign w:val="top"/>
          </w:tcPr>
          <w:p w14:paraId="5B4A7678">
            <w:pPr>
              <w:rPr>
                <w:rFonts w:ascii="Arial"/>
                <w:spacing w:val="0"/>
                <w:sz w:val="21"/>
              </w:rPr>
            </w:pPr>
          </w:p>
        </w:tc>
        <w:tc>
          <w:tcPr>
            <w:tcW w:w="1107" w:type="dxa"/>
            <w:vAlign w:val="center"/>
          </w:tcPr>
          <w:p w14:paraId="0C6087FC">
            <w:pPr>
              <w:pStyle w:val="29"/>
              <w:spacing w:before="133" w:line="239" w:lineRule="auto"/>
              <w:jc w:val="center"/>
              <w:rPr>
                <w:spacing w:val="0"/>
              </w:rPr>
            </w:pPr>
            <w:r>
              <w:rPr>
                <w:spacing w:val="0"/>
              </w:rPr>
              <w:t>2283.26</w:t>
            </w:r>
          </w:p>
        </w:tc>
        <w:tc>
          <w:tcPr>
            <w:tcW w:w="1140" w:type="dxa"/>
            <w:vMerge w:val="continue"/>
            <w:tcBorders>
              <w:top w:val="nil"/>
              <w:bottom w:val="nil"/>
            </w:tcBorders>
            <w:vAlign w:val="center"/>
          </w:tcPr>
          <w:p w14:paraId="218E3B2B">
            <w:pPr>
              <w:jc w:val="center"/>
              <w:rPr>
                <w:rFonts w:ascii="Arial"/>
                <w:spacing w:val="0"/>
                <w:sz w:val="21"/>
              </w:rPr>
            </w:pPr>
          </w:p>
        </w:tc>
        <w:tc>
          <w:tcPr>
            <w:tcW w:w="585" w:type="dxa"/>
            <w:vAlign w:val="center"/>
          </w:tcPr>
          <w:p w14:paraId="0693B984">
            <w:pPr>
              <w:pStyle w:val="29"/>
              <w:spacing w:before="151" w:line="194" w:lineRule="auto"/>
              <w:jc w:val="center"/>
              <w:rPr>
                <w:spacing w:val="0"/>
              </w:rPr>
            </w:pPr>
            <w:r>
              <w:rPr>
                <w:spacing w:val="0"/>
              </w:rPr>
              <w:t>m²</w:t>
            </w:r>
          </w:p>
        </w:tc>
        <w:tc>
          <w:tcPr>
            <w:tcW w:w="927" w:type="dxa"/>
            <w:vMerge w:val="continue"/>
            <w:tcBorders>
              <w:top w:val="nil"/>
              <w:bottom w:val="nil"/>
            </w:tcBorders>
            <w:vAlign w:val="center"/>
          </w:tcPr>
          <w:p w14:paraId="765551AB">
            <w:pPr>
              <w:jc w:val="center"/>
              <w:rPr>
                <w:rFonts w:ascii="Arial"/>
                <w:spacing w:val="0"/>
                <w:sz w:val="21"/>
              </w:rPr>
            </w:pPr>
          </w:p>
        </w:tc>
        <w:tc>
          <w:tcPr>
            <w:tcW w:w="906" w:type="dxa"/>
            <w:vMerge w:val="continue"/>
            <w:tcBorders>
              <w:top w:val="nil"/>
              <w:bottom w:val="nil"/>
            </w:tcBorders>
            <w:vAlign w:val="center"/>
          </w:tcPr>
          <w:p w14:paraId="38FE24C6">
            <w:pPr>
              <w:jc w:val="center"/>
              <w:rPr>
                <w:rFonts w:ascii="Arial"/>
                <w:spacing w:val="0"/>
                <w:sz w:val="21"/>
              </w:rPr>
            </w:pPr>
          </w:p>
        </w:tc>
      </w:tr>
      <w:tr w14:paraId="585E6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690" w:type="dxa"/>
            <w:vAlign w:val="center"/>
          </w:tcPr>
          <w:p w14:paraId="502C5FFB">
            <w:pPr>
              <w:pStyle w:val="29"/>
              <w:spacing w:before="142"/>
              <w:jc w:val="center"/>
              <w:rPr>
                <w:spacing w:val="0"/>
              </w:rPr>
            </w:pPr>
            <w:r>
              <w:rPr>
                <w:spacing w:val="0"/>
              </w:rPr>
              <w:t>26</w:t>
            </w:r>
          </w:p>
        </w:tc>
        <w:tc>
          <w:tcPr>
            <w:tcW w:w="1510" w:type="dxa"/>
            <w:vMerge w:val="continue"/>
            <w:tcBorders>
              <w:top w:val="nil"/>
              <w:bottom w:val="nil"/>
            </w:tcBorders>
            <w:vAlign w:val="center"/>
          </w:tcPr>
          <w:p w14:paraId="189E3381">
            <w:pPr>
              <w:jc w:val="center"/>
              <w:rPr>
                <w:rFonts w:ascii="Arial"/>
                <w:spacing w:val="0"/>
                <w:sz w:val="21"/>
              </w:rPr>
            </w:pPr>
          </w:p>
        </w:tc>
        <w:tc>
          <w:tcPr>
            <w:tcW w:w="2310" w:type="dxa"/>
            <w:vAlign w:val="center"/>
          </w:tcPr>
          <w:p w14:paraId="47E7C232">
            <w:pPr>
              <w:pStyle w:val="29"/>
              <w:spacing w:before="125" w:line="219" w:lineRule="auto"/>
              <w:jc w:val="center"/>
              <w:rPr>
                <w:spacing w:val="0"/>
              </w:rPr>
            </w:pPr>
            <w:r>
              <w:rPr>
                <w:spacing w:val="0"/>
              </w:rPr>
              <w:t>龙山路中段绿化</w:t>
            </w:r>
          </w:p>
        </w:tc>
        <w:tc>
          <w:tcPr>
            <w:tcW w:w="2070" w:type="dxa"/>
            <w:vMerge w:val="continue"/>
            <w:tcBorders>
              <w:top w:val="nil"/>
              <w:bottom w:val="nil"/>
            </w:tcBorders>
            <w:vAlign w:val="top"/>
          </w:tcPr>
          <w:p w14:paraId="3DC930BD">
            <w:pPr>
              <w:rPr>
                <w:rFonts w:ascii="Arial"/>
                <w:spacing w:val="0"/>
                <w:sz w:val="21"/>
              </w:rPr>
            </w:pPr>
          </w:p>
        </w:tc>
        <w:tc>
          <w:tcPr>
            <w:tcW w:w="1107" w:type="dxa"/>
            <w:vAlign w:val="center"/>
          </w:tcPr>
          <w:p w14:paraId="0BB630C2">
            <w:pPr>
              <w:pStyle w:val="29"/>
              <w:spacing w:before="143" w:line="239" w:lineRule="auto"/>
              <w:jc w:val="center"/>
              <w:rPr>
                <w:spacing w:val="0"/>
              </w:rPr>
            </w:pPr>
            <w:r>
              <w:rPr>
                <w:spacing w:val="0"/>
              </w:rPr>
              <w:t>331.05</w:t>
            </w:r>
          </w:p>
        </w:tc>
        <w:tc>
          <w:tcPr>
            <w:tcW w:w="1140" w:type="dxa"/>
            <w:vMerge w:val="continue"/>
            <w:tcBorders>
              <w:top w:val="nil"/>
              <w:bottom w:val="nil"/>
            </w:tcBorders>
            <w:vAlign w:val="center"/>
          </w:tcPr>
          <w:p w14:paraId="49304929">
            <w:pPr>
              <w:jc w:val="center"/>
              <w:rPr>
                <w:rFonts w:ascii="Arial"/>
                <w:spacing w:val="0"/>
                <w:sz w:val="21"/>
              </w:rPr>
            </w:pPr>
          </w:p>
        </w:tc>
        <w:tc>
          <w:tcPr>
            <w:tcW w:w="585" w:type="dxa"/>
            <w:vAlign w:val="center"/>
          </w:tcPr>
          <w:p w14:paraId="74975CD5">
            <w:pPr>
              <w:pStyle w:val="29"/>
              <w:spacing w:before="143" w:line="241" w:lineRule="auto"/>
              <w:jc w:val="center"/>
              <w:rPr>
                <w:spacing w:val="0"/>
              </w:rPr>
            </w:pPr>
            <w:r>
              <w:rPr>
                <w:spacing w:val="0"/>
              </w:rPr>
              <w:t>m</w:t>
            </w:r>
            <w:r>
              <w:rPr>
                <w:color w:val="102060"/>
                <w:spacing w:val="0"/>
              </w:rPr>
              <w:t>²</w:t>
            </w:r>
          </w:p>
        </w:tc>
        <w:tc>
          <w:tcPr>
            <w:tcW w:w="927" w:type="dxa"/>
            <w:vMerge w:val="continue"/>
            <w:tcBorders>
              <w:top w:val="nil"/>
              <w:bottom w:val="nil"/>
            </w:tcBorders>
            <w:vAlign w:val="center"/>
          </w:tcPr>
          <w:p w14:paraId="38DDACCE">
            <w:pPr>
              <w:jc w:val="center"/>
              <w:rPr>
                <w:rFonts w:ascii="Arial"/>
                <w:spacing w:val="0"/>
                <w:sz w:val="21"/>
              </w:rPr>
            </w:pPr>
          </w:p>
        </w:tc>
        <w:tc>
          <w:tcPr>
            <w:tcW w:w="906" w:type="dxa"/>
            <w:vMerge w:val="continue"/>
            <w:tcBorders>
              <w:top w:val="nil"/>
              <w:bottom w:val="nil"/>
            </w:tcBorders>
            <w:vAlign w:val="center"/>
          </w:tcPr>
          <w:p w14:paraId="6D815F55">
            <w:pPr>
              <w:jc w:val="center"/>
              <w:rPr>
                <w:rFonts w:ascii="Arial"/>
                <w:spacing w:val="0"/>
                <w:sz w:val="21"/>
              </w:rPr>
            </w:pPr>
          </w:p>
        </w:tc>
      </w:tr>
      <w:tr w14:paraId="6E8F2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3AE8C1F0">
            <w:pPr>
              <w:pStyle w:val="29"/>
              <w:spacing w:before="133"/>
              <w:jc w:val="center"/>
              <w:rPr>
                <w:spacing w:val="0"/>
              </w:rPr>
            </w:pPr>
            <w:r>
              <w:rPr>
                <w:spacing w:val="0"/>
              </w:rPr>
              <w:t>27</w:t>
            </w:r>
          </w:p>
        </w:tc>
        <w:tc>
          <w:tcPr>
            <w:tcW w:w="1510" w:type="dxa"/>
            <w:vMerge w:val="continue"/>
            <w:tcBorders>
              <w:top w:val="nil"/>
              <w:bottom w:val="nil"/>
            </w:tcBorders>
            <w:vAlign w:val="center"/>
          </w:tcPr>
          <w:p w14:paraId="09B6E6B6">
            <w:pPr>
              <w:jc w:val="center"/>
              <w:rPr>
                <w:rFonts w:ascii="Arial"/>
                <w:spacing w:val="0"/>
                <w:sz w:val="21"/>
              </w:rPr>
            </w:pPr>
          </w:p>
        </w:tc>
        <w:tc>
          <w:tcPr>
            <w:tcW w:w="2310" w:type="dxa"/>
            <w:vAlign w:val="center"/>
          </w:tcPr>
          <w:p w14:paraId="6DFABD1E">
            <w:pPr>
              <w:pStyle w:val="29"/>
              <w:spacing w:before="116" w:line="219" w:lineRule="auto"/>
              <w:jc w:val="center"/>
              <w:rPr>
                <w:spacing w:val="0"/>
              </w:rPr>
            </w:pPr>
            <w:r>
              <w:rPr>
                <w:spacing w:val="0"/>
              </w:rPr>
              <w:t>解放路东段绿化</w:t>
            </w:r>
          </w:p>
        </w:tc>
        <w:tc>
          <w:tcPr>
            <w:tcW w:w="2070" w:type="dxa"/>
            <w:vMerge w:val="continue"/>
            <w:tcBorders>
              <w:top w:val="nil"/>
              <w:bottom w:val="nil"/>
            </w:tcBorders>
            <w:vAlign w:val="top"/>
          </w:tcPr>
          <w:p w14:paraId="2B44EEA2">
            <w:pPr>
              <w:rPr>
                <w:rFonts w:ascii="Arial"/>
                <w:spacing w:val="0"/>
                <w:sz w:val="21"/>
              </w:rPr>
            </w:pPr>
          </w:p>
        </w:tc>
        <w:tc>
          <w:tcPr>
            <w:tcW w:w="1107" w:type="dxa"/>
            <w:vAlign w:val="center"/>
          </w:tcPr>
          <w:p w14:paraId="46698C93">
            <w:pPr>
              <w:pStyle w:val="29"/>
              <w:spacing w:before="133"/>
              <w:jc w:val="center"/>
              <w:rPr>
                <w:spacing w:val="0"/>
              </w:rPr>
            </w:pPr>
            <w:r>
              <w:rPr>
                <w:spacing w:val="0"/>
              </w:rPr>
              <w:t>108</w:t>
            </w:r>
          </w:p>
        </w:tc>
        <w:tc>
          <w:tcPr>
            <w:tcW w:w="1140" w:type="dxa"/>
            <w:vMerge w:val="continue"/>
            <w:tcBorders>
              <w:top w:val="nil"/>
              <w:bottom w:val="nil"/>
            </w:tcBorders>
            <w:vAlign w:val="center"/>
          </w:tcPr>
          <w:p w14:paraId="7459B7D5">
            <w:pPr>
              <w:jc w:val="center"/>
              <w:rPr>
                <w:rFonts w:ascii="Arial"/>
                <w:spacing w:val="0"/>
                <w:sz w:val="21"/>
              </w:rPr>
            </w:pPr>
          </w:p>
        </w:tc>
        <w:tc>
          <w:tcPr>
            <w:tcW w:w="585" w:type="dxa"/>
            <w:vAlign w:val="center"/>
          </w:tcPr>
          <w:p w14:paraId="31DBB38E">
            <w:pPr>
              <w:pStyle w:val="29"/>
              <w:spacing w:before="151" w:line="194" w:lineRule="auto"/>
              <w:jc w:val="center"/>
              <w:rPr>
                <w:spacing w:val="0"/>
              </w:rPr>
            </w:pPr>
            <w:r>
              <w:rPr>
                <w:spacing w:val="0"/>
              </w:rPr>
              <w:t>m²</w:t>
            </w:r>
          </w:p>
        </w:tc>
        <w:tc>
          <w:tcPr>
            <w:tcW w:w="927" w:type="dxa"/>
            <w:vMerge w:val="continue"/>
            <w:tcBorders>
              <w:top w:val="nil"/>
              <w:bottom w:val="nil"/>
            </w:tcBorders>
            <w:vAlign w:val="center"/>
          </w:tcPr>
          <w:p w14:paraId="7C9B3448">
            <w:pPr>
              <w:jc w:val="center"/>
              <w:rPr>
                <w:rFonts w:ascii="Arial"/>
                <w:spacing w:val="0"/>
                <w:sz w:val="21"/>
              </w:rPr>
            </w:pPr>
          </w:p>
        </w:tc>
        <w:tc>
          <w:tcPr>
            <w:tcW w:w="906" w:type="dxa"/>
            <w:vMerge w:val="continue"/>
            <w:tcBorders>
              <w:top w:val="nil"/>
              <w:bottom w:val="nil"/>
            </w:tcBorders>
            <w:vAlign w:val="center"/>
          </w:tcPr>
          <w:p w14:paraId="17198130">
            <w:pPr>
              <w:jc w:val="center"/>
              <w:rPr>
                <w:rFonts w:ascii="Arial"/>
                <w:spacing w:val="0"/>
                <w:sz w:val="21"/>
              </w:rPr>
            </w:pPr>
          </w:p>
        </w:tc>
      </w:tr>
      <w:tr w14:paraId="5BA46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Align w:val="center"/>
          </w:tcPr>
          <w:p w14:paraId="151A8A6F">
            <w:pPr>
              <w:pStyle w:val="29"/>
              <w:spacing w:before="143"/>
              <w:jc w:val="center"/>
              <w:rPr>
                <w:spacing w:val="0"/>
              </w:rPr>
            </w:pPr>
            <w:r>
              <w:rPr>
                <w:spacing w:val="0"/>
              </w:rPr>
              <w:t>28</w:t>
            </w:r>
          </w:p>
        </w:tc>
        <w:tc>
          <w:tcPr>
            <w:tcW w:w="1510" w:type="dxa"/>
            <w:vMerge w:val="continue"/>
            <w:tcBorders>
              <w:top w:val="nil"/>
              <w:bottom w:val="nil"/>
            </w:tcBorders>
            <w:vAlign w:val="center"/>
          </w:tcPr>
          <w:p w14:paraId="0DF581EB">
            <w:pPr>
              <w:jc w:val="center"/>
              <w:rPr>
                <w:rFonts w:ascii="Arial"/>
                <w:spacing w:val="0"/>
                <w:sz w:val="21"/>
              </w:rPr>
            </w:pPr>
          </w:p>
        </w:tc>
        <w:tc>
          <w:tcPr>
            <w:tcW w:w="2310" w:type="dxa"/>
            <w:vAlign w:val="center"/>
          </w:tcPr>
          <w:p w14:paraId="0AFDD38E">
            <w:pPr>
              <w:pStyle w:val="29"/>
              <w:spacing w:before="126" w:line="219" w:lineRule="auto"/>
              <w:jc w:val="center"/>
              <w:rPr>
                <w:spacing w:val="0"/>
              </w:rPr>
            </w:pPr>
            <w:r>
              <w:rPr>
                <w:spacing w:val="0"/>
              </w:rPr>
              <w:t>洛南路西段绿化</w:t>
            </w:r>
          </w:p>
        </w:tc>
        <w:tc>
          <w:tcPr>
            <w:tcW w:w="2070" w:type="dxa"/>
            <w:vMerge w:val="continue"/>
            <w:tcBorders>
              <w:top w:val="nil"/>
              <w:bottom w:val="nil"/>
            </w:tcBorders>
            <w:vAlign w:val="top"/>
          </w:tcPr>
          <w:p w14:paraId="055E0B9A">
            <w:pPr>
              <w:rPr>
                <w:rFonts w:ascii="Arial"/>
                <w:spacing w:val="0"/>
                <w:sz w:val="21"/>
              </w:rPr>
            </w:pPr>
          </w:p>
        </w:tc>
        <w:tc>
          <w:tcPr>
            <w:tcW w:w="1107" w:type="dxa"/>
            <w:vAlign w:val="center"/>
          </w:tcPr>
          <w:p w14:paraId="0AAF4A39">
            <w:pPr>
              <w:pStyle w:val="29"/>
              <w:spacing w:before="144" w:line="239" w:lineRule="auto"/>
              <w:jc w:val="center"/>
              <w:rPr>
                <w:spacing w:val="0"/>
              </w:rPr>
            </w:pPr>
            <w:r>
              <w:rPr>
                <w:spacing w:val="0"/>
              </w:rPr>
              <w:t>2827.9</w:t>
            </w:r>
          </w:p>
        </w:tc>
        <w:tc>
          <w:tcPr>
            <w:tcW w:w="1140" w:type="dxa"/>
            <w:vMerge w:val="continue"/>
            <w:tcBorders>
              <w:top w:val="nil"/>
              <w:bottom w:val="nil"/>
            </w:tcBorders>
            <w:vAlign w:val="center"/>
          </w:tcPr>
          <w:p w14:paraId="690ABAA5">
            <w:pPr>
              <w:jc w:val="center"/>
              <w:rPr>
                <w:rFonts w:ascii="Arial"/>
                <w:spacing w:val="0"/>
                <w:sz w:val="21"/>
              </w:rPr>
            </w:pPr>
          </w:p>
        </w:tc>
        <w:tc>
          <w:tcPr>
            <w:tcW w:w="585" w:type="dxa"/>
            <w:vAlign w:val="center"/>
          </w:tcPr>
          <w:p w14:paraId="71731397">
            <w:pPr>
              <w:pStyle w:val="29"/>
              <w:spacing w:before="162" w:line="194" w:lineRule="auto"/>
              <w:jc w:val="center"/>
              <w:rPr>
                <w:spacing w:val="0"/>
              </w:rPr>
            </w:pPr>
            <w:r>
              <w:rPr>
                <w:spacing w:val="0"/>
              </w:rPr>
              <w:t>m²</w:t>
            </w:r>
          </w:p>
        </w:tc>
        <w:tc>
          <w:tcPr>
            <w:tcW w:w="927" w:type="dxa"/>
            <w:vMerge w:val="continue"/>
            <w:tcBorders>
              <w:top w:val="nil"/>
              <w:bottom w:val="nil"/>
            </w:tcBorders>
            <w:vAlign w:val="center"/>
          </w:tcPr>
          <w:p w14:paraId="4AAC0179">
            <w:pPr>
              <w:jc w:val="center"/>
              <w:rPr>
                <w:rFonts w:ascii="Arial"/>
                <w:spacing w:val="0"/>
                <w:sz w:val="21"/>
              </w:rPr>
            </w:pPr>
          </w:p>
        </w:tc>
        <w:tc>
          <w:tcPr>
            <w:tcW w:w="906" w:type="dxa"/>
            <w:vMerge w:val="continue"/>
            <w:tcBorders>
              <w:top w:val="nil"/>
              <w:bottom w:val="nil"/>
            </w:tcBorders>
            <w:vAlign w:val="center"/>
          </w:tcPr>
          <w:p w14:paraId="65014817">
            <w:pPr>
              <w:jc w:val="center"/>
              <w:rPr>
                <w:rFonts w:ascii="Arial"/>
                <w:spacing w:val="0"/>
                <w:sz w:val="21"/>
              </w:rPr>
            </w:pPr>
          </w:p>
        </w:tc>
      </w:tr>
      <w:tr w14:paraId="6415E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690" w:type="dxa"/>
            <w:vAlign w:val="center"/>
          </w:tcPr>
          <w:p w14:paraId="08F5C6EA">
            <w:pPr>
              <w:pStyle w:val="29"/>
              <w:spacing w:before="133"/>
              <w:jc w:val="center"/>
              <w:rPr>
                <w:spacing w:val="0"/>
              </w:rPr>
            </w:pPr>
            <w:r>
              <w:rPr>
                <w:spacing w:val="0"/>
              </w:rPr>
              <w:t>29</w:t>
            </w:r>
          </w:p>
        </w:tc>
        <w:tc>
          <w:tcPr>
            <w:tcW w:w="1510" w:type="dxa"/>
            <w:vMerge w:val="continue"/>
            <w:tcBorders>
              <w:top w:val="nil"/>
            </w:tcBorders>
            <w:vAlign w:val="center"/>
          </w:tcPr>
          <w:p w14:paraId="5D169B3E">
            <w:pPr>
              <w:jc w:val="center"/>
              <w:rPr>
                <w:rFonts w:ascii="Arial"/>
                <w:spacing w:val="0"/>
                <w:sz w:val="21"/>
              </w:rPr>
            </w:pPr>
          </w:p>
        </w:tc>
        <w:tc>
          <w:tcPr>
            <w:tcW w:w="2310" w:type="dxa"/>
            <w:vAlign w:val="top"/>
          </w:tcPr>
          <w:p w14:paraId="331B49B3">
            <w:pPr>
              <w:pStyle w:val="29"/>
              <w:spacing w:before="116" w:line="219" w:lineRule="auto"/>
              <w:ind w:left="721"/>
              <w:rPr>
                <w:spacing w:val="0"/>
              </w:rPr>
            </w:pPr>
            <w:r>
              <w:rPr>
                <w:spacing w:val="0"/>
              </w:rPr>
              <w:t>药城周边</w:t>
            </w:r>
          </w:p>
        </w:tc>
        <w:tc>
          <w:tcPr>
            <w:tcW w:w="2070" w:type="dxa"/>
            <w:vMerge w:val="continue"/>
            <w:tcBorders>
              <w:top w:val="nil"/>
            </w:tcBorders>
            <w:vAlign w:val="top"/>
          </w:tcPr>
          <w:p w14:paraId="6BACD48C">
            <w:pPr>
              <w:rPr>
                <w:rFonts w:ascii="Arial"/>
                <w:spacing w:val="0"/>
                <w:sz w:val="21"/>
              </w:rPr>
            </w:pPr>
          </w:p>
        </w:tc>
        <w:tc>
          <w:tcPr>
            <w:tcW w:w="1107" w:type="dxa"/>
            <w:vAlign w:val="top"/>
          </w:tcPr>
          <w:p w14:paraId="02BC7F9A">
            <w:pPr>
              <w:pStyle w:val="29"/>
              <w:spacing w:before="134" w:line="241" w:lineRule="auto"/>
              <w:ind w:left="495"/>
              <w:rPr>
                <w:spacing w:val="0"/>
              </w:rPr>
            </w:pPr>
            <w:r>
              <w:rPr>
                <w:spacing w:val="0"/>
              </w:rPr>
              <w:t>142</w:t>
            </w:r>
          </w:p>
        </w:tc>
        <w:tc>
          <w:tcPr>
            <w:tcW w:w="1140" w:type="dxa"/>
            <w:vMerge w:val="continue"/>
            <w:tcBorders>
              <w:top w:val="nil"/>
            </w:tcBorders>
            <w:vAlign w:val="top"/>
          </w:tcPr>
          <w:p w14:paraId="01CCECA4">
            <w:pPr>
              <w:rPr>
                <w:rFonts w:ascii="Arial"/>
                <w:spacing w:val="0"/>
                <w:sz w:val="21"/>
              </w:rPr>
            </w:pPr>
          </w:p>
        </w:tc>
        <w:tc>
          <w:tcPr>
            <w:tcW w:w="585" w:type="dxa"/>
            <w:vAlign w:val="top"/>
          </w:tcPr>
          <w:p w14:paraId="66B0AAFD">
            <w:pPr>
              <w:pStyle w:val="29"/>
              <w:spacing w:before="152" w:line="194" w:lineRule="auto"/>
              <w:jc w:val="center"/>
              <w:rPr>
                <w:spacing w:val="0"/>
              </w:rPr>
            </w:pPr>
            <w:r>
              <w:rPr>
                <w:spacing w:val="0"/>
              </w:rPr>
              <w:t>m²</w:t>
            </w:r>
          </w:p>
        </w:tc>
        <w:tc>
          <w:tcPr>
            <w:tcW w:w="927" w:type="dxa"/>
            <w:vMerge w:val="continue"/>
            <w:tcBorders>
              <w:top w:val="nil"/>
            </w:tcBorders>
            <w:vAlign w:val="top"/>
          </w:tcPr>
          <w:p w14:paraId="7650962B">
            <w:pPr>
              <w:rPr>
                <w:rFonts w:ascii="Arial"/>
                <w:spacing w:val="0"/>
                <w:sz w:val="21"/>
              </w:rPr>
            </w:pPr>
          </w:p>
        </w:tc>
        <w:tc>
          <w:tcPr>
            <w:tcW w:w="906" w:type="dxa"/>
            <w:vMerge w:val="continue"/>
            <w:tcBorders>
              <w:top w:val="nil"/>
            </w:tcBorders>
            <w:vAlign w:val="top"/>
          </w:tcPr>
          <w:p w14:paraId="20AA6A77">
            <w:pPr>
              <w:rPr>
                <w:rFonts w:ascii="Arial"/>
                <w:spacing w:val="0"/>
                <w:sz w:val="21"/>
              </w:rPr>
            </w:pPr>
          </w:p>
        </w:tc>
      </w:tr>
      <w:tr w14:paraId="49F84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690" w:type="dxa"/>
            <w:vAlign w:val="center"/>
          </w:tcPr>
          <w:p w14:paraId="6F1D398C">
            <w:pPr>
              <w:pStyle w:val="29"/>
              <w:spacing w:before="143"/>
              <w:jc w:val="center"/>
              <w:rPr>
                <w:spacing w:val="0"/>
              </w:rPr>
            </w:pPr>
            <w:r>
              <w:rPr>
                <w:spacing w:val="0"/>
              </w:rPr>
              <w:t>30</w:t>
            </w:r>
          </w:p>
        </w:tc>
        <w:tc>
          <w:tcPr>
            <w:tcW w:w="1510" w:type="dxa"/>
            <w:vAlign w:val="center"/>
          </w:tcPr>
          <w:p w14:paraId="3ADF302F">
            <w:pPr>
              <w:pStyle w:val="29"/>
              <w:spacing w:before="59" w:line="219" w:lineRule="auto"/>
              <w:jc w:val="center"/>
              <w:rPr>
                <w:rFonts w:ascii="宋体" w:hAnsi="宋体" w:eastAsia="宋体" w:cs="宋体"/>
                <w:spacing w:val="0"/>
              </w:rPr>
            </w:pPr>
            <w:r>
              <w:rPr>
                <w:rFonts w:ascii="宋体" w:hAnsi="宋体" w:eastAsia="宋体" w:cs="宋体"/>
                <w:spacing w:val="0"/>
              </w:rPr>
              <w:t>健康步道</w:t>
            </w:r>
          </w:p>
        </w:tc>
        <w:tc>
          <w:tcPr>
            <w:tcW w:w="2310" w:type="dxa"/>
            <w:vAlign w:val="center"/>
          </w:tcPr>
          <w:p w14:paraId="47C31DF4">
            <w:pPr>
              <w:pStyle w:val="29"/>
              <w:spacing w:before="59" w:line="219" w:lineRule="auto"/>
              <w:jc w:val="center"/>
              <w:rPr>
                <w:rFonts w:ascii="宋体" w:hAnsi="宋体" w:eastAsia="宋体" w:cs="宋体"/>
                <w:spacing w:val="0"/>
              </w:rPr>
            </w:pPr>
            <w:r>
              <w:rPr>
                <w:rFonts w:ascii="宋体" w:hAnsi="宋体" w:eastAsia="宋体" w:cs="宋体"/>
                <w:spacing w:val="0"/>
              </w:rPr>
              <w:t>健康步道</w:t>
            </w:r>
          </w:p>
        </w:tc>
        <w:tc>
          <w:tcPr>
            <w:tcW w:w="2070" w:type="dxa"/>
            <w:vAlign w:val="center"/>
          </w:tcPr>
          <w:p w14:paraId="1FD82A88">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石龙头桥北侧-变电站</w:t>
            </w:r>
          </w:p>
        </w:tc>
        <w:tc>
          <w:tcPr>
            <w:tcW w:w="1107" w:type="dxa"/>
            <w:vAlign w:val="center"/>
          </w:tcPr>
          <w:p w14:paraId="23333BA7">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31872.28</w:t>
            </w:r>
          </w:p>
        </w:tc>
        <w:tc>
          <w:tcPr>
            <w:tcW w:w="1140" w:type="dxa"/>
            <w:vAlign w:val="center"/>
          </w:tcPr>
          <w:p w14:paraId="51B0A469">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31872.28</w:t>
            </w:r>
          </w:p>
        </w:tc>
        <w:tc>
          <w:tcPr>
            <w:tcW w:w="585" w:type="dxa"/>
            <w:vAlign w:val="center"/>
          </w:tcPr>
          <w:p w14:paraId="3848FF9F">
            <w:pPr>
              <w:pStyle w:val="29"/>
              <w:spacing w:before="112" w:line="219" w:lineRule="auto"/>
              <w:jc w:val="center"/>
              <w:rPr>
                <w:rFonts w:ascii="宋体" w:hAnsi="宋体" w:eastAsia="宋体" w:cs="宋体"/>
                <w:color w:val="000000" w:themeColor="text1"/>
                <w:spacing w:val="0"/>
                <w14:textFill>
                  <w14:solidFill>
                    <w14:schemeClr w14:val="tx1"/>
                  </w14:solidFill>
                </w14:textFill>
              </w:rPr>
            </w:pPr>
            <w:r>
              <w:rPr>
                <w:rFonts w:ascii="宋体" w:hAnsi="宋体" w:eastAsia="宋体" w:cs="宋体"/>
                <w:color w:val="000000" w:themeColor="text1"/>
                <w:spacing w:val="0"/>
                <w14:textFill>
                  <w14:solidFill>
                    <w14:schemeClr w14:val="tx1"/>
                  </w14:solidFill>
                </w14:textFill>
              </w:rPr>
              <w:t>m²</w:t>
            </w:r>
          </w:p>
        </w:tc>
        <w:tc>
          <w:tcPr>
            <w:tcW w:w="927" w:type="dxa"/>
            <w:vAlign w:val="center"/>
          </w:tcPr>
          <w:p w14:paraId="1729E4E9">
            <w:pPr>
              <w:pStyle w:val="29"/>
              <w:spacing w:before="112" w:line="219" w:lineRule="auto"/>
              <w:jc w:val="center"/>
              <w:rPr>
                <w:rFonts w:ascii="宋体" w:hAnsi="宋体" w:eastAsia="宋体" w:cs="宋体"/>
                <w:color w:val="000000" w:themeColor="text1"/>
                <w:spacing w:val="0"/>
                <w14:textFill>
                  <w14:solidFill>
                    <w14:schemeClr w14:val="tx1"/>
                  </w14:solidFill>
                </w14:textFill>
              </w:rPr>
            </w:pPr>
          </w:p>
        </w:tc>
        <w:tc>
          <w:tcPr>
            <w:tcW w:w="906" w:type="dxa"/>
            <w:vAlign w:val="center"/>
          </w:tcPr>
          <w:p w14:paraId="1951CBF7">
            <w:pPr>
              <w:pStyle w:val="29"/>
              <w:spacing w:before="112" w:line="219" w:lineRule="auto"/>
              <w:jc w:val="center"/>
              <w:rPr>
                <w:rFonts w:ascii="宋体" w:hAnsi="宋体" w:eastAsia="宋体" w:cs="宋体"/>
                <w:color w:val="000000" w:themeColor="text1"/>
                <w:spacing w:val="0"/>
                <w14:textFill>
                  <w14:solidFill>
                    <w14:schemeClr w14:val="tx1"/>
                  </w14:solidFill>
                </w14:textFill>
              </w:rPr>
            </w:pPr>
          </w:p>
        </w:tc>
      </w:tr>
      <w:tr w14:paraId="5A4EF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center"/>
          </w:tcPr>
          <w:p w14:paraId="25C6E298">
            <w:pPr>
              <w:pStyle w:val="29"/>
              <w:spacing w:before="143"/>
              <w:jc w:val="center"/>
              <w:rPr>
                <w:spacing w:val="0"/>
              </w:rPr>
            </w:pPr>
            <w:r>
              <w:rPr>
                <w:spacing w:val="0"/>
              </w:rPr>
              <w:t>31</w:t>
            </w:r>
          </w:p>
        </w:tc>
        <w:tc>
          <w:tcPr>
            <w:tcW w:w="1510" w:type="dxa"/>
            <w:vMerge w:val="restart"/>
            <w:tcBorders>
              <w:bottom w:val="nil"/>
            </w:tcBorders>
            <w:vAlign w:val="center"/>
          </w:tcPr>
          <w:p w14:paraId="31B87973">
            <w:pPr>
              <w:pStyle w:val="29"/>
              <w:spacing w:before="59" w:line="219" w:lineRule="auto"/>
              <w:jc w:val="center"/>
              <w:rPr>
                <w:rFonts w:ascii="宋体" w:hAnsi="宋体" w:eastAsia="宋体" w:cs="宋体"/>
                <w:spacing w:val="0"/>
              </w:rPr>
            </w:pPr>
            <w:r>
              <w:rPr>
                <w:rFonts w:ascii="宋体" w:hAnsi="宋体" w:eastAsia="宋体" w:cs="宋体"/>
                <w:spacing w:val="0"/>
              </w:rPr>
              <w:t>80米绿化带</w:t>
            </w:r>
          </w:p>
          <w:p w14:paraId="48E8EADF">
            <w:pPr>
              <w:pStyle w:val="29"/>
              <w:spacing w:before="59" w:line="219" w:lineRule="auto"/>
              <w:jc w:val="center"/>
              <w:rPr>
                <w:rFonts w:ascii="宋体" w:hAnsi="宋体" w:eastAsia="宋体" w:cs="宋体"/>
                <w:spacing w:val="0"/>
              </w:rPr>
            </w:pPr>
            <w:r>
              <w:rPr>
                <w:rFonts w:ascii="宋体" w:hAnsi="宋体" w:eastAsia="宋体" w:cs="宋体"/>
                <w:spacing w:val="0"/>
              </w:rPr>
              <w:t>西段</w:t>
            </w:r>
          </w:p>
        </w:tc>
        <w:tc>
          <w:tcPr>
            <w:tcW w:w="2310" w:type="dxa"/>
            <w:vMerge w:val="restart"/>
            <w:tcBorders>
              <w:bottom w:val="nil"/>
            </w:tcBorders>
            <w:vAlign w:val="center"/>
          </w:tcPr>
          <w:p w14:paraId="5354D6AE">
            <w:pPr>
              <w:pStyle w:val="29"/>
              <w:spacing w:before="59" w:line="219" w:lineRule="auto"/>
              <w:jc w:val="center"/>
              <w:rPr>
                <w:rFonts w:ascii="宋体" w:hAnsi="宋体" w:eastAsia="宋体" w:cs="宋体"/>
                <w:spacing w:val="0"/>
              </w:rPr>
            </w:pPr>
            <w:r>
              <w:rPr>
                <w:rFonts w:ascii="宋体" w:hAnsi="宋体" w:eastAsia="宋体" w:cs="宋体"/>
                <w:spacing w:val="0"/>
              </w:rPr>
              <w:t>80米绿化带(西段)</w:t>
            </w:r>
          </w:p>
          <w:p w14:paraId="1D9450C7">
            <w:pPr>
              <w:pStyle w:val="29"/>
              <w:spacing w:before="59" w:line="219" w:lineRule="auto"/>
              <w:jc w:val="center"/>
              <w:rPr>
                <w:rFonts w:ascii="宋体" w:hAnsi="宋体" w:eastAsia="宋体" w:cs="宋体"/>
                <w:spacing w:val="0"/>
              </w:rPr>
            </w:pPr>
            <w:r>
              <w:rPr>
                <w:rFonts w:ascii="宋体" w:hAnsi="宋体" w:eastAsia="宋体" w:cs="宋体"/>
                <w:spacing w:val="0"/>
              </w:rPr>
              <w:t>淇河路至西苑路段</w:t>
            </w:r>
          </w:p>
        </w:tc>
        <w:tc>
          <w:tcPr>
            <w:tcW w:w="2070" w:type="dxa"/>
            <w:vAlign w:val="center"/>
          </w:tcPr>
          <w:p w14:paraId="4ABFB42E">
            <w:pPr>
              <w:pStyle w:val="29"/>
              <w:spacing w:before="126" w:line="219" w:lineRule="auto"/>
              <w:jc w:val="center"/>
              <w:rPr>
                <w:spacing w:val="0"/>
              </w:rPr>
            </w:pPr>
            <w:r>
              <w:rPr>
                <w:spacing w:val="0"/>
              </w:rPr>
              <w:t>双拥主题公园</w:t>
            </w:r>
          </w:p>
        </w:tc>
        <w:tc>
          <w:tcPr>
            <w:tcW w:w="1107" w:type="dxa"/>
            <w:vAlign w:val="center"/>
          </w:tcPr>
          <w:p w14:paraId="55267E28">
            <w:pPr>
              <w:pStyle w:val="29"/>
              <w:spacing w:before="144" w:line="239" w:lineRule="auto"/>
              <w:jc w:val="center"/>
              <w:rPr>
                <w:spacing w:val="0"/>
              </w:rPr>
            </w:pPr>
            <w:r>
              <w:rPr>
                <w:spacing w:val="0"/>
              </w:rPr>
              <w:t>42769.26</w:t>
            </w:r>
          </w:p>
        </w:tc>
        <w:tc>
          <w:tcPr>
            <w:tcW w:w="1140" w:type="dxa"/>
            <w:vMerge w:val="restart"/>
            <w:tcBorders>
              <w:bottom w:val="nil"/>
            </w:tcBorders>
            <w:vAlign w:val="center"/>
          </w:tcPr>
          <w:p w14:paraId="74A60470">
            <w:pPr>
              <w:pStyle w:val="29"/>
              <w:spacing w:before="58" w:line="239" w:lineRule="auto"/>
              <w:jc w:val="center"/>
              <w:rPr>
                <w:spacing w:val="0"/>
              </w:rPr>
            </w:pPr>
            <w:r>
              <w:rPr>
                <w:spacing w:val="0"/>
              </w:rPr>
              <w:t>88769.26</w:t>
            </w:r>
          </w:p>
        </w:tc>
        <w:tc>
          <w:tcPr>
            <w:tcW w:w="585" w:type="dxa"/>
            <w:vAlign w:val="center"/>
          </w:tcPr>
          <w:p w14:paraId="73DDC36E">
            <w:pPr>
              <w:pStyle w:val="29"/>
              <w:spacing w:before="162" w:line="194" w:lineRule="auto"/>
              <w:jc w:val="center"/>
              <w:rPr>
                <w:spacing w:val="0"/>
              </w:rPr>
            </w:pPr>
            <w:r>
              <w:rPr>
                <w:spacing w:val="0"/>
              </w:rPr>
              <w:t>m²</w:t>
            </w:r>
          </w:p>
        </w:tc>
        <w:tc>
          <w:tcPr>
            <w:tcW w:w="927" w:type="dxa"/>
            <w:vMerge w:val="restart"/>
            <w:tcBorders>
              <w:bottom w:val="nil"/>
            </w:tcBorders>
            <w:vAlign w:val="center"/>
          </w:tcPr>
          <w:p w14:paraId="26BEBA4A">
            <w:pPr>
              <w:pStyle w:val="29"/>
              <w:spacing w:before="58" w:line="239" w:lineRule="auto"/>
              <w:jc w:val="center"/>
              <w:rPr>
                <w:spacing w:val="0"/>
              </w:rPr>
            </w:pPr>
          </w:p>
        </w:tc>
        <w:tc>
          <w:tcPr>
            <w:tcW w:w="906" w:type="dxa"/>
            <w:vMerge w:val="restart"/>
            <w:tcBorders>
              <w:bottom w:val="nil"/>
            </w:tcBorders>
            <w:vAlign w:val="center"/>
          </w:tcPr>
          <w:p w14:paraId="280B477C">
            <w:pPr>
              <w:pStyle w:val="29"/>
              <w:spacing w:before="58" w:line="239" w:lineRule="auto"/>
              <w:jc w:val="center"/>
              <w:rPr>
                <w:spacing w:val="0"/>
              </w:rPr>
            </w:pPr>
          </w:p>
        </w:tc>
      </w:tr>
      <w:tr w14:paraId="499BB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jc w:val="center"/>
        </w:trPr>
        <w:tc>
          <w:tcPr>
            <w:tcW w:w="690" w:type="dxa"/>
            <w:vAlign w:val="center"/>
          </w:tcPr>
          <w:p w14:paraId="2E1DE94E">
            <w:pPr>
              <w:pStyle w:val="29"/>
              <w:spacing w:before="143"/>
              <w:jc w:val="center"/>
              <w:rPr>
                <w:spacing w:val="0"/>
              </w:rPr>
            </w:pPr>
            <w:r>
              <w:rPr>
                <w:spacing w:val="0"/>
              </w:rPr>
              <w:t>32</w:t>
            </w:r>
          </w:p>
        </w:tc>
        <w:tc>
          <w:tcPr>
            <w:tcW w:w="1510" w:type="dxa"/>
            <w:vMerge w:val="continue"/>
            <w:tcBorders>
              <w:top w:val="nil"/>
              <w:bottom w:val="nil"/>
            </w:tcBorders>
            <w:vAlign w:val="center"/>
          </w:tcPr>
          <w:p w14:paraId="781A85A6">
            <w:pPr>
              <w:jc w:val="center"/>
              <w:rPr>
                <w:rFonts w:ascii="Arial"/>
                <w:spacing w:val="0"/>
                <w:sz w:val="21"/>
              </w:rPr>
            </w:pPr>
          </w:p>
        </w:tc>
        <w:tc>
          <w:tcPr>
            <w:tcW w:w="2310" w:type="dxa"/>
            <w:vMerge w:val="continue"/>
            <w:tcBorders>
              <w:top w:val="nil"/>
              <w:bottom w:val="nil"/>
            </w:tcBorders>
            <w:vAlign w:val="center"/>
          </w:tcPr>
          <w:p w14:paraId="7DC916FB">
            <w:pPr>
              <w:jc w:val="center"/>
              <w:rPr>
                <w:rFonts w:ascii="Arial"/>
                <w:spacing w:val="0"/>
                <w:sz w:val="21"/>
              </w:rPr>
            </w:pPr>
          </w:p>
        </w:tc>
        <w:tc>
          <w:tcPr>
            <w:tcW w:w="2070" w:type="dxa"/>
            <w:vAlign w:val="center"/>
          </w:tcPr>
          <w:p w14:paraId="03920EA4">
            <w:pPr>
              <w:pStyle w:val="29"/>
              <w:spacing w:before="127" w:line="221" w:lineRule="auto"/>
              <w:jc w:val="center"/>
              <w:rPr>
                <w:spacing w:val="0"/>
              </w:rPr>
            </w:pPr>
            <w:r>
              <w:rPr>
                <w:spacing w:val="0"/>
              </w:rPr>
              <w:t>慈善公园</w:t>
            </w:r>
          </w:p>
        </w:tc>
        <w:tc>
          <w:tcPr>
            <w:tcW w:w="1107" w:type="dxa"/>
            <w:vAlign w:val="center"/>
          </w:tcPr>
          <w:p w14:paraId="78CE169B">
            <w:pPr>
              <w:pStyle w:val="29"/>
              <w:spacing w:before="143"/>
              <w:jc w:val="center"/>
              <w:rPr>
                <w:spacing w:val="0"/>
              </w:rPr>
            </w:pPr>
            <w:r>
              <w:rPr>
                <w:spacing w:val="0"/>
              </w:rPr>
              <w:t>21000</w:t>
            </w:r>
          </w:p>
        </w:tc>
        <w:tc>
          <w:tcPr>
            <w:tcW w:w="1140" w:type="dxa"/>
            <w:vMerge w:val="continue"/>
            <w:tcBorders>
              <w:top w:val="nil"/>
              <w:bottom w:val="nil"/>
            </w:tcBorders>
            <w:vAlign w:val="center"/>
          </w:tcPr>
          <w:p w14:paraId="088C88D4">
            <w:pPr>
              <w:jc w:val="center"/>
              <w:rPr>
                <w:rFonts w:ascii="Arial"/>
                <w:spacing w:val="0"/>
                <w:sz w:val="21"/>
              </w:rPr>
            </w:pPr>
          </w:p>
        </w:tc>
        <w:tc>
          <w:tcPr>
            <w:tcW w:w="585" w:type="dxa"/>
            <w:vAlign w:val="center"/>
          </w:tcPr>
          <w:p w14:paraId="53642651">
            <w:pPr>
              <w:pStyle w:val="29"/>
              <w:spacing w:before="161" w:line="194" w:lineRule="auto"/>
              <w:jc w:val="center"/>
              <w:rPr>
                <w:spacing w:val="0"/>
              </w:rPr>
            </w:pPr>
            <w:r>
              <w:rPr>
                <w:spacing w:val="0"/>
              </w:rPr>
              <w:t>m²</w:t>
            </w:r>
          </w:p>
        </w:tc>
        <w:tc>
          <w:tcPr>
            <w:tcW w:w="927" w:type="dxa"/>
            <w:vMerge w:val="continue"/>
            <w:tcBorders>
              <w:top w:val="nil"/>
              <w:bottom w:val="nil"/>
            </w:tcBorders>
            <w:vAlign w:val="center"/>
          </w:tcPr>
          <w:p w14:paraId="74FAC9F6">
            <w:pPr>
              <w:jc w:val="center"/>
              <w:rPr>
                <w:rFonts w:ascii="Arial"/>
                <w:spacing w:val="0"/>
                <w:sz w:val="21"/>
              </w:rPr>
            </w:pPr>
          </w:p>
        </w:tc>
        <w:tc>
          <w:tcPr>
            <w:tcW w:w="906" w:type="dxa"/>
            <w:vMerge w:val="continue"/>
            <w:tcBorders>
              <w:top w:val="nil"/>
              <w:bottom w:val="nil"/>
            </w:tcBorders>
            <w:vAlign w:val="center"/>
          </w:tcPr>
          <w:p w14:paraId="1E94BCC3">
            <w:pPr>
              <w:jc w:val="center"/>
              <w:rPr>
                <w:rFonts w:ascii="Arial"/>
                <w:spacing w:val="0"/>
                <w:sz w:val="21"/>
              </w:rPr>
            </w:pPr>
          </w:p>
        </w:tc>
      </w:tr>
      <w:tr w14:paraId="34C3B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690" w:type="dxa"/>
            <w:vAlign w:val="center"/>
          </w:tcPr>
          <w:p w14:paraId="12C148FE">
            <w:pPr>
              <w:pStyle w:val="29"/>
              <w:spacing w:before="143"/>
              <w:jc w:val="center"/>
              <w:rPr>
                <w:spacing w:val="0"/>
              </w:rPr>
            </w:pPr>
            <w:r>
              <w:rPr>
                <w:spacing w:val="0"/>
              </w:rPr>
              <w:t>33</w:t>
            </w:r>
          </w:p>
        </w:tc>
        <w:tc>
          <w:tcPr>
            <w:tcW w:w="1510" w:type="dxa"/>
            <w:vMerge w:val="continue"/>
            <w:tcBorders>
              <w:top w:val="nil"/>
            </w:tcBorders>
            <w:vAlign w:val="center"/>
          </w:tcPr>
          <w:p w14:paraId="143573F4">
            <w:pPr>
              <w:jc w:val="center"/>
              <w:rPr>
                <w:rFonts w:ascii="Arial"/>
                <w:spacing w:val="0"/>
                <w:sz w:val="21"/>
              </w:rPr>
            </w:pPr>
          </w:p>
        </w:tc>
        <w:tc>
          <w:tcPr>
            <w:tcW w:w="2310" w:type="dxa"/>
            <w:vMerge w:val="continue"/>
            <w:tcBorders>
              <w:top w:val="nil"/>
            </w:tcBorders>
            <w:vAlign w:val="center"/>
          </w:tcPr>
          <w:p w14:paraId="76992C38">
            <w:pPr>
              <w:jc w:val="center"/>
              <w:rPr>
                <w:rFonts w:ascii="Arial"/>
                <w:spacing w:val="0"/>
                <w:sz w:val="21"/>
              </w:rPr>
            </w:pPr>
          </w:p>
        </w:tc>
        <w:tc>
          <w:tcPr>
            <w:tcW w:w="2070" w:type="dxa"/>
            <w:vAlign w:val="center"/>
          </w:tcPr>
          <w:p w14:paraId="36EAF8CC">
            <w:pPr>
              <w:pStyle w:val="29"/>
              <w:spacing w:before="127" w:line="221" w:lineRule="auto"/>
              <w:jc w:val="center"/>
              <w:rPr>
                <w:spacing w:val="0"/>
              </w:rPr>
            </w:pPr>
            <w:r>
              <w:rPr>
                <w:spacing w:val="0"/>
              </w:rPr>
              <w:t>国安公园</w:t>
            </w:r>
          </w:p>
        </w:tc>
        <w:tc>
          <w:tcPr>
            <w:tcW w:w="1107" w:type="dxa"/>
            <w:vAlign w:val="center"/>
          </w:tcPr>
          <w:p w14:paraId="46D755A4">
            <w:pPr>
              <w:pStyle w:val="29"/>
              <w:spacing w:before="143"/>
              <w:jc w:val="center"/>
              <w:rPr>
                <w:spacing w:val="0"/>
              </w:rPr>
            </w:pPr>
            <w:r>
              <w:rPr>
                <w:spacing w:val="0"/>
              </w:rPr>
              <w:t>25000</w:t>
            </w:r>
          </w:p>
        </w:tc>
        <w:tc>
          <w:tcPr>
            <w:tcW w:w="1140" w:type="dxa"/>
            <w:vMerge w:val="continue"/>
            <w:tcBorders>
              <w:top w:val="nil"/>
            </w:tcBorders>
            <w:vAlign w:val="center"/>
          </w:tcPr>
          <w:p w14:paraId="6EF19047">
            <w:pPr>
              <w:jc w:val="center"/>
              <w:rPr>
                <w:rFonts w:ascii="Arial"/>
                <w:spacing w:val="0"/>
                <w:sz w:val="21"/>
              </w:rPr>
            </w:pPr>
          </w:p>
        </w:tc>
        <w:tc>
          <w:tcPr>
            <w:tcW w:w="585" w:type="dxa"/>
            <w:vAlign w:val="center"/>
          </w:tcPr>
          <w:p w14:paraId="2B54E872">
            <w:pPr>
              <w:pStyle w:val="29"/>
              <w:spacing w:before="161" w:line="194" w:lineRule="auto"/>
              <w:jc w:val="center"/>
              <w:rPr>
                <w:spacing w:val="0"/>
              </w:rPr>
            </w:pPr>
            <w:r>
              <w:rPr>
                <w:spacing w:val="0"/>
              </w:rPr>
              <w:t>m²</w:t>
            </w:r>
          </w:p>
        </w:tc>
        <w:tc>
          <w:tcPr>
            <w:tcW w:w="927" w:type="dxa"/>
            <w:vMerge w:val="continue"/>
            <w:tcBorders>
              <w:top w:val="nil"/>
            </w:tcBorders>
            <w:vAlign w:val="center"/>
          </w:tcPr>
          <w:p w14:paraId="47682E83">
            <w:pPr>
              <w:jc w:val="center"/>
              <w:rPr>
                <w:rFonts w:ascii="Arial"/>
                <w:spacing w:val="0"/>
                <w:sz w:val="21"/>
              </w:rPr>
            </w:pPr>
          </w:p>
        </w:tc>
        <w:tc>
          <w:tcPr>
            <w:tcW w:w="906" w:type="dxa"/>
            <w:vMerge w:val="continue"/>
            <w:tcBorders>
              <w:top w:val="nil"/>
            </w:tcBorders>
            <w:vAlign w:val="center"/>
          </w:tcPr>
          <w:p w14:paraId="6118ADC7">
            <w:pPr>
              <w:jc w:val="center"/>
              <w:rPr>
                <w:rFonts w:ascii="Arial"/>
                <w:spacing w:val="0"/>
                <w:sz w:val="21"/>
              </w:rPr>
            </w:pPr>
          </w:p>
        </w:tc>
      </w:tr>
      <w:tr w14:paraId="2A86B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90" w:type="dxa"/>
            <w:vAlign w:val="center"/>
          </w:tcPr>
          <w:p w14:paraId="259C30FD">
            <w:pPr>
              <w:pStyle w:val="29"/>
              <w:spacing w:before="134"/>
              <w:jc w:val="center"/>
              <w:rPr>
                <w:spacing w:val="0"/>
              </w:rPr>
            </w:pPr>
            <w:r>
              <w:rPr>
                <w:spacing w:val="0"/>
              </w:rPr>
              <w:t>34</w:t>
            </w:r>
          </w:p>
        </w:tc>
        <w:tc>
          <w:tcPr>
            <w:tcW w:w="1510" w:type="dxa"/>
            <w:vAlign w:val="center"/>
          </w:tcPr>
          <w:p w14:paraId="36358A18">
            <w:pPr>
              <w:pStyle w:val="29"/>
              <w:spacing w:before="59" w:line="219" w:lineRule="auto"/>
              <w:jc w:val="center"/>
              <w:rPr>
                <w:rFonts w:ascii="宋体" w:hAnsi="宋体" w:eastAsia="宋体" w:cs="宋体"/>
                <w:spacing w:val="0"/>
              </w:rPr>
            </w:pPr>
            <w:r>
              <w:rPr>
                <w:rFonts w:ascii="宋体" w:hAnsi="宋体" w:eastAsia="宋体" w:cs="宋体"/>
                <w:spacing w:val="0"/>
              </w:rPr>
              <w:t>80米绿化带</w:t>
            </w:r>
          </w:p>
          <w:p w14:paraId="7D37DFD6">
            <w:pPr>
              <w:pStyle w:val="29"/>
              <w:spacing w:before="59" w:line="219" w:lineRule="auto"/>
              <w:jc w:val="center"/>
              <w:rPr>
                <w:rFonts w:ascii="宋体" w:hAnsi="宋体" w:eastAsia="宋体" w:cs="宋体"/>
                <w:spacing w:val="0"/>
              </w:rPr>
            </w:pPr>
            <w:r>
              <w:rPr>
                <w:rFonts w:ascii="宋体" w:hAnsi="宋体" w:eastAsia="宋体" w:cs="宋体"/>
                <w:spacing w:val="0"/>
              </w:rPr>
              <w:t>东段</w:t>
            </w:r>
          </w:p>
        </w:tc>
        <w:tc>
          <w:tcPr>
            <w:tcW w:w="2310" w:type="dxa"/>
            <w:vAlign w:val="center"/>
          </w:tcPr>
          <w:p w14:paraId="2E391F90">
            <w:pPr>
              <w:pStyle w:val="29"/>
              <w:spacing w:before="59" w:line="219" w:lineRule="auto"/>
              <w:jc w:val="center"/>
              <w:rPr>
                <w:rFonts w:ascii="宋体" w:hAnsi="宋体" w:eastAsia="宋体" w:cs="宋体"/>
                <w:spacing w:val="0"/>
              </w:rPr>
            </w:pPr>
            <w:r>
              <w:rPr>
                <w:rFonts w:ascii="宋体" w:hAnsi="宋体" w:eastAsia="宋体" w:cs="宋体"/>
                <w:spacing w:val="0"/>
              </w:rPr>
              <w:t xml:space="preserve">80米绿化带(东段) </w:t>
            </w:r>
          </w:p>
          <w:p w14:paraId="4E3ABDA3">
            <w:pPr>
              <w:pStyle w:val="29"/>
              <w:spacing w:before="59" w:line="219" w:lineRule="auto"/>
              <w:jc w:val="center"/>
              <w:rPr>
                <w:rFonts w:ascii="宋体" w:hAnsi="宋体" w:eastAsia="宋体" w:cs="宋体"/>
                <w:spacing w:val="0"/>
              </w:rPr>
            </w:pPr>
            <w:r>
              <w:rPr>
                <w:rFonts w:ascii="宋体" w:hAnsi="宋体" w:eastAsia="宋体" w:cs="宋体"/>
                <w:spacing w:val="0"/>
              </w:rPr>
              <w:t>和</w:t>
            </w:r>
            <w:r>
              <w:rPr>
                <w:rFonts w:hint="eastAsia" w:ascii="宋体" w:hAnsi="宋体" w:eastAsia="宋体" w:cs="宋体"/>
                <w:spacing w:val="0"/>
                <w:lang w:val="en-US" w:eastAsia="zh-CN"/>
              </w:rPr>
              <w:t>平</w:t>
            </w:r>
            <w:r>
              <w:rPr>
                <w:rFonts w:ascii="宋体" w:hAnsi="宋体" w:eastAsia="宋体" w:cs="宋体"/>
                <w:spacing w:val="0"/>
              </w:rPr>
              <w:t>路至卢傲路段</w:t>
            </w:r>
          </w:p>
        </w:tc>
        <w:tc>
          <w:tcPr>
            <w:tcW w:w="2070" w:type="dxa"/>
            <w:vAlign w:val="center"/>
          </w:tcPr>
          <w:p w14:paraId="6DC5A0A7">
            <w:pPr>
              <w:jc w:val="center"/>
              <w:rPr>
                <w:rFonts w:ascii="Arial"/>
                <w:spacing w:val="0"/>
                <w:sz w:val="21"/>
              </w:rPr>
            </w:pPr>
          </w:p>
        </w:tc>
        <w:tc>
          <w:tcPr>
            <w:tcW w:w="1107" w:type="dxa"/>
            <w:vAlign w:val="center"/>
          </w:tcPr>
          <w:p w14:paraId="36735A29">
            <w:pPr>
              <w:pStyle w:val="29"/>
              <w:spacing w:before="134"/>
              <w:jc w:val="center"/>
              <w:rPr>
                <w:spacing w:val="0"/>
              </w:rPr>
            </w:pPr>
            <w:r>
              <w:rPr>
                <w:spacing w:val="0"/>
              </w:rPr>
              <w:t>314560</w:t>
            </w:r>
          </w:p>
        </w:tc>
        <w:tc>
          <w:tcPr>
            <w:tcW w:w="1140" w:type="dxa"/>
            <w:vAlign w:val="center"/>
          </w:tcPr>
          <w:p w14:paraId="7429A285">
            <w:pPr>
              <w:pStyle w:val="29"/>
              <w:spacing w:before="134"/>
              <w:jc w:val="center"/>
              <w:rPr>
                <w:spacing w:val="0"/>
              </w:rPr>
            </w:pPr>
            <w:r>
              <w:rPr>
                <w:spacing w:val="0"/>
              </w:rPr>
              <w:t>314560</w:t>
            </w:r>
          </w:p>
        </w:tc>
        <w:tc>
          <w:tcPr>
            <w:tcW w:w="585" w:type="dxa"/>
            <w:vAlign w:val="center"/>
          </w:tcPr>
          <w:p w14:paraId="45DC1BB6">
            <w:pPr>
              <w:pStyle w:val="29"/>
              <w:spacing w:before="135"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Align w:val="center"/>
          </w:tcPr>
          <w:p w14:paraId="482B5086">
            <w:pPr>
              <w:pStyle w:val="29"/>
              <w:spacing w:before="135" w:line="239" w:lineRule="auto"/>
              <w:jc w:val="center"/>
              <w:rPr>
                <w:spacing w:val="0"/>
              </w:rPr>
            </w:pPr>
          </w:p>
        </w:tc>
        <w:tc>
          <w:tcPr>
            <w:tcW w:w="906" w:type="dxa"/>
            <w:vAlign w:val="center"/>
          </w:tcPr>
          <w:p w14:paraId="32E6D05D">
            <w:pPr>
              <w:pStyle w:val="29"/>
              <w:spacing w:before="135" w:line="239" w:lineRule="auto"/>
              <w:jc w:val="center"/>
              <w:rPr>
                <w:spacing w:val="0"/>
              </w:rPr>
            </w:pPr>
          </w:p>
        </w:tc>
      </w:tr>
      <w:tr w14:paraId="45EFB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90" w:type="dxa"/>
            <w:vAlign w:val="center"/>
          </w:tcPr>
          <w:p w14:paraId="226F624D">
            <w:pPr>
              <w:pStyle w:val="29"/>
              <w:spacing w:before="134"/>
              <w:jc w:val="center"/>
              <w:rPr>
                <w:rFonts w:hint="default" w:eastAsia="宋体"/>
                <w:spacing w:val="0"/>
                <w:lang w:val="en-US" w:eastAsia="zh-CN"/>
              </w:rPr>
            </w:pPr>
            <w:r>
              <w:rPr>
                <w:rFonts w:hint="eastAsia"/>
                <w:spacing w:val="0"/>
                <w:lang w:val="en-US" w:eastAsia="zh-CN"/>
              </w:rPr>
              <w:t>35</w:t>
            </w:r>
          </w:p>
        </w:tc>
        <w:tc>
          <w:tcPr>
            <w:tcW w:w="1510" w:type="dxa"/>
            <w:vAlign w:val="center"/>
          </w:tcPr>
          <w:p w14:paraId="0712F58C">
            <w:pPr>
              <w:pStyle w:val="29"/>
              <w:spacing w:before="59" w:line="219" w:lineRule="auto"/>
              <w:jc w:val="center"/>
              <w:rPr>
                <w:rFonts w:hint="default" w:ascii="宋体" w:hAnsi="宋体" w:eastAsia="宋体" w:cs="宋体"/>
                <w:spacing w:val="0"/>
                <w:lang w:val="en-US" w:eastAsia="zh-CN"/>
              </w:rPr>
            </w:pPr>
            <w:r>
              <w:rPr>
                <w:rFonts w:hint="eastAsia" w:ascii="宋体" w:hAnsi="宋体" w:eastAsia="宋体" w:cs="宋体"/>
                <w:spacing w:val="0"/>
                <w:lang w:val="en-US" w:eastAsia="zh-CN"/>
              </w:rPr>
              <w:t>南岸公园绿地</w:t>
            </w:r>
          </w:p>
        </w:tc>
        <w:tc>
          <w:tcPr>
            <w:tcW w:w="2310" w:type="dxa"/>
            <w:vAlign w:val="center"/>
          </w:tcPr>
          <w:p w14:paraId="74AED673">
            <w:pPr>
              <w:pStyle w:val="29"/>
              <w:spacing w:before="59" w:line="219" w:lineRule="auto"/>
              <w:jc w:val="center"/>
              <w:rPr>
                <w:rFonts w:hint="default" w:ascii="宋体" w:hAnsi="宋体" w:eastAsia="宋体" w:cs="宋体"/>
                <w:spacing w:val="0"/>
                <w:lang w:val="en-US" w:eastAsia="zh-CN"/>
              </w:rPr>
            </w:pPr>
            <w:r>
              <w:rPr>
                <w:rFonts w:hint="eastAsia" w:ascii="宋体" w:hAnsi="宋体" w:eastAsia="宋体" w:cs="宋体"/>
                <w:spacing w:val="0"/>
                <w:lang w:val="en-US" w:eastAsia="zh-CN"/>
              </w:rPr>
              <w:t>50米绿化带</w:t>
            </w:r>
          </w:p>
        </w:tc>
        <w:tc>
          <w:tcPr>
            <w:tcW w:w="2070" w:type="dxa"/>
            <w:vAlign w:val="center"/>
          </w:tcPr>
          <w:p w14:paraId="42F1576F">
            <w:pPr>
              <w:jc w:val="center"/>
              <w:rPr>
                <w:rFonts w:hint="default" w:ascii="Arial" w:eastAsiaTheme="minorEastAsia"/>
                <w:spacing w:val="0"/>
                <w:sz w:val="21"/>
                <w:lang w:val="en-US" w:eastAsia="zh-CN"/>
              </w:rPr>
            </w:pPr>
            <w:r>
              <w:rPr>
                <w:rFonts w:hint="eastAsia" w:ascii="Arial"/>
                <w:spacing w:val="0"/>
                <w:sz w:val="21"/>
                <w:lang w:val="en-US" w:eastAsia="zh-CN"/>
              </w:rPr>
              <w:t>卜相河至迎宾路段</w:t>
            </w:r>
          </w:p>
        </w:tc>
        <w:tc>
          <w:tcPr>
            <w:tcW w:w="1107" w:type="dxa"/>
            <w:vAlign w:val="center"/>
          </w:tcPr>
          <w:p w14:paraId="24251211">
            <w:pPr>
              <w:pStyle w:val="29"/>
              <w:spacing w:before="134"/>
              <w:jc w:val="center"/>
              <w:rPr>
                <w:rFonts w:hint="default" w:eastAsia="宋体"/>
                <w:spacing w:val="0"/>
                <w:lang w:val="en-US" w:eastAsia="zh-CN"/>
              </w:rPr>
            </w:pPr>
            <w:r>
              <w:rPr>
                <w:rFonts w:hint="eastAsia"/>
                <w:spacing w:val="0"/>
                <w:lang w:val="en-US" w:eastAsia="zh-CN"/>
              </w:rPr>
              <w:t>77781</w:t>
            </w:r>
          </w:p>
        </w:tc>
        <w:tc>
          <w:tcPr>
            <w:tcW w:w="1140" w:type="dxa"/>
            <w:vAlign w:val="center"/>
          </w:tcPr>
          <w:p w14:paraId="743704A3">
            <w:pPr>
              <w:pStyle w:val="29"/>
              <w:spacing w:before="134"/>
              <w:jc w:val="center"/>
              <w:rPr>
                <w:spacing w:val="0"/>
              </w:rPr>
            </w:pPr>
            <w:r>
              <w:rPr>
                <w:rFonts w:hint="eastAsia"/>
                <w:spacing w:val="0"/>
                <w:lang w:val="en-US" w:eastAsia="zh-CN"/>
              </w:rPr>
              <w:t>77781</w:t>
            </w:r>
          </w:p>
        </w:tc>
        <w:tc>
          <w:tcPr>
            <w:tcW w:w="585" w:type="dxa"/>
            <w:vAlign w:val="center"/>
          </w:tcPr>
          <w:p w14:paraId="21BCFAF1">
            <w:pPr>
              <w:pStyle w:val="29"/>
              <w:spacing w:before="135"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Align w:val="center"/>
          </w:tcPr>
          <w:p w14:paraId="1DC85647">
            <w:pPr>
              <w:pStyle w:val="29"/>
              <w:spacing w:before="135" w:line="239" w:lineRule="auto"/>
              <w:jc w:val="center"/>
              <w:rPr>
                <w:rFonts w:hint="default" w:eastAsia="宋体"/>
                <w:spacing w:val="0"/>
                <w:lang w:val="en-US" w:eastAsia="zh-CN"/>
              </w:rPr>
            </w:pPr>
          </w:p>
        </w:tc>
        <w:tc>
          <w:tcPr>
            <w:tcW w:w="906" w:type="dxa"/>
            <w:vAlign w:val="center"/>
          </w:tcPr>
          <w:p w14:paraId="2C64818E">
            <w:pPr>
              <w:pStyle w:val="29"/>
              <w:spacing w:before="135" w:line="239" w:lineRule="auto"/>
              <w:jc w:val="center"/>
              <w:rPr>
                <w:rFonts w:hint="default" w:eastAsia="宋体"/>
                <w:spacing w:val="0"/>
                <w:lang w:val="en-US" w:eastAsia="zh-CN"/>
              </w:rPr>
            </w:pPr>
          </w:p>
        </w:tc>
      </w:tr>
      <w:tr w14:paraId="1D064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90" w:type="dxa"/>
            <w:vAlign w:val="center"/>
          </w:tcPr>
          <w:p w14:paraId="0EBA5926">
            <w:pPr>
              <w:pStyle w:val="29"/>
              <w:spacing w:before="134"/>
              <w:jc w:val="center"/>
              <w:rPr>
                <w:rFonts w:hint="default" w:eastAsia="宋体"/>
                <w:spacing w:val="0"/>
                <w:lang w:val="en-US" w:eastAsia="zh-CN"/>
              </w:rPr>
            </w:pPr>
            <w:r>
              <w:rPr>
                <w:rFonts w:hint="eastAsia"/>
                <w:spacing w:val="0"/>
                <w:lang w:val="en-US" w:eastAsia="zh-CN"/>
              </w:rPr>
              <w:t>36</w:t>
            </w:r>
          </w:p>
        </w:tc>
        <w:tc>
          <w:tcPr>
            <w:tcW w:w="1510" w:type="dxa"/>
            <w:vAlign w:val="center"/>
          </w:tcPr>
          <w:p w14:paraId="380D7466">
            <w:pPr>
              <w:pStyle w:val="29"/>
              <w:spacing w:before="59" w:line="219" w:lineRule="auto"/>
              <w:jc w:val="center"/>
              <w:rPr>
                <w:rFonts w:ascii="宋体" w:hAnsi="宋体" w:eastAsia="宋体" w:cs="宋体"/>
                <w:spacing w:val="0"/>
              </w:rPr>
            </w:pPr>
          </w:p>
        </w:tc>
        <w:tc>
          <w:tcPr>
            <w:tcW w:w="2310" w:type="dxa"/>
            <w:vAlign w:val="center"/>
          </w:tcPr>
          <w:p w14:paraId="7183C1CF">
            <w:pPr>
              <w:pStyle w:val="29"/>
              <w:spacing w:before="59" w:line="219" w:lineRule="auto"/>
              <w:jc w:val="center"/>
              <w:rPr>
                <w:rFonts w:hint="default" w:ascii="宋体" w:hAnsi="宋体" w:eastAsia="宋体" w:cs="宋体"/>
                <w:spacing w:val="0"/>
                <w:lang w:val="en-US" w:eastAsia="zh-CN"/>
              </w:rPr>
            </w:pPr>
            <w:r>
              <w:rPr>
                <w:rFonts w:hint="eastAsia" w:ascii="宋体" w:hAnsi="宋体" w:eastAsia="宋体" w:cs="宋体"/>
                <w:spacing w:val="0"/>
                <w:lang w:val="en-US" w:eastAsia="zh-CN"/>
              </w:rPr>
              <w:t>石龙头三角地</w:t>
            </w:r>
          </w:p>
        </w:tc>
        <w:tc>
          <w:tcPr>
            <w:tcW w:w="2070" w:type="dxa"/>
            <w:vAlign w:val="center"/>
          </w:tcPr>
          <w:p w14:paraId="32147FB9">
            <w:pPr>
              <w:jc w:val="center"/>
              <w:rPr>
                <w:rFonts w:ascii="Arial"/>
                <w:spacing w:val="0"/>
                <w:sz w:val="21"/>
              </w:rPr>
            </w:pPr>
          </w:p>
        </w:tc>
        <w:tc>
          <w:tcPr>
            <w:tcW w:w="1107" w:type="dxa"/>
            <w:vAlign w:val="center"/>
          </w:tcPr>
          <w:p w14:paraId="44127B9A">
            <w:pPr>
              <w:pStyle w:val="29"/>
              <w:spacing w:before="134"/>
              <w:jc w:val="center"/>
              <w:rPr>
                <w:rFonts w:hint="default" w:eastAsia="宋体"/>
                <w:spacing w:val="0"/>
                <w:lang w:val="en-US" w:eastAsia="zh-CN"/>
              </w:rPr>
            </w:pPr>
            <w:r>
              <w:rPr>
                <w:rFonts w:hint="eastAsia"/>
                <w:spacing w:val="0"/>
                <w:lang w:val="en-US" w:eastAsia="zh-CN"/>
              </w:rPr>
              <w:t>32961.79</w:t>
            </w:r>
          </w:p>
        </w:tc>
        <w:tc>
          <w:tcPr>
            <w:tcW w:w="1140" w:type="dxa"/>
            <w:vAlign w:val="center"/>
          </w:tcPr>
          <w:p w14:paraId="583E2EBC">
            <w:pPr>
              <w:pStyle w:val="29"/>
              <w:spacing w:before="134"/>
              <w:jc w:val="center"/>
              <w:rPr>
                <w:spacing w:val="0"/>
              </w:rPr>
            </w:pPr>
            <w:r>
              <w:rPr>
                <w:rFonts w:hint="eastAsia"/>
                <w:spacing w:val="0"/>
                <w:lang w:val="en-US" w:eastAsia="zh-CN"/>
              </w:rPr>
              <w:t>32961.79</w:t>
            </w:r>
          </w:p>
        </w:tc>
        <w:tc>
          <w:tcPr>
            <w:tcW w:w="585" w:type="dxa"/>
            <w:vAlign w:val="center"/>
          </w:tcPr>
          <w:p w14:paraId="76237CE9">
            <w:pPr>
              <w:pStyle w:val="29"/>
              <w:spacing w:before="135" w:line="241" w:lineRule="auto"/>
              <w:jc w:val="center"/>
              <w:rPr>
                <w:color w:val="000000" w:themeColor="text1"/>
                <w:spacing w:val="0"/>
                <w14:textFill>
                  <w14:solidFill>
                    <w14:schemeClr w14:val="tx1"/>
                  </w14:solidFill>
                </w14:textFill>
              </w:rPr>
            </w:pPr>
            <w:r>
              <w:rPr>
                <w:color w:val="000000" w:themeColor="text1"/>
                <w:spacing w:val="0"/>
                <w14:textFill>
                  <w14:solidFill>
                    <w14:schemeClr w14:val="tx1"/>
                  </w14:solidFill>
                </w14:textFill>
              </w:rPr>
              <w:t>m²</w:t>
            </w:r>
          </w:p>
        </w:tc>
        <w:tc>
          <w:tcPr>
            <w:tcW w:w="927" w:type="dxa"/>
            <w:vAlign w:val="center"/>
          </w:tcPr>
          <w:p w14:paraId="19EC6285">
            <w:pPr>
              <w:pStyle w:val="29"/>
              <w:spacing w:before="135" w:line="239" w:lineRule="auto"/>
              <w:jc w:val="center"/>
              <w:rPr>
                <w:rFonts w:hint="default" w:eastAsia="宋体"/>
                <w:spacing w:val="0"/>
                <w:lang w:val="en-US" w:eastAsia="zh-CN"/>
              </w:rPr>
            </w:pPr>
          </w:p>
        </w:tc>
        <w:tc>
          <w:tcPr>
            <w:tcW w:w="906" w:type="dxa"/>
            <w:vAlign w:val="center"/>
          </w:tcPr>
          <w:p w14:paraId="5160A7AB">
            <w:pPr>
              <w:pStyle w:val="29"/>
              <w:spacing w:before="135" w:line="239" w:lineRule="auto"/>
              <w:jc w:val="center"/>
              <w:rPr>
                <w:rFonts w:hint="default" w:eastAsia="宋体"/>
                <w:spacing w:val="0"/>
                <w:lang w:val="en-US" w:eastAsia="zh-CN"/>
              </w:rPr>
            </w:pPr>
          </w:p>
        </w:tc>
      </w:tr>
      <w:tr w14:paraId="1FB36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90" w:type="dxa"/>
            <w:vAlign w:val="center"/>
          </w:tcPr>
          <w:p w14:paraId="2BB63502">
            <w:pPr>
              <w:pStyle w:val="29"/>
              <w:spacing w:before="134"/>
              <w:jc w:val="center"/>
              <w:rPr>
                <w:rFonts w:hint="eastAsia" w:eastAsia="宋体"/>
                <w:spacing w:val="0"/>
                <w:lang w:val="en-US" w:eastAsia="zh-CN"/>
              </w:rPr>
            </w:pPr>
            <w:r>
              <w:rPr>
                <w:rFonts w:hint="eastAsia"/>
                <w:spacing w:val="0"/>
                <w:lang w:val="en-US" w:eastAsia="zh-CN"/>
              </w:rPr>
              <w:t>合计：</w:t>
            </w:r>
          </w:p>
        </w:tc>
        <w:tc>
          <w:tcPr>
            <w:tcW w:w="1510" w:type="dxa"/>
            <w:vAlign w:val="center"/>
          </w:tcPr>
          <w:p w14:paraId="6B70AB19">
            <w:pPr>
              <w:pStyle w:val="29"/>
              <w:spacing w:before="59" w:line="219" w:lineRule="auto"/>
              <w:jc w:val="center"/>
              <w:rPr>
                <w:rFonts w:ascii="宋体" w:hAnsi="宋体" w:eastAsia="宋体" w:cs="宋体"/>
                <w:spacing w:val="0"/>
              </w:rPr>
            </w:pPr>
          </w:p>
        </w:tc>
        <w:tc>
          <w:tcPr>
            <w:tcW w:w="2310" w:type="dxa"/>
            <w:vAlign w:val="center"/>
          </w:tcPr>
          <w:p w14:paraId="7591B78A">
            <w:pPr>
              <w:pStyle w:val="29"/>
              <w:spacing w:before="59" w:line="219" w:lineRule="auto"/>
              <w:jc w:val="center"/>
              <w:rPr>
                <w:rFonts w:ascii="宋体" w:hAnsi="宋体" w:eastAsia="宋体" w:cs="宋体"/>
                <w:spacing w:val="0"/>
              </w:rPr>
            </w:pPr>
          </w:p>
        </w:tc>
        <w:tc>
          <w:tcPr>
            <w:tcW w:w="2070" w:type="dxa"/>
            <w:vAlign w:val="center"/>
          </w:tcPr>
          <w:p w14:paraId="77E549D3">
            <w:pPr>
              <w:jc w:val="center"/>
              <w:rPr>
                <w:rFonts w:ascii="Arial"/>
                <w:spacing w:val="0"/>
                <w:sz w:val="21"/>
              </w:rPr>
            </w:pPr>
          </w:p>
        </w:tc>
        <w:tc>
          <w:tcPr>
            <w:tcW w:w="1107" w:type="dxa"/>
            <w:vAlign w:val="center"/>
          </w:tcPr>
          <w:p w14:paraId="398721AF">
            <w:pPr>
              <w:pStyle w:val="29"/>
              <w:spacing w:before="134"/>
              <w:jc w:val="center"/>
              <w:rPr>
                <w:spacing w:val="0"/>
              </w:rPr>
            </w:pPr>
          </w:p>
        </w:tc>
        <w:tc>
          <w:tcPr>
            <w:tcW w:w="1140" w:type="dxa"/>
            <w:shd w:val="clear" w:color="auto" w:fill="auto"/>
            <w:vAlign w:val="center"/>
          </w:tcPr>
          <w:p w14:paraId="6A334B73">
            <w:pPr>
              <w:pStyle w:val="29"/>
              <w:spacing w:before="134"/>
              <w:jc w:val="center"/>
              <w:rPr>
                <w:rFonts w:hint="eastAsia" w:ascii="宋体" w:hAnsi="宋体" w:eastAsia="宋体" w:cs="宋体"/>
                <w:spacing w:val="0"/>
                <w:lang w:val="en-US" w:eastAsia="zh-CN"/>
              </w:rPr>
            </w:pPr>
          </w:p>
        </w:tc>
        <w:tc>
          <w:tcPr>
            <w:tcW w:w="585" w:type="dxa"/>
            <w:vAlign w:val="center"/>
          </w:tcPr>
          <w:p w14:paraId="558388DD">
            <w:pPr>
              <w:pStyle w:val="29"/>
              <w:spacing w:before="134"/>
              <w:jc w:val="both"/>
              <w:rPr>
                <w:rFonts w:hint="eastAsia" w:ascii="宋体" w:hAnsi="宋体" w:eastAsia="宋体" w:cs="宋体"/>
                <w:spacing w:val="0"/>
                <w:lang w:val="en-US" w:eastAsia="zh-CN"/>
              </w:rPr>
            </w:pPr>
          </w:p>
        </w:tc>
        <w:tc>
          <w:tcPr>
            <w:tcW w:w="927" w:type="dxa"/>
            <w:vAlign w:val="center"/>
          </w:tcPr>
          <w:p w14:paraId="22B4DFFF">
            <w:pPr>
              <w:pStyle w:val="29"/>
              <w:spacing w:before="134"/>
              <w:jc w:val="center"/>
              <w:rPr>
                <w:rFonts w:hint="eastAsia" w:ascii="宋体" w:hAnsi="宋体" w:eastAsia="宋体" w:cs="宋体"/>
                <w:spacing w:val="0"/>
                <w:lang w:val="en-US" w:eastAsia="zh-CN"/>
              </w:rPr>
            </w:pPr>
          </w:p>
        </w:tc>
        <w:tc>
          <w:tcPr>
            <w:tcW w:w="906" w:type="dxa"/>
            <w:shd w:val="clear" w:color="auto" w:fill="auto"/>
            <w:vAlign w:val="center"/>
          </w:tcPr>
          <w:p w14:paraId="023F9AAD">
            <w:pPr>
              <w:pStyle w:val="29"/>
              <w:spacing w:before="134"/>
              <w:jc w:val="center"/>
              <w:rPr>
                <w:rFonts w:hint="default" w:ascii="宋体" w:hAnsi="宋体" w:eastAsia="宋体" w:cs="宋体"/>
                <w:spacing w:val="0"/>
                <w:lang w:val="en-US" w:eastAsia="zh-CN"/>
              </w:rPr>
            </w:pPr>
          </w:p>
        </w:tc>
      </w:tr>
    </w:tbl>
    <w:p w14:paraId="7DC064B7">
      <w:pPr>
        <w:keepNext w:val="0"/>
        <w:keepLines w:val="0"/>
        <w:pageBreakBefore w:val="0"/>
        <w:widowControl w:val="0"/>
        <w:numPr>
          <w:ilvl w:val="0"/>
          <w:numId w:val="0"/>
        </w:numPr>
        <w:kinsoku/>
        <w:wordWrap/>
        <w:overflowPunct/>
        <w:topLinePunct w:val="0"/>
        <w:autoSpaceDE/>
        <w:autoSpaceDN/>
        <w:bidi w:val="0"/>
        <w:adjustRightInd/>
        <w:snapToGrid/>
        <w:spacing w:before="0" w:beforeLines="100" w:after="0" w:afterLines="100" w:line="600" w:lineRule="exact"/>
        <w:jc w:val="center"/>
        <w:textAlignment w:val="auto"/>
        <w:rPr>
          <w:rFonts w:hint="default" w:ascii="黑体" w:eastAsia="宋体" w:cs="宋体"/>
          <w:b/>
          <w:kern w:val="2"/>
          <w:sz w:val="28"/>
          <w:szCs w:val="28"/>
          <w:lang w:val="en-US" w:eastAsia="zh-CN"/>
        </w:rPr>
      </w:pPr>
    </w:p>
    <w:p w14:paraId="337164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sz w:val="24"/>
          <w:szCs w:val="24"/>
          <w:highlight w:val="none"/>
          <w:lang w:val="en-US" w:eastAsia="zh-CN"/>
        </w:rPr>
      </w:pPr>
    </w:p>
    <w:bookmarkEnd w:id="31"/>
    <w:p w14:paraId="2D823387">
      <w:pPr>
        <w:numPr>
          <w:ilvl w:val="0"/>
          <w:numId w:val="0"/>
        </w:numPr>
        <w:jc w:val="center"/>
        <w:rPr>
          <w:rFonts w:hint="eastAsia" w:ascii="黑体" w:cs="宋体" w:hAnsiTheme="minorHAnsi" w:eastAsiaTheme="minorEastAsia"/>
          <w:b/>
          <w:kern w:val="2"/>
          <w:sz w:val="24"/>
          <w:szCs w:val="24"/>
          <w:lang w:val="en-US" w:eastAsia="zh-CN" w:bidi="ar-SA"/>
        </w:rPr>
        <w:sectPr>
          <w:footerReference r:id="rId7" w:type="default"/>
          <w:pgSz w:w="11906" w:h="16838"/>
          <w:pgMar w:top="1440" w:right="1417" w:bottom="1440"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0751597">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一、总体目标 </w:t>
      </w:r>
    </w:p>
    <w:p w14:paraId="576801C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为保障园林绿化工程成果得到持续有效的维护，充分发挥其生态、景观及社会效益，通过专业化、规范化、科学化的养护管理，提升城区园林绿化精细化、专业化养护水平，确保园林植物健康生长、园林景观始终保持优美状态。</w:t>
      </w:r>
    </w:p>
    <w:p w14:paraId="0F2E619F">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二、实施范围 </w:t>
      </w:r>
    </w:p>
    <w:p w14:paraId="33D1CC5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适用于城区范围道路绿化、公园绿地、公园广场、街头游园等绿化区域的日常养护管理。 </w:t>
      </w:r>
    </w:p>
    <w:p w14:paraId="0A6CDFE5">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三、养护管理目标 </w:t>
      </w:r>
    </w:p>
    <w:p w14:paraId="109FC5F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1.植物生长良好</w:t>
      </w:r>
      <w:r>
        <w:rPr>
          <w:rFonts w:hint="eastAsia" w:ascii="宋体" w:hAnsi="宋体" w:eastAsia="宋体" w:cs="宋体"/>
          <w:color w:val="000000"/>
          <w:kern w:val="0"/>
          <w:sz w:val="24"/>
          <w:szCs w:val="24"/>
          <w:lang w:val="en-US" w:eastAsia="zh-CN" w:bidi="ar"/>
        </w:rPr>
        <w:t xml:space="preserve">。确保乔灌木成活率不低于98%，地被植物覆盖率达95%以上，草坪平整度良好，无明显秃斑、杂草率控制在5%以内，植物无明显病虫害，枝叶繁茂、树形美观。必要时要对枯死、缺损植物及时补植补种、避免黄土裸露。 </w:t>
      </w:r>
    </w:p>
    <w:p w14:paraId="4B22E303">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2.景观效果突出。</w:t>
      </w:r>
      <w:r>
        <w:rPr>
          <w:rFonts w:hint="eastAsia" w:ascii="宋体" w:hAnsi="宋体" w:eastAsia="宋体" w:cs="宋体"/>
          <w:color w:val="000000"/>
          <w:kern w:val="0"/>
          <w:sz w:val="24"/>
          <w:szCs w:val="24"/>
          <w:lang w:val="en-US" w:eastAsia="zh-CN" w:bidi="ar"/>
        </w:rPr>
        <w:t xml:space="preserve">根据不同季节和植物特性，结合现状合理搭配花卉、灌木、乔木，营造四季有景、层次分明、整洁、美观、协调的 园林景观。 </w:t>
      </w:r>
    </w:p>
    <w:p w14:paraId="28742537">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3.设施完好。</w:t>
      </w:r>
      <w:r>
        <w:rPr>
          <w:rFonts w:hint="eastAsia" w:ascii="宋体" w:hAnsi="宋体" w:eastAsia="宋体" w:cs="宋体"/>
          <w:color w:val="000000"/>
          <w:kern w:val="0"/>
          <w:sz w:val="24"/>
          <w:szCs w:val="24"/>
          <w:lang w:val="en-US" w:eastAsia="zh-CN" w:bidi="ar"/>
        </w:rPr>
        <w:t xml:space="preserve">保障园林内的亭台楼阁、园路、护栏、灌溉系统、照明设施等正常使用，无破损、缺失，确保安全性与功能性。 </w:t>
      </w:r>
    </w:p>
    <w:p w14:paraId="7FE4E683">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4.生态环境优化。</w:t>
      </w:r>
      <w:r>
        <w:rPr>
          <w:rFonts w:hint="eastAsia" w:ascii="宋体" w:hAnsi="宋体" w:eastAsia="宋体" w:cs="宋体"/>
          <w:color w:val="000000"/>
          <w:kern w:val="0"/>
          <w:sz w:val="24"/>
          <w:szCs w:val="24"/>
          <w:lang w:val="en-US" w:eastAsia="zh-CN" w:bidi="ar"/>
        </w:rPr>
        <w:t xml:space="preserve">通过科学养护，调节区域小气候，减少水土流失，增加生物多样性，提升园林绿化区域的生态服务功能。 </w:t>
      </w:r>
    </w:p>
    <w:p w14:paraId="5E8D85F8">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四、养护管理主要内容 </w:t>
      </w:r>
    </w:p>
    <w:p w14:paraId="5F12BA43">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（一）植物养护</w:t>
      </w:r>
    </w:p>
    <w:p w14:paraId="69B14F4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1.灌溉与排水 </w:t>
      </w:r>
    </w:p>
    <w:p w14:paraId="342A5B1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（1）根据不同植物生长习性、季节变化及土壤墒情，合理安排灌溉时间和水量。夏季高温干旱时，增加灌溉频次，避免植物缺水；冬季减少灌溉，防止冻害。 </w:t>
      </w:r>
    </w:p>
    <w:p w14:paraId="764C7CB5">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（2）完善排水系统，定期检查疏通排水沟、下水道，确保雨季排水顺畅，避免植物根系长时间浸泡导致烂根。 </w:t>
      </w:r>
    </w:p>
    <w:p w14:paraId="116D40FA">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2.施肥管理 </w:t>
      </w:r>
    </w:p>
    <w:p w14:paraId="1A5D1514">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（1）遵循 “薄肥勤施、适时适量” 原则，根据植物生长周期进行施肥。春季以氮肥为主，促进植物萌发新梢；夏季控制施肥量，避免徒长；秋季增施磷钾肥，增强植物抗寒能力；冬季施有机肥，改良土壤结构。 </w:t>
      </w:r>
    </w:p>
    <w:p w14:paraId="528F0EF1">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（2）采用根部施肥、叶面施肥相结合的方式，确保植物吸收充足养分。 </w:t>
      </w:r>
    </w:p>
    <w:p w14:paraId="057F549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3.整形修剪 </w:t>
      </w:r>
    </w:p>
    <w:p w14:paraId="7C0217D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（1）绿篱修剪平整、圆滑。对于多品种、不规则绿篱提倡修剪为龟背形，具有一定艺术造型。 </w:t>
      </w:r>
    </w:p>
    <w:p w14:paraId="7DCAAD7E">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（2）乔木修剪。定期对乔木进行修剪，去除枯枝、病枝、下垂枝、徒长枝等，保持树冠整齐、通风透光；对于行道树，控制树冠高度和冠幅，避免影响交通和公共设施。</w:t>
      </w:r>
    </w:p>
    <w:p w14:paraId="69414225">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（3）灌木修剪。根据不同灌木品种和景观要求，进行整形修剪，保持灌木造型美观，促进侧枝萌发，增加花量。 </w:t>
      </w:r>
    </w:p>
    <w:p w14:paraId="24DB1D8E">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（4）草坪修剪。按照“1/3 修剪原则”，定期修剪草坪，保持草坪高度一致，修剪后及时清理草屑，防止滋生病虫害。</w:t>
      </w:r>
    </w:p>
    <w:p w14:paraId="1FE1C14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（5）花卉修剪。及时摘除残花、败叶，促进花卉二次开花，保持花卉观赏效果。</w:t>
      </w:r>
    </w:p>
    <w:p w14:paraId="47E0A98D">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4.病虫害防治 </w:t>
      </w:r>
    </w:p>
    <w:p w14:paraId="45369FE4">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（1）贯彻“预防为主，综合防治” 方针，加强日常巡查，及时发现病虫害隐患。</w:t>
      </w:r>
    </w:p>
    <w:p w14:paraId="159A875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（2）优先采用物理防治（如灯光诱捕、人工捕捉）、生物防治（如释放天敌昆虫、使用生物农药）等绿色防治方法，减少化学农药使用。 </w:t>
      </w:r>
    </w:p>
    <w:p w14:paraId="66B67DAA">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（3）必要时，选择高效、低毒、低残留的化学农药进行防治，并严格按照农药使用说明操作，确保施药安全，避免对环境和人体造成危害。 </w:t>
      </w:r>
    </w:p>
    <w:p w14:paraId="30A2743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5.中耕除草 </w:t>
      </w:r>
    </w:p>
    <w:p w14:paraId="5C411F2A">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（1）定期对绿地进行中耕松土，改善土壤透气性，促进植物根系生长。 </w:t>
      </w:r>
    </w:p>
    <w:p w14:paraId="612A9A7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（2）及时清除杂草，采用人工拔除、机械除草相结合的方式，防止杂草与园林植物争夺养分、水分和阳光。对于恶性杂草，可选用合适的除草剂进行防除，同时注意避免对园林植物造成药害。 </w:t>
      </w:r>
    </w:p>
    <w:p w14:paraId="4DB16E75">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（二）园林设施维护 </w:t>
      </w:r>
    </w:p>
    <w:p w14:paraId="07F63F87">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1.硬质景观维护 </w:t>
      </w:r>
    </w:p>
    <w:p w14:paraId="1C7AF2FE">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（1）定期检查园路、广场铺装，及时修补破损、松动的铺装，保持路面平整、无积水。 </w:t>
      </w:r>
    </w:p>
    <w:p w14:paraId="26F9A3D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（2）对园林小品（如亭台楼阁、雕塑、景墙等）进行管理，修复破损部位，防止风化、腐蚀，定期刷新油漆、涂料，保持外观整洁美观。</w:t>
      </w:r>
    </w:p>
    <w:p w14:paraId="27D53D3E">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（3）维护园林护栏、围栏，确保其牢固、安全，及时修复变形、损坏的部件，定期进行防锈处理。 </w:t>
      </w:r>
    </w:p>
    <w:p w14:paraId="543C0736">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2.灌溉与照明系统维护 </w:t>
      </w:r>
    </w:p>
    <w:p w14:paraId="012D8A6D">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（1）定期检查灌溉系统的水泵、管道、喷头等设备，确保运行正常，及时修复漏水、堵塞等问题，提高灌溉效率。 </w:t>
      </w:r>
    </w:p>
    <w:p w14:paraId="75B053ED">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（2）对照明设施进行巡检，对发现的损坏的灯具、灯泡、线路及时反馈处理，确保园林夜间照明效果良好，保障游客安全。 </w:t>
      </w:r>
    </w:p>
    <w:p w14:paraId="065F87B3">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（三）卫生保洁 </w:t>
      </w:r>
    </w:p>
    <w:p w14:paraId="2784C8A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绿地内养护所产生的残枝败叶要日产日清。 </w:t>
      </w:r>
    </w:p>
    <w:p w14:paraId="37F03B6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（四）保护巡查 </w:t>
      </w:r>
    </w:p>
    <w:p w14:paraId="01E2F0AE">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保护园林绿地财产安全，发现重大违法违规事件，及时上报处理。劝导和制止折花、攀枝、践踏等不文明行为。检查绿地内有可能发生的安全隐患，及时发现解决或上报相关部门处理。 </w:t>
      </w:r>
    </w:p>
    <w:p w14:paraId="45065484">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（五）应急管理 </w:t>
      </w:r>
    </w:p>
    <w:p w14:paraId="5EC469EE">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针对有极端天气(大风、暴雨、高温干旱）、火灾、病虫害爆发，以及节假日、游园绿地内有大型活动等情况应制定应急预案及措施。 </w:t>
      </w:r>
    </w:p>
    <w:p w14:paraId="288E2A4E">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五、管理主体与职责要求 </w:t>
      </w:r>
    </w:p>
    <w:p w14:paraId="0095DFA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（一）甲方（卢氏县城市管理局） </w:t>
      </w:r>
    </w:p>
    <w:p w14:paraId="603789AD">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1.制定养护标准、考核办法及资金保障机制； </w:t>
      </w:r>
    </w:p>
    <w:p w14:paraId="2A078F7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2.监督第三方服务机构的履约情况； </w:t>
      </w:r>
    </w:p>
    <w:p w14:paraId="737AB8E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3.协同组织阶段性验收与综合评价。 </w:t>
      </w:r>
    </w:p>
    <w:p w14:paraId="43A1681A">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（二）乙方(第三方养护单位) </w:t>
      </w:r>
    </w:p>
    <w:p w14:paraId="32A311F8">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1.按合同约定实施绿化养护作业，确保养护质量；</w:t>
      </w:r>
    </w:p>
    <w:p w14:paraId="2F1F092B">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2.建立专业团队，制定落实养护计划，同时确保施工作业安全无隐患； </w:t>
      </w:r>
      <w:r>
        <w:rPr>
          <w:rFonts w:hint="eastAsia" w:ascii="宋体" w:hAnsi="宋体" w:eastAsia="宋体" w:cs="宋体"/>
          <w:color w:val="000000"/>
          <w:kern w:val="0"/>
          <w:sz w:val="24"/>
          <w:szCs w:val="24"/>
          <w:lang w:val="en-US" w:eastAsia="zh-CN" w:bidi="ar"/>
        </w:rPr>
        <w:t xml:space="preserve"> </w:t>
      </w:r>
    </w:p>
    <w:p w14:paraId="62C8BAD1">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3.配备设备工具，满足养护需求 </w:t>
      </w:r>
    </w:p>
    <w:p w14:paraId="569D620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（1）日常养护中所需的设备（绿篱机、剪草机、割灌机、高枝剪、水管、打药机）等均由乙方配备。 </w:t>
      </w:r>
    </w:p>
    <w:p w14:paraId="12683B6F">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（2）日常养护中所需的油料、农药、化肥等费用均由乙方承担。 </w:t>
      </w:r>
    </w:p>
    <w:p w14:paraId="01946128">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（3）城区道路绿化养护需要的洒水车乙方自行解决问题（司机及油料费乙方自付）；乙方需要使用甲方洒水车的，需要支付租赁费，租赁费甲乙双方协商确定。</w:t>
      </w:r>
    </w:p>
    <w:p w14:paraId="2628CD20">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（4）有灌溉设备的养护区域抽水电费由甲方承担。 </w:t>
      </w:r>
    </w:p>
    <w:p w14:paraId="3C53518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（5）在修剪高大乔木时，需升降车、工具车等机械设备时，甲方可协调供乙方免费使用。 </w:t>
      </w:r>
    </w:p>
    <w:p w14:paraId="3A6498BF">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4.做好日常管理，建立工作台账，自觉接受甲方的检查与考核。 </w:t>
      </w:r>
    </w:p>
    <w:p w14:paraId="4EE545E1">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（三）监管部门 </w:t>
      </w:r>
    </w:p>
    <w:p w14:paraId="4D0D682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1.负责日常巡查、问题记录与整改督办。 </w:t>
      </w:r>
    </w:p>
    <w:p w14:paraId="198B0BE6">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2.组织阶段性验收与综合评价考核。 </w:t>
      </w:r>
    </w:p>
    <w:p w14:paraId="30E45D0B">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3.协调解决养护过程中的突发问题(如病虫害、灾害应急等)应急管理。 </w:t>
      </w:r>
    </w:p>
    <w:p w14:paraId="38B13D65">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六、特别情况约定 </w:t>
      </w:r>
    </w:p>
    <w:p w14:paraId="7FA7D77D">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（一）道路绿篱地被人为践踏损坏情况。 </w:t>
      </w:r>
    </w:p>
    <w:p w14:paraId="59D71BDB">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养护企业要加强人力对践踏破坏进行管理处置。采取阻挡隔离措施（如拉铁丝隔离、扎木桩拉刺丝隔离）对已经践踏的黄土裸楼部分进行补栽，第一次隔档所用的材料和补栽的苗木由甲方提供，乙方负责布设隔档和苗木补栽及养护管理，或者乙方利用就近可用的苗木（如比较稠的鸢尾）进行补栽。若乙方应对践踏破坏不积极、放任自流，除考核扣分外，甲方可强制乙方隔档补栽，产生的费用也由乙方承担。不服从甲方管理造成严重损失的甲方有权终止合同。 </w:t>
      </w:r>
    </w:p>
    <w:p w14:paraId="55C98D4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（二）树枝掉落、大树倾倒情况 </w:t>
      </w:r>
    </w:p>
    <w:p w14:paraId="774811C7">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1、若因极端天气，如大风、暴雨、冰雹等造成大树树枝脱落、树木倾倒情况，乙方要积极按照应急方案积极处置，出现意外造成的损失甲方可以酌情承担处理费用。 </w:t>
      </w:r>
    </w:p>
    <w:p w14:paraId="44EEF5EF">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2、若因乙方管理养护不当，肉眼可见的干枯枝没有及时处理或造成树木倾倒而造成的危害，乙方需全部承担责任。 </w:t>
      </w:r>
    </w:p>
    <w:p w14:paraId="68948D28">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（三）苗木缺失、死亡需补栽情况。 </w:t>
      </w:r>
    </w:p>
    <w:p w14:paraId="1DD57B38">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1、因乙方管理不善造成的苗木死亡、缺失（缺水、受涝、病虫害等原因），除考核扣分外，乙方要及时补植苗木，不得出现苗木明眼缺失、黄土裸露，所产生的费用由乙方承担。 </w:t>
      </w:r>
    </w:p>
    <w:p w14:paraId="40BB9C08">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2、非管理原因造成的苗木死亡、缺失（如车祸损伤、植物生命到期自然老死等），甲方承担苗木费用，乙方负责补植和管护费用。 </w:t>
      </w:r>
    </w:p>
    <w:p w14:paraId="2809843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3、若乙方提出合理、科学、节约的解决办法，甲方可以采纳。 </w:t>
      </w:r>
    </w:p>
    <w:p w14:paraId="5E51C675">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（四）挖栽苗木、补植更新情况 </w:t>
      </w:r>
    </w:p>
    <w:p w14:paraId="6D9FED6D">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１、乙方应具备起挖乔灌木、栽植保活能力，以便解决在日常管理中出现的乔灌木移植栽植任务。 </w:t>
      </w:r>
    </w:p>
    <w:p w14:paraId="4429CDA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２、乙方应具备景观补种改造、更新的意识和能力。在实际过程中难免有苗木不适应、践踏破坏造成的苗木缺失、黄土裸露，乙方要采取灵活的补种补植或者改造措施，弥补空缺、提升效果、有效提升养护效率。 </w:t>
      </w:r>
    </w:p>
    <w:p w14:paraId="6BFFA694">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（五）服从甲方调配、科学合理养护 </w:t>
      </w:r>
    </w:p>
    <w:p w14:paraId="365F958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如天气原因或应甲方要求，某项内容面积或次数有所增减，乙方要根据实际情况服从甲方调配，做出科学合理安排调整。 </w:t>
      </w:r>
    </w:p>
    <w:p w14:paraId="52D7DB9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七、质量标准与考核机制 </w:t>
      </w:r>
    </w:p>
    <w:p w14:paraId="4AACA41C">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（一）量化指标（具体标准见附件） </w:t>
      </w:r>
    </w:p>
    <w:p w14:paraId="2AD62554">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1.植物存活率≥90%，绿篱修剪平整圆滑，草坪、地被、绿篱明显裸露、斑秃；</w:t>
      </w:r>
    </w:p>
    <w:p w14:paraId="715D4261">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2.病虫害发生率≤5%，设施完好率≥95%。 </w:t>
      </w:r>
    </w:p>
    <w:p w14:paraId="256D1525">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（二）考核方式</w:t>
      </w:r>
    </w:p>
    <w:p w14:paraId="54D8E3B0">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1.日常检查。</w:t>
      </w:r>
      <w:r>
        <w:rPr>
          <w:rFonts w:hint="eastAsia" w:ascii="宋体" w:hAnsi="宋体" w:eastAsia="宋体" w:cs="宋体"/>
          <w:color w:val="000000"/>
          <w:kern w:val="0"/>
          <w:sz w:val="24"/>
          <w:szCs w:val="24"/>
          <w:lang w:val="en-US" w:eastAsia="zh-CN" w:bidi="ar"/>
        </w:rPr>
        <w:t>每周不定时随机对养护工作进行抽查、巡查，检查养护工作进度、质量、安全等情况，发现并记录问题（有问题的要进行扣分），及时提出限期整改方案。</w:t>
      </w:r>
    </w:p>
    <w:p w14:paraId="47132B84">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2.专项检查。</w:t>
      </w:r>
      <w:r>
        <w:rPr>
          <w:rFonts w:hint="eastAsia" w:ascii="宋体" w:hAnsi="宋体" w:eastAsia="宋体" w:cs="宋体"/>
          <w:color w:val="000000"/>
          <w:kern w:val="0"/>
          <w:sz w:val="24"/>
          <w:szCs w:val="24"/>
          <w:lang w:val="en-US" w:eastAsia="zh-CN" w:bidi="ar"/>
        </w:rPr>
        <w:t xml:space="preserve">针对病虫害防治、冬季防寒、防汛抗旱、绿篱修剪等重点工作，可不定期开展专项检查，确保各项工作措施落实到位。 </w:t>
      </w:r>
    </w:p>
    <w:p w14:paraId="31B57C34">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3.月度考核。</w:t>
      </w:r>
      <w:r>
        <w:rPr>
          <w:rFonts w:hint="eastAsia" w:ascii="宋体" w:hAnsi="宋体" w:eastAsia="宋体" w:cs="宋体"/>
          <w:color w:val="000000"/>
          <w:kern w:val="0"/>
          <w:sz w:val="24"/>
          <w:szCs w:val="24"/>
          <w:lang w:val="en-US" w:eastAsia="zh-CN" w:bidi="ar"/>
        </w:rPr>
        <w:t xml:space="preserve">参照养护日志、整改情况、市民投诉等，对照养护细则标准，每月对植物生长状况、景观效果、设施维护情况、现场卫生等养护效果进行考核评分，形成月度报告和每月的评分结果，提出合理整改意见。 </w:t>
      </w:r>
    </w:p>
    <w:p w14:paraId="1A9BF78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4.年度综合评估。</w:t>
      </w:r>
      <w:r>
        <w:rPr>
          <w:rFonts w:hint="eastAsia" w:ascii="宋体" w:hAnsi="宋体" w:eastAsia="宋体" w:cs="宋体"/>
          <w:color w:val="000000"/>
          <w:kern w:val="0"/>
          <w:sz w:val="24"/>
          <w:szCs w:val="24"/>
          <w:lang w:val="en-US" w:eastAsia="zh-CN" w:bidi="ar"/>
        </w:rPr>
        <w:t xml:space="preserve">根据月度考核结果、成本控制、创新措施等评定年度等级。以年度等级确定养护经费拨付的数量。 </w:t>
      </w:r>
    </w:p>
    <w:p w14:paraId="481A9AF9">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highlight w:val="none"/>
        </w:rPr>
      </w:pPr>
      <w:r>
        <w:rPr>
          <w:rFonts w:hint="eastAsia" w:ascii="宋体" w:hAnsi="宋体" w:eastAsia="宋体" w:cs="宋体"/>
          <w:b/>
          <w:bCs/>
          <w:color w:val="000000"/>
          <w:kern w:val="0"/>
          <w:sz w:val="24"/>
          <w:szCs w:val="24"/>
          <w:lang w:val="en-US" w:eastAsia="zh-CN" w:bidi="ar"/>
        </w:rPr>
        <w:t>5.奖惩措施。</w:t>
      </w:r>
      <w:r>
        <w:rPr>
          <w:rFonts w:hint="eastAsia" w:ascii="宋体" w:hAnsi="宋体" w:eastAsia="宋体" w:cs="宋体"/>
          <w:color w:val="000000"/>
          <w:kern w:val="0"/>
          <w:sz w:val="24"/>
          <w:szCs w:val="24"/>
          <w:highlight w:val="none"/>
          <w:lang w:val="en-US" w:eastAsia="zh-CN" w:bidi="ar"/>
        </w:rPr>
        <w:t xml:space="preserve">考核优秀者给予资金奖励或续签合同优先权；不合格者扣减费用或终止合作。 </w:t>
      </w:r>
    </w:p>
    <w:p w14:paraId="6860326A">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通过以上园林绿化日常养护，全面提升养护管理水平，为打造生态宜居、景观优美的园林环境提供有力保障。 </w:t>
      </w:r>
    </w:p>
    <w:p w14:paraId="7EBFDBC6">
      <w:pPr>
        <w:keepNext w:val="0"/>
        <w:keepLines w:val="0"/>
        <w:pageBreakBefore w:val="0"/>
        <w:widowControl w:val="0"/>
        <w:suppressLineNumbers w:val="0"/>
        <w:kinsoku/>
        <w:wordWrap w:val="0"/>
        <w:overflowPunct/>
        <w:topLinePunct/>
        <w:autoSpaceDE/>
        <w:autoSpaceDN/>
        <w:bidi w:val="0"/>
        <w:adjustRightInd/>
        <w:snapToGrid/>
        <w:spacing w:line="5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八、附件 </w:t>
      </w:r>
    </w:p>
    <w:p w14:paraId="52C1C882">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1、《卢氏县园林绿化养护管理标准》(参考河南省城市绿地养护二级标准） </w:t>
      </w:r>
    </w:p>
    <w:p w14:paraId="2C3FCB40">
      <w:pPr>
        <w:keepNext w:val="0"/>
        <w:keepLines w:val="0"/>
        <w:pageBreakBefore w:val="0"/>
        <w:widowControl w:val="0"/>
        <w:suppressLineNumbers w:val="0"/>
        <w:kinsoku/>
        <w:wordWrap w:val="0"/>
        <w:overflowPunct/>
        <w:topLinePunct/>
        <w:autoSpaceDE/>
        <w:autoSpaceDN/>
        <w:bidi w:val="0"/>
        <w:adjustRightInd/>
        <w:snapToGrid/>
        <w:spacing w:line="500" w:lineRule="exact"/>
        <w:ind w:firstLine="480" w:firstLineChars="200"/>
        <w:jc w:val="left"/>
        <w:textAlignment w:val="auto"/>
      </w:pPr>
      <w:r>
        <w:rPr>
          <w:rFonts w:hint="eastAsia" w:ascii="宋体" w:hAnsi="宋体" w:eastAsia="宋体" w:cs="宋体"/>
          <w:color w:val="000000"/>
          <w:kern w:val="0"/>
          <w:sz w:val="24"/>
          <w:szCs w:val="24"/>
          <w:lang w:val="en-US" w:eastAsia="zh-CN" w:bidi="ar"/>
        </w:rPr>
        <w:t>2、《卢氏县绿地养护监管考核办法及考核标准》</w:t>
      </w:r>
    </w:p>
    <w:p w14:paraId="6E99A52A">
      <w:pPr>
        <w:spacing w:before="87" w:line="219" w:lineRule="auto"/>
        <w:ind w:left="1839"/>
        <w:outlineLvl w:val="0"/>
        <w:rPr>
          <w:rFonts w:ascii="宋体" w:hAnsi="宋体" w:eastAsia="宋体" w:cs="宋体"/>
          <w:b/>
          <w:bCs/>
          <w:spacing w:val="-19"/>
          <w:sz w:val="31"/>
          <w:szCs w:val="31"/>
        </w:rPr>
      </w:pPr>
    </w:p>
    <w:p w14:paraId="1DCFF08C">
      <w:pPr>
        <w:spacing w:before="87" w:line="219" w:lineRule="auto"/>
        <w:ind w:left="1839"/>
        <w:outlineLvl w:val="0"/>
        <w:rPr>
          <w:rFonts w:ascii="宋体" w:hAnsi="宋体" w:eastAsia="宋体" w:cs="宋体"/>
          <w:b/>
          <w:bCs/>
          <w:spacing w:val="-19"/>
          <w:sz w:val="31"/>
          <w:szCs w:val="31"/>
        </w:rPr>
      </w:pPr>
    </w:p>
    <w:p w14:paraId="13FA7C01">
      <w:pPr>
        <w:spacing w:before="87" w:line="219" w:lineRule="auto"/>
        <w:ind w:left="1839"/>
        <w:outlineLvl w:val="0"/>
        <w:rPr>
          <w:rFonts w:ascii="宋体" w:hAnsi="宋体" w:eastAsia="宋体" w:cs="宋体"/>
          <w:b/>
          <w:bCs/>
          <w:spacing w:val="-19"/>
          <w:sz w:val="31"/>
          <w:szCs w:val="31"/>
        </w:rPr>
      </w:pPr>
    </w:p>
    <w:p w14:paraId="7CF85DAA">
      <w:pPr>
        <w:spacing w:before="87" w:line="219" w:lineRule="auto"/>
        <w:ind w:left="1839"/>
        <w:outlineLvl w:val="0"/>
        <w:rPr>
          <w:rFonts w:ascii="宋体" w:hAnsi="宋体" w:eastAsia="宋体" w:cs="宋体"/>
          <w:b/>
          <w:bCs/>
          <w:spacing w:val="-19"/>
          <w:sz w:val="31"/>
          <w:szCs w:val="31"/>
        </w:rPr>
      </w:pPr>
    </w:p>
    <w:p w14:paraId="3C54F19C">
      <w:pPr>
        <w:spacing w:before="87" w:line="219" w:lineRule="auto"/>
        <w:ind w:left="1839"/>
        <w:outlineLvl w:val="0"/>
        <w:rPr>
          <w:rFonts w:ascii="宋体" w:hAnsi="宋体" w:eastAsia="宋体" w:cs="宋体"/>
          <w:b/>
          <w:bCs/>
          <w:spacing w:val="-19"/>
          <w:sz w:val="31"/>
          <w:szCs w:val="31"/>
        </w:rPr>
      </w:pPr>
    </w:p>
    <w:p w14:paraId="49F2A200">
      <w:pPr>
        <w:spacing w:before="87" w:line="219" w:lineRule="auto"/>
        <w:ind w:left="1839"/>
        <w:outlineLvl w:val="0"/>
        <w:rPr>
          <w:rFonts w:ascii="宋体" w:hAnsi="宋体" w:eastAsia="宋体" w:cs="宋体"/>
          <w:b/>
          <w:bCs/>
          <w:spacing w:val="-19"/>
          <w:sz w:val="31"/>
          <w:szCs w:val="31"/>
        </w:rPr>
      </w:pPr>
    </w:p>
    <w:p w14:paraId="3C541C44">
      <w:pPr>
        <w:spacing w:before="87" w:line="219" w:lineRule="auto"/>
        <w:outlineLvl w:val="0"/>
        <w:rPr>
          <w:rFonts w:hint="eastAsia" w:ascii="宋体" w:hAnsi="宋体" w:eastAsia="宋体" w:cs="宋体"/>
          <w:b/>
          <w:bCs/>
          <w:spacing w:val="-19"/>
          <w:sz w:val="31"/>
          <w:szCs w:val="31"/>
          <w:lang w:val="en-US" w:eastAsia="zh-CN"/>
        </w:rPr>
      </w:pPr>
    </w:p>
    <w:p w14:paraId="3D7DA0C1">
      <w:pPr>
        <w:spacing w:before="87" w:line="219" w:lineRule="auto"/>
        <w:outlineLvl w:val="0"/>
        <w:rPr>
          <w:rFonts w:hint="eastAsia" w:ascii="宋体" w:hAnsi="宋体" w:eastAsia="宋体" w:cs="宋体"/>
          <w:b/>
          <w:bCs/>
          <w:spacing w:val="-19"/>
          <w:sz w:val="31"/>
          <w:szCs w:val="31"/>
          <w:lang w:val="en-US" w:eastAsia="zh-CN"/>
        </w:rPr>
      </w:pPr>
    </w:p>
    <w:p w14:paraId="4727F8F8">
      <w:pPr>
        <w:spacing w:before="87" w:line="219" w:lineRule="auto"/>
        <w:outlineLvl w:val="0"/>
        <w:rPr>
          <w:rFonts w:hint="eastAsia" w:ascii="宋体" w:hAnsi="宋体" w:eastAsia="宋体" w:cs="宋体"/>
          <w:b/>
          <w:bCs/>
          <w:spacing w:val="-19"/>
          <w:sz w:val="31"/>
          <w:szCs w:val="31"/>
          <w:lang w:val="en-US" w:eastAsia="zh-CN"/>
        </w:rPr>
      </w:pPr>
    </w:p>
    <w:p w14:paraId="57AD41D2">
      <w:pPr>
        <w:spacing w:before="87" w:line="219" w:lineRule="auto"/>
        <w:outlineLvl w:val="0"/>
        <w:rPr>
          <w:rFonts w:hint="eastAsia" w:ascii="宋体" w:hAnsi="宋体" w:eastAsia="宋体" w:cs="宋体"/>
          <w:b/>
          <w:bCs/>
          <w:spacing w:val="-19"/>
          <w:sz w:val="31"/>
          <w:szCs w:val="31"/>
          <w:lang w:val="en-US" w:eastAsia="zh-CN"/>
        </w:rPr>
      </w:pPr>
    </w:p>
    <w:p w14:paraId="74C8DE8C">
      <w:pPr>
        <w:spacing w:before="87" w:line="219" w:lineRule="auto"/>
        <w:outlineLvl w:val="0"/>
        <w:rPr>
          <w:rFonts w:hint="eastAsia" w:ascii="宋体" w:hAnsi="宋体" w:eastAsia="宋体" w:cs="宋体"/>
          <w:b/>
          <w:bCs/>
          <w:spacing w:val="-19"/>
          <w:sz w:val="31"/>
          <w:szCs w:val="31"/>
          <w:lang w:val="en-US" w:eastAsia="zh-CN"/>
        </w:rPr>
      </w:pPr>
    </w:p>
    <w:p w14:paraId="0A1539F0">
      <w:pPr>
        <w:spacing w:before="87" w:line="219" w:lineRule="auto"/>
        <w:outlineLvl w:val="0"/>
        <w:rPr>
          <w:rFonts w:hint="eastAsia" w:ascii="宋体" w:hAnsi="宋体" w:eastAsia="宋体" w:cs="宋体"/>
          <w:b/>
          <w:bCs/>
          <w:spacing w:val="-19"/>
          <w:sz w:val="31"/>
          <w:szCs w:val="31"/>
          <w:lang w:val="en-US" w:eastAsia="zh-CN"/>
        </w:rPr>
      </w:pPr>
    </w:p>
    <w:p w14:paraId="1946DAEC">
      <w:pPr>
        <w:spacing w:before="87" w:line="219" w:lineRule="auto"/>
        <w:outlineLvl w:val="0"/>
        <w:rPr>
          <w:rFonts w:hint="eastAsia" w:ascii="宋体" w:hAnsi="宋体" w:eastAsia="宋体" w:cs="宋体"/>
          <w:b/>
          <w:bCs/>
          <w:spacing w:val="-19"/>
          <w:sz w:val="31"/>
          <w:szCs w:val="31"/>
          <w:lang w:val="en-US" w:eastAsia="zh-CN"/>
        </w:rPr>
      </w:pPr>
    </w:p>
    <w:p w14:paraId="3FA89540">
      <w:pPr>
        <w:spacing w:before="87" w:line="219" w:lineRule="auto"/>
        <w:outlineLvl w:val="0"/>
        <w:rPr>
          <w:rFonts w:hint="eastAsia" w:ascii="宋体" w:hAnsi="宋体" w:eastAsia="宋体" w:cs="宋体"/>
          <w:b/>
          <w:bCs/>
          <w:spacing w:val="-19"/>
          <w:sz w:val="31"/>
          <w:szCs w:val="31"/>
          <w:lang w:val="en-US" w:eastAsia="zh-CN"/>
        </w:rPr>
      </w:pPr>
    </w:p>
    <w:p w14:paraId="7E28E015">
      <w:pPr>
        <w:spacing w:before="87" w:line="219" w:lineRule="auto"/>
        <w:outlineLvl w:val="0"/>
        <w:rPr>
          <w:rFonts w:hint="eastAsia" w:ascii="宋体" w:hAnsi="宋体" w:eastAsia="宋体" w:cs="宋体"/>
          <w:b/>
          <w:bCs/>
          <w:spacing w:val="-19"/>
          <w:sz w:val="31"/>
          <w:szCs w:val="31"/>
          <w:lang w:val="en-US" w:eastAsia="zh-CN"/>
        </w:rPr>
      </w:pPr>
    </w:p>
    <w:p w14:paraId="65F2E7A5">
      <w:pPr>
        <w:spacing w:before="87" w:line="219" w:lineRule="auto"/>
        <w:outlineLvl w:val="0"/>
        <w:rPr>
          <w:rFonts w:hint="eastAsia" w:ascii="宋体" w:hAnsi="宋体" w:eastAsia="宋体" w:cs="宋体"/>
          <w:b/>
          <w:bCs/>
          <w:spacing w:val="-19"/>
          <w:sz w:val="31"/>
          <w:szCs w:val="31"/>
          <w:lang w:val="en-US" w:eastAsia="zh-CN"/>
        </w:rPr>
      </w:pPr>
    </w:p>
    <w:p w14:paraId="013BEA46">
      <w:pPr>
        <w:spacing w:before="87" w:line="219" w:lineRule="auto"/>
        <w:outlineLvl w:val="0"/>
        <w:rPr>
          <w:rFonts w:hint="eastAsia" w:ascii="宋体" w:hAnsi="宋体" w:eastAsia="宋体" w:cs="宋体"/>
          <w:b/>
          <w:bCs/>
          <w:spacing w:val="-19"/>
          <w:sz w:val="31"/>
          <w:szCs w:val="31"/>
          <w:lang w:val="en-US" w:eastAsia="zh-CN"/>
        </w:rPr>
      </w:pPr>
    </w:p>
    <w:p w14:paraId="531AE51B">
      <w:pPr>
        <w:spacing w:before="87" w:line="219" w:lineRule="auto"/>
        <w:outlineLvl w:val="0"/>
        <w:rPr>
          <w:rFonts w:hint="eastAsia" w:ascii="宋体" w:hAnsi="宋体" w:eastAsia="宋体" w:cs="宋体"/>
          <w:b/>
          <w:bCs/>
          <w:spacing w:val="-19"/>
          <w:sz w:val="31"/>
          <w:szCs w:val="31"/>
          <w:lang w:val="en-US" w:eastAsia="zh-CN"/>
        </w:rPr>
      </w:pPr>
    </w:p>
    <w:p w14:paraId="5EE7DEA1">
      <w:pPr>
        <w:spacing w:before="87" w:line="219" w:lineRule="auto"/>
        <w:outlineLvl w:val="0"/>
        <w:rPr>
          <w:rFonts w:hint="eastAsia" w:ascii="宋体" w:hAnsi="宋体" w:eastAsia="宋体" w:cs="宋体"/>
          <w:b/>
          <w:bCs/>
          <w:spacing w:val="-19"/>
          <w:sz w:val="31"/>
          <w:szCs w:val="31"/>
          <w:lang w:val="en-US" w:eastAsia="zh-CN"/>
        </w:rPr>
      </w:pPr>
    </w:p>
    <w:p w14:paraId="30E15056">
      <w:pPr>
        <w:spacing w:before="87" w:line="219" w:lineRule="auto"/>
        <w:outlineLvl w:val="0"/>
        <w:rPr>
          <w:rFonts w:hint="eastAsia" w:ascii="宋体" w:hAnsi="宋体" w:eastAsia="宋体" w:cs="宋体"/>
          <w:b/>
          <w:bCs/>
          <w:spacing w:val="-19"/>
          <w:sz w:val="31"/>
          <w:szCs w:val="31"/>
          <w:lang w:val="en-US" w:eastAsia="zh-CN"/>
        </w:rPr>
      </w:pPr>
    </w:p>
    <w:p w14:paraId="77373801">
      <w:pPr>
        <w:spacing w:before="87" w:line="219" w:lineRule="auto"/>
        <w:outlineLvl w:val="0"/>
        <w:rPr>
          <w:rFonts w:hint="eastAsia" w:ascii="宋体" w:hAnsi="宋体" w:eastAsia="宋体" w:cs="宋体"/>
          <w:b/>
          <w:bCs/>
          <w:spacing w:val="-19"/>
          <w:sz w:val="31"/>
          <w:szCs w:val="31"/>
          <w:lang w:val="en-US" w:eastAsia="zh-CN"/>
        </w:rPr>
      </w:pPr>
      <w:r>
        <w:rPr>
          <w:rFonts w:hint="eastAsia" w:ascii="宋体" w:hAnsi="宋体" w:eastAsia="宋体" w:cs="宋体"/>
          <w:b/>
          <w:bCs/>
          <w:spacing w:val="-19"/>
          <w:sz w:val="31"/>
          <w:szCs w:val="31"/>
          <w:lang w:val="en-US" w:eastAsia="zh-CN"/>
        </w:rPr>
        <w:t>附件1：</w:t>
      </w:r>
    </w:p>
    <w:p w14:paraId="1515949F">
      <w:pPr>
        <w:spacing w:before="87" w:line="219" w:lineRule="auto"/>
        <w:ind w:left="1839"/>
        <w:outlineLvl w:val="0"/>
        <w:rPr>
          <w:rFonts w:ascii="宋体" w:hAnsi="宋体" w:eastAsia="宋体" w:cs="宋体"/>
          <w:sz w:val="31"/>
          <w:szCs w:val="31"/>
        </w:rPr>
      </w:pPr>
      <w:r>
        <w:rPr>
          <w:rFonts w:ascii="宋体" w:hAnsi="宋体" w:eastAsia="宋体" w:cs="宋体"/>
          <w:b/>
          <w:bCs/>
          <w:spacing w:val="-19"/>
          <w:sz w:val="31"/>
          <w:szCs w:val="31"/>
        </w:rPr>
        <w:t>卢氏县园林绿化养护标准——乔木养护标准</w:t>
      </w:r>
    </w:p>
    <w:p w14:paraId="6CEE901D">
      <w:pPr>
        <w:spacing w:line="91" w:lineRule="auto"/>
        <w:rPr>
          <w:rFonts w:ascii="Arial"/>
          <w:sz w:val="2"/>
        </w:rPr>
      </w:pPr>
    </w:p>
    <w:tbl>
      <w:tblPr>
        <w:tblStyle w:val="30"/>
        <w:tblW w:w="102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7"/>
        <w:gridCol w:w="8953"/>
      </w:tblGrid>
      <w:tr w14:paraId="7C297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1307" w:type="dxa"/>
            <w:vAlign w:val="top"/>
          </w:tcPr>
          <w:p w14:paraId="77D47C1C">
            <w:pPr>
              <w:pStyle w:val="29"/>
              <w:spacing w:before="73" w:line="220" w:lineRule="auto"/>
              <w:jc w:val="center"/>
              <w:rPr>
                <w:color w:val="000000" w:themeColor="text1"/>
                <w14:textFill>
                  <w14:solidFill>
                    <w14:schemeClr w14:val="tx1"/>
                  </w14:solidFill>
                </w14:textFill>
              </w:rPr>
            </w:pPr>
            <w:r>
              <w:rPr>
                <w:color w:val="000000" w:themeColor="text1"/>
                <w:spacing w:val="-5"/>
                <w14:textFill>
                  <w14:solidFill>
                    <w14:schemeClr w14:val="tx1"/>
                  </w14:solidFill>
                </w14:textFill>
              </w:rPr>
              <w:t>项目</w:t>
            </w:r>
          </w:p>
        </w:tc>
        <w:tc>
          <w:tcPr>
            <w:tcW w:w="8953" w:type="dxa"/>
            <w:vAlign w:val="top"/>
          </w:tcPr>
          <w:p w14:paraId="6B4CCCDF">
            <w:pPr>
              <w:pStyle w:val="29"/>
              <w:spacing w:before="72" w:line="219" w:lineRule="auto"/>
              <w:ind w:left="3271"/>
              <w:rPr>
                <w:color w:val="000000" w:themeColor="text1"/>
                <w14:textFill>
                  <w14:solidFill>
                    <w14:schemeClr w14:val="tx1"/>
                  </w14:solidFill>
                </w14:textFill>
              </w:rPr>
            </w:pPr>
            <w:r>
              <w:rPr>
                <w:color w:val="000000" w:themeColor="text1"/>
                <w:spacing w:val="-2"/>
                <w14:textFill>
                  <w14:solidFill>
                    <w14:schemeClr w14:val="tx1"/>
                  </w14:solidFill>
                </w14:textFill>
              </w:rPr>
              <w:t>养护标准</w:t>
            </w:r>
          </w:p>
        </w:tc>
      </w:tr>
      <w:tr w14:paraId="2258B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jc w:val="center"/>
        </w:trPr>
        <w:tc>
          <w:tcPr>
            <w:tcW w:w="1307" w:type="dxa"/>
            <w:vAlign w:val="top"/>
          </w:tcPr>
          <w:p w14:paraId="1294A882">
            <w:pPr>
              <w:spacing w:line="344" w:lineRule="auto"/>
              <w:jc w:val="center"/>
              <w:rPr>
                <w:rFonts w:ascii="Arial"/>
                <w:color w:val="000000" w:themeColor="text1"/>
                <w:sz w:val="21"/>
                <w14:textFill>
                  <w14:solidFill>
                    <w14:schemeClr w14:val="tx1"/>
                  </w14:solidFill>
                </w14:textFill>
              </w:rPr>
            </w:pPr>
          </w:p>
          <w:p w14:paraId="4CF155DE">
            <w:pPr>
              <w:pStyle w:val="29"/>
              <w:spacing w:before="61" w:line="219" w:lineRule="auto"/>
              <w:jc w:val="center"/>
              <w:rPr>
                <w:color w:val="000000" w:themeColor="text1"/>
                <w14:textFill>
                  <w14:solidFill>
                    <w14:schemeClr w14:val="tx1"/>
                  </w14:solidFill>
                </w14:textFill>
              </w:rPr>
            </w:pPr>
            <w:r>
              <w:rPr>
                <w:color w:val="000000" w:themeColor="text1"/>
                <w:spacing w:val="4"/>
                <w14:textFill>
                  <w14:solidFill>
                    <w14:schemeClr w14:val="tx1"/>
                  </w14:solidFill>
                </w14:textFill>
              </w:rPr>
              <w:t>景观</w:t>
            </w:r>
          </w:p>
        </w:tc>
        <w:tc>
          <w:tcPr>
            <w:tcW w:w="8953" w:type="dxa"/>
            <w:vAlign w:val="top"/>
          </w:tcPr>
          <w:p w14:paraId="6B59F9EB">
            <w:pPr>
              <w:pStyle w:val="29"/>
              <w:spacing w:before="138"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1、无缺株、死株(死株率在2%以下)</w:t>
            </w:r>
          </w:p>
          <w:p w14:paraId="5BFD47AD">
            <w:pPr>
              <w:pStyle w:val="29"/>
              <w:spacing w:before="138"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2、保护措施完备，维护及时。</w:t>
            </w:r>
          </w:p>
          <w:p w14:paraId="1ED89796">
            <w:pPr>
              <w:pStyle w:val="29"/>
              <w:spacing w:before="138"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3、配置合理(树种多样，树种之间、树种与其他乔灌花草以及水面、道路之间和谐、美观)。</w:t>
            </w:r>
          </w:p>
        </w:tc>
      </w:tr>
      <w:tr w14:paraId="296E2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0" w:hRule="atLeast"/>
          <w:jc w:val="center"/>
        </w:trPr>
        <w:tc>
          <w:tcPr>
            <w:tcW w:w="1307" w:type="dxa"/>
            <w:vAlign w:val="top"/>
          </w:tcPr>
          <w:p w14:paraId="3D833F70">
            <w:pPr>
              <w:spacing w:line="467" w:lineRule="auto"/>
              <w:jc w:val="center"/>
              <w:rPr>
                <w:rFonts w:ascii="Arial"/>
                <w:color w:val="000000" w:themeColor="text1"/>
                <w:sz w:val="21"/>
                <w14:textFill>
                  <w14:solidFill>
                    <w14:schemeClr w14:val="tx1"/>
                  </w14:solidFill>
                </w14:textFill>
              </w:rPr>
            </w:pPr>
          </w:p>
          <w:p w14:paraId="7D05EAEC">
            <w:pPr>
              <w:pStyle w:val="29"/>
              <w:spacing w:before="62" w:line="223" w:lineRule="auto"/>
              <w:jc w:val="center"/>
              <w:rPr>
                <w:color w:val="000000" w:themeColor="text1"/>
                <w14:textFill>
                  <w14:solidFill>
                    <w14:schemeClr w14:val="tx1"/>
                  </w14:solidFill>
                </w14:textFill>
              </w:rPr>
            </w:pPr>
            <w:r>
              <w:rPr>
                <w:color w:val="000000" w:themeColor="text1"/>
                <w:spacing w:val="-3"/>
                <w14:textFill>
                  <w14:solidFill>
                    <w14:schemeClr w14:val="tx1"/>
                  </w14:solidFill>
                </w14:textFill>
              </w:rPr>
              <w:t>生长</w:t>
            </w:r>
          </w:p>
        </w:tc>
        <w:tc>
          <w:tcPr>
            <w:tcW w:w="8953" w:type="dxa"/>
            <w:vAlign w:val="top"/>
          </w:tcPr>
          <w:p w14:paraId="5BC1938B">
            <w:pPr>
              <w:pStyle w:val="29"/>
              <w:spacing w:before="138"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1、苗木生长势良好，枝繁叶茂，无明显枯死枝杈，入冬前木质化较</w:t>
            </w:r>
            <w:r>
              <w:rPr>
                <w:color w:val="000000" w:themeColor="text1"/>
                <w:spacing w:val="-1"/>
                <w14:textFill>
                  <w14:solidFill>
                    <w14:schemeClr w14:val="tx1"/>
                  </w14:solidFill>
                </w14:textFill>
              </w:rPr>
              <w:t>好。</w:t>
            </w:r>
          </w:p>
          <w:p w14:paraId="5C3C10C9">
            <w:pPr>
              <w:pStyle w:val="29"/>
              <w:spacing w:before="44"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2、叶色正常，有光泽，无黄叶、枯叶、焦叶和明显病虫害侵害特征，单株侵害率低于5%。</w:t>
            </w:r>
          </w:p>
          <w:p w14:paraId="4277A108">
            <w:pPr>
              <w:pStyle w:val="29"/>
              <w:spacing w:before="83"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3、冠形美观，分枝点合适，主侧枝分布均匀，数量适宜，内部通风透光良好。</w:t>
            </w:r>
          </w:p>
          <w:p w14:paraId="5D3E0F7A">
            <w:pPr>
              <w:pStyle w:val="29"/>
              <w:spacing w:before="85" w:line="205" w:lineRule="auto"/>
              <w:ind w:left="161"/>
              <w:rPr>
                <w:color w:val="000000" w:themeColor="text1"/>
                <w14:textFill>
                  <w14:solidFill>
                    <w14:schemeClr w14:val="tx1"/>
                  </w14:solidFill>
                </w14:textFill>
              </w:rPr>
            </w:pPr>
            <w:r>
              <w:rPr>
                <w:color w:val="000000" w:themeColor="text1"/>
                <w:spacing w:val="-1"/>
                <w14:textFill>
                  <w14:solidFill>
                    <w14:schemeClr w14:val="tx1"/>
                  </w14:solidFill>
                </w14:textFill>
              </w:rPr>
              <w:t>4、树木生长端正，无倒伏现象。</w:t>
            </w:r>
          </w:p>
        </w:tc>
      </w:tr>
      <w:tr w14:paraId="4EC87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jc w:val="center"/>
        </w:trPr>
        <w:tc>
          <w:tcPr>
            <w:tcW w:w="1307" w:type="dxa"/>
            <w:vAlign w:val="top"/>
          </w:tcPr>
          <w:p w14:paraId="3A67B52D">
            <w:pPr>
              <w:spacing w:line="244" w:lineRule="auto"/>
              <w:jc w:val="center"/>
              <w:rPr>
                <w:rFonts w:ascii="Arial"/>
                <w:color w:val="000000" w:themeColor="text1"/>
                <w:sz w:val="21"/>
                <w14:textFill>
                  <w14:solidFill>
                    <w14:schemeClr w14:val="tx1"/>
                  </w14:solidFill>
                </w14:textFill>
              </w:rPr>
            </w:pPr>
          </w:p>
          <w:p w14:paraId="2E53E1C6">
            <w:pPr>
              <w:spacing w:line="244" w:lineRule="auto"/>
              <w:jc w:val="center"/>
              <w:rPr>
                <w:rFonts w:ascii="Arial"/>
                <w:color w:val="000000" w:themeColor="text1"/>
                <w:sz w:val="21"/>
                <w14:textFill>
                  <w14:solidFill>
                    <w14:schemeClr w14:val="tx1"/>
                  </w14:solidFill>
                </w14:textFill>
              </w:rPr>
            </w:pPr>
          </w:p>
          <w:p w14:paraId="7FCCF585">
            <w:pPr>
              <w:spacing w:line="245" w:lineRule="auto"/>
              <w:jc w:val="center"/>
              <w:rPr>
                <w:rFonts w:ascii="Arial"/>
                <w:color w:val="000000" w:themeColor="text1"/>
                <w:sz w:val="21"/>
                <w14:textFill>
                  <w14:solidFill>
                    <w14:schemeClr w14:val="tx1"/>
                  </w14:solidFill>
                </w14:textFill>
              </w:rPr>
            </w:pPr>
          </w:p>
          <w:p w14:paraId="5FFCACAC">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修剪</w:t>
            </w:r>
          </w:p>
        </w:tc>
        <w:tc>
          <w:tcPr>
            <w:tcW w:w="8953" w:type="dxa"/>
            <w:vAlign w:val="top"/>
          </w:tcPr>
          <w:p w14:paraId="442DD845">
            <w:pPr>
              <w:pStyle w:val="29"/>
              <w:spacing w:before="109"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1、每年修剪不少于1次，修剪适时适度。</w:t>
            </w:r>
          </w:p>
          <w:p w14:paraId="434FAEA3">
            <w:pPr>
              <w:pStyle w:val="29"/>
              <w:spacing w:before="83"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2、冠形优美，内堂通透，主侧枝分布匀称，修剪强度适宜，疏密得</w:t>
            </w:r>
            <w:r>
              <w:rPr>
                <w:color w:val="000000" w:themeColor="text1"/>
                <w:spacing w:val="-1"/>
                <w14:textFill>
                  <w14:solidFill>
                    <w14:schemeClr w14:val="tx1"/>
                  </w14:solidFill>
                </w14:textFill>
              </w:rPr>
              <w:t>当。</w:t>
            </w:r>
          </w:p>
          <w:p w14:paraId="1882F980">
            <w:pPr>
              <w:pStyle w:val="29"/>
              <w:spacing w:before="74" w:line="246" w:lineRule="auto"/>
              <w:ind w:left="161" w:right="1" w:firstLine="20"/>
              <w:rPr>
                <w:color w:val="000000" w:themeColor="text1"/>
                <w14:textFill>
                  <w14:solidFill>
                    <w14:schemeClr w14:val="tx1"/>
                  </w14:solidFill>
                </w14:textFill>
              </w:rPr>
            </w:pPr>
            <w:r>
              <w:rPr>
                <w:color w:val="000000" w:themeColor="text1"/>
                <w:spacing w:val="-6"/>
                <w14:textFill>
                  <w14:solidFill>
                    <w14:schemeClr w14:val="tx1"/>
                  </w14:solidFill>
                </w14:textFill>
              </w:rPr>
              <w:t>3、枯死枝、内堂乱枝、交义枝、下垂枝、衰弱枝、劈裂枝、病虫枝等影响树形美观的枝条修除</w:t>
            </w:r>
            <w:r>
              <w:rPr>
                <w:color w:val="000000" w:themeColor="text1"/>
                <w14:textFill>
                  <w14:solidFill>
                    <w14:schemeClr w14:val="tx1"/>
                  </w14:solidFill>
                </w14:textFill>
              </w:rPr>
              <w:t>率95%以上。</w:t>
            </w:r>
          </w:p>
          <w:p w14:paraId="3AB23B96">
            <w:pPr>
              <w:pStyle w:val="29"/>
              <w:spacing w:before="44"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4、修剪工具齐全，操作技术标准，剪口、锯口平滑，涂敷保护得当。</w:t>
            </w:r>
          </w:p>
          <w:p w14:paraId="07068E1D">
            <w:pPr>
              <w:pStyle w:val="29"/>
              <w:spacing w:before="53"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5、与周围环境相协调，较好的解决树木与电线、建筑物、交通等之间的矛盾。</w:t>
            </w:r>
          </w:p>
        </w:tc>
      </w:tr>
      <w:tr w14:paraId="32B03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2" w:hRule="atLeast"/>
          <w:jc w:val="center"/>
        </w:trPr>
        <w:tc>
          <w:tcPr>
            <w:tcW w:w="1307" w:type="dxa"/>
            <w:vAlign w:val="top"/>
          </w:tcPr>
          <w:p w14:paraId="10AB805C">
            <w:pPr>
              <w:spacing w:line="475" w:lineRule="auto"/>
              <w:jc w:val="center"/>
              <w:rPr>
                <w:rFonts w:ascii="Arial"/>
                <w:color w:val="000000" w:themeColor="text1"/>
                <w:sz w:val="21"/>
                <w14:textFill>
                  <w14:solidFill>
                    <w14:schemeClr w14:val="tx1"/>
                  </w14:solidFill>
                </w14:textFill>
              </w:rPr>
            </w:pPr>
          </w:p>
          <w:p w14:paraId="76426FFB">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肥水管理</w:t>
            </w:r>
          </w:p>
        </w:tc>
        <w:tc>
          <w:tcPr>
            <w:tcW w:w="8953" w:type="dxa"/>
            <w:vAlign w:val="center"/>
          </w:tcPr>
          <w:p w14:paraId="22C109B8">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1、每年度施肥次数不少于2次，浇水次数不少于5次，树穴内有植被的适当增加至6次。</w:t>
            </w:r>
          </w:p>
          <w:p w14:paraId="7245F97B">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2、肥量、种类适宜，施肥方法合理、有 效 。</w:t>
            </w:r>
          </w:p>
          <w:p w14:paraId="7CE24405">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3、无缺水肥或水肥过量引起的苗木生长衰弱和死亡现象。</w:t>
            </w:r>
          </w:p>
          <w:p w14:paraId="30DEDEAD">
            <w:pPr>
              <w:pStyle w:val="29"/>
              <w:spacing w:before="65" w:line="202" w:lineRule="auto"/>
              <w:ind w:left="161"/>
              <w:jc w:val="both"/>
              <w:rPr>
                <w:color w:val="000000" w:themeColor="text1"/>
                <w14:textFill>
                  <w14:solidFill>
                    <w14:schemeClr w14:val="tx1"/>
                  </w14:solidFill>
                </w14:textFill>
              </w:rPr>
            </w:pPr>
            <w:r>
              <w:rPr>
                <w:color w:val="000000" w:themeColor="text1"/>
                <w:spacing w:val="-1"/>
                <w14:textFill>
                  <w14:solidFill>
                    <w14:schemeClr w14:val="tx1"/>
                  </w14:solidFill>
                </w14:textFill>
              </w:rPr>
              <w:t>4、排水畅通，雨后基本无积水现象。</w:t>
            </w:r>
          </w:p>
        </w:tc>
      </w:tr>
      <w:tr w14:paraId="7F24E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7" w:hRule="atLeast"/>
          <w:jc w:val="center"/>
        </w:trPr>
        <w:tc>
          <w:tcPr>
            <w:tcW w:w="1307" w:type="dxa"/>
            <w:vAlign w:val="center"/>
          </w:tcPr>
          <w:p w14:paraId="39B95821">
            <w:pPr>
              <w:pStyle w:val="29"/>
              <w:spacing w:before="61"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树穴</w:t>
            </w:r>
          </w:p>
        </w:tc>
        <w:tc>
          <w:tcPr>
            <w:tcW w:w="8953" w:type="dxa"/>
            <w:vAlign w:val="center"/>
          </w:tcPr>
          <w:p w14:paraId="78A61BBB">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1、大小适宜，边线线条清晰、平整、流畅。</w:t>
            </w:r>
          </w:p>
          <w:p w14:paraId="1D59A90B">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2、树穴内无明显黄土裸露。</w:t>
            </w:r>
          </w:p>
          <w:p w14:paraId="196AAF4A">
            <w:pPr>
              <w:pStyle w:val="29"/>
              <w:spacing w:before="65" w:line="202" w:lineRule="auto"/>
              <w:ind w:left="161"/>
              <w:jc w:val="both"/>
              <w:rPr>
                <w:color w:val="000000" w:themeColor="text1"/>
                <w14:textFill>
                  <w14:solidFill>
                    <w14:schemeClr w14:val="tx1"/>
                  </w14:solidFill>
                </w14:textFill>
              </w:rPr>
            </w:pPr>
            <w:r>
              <w:rPr>
                <w:color w:val="000000" w:themeColor="text1"/>
                <w:spacing w:val="-1"/>
                <w14:textFill>
                  <w14:solidFill>
                    <w14:schemeClr w14:val="tx1"/>
                  </w14:solidFill>
                </w14:textFill>
              </w:rPr>
              <w:t>3、硬化地面树穴要进行必要的美化处理，树穴内种植地被植物和草坪的要覆盖充分、得当。</w:t>
            </w:r>
          </w:p>
        </w:tc>
      </w:tr>
      <w:tr w14:paraId="071A8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1307" w:type="dxa"/>
            <w:vAlign w:val="center"/>
          </w:tcPr>
          <w:p w14:paraId="7AE9F855">
            <w:pPr>
              <w:pStyle w:val="29"/>
              <w:spacing w:before="133" w:line="219" w:lineRule="auto"/>
              <w:jc w:val="center"/>
              <w:rPr>
                <w:color w:val="000000" w:themeColor="text1"/>
                <w14:textFill>
                  <w14:solidFill>
                    <w14:schemeClr w14:val="tx1"/>
                  </w14:solidFill>
                </w14:textFill>
              </w:rPr>
            </w:pPr>
            <w:r>
              <w:rPr>
                <w:color w:val="000000" w:themeColor="text1"/>
                <w:spacing w:val="-3"/>
                <w14:textFill>
                  <w14:solidFill>
                    <w14:schemeClr w14:val="tx1"/>
                  </w14:solidFill>
                </w14:textFill>
              </w:rPr>
              <w:t>松土</w:t>
            </w:r>
          </w:p>
          <w:p w14:paraId="51231329">
            <w:pPr>
              <w:pStyle w:val="29"/>
              <w:spacing w:before="44" w:line="219" w:lineRule="auto"/>
              <w:jc w:val="center"/>
              <w:rPr>
                <w:color w:val="000000" w:themeColor="text1"/>
                <w14:textFill>
                  <w14:solidFill>
                    <w14:schemeClr w14:val="tx1"/>
                  </w14:solidFill>
                </w14:textFill>
              </w:rPr>
            </w:pPr>
            <w:r>
              <w:rPr>
                <w:color w:val="000000" w:themeColor="text1"/>
                <w:spacing w:val="4"/>
                <w14:textFill>
                  <w14:solidFill>
                    <w14:schemeClr w14:val="tx1"/>
                  </w14:solidFill>
                </w14:textFill>
              </w:rPr>
              <w:t>除草</w:t>
            </w:r>
          </w:p>
        </w:tc>
        <w:tc>
          <w:tcPr>
            <w:tcW w:w="8953" w:type="dxa"/>
            <w:vAlign w:val="top"/>
          </w:tcPr>
          <w:p w14:paraId="1B675C73">
            <w:pPr>
              <w:pStyle w:val="29"/>
              <w:spacing w:before="263"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松土除草必须及时、有效，全年度松土除草次数不少于4次。</w:t>
            </w:r>
          </w:p>
        </w:tc>
      </w:tr>
      <w:tr w14:paraId="70335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1307" w:type="dxa"/>
            <w:vAlign w:val="top"/>
          </w:tcPr>
          <w:p w14:paraId="4CA1D918">
            <w:pPr>
              <w:pStyle w:val="29"/>
              <w:spacing w:before="285" w:line="220"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抹芽</w:t>
            </w:r>
          </w:p>
        </w:tc>
        <w:tc>
          <w:tcPr>
            <w:tcW w:w="8953" w:type="dxa"/>
            <w:vAlign w:val="top"/>
          </w:tcPr>
          <w:p w14:paraId="01782240">
            <w:pPr>
              <w:pStyle w:val="29"/>
              <w:spacing w:before="104" w:line="219" w:lineRule="auto"/>
              <w:ind w:left="161"/>
              <w:rPr>
                <w:color w:val="000000" w:themeColor="text1"/>
                <w14:textFill>
                  <w14:solidFill>
                    <w14:schemeClr w14:val="tx1"/>
                  </w14:solidFill>
                </w14:textFill>
              </w:rPr>
            </w:pPr>
            <w:r>
              <w:rPr>
                <w:color w:val="000000" w:themeColor="text1"/>
                <w14:textFill>
                  <w14:solidFill>
                    <w14:schemeClr w14:val="tx1"/>
                  </w14:solidFill>
                </w14:textFill>
              </w:rPr>
              <w:t>1、萌芽长度大于50cm必须及时抹芽，全年抹芽次数不少于2次</w:t>
            </w:r>
          </w:p>
          <w:p w14:paraId="6CFE86E4">
            <w:pPr>
              <w:pStyle w:val="29"/>
              <w:spacing w:before="93" w:line="181" w:lineRule="auto"/>
              <w:ind w:left="161"/>
              <w:rPr>
                <w:color w:val="000000" w:themeColor="text1"/>
                <w14:textFill>
                  <w14:solidFill>
                    <w14:schemeClr w14:val="tx1"/>
                  </w14:solidFill>
                </w14:textFill>
              </w:rPr>
            </w:pPr>
            <w:r>
              <w:rPr>
                <w:color w:val="000000" w:themeColor="text1"/>
                <w14:textFill>
                  <w14:solidFill>
                    <w14:schemeClr w14:val="tx1"/>
                  </w14:solidFill>
                </w14:textFill>
              </w:rPr>
              <w:t>2、抹芽后的创口平滑，有必要的要采取技术手段进行处理。</w:t>
            </w:r>
          </w:p>
        </w:tc>
      </w:tr>
      <w:tr w14:paraId="5D820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5" w:hRule="atLeast"/>
          <w:jc w:val="center"/>
        </w:trPr>
        <w:tc>
          <w:tcPr>
            <w:tcW w:w="1307" w:type="dxa"/>
            <w:vAlign w:val="center"/>
          </w:tcPr>
          <w:p w14:paraId="104793ED">
            <w:pPr>
              <w:pStyle w:val="29"/>
              <w:spacing w:before="62" w:line="220" w:lineRule="auto"/>
              <w:jc w:val="center"/>
              <w:rPr>
                <w:color w:val="000000" w:themeColor="text1"/>
                <w14:textFill>
                  <w14:solidFill>
                    <w14:schemeClr w14:val="tx1"/>
                  </w14:solidFill>
                </w14:textFill>
              </w:rPr>
            </w:pPr>
            <w:r>
              <w:rPr>
                <w:color w:val="000000" w:themeColor="text1"/>
                <w:spacing w:val="-3"/>
                <w14:textFill>
                  <w14:solidFill>
                    <w14:schemeClr w14:val="tx1"/>
                  </w14:solidFill>
                </w14:textFill>
              </w:rPr>
              <w:t>病虫害防治</w:t>
            </w:r>
          </w:p>
        </w:tc>
        <w:tc>
          <w:tcPr>
            <w:tcW w:w="8953" w:type="dxa"/>
            <w:vAlign w:val="center"/>
          </w:tcPr>
          <w:p w14:paraId="7CC4C23D">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1、有较为完善的病虫害防治预案和防治措施，药械工具完备，全年防治次数不少于3次。</w:t>
            </w:r>
          </w:p>
          <w:p w14:paraId="558467C7">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2、病虫害防治及时，用药合理、配比得当，防治效果明显，无大规模明显病虫害发生。</w:t>
            </w:r>
          </w:p>
          <w:p w14:paraId="1F555970">
            <w:pPr>
              <w:pStyle w:val="29"/>
              <w:spacing w:before="65" w:line="202" w:lineRule="auto"/>
              <w:ind w:left="161"/>
              <w:jc w:val="both"/>
              <w:rPr>
                <w:color w:val="000000" w:themeColor="text1"/>
                <w14:textFill>
                  <w14:solidFill>
                    <w14:schemeClr w14:val="tx1"/>
                  </w14:solidFill>
                </w14:textFill>
              </w:rPr>
            </w:pPr>
            <w:r>
              <w:rPr>
                <w:color w:val="000000" w:themeColor="text1"/>
                <w:spacing w:val="-1"/>
                <w14:textFill>
                  <w14:solidFill>
                    <w14:schemeClr w14:val="tx1"/>
                  </w14:solidFill>
                </w14:textFill>
              </w:rPr>
              <w:t>3、病虫害生物防治率达到80%以上，非落叶期树木叶片保存率在95%以上，蛀干害虫危害率低于5%。</w:t>
            </w:r>
          </w:p>
        </w:tc>
      </w:tr>
      <w:tr w14:paraId="37677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jc w:val="center"/>
        </w:trPr>
        <w:tc>
          <w:tcPr>
            <w:tcW w:w="1307" w:type="dxa"/>
            <w:vAlign w:val="top"/>
          </w:tcPr>
          <w:p w14:paraId="0F7BB7AF">
            <w:pPr>
              <w:spacing w:line="250" w:lineRule="auto"/>
              <w:jc w:val="center"/>
              <w:rPr>
                <w:rFonts w:ascii="Arial"/>
                <w:color w:val="000000" w:themeColor="text1"/>
                <w:sz w:val="21"/>
                <w14:textFill>
                  <w14:solidFill>
                    <w14:schemeClr w14:val="tx1"/>
                  </w14:solidFill>
                </w14:textFill>
              </w:rPr>
            </w:pPr>
          </w:p>
          <w:p w14:paraId="7FDDEC5B">
            <w:pPr>
              <w:spacing w:line="250" w:lineRule="auto"/>
              <w:jc w:val="center"/>
              <w:rPr>
                <w:rFonts w:ascii="Arial"/>
                <w:color w:val="000000" w:themeColor="text1"/>
                <w:sz w:val="21"/>
                <w14:textFill>
                  <w14:solidFill>
                    <w14:schemeClr w14:val="tx1"/>
                  </w14:solidFill>
                </w14:textFill>
              </w:rPr>
            </w:pPr>
          </w:p>
          <w:p w14:paraId="4536B118">
            <w:pPr>
              <w:pStyle w:val="29"/>
              <w:spacing w:before="62" w:line="303" w:lineRule="auto"/>
              <w:ind w:left="374" w:right="157" w:hanging="189"/>
              <w:jc w:val="center"/>
              <w:rPr>
                <w:color w:val="000000" w:themeColor="text1"/>
                <w14:textFill>
                  <w14:solidFill>
                    <w14:schemeClr w14:val="tx1"/>
                  </w14:solidFill>
                </w14:textFill>
              </w:rPr>
            </w:pPr>
            <w:r>
              <w:rPr>
                <w:color w:val="000000" w:themeColor="text1"/>
                <w:spacing w:val="10"/>
                <w14:textFill>
                  <w14:solidFill>
                    <w14:schemeClr w14:val="tx1"/>
                  </w14:solidFill>
                </w14:textFill>
              </w:rPr>
              <w:t>栽(补)</w:t>
            </w:r>
            <w:r>
              <w:rPr>
                <w:color w:val="000000" w:themeColor="text1"/>
                <w14:textFill>
                  <w14:solidFill>
                    <w14:schemeClr w14:val="tx1"/>
                  </w14:solidFill>
                </w14:textFill>
              </w:rPr>
              <w:t xml:space="preserve"> 植</w:t>
            </w:r>
          </w:p>
        </w:tc>
        <w:tc>
          <w:tcPr>
            <w:tcW w:w="8953" w:type="dxa"/>
            <w:vAlign w:val="center"/>
          </w:tcPr>
          <w:p w14:paraId="1A562DC9">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1、苗木树干笔直，树形美观，树干大小和高低要匀称。</w:t>
            </w:r>
          </w:p>
          <w:p w14:paraId="0E52ACB5">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2、易成活树种成活率要求达到100%,不易成活树种成活率不低于95%。</w:t>
            </w:r>
          </w:p>
          <w:p w14:paraId="2A6C999A">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3、常绿及不易成活树种必须带土球栽植，</w:t>
            </w:r>
            <w:r>
              <w:rPr>
                <w:rFonts w:hint="eastAsia"/>
                <w:color w:val="000000" w:themeColor="text1"/>
                <w:spacing w:val="-1"/>
                <w:lang w:eastAsia="zh-CN"/>
                <w14:textFill>
                  <w14:solidFill>
                    <w14:schemeClr w14:val="tx1"/>
                  </w14:solidFill>
                </w14:textFill>
              </w:rPr>
              <w:t>土球</w:t>
            </w:r>
            <w:r>
              <w:rPr>
                <w:color w:val="000000" w:themeColor="text1"/>
                <w:spacing w:val="-1"/>
                <w14:textFill>
                  <w14:solidFill>
                    <w14:schemeClr w14:val="tx1"/>
                  </w14:solidFill>
                </w14:textFill>
              </w:rPr>
              <w:t>直径不小于树干直径的8</w:t>
            </w:r>
            <w:r>
              <w:rPr>
                <w:rFonts w:hint="eastAsia"/>
                <w:color w:val="000000" w:themeColor="text1"/>
                <w:spacing w:val="-1"/>
                <w:lang w:val="en-US" w:eastAsia="zh-CN"/>
                <w14:textFill>
                  <w14:solidFill>
                    <w14:schemeClr w14:val="tx1"/>
                  </w14:solidFill>
                </w14:textFill>
              </w:rPr>
              <w:t>-</w:t>
            </w:r>
            <w:r>
              <w:rPr>
                <w:color w:val="000000" w:themeColor="text1"/>
                <w:spacing w:val="-1"/>
                <w14:textFill>
                  <w14:solidFill>
                    <w14:schemeClr w14:val="tx1"/>
                  </w14:solidFill>
                </w14:textFill>
              </w:rPr>
              <w:t>10倍，且须根保留完好。</w:t>
            </w:r>
          </w:p>
          <w:p w14:paraId="26207DF9">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4、树穴直径须大于土球直径50cm以上，封土深度以盖住土球上部3-5cm左右为宜。</w:t>
            </w:r>
          </w:p>
          <w:p w14:paraId="36B78AAE">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5、苗木栽植前的起挖、包装运输规范；栽植后的支撑、修剪、浇水等严格按照规范操作。</w:t>
            </w:r>
          </w:p>
        </w:tc>
      </w:tr>
      <w:tr w14:paraId="21355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5" w:hRule="atLeast"/>
          <w:jc w:val="center"/>
        </w:trPr>
        <w:tc>
          <w:tcPr>
            <w:tcW w:w="1307" w:type="dxa"/>
            <w:vAlign w:val="top"/>
          </w:tcPr>
          <w:p w14:paraId="7A247E46">
            <w:pPr>
              <w:spacing w:line="423" w:lineRule="auto"/>
              <w:jc w:val="center"/>
              <w:rPr>
                <w:rFonts w:ascii="Arial"/>
                <w:color w:val="000000" w:themeColor="text1"/>
                <w:sz w:val="21"/>
                <w14:textFill>
                  <w14:solidFill>
                    <w14:schemeClr w14:val="tx1"/>
                  </w14:solidFill>
                </w14:textFill>
              </w:rPr>
            </w:pPr>
          </w:p>
          <w:p w14:paraId="1F593AD0">
            <w:pPr>
              <w:pStyle w:val="29"/>
              <w:spacing w:before="61" w:line="220" w:lineRule="auto"/>
              <w:jc w:val="center"/>
              <w:rPr>
                <w:color w:val="000000" w:themeColor="text1"/>
                <w14:textFill>
                  <w14:solidFill>
                    <w14:schemeClr w14:val="tx1"/>
                  </w14:solidFill>
                </w14:textFill>
              </w:rPr>
            </w:pPr>
            <w:r>
              <w:rPr>
                <w:color w:val="000000" w:themeColor="text1"/>
                <w:spacing w:val="7"/>
                <w14:textFill>
                  <w14:solidFill>
                    <w14:schemeClr w14:val="tx1"/>
                  </w14:solidFill>
                </w14:textFill>
              </w:rPr>
              <w:t>保护</w:t>
            </w:r>
          </w:p>
        </w:tc>
        <w:tc>
          <w:tcPr>
            <w:tcW w:w="8953" w:type="dxa"/>
            <w:vAlign w:val="center"/>
          </w:tcPr>
          <w:p w14:paraId="6E0098B7">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1、新栽树木支撑必须坚固、耐用和美观。</w:t>
            </w:r>
          </w:p>
          <w:p w14:paraId="631BF182">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2、地径大于6公分树木，秋冬季必须进行树干涂白处理，以杀虫灭菌和保温防冻。乔木透白高度 1.2米，分枝低的到分枝处，用红漆封顶。</w:t>
            </w:r>
          </w:p>
          <w:p w14:paraId="418A2CB9">
            <w:pPr>
              <w:pStyle w:val="29"/>
              <w:spacing w:before="65" w:line="202" w:lineRule="auto"/>
              <w:ind w:left="161"/>
              <w:jc w:val="both"/>
              <w:rPr>
                <w:color w:val="000000" w:themeColor="text1"/>
                <w:spacing w:val="-1"/>
                <w14:textFill>
                  <w14:solidFill>
                    <w14:schemeClr w14:val="tx1"/>
                  </w14:solidFill>
                </w14:textFill>
              </w:rPr>
            </w:pPr>
            <w:r>
              <w:rPr>
                <w:color w:val="000000" w:themeColor="text1"/>
                <w:spacing w:val="-1"/>
                <w14:textFill>
                  <w14:solidFill>
                    <w14:schemeClr w14:val="tx1"/>
                  </w14:solidFill>
                </w14:textFill>
              </w:rPr>
              <w:t>3、不耐寒的树种，越冬前要对树木树干和主枝进行防寒保暖处理，如包扎草绳、保温棉等。</w:t>
            </w:r>
          </w:p>
        </w:tc>
      </w:tr>
      <w:tr w14:paraId="2116F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1307" w:type="dxa"/>
            <w:vAlign w:val="center"/>
          </w:tcPr>
          <w:p w14:paraId="567E52FC">
            <w:pPr>
              <w:pStyle w:val="29"/>
              <w:spacing w:before="62" w:line="220"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卫生保洁</w:t>
            </w:r>
          </w:p>
        </w:tc>
        <w:tc>
          <w:tcPr>
            <w:tcW w:w="8953" w:type="dxa"/>
            <w:vAlign w:val="center"/>
          </w:tcPr>
          <w:p w14:paraId="71D59ED5">
            <w:pPr>
              <w:pStyle w:val="29"/>
              <w:spacing w:before="61" w:line="219" w:lineRule="auto"/>
              <w:ind w:firstLine="210" w:firstLineChars="100"/>
              <w:jc w:val="both"/>
              <w:rPr>
                <w:color w:val="000000" w:themeColor="text1"/>
                <w14:textFill>
                  <w14:solidFill>
                    <w14:schemeClr w14:val="tx1"/>
                  </w14:solidFill>
                </w14:textFill>
              </w:rPr>
            </w:pPr>
            <w:r>
              <w:rPr>
                <w:color w:val="000000" w:themeColor="text1"/>
                <w14:textFill>
                  <w14:solidFill>
                    <w14:schemeClr w14:val="tx1"/>
                  </w14:solidFill>
                </w14:textFill>
              </w:rPr>
              <w:t>1、枝干上、树冠下、树穴内无悬挂物、生活垃圾、砖石瓦砾、干枯枝叶和其他废弃</w:t>
            </w:r>
            <w:r>
              <w:rPr>
                <w:color w:val="000000" w:themeColor="text1"/>
                <w:spacing w:val="-1"/>
                <w14:textFill>
                  <w14:solidFill>
                    <w14:schemeClr w14:val="tx1"/>
                  </w14:solidFill>
                </w14:textFill>
              </w:rPr>
              <w:t>物。</w:t>
            </w:r>
          </w:p>
          <w:p w14:paraId="556F26CC">
            <w:pPr>
              <w:pStyle w:val="29"/>
              <w:spacing w:before="75" w:line="219" w:lineRule="auto"/>
              <w:ind w:firstLine="210" w:firstLineChars="100"/>
              <w:jc w:val="both"/>
              <w:rPr>
                <w:color w:val="000000" w:themeColor="text1"/>
                <w14:textFill>
                  <w14:solidFill>
                    <w14:schemeClr w14:val="tx1"/>
                  </w14:solidFill>
                </w14:textFill>
              </w:rPr>
            </w:pPr>
            <w:r>
              <w:rPr>
                <w:color w:val="000000" w:themeColor="text1"/>
                <w14:textFill>
                  <w14:solidFill>
                    <w14:schemeClr w14:val="tx1"/>
                  </w14:solidFill>
                </w14:textFill>
              </w:rPr>
              <w:t>2、对作业废弃物(如修剪产生的树枝、树叶等)重点地区随产随清，其它地区日产日清。</w:t>
            </w:r>
          </w:p>
        </w:tc>
      </w:tr>
    </w:tbl>
    <w:p w14:paraId="4C78505E">
      <w:pPr>
        <w:rPr>
          <w:rFonts w:ascii="Arial" w:hAnsi="Arial" w:eastAsia="Arial" w:cs="Arial"/>
          <w:sz w:val="21"/>
          <w:szCs w:val="21"/>
        </w:rPr>
        <w:sectPr>
          <w:pgSz w:w="11910" w:h="16840"/>
          <w:pgMar w:top="1431" w:right="1417" w:bottom="1429" w:left="1417" w:header="0" w:footer="850" w:gutter="0"/>
          <w:cols w:space="720" w:num="1"/>
        </w:sectPr>
      </w:pPr>
    </w:p>
    <w:p w14:paraId="1670D9B8">
      <w:pPr>
        <w:spacing w:before="98" w:line="219" w:lineRule="auto"/>
        <w:jc w:val="center"/>
        <w:rPr>
          <w:rFonts w:ascii="宋体" w:hAnsi="宋体" w:eastAsia="宋体" w:cs="宋体"/>
          <w:sz w:val="30"/>
          <w:szCs w:val="30"/>
        </w:rPr>
      </w:pPr>
      <w:r>
        <w:drawing>
          <wp:anchor distT="0" distB="0" distL="0" distR="0" simplePos="0" relativeHeight="251662336" behindDoc="1" locked="0" layoutInCell="1" allowOverlap="1">
            <wp:simplePos x="0" y="0"/>
            <wp:positionH relativeFrom="column">
              <wp:posOffset>0</wp:posOffset>
            </wp:positionH>
            <wp:positionV relativeFrom="paragraph">
              <wp:posOffset>6958965</wp:posOffset>
            </wp:positionV>
            <wp:extent cx="127000" cy="1315085"/>
            <wp:effectExtent l="0" t="0" r="6350" b="18415"/>
            <wp:wrapNone/>
            <wp:docPr id="14" name="IM 2"/>
            <wp:cNvGraphicFramePr/>
            <a:graphic xmlns:a="http://schemas.openxmlformats.org/drawingml/2006/main">
              <a:graphicData uri="http://schemas.openxmlformats.org/drawingml/2006/picture">
                <pic:pic xmlns:pic="http://schemas.openxmlformats.org/drawingml/2006/picture">
                  <pic:nvPicPr>
                    <pic:cNvPr id="14" name="IM 2"/>
                    <pic:cNvPicPr/>
                  </pic:nvPicPr>
                  <pic:blipFill>
                    <a:blip r:embed="rId16"/>
                    <a:stretch>
                      <a:fillRect/>
                    </a:stretch>
                  </pic:blipFill>
                  <pic:spPr>
                    <a:xfrm>
                      <a:off x="0" y="0"/>
                      <a:ext cx="126992" cy="1315368"/>
                    </a:xfrm>
                    <a:prstGeom prst="rect">
                      <a:avLst/>
                    </a:prstGeom>
                  </pic:spPr>
                </pic:pic>
              </a:graphicData>
            </a:graphic>
          </wp:anchor>
        </w:drawing>
      </w:r>
      <w:r>
        <w:rPr>
          <w:rFonts w:ascii="宋体" w:hAnsi="宋体" w:eastAsia="宋体" w:cs="宋体"/>
          <w:b/>
          <w:bCs/>
          <w:spacing w:val="-18"/>
          <w:sz w:val="30"/>
          <w:szCs w:val="30"/>
        </w:rPr>
        <w:t>卢氏县园林绿化养护标准——行道树养护标准</w:t>
      </w:r>
    </w:p>
    <w:tbl>
      <w:tblPr>
        <w:tblStyle w:val="30"/>
        <w:tblW w:w="111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8"/>
        <w:gridCol w:w="10041"/>
      </w:tblGrid>
      <w:tr w14:paraId="32AF5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5BB84E6F">
            <w:pPr>
              <w:pStyle w:val="29"/>
              <w:spacing w:before="73" w:line="220" w:lineRule="auto"/>
              <w:jc w:val="center"/>
              <w:rPr>
                <w:color w:val="000000" w:themeColor="text1"/>
                <w14:textFill>
                  <w14:solidFill>
                    <w14:schemeClr w14:val="tx1"/>
                  </w14:solidFill>
                </w14:textFill>
              </w:rPr>
            </w:pPr>
            <w:r>
              <w:rPr>
                <w:color w:val="000000" w:themeColor="text1"/>
                <w:spacing w:val="-6"/>
                <w14:textFill>
                  <w14:solidFill>
                    <w14:schemeClr w14:val="tx1"/>
                  </w14:solidFill>
                </w14:textFill>
              </w:rPr>
              <w:t>项目</w:t>
            </w:r>
          </w:p>
        </w:tc>
        <w:tc>
          <w:tcPr>
            <w:tcW w:w="10041" w:type="dxa"/>
            <w:vAlign w:val="top"/>
          </w:tcPr>
          <w:p w14:paraId="63FEA5C3">
            <w:pPr>
              <w:pStyle w:val="29"/>
              <w:spacing w:before="72" w:line="219" w:lineRule="auto"/>
              <w:ind w:left="3251"/>
              <w:rPr>
                <w:color w:val="000000" w:themeColor="text1"/>
                <w14:textFill>
                  <w14:solidFill>
                    <w14:schemeClr w14:val="tx1"/>
                  </w14:solidFill>
                </w14:textFill>
              </w:rPr>
            </w:pPr>
            <w:r>
              <w:rPr>
                <w:color w:val="000000" w:themeColor="text1"/>
                <w:spacing w:val="-2"/>
                <w14:textFill>
                  <w14:solidFill>
                    <w14:schemeClr w14:val="tx1"/>
                  </w14:solidFill>
                </w14:textFill>
              </w:rPr>
              <w:t>养护标准</w:t>
            </w:r>
          </w:p>
        </w:tc>
      </w:tr>
      <w:tr w14:paraId="74848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7872A936">
            <w:pPr>
              <w:pStyle w:val="29"/>
              <w:spacing w:before="227" w:line="219" w:lineRule="auto"/>
              <w:jc w:val="center"/>
              <w:rPr>
                <w:color w:val="000000" w:themeColor="text1"/>
                <w14:textFill>
                  <w14:solidFill>
                    <w14:schemeClr w14:val="tx1"/>
                  </w14:solidFill>
                </w14:textFill>
              </w:rPr>
            </w:pPr>
            <w:r>
              <w:rPr>
                <w:color w:val="000000" w:themeColor="text1"/>
                <w:spacing w:val="4"/>
                <w14:textFill>
                  <w14:solidFill>
                    <w14:schemeClr w14:val="tx1"/>
                  </w14:solidFill>
                </w14:textFill>
              </w:rPr>
              <w:t>景观</w:t>
            </w:r>
          </w:p>
        </w:tc>
        <w:tc>
          <w:tcPr>
            <w:tcW w:w="10041" w:type="dxa"/>
            <w:vAlign w:val="top"/>
          </w:tcPr>
          <w:p w14:paraId="7BD1225D">
            <w:pPr>
              <w:pStyle w:val="29"/>
              <w:spacing w:before="107" w:line="219" w:lineRule="auto"/>
              <w:ind w:left="181"/>
              <w:rPr>
                <w:color w:val="000000" w:themeColor="text1"/>
                <w14:textFill>
                  <w14:solidFill>
                    <w14:schemeClr w14:val="tx1"/>
                  </w14:solidFill>
                </w14:textFill>
              </w:rPr>
            </w:pPr>
            <w:r>
              <w:rPr>
                <w:color w:val="000000" w:themeColor="text1"/>
                <w:spacing w:val="2"/>
                <w14:textFill>
                  <w14:solidFill>
                    <w14:schemeClr w14:val="tx1"/>
                  </w14:solidFill>
                </w14:textFill>
              </w:rPr>
              <w:t>1、无缺株、死株(死株率在1%以下)</w:t>
            </w:r>
          </w:p>
          <w:p w14:paraId="7CDBB663">
            <w:pPr>
              <w:pStyle w:val="29"/>
              <w:spacing w:before="6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2、群体及植株树冠完整、美观，生长旺盛，有较好的遮阴和生态效应。</w:t>
            </w:r>
          </w:p>
        </w:tc>
      </w:tr>
      <w:tr w14:paraId="594BA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65A8D812">
            <w:pPr>
              <w:spacing w:line="456" w:lineRule="auto"/>
              <w:jc w:val="center"/>
              <w:rPr>
                <w:rFonts w:ascii="Arial"/>
                <w:color w:val="000000" w:themeColor="text1"/>
                <w:sz w:val="21"/>
                <w14:textFill>
                  <w14:solidFill>
                    <w14:schemeClr w14:val="tx1"/>
                  </w14:solidFill>
                </w14:textFill>
              </w:rPr>
            </w:pPr>
          </w:p>
          <w:p w14:paraId="4582C3ED">
            <w:pPr>
              <w:pStyle w:val="29"/>
              <w:spacing w:before="62" w:line="223" w:lineRule="auto"/>
              <w:jc w:val="center"/>
              <w:rPr>
                <w:color w:val="000000" w:themeColor="text1"/>
                <w14:textFill>
                  <w14:solidFill>
                    <w14:schemeClr w14:val="tx1"/>
                  </w14:solidFill>
                </w14:textFill>
              </w:rPr>
            </w:pPr>
            <w:r>
              <w:rPr>
                <w:color w:val="000000" w:themeColor="text1"/>
                <w:spacing w:val="-3"/>
                <w14:textFill>
                  <w14:solidFill>
                    <w14:schemeClr w14:val="tx1"/>
                  </w14:solidFill>
                </w14:textFill>
              </w:rPr>
              <w:t>生长</w:t>
            </w:r>
          </w:p>
        </w:tc>
        <w:tc>
          <w:tcPr>
            <w:tcW w:w="10041" w:type="dxa"/>
            <w:vAlign w:val="top"/>
          </w:tcPr>
          <w:p w14:paraId="0D80DC23">
            <w:pPr>
              <w:pStyle w:val="29"/>
              <w:spacing w:before="107"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1、苗木生长势良好，枝繁叶茂，无明显枯死枝、断枝和生长不良枝。</w:t>
            </w:r>
          </w:p>
          <w:p w14:paraId="7E9175C7">
            <w:pPr>
              <w:pStyle w:val="29"/>
              <w:spacing w:before="84" w:line="219" w:lineRule="auto"/>
              <w:ind w:left="181"/>
              <w:rPr>
                <w:color w:val="000000" w:themeColor="text1"/>
                <w14:textFill>
                  <w14:solidFill>
                    <w14:schemeClr w14:val="tx1"/>
                  </w14:solidFill>
                </w14:textFill>
              </w:rPr>
            </w:pPr>
            <w:r>
              <w:rPr>
                <w:color w:val="000000" w:themeColor="text1"/>
                <w:spacing w:val="-4"/>
                <w14:textFill>
                  <w14:solidFill>
                    <w14:schemeClr w14:val="tx1"/>
                  </w14:solidFill>
                </w14:textFill>
              </w:rPr>
              <w:t>2、叶色正常，有光泽</w:t>
            </w:r>
            <w:r>
              <w:rPr>
                <w:color w:val="000000" w:themeColor="text1"/>
                <w:spacing w:val="-49"/>
                <w14:textFill>
                  <w14:solidFill>
                    <w14:schemeClr w14:val="tx1"/>
                  </w14:solidFill>
                </w14:textFill>
              </w:rPr>
              <w:t xml:space="preserve"> </w:t>
            </w:r>
            <w:r>
              <w:rPr>
                <w:color w:val="000000" w:themeColor="text1"/>
                <w:spacing w:val="-4"/>
                <w14:textFill>
                  <w14:solidFill>
                    <w14:schemeClr w14:val="tx1"/>
                  </w14:solidFill>
                </w14:textFill>
              </w:rPr>
              <w:t>，无黄叶、枯叶、焦叶和明显病虫害侵害特征，单株侵害率低于5%。</w:t>
            </w:r>
          </w:p>
          <w:p w14:paraId="08CCBA74">
            <w:pPr>
              <w:pStyle w:val="29"/>
              <w:spacing w:before="7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3、分枝点合适，主侧枝分布均匀、数量适宜，内部通风透光良</w:t>
            </w:r>
            <w:r>
              <w:rPr>
                <w:color w:val="000000" w:themeColor="text1"/>
                <w:spacing w:val="-1"/>
                <w14:textFill>
                  <w14:solidFill>
                    <w14:schemeClr w14:val="tx1"/>
                  </w14:solidFill>
                </w14:textFill>
              </w:rPr>
              <w:t>好。</w:t>
            </w:r>
          </w:p>
          <w:p w14:paraId="4C1E8286">
            <w:pPr>
              <w:pStyle w:val="29"/>
              <w:spacing w:before="84" w:line="187" w:lineRule="auto"/>
              <w:ind w:left="181"/>
              <w:rPr>
                <w:color w:val="000000" w:themeColor="text1"/>
                <w14:textFill>
                  <w14:solidFill>
                    <w14:schemeClr w14:val="tx1"/>
                  </w14:solidFill>
                </w14:textFill>
              </w:rPr>
            </w:pPr>
            <w:r>
              <w:rPr>
                <w:color w:val="000000" w:themeColor="text1"/>
                <w:spacing w:val="-7"/>
                <w14:textFill>
                  <w14:solidFill>
                    <w14:schemeClr w14:val="tx1"/>
                  </w14:solidFill>
                </w14:textFill>
              </w:rPr>
              <w:t>4、树木生长端正，无倒伏现象。</w:t>
            </w:r>
          </w:p>
        </w:tc>
      </w:tr>
      <w:tr w14:paraId="6DCED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594EFC2E">
            <w:pPr>
              <w:pStyle w:val="29"/>
              <w:spacing w:before="218"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树冠</w:t>
            </w:r>
          </w:p>
        </w:tc>
        <w:tc>
          <w:tcPr>
            <w:tcW w:w="10041" w:type="dxa"/>
            <w:vAlign w:val="top"/>
          </w:tcPr>
          <w:p w14:paraId="63675D38">
            <w:pPr>
              <w:pStyle w:val="29"/>
              <w:spacing w:before="107"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1、全路段行道树树冠完整统一、规格大小基本一致。</w:t>
            </w:r>
          </w:p>
          <w:p w14:paraId="1D1757E3">
            <w:pPr>
              <w:pStyle w:val="29"/>
              <w:spacing w:before="64" w:line="205" w:lineRule="auto"/>
              <w:ind w:left="181"/>
              <w:rPr>
                <w:color w:val="000000" w:themeColor="text1"/>
                <w14:textFill>
                  <w14:solidFill>
                    <w14:schemeClr w14:val="tx1"/>
                  </w14:solidFill>
                </w14:textFill>
              </w:rPr>
            </w:pPr>
            <w:r>
              <w:rPr>
                <w:color w:val="000000" w:themeColor="text1"/>
                <w14:textFill>
                  <w14:solidFill>
                    <w14:schemeClr w14:val="tx1"/>
                  </w14:solidFill>
                </w14:textFill>
              </w:rPr>
              <w:t>2、与周围环境相协调，较好的解决树木与电线、建筑物、交通、公共设施等之间的矛盾。</w:t>
            </w:r>
          </w:p>
        </w:tc>
      </w:tr>
      <w:tr w14:paraId="40D3D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481A08C3">
            <w:pPr>
              <w:pStyle w:val="29"/>
              <w:spacing w:before="238" w:line="219" w:lineRule="auto"/>
              <w:jc w:val="center"/>
              <w:rPr>
                <w:color w:val="000000" w:themeColor="text1"/>
                <w14:textFill>
                  <w14:solidFill>
                    <w14:schemeClr w14:val="tx1"/>
                  </w14:solidFill>
                </w14:textFill>
              </w:rPr>
            </w:pPr>
            <w:r>
              <w:rPr>
                <w:color w:val="000000" w:themeColor="text1"/>
                <w:spacing w:val="-4"/>
                <w14:textFill>
                  <w14:solidFill>
                    <w14:schemeClr w14:val="tx1"/>
                  </w14:solidFill>
                </w14:textFill>
              </w:rPr>
              <w:t>主干</w:t>
            </w:r>
          </w:p>
        </w:tc>
        <w:tc>
          <w:tcPr>
            <w:tcW w:w="10041" w:type="dxa"/>
            <w:vAlign w:val="top"/>
          </w:tcPr>
          <w:p w14:paraId="12105772">
            <w:pPr>
              <w:pStyle w:val="29"/>
              <w:spacing w:before="108"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1、主干挺直、分枝布度一致(胸径大于45cm的大树除外)。</w:t>
            </w:r>
          </w:p>
          <w:p w14:paraId="0035EBA5">
            <w:pPr>
              <w:pStyle w:val="29"/>
              <w:spacing w:before="24" w:line="219"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2、主干上无萌生芽条。</w:t>
            </w:r>
          </w:p>
        </w:tc>
      </w:tr>
      <w:tr w14:paraId="22885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3E31500A">
            <w:pPr>
              <w:pStyle w:val="29"/>
              <w:spacing w:before="80" w:line="219" w:lineRule="auto"/>
              <w:jc w:val="center"/>
              <w:rPr>
                <w:color w:val="000000" w:themeColor="text1"/>
                <w14:textFill>
                  <w14:solidFill>
                    <w14:schemeClr w14:val="tx1"/>
                  </w14:solidFill>
                </w14:textFill>
              </w:rPr>
            </w:pPr>
            <w:r>
              <w:rPr>
                <w:color w:val="000000" w:themeColor="text1"/>
                <w:spacing w:val="6"/>
                <w14:textFill>
                  <w14:solidFill>
                    <w14:schemeClr w14:val="tx1"/>
                  </w14:solidFill>
                </w14:textFill>
              </w:rPr>
              <w:t>树洞</w:t>
            </w:r>
          </w:p>
        </w:tc>
        <w:tc>
          <w:tcPr>
            <w:tcW w:w="10041" w:type="dxa"/>
            <w:vAlign w:val="top"/>
          </w:tcPr>
          <w:p w14:paraId="1301F42B">
            <w:pPr>
              <w:pStyle w:val="29"/>
              <w:spacing w:before="80"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无未补树洞。</w:t>
            </w:r>
          </w:p>
        </w:tc>
      </w:tr>
      <w:tr w14:paraId="60FDB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163B0D1E">
            <w:pPr>
              <w:spacing w:line="292" w:lineRule="auto"/>
              <w:jc w:val="center"/>
              <w:rPr>
                <w:rFonts w:ascii="Arial"/>
                <w:color w:val="000000" w:themeColor="text1"/>
                <w:sz w:val="21"/>
                <w14:textFill>
                  <w14:solidFill>
                    <w14:schemeClr w14:val="tx1"/>
                  </w14:solidFill>
                </w14:textFill>
              </w:rPr>
            </w:pPr>
          </w:p>
          <w:p w14:paraId="24D67011">
            <w:pPr>
              <w:spacing w:line="293" w:lineRule="auto"/>
              <w:jc w:val="center"/>
              <w:rPr>
                <w:rFonts w:ascii="Arial"/>
                <w:color w:val="000000" w:themeColor="text1"/>
                <w:sz w:val="21"/>
                <w14:textFill>
                  <w14:solidFill>
                    <w14:schemeClr w14:val="tx1"/>
                  </w14:solidFill>
                </w14:textFill>
              </w:rPr>
            </w:pPr>
          </w:p>
          <w:p w14:paraId="45555A42">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修剪</w:t>
            </w:r>
          </w:p>
        </w:tc>
        <w:tc>
          <w:tcPr>
            <w:tcW w:w="10041" w:type="dxa"/>
            <w:vAlign w:val="center"/>
          </w:tcPr>
          <w:p w14:paraId="36BDE833">
            <w:pPr>
              <w:pStyle w:val="29"/>
              <w:spacing w:before="112"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1、每年修剪不少于1次，修剪适时适度。</w:t>
            </w:r>
          </w:p>
          <w:p w14:paraId="22FE697A">
            <w:pPr>
              <w:pStyle w:val="29"/>
              <w:spacing w:before="112"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2、冠形优美，内堂通透，主侧枝分布匀称，修剪强度适宜，疏密得当。</w:t>
            </w:r>
          </w:p>
          <w:p w14:paraId="1EC0A6E1">
            <w:pPr>
              <w:pStyle w:val="29"/>
              <w:spacing w:before="112"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3、枯死枝、内堂乱枝、交义枝、下垂枝、衰弱枝、劈裂枝、病虫枝等影响树形美观的枝条修除率95%以上。</w:t>
            </w:r>
          </w:p>
          <w:p w14:paraId="151072A8">
            <w:pPr>
              <w:pStyle w:val="29"/>
              <w:spacing w:before="112"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4、修剪工具齐全，操作技术标准，剪口、锯口平滑，涂敷保护得当。</w:t>
            </w:r>
          </w:p>
        </w:tc>
      </w:tr>
      <w:tr w14:paraId="3FC86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08879694">
            <w:pPr>
              <w:spacing w:line="475" w:lineRule="auto"/>
              <w:jc w:val="center"/>
              <w:rPr>
                <w:rFonts w:ascii="Arial"/>
                <w:color w:val="000000" w:themeColor="text1"/>
                <w:sz w:val="21"/>
                <w14:textFill>
                  <w14:solidFill>
                    <w14:schemeClr w14:val="tx1"/>
                  </w14:solidFill>
                </w14:textFill>
              </w:rPr>
            </w:pPr>
          </w:p>
          <w:p w14:paraId="59F3E6E9">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肥水管理</w:t>
            </w:r>
          </w:p>
        </w:tc>
        <w:tc>
          <w:tcPr>
            <w:tcW w:w="10041" w:type="dxa"/>
            <w:vAlign w:val="top"/>
          </w:tcPr>
          <w:p w14:paraId="5C4AEE6F">
            <w:pPr>
              <w:pStyle w:val="29"/>
              <w:spacing w:before="110"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1、每年度施肥次数不少于2次，浇水次数不少于3次，树穴内有植被的适当增加6次。</w:t>
            </w:r>
          </w:p>
          <w:p w14:paraId="4B3245A8">
            <w:pPr>
              <w:pStyle w:val="29"/>
              <w:spacing w:before="104" w:line="219"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2、肥量、种类适宜，施肥方法合理、有效。</w:t>
            </w:r>
          </w:p>
          <w:p w14:paraId="16B926BB">
            <w:pPr>
              <w:pStyle w:val="29"/>
              <w:spacing w:before="6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3、无缺水肥或水肥过量引起的苗木生长衰弱和死亡现象。</w:t>
            </w:r>
          </w:p>
          <w:p w14:paraId="48065A1F">
            <w:pPr>
              <w:pStyle w:val="29"/>
              <w:spacing w:before="74" w:line="212"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4、排水畅通，雨后基本无积水现象。</w:t>
            </w:r>
          </w:p>
        </w:tc>
      </w:tr>
      <w:tr w14:paraId="7B58D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7E55DB52">
            <w:pPr>
              <w:spacing w:line="448" w:lineRule="auto"/>
              <w:jc w:val="center"/>
              <w:rPr>
                <w:rFonts w:ascii="Arial"/>
                <w:color w:val="000000" w:themeColor="text1"/>
                <w:sz w:val="21"/>
                <w14:textFill>
                  <w14:solidFill>
                    <w14:schemeClr w14:val="tx1"/>
                  </w14:solidFill>
                </w14:textFill>
              </w:rPr>
            </w:pPr>
          </w:p>
          <w:p w14:paraId="3E777BE2">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树穴</w:t>
            </w:r>
          </w:p>
        </w:tc>
        <w:tc>
          <w:tcPr>
            <w:tcW w:w="10041" w:type="dxa"/>
            <w:vAlign w:val="top"/>
          </w:tcPr>
          <w:p w14:paraId="5DFAFC86">
            <w:pPr>
              <w:pStyle w:val="29"/>
              <w:spacing w:before="112"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1、树穴株距统一，形式统一，大小一致。</w:t>
            </w:r>
          </w:p>
          <w:p w14:paraId="7641CE55">
            <w:pPr>
              <w:pStyle w:val="29"/>
              <w:spacing w:before="7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2、盖板完整，无缺损现象。</w:t>
            </w:r>
          </w:p>
          <w:p w14:paraId="334AA1C6">
            <w:pPr>
              <w:pStyle w:val="29"/>
              <w:spacing w:before="76"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3、树穴内种植地被植物和草坪的要覆盖充分、得</w:t>
            </w:r>
            <w:r>
              <w:rPr>
                <w:color w:val="000000" w:themeColor="text1"/>
                <w:spacing w:val="-1"/>
                <w14:textFill>
                  <w14:solidFill>
                    <w14:schemeClr w14:val="tx1"/>
                  </w14:solidFill>
                </w14:textFill>
              </w:rPr>
              <w:t>当。</w:t>
            </w:r>
          </w:p>
          <w:p w14:paraId="2687620F">
            <w:pPr>
              <w:pStyle w:val="29"/>
              <w:spacing w:before="53" w:line="201" w:lineRule="auto"/>
              <w:ind w:left="181"/>
              <w:rPr>
                <w:color w:val="000000" w:themeColor="text1"/>
                <w14:textFill>
                  <w14:solidFill>
                    <w14:schemeClr w14:val="tx1"/>
                  </w14:solidFill>
                </w14:textFill>
              </w:rPr>
            </w:pPr>
            <w:r>
              <w:rPr>
                <w:color w:val="000000" w:themeColor="text1"/>
                <w14:textFill>
                  <w14:solidFill>
                    <w14:schemeClr w14:val="tx1"/>
                  </w14:solidFill>
                </w14:textFill>
              </w:rPr>
              <w:t>4、树穴内无明显杂草，全年除草次数不少</w:t>
            </w:r>
            <w:r>
              <w:rPr>
                <w:rFonts w:hint="eastAsia"/>
                <w:color w:val="000000" w:themeColor="text1"/>
                <w:lang w:val="en-US" w:eastAsia="zh-CN"/>
                <w14:textFill>
                  <w14:solidFill>
                    <w14:schemeClr w14:val="tx1"/>
                  </w14:solidFill>
                </w14:textFill>
              </w:rPr>
              <w:t>于</w:t>
            </w:r>
            <w:r>
              <w:rPr>
                <w:color w:val="000000" w:themeColor="text1"/>
                <w14:textFill>
                  <w14:solidFill>
                    <w14:schemeClr w14:val="tx1"/>
                  </w14:solidFill>
                </w14:textFill>
              </w:rPr>
              <w:t>5次。</w:t>
            </w:r>
          </w:p>
        </w:tc>
      </w:tr>
      <w:tr w14:paraId="2FB12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3536D3AF">
            <w:pPr>
              <w:pStyle w:val="29"/>
              <w:spacing w:before="214" w:line="220"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抹芽</w:t>
            </w:r>
          </w:p>
        </w:tc>
        <w:tc>
          <w:tcPr>
            <w:tcW w:w="10041" w:type="dxa"/>
            <w:vAlign w:val="top"/>
          </w:tcPr>
          <w:p w14:paraId="3F5010C0">
            <w:pPr>
              <w:pStyle w:val="29"/>
              <w:spacing w:before="9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1、萌芽长度大于50cm必须及时抹芽，全年抹芽次数不少于2次</w:t>
            </w:r>
          </w:p>
          <w:p w14:paraId="67BC7C48">
            <w:pPr>
              <w:pStyle w:val="29"/>
              <w:spacing w:before="73" w:line="201" w:lineRule="auto"/>
              <w:ind w:left="181"/>
              <w:rPr>
                <w:color w:val="000000" w:themeColor="text1"/>
                <w14:textFill>
                  <w14:solidFill>
                    <w14:schemeClr w14:val="tx1"/>
                  </w14:solidFill>
                </w14:textFill>
              </w:rPr>
            </w:pPr>
            <w:r>
              <w:rPr>
                <w:color w:val="000000" w:themeColor="text1"/>
                <w14:textFill>
                  <w14:solidFill>
                    <w14:schemeClr w14:val="tx1"/>
                  </w14:solidFill>
                </w14:textFill>
              </w:rPr>
              <w:t>2、抹芽后的创口平滑，有必要的要采取技术手段进行处理。</w:t>
            </w:r>
          </w:p>
        </w:tc>
      </w:tr>
      <w:tr w14:paraId="74CA4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40F6C38B">
            <w:pPr>
              <w:spacing w:line="244" w:lineRule="auto"/>
              <w:jc w:val="center"/>
              <w:rPr>
                <w:rFonts w:ascii="Arial"/>
                <w:color w:val="000000" w:themeColor="text1"/>
                <w:sz w:val="21"/>
                <w14:textFill>
                  <w14:solidFill>
                    <w14:schemeClr w14:val="tx1"/>
                  </w14:solidFill>
                </w14:textFill>
              </w:rPr>
            </w:pPr>
          </w:p>
          <w:p w14:paraId="36479E4A">
            <w:pPr>
              <w:spacing w:line="245" w:lineRule="auto"/>
              <w:jc w:val="center"/>
              <w:rPr>
                <w:rFonts w:ascii="Arial"/>
                <w:color w:val="000000" w:themeColor="text1"/>
                <w:sz w:val="21"/>
                <w14:textFill>
                  <w14:solidFill>
                    <w14:schemeClr w14:val="tx1"/>
                  </w14:solidFill>
                </w14:textFill>
              </w:rPr>
            </w:pPr>
          </w:p>
          <w:p w14:paraId="53E8EB51">
            <w:pPr>
              <w:pStyle w:val="29"/>
              <w:spacing w:before="62" w:line="220" w:lineRule="auto"/>
              <w:jc w:val="center"/>
              <w:rPr>
                <w:color w:val="000000" w:themeColor="text1"/>
                <w14:textFill>
                  <w14:solidFill>
                    <w14:schemeClr w14:val="tx1"/>
                  </w14:solidFill>
                </w14:textFill>
              </w:rPr>
            </w:pPr>
            <w:r>
              <w:rPr>
                <w:color w:val="000000" w:themeColor="text1"/>
                <w:spacing w:val="-1"/>
                <w14:textFill>
                  <w14:solidFill>
                    <w14:schemeClr w14:val="tx1"/>
                  </w14:solidFill>
                </w14:textFill>
              </w:rPr>
              <w:t>病虫害防治</w:t>
            </w:r>
          </w:p>
        </w:tc>
        <w:tc>
          <w:tcPr>
            <w:tcW w:w="10041" w:type="dxa"/>
            <w:vAlign w:val="center"/>
          </w:tcPr>
          <w:p w14:paraId="317E126F">
            <w:pPr>
              <w:pStyle w:val="29"/>
              <w:spacing w:before="93" w:line="219" w:lineRule="auto"/>
              <w:ind w:left="181"/>
              <w:jc w:val="both"/>
              <w:rPr>
                <w:color w:val="000000" w:themeColor="text1"/>
                <w14:textFill>
                  <w14:solidFill>
                    <w14:schemeClr w14:val="tx1"/>
                  </w14:solidFill>
                </w14:textFill>
              </w:rPr>
            </w:pPr>
            <w:r>
              <w:rPr>
                <w:color w:val="000000" w:themeColor="text1"/>
                <w14:textFill>
                  <w14:solidFill>
                    <w14:schemeClr w14:val="tx1"/>
                  </w14:solidFill>
                </w14:textFill>
              </w:rPr>
              <w:t>1、有较为完善的病虫害防治预案和防治措施，药械工具完备，全年防治次数不少于3次。</w:t>
            </w:r>
          </w:p>
          <w:p w14:paraId="424E4419">
            <w:pPr>
              <w:pStyle w:val="29"/>
              <w:spacing w:before="93" w:line="219" w:lineRule="auto"/>
              <w:ind w:left="181"/>
              <w:jc w:val="both"/>
              <w:rPr>
                <w:color w:val="000000" w:themeColor="text1"/>
                <w14:textFill>
                  <w14:solidFill>
                    <w14:schemeClr w14:val="tx1"/>
                  </w14:solidFill>
                </w14:textFill>
              </w:rPr>
            </w:pPr>
            <w:r>
              <w:rPr>
                <w:color w:val="000000" w:themeColor="text1"/>
                <w14:textFill>
                  <w14:solidFill>
                    <w14:schemeClr w14:val="tx1"/>
                  </w14:solidFill>
                </w14:textFill>
              </w:rPr>
              <w:t>2、病虫害防治及时，用药合理、配比得当，防治效果明显，无大规模明显病虫害发生。</w:t>
            </w:r>
          </w:p>
          <w:p w14:paraId="54E02791">
            <w:pPr>
              <w:pStyle w:val="29"/>
              <w:spacing w:before="93" w:line="219" w:lineRule="auto"/>
              <w:ind w:left="181"/>
              <w:jc w:val="both"/>
              <w:rPr>
                <w:color w:val="000000" w:themeColor="text1"/>
                <w14:textFill>
                  <w14:solidFill>
                    <w14:schemeClr w14:val="tx1"/>
                  </w14:solidFill>
                </w14:textFill>
              </w:rPr>
            </w:pPr>
            <w:r>
              <w:rPr>
                <w:color w:val="000000" w:themeColor="text1"/>
                <w14:textFill>
                  <w14:solidFill>
                    <w14:schemeClr w14:val="tx1"/>
                  </w14:solidFill>
                </w14:textFill>
              </w:rPr>
              <w:t>3、病虫害生物防治率达到80%以上，非落叶期树木叶片保存率在95%以上，蛀干害虫危害率低于5%。</w:t>
            </w:r>
          </w:p>
        </w:tc>
      </w:tr>
      <w:tr w14:paraId="7015F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center"/>
          </w:tcPr>
          <w:p w14:paraId="10A474F8">
            <w:pPr>
              <w:pStyle w:val="29"/>
              <w:tabs>
                <w:tab w:val="left" w:pos="1050"/>
              </w:tabs>
              <w:spacing w:before="62" w:line="302" w:lineRule="auto"/>
              <w:ind w:right="8" w:rightChars="0"/>
              <w:jc w:val="center"/>
              <w:rPr>
                <w:color w:val="000000" w:themeColor="text1"/>
                <w14:textFill>
                  <w14:solidFill>
                    <w14:schemeClr w14:val="tx1"/>
                  </w14:solidFill>
                </w14:textFill>
              </w:rPr>
            </w:pPr>
            <w:r>
              <w:rPr>
                <w:color w:val="000000" w:themeColor="text1"/>
                <w:spacing w:val="10"/>
                <w14:textFill>
                  <w14:solidFill>
                    <w14:schemeClr w14:val="tx1"/>
                  </w14:solidFill>
                </w14:textFill>
              </w:rPr>
              <w:t>栽(补)</w:t>
            </w:r>
            <w:r>
              <w:rPr>
                <w:color w:val="000000" w:themeColor="text1"/>
                <w14:textFill>
                  <w14:solidFill>
                    <w14:schemeClr w14:val="tx1"/>
                  </w14:solidFill>
                </w14:textFill>
              </w:rPr>
              <w:t>植</w:t>
            </w:r>
          </w:p>
        </w:tc>
        <w:tc>
          <w:tcPr>
            <w:tcW w:w="10041" w:type="dxa"/>
            <w:vAlign w:val="top"/>
          </w:tcPr>
          <w:p w14:paraId="0AECDCCD">
            <w:pPr>
              <w:pStyle w:val="29"/>
              <w:spacing w:before="9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1、苗木树干笔直，树形美观，树干大小和高低要匀称。</w:t>
            </w:r>
          </w:p>
          <w:p w14:paraId="07C6464D">
            <w:pPr>
              <w:pStyle w:val="29"/>
              <w:spacing w:before="9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2、易成活树种成活率要求达到100%</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不易成活树种成活率不低于98%。</w:t>
            </w:r>
          </w:p>
          <w:p w14:paraId="56486789">
            <w:pPr>
              <w:pStyle w:val="29"/>
              <w:spacing w:before="93" w:line="219" w:lineRule="auto"/>
              <w:ind w:left="181"/>
              <w:jc w:val="both"/>
              <w:rPr>
                <w:color w:val="000000" w:themeColor="text1"/>
                <w14:textFill>
                  <w14:solidFill>
                    <w14:schemeClr w14:val="tx1"/>
                  </w14:solidFill>
                </w14:textFill>
              </w:rPr>
            </w:pPr>
            <w:r>
              <w:rPr>
                <w:color w:val="000000" w:themeColor="text1"/>
                <w14:textFill>
                  <w14:solidFill>
                    <w14:schemeClr w14:val="tx1"/>
                  </w14:solidFill>
                </w14:textFill>
              </w:rPr>
              <w:t>3、常绿及不易成活树种必须带土球栽植</w:t>
            </w:r>
            <w:r>
              <w:rPr>
                <w:rFonts w:hint="eastAsia"/>
                <w:color w:val="000000" w:themeColor="text1"/>
                <w:lang w:val="en-US" w:eastAsia="zh-CN"/>
                <w14:textFill>
                  <w14:solidFill>
                    <w14:schemeClr w14:val="tx1"/>
                  </w14:solidFill>
                </w14:textFill>
              </w:rPr>
              <w:t>,土</w:t>
            </w:r>
            <w:r>
              <w:rPr>
                <w:color w:val="000000" w:themeColor="text1"/>
                <w14:textFill>
                  <w14:solidFill>
                    <w14:schemeClr w14:val="tx1"/>
                  </w14:solidFill>
                </w14:textFill>
              </w:rPr>
              <w:t>球直径不小于树干直径的8</w:t>
            </w: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10倍，且须根保留完好。</w:t>
            </w:r>
          </w:p>
          <w:p w14:paraId="7021E4E3">
            <w:pPr>
              <w:pStyle w:val="29"/>
              <w:spacing w:before="93" w:line="219" w:lineRule="auto"/>
              <w:ind w:left="181"/>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4、树穴直径须大于土球直径50cm以上，封土深度以盖住土球上部3-5cm左右为宜</w:t>
            </w:r>
            <w:r>
              <w:rPr>
                <w:rFonts w:hint="eastAsia"/>
                <w:color w:val="000000" w:themeColor="text1"/>
                <w:lang w:eastAsia="zh-CN"/>
                <w14:textFill>
                  <w14:solidFill>
                    <w14:schemeClr w14:val="tx1"/>
                  </w14:solidFill>
                </w14:textFill>
              </w:rPr>
              <w:t>。</w:t>
            </w:r>
          </w:p>
          <w:p w14:paraId="3C8105ED">
            <w:pPr>
              <w:pStyle w:val="29"/>
              <w:spacing w:before="9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5、苗木栽植前的起挖、包装运输规范：栽植后的支撑、修剪、浇水等严格按照规范操作。</w:t>
            </w:r>
          </w:p>
        </w:tc>
      </w:tr>
      <w:tr w14:paraId="65D57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top"/>
          </w:tcPr>
          <w:p w14:paraId="26721B2D">
            <w:pPr>
              <w:spacing w:line="422" w:lineRule="auto"/>
              <w:jc w:val="center"/>
              <w:rPr>
                <w:rFonts w:ascii="Arial"/>
                <w:color w:val="000000" w:themeColor="text1"/>
                <w:sz w:val="21"/>
                <w14:textFill>
                  <w14:solidFill>
                    <w14:schemeClr w14:val="tx1"/>
                  </w14:solidFill>
                </w14:textFill>
              </w:rPr>
            </w:pPr>
          </w:p>
          <w:p w14:paraId="062E1F6A">
            <w:pPr>
              <w:pStyle w:val="29"/>
              <w:spacing w:before="61" w:line="220" w:lineRule="auto"/>
              <w:jc w:val="center"/>
              <w:rPr>
                <w:color w:val="000000" w:themeColor="text1"/>
                <w14:textFill>
                  <w14:solidFill>
                    <w14:schemeClr w14:val="tx1"/>
                  </w14:solidFill>
                </w14:textFill>
              </w:rPr>
            </w:pPr>
            <w:r>
              <w:rPr>
                <w:color w:val="000000" w:themeColor="text1"/>
                <w:spacing w:val="6"/>
                <w14:textFill>
                  <w14:solidFill>
                    <w14:schemeClr w14:val="tx1"/>
                  </w14:solidFill>
                </w14:textFill>
              </w:rPr>
              <w:t>保护</w:t>
            </w:r>
          </w:p>
        </w:tc>
        <w:tc>
          <w:tcPr>
            <w:tcW w:w="10041" w:type="dxa"/>
            <w:vAlign w:val="top"/>
          </w:tcPr>
          <w:p w14:paraId="6CBBFE91">
            <w:pPr>
              <w:pStyle w:val="29"/>
              <w:spacing w:before="9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1、树木支撑必须坚固、耐用和美观。</w:t>
            </w:r>
          </w:p>
          <w:p w14:paraId="7F1CEAF7">
            <w:pPr>
              <w:pStyle w:val="29"/>
              <w:spacing w:before="9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2、米径大于6公分树木，秋冬季必须进行树干涂白处理，以杀虫灭菌和保温防冻。透白高度1.2米，用红漆封顶。</w:t>
            </w:r>
          </w:p>
          <w:p w14:paraId="58243A35">
            <w:pPr>
              <w:pStyle w:val="29"/>
              <w:spacing w:before="9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3、不耐寒的树种，越冬前要对树木树干和主枝进行防寒保暖处理，如包扎草绳等。</w:t>
            </w:r>
          </w:p>
        </w:tc>
      </w:tr>
      <w:tr w14:paraId="57E07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8" w:type="dxa"/>
            <w:vAlign w:val="center"/>
          </w:tcPr>
          <w:p w14:paraId="732B6DE7">
            <w:pPr>
              <w:pStyle w:val="29"/>
              <w:spacing w:before="62" w:line="220"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卫生保洁</w:t>
            </w:r>
          </w:p>
        </w:tc>
        <w:tc>
          <w:tcPr>
            <w:tcW w:w="10041" w:type="dxa"/>
            <w:vAlign w:val="top"/>
          </w:tcPr>
          <w:p w14:paraId="32E5C255">
            <w:pPr>
              <w:pStyle w:val="29"/>
              <w:spacing w:before="235"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1、枝干上、树冠下、树穴内无悬挂物、生活垃圾、砖石瓦砾、干枯枝叶和其他废弃物。</w:t>
            </w:r>
          </w:p>
          <w:p w14:paraId="386ADD57">
            <w:pPr>
              <w:pStyle w:val="29"/>
              <w:spacing w:before="85"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2、对作业废弃物(如修剪产生的树枝、树叶等)重点地区随产随清，其它地区日产日</w:t>
            </w:r>
            <w:r>
              <w:rPr>
                <w:color w:val="000000" w:themeColor="text1"/>
                <w:spacing w:val="-1"/>
                <w14:textFill>
                  <w14:solidFill>
                    <w14:schemeClr w14:val="tx1"/>
                  </w14:solidFill>
                </w14:textFill>
              </w:rPr>
              <w:t>清。</w:t>
            </w:r>
          </w:p>
        </w:tc>
      </w:tr>
    </w:tbl>
    <w:p w14:paraId="4ED5FF07">
      <w:pPr>
        <w:rPr>
          <w:rFonts w:ascii="Arial" w:hAnsi="Arial" w:eastAsia="Arial" w:cs="Arial"/>
          <w:sz w:val="21"/>
          <w:szCs w:val="21"/>
        </w:rPr>
        <w:sectPr>
          <w:headerReference r:id="rId8" w:type="default"/>
          <w:pgSz w:w="11910" w:h="16840"/>
          <w:pgMar w:top="1304" w:right="1417" w:bottom="1304" w:left="1417" w:header="0" w:footer="850" w:gutter="0"/>
          <w:cols w:space="720" w:num="1"/>
        </w:sectPr>
      </w:pPr>
    </w:p>
    <w:p w14:paraId="5B93F84F">
      <w:pPr>
        <w:spacing w:before="100" w:line="219" w:lineRule="auto"/>
        <w:jc w:val="center"/>
        <w:rPr>
          <w:rFonts w:ascii="宋体" w:hAnsi="宋体" w:eastAsia="宋体" w:cs="宋体"/>
          <w:sz w:val="31"/>
          <w:szCs w:val="31"/>
        </w:rPr>
      </w:pPr>
      <w:r>
        <w:rPr>
          <w:rFonts w:ascii="宋体" w:hAnsi="宋体" w:eastAsia="宋体" w:cs="宋体"/>
          <w:b/>
          <w:bCs/>
          <w:spacing w:val="-18"/>
          <w:sz w:val="31"/>
          <w:szCs w:val="31"/>
        </w:rPr>
        <w:t>卢氏县园林绿化养护标准——花灌木养护标准</w:t>
      </w:r>
    </w:p>
    <w:p w14:paraId="41500E67">
      <w:pPr>
        <w:spacing w:line="28" w:lineRule="exact"/>
        <w:rPr>
          <w:color w:val="000000" w:themeColor="text1"/>
          <w14:textFill>
            <w14:solidFill>
              <w14:schemeClr w14:val="tx1"/>
            </w14:solidFill>
          </w14:textFill>
        </w:rPr>
      </w:pPr>
    </w:p>
    <w:tbl>
      <w:tblPr>
        <w:tblStyle w:val="30"/>
        <w:tblW w:w="101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3"/>
        <w:gridCol w:w="8922"/>
      </w:tblGrid>
      <w:tr w14:paraId="04A30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1263" w:type="dxa"/>
            <w:vAlign w:val="top"/>
          </w:tcPr>
          <w:p w14:paraId="6ED3A7A3">
            <w:pPr>
              <w:pStyle w:val="29"/>
              <w:spacing w:before="73" w:line="220" w:lineRule="auto"/>
              <w:jc w:val="center"/>
              <w:rPr>
                <w:color w:val="000000" w:themeColor="text1"/>
                <w14:textFill>
                  <w14:solidFill>
                    <w14:schemeClr w14:val="tx1"/>
                  </w14:solidFill>
                </w14:textFill>
              </w:rPr>
            </w:pPr>
            <w:r>
              <w:rPr>
                <w:color w:val="000000" w:themeColor="text1"/>
                <w:spacing w:val="-5"/>
                <w14:textFill>
                  <w14:solidFill>
                    <w14:schemeClr w14:val="tx1"/>
                  </w14:solidFill>
                </w14:textFill>
              </w:rPr>
              <w:t>项目</w:t>
            </w:r>
          </w:p>
        </w:tc>
        <w:tc>
          <w:tcPr>
            <w:tcW w:w="8922" w:type="dxa"/>
            <w:vAlign w:val="top"/>
          </w:tcPr>
          <w:p w14:paraId="52C93D46">
            <w:pPr>
              <w:pStyle w:val="29"/>
              <w:spacing w:before="72" w:line="219" w:lineRule="auto"/>
              <w:ind w:left="3251"/>
              <w:rPr>
                <w:color w:val="000000" w:themeColor="text1"/>
                <w14:textFill>
                  <w14:solidFill>
                    <w14:schemeClr w14:val="tx1"/>
                  </w14:solidFill>
                </w14:textFill>
              </w:rPr>
            </w:pPr>
            <w:r>
              <w:rPr>
                <w:color w:val="000000" w:themeColor="text1"/>
                <w:spacing w:val="-2"/>
                <w14:textFill>
                  <w14:solidFill>
                    <w14:schemeClr w14:val="tx1"/>
                  </w14:solidFill>
                </w14:textFill>
              </w:rPr>
              <w:t>养护标准</w:t>
            </w:r>
          </w:p>
        </w:tc>
      </w:tr>
      <w:tr w14:paraId="2C020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jc w:val="center"/>
        </w:trPr>
        <w:tc>
          <w:tcPr>
            <w:tcW w:w="1263" w:type="dxa"/>
            <w:vAlign w:val="top"/>
          </w:tcPr>
          <w:p w14:paraId="2DE27124">
            <w:pPr>
              <w:pStyle w:val="29"/>
              <w:spacing w:before="138" w:line="219" w:lineRule="auto"/>
              <w:ind w:left="171"/>
              <w:jc w:val="center"/>
              <w:rPr>
                <w:rFonts w:hint="eastAsia"/>
                <w:color w:val="000000" w:themeColor="text1"/>
                <w14:textFill>
                  <w14:solidFill>
                    <w14:schemeClr w14:val="tx1"/>
                  </w14:solidFill>
                </w14:textFill>
              </w:rPr>
            </w:pPr>
          </w:p>
          <w:p w14:paraId="4558A914">
            <w:pPr>
              <w:pStyle w:val="29"/>
              <w:spacing w:before="138" w:line="219" w:lineRule="auto"/>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景观</w:t>
            </w:r>
          </w:p>
        </w:tc>
        <w:tc>
          <w:tcPr>
            <w:tcW w:w="8922" w:type="dxa"/>
            <w:vAlign w:val="center"/>
          </w:tcPr>
          <w:p w14:paraId="3EEEDB0E">
            <w:pPr>
              <w:pStyle w:val="29"/>
              <w:spacing w:before="138" w:line="219" w:lineRule="auto"/>
              <w:ind w:left="171"/>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1、无缺株 、死株(死株率在2%以下)</w:t>
            </w:r>
          </w:p>
          <w:p w14:paraId="71ACB139">
            <w:pPr>
              <w:pStyle w:val="29"/>
              <w:spacing w:before="138" w:line="219" w:lineRule="auto"/>
              <w:ind w:left="171"/>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2、管理精细，株形丰满，景观优美。</w:t>
            </w:r>
          </w:p>
          <w:p w14:paraId="28AF98FA">
            <w:pPr>
              <w:pStyle w:val="29"/>
              <w:spacing w:before="138" w:line="219" w:lineRule="auto"/>
              <w:ind w:left="171"/>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3、配置合理(树种多样，树种之间 、树种与其他乔灌花草以及水面、道路之间和谐、美观)。</w:t>
            </w:r>
          </w:p>
        </w:tc>
      </w:tr>
      <w:tr w14:paraId="594AC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jc w:val="center"/>
        </w:trPr>
        <w:tc>
          <w:tcPr>
            <w:tcW w:w="1263" w:type="dxa"/>
            <w:vAlign w:val="top"/>
          </w:tcPr>
          <w:p w14:paraId="16F68BAA">
            <w:pPr>
              <w:spacing w:line="477" w:lineRule="auto"/>
              <w:jc w:val="center"/>
              <w:rPr>
                <w:rFonts w:ascii="Arial"/>
                <w:color w:val="000000" w:themeColor="text1"/>
                <w:sz w:val="21"/>
                <w14:textFill>
                  <w14:solidFill>
                    <w14:schemeClr w14:val="tx1"/>
                  </w14:solidFill>
                </w14:textFill>
              </w:rPr>
            </w:pPr>
          </w:p>
          <w:p w14:paraId="5B399AB3">
            <w:pPr>
              <w:pStyle w:val="29"/>
              <w:spacing w:before="62" w:line="223" w:lineRule="auto"/>
              <w:jc w:val="center"/>
              <w:rPr>
                <w:color w:val="000000" w:themeColor="text1"/>
                <w14:textFill>
                  <w14:solidFill>
                    <w14:schemeClr w14:val="tx1"/>
                  </w14:solidFill>
                </w14:textFill>
              </w:rPr>
            </w:pPr>
            <w:r>
              <w:rPr>
                <w:color w:val="000000" w:themeColor="text1"/>
                <w:spacing w:val="-3"/>
                <w14:textFill>
                  <w14:solidFill>
                    <w14:schemeClr w14:val="tx1"/>
                  </w14:solidFill>
                </w14:textFill>
              </w:rPr>
              <w:t>生长</w:t>
            </w:r>
          </w:p>
        </w:tc>
        <w:tc>
          <w:tcPr>
            <w:tcW w:w="8922" w:type="dxa"/>
            <w:vAlign w:val="center"/>
          </w:tcPr>
          <w:p w14:paraId="5E5873D1">
            <w:pPr>
              <w:pStyle w:val="29"/>
              <w:spacing w:before="138"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1、苗木生长势良好，枝繁叶茂，无明显枯死枝杈。</w:t>
            </w:r>
          </w:p>
          <w:p w14:paraId="2C372C13">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2、叶色正常，有光泽，无黄叶、枯叶、焦叶和明显病虫害侵害特征，单株侵害率低于2</w:t>
            </w:r>
            <w:r>
              <w:rPr>
                <w:color w:val="000000" w:themeColor="text1"/>
                <w:spacing w:val="-1"/>
                <w14:textFill>
                  <w14:solidFill>
                    <w14:schemeClr w14:val="tx1"/>
                  </w14:solidFill>
                </w14:textFill>
              </w:rPr>
              <w:t>%。</w:t>
            </w:r>
          </w:p>
          <w:p w14:paraId="1525BA0C">
            <w:pPr>
              <w:pStyle w:val="29"/>
              <w:spacing w:before="63"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3、枝干健壮，无枯死枝，冠形美观，枝条分布均匀，数量适宜，内部通风透光良</w:t>
            </w:r>
            <w:r>
              <w:rPr>
                <w:color w:val="000000" w:themeColor="text1"/>
                <w:spacing w:val="-1"/>
                <w14:textFill>
                  <w14:solidFill>
                    <w14:schemeClr w14:val="tx1"/>
                  </w14:solidFill>
                </w14:textFill>
              </w:rPr>
              <w:t>好。</w:t>
            </w:r>
          </w:p>
          <w:p w14:paraId="3E0E0BC2">
            <w:pPr>
              <w:pStyle w:val="29"/>
              <w:spacing w:before="65"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4、开花树种花期长、花繁、色艳、个大。</w:t>
            </w:r>
          </w:p>
        </w:tc>
      </w:tr>
      <w:tr w14:paraId="5AB9B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8" w:hRule="atLeast"/>
          <w:jc w:val="center"/>
        </w:trPr>
        <w:tc>
          <w:tcPr>
            <w:tcW w:w="1263" w:type="dxa"/>
            <w:vAlign w:val="top"/>
          </w:tcPr>
          <w:p w14:paraId="68A9FA30">
            <w:pPr>
              <w:spacing w:line="277" w:lineRule="auto"/>
              <w:jc w:val="center"/>
              <w:rPr>
                <w:rFonts w:ascii="Arial"/>
                <w:color w:val="000000" w:themeColor="text1"/>
                <w:sz w:val="21"/>
                <w14:textFill>
                  <w14:solidFill>
                    <w14:schemeClr w14:val="tx1"/>
                  </w14:solidFill>
                </w14:textFill>
              </w:rPr>
            </w:pPr>
          </w:p>
          <w:p w14:paraId="507531D9">
            <w:pPr>
              <w:spacing w:line="278" w:lineRule="auto"/>
              <w:jc w:val="center"/>
              <w:rPr>
                <w:rFonts w:ascii="Arial"/>
                <w:color w:val="000000" w:themeColor="text1"/>
                <w:sz w:val="21"/>
                <w14:textFill>
                  <w14:solidFill>
                    <w14:schemeClr w14:val="tx1"/>
                  </w14:solidFill>
                </w14:textFill>
              </w:rPr>
            </w:pPr>
          </w:p>
          <w:p w14:paraId="0E7B4D0F">
            <w:pPr>
              <w:spacing w:line="278" w:lineRule="auto"/>
              <w:jc w:val="center"/>
              <w:rPr>
                <w:rFonts w:ascii="Arial"/>
                <w:color w:val="000000" w:themeColor="text1"/>
                <w:sz w:val="21"/>
                <w14:textFill>
                  <w14:solidFill>
                    <w14:schemeClr w14:val="tx1"/>
                  </w14:solidFill>
                </w14:textFill>
              </w:rPr>
            </w:pPr>
          </w:p>
          <w:p w14:paraId="3049F688">
            <w:pPr>
              <w:pStyle w:val="29"/>
              <w:spacing w:before="61"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修剪</w:t>
            </w:r>
          </w:p>
        </w:tc>
        <w:tc>
          <w:tcPr>
            <w:tcW w:w="8922" w:type="dxa"/>
            <w:vAlign w:val="center"/>
          </w:tcPr>
          <w:p w14:paraId="45DA2CB6">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1、每年修剪不少于1次，修剪适时适度。月季、百日红、龙爪槐等冬季要进行整形重剪；牡丹花后及时修剪；为促进月季生长季节多开花，花败后也要及时科学修剪。</w:t>
            </w:r>
          </w:p>
          <w:p w14:paraId="057C842A">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2、冠形优美，内堂通透，主侧枝分布匀称，修剪强度适宜，疏密得当。</w:t>
            </w:r>
          </w:p>
          <w:p w14:paraId="12F864A0">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3、枯死枝、内堂乱枝、交义枝、下垂枝、衰弱枝、劈裂枝、病虫枝等影响树形美观的枝条修除率95%以上。</w:t>
            </w:r>
          </w:p>
          <w:p w14:paraId="78B38AC9">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4、修剪工具齐全，操作技术规范。</w:t>
            </w:r>
          </w:p>
          <w:p w14:paraId="7F27C614">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5、剪口留芽方位准确，芽长势饱满。</w:t>
            </w:r>
          </w:p>
        </w:tc>
      </w:tr>
      <w:tr w14:paraId="42EF3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jc w:val="center"/>
        </w:trPr>
        <w:tc>
          <w:tcPr>
            <w:tcW w:w="1263" w:type="dxa"/>
            <w:vAlign w:val="top"/>
          </w:tcPr>
          <w:p w14:paraId="660CB6EF">
            <w:pPr>
              <w:spacing w:line="277" w:lineRule="auto"/>
              <w:jc w:val="center"/>
              <w:rPr>
                <w:rFonts w:ascii="Arial"/>
                <w:color w:val="000000" w:themeColor="text1"/>
                <w:sz w:val="21"/>
                <w14:textFill>
                  <w14:solidFill>
                    <w14:schemeClr w14:val="tx1"/>
                  </w14:solidFill>
                </w14:textFill>
              </w:rPr>
            </w:pPr>
          </w:p>
          <w:p w14:paraId="15C38E89">
            <w:pPr>
              <w:spacing w:line="278" w:lineRule="auto"/>
              <w:jc w:val="center"/>
              <w:rPr>
                <w:rFonts w:ascii="Arial"/>
                <w:color w:val="000000" w:themeColor="text1"/>
                <w:sz w:val="21"/>
                <w14:textFill>
                  <w14:solidFill>
                    <w14:schemeClr w14:val="tx1"/>
                  </w14:solidFill>
                </w14:textFill>
              </w:rPr>
            </w:pPr>
          </w:p>
          <w:p w14:paraId="63CDD422">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肥水管理</w:t>
            </w:r>
          </w:p>
        </w:tc>
        <w:tc>
          <w:tcPr>
            <w:tcW w:w="8922" w:type="dxa"/>
            <w:vAlign w:val="center"/>
          </w:tcPr>
          <w:p w14:paraId="39DA4690">
            <w:pPr>
              <w:pStyle w:val="29"/>
              <w:spacing w:before="84" w:line="219" w:lineRule="auto"/>
              <w:ind w:left="171"/>
              <w:jc w:val="both"/>
              <w:rPr>
                <w:color w:val="000000" w:themeColor="text1"/>
                <w14:textFill>
                  <w14:solidFill>
                    <w14:schemeClr w14:val="tx1"/>
                  </w14:solidFill>
                </w14:textFill>
              </w:rPr>
            </w:pPr>
            <w:r>
              <w:rPr>
                <w:color w:val="000000" w:themeColor="text1"/>
                <w:lang w:val="en-US" w:eastAsia="en-US"/>
                <w14:textFill>
                  <w14:solidFill>
                    <w14:schemeClr w14:val="tx1"/>
                  </w14:solidFill>
                </w14:textFill>
              </w:rPr>
              <w:t>1、</w:t>
            </w:r>
            <w:r>
              <w:rPr>
                <w:color w:val="000000" w:themeColor="text1"/>
                <w14:textFill>
                  <w14:solidFill>
                    <w14:schemeClr w14:val="tx1"/>
                  </w14:solidFill>
                </w14:textFill>
              </w:rPr>
              <w:t>每年度施肥次数不少于2次，依生长季节天气情况、植物种类，适当进行，但全年浇水次数不应少于6次。</w:t>
            </w:r>
          </w:p>
          <w:p w14:paraId="30AE34E1">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2、肥量、种类适宜，施肥方法合理、有效。</w:t>
            </w:r>
          </w:p>
          <w:p w14:paraId="0945F160">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3、无缺水肥或水肥过量引起的苗木生长衰弱和死亡现象。</w:t>
            </w:r>
          </w:p>
          <w:p w14:paraId="313E74EF">
            <w:pPr>
              <w:pStyle w:val="29"/>
              <w:spacing w:before="84" w:line="219" w:lineRule="auto"/>
              <w:ind w:left="171"/>
              <w:jc w:val="both"/>
              <w:rPr>
                <w:color w:val="000000" w:themeColor="text1"/>
                <w14:textFill>
                  <w14:solidFill>
                    <w14:schemeClr w14:val="tx1"/>
                  </w14:solidFill>
                </w14:textFill>
              </w:rPr>
            </w:pPr>
            <w:r>
              <w:rPr>
                <w:color w:val="000000" w:themeColor="text1"/>
                <w14:textFill>
                  <w14:solidFill>
                    <w14:schemeClr w14:val="tx1"/>
                  </w14:solidFill>
                </w14:textFill>
              </w:rPr>
              <w:t>4、排水畅通，雨后基本无积水现象。</w:t>
            </w:r>
          </w:p>
        </w:tc>
      </w:tr>
      <w:tr w14:paraId="59453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263" w:type="dxa"/>
            <w:vAlign w:val="top"/>
          </w:tcPr>
          <w:p w14:paraId="65DDFF3E">
            <w:pPr>
              <w:pStyle w:val="29"/>
              <w:spacing w:before="13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树穴</w:t>
            </w:r>
          </w:p>
        </w:tc>
        <w:tc>
          <w:tcPr>
            <w:tcW w:w="8922" w:type="dxa"/>
            <w:vAlign w:val="top"/>
          </w:tcPr>
          <w:p w14:paraId="7DE82758">
            <w:pPr>
              <w:pStyle w:val="29"/>
              <w:spacing w:before="132" w:line="219" w:lineRule="auto"/>
              <w:ind w:left="171"/>
              <w:rPr>
                <w:color w:val="000000" w:themeColor="text1"/>
                <w14:textFill>
                  <w14:solidFill>
                    <w14:schemeClr w14:val="tx1"/>
                  </w14:solidFill>
                </w14:textFill>
              </w:rPr>
            </w:pPr>
            <w:r>
              <w:rPr>
                <w:color w:val="000000" w:themeColor="text1"/>
                <w14:textFill>
                  <w14:solidFill>
                    <w14:schemeClr w14:val="tx1"/>
                  </w14:solidFill>
                </w14:textFill>
              </w:rPr>
              <w:t>大小适宜，边线线条清晰、平整、流畅。</w:t>
            </w:r>
          </w:p>
        </w:tc>
      </w:tr>
      <w:tr w14:paraId="5D1CF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jc w:val="center"/>
        </w:trPr>
        <w:tc>
          <w:tcPr>
            <w:tcW w:w="1263" w:type="dxa"/>
            <w:vAlign w:val="top"/>
          </w:tcPr>
          <w:p w14:paraId="540D4D6E">
            <w:pPr>
              <w:pStyle w:val="29"/>
              <w:spacing w:before="122" w:line="219" w:lineRule="auto"/>
              <w:jc w:val="center"/>
              <w:rPr>
                <w:color w:val="000000" w:themeColor="text1"/>
                <w14:textFill>
                  <w14:solidFill>
                    <w14:schemeClr w14:val="tx1"/>
                  </w14:solidFill>
                </w14:textFill>
              </w:rPr>
            </w:pPr>
            <w:r>
              <w:rPr>
                <w:color w:val="000000" w:themeColor="text1"/>
                <w:spacing w:val="-5"/>
                <w14:textFill>
                  <w14:solidFill>
                    <w14:schemeClr w14:val="tx1"/>
                  </w14:solidFill>
                </w14:textFill>
              </w:rPr>
              <w:t>松土</w:t>
            </w:r>
          </w:p>
          <w:p w14:paraId="1A6F77EB">
            <w:pPr>
              <w:pStyle w:val="29"/>
              <w:spacing w:before="34" w:line="219" w:lineRule="auto"/>
              <w:jc w:val="center"/>
              <w:rPr>
                <w:color w:val="000000" w:themeColor="text1"/>
                <w14:textFill>
                  <w14:solidFill>
                    <w14:schemeClr w14:val="tx1"/>
                  </w14:solidFill>
                </w14:textFill>
              </w:rPr>
            </w:pPr>
            <w:r>
              <w:rPr>
                <w:color w:val="000000" w:themeColor="text1"/>
                <w:spacing w:val="4"/>
                <w14:textFill>
                  <w14:solidFill>
                    <w14:schemeClr w14:val="tx1"/>
                  </w14:solidFill>
                </w14:textFill>
              </w:rPr>
              <w:t>除草</w:t>
            </w:r>
          </w:p>
        </w:tc>
        <w:tc>
          <w:tcPr>
            <w:tcW w:w="8922" w:type="dxa"/>
            <w:vAlign w:val="top"/>
          </w:tcPr>
          <w:p w14:paraId="1A439CCB">
            <w:pPr>
              <w:pStyle w:val="29"/>
              <w:spacing w:before="232" w:line="219" w:lineRule="auto"/>
              <w:ind w:left="171"/>
              <w:rPr>
                <w:color w:val="000000" w:themeColor="text1"/>
                <w14:textFill>
                  <w14:solidFill>
                    <w14:schemeClr w14:val="tx1"/>
                  </w14:solidFill>
                </w14:textFill>
              </w:rPr>
            </w:pPr>
            <w:r>
              <w:rPr>
                <w:color w:val="000000" w:themeColor="text1"/>
                <w14:textFill>
                  <w14:solidFill>
                    <w14:schemeClr w14:val="tx1"/>
                  </w14:solidFill>
                </w14:textFill>
              </w:rPr>
              <w:t>松土除草必须及时、有效，全年度松土除草次数不少于6次。</w:t>
            </w:r>
          </w:p>
        </w:tc>
      </w:tr>
      <w:tr w14:paraId="5AF6A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jc w:val="center"/>
        </w:trPr>
        <w:tc>
          <w:tcPr>
            <w:tcW w:w="1263" w:type="dxa"/>
            <w:vAlign w:val="top"/>
          </w:tcPr>
          <w:p w14:paraId="579CC27B">
            <w:pPr>
              <w:spacing w:line="244" w:lineRule="auto"/>
              <w:jc w:val="center"/>
              <w:rPr>
                <w:rFonts w:ascii="Arial"/>
                <w:color w:val="000000" w:themeColor="text1"/>
                <w:sz w:val="21"/>
                <w14:textFill>
                  <w14:solidFill>
                    <w14:schemeClr w14:val="tx1"/>
                  </w14:solidFill>
                </w14:textFill>
              </w:rPr>
            </w:pPr>
          </w:p>
          <w:p w14:paraId="6157592B">
            <w:pPr>
              <w:spacing w:line="245" w:lineRule="auto"/>
              <w:jc w:val="center"/>
              <w:rPr>
                <w:rFonts w:ascii="Arial"/>
                <w:color w:val="000000" w:themeColor="text1"/>
                <w:sz w:val="21"/>
                <w14:textFill>
                  <w14:solidFill>
                    <w14:schemeClr w14:val="tx1"/>
                  </w14:solidFill>
                </w14:textFill>
              </w:rPr>
            </w:pPr>
          </w:p>
          <w:p w14:paraId="00E5F41B">
            <w:pPr>
              <w:pStyle w:val="29"/>
              <w:spacing w:before="62" w:line="220" w:lineRule="auto"/>
              <w:jc w:val="center"/>
              <w:rPr>
                <w:color w:val="000000" w:themeColor="text1"/>
                <w14:textFill>
                  <w14:solidFill>
                    <w14:schemeClr w14:val="tx1"/>
                  </w14:solidFill>
                </w14:textFill>
              </w:rPr>
            </w:pPr>
            <w:r>
              <w:rPr>
                <w:color w:val="000000" w:themeColor="text1"/>
                <w:spacing w:val="-3"/>
                <w14:textFill>
                  <w14:solidFill>
                    <w14:schemeClr w14:val="tx1"/>
                  </w14:solidFill>
                </w14:textFill>
              </w:rPr>
              <w:t>病虫害防治</w:t>
            </w:r>
          </w:p>
        </w:tc>
        <w:tc>
          <w:tcPr>
            <w:tcW w:w="8922" w:type="dxa"/>
            <w:vAlign w:val="center"/>
          </w:tcPr>
          <w:p w14:paraId="7778F498">
            <w:pPr>
              <w:pStyle w:val="29"/>
              <w:spacing w:before="84" w:line="219" w:lineRule="auto"/>
              <w:ind w:left="171"/>
              <w:jc w:val="both"/>
              <w:rPr>
                <w:color w:val="000000" w:themeColor="text1"/>
                <w:lang w:val="en-US" w:eastAsia="en-US"/>
                <w14:textFill>
                  <w14:solidFill>
                    <w14:schemeClr w14:val="tx1"/>
                  </w14:solidFill>
                </w14:textFill>
              </w:rPr>
            </w:pPr>
            <w:r>
              <w:rPr>
                <w:color w:val="000000" w:themeColor="text1"/>
                <w:lang w:val="en-US" w:eastAsia="en-US"/>
                <w14:textFill>
                  <w14:solidFill>
                    <w14:schemeClr w14:val="tx1"/>
                  </w14:solidFill>
                </w14:textFill>
              </w:rPr>
              <w:t>1、有较为完善的病虫害防治预案和防治措施，药械工具完备，全年防治次数不少于3次。</w:t>
            </w:r>
          </w:p>
          <w:p w14:paraId="3C7B4D01">
            <w:pPr>
              <w:pStyle w:val="29"/>
              <w:spacing w:before="84" w:line="219" w:lineRule="auto"/>
              <w:ind w:left="171"/>
              <w:jc w:val="both"/>
              <w:rPr>
                <w:color w:val="000000" w:themeColor="text1"/>
                <w:lang w:val="en-US" w:eastAsia="en-US"/>
                <w14:textFill>
                  <w14:solidFill>
                    <w14:schemeClr w14:val="tx1"/>
                  </w14:solidFill>
                </w14:textFill>
              </w:rPr>
            </w:pPr>
            <w:r>
              <w:rPr>
                <w:color w:val="000000" w:themeColor="text1"/>
                <w:lang w:val="en-US" w:eastAsia="en-US"/>
                <w14:textFill>
                  <w14:solidFill>
                    <w14:schemeClr w14:val="tx1"/>
                  </w14:solidFill>
                </w14:textFill>
              </w:rPr>
              <w:t>2、病虫害防治及时，用药合理、配比得当，防治效果明显，无大规模明显病虫害发生。</w:t>
            </w:r>
          </w:p>
          <w:p w14:paraId="0A40B2DA">
            <w:pPr>
              <w:pStyle w:val="29"/>
              <w:spacing w:before="84" w:line="219" w:lineRule="auto"/>
              <w:ind w:left="171"/>
              <w:jc w:val="both"/>
              <w:rPr>
                <w:color w:val="000000" w:themeColor="text1"/>
                <w14:textFill>
                  <w14:solidFill>
                    <w14:schemeClr w14:val="tx1"/>
                  </w14:solidFill>
                </w14:textFill>
              </w:rPr>
            </w:pPr>
            <w:r>
              <w:rPr>
                <w:color w:val="000000" w:themeColor="text1"/>
                <w:lang w:val="en-US" w:eastAsia="en-US"/>
                <w14:textFill>
                  <w14:solidFill>
                    <w14:schemeClr w14:val="tx1"/>
                  </w14:solidFill>
                </w14:textFill>
              </w:rPr>
              <w:t>3、病虫害生物防治率达到80</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lang w:val="en-US" w:eastAsia="en-US"/>
                <w14:textFill>
                  <w14:solidFill>
                    <w14:schemeClr w14:val="tx1"/>
                  </w14:solidFill>
                </w14:textFill>
              </w:rPr>
              <w:t>以上，非落叶期树木叶片保存率在95%以上，蛀干害虫危害率低于5%。</w:t>
            </w:r>
          </w:p>
        </w:tc>
      </w:tr>
      <w:tr w14:paraId="4AFE9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1263" w:type="dxa"/>
            <w:vAlign w:val="center"/>
          </w:tcPr>
          <w:p w14:paraId="3930E553">
            <w:pPr>
              <w:spacing w:line="250" w:lineRule="auto"/>
              <w:jc w:val="center"/>
              <w:rPr>
                <w:rFonts w:ascii="Arial"/>
                <w:color w:val="000000" w:themeColor="text1"/>
                <w:sz w:val="21"/>
                <w14:textFill>
                  <w14:solidFill>
                    <w14:schemeClr w14:val="tx1"/>
                  </w14:solidFill>
                </w14:textFill>
              </w:rPr>
            </w:pPr>
          </w:p>
          <w:p w14:paraId="448A8B07">
            <w:pPr>
              <w:pStyle w:val="29"/>
              <w:spacing w:before="61" w:line="293" w:lineRule="auto"/>
              <w:ind w:right="-7" w:rightChars="0"/>
              <w:jc w:val="center"/>
              <w:rPr>
                <w:color w:val="000000" w:themeColor="text1"/>
                <w14:textFill>
                  <w14:solidFill>
                    <w14:schemeClr w14:val="tx1"/>
                  </w14:solidFill>
                </w14:textFill>
              </w:rPr>
            </w:pPr>
            <w:r>
              <w:rPr>
                <w:color w:val="000000" w:themeColor="text1"/>
                <w:spacing w:val="10"/>
                <w14:textFill>
                  <w14:solidFill>
                    <w14:schemeClr w14:val="tx1"/>
                  </w14:solidFill>
                </w14:textFill>
              </w:rPr>
              <w:t>栽(补)</w:t>
            </w:r>
            <w:r>
              <w:rPr>
                <w:color w:val="000000" w:themeColor="text1"/>
                <w14:textFill>
                  <w14:solidFill>
                    <w14:schemeClr w14:val="tx1"/>
                  </w14:solidFill>
                </w14:textFill>
              </w:rPr>
              <w:t xml:space="preserve"> 植</w:t>
            </w:r>
          </w:p>
        </w:tc>
        <w:tc>
          <w:tcPr>
            <w:tcW w:w="8922" w:type="dxa"/>
            <w:vAlign w:val="top"/>
          </w:tcPr>
          <w:p w14:paraId="37E6991E">
            <w:pPr>
              <w:pStyle w:val="29"/>
              <w:spacing w:before="123" w:line="219" w:lineRule="auto"/>
              <w:ind w:left="171"/>
              <w:rPr>
                <w:color w:val="000000" w:themeColor="text1"/>
                <w14:textFill>
                  <w14:solidFill>
                    <w14:schemeClr w14:val="tx1"/>
                  </w14:solidFill>
                </w14:textFill>
              </w:rPr>
            </w:pPr>
            <w:r>
              <w:rPr>
                <w:color w:val="000000" w:themeColor="text1"/>
                <w14:textFill>
                  <w14:solidFill>
                    <w14:schemeClr w14:val="tx1"/>
                  </w14:solidFill>
                </w14:textFill>
              </w:rPr>
              <w:t>1、栽植科学，搭配合理，苗木生长健壮，树形美观。</w:t>
            </w:r>
          </w:p>
          <w:p w14:paraId="5C5D3BA8">
            <w:pPr>
              <w:pStyle w:val="29"/>
              <w:spacing w:before="53" w:line="216" w:lineRule="auto"/>
              <w:ind w:left="171"/>
              <w:rPr>
                <w:color w:val="000000" w:themeColor="text1"/>
                <w14:textFill>
                  <w14:solidFill>
                    <w14:schemeClr w14:val="tx1"/>
                  </w14:solidFill>
                </w14:textFill>
              </w:rPr>
            </w:pPr>
            <w:r>
              <w:rPr>
                <w:color w:val="000000" w:themeColor="text1"/>
                <w14:textFill>
                  <w14:solidFill>
                    <w14:schemeClr w14:val="tx1"/>
                  </w14:solidFill>
                </w14:textFill>
              </w:rPr>
              <w:t>2、易成活树种成活率要求达到100%,不易成活树种成活率不低于95%。</w:t>
            </w:r>
          </w:p>
          <w:p w14:paraId="55D7552A">
            <w:pPr>
              <w:pStyle w:val="29"/>
              <w:spacing w:before="87" w:line="216" w:lineRule="auto"/>
              <w:ind w:left="171"/>
              <w:rPr>
                <w:color w:val="000000" w:themeColor="text1"/>
                <w14:textFill>
                  <w14:solidFill>
                    <w14:schemeClr w14:val="tx1"/>
                  </w14:solidFill>
                </w14:textFill>
              </w:rPr>
            </w:pPr>
            <w:r>
              <w:rPr>
                <w:color w:val="000000" w:themeColor="text1"/>
                <w14:textFill>
                  <w14:solidFill>
                    <w14:schemeClr w14:val="tx1"/>
                  </w14:solidFill>
                </w14:textFill>
              </w:rPr>
              <w:t>3、常绿及不易成活树种必须带土球栽植，</w:t>
            </w:r>
            <w:r>
              <w:rPr>
                <w:rFonts w:hint="eastAsia"/>
                <w:color w:val="000000" w:themeColor="text1"/>
                <w:lang w:eastAsia="zh-CN"/>
                <w14:textFill>
                  <w14:solidFill>
                    <w14:schemeClr w14:val="tx1"/>
                  </w14:solidFill>
                </w14:textFill>
              </w:rPr>
              <w:t>土球</w:t>
            </w:r>
            <w:r>
              <w:rPr>
                <w:color w:val="000000" w:themeColor="text1"/>
                <w14:textFill>
                  <w14:solidFill>
                    <w14:schemeClr w14:val="tx1"/>
                  </w14:solidFill>
                </w14:textFill>
              </w:rPr>
              <w:t>直径不小于冠径的1/3</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且须根保留完</w:t>
            </w:r>
            <w:r>
              <w:rPr>
                <w:color w:val="000000" w:themeColor="text1"/>
                <w:spacing w:val="-1"/>
                <w14:textFill>
                  <w14:solidFill>
                    <w14:schemeClr w14:val="tx1"/>
                  </w14:solidFill>
                </w14:textFill>
              </w:rPr>
              <w:t>好。</w:t>
            </w:r>
          </w:p>
          <w:p w14:paraId="6DFD70F6">
            <w:pPr>
              <w:pStyle w:val="29"/>
              <w:spacing w:before="90" w:line="219" w:lineRule="auto"/>
              <w:ind w:left="171"/>
              <w:rPr>
                <w:color w:val="000000" w:themeColor="text1"/>
                <w14:textFill>
                  <w14:solidFill>
                    <w14:schemeClr w14:val="tx1"/>
                  </w14:solidFill>
                </w14:textFill>
              </w:rPr>
            </w:pPr>
            <w:r>
              <w:rPr>
                <w:color w:val="000000" w:themeColor="text1"/>
                <w14:textFill>
                  <w14:solidFill>
                    <w14:schemeClr w14:val="tx1"/>
                  </w14:solidFill>
                </w14:textFill>
              </w:rPr>
              <w:t>4、树穴直径须大于土球直径50cm以上，封土深度以盖住土球上部3-5cm左右为宜。</w:t>
            </w:r>
          </w:p>
          <w:p w14:paraId="78074AD2">
            <w:pPr>
              <w:pStyle w:val="29"/>
              <w:spacing w:before="74" w:line="218" w:lineRule="auto"/>
              <w:ind w:left="171"/>
              <w:rPr>
                <w:color w:val="000000" w:themeColor="text1"/>
                <w14:textFill>
                  <w14:solidFill>
                    <w14:schemeClr w14:val="tx1"/>
                  </w14:solidFill>
                </w14:textFill>
              </w:rPr>
            </w:pPr>
            <w:r>
              <w:rPr>
                <w:color w:val="000000" w:themeColor="text1"/>
                <w14:textFill>
                  <w14:solidFill>
                    <w14:schemeClr w14:val="tx1"/>
                  </w14:solidFill>
                </w14:textFill>
              </w:rPr>
              <w:t>5、苗木栽植前的起挖、包装运输规范；栽植后的支撑、修剪、浇水等严格按照规范操</w:t>
            </w:r>
            <w:r>
              <w:rPr>
                <w:color w:val="000000" w:themeColor="text1"/>
                <w:spacing w:val="-1"/>
                <w14:textFill>
                  <w14:solidFill>
                    <w14:schemeClr w14:val="tx1"/>
                  </w14:solidFill>
                </w14:textFill>
              </w:rPr>
              <w:t>作。</w:t>
            </w:r>
          </w:p>
        </w:tc>
      </w:tr>
      <w:tr w14:paraId="17E8A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jc w:val="center"/>
        </w:trPr>
        <w:tc>
          <w:tcPr>
            <w:tcW w:w="1263" w:type="dxa"/>
            <w:vAlign w:val="top"/>
          </w:tcPr>
          <w:p w14:paraId="1268D265">
            <w:pPr>
              <w:spacing w:line="342" w:lineRule="auto"/>
              <w:jc w:val="center"/>
              <w:rPr>
                <w:rFonts w:ascii="Arial"/>
                <w:color w:val="000000" w:themeColor="text1"/>
                <w:sz w:val="21"/>
                <w14:textFill>
                  <w14:solidFill>
                    <w14:schemeClr w14:val="tx1"/>
                  </w14:solidFill>
                </w14:textFill>
              </w:rPr>
            </w:pPr>
          </w:p>
          <w:p w14:paraId="71C4BDA6">
            <w:pPr>
              <w:pStyle w:val="29"/>
              <w:spacing w:before="62" w:line="220" w:lineRule="auto"/>
              <w:jc w:val="center"/>
              <w:rPr>
                <w:color w:val="000000" w:themeColor="text1"/>
                <w14:textFill>
                  <w14:solidFill>
                    <w14:schemeClr w14:val="tx1"/>
                  </w14:solidFill>
                </w14:textFill>
              </w:rPr>
            </w:pPr>
            <w:r>
              <w:rPr>
                <w:color w:val="000000" w:themeColor="text1"/>
                <w:spacing w:val="7"/>
                <w14:textFill>
                  <w14:solidFill>
                    <w14:schemeClr w14:val="tx1"/>
                  </w14:solidFill>
                </w14:textFill>
              </w:rPr>
              <w:t>保护</w:t>
            </w:r>
          </w:p>
        </w:tc>
        <w:tc>
          <w:tcPr>
            <w:tcW w:w="8922" w:type="dxa"/>
            <w:vAlign w:val="top"/>
          </w:tcPr>
          <w:p w14:paraId="0BE9C35B">
            <w:pPr>
              <w:pStyle w:val="29"/>
              <w:spacing w:before="126" w:line="219" w:lineRule="auto"/>
              <w:ind w:left="171"/>
              <w:rPr>
                <w:color w:val="000000" w:themeColor="text1"/>
                <w14:textFill>
                  <w14:solidFill>
                    <w14:schemeClr w14:val="tx1"/>
                  </w14:solidFill>
                </w14:textFill>
              </w:rPr>
            </w:pPr>
            <w:r>
              <w:rPr>
                <w:color w:val="000000" w:themeColor="text1"/>
                <w14:textFill>
                  <w14:solidFill>
                    <w14:schemeClr w14:val="tx1"/>
                  </w14:solidFill>
                </w14:textFill>
              </w:rPr>
              <w:t>1、新栽植的比较柔弱的树木必须打支撑，支撑必须坚固、耐用和美观。</w:t>
            </w:r>
          </w:p>
          <w:p w14:paraId="462CB9EB">
            <w:pPr>
              <w:pStyle w:val="29"/>
              <w:spacing w:before="73" w:line="219" w:lineRule="auto"/>
              <w:ind w:left="171"/>
              <w:rPr>
                <w:color w:val="000000" w:themeColor="text1"/>
                <w14:textFill>
                  <w14:solidFill>
                    <w14:schemeClr w14:val="tx1"/>
                  </w14:solidFill>
                </w14:textFill>
              </w:rPr>
            </w:pPr>
            <w:r>
              <w:rPr>
                <w:color w:val="000000" w:themeColor="text1"/>
                <w14:textFill>
                  <w14:solidFill>
                    <w14:schemeClr w14:val="tx1"/>
                  </w14:solidFill>
                </w14:textFill>
              </w:rPr>
              <w:t>2、大多数苗木，秋冬季必须进行树干涂白处理，以杀虫灭菌和保温防</w:t>
            </w:r>
            <w:r>
              <w:rPr>
                <w:color w:val="000000" w:themeColor="text1"/>
                <w:spacing w:val="-1"/>
                <w14:textFill>
                  <w14:solidFill>
                    <w14:schemeClr w14:val="tx1"/>
                  </w14:solidFill>
                </w14:textFill>
              </w:rPr>
              <w:t>冻。</w:t>
            </w:r>
          </w:p>
          <w:p w14:paraId="12379A85">
            <w:pPr>
              <w:pStyle w:val="29"/>
              <w:spacing w:before="74" w:line="219" w:lineRule="auto"/>
              <w:ind w:left="171"/>
              <w:rPr>
                <w:color w:val="000000" w:themeColor="text1"/>
                <w14:textFill>
                  <w14:solidFill>
                    <w14:schemeClr w14:val="tx1"/>
                  </w14:solidFill>
                </w14:textFill>
              </w:rPr>
            </w:pPr>
            <w:r>
              <w:rPr>
                <w:color w:val="000000" w:themeColor="text1"/>
                <w14:textFill>
                  <w14:solidFill>
                    <w14:schemeClr w14:val="tx1"/>
                  </w14:solidFill>
                </w14:textFill>
              </w:rPr>
              <w:t>3、不耐寒的树种，越冬前要对树木树干和主枝进行防寒保暖处理，如包扎草绳等。</w:t>
            </w:r>
          </w:p>
        </w:tc>
      </w:tr>
      <w:tr w14:paraId="2DC31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7" w:hRule="atLeast"/>
          <w:jc w:val="center"/>
        </w:trPr>
        <w:tc>
          <w:tcPr>
            <w:tcW w:w="1263" w:type="dxa"/>
            <w:vAlign w:val="center"/>
          </w:tcPr>
          <w:p w14:paraId="0A7A8206">
            <w:pPr>
              <w:pStyle w:val="29"/>
              <w:spacing w:before="62" w:line="220"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卫生保洁</w:t>
            </w:r>
          </w:p>
        </w:tc>
        <w:tc>
          <w:tcPr>
            <w:tcW w:w="8922" w:type="dxa"/>
            <w:vAlign w:val="top"/>
          </w:tcPr>
          <w:p w14:paraId="4569775A">
            <w:pPr>
              <w:pStyle w:val="29"/>
              <w:spacing w:before="285" w:line="219" w:lineRule="auto"/>
              <w:ind w:firstLine="210" w:firstLineChars="100"/>
              <w:jc w:val="both"/>
              <w:rPr>
                <w:color w:val="000000" w:themeColor="text1"/>
                <w14:textFill>
                  <w14:solidFill>
                    <w14:schemeClr w14:val="tx1"/>
                  </w14:solidFill>
                </w14:textFill>
              </w:rPr>
            </w:pPr>
            <w:r>
              <w:rPr>
                <w:color w:val="000000" w:themeColor="text1"/>
                <w14:textFill>
                  <w14:solidFill>
                    <w14:schemeClr w14:val="tx1"/>
                  </w14:solidFill>
                </w14:textFill>
              </w:rPr>
              <w:t>1、枝干上、树穴内无悬挂物、生活垃圾、砖石瓦砾、干枯枝叶和其他废弃物。</w:t>
            </w:r>
          </w:p>
          <w:p w14:paraId="73704BA5">
            <w:pPr>
              <w:pStyle w:val="29"/>
              <w:spacing w:before="95" w:line="219" w:lineRule="auto"/>
              <w:ind w:firstLine="210" w:firstLineChars="100"/>
              <w:jc w:val="both"/>
              <w:rPr>
                <w:color w:val="000000" w:themeColor="text1"/>
                <w14:textFill>
                  <w14:solidFill>
                    <w14:schemeClr w14:val="tx1"/>
                  </w14:solidFill>
                </w14:textFill>
              </w:rPr>
            </w:pPr>
            <w:r>
              <w:rPr>
                <w:color w:val="000000" w:themeColor="text1"/>
                <w14:textFill>
                  <w14:solidFill>
                    <w14:schemeClr w14:val="tx1"/>
                  </w14:solidFill>
                </w14:textFill>
              </w:rPr>
              <w:t>2、对作业废弃物(如修剪产生的树枝、树叶等)重点地区随产随清，其它地区日产日</w:t>
            </w:r>
            <w:r>
              <w:rPr>
                <w:color w:val="000000" w:themeColor="text1"/>
                <w:spacing w:val="-1"/>
                <w14:textFill>
                  <w14:solidFill>
                    <w14:schemeClr w14:val="tx1"/>
                  </w14:solidFill>
                </w14:textFill>
              </w:rPr>
              <w:t>清。</w:t>
            </w:r>
          </w:p>
        </w:tc>
      </w:tr>
    </w:tbl>
    <w:p w14:paraId="5CC5C0C1">
      <w:pPr>
        <w:rPr>
          <w:rFonts w:ascii="Arial"/>
          <w:sz w:val="21"/>
        </w:rPr>
      </w:pPr>
    </w:p>
    <w:p w14:paraId="047C83E2">
      <w:pPr>
        <w:rPr>
          <w:rFonts w:ascii="Arial" w:hAnsi="Arial" w:eastAsia="Arial" w:cs="Arial"/>
          <w:sz w:val="21"/>
          <w:szCs w:val="21"/>
        </w:rPr>
        <w:sectPr>
          <w:headerReference r:id="rId9" w:type="default"/>
          <w:pgSz w:w="11910" w:h="16840"/>
          <w:pgMar w:top="1304" w:right="1417" w:bottom="1304" w:left="1417" w:header="0" w:footer="850" w:gutter="0"/>
          <w:cols w:space="720" w:num="1"/>
        </w:sectPr>
      </w:pPr>
    </w:p>
    <w:p w14:paraId="65848D75">
      <w:pPr>
        <w:spacing w:before="101" w:line="219" w:lineRule="auto"/>
        <w:jc w:val="center"/>
      </w:pPr>
      <w:r>
        <w:rPr>
          <w:rFonts w:ascii="宋体" w:hAnsi="宋体" w:eastAsia="宋体" w:cs="宋体"/>
          <w:b/>
          <w:bCs/>
          <w:spacing w:val="-26"/>
          <w:sz w:val="31"/>
          <w:szCs w:val="31"/>
        </w:rPr>
        <w:t>卢氏县园林绿化养护标准——草坪养护标准</w:t>
      </w:r>
    </w:p>
    <w:tbl>
      <w:tblPr>
        <w:tblStyle w:val="30"/>
        <w:tblW w:w="99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8"/>
        <w:gridCol w:w="8671"/>
      </w:tblGrid>
      <w:tr w14:paraId="78649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1288" w:type="dxa"/>
            <w:vAlign w:val="center"/>
          </w:tcPr>
          <w:p w14:paraId="1FCC4B31">
            <w:pPr>
              <w:pStyle w:val="29"/>
              <w:spacing w:before="73" w:line="220" w:lineRule="auto"/>
              <w:jc w:val="center"/>
              <w:rPr>
                <w:color w:val="000000" w:themeColor="text1"/>
                <w14:textFill>
                  <w14:solidFill>
                    <w14:schemeClr w14:val="tx1"/>
                  </w14:solidFill>
                </w14:textFill>
              </w:rPr>
            </w:pPr>
            <w:r>
              <w:rPr>
                <w:color w:val="000000" w:themeColor="text1"/>
                <w:spacing w:val="-6"/>
                <w14:textFill>
                  <w14:solidFill>
                    <w14:schemeClr w14:val="tx1"/>
                  </w14:solidFill>
                </w14:textFill>
              </w:rPr>
              <w:t>项目</w:t>
            </w:r>
          </w:p>
        </w:tc>
        <w:tc>
          <w:tcPr>
            <w:tcW w:w="8671" w:type="dxa"/>
            <w:vAlign w:val="top"/>
          </w:tcPr>
          <w:p w14:paraId="109866E5">
            <w:pPr>
              <w:pStyle w:val="29"/>
              <w:spacing w:before="72" w:line="219" w:lineRule="auto"/>
              <w:ind w:left="3251"/>
              <w:rPr>
                <w:color w:val="000000" w:themeColor="text1"/>
                <w14:textFill>
                  <w14:solidFill>
                    <w14:schemeClr w14:val="tx1"/>
                  </w14:solidFill>
                </w14:textFill>
              </w:rPr>
            </w:pPr>
            <w:r>
              <w:rPr>
                <w:color w:val="000000" w:themeColor="text1"/>
                <w:spacing w:val="-2"/>
                <w14:textFill>
                  <w14:solidFill>
                    <w14:schemeClr w14:val="tx1"/>
                  </w14:solidFill>
                </w14:textFill>
              </w:rPr>
              <w:t>养护标准</w:t>
            </w:r>
          </w:p>
        </w:tc>
      </w:tr>
      <w:tr w14:paraId="72C72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6" w:hRule="atLeast"/>
          <w:jc w:val="center"/>
        </w:trPr>
        <w:tc>
          <w:tcPr>
            <w:tcW w:w="1288" w:type="dxa"/>
            <w:vAlign w:val="center"/>
          </w:tcPr>
          <w:p w14:paraId="26039AFA">
            <w:pPr>
              <w:spacing w:line="241" w:lineRule="auto"/>
              <w:jc w:val="center"/>
              <w:rPr>
                <w:rFonts w:ascii="Arial"/>
                <w:color w:val="000000" w:themeColor="text1"/>
                <w:sz w:val="21"/>
                <w14:textFill>
                  <w14:solidFill>
                    <w14:schemeClr w14:val="tx1"/>
                  </w14:solidFill>
                </w14:textFill>
              </w:rPr>
            </w:pPr>
          </w:p>
          <w:p w14:paraId="2AE38C93">
            <w:pPr>
              <w:spacing w:line="242" w:lineRule="auto"/>
              <w:jc w:val="center"/>
              <w:rPr>
                <w:rFonts w:ascii="Arial"/>
                <w:color w:val="000000" w:themeColor="text1"/>
                <w:sz w:val="21"/>
                <w14:textFill>
                  <w14:solidFill>
                    <w14:schemeClr w14:val="tx1"/>
                  </w14:solidFill>
                </w14:textFill>
              </w:rPr>
            </w:pPr>
          </w:p>
          <w:p w14:paraId="36FEC064">
            <w:pPr>
              <w:pStyle w:val="29"/>
              <w:spacing w:before="61" w:line="219" w:lineRule="auto"/>
              <w:jc w:val="center"/>
              <w:rPr>
                <w:color w:val="000000" w:themeColor="text1"/>
                <w14:textFill>
                  <w14:solidFill>
                    <w14:schemeClr w14:val="tx1"/>
                  </w14:solidFill>
                </w14:textFill>
              </w:rPr>
            </w:pPr>
            <w:r>
              <w:rPr>
                <w:color w:val="000000" w:themeColor="text1"/>
                <w:spacing w:val="4"/>
                <w14:textFill>
                  <w14:solidFill>
                    <w14:schemeClr w14:val="tx1"/>
                  </w14:solidFill>
                </w14:textFill>
              </w:rPr>
              <w:t>景观</w:t>
            </w:r>
          </w:p>
        </w:tc>
        <w:tc>
          <w:tcPr>
            <w:tcW w:w="8671" w:type="dxa"/>
            <w:vAlign w:val="top"/>
          </w:tcPr>
          <w:p w14:paraId="22C9B31C">
            <w:pPr>
              <w:pStyle w:val="29"/>
              <w:spacing w:before="156" w:line="219"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1、管养精细，景观优美，无人为践踏痕迹。</w:t>
            </w:r>
          </w:p>
          <w:p w14:paraId="318B81DD">
            <w:pPr>
              <w:pStyle w:val="29"/>
              <w:spacing w:before="65"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2、草坪单一品种纯度95</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以上，目测无明显杂草。</w:t>
            </w:r>
          </w:p>
          <w:p w14:paraId="42047A43">
            <w:pPr>
              <w:pStyle w:val="29"/>
              <w:spacing w:before="7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3、草坪成坪美观，生长旺盛，生长季节不枯黄、不斑秃、无坑洼，目测覆盖率95%。</w:t>
            </w:r>
          </w:p>
          <w:p w14:paraId="29D75F7B">
            <w:pPr>
              <w:pStyle w:val="29"/>
              <w:spacing w:before="7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4、环境卫生佳，无明显垃圾。</w:t>
            </w:r>
          </w:p>
        </w:tc>
      </w:tr>
      <w:tr w14:paraId="52B33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jc w:val="center"/>
        </w:trPr>
        <w:tc>
          <w:tcPr>
            <w:tcW w:w="1288" w:type="dxa"/>
            <w:vAlign w:val="center"/>
          </w:tcPr>
          <w:p w14:paraId="061B8C97">
            <w:pPr>
              <w:pStyle w:val="29"/>
              <w:spacing w:before="262" w:line="223" w:lineRule="auto"/>
              <w:jc w:val="center"/>
              <w:rPr>
                <w:color w:val="000000" w:themeColor="text1"/>
                <w14:textFill>
                  <w14:solidFill>
                    <w14:schemeClr w14:val="tx1"/>
                  </w14:solidFill>
                </w14:textFill>
              </w:rPr>
            </w:pPr>
            <w:r>
              <w:rPr>
                <w:color w:val="000000" w:themeColor="text1"/>
                <w:spacing w:val="-5"/>
                <w14:textFill>
                  <w14:solidFill>
                    <w14:schemeClr w14:val="tx1"/>
                  </w14:solidFill>
                </w14:textFill>
              </w:rPr>
              <w:t>生长</w:t>
            </w:r>
          </w:p>
        </w:tc>
        <w:tc>
          <w:tcPr>
            <w:tcW w:w="8671" w:type="dxa"/>
            <w:vAlign w:val="top"/>
          </w:tcPr>
          <w:p w14:paraId="6983E55D">
            <w:pPr>
              <w:pStyle w:val="29"/>
              <w:spacing w:before="148"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1、生长势旺盛。</w:t>
            </w:r>
          </w:p>
          <w:p w14:paraId="7B9D5F17">
            <w:pPr>
              <w:pStyle w:val="29"/>
              <w:spacing w:before="8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2、叶色浓绿有光济，生长期无枯黄、焦叶，病虫害发生率在5</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以</w:t>
            </w:r>
            <w:r>
              <w:rPr>
                <w:color w:val="000000" w:themeColor="text1"/>
                <w:spacing w:val="-1"/>
                <w14:textFill>
                  <w14:solidFill>
                    <w14:schemeClr w14:val="tx1"/>
                  </w14:solidFill>
                </w14:textFill>
              </w:rPr>
              <w:t>内。</w:t>
            </w:r>
          </w:p>
        </w:tc>
      </w:tr>
      <w:tr w14:paraId="43CBE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jc w:val="center"/>
        </w:trPr>
        <w:tc>
          <w:tcPr>
            <w:tcW w:w="1288" w:type="dxa"/>
            <w:vAlign w:val="center"/>
          </w:tcPr>
          <w:p w14:paraId="01E84F5A">
            <w:pPr>
              <w:spacing w:line="322" w:lineRule="auto"/>
              <w:jc w:val="center"/>
              <w:rPr>
                <w:rFonts w:ascii="Arial"/>
                <w:color w:val="000000" w:themeColor="text1"/>
                <w:sz w:val="21"/>
                <w14:textFill>
                  <w14:solidFill>
                    <w14:schemeClr w14:val="tx1"/>
                  </w14:solidFill>
                </w14:textFill>
              </w:rPr>
            </w:pPr>
          </w:p>
          <w:p w14:paraId="457D3CED">
            <w:pPr>
              <w:spacing w:line="322" w:lineRule="auto"/>
              <w:jc w:val="center"/>
              <w:rPr>
                <w:rFonts w:ascii="Arial"/>
                <w:color w:val="000000" w:themeColor="text1"/>
                <w:sz w:val="21"/>
                <w14:textFill>
                  <w14:solidFill>
                    <w14:schemeClr w14:val="tx1"/>
                  </w14:solidFill>
                </w14:textFill>
              </w:rPr>
            </w:pPr>
          </w:p>
          <w:p w14:paraId="5C14B9E0">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修剪</w:t>
            </w:r>
          </w:p>
        </w:tc>
        <w:tc>
          <w:tcPr>
            <w:tcW w:w="8671" w:type="dxa"/>
            <w:vAlign w:val="top"/>
          </w:tcPr>
          <w:p w14:paraId="04E6DAB6">
            <w:pPr>
              <w:pStyle w:val="29"/>
              <w:spacing w:before="170" w:line="226" w:lineRule="auto"/>
              <w:ind w:left="181" w:hanging="19"/>
              <w:jc w:val="both"/>
              <w:rPr>
                <w:color w:val="000000" w:themeColor="text1"/>
                <w14:textFill>
                  <w14:solidFill>
                    <w14:schemeClr w14:val="tx1"/>
                  </w14:solidFill>
                </w14:textFill>
              </w:rPr>
            </w:pPr>
            <w:r>
              <w:rPr>
                <w:color w:val="000000" w:themeColor="text1"/>
                <w:spacing w:val="-7"/>
                <w14:textFill>
                  <w14:solidFill>
                    <w14:schemeClr w14:val="tx1"/>
                  </w14:solidFill>
                </w14:textFill>
              </w:rPr>
              <w:t>1、暖季型草坪每年修剪次数不少于5次，冷季型</w:t>
            </w:r>
            <w:r>
              <w:rPr>
                <w:color w:val="000000" w:themeColor="text1"/>
                <w:spacing w:val="-8"/>
                <w14:textFill>
                  <w14:solidFill>
                    <w14:schemeClr w14:val="tx1"/>
                  </w14:solidFill>
                </w14:textFill>
              </w:rPr>
              <w:t>草坪高度始终保待在6</w:t>
            </w:r>
            <w:r>
              <w:rPr>
                <w:rFonts w:hint="eastAsia"/>
                <w:color w:val="000000" w:themeColor="text1"/>
                <w:spacing w:val="-8"/>
                <w:lang w:val="en-US" w:eastAsia="zh-CN"/>
                <w14:textFill>
                  <w14:solidFill>
                    <w14:schemeClr w14:val="tx1"/>
                  </w14:solidFill>
                </w14:textFill>
              </w:rPr>
              <w:t>--</w:t>
            </w:r>
            <w:r>
              <w:rPr>
                <w:color w:val="000000" w:themeColor="text1"/>
                <w:spacing w:val="-8"/>
                <w14:textFill>
                  <w14:solidFill>
                    <w14:schemeClr w14:val="tx1"/>
                  </w14:solidFill>
                </w14:textFill>
              </w:rPr>
              <w:t>8cm以内，全年修剪次数</w:t>
            </w:r>
            <w:r>
              <w:rPr>
                <w:color w:val="000000" w:themeColor="text1"/>
                <w:spacing w:val="-1"/>
                <w14:textFill>
                  <w14:solidFill>
                    <w14:schemeClr w14:val="tx1"/>
                  </w14:solidFill>
                </w14:textFill>
              </w:rPr>
              <w:t>不少于7次。</w:t>
            </w:r>
          </w:p>
          <w:p w14:paraId="7DAD0373">
            <w:pPr>
              <w:pStyle w:val="29"/>
              <w:spacing w:before="84" w:line="219" w:lineRule="auto"/>
              <w:ind w:left="181"/>
              <w:rPr>
                <w:color w:val="000000" w:themeColor="text1"/>
                <w14:textFill>
                  <w14:solidFill>
                    <w14:schemeClr w14:val="tx1"/>
                  </w14:solidFill>
                </w14:textFill>
              </w:rPr>
            </w:pPr>
            <w:r>
              <w:rPr>
                <w:color w:val="000000" w:themeColor="text1"/>
                <w:spacing w:val="-4"/>
                <w14:textFill>
                  <w14:solidFill>
                    <w14:schemeClr w14:val="tx1"/>
                  </w14:solidFill>
                </w14:textFill>
              </w:rPr>
              <w:t>2、修剪适时适度，修剪平整、均匀，无漏块，草屑清除及时、彻底</w:t>
            </w:r>
            <w:r>
              <w:rPr>
                <w:color w:val="000000" w:themeColor="text1"/>
                <w:spacing w:val="-30"/>
                <w14:textFill>
                  <w14:solidFill>
                    <w14:schemeClr w14:val="tx1"/>
                  </w14:solidFill>
                </w14:textFill>
              </w:rPr>
              <w:t xml:space="preserve"> </w:t>
            </w:r>
            <w:r>
              <w:rPr>
                <w:color w:val="000000" w:themeColor="text1"/>
                <w:spacing w:val="-4"/>
                <w14:textFill>
                  <w14:solidFill>
                    <w14:schemeClr w14:val="tx1"/>
                  </w14:solidFill>
                </w14:textFill>
              </w:rPr>
              <w:t>。</w:t>
            </w:r>
          </w:p>
          <w:p w14:paraId="26D92F67">
            <w:pPr>
              <w:pStyle w:val="29"/>
              <w:spacing w:before="8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3、严格按照草坪修建操作规程进行修剪。</w:t>
            </w:r>
          </w:p>
          <w:p w14:paraId="386D5ED8">
            <w:pPr>
              <w:pStyle w:val="29"/>
              <w:spacing w:before="8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4、修剪工具齐全，运转良好。</w:t>
            </w:r>
          </w:p>
        </w:tc>
      </w:tr>
      <w:tr w14:paraId="72D0D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3" w:hRule="atLeast"/>
          <w:jc w:val="center"/>
        </w:trPr>
        <w:tc>
          <w:tcPr>
            <w:tcW w:w="1288" w:type="dxa"/>
            <w:vAlign w:val="center"/>
          </w:tcPr>
          <w:p w14:paraId="6F77FB2A">
            <w:pPr>
              <w:spacing w:line="264" w:lineRule="auto"/>
              <w:jc w:val="center"/>
              <w:rPr>
                <w:rFonts w:ascii="Arial"/>
                <w:color w:val="000000" w:themeColor="text1"/>
                <w:sz w:val="21"/>
                <w14:textFill>
                  <w14:solidFill>
                    <w14:schemeClr w14:val="tx1"/>
                  </w14:solidFill>
                </w14:textFill>
              </w:rPr>
            </w:pPr>
          </w:p>
          <w:p w14:paraId="0848F646">
            <w:pPr>
              <w:spacing w:line="264" w:lineRule="auto"/>
              <w:jc w:val="center"/>
              <w:rPr>
                <w:rFonts w:ascii="Arial"/>
                <w:color w:val="000000" w:themeColor="text1"/>
                <w:sz w:val="21"/>
                <w14:textFill>
                  <w14:solidFill>
                    <w14:schemeClr w14:val="tx1"/>
                  </w14:solidFill>
                </w14:textFill>
              </w:rPr>
            </w:pPr>
          </w:p>
          <w:p w14:paraId="6B8F278B">
            <w:pPr>
              <w:spacing w:line="264" w:lineRule="auto"/>
              <w:jc w:val="center"/>
              <w:rPr>
                <w:rFonts w:ascii="Arial"/>
                <w:color w:val="000000" w:themeColor="text1"/>
                <w:sz w:val="21"/>
                <w14:textFill>
                  <w14:solidFill>
                    <w14:schemeClr w14:val="tx1"/>
                  </w14:solidFill>
                </w14:textFill>
              </w:rPr>
            </w:pPr>
          </w:p>
          <w:p w14:paraId="58165FBF">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肥水管理</w:t>
            </w:r>
          </w:p>
        </w:tc>
        <w:tc>
          <w:tcPr>
            <w:tcW w:w="8671" w:type="dxa"/>
            <w:vAlign w:val="center"/>
          </w:tcPr>
          <w:p w14:paraId="2CE17BBC">
            <w:pPr>
              <w:pStyle w:val="29"/>
              <w:spacing w:before="170" w:line="236" w:lineRule="auto"/>
              <w:ind w:left="181" w:hanging="19"/>
              <w:jc w:val="both"/>
              <w:rPr>
                <w:color w:val="000000" w:themeColor="text1"/>
                <w14:textFill>
                  <w14:solidFill>
                    <w14:schemeClr w14:val="tx1"/>
                  </w14:solidFill>
                </w14:textFill>
              </w:rPr>
            </w:pPr>
            <w:r>
              <w:rPr>
                <w:color w:val="000000" w:themeColor="text1"/>
                <w:spacing w:val="-10"/>
                <w14:textFill>
                  <w14:solidFill>
                    <w14:schemeClr w14:val="tx1"/>
                  </w14:solidFill>
                </w14:textFill>
              </w:rPr>
              <w:t>1、冷季型草坪年度施肥次数不少于3次，暖季型草坪不少于2次；浇水次数依生长季节天气情况、</w:t>
            </w:r>
            <w:r>
              <w:rPr>
                <w:color w:val="000000" w:themeColor="text1"/>
                <w:spacing w:val="7"/>
                <w14:textFill>
                  <w14:solidFill>
                    <w14:schemeClr w14:val="tx1"/>
                  </w14:solidFill>
                </w14:textFill>
              </w:rPr>
              <w:t xml:space="preserve"> </w:t>
            </w:r>
            <w:r>
              <w:rPr>
                <w:color w:val="000000" w:themeColor="text1"/>
                <w:spacing w:val="-2"/>
                <w14:textFill>
                  <w14:solidFill>
                    <w14:schemeClr w14:val="tx1"/>
                  </w14:solidFill>
                </w14:textFill>
              </w:rPr>
              <w:t>植物种类，适当进行，但全年浇水次数不应少于10次。</w:t>
            </w:r>
          </w:p>
          <w:p w14:paraId="027C5590">
            <w:pPr>
              <w:pStyle w:val="29"/>
              <w:spacing w:before="73" w:line="219" w:lineRule="auto"/>
              <w:ind w:left="181"/>
              <w:jc w:val="both"/>
              <w:rPr>
                <w:color w:val="000000" w:themeColor="text1"/>
                <w14:textFill>
                  <w14:solidFill>
                    <w14:schemeClr w14:val="tx1"/>
                  </w14:solidFill>
                </w14:textFill>
              </w:rPr>
            </w:pPr>
            <w:r>
              <w:rPr>
                <w:color w:val="000000" w:themeColor="text1"/>
                <w14:textFill>
                  <w14:solidFill>
                    <w14:schemeClr w14:val="tx1"/>
                  </w14:solidFill>
                </w14:textFill>
              </w:rPr>
              <w:t>2、地被每年施肥次数不少于4次，全年浇水次数不应少于8次。</w:t>
            </w:r>
          </w:p>
          <w:p w14:paraId="36A2364F">
            <w:pPr>
              <w:pStyle w:val="29"/>
              <w:spacing w:before="74" w:line="219" w:lineRule="auto"/>
              <w:ind w:left="181"/>
              <w:jc w:val="both"/>
              <w:rPr>
                <w:color w:val="000000" w:themeColor="text1"/>
                <w14:textFill>
                  <w14:solidFill>
                    <w14:schemeClr w14:val="tx1"/>
                  </w14:solidFill>
                </w14:textFill>
              </w:rPr>
            </w:pPr>
            <w:r>
              <w:rPr>
                <w:color w:val="000000" w:themeColor="text1"/>
                <w14:textFill>
                  <w14:solidFill>
                    <w14:schemeClr w14:val="tx1"/>
                  </w14:solidFill>
                </w14:textFill>
              </w:rPr>
              <w:t>3、肥料种类适宜，施肥方法合理、有效。</w:t>
            </w:r>
          </w:p>
          <w:p w14:paraId="535E05E5">
            <w:pPr>
              <w:pStyle w:val="29"/>
              <w:spacing w:before="64" w:line="219" w:lineRule="auto"/>
              <w:ind w:left="181"/>
              <w:jc w:val="both"/>
              <w:rPr>
                <w:color w:val="000000" w:themeColor="text1"/>
                <w14:textFill>
                  <w14:solidFill>
                    <w14:schemeClr w14:val="tx1"/>
                  </w14:solidFill>
                </w14:textFill>
              </w:rPr>
            </w:pPr>
            <w:r>
              <w:rPr>
                <w:color w:val="000000" w:themeColor="text1"/>
                <w14:textFill>
                  <w14:solidFill>
                    <w14:schemeClr w14:val="tx1"/>
                  </w14:solidFill>
                </w14:textFill>
              </w:rPr>
              <w:t>4、无缺水肥或水肥过量引起的草坪生长衰弱和死亡现象。</w:t>
            </w:r>
          </w:p>
          <w:p w14:paraId="43538287">
            <w:pPr>
              <w:pStyle w:val="29"/>
              <w:spacing w:before="74" w:line="219" w:lineRule="auto"/>
              <w:ind w:left="181"/>
              <w:jc w:val="both"/>
              <w:rPr>
                <w:color w:val="000000" w:themeColor="text1"/>
                <w14:textFill>
                  <w14:solidFill>
                    <w14:schemeClr w14:val="tx1"/>
                  </w14:solidFill>
                </w14:textFill>
              </w:rPr>
            </w:pPr>
            <w:r>
              <w:rPr>
                <w:color w:val="000000" w:themeColor="text1"/>
                <w:spacing w:val="-1"/>
                <w14:textFill>
                  <w14:solidFill>
                    <w14:schemeClr w14:val="tx1"/>
                  </w14:solidFill>
                </w14:textFill>
              </w:rPr>
              <w:t>5、排水畅通，雨后基本无积水现象。</w:t>
            </w:r>
          </w:p>
        </w:tc>
      </w:tr>
      <w:tr w14:paraId="02FDD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jc w:val="center"/>
        </w:trPr>
        <w:tc>
          <w:tcPr>
            <w:tcW w:w="1288" w:type="dxa"/>
            <w:vAlign w:val="center"/>
          </w:tcPr>
          <w:p w14:paraId="5161917E">
            <w:pPr>
              <w:pStyle w:val="29"/>
              <w:spacing w:before="62" w:line="219"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修边</w:t>
            </w:r>
          </w:p>
        </w:tc>
        <w:tc>
          <w:tcPr>
            <w:tcW w:w="8671" w:type="dxa"/>
            <w:vAlign w:val="center"/>
          </w:tcPr>
          <w:p w14:paraId="1C44EBDA">
            <w:pPr>
              <w:pStyle w:val="29"/>
              <w:spacing w:before="65" w:line="219" w:lineRule="auto"/>
              <w:ind w:left="181"/>
              <w:jc w:val="both"/>
              <w:rPr>
                <w:color w:val="000000" w:themeColor="text1"/>
                <w14:textFill>
                  <w14:solidFill>
                    <w14:schemeClr w14:val="tx1"/>
                  </w14:solidFill>
                </w14:textFill>
              </w:rPr>
            </w:pPr>
            <w:r>
              <w:rPr>
                <w:color w:val="000000" w:themeColor="text1"/>
                <w14:textFill>
                  <w14:solidFill>
                    <w14:schemeClr w14:val="tx1"/>
                  </w14:solidFill>
                </w14:textFill>
              </w:rPr>
              <w:t>边线宽窄适宜，线条清晰流畅(草坪与侧石结合部位切出6</w:t>
            </w: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8cm整齐美观的边缘带，草坪(蔓延 性地被)与绿篱间切出10cm整齐美观的边缘带</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目的阻止草坪、地被越界蔓延。</w:t>
            </w:r>
          </w:p>
        </w:tc>
      </w:tr>
      <w:tr w14:paraId="2B1CF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1288" w:type="dxa"/>
            <w:vAlign w:val="center"/>
          </w:tcPr>
          <w:p w14:paraId="6F60DDA5">
            <w:pPr>
              <w:pStyle w:val="29"/>
              <w:spacing w:before="114" w:line="219" w:lineRule="auto"/>
              <w:jc w:val="center"/>
              <w:rPr>
                <w:color w:val="000000" w:themeColor="text1"/>
                <w14:textFill>
                  <w14:solidFill>
                    <w14:schemeClr w14:val="tx1"/>
                  </w14:solidFill>
                </w14:textFill>
              </w:rPr>
            </w:pPr>
            <w:r>
              <w:rPr>
                <w:color w:val="000000" w:themeColor="text1"/>
                <w:spacing w:val="-5"/>
                <w14:textFill>
                  <w14:solidFill>
                    <w14:schemeClr w14:val="tx1"/>
                  </w14:solidFill>
                </w14:textFill>
              </w:rPr>
              <w:t>松土</w:t>
            </w:r>
          </w:p>
          <w:p w14:paraId="3DA8224A">
            <w:pPr>
              <w:pStyle w:val="29"/>
              <w:spacing w:before="64" w:line="219" w:lineRule="auto"/>
              <w:jc w:val="center"/>
              <w:rPr>
                <w:color w:val="000000" w:themeColor="text1"/>
                <w14:textFill>
                  <w14:solidFill>
                    <w14:schemeClr w14:val="tx1"/>
                  </w14:solidFill>
                </w14:textFill>
              </w:rPr>
            </w:pPr>
            <w:r>
              <w:rPr>
                <w:color w:val="000000" w:themeColor="text1"/>
                <w:spacing w:val="4"/>
                <w14:textFill>
                  <w14:solidFill>
                    <w14:schemeClr w14:val="tx1"/>
                  </w14:solidFill>
                </w14:textFill>
              </w:rPr>
              <w:t>除草</w:t>
            </w:r>
          </w:p>
        </w:tc>
        <w:tc>
          <w:tcPr>
            <w:tcW w:w="8671" w:type="dxa"/>
            <w:vAlign w:val="top"/>
          </w:tcPr>
          <w:p w14:paraId="70DB931D">
            <w:pPr>
              <w:pStyle w:val="29"/>
              <w:spacing w:before="133" w:line="241" w:lineRule="auto"/>
              <w:ind w:left="181" w:hanging="29"/>
              <w:jc w:val="both"/>
              <w:rPr>
                <w:color w:val="000000" w:themeColor="text1"/>
                <w14:textFill>
                  <w14:solidFill>
                    <w14:schemeClr w14:val="tx1"/>
                  </w14:solidFill>
                </w14:textFill>
              </w:rPr>
            </w:pPr>
            <w:r>
              <w:rPr>
                <w:color w:val="000000" w:themeColor="text1"/>
                <w:spacing w:val="-5"/>
                <w14:textFill>
                  <w14:solidFill>
                    <w14:schemeClr w14:val="tx1"/>
                  </w14:solidFill>
                </w14:textFill>
              </w:rPr>
              <w:t>必须及时、有效，杂草率控制在2</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spacing w:val="-5"/>
                <w14:textFill>
                  <w14:solidFill>
                    <w14:schemeClr w14:val="tx1"/>
                  </w14:solidFill>
                </w14:textFill>
              </w:rPr>
              <w:t>以内，必要时全年度</w:t>
            </w:r>
            <w:r>
              <w:rPr>
                <w:color w:val="000000" w:themeColor="text1"/>
                <w:spacing w:val="-6"/>
                <w14:textFill>
                  <w14:solidFill>
                    <w14:schemeClr w14:val="tx1"/>
                  </w14:solidFill>
                </w14:textFill>
              </w:rPr>
              <w:t>松土除草次数不少于4次。目测无明显杂</w:t>
            </w:r>
            <w:r>
              <w:rPr>
                <w:color w:val="000000" w:themeColor="text1"/>
                <w14:textFill>
                  <w14:solidFill>
                    <w14:schemeClr w14:val="tx1"/>
                  </w14:solidFill>
                </w14:textFill>
              </w:rPr>
              <w:t xml:space="preserve"> </w:t>
            </w:r>
            <w:r>
              <w:rPr>
                <w:color w:val="000000" w:themeColor="text1"/>
                <w:spacing w:val="2"/>
                <w14:textFill>
                  <w14:solidFill>
                    <w14:schemeClr w14:val="tx1"/>
                  </w14:solidFill>
                </w14:textFill>
              </w:rPr>
              <w:t>草。</w:t>
            </w:r>
          </w:p>
        </w:tc>
      </w:tr>
      <w:tr w14:paraId="4B7CB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jc w:val="center"/>
        </w:trPr>
        <w:tc>
          <w:tcPr>
            <w:tcW w:w="1288" w:type="dxa"/>
            <w:vAlign w:val="center"/>
          </w:tcPr>
          <w:p w14:paraId="440C9E5F">
            <w:pPr>
              <w:pStyle w:val="29"/>
              <w:spacing w:before="114" w:line="220" w:lineRule="auto"/>
              <w:jc w:val="center"/>
              <w:rPr>
                <w:color w:val="000000" w:themeColor="text1"/>
                <w14:textFill>
                  <w14:solidFill>
                    <w14:schemeClr w14:val="tx1"/>
                  </w14:solidFill>
                </w14:textFill>
              </w:rPr>
            </w:pPr>
            <w:r>
              <w:rPr>
                <w:color w:val="000000" w:themeColor="text1"/>
                <w:spacing w:val="-3"/>
                <w14:textFill>
                  <w14:solidFill>
                    <w14:schemeClr w14:val="tx1"/>
                  </w14:solidFill>
                </w14:textFill>
              </w:rPr>
              <w:t>打孔</w:t>
            </w:r>
          </w:p>
          <w:p w14:paraId="15103D20">
            <w:pPr>
              <w:pStyle w:val="29"/>
              <w:spacing w:before="103" w:line="216" w:lineRule="auto"/>
              <w:ind w:right="147"/>
              <w:jc w:val="center"/>
              <w:rPr>
                <w:color w:val="000000" w:themeColor="text1"/>
                <w14:textFill>
                  <w14:solidFill>
                    <w14:schemeClr w14:val="tx1"/>
                  </w14:solidFill>
                </w14:textFill>
              </w:rPr>
            </w:pPr>
            <w:r>
              <w:rPr>
                <w:color w:val="000000" w:themeColor="text1"/>
                <w:spacing w:val="1"/>
                <w14:textFill>
                  <w14:solidFill>
                    <w14:schemeClr w14:val="tx1"/>
                  </w14:solidFill>
                </w14:textFill>
              </w:rPr>
              <w:t>(地被不</w:t>
            </w:r>
            <w:r>
              <w:rPr>
                <w:color w:val="000000" w:themeColor="text1"/>
                <w:spacing w:val="-5"/>
                <w14:textFill>
                  <w14:solidFill>
                    <w14:schemeClr w14:val="tx1"/>
                  </w14:solidFill>
                </w14:textFill>
              </w:rPr>
              <w:t>用</w:t>
            </w:r>
            <w:r>
              <w:rPr>
                <w:color w:val="000000" w:themeColor="text1"/>
                <w:spacing w:val="-42"/>
                <w14:textFill>
                  <w14:solidFill>
                    <w14:schemeClr w14:val="tx1"/>
                  </w14:solidFill>
                </w14:textFill>
              </w:rPr>
              <w:t xml:space="preserve"> </w:t>
            </w:r>
            <w:r>
              <w:rPr>
                <w:color w:val="000000" w:themeColor="text1"/>
                <w:spacing w:val="-5"/>
                <w14:textFill>
                  <w14:solidFill>
                    <w14:schemeClr w14:val="tx1"/>
                  </w14:solidFill>
                </w14:textFill>
              </w:rPr>
              <w:t>)</w:t>
            </w:r>
          </w:p>
        </w:tc>
        <w:tc>
          <w:tcPr>
            <w:tcW w:w="8671" w:type="dxa"/>
            <w:vAlign w:val="top"/>
          </w:tcPr>
          <w:p w14:paraId="172C55A0">
            <w:pPr>
              <w:pStyle w:val="29"/>
              <w:spacing w:before="102"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1、结合施肥施药，每年不少于1次。</w:t>
            </w:r>
          </w:p>
          <w:p w14:paraId="0035DE97">
            <w:pPr>
              <w:pStyle w:val="29"/>
              <w:spacing w:before="74" w:line="219"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2、机械作业</w:t>
            </w:r>
          </w:p>
          <w:p w14:paraId="3FFC2748">
            <w:pPr>
              <w:pStyle w:val="29"/>
              <w:spacing w:before="75" w:line="180" w:lineRule="auto"/>
              <w:ind w:left="181"/>
              <w:rPr>
                <w:color w:val="000000" w:themeColor="text1"/>
                <w14:textFill>
                  <w14:solidFill>
                    <w14:schemeClr w14:val="tx1"/>
                  </w14:solidFill>
                </w14:textFill>
              </w:rPr>
            </w:pPr>
            <w:r>
              <w:rPr>
                <w:color w:val="000000" w:themeColor="text1"/>
                <w:spacing w:val="-8"/>
                <w14:textFill>
                  <w14:solidFill>
                    <w14:schemeClr w14:val="tx1"/>
                  </w14:solidFill>
                </w14:textFill>
              </w:rPr>
              <w:t>3、草屑清除及时、彻底</w:t>
            </w:r>
            <w:r>
              <w:rPr>
                <w:color w:val="000000" w:themeColor="text1"/>
                <w:spacing w:val="-40"/>
                <w14:textFill>
                  <w14:solidFill>
                    <w14:schemeClr w14:val="tx1"/>
                  </w14:solidFill>
                </w14:textFill>
              </w:rPr>
              <w:t xml:space="preserve"> </w:t>
            </w:r>
            <w:r>
              <w:rPr>
                <w:color w:val="000000" w:themeColor="text1"/>
                <w:spacing w:val="-8"/>
                <w14:textFill>
                  <w14:solidFill>
                    <w14:schemeClr w14:val="tx1"/>
                  </w14:solidFill>
                </w14:textFill>
              </w:rPr>
              <w:t>。</w:t>
            </w:r>
          </w:p>
        </w:tc>
      </w:tr>
      <w:tr w14:paraId="685A8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7" w:hRule="atLeast"/>
          <w:jc w:val="center"/>
        </w:trPr>
        <w:tc>
          <w:tcPr>
            <w:tcW w:w="1288" w:type="dxa"/>
            <w:vAlign w:val="center"/>
          </w:tcPr>
          <w:p w14:paraId="097B366A">
            <w:pPr>
              <w:spacing w:line="270" w:lineRule="auto"/>
              <w:jc w:val="center"/>
              <w:rPr>
                <w:rFonts w:ascii="Arial"/>
                <w:color w:val="000000" w:themeColor="text1"/>
                <w:sz w:val="21"/>
                <w14:textFill>
                  <w14:solidFill>
                    <w14:schemeClr w14:val="tx1"/>
                  </w14:solidFill>
                </w14:textFill>
              </w:rPr>
            </w:pPr>
          </w:p>
          <w:p w14:paraId="0D77678C">
            <w:pPr>
              <w:spacing w:line="270" w:lineRule="auto"/>
              <w:jc w:val="center"/>
              <w:rPr>
                <w:rFonts w:ascii="Arial"/>
                <w:color w:val="000000" w:themeColor="text1"/>
                <w:sz w:val="21"/>
                <w14:textFill>
                  <w14:solidFill>
                    <w14:schemeClr w14:val="tx1"/>
                  </w14:solidFill>
                </w14:textFill>
              </w:rPr>
            </w:pPr>
          </w:p>
          <w:p w14:paraId="3CEACFC5">
            <w:pPr>
              <w:pStyle w:val="29"/>
              <w:spacing w:before="62" w:line="220" w:lineRule="auto"/>
              <w:jc w:val="center"/>
              <w:rPr>
                <w:color w:val="000000" w:themeColor="text1"/>
                <w14:textFill>
                  <w14:solidFill>
                    <w14:schemeClr w14:val="tx1"/>
                  </w14:solidFill>
                </w14:textFill>
              </w:rPr>
            </w:pPr>
            <w:r>
              <w:rPr>
                <w:color w:val="000000" w:themeColor="text1"/>
                <w:spacing w:val="-1"/>
                <w14:textFill>
                  <w14:solidFill>
                    <w14:schemeClr w14:val="tx1"/>
                  </w14:solidFill>
                </w14:textFill>
              </w:rPr>
              <w:t>病虫害防治</w:t>
            </w:r>
          </w:p>
        </w:tc>
        <w:tc>
          <w:tcPr>
            <w:tcW w:w="8671" w:type="dxa"/>
            <w:vAlign w:val="top"/>
          </w:tcPr>
          <w:p w14:paraId="139E8DBD">
            <w:pPr>
              <w:pStyle w:val="29"/>
              <w:spacing w:before="16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1、有较为完善的病虫害防治预案和防治措施，药械工具完备，全年防治次数不少于4次。</w:t>
            </w:r>
          </w:p>
          <w:p w14:paraId="24CA8B18">
            <w:pPr>
              <w:pStyle w:val="29"/>
              <w:spacing w:before="7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2、病虫害防治及时，用药合理、配比得当，防治效果明显，无大规模明显病虫害发生。</w:t>
            </w:r>
          </w:p>
          <w:p w14:paraId="106C57FE">
            <w:pPr>
              <w:pStyle w:val="29"/>
              <w:spacing w:before="61" w:line="216"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3、病虫害生物防治率达到80%以上，生长期草坪覆盖率10</w:t>
            </w:r>
            <w:r>
              <w:rPr>
                <w:color w:val="000000" w:themeColor="text1"/>
                <w14:textFill>
                  <w14:solidFill>
                    <w14:schemeClr w14:val="tx1"/>
                  </w14:solidFill>
                </w14:textFill>
              </w:rPr>
              <w:t>0%,并且无明显因</w:t>
            </w:r>
          </w:p>
          <w:p w14:paraId="4F6E49F8">
            <w:pPr>
              <w:pStyle w:val="29"/>
              <w:spacing w:before="120"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病虫害导致的草坪生长衰弱、死亡现象。</w:t>
            </w:r>
          </w:p>
        </w:tc>
      </w:tr>
      <w:tr w14:paraId="37A2D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jc w:val="center"/>
        </w:trPr>
        <w:tc>
          <w:tcPr>
            <w:tcW w:w="1288" w:type="dxa"/>
            <w:vAlign w:val="center"/>
          </w:tcPr>
          <w:p w14:paraId="408186FE">
            <w:pPr>
              <w:spacing w:line="262" w:lineRule="auto"/>
              <w:jc w:val="center"/>
              <w:rPr>
                <w:rFonts w:ascii="Arial"/>
                <w:color w:val="000000" w:themeColor="text1"/>
                <w:sz w:val="21"/>
                <w14:textFill>
                  <w14:solidFill>
                    <w14:schemeClr w14:val="tx1"/>
                  </w14:solidFill>
                </w14:textFill>
              </w:rPr>
            </w:pPr>
          </w:p>
          <w:p w14:paraId="677EF673">
            <w:pPr>
              <w:pStyle w:val="29"/>
              <w:spacing w:before="62" w:line="293" w:lineRule="auto"/>
              <w:ind w:right="156"/>
              <w:jc w:val="right"/>
              <w:rPr>
                <w:color w:val="000000" w:themeColor="text1"/>
                <w14:textFill>
                  <w14:solidFill>
                    <w14:schemeClr w14:val="tx1"/>
                  </w14:solidFill>
                </w14:textFill>
              </w:rPr>
            </w:pPr>
            <w:r>
              <w:rPr>
                <w:color w:val="000000" w:themeColor="text1"/>
                <w:spacing w:val="10"/>
                <w14:textFill>
                  <w14:solidFill>
                    <w14:schemeClr w14:val="tx1"/>
                  </w14:solidFill>
                </w14:textFill>
              </w:rPr>
              <w:t>栽(补)</w:t>
            </w:r>
            <w:r>
              <w:rPr>
                <w:color w:val="000000" w:themeColor="text1"/>
                <w14:textFill>
                  <w14:solidFill>
                    <w14:schemeClr w14:val="tx1"/>
                  </w14:solidFill>
                </w14:textFill>
              </w:rPr>
              <w:t xml:space="preserve"> 植</w:t>
            </w:r>
          </w:p>
        </w:tc>
        <w:tc>
          <w:tcPr>
            <w:tcW w:w="8671" w:type="dxa"/>
            <w:vAlign w:val="top"/>
          </w:tcPr>
          <w:p w14:paraId="2F4395D0">
            <w:pPr>
              <w:pStyle w:val="29"/>
              <w:spacing w:before="17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1、采用同一品种。</w:t>
            </w:r>
          </w:p>
          <w:p w14:paraId="1891659C">
            <w:pPr>
              <w:pStyle w:val="29"/>
              <w:spacing w:before="95" w:line="219"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2、疏密适度，覆盖率98%以上，成活率100%</w:t>
            </w:r>
          </w:p>
          <w:p w14:paraId="238C03E8">
            <w:pPr>
              <w:pStyle w:val="29"/>
              <w:spacing w:before="3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3、及时对缺漏进行补栽。补栽平整美观、无明显补栽痕迹。确保无明显裸露。</w:t>
            </w:r>
          </w:p>
        </w:tc>
      </w:tr>
      <w:tr w14:paraId="12C96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4" w:hRule="atLeast"/>
          <w:jc w:val="center"/>
        </w:trPr>
        <w:tc>
          <w:tcPr>
            <w:tcW w:w="1288" w:type="dxa"/>
            <w:vAlign w:val="center"/>
          </w:tcPr>
          <w:p w14:paraId="2689B745">
            <w:pPr>
              <w:pStyle w:val="29"/>
              <w:spacing w:before="62" w:line="220" w:lineRule="auto"/>
              <w:jc w:val="center"/>
              <w:rPr>
                <w:color w:val="000000" w:themeColor="text1"/>
                <w14:textFill>
                  <w14:solidFill>
                    <w14:schemeClr w14:val="tx1"/>
                  </w14:solidFill>
                </w14:textFill>
              </w:rPr>
            </w:pPr>
            <w:r>
              <w:rPr>
                <w:color w:val="000000" w:themeColor="text1"/>
                <w:spacing w:val="-2"/>
                <w14:textFill>
                  <w14:solidFill>
                    <w14:schemeClr w14:val="tx1"/>
                  </w14:solidFill>
                </w14:textFill>
              </w:rPr>
              <w:t>卫生保洁</w:t>
            </w:r>
          </w:p>
        </w:tc>
        <w:tc>
          <w:tcPr>
            <w:tcW w:w="8671" w:type="dxa"/>
            <w:vAlign w:val="top"/>
          </w:tcPr>
          <w:p w14:paraId="1CBAFF71">
            <w:pPr>
              <w:spacing w:line="313" w:lineRule="auto"/>
              <w:rPr>
                <w:rFonts w:ascii="Arial"/>
                <w:color w:val="000000" w:themeColor="text1"/>
                <w:sz w:val="21"/>
                <w14:textFill>
                  <w14:solidFill>
                    <w14:schemeClr w14:val="tx1"/>
                  </w14:solidFill>
                </w14:textFill>
              </w:rPr>
            </w:pPr>
          </w:p>
          <w:p w14:paraId="3BB5A0DF">
            <w:pPr>
              <w:pStyle w:val="29"/>
              <w:spacing w:before="62" w:line="219" w:lineRule="auto"/>
              <w:ind w:right="18"/>
              <w:jc w:val="center"/>
              <w:rPr>
                <w:color w:val="000000" w:themeColor="text1"/>
                <w14:textFill>
                  <w14:solidFill>
                    <w14:schemeClr w14:val="tx1"/>
                  </w14:solidFill>
                </w14:textFill>
              </w:rPr>
            </w:pPr>
            <w:r>
              <w:rPr>
                <w:color w:val="000000" w:themeColor="text1"/>
                <w14:textFill>
                  <w14:solidFill>
                    <w14:schemeClr w14:val="tx1"/>
                  </w14:solidFill>
                </w14:textFill>
              </w:rPr>
              <w:t>对作业废弃物(如修剪产生的草屑和清除的杂草等)重点地区随产随清，其它地区日产日清。</w:t>
            </w:r>
          </w:p>
        </w:tc>
      </w:tr>
    </w:tbl>
    <w:p w14:paraId="7A01A3AC">
      <w:pPr>
        <w:pStyle w:val="4"/>
      </w:pPr>
    </w:p>
    <w:p w14:paraId="620B1E80">
      <w:pPr>
        <w:sectPr>
          <w:pgSz w:w="11910" w:h="16840"/>
          <w:pgMar w:top="1304" w:right="1417" w:bottom="1304" w:left="1415" w:header="0" w:footer="850" w:gutter="0"/>
          <w:cols w:space="720" w:num="1"/>
        </w:sectPr>
      </w:pPr>
    </w:p>
    <w:p w14:paraId="73065C8F">
      <w:pPr>
        <w:spacing w:before="101" w:line="219" w:lineRule="auto"/>
        <w:jc w:val="center"/>
      </w:pPr>
      <w:r>
        <w:rPr>
          <w:rFonts w:ascii="宋体" w:hAnsi="宋体" w:eastAsia="宋体" w:cs="宋体"/>
          <w:b/>
          <w:bCs/>
          <w:spacing w:val="-14"/>
          <w:sz w:val="31"/>
          <w:szCs w:val="31"/>
        </w:rPr>
        <w:t>卢氏县园林绿化养护标准——绿篱</w:t>
      </w:r>
      <w:r>
        <w:rPr>
          <w:rFonts w:hint="eastAsia" w:ascii="宋体" w:hAnsi="宋体" w:eastAsia="宋体" w:cs="宋体"/>
          <w:b/>
          <w:bCs/>
          <w:spacing w:val="-14"/>
          <w:sz w:val="31"/>
          <w:szCs w:val="31"/>
          <w:lang w:eastAsia="zh-CN"/>
        </w:rPr>
        <w:t>（</w:t>
      </w:r>
      <w:r>
        <w:rPr>
          <w:rFonts w:ascii="宋体" w:hAnsi="宋体" w:eastAsia="宋体" w:cs="宋体"/>
          <w:b/>
          <w:bCs/>
          <w:spacing w:val="-14"/>
          <w:sz w:val="31"/>
          <w:szCs w:val="31"/>
        </w:rPr>
        <w:t>模纹</w:t>
      </w:r>
      <w:r>
        <w:rPr>
          <w:rFonts w:hint="eastAsia" w:ascii="宋体" w:hAnsi="宋体" w:eastAsia="宋体" w:cs="宋体"/>
          <w:b/>
          <w:bCs/>
          <w:spacing w:val="-14"/>
          <w:sz w:val="31"/>
          <w:szCs w:val="31"/>
          <w:lang w:eastAsia="zh-CN"/>
        </w:rPr>
        <w:t>）</w:t>
      </w:r>
      <w:r>
        <w:rPr>
          <w:rFonts w:ascii="宋体" w:hAnsi="宋体" w:eastAsia="宋体" w:cs="宋体"/>
          <w:b/>
          <w:bCs/>
          <w:spacing w:val="-14"/>
          <w:sz w:val="31"/>
          <w:szCs w:val="31"/>
        </w:rPr>
        <w:t>养护标准</w:t>
      </w:r>
    </w:p>
    <w:tbl>
      <w:tblPr>
        <w:tblStyle w:val="30"/>
        <w:tblW w:w="92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3"/>
        <w:gridCol w:w="8180"/>
      </w:tblGrid>
      <w:tr w14:paraId="57F3F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113" w:type="dxa"/>
            <w:vAlign w:val="center"/>
          </w:tcPr>
          <w:p w14:paraId="3570283B">
            <w:pPr>
              <w:pStyle w:val="29"/>
              <w:spacing w:before="65" w:line="220" w:lineRule="auto"/>
              <w:jc w:val="center"/>
              <w:rPr>
                <w:color w:val="000000" w:themeColor="text1"/>
                <w:sz w:val="23"/>
                <w:szCs w:val="23"/>
                <w14:textFill>
                  <w14:solidFill>
                    <w14:schemeClr w14:val="tx1"/>
                  </w14:solidFill>
                </w14:textFill>
              </w:rPr>
            </w:pPr>
            <w:r>
              <w:rPr>
                <w:color w:val="000000" w:themeColor="text1"/>
                <w:spacing w:val="-7"/>
                <w:sz w:val="23"/>
                <w:szCs w:val="23"/>
                <w14:textFill>
                  <w14:solidFill>
                    <w14:schemeClr w14:val="tx1"/>
                  </w14:solidFill>
                </w14:textFill>
              </w:rPr>
              <w:t>项目</w:t>
            </w:r>
          </w:p>
        </w:tc>
        <w:tc>
          <w:tcPr>
            <w:tcW w:w="8180" w:type="dxa"/>
            <w:vAlign w:val="top"/>
          </w:tcPr>
          <w:p w14:paraId="1F636036">
            <w:pPr>
              <w:pStyle w:val="29"/>
              <w:spacing w:before="64" w:line="219" w:lineRule="auto"/>
              <w:ind w:left="3170"/>
              <w:rPr>
                <w:color w:val="000000" w:themeColor="text1"/>
                <w:sz w:val="23"/>
                <w:szCs w:val="23"/>
                <w14:textFill>
                  <w14:solidFill>
                    <w14:schemeClr w14:val="tx1"/>
                  </w14:solidFill>
                </w14:textFill>
              </w:rPr>
            </w:pPr>
            <w:r>
              <w:rPr>
                <w:color w:val="000000" w:themeColor="text1"/>
                <w:spacing w:val="2"/>
                <w:sz w:val="23"/>
                <w:szCs w:val="23"/>
                <w14:textFill>
                  <w14:solidFill>
                    <w14:schemeClr w14:val="tx1"/>
                  </w14:solidFill>
                </w14:textFill>
              </w:rPr>
              <w:t>养护标准</w:t>
            </w:r>
          </w:p>
        </w:tc>
      </w:tr>
      <w:tr w14:paraId="77C63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jc w:val="center"/>
        </w:trPr>
        <w:tc>
          <w:tcPr>
            <w:tcW w:w="1113" w:type="dxa"/>
            <w:vAlign w:val="center"/>
          </w:tcPr>
          <w:p w14:paraId="7B763718">
            <w:pPr>
              <w:pStyle w:val="29"/>
              <w:spacing w:before="74" w:line="219" w:lineRule="auto"/>
              <w:jc w:val="center"/>
              <w:rPr>
                <w:color w:val="000000" w:themeColor="text1"/>
                <w:sz w:val="23"/>
                <w:szCs w:val="23"/>
                <w14:textFill>
                  <w14:solidFill>
                    <w14:schemeClr w14:val="tx1"/>
                  </w14:solidFill>
                </w14:textFill>
              </w:rPr>
            </w:pPr>
            <w:r>
              <w:rPr>
                <w:color w:val="000000" w:themeColor="text1"/>
                <w:spacing w:val="5"/>
                <w:sz w:val="23"/>
                <w:szCs w:val="23"/>
                <w14:textFill>
                  <w14:solidFill>
                    <w14:schemeClr w14:val="tx1"/>
                  </w14:solidFill>
                </w14:textFill>
              </w:rPr>
              <w:t>景观</w:t>
            </w:r>
          </w:p>
        </w:tc>
        <w:tc>
          <w:tcPr>
            <w:tcW w:w="8180" w:type="dxa"/>
            <w:vAlign w:val="top"/>
          </w:tcPr>
          <w:p w14:paraId="25023918">
            <w:pPr>
              <w:pStyle w:val="29"/>
              <w:spacing w:before="227" w:line="219" w:lineRule="auto"/>
              <w:ind w:left="180"/>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1、景观优美，管理精细，有明显的层次感和造型。</w:t>
            </w:r>
          </w:p>
          <w:p w14:paraId="2E2E7F85">
            <w:pPr>
              <w:pStyle w:val="29"/>
              <w:spacing w:before="38" w:line="219" w:lineRule="auto"/>
              <w:ind w:left="180"/>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2、条块分明，色彩明快，线条优美，直线笔直，曲线线条流畅。</w:t>
            </w:r>
          </w:p>
          <w:p w14:paraId="3E4D7950">
            <w:pPr>
              <w:pStyle w:val="29"/>
              <w:spacing w:before="47" w:line="219" w:lineRule="auto"/>
              <w:ind w:left="180"/>
              <w:rPr>
                <w:color w:val="000000" w:themeColor="text1"/>
                <w:sz w:val="23"/>
                <w:szCs w:val="23"/>
                <w14:textFill>
                  <w14:solidFill>
                    <w14:schemeClr w14:val="tx1"/>
                  </w14:solidFill>
                </w14:textFill>
              </w:rPr>
            </w:pPr>
            <w:r>
              <w:rPr>
                <w:color w:val="000000" w:themeColor="text1"/>
                <w:spacing w:val="-1"/>
                <w:sz w:val="23"/>
                <w:szCs w:val="23"/>
                <w14:textFill>
                  <w14:solidFill>
                    <w14:schemeClr w14:val="tx1"/>
                  </w14:solidFill>
                </w14:textFill>
              </w:rPr>
              <w:t>3、无缺株断层。</w:t>
            </w:r>
          </w:p>
        </w:tc>
      </w:tr>
      <w:tr w14:paraId="7144C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jc w:val="center"/>
        </w:trPr>
        <w:tc>
          <w:tcPr>
            <w:tcW w:w="1113" w:type="dxa"/>
            <w:vAlign w:val="center"/>
          </w:tcPr>
          <w:p w14:paraId="6B4924D3">
            <w:pPr>
              <w:pStyle w:val="29"/>
              <w:spacing w:before="75" w:line="223" w:lineRule="auto"/>
              <w:jc w:val="center"/>
              <w:rPr>
                <w:color w:val="000000" w:themeColor="text1"/>
                <w:sz w:val="23"/>
                <w:szCs w:val="23"/>
                <w14:textFill>
                  <w14:solidFill>
                    <w14:schemeClr w14:val="tx1"/>
                  </w14:solidFill>
                </w14:textFill>
              </w:rPr>
            </w:pPr>
            <w:r>
              <w:rPr>
                <w:color w:val="000000" w:themeColor="text1"/>
                <w:spacing w:val="5"/>
                <w:sz w:val="23"/>
                <w:szCs w:val="23"/>
                <w14:textFill>
                  <w14:solidFill>
                    <w14:schemeClr w14:val="tx1"/>
                  </w14:solidFill>
                </w14:textFill>
              </w:rPr>
              <w:t>生长</w:t>
            </w:r>
          </w:p>
        </w:tc>
        <w:tc>
          <w:tcPr>
            <w:tcW w:w="8180" w:type="dxa"/>
            <w:vAlign w:val="top"/>
          </w:tcPr>
          <w:p w14:paraId="10D100BD">
            <w:pPr>
              <w:pStyle w:val="29"/>
              <w:spacing w:before="190" w:line="217" w:lineRule="auto"/>
              <w:ind w:left="180"/>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1、长势势强，枝壮叶茂。</w:t>
            </w:r>
          </w:p>
          <w:p w14:paraId="3906EEBD">
            <w:pPr>
              <w:pStyle w:val="29"/>
              <w:spacing w:line="226" w:lineRule="auto"/>
              <w:ind w:left="179" w:hanging="19"/>
              <w:jc w:val="both"/>
              <w:rPr>
                <w:color w:val="000000" w:themeColor="text1"/>
                <w:sz w:val="23"/>
                <w:szCs w:val="23"/>
                <w14:textFill>
                  <w14:solidFill>
                    <w14:schemeClr w14:val="tx1"/>
                  </w14:solidFill>
                </w14:textFill>
              </w:rPr>
            </w:pPr>
            <w:r>
              <w:rPr>
                <w:color w:val="000000" w:themeColor="text1"/>
                <w:spacing w:val="-2"/>
                <w:sz w:val="23"/>
                <w:szCs w:val="23"/>
                <w14:textFill>
                  <w14:solidFill>
                    <w14:schemeClr w14:val="tx1"/>
                  </w14:solidFill>
                </w14:textFill>
              </w:rPr>
              <w:t>2、叶色正常，有光泽，无黄叶、焦叶、卷叶、枯萎</w:t>
            </w:r>
            <w:r>
              <w:rPr>
                <w:color w:val="000000" w:themeColor="text1"/>
                <w:spacing w:val="-3"/>
                <w:sz w:val="23"/>
                <w:szCs w:val="23"/>
                <w14:textFill>
                  <w14:solidFill>
                    <w14:schemeClr w14:val="tx1"/>
                  </w14:solidFill>
                </w14:textFill>
              </w:rPr>
              <w:t>叶、生长季节不落叶，无明</w:t>
            </w:r>
            <w:r>
              <w:rPr>
                <w:color w:val="000000" w:themeColor="text1"/>
                <w:spacing w:val="-1"/>
                <w:sz w:val="23"/>
                <w:szCs w:val="23"/>
                <w14:textFill>
                  <w14:solidFill>
                    <w14:schemeClr w14:val="tx1"/>
                  </w14:solidFill>
                </w14:textFill>
              </w:rPr>
              <w:t>显病虫害，单株病虫害在5%以内。</w:t>
            </w:r>
          </w:p>
        </w:tc>
      </w:tr>
      <w:tr w14:paraId="7F928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jc w:val="center"/>
        </w:trPr>
        <w:tc>
          <w:tcPr>
            <w:tcW w:w="1113" w:type="dxa"/>
            <w:vAlign w:val="center"/>
          </w:tcPr>
          <w:p w14:paraId="0C28A115">
            <w:pPr>
              <w:pStyle w:val="29"/>
              <w:spacing w:before="75" w:line="219" w:lineRule="auto"/>
              <w:jc w:val="center"/>
              <w:rPr>
                <w:color w:val="000000" w:themeColor="text1"/>
                <w:sz w:val="23"/>
                <w:szCs w:val="23"/>
                <w14:textFill>
                  <w14:solidFill>
                    <w14:schemeClr w14:val="tx1"/>
                  </w14:solidFill>
                </w14:textFill>
              </w:rPr>
            </w:pPr>
            <w:r>
              <w:rPr>
                <w:color w:val="000000" w:themeColor="text1"/>
                <w:spacing w:val="-3"/>
                <w:sz w:val="23"/>
                <w:szCs w:val="23"/>
                <w14:textFill>
                  <w14:solidFill>
                    <w14:schemeClr w14:val="tx1"/>
                  </w14:solidFill>
                </w14:textFill>
              </w:rPr>
              <w:t>施肥</w:t>
            </w:r>
          </w:p>
        </w:tc>
        <w:tc>
          <w:tcPr>
            <w:tcW w:w="8180" w:type="dxa"/>
            <w:vAlign w:val="top"/>
          </w:tcPr>
          <w:p w14:paraId="48D9DFE6">
            <w:pPr>
              <w:pStyle w:val="29"/>
              <w:spacing w:before="241" w:line="219" w:lineRule="auto"/>
              <w:ind w:left="180"/>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1、每年施肥不少于2次。</w:t>
            </w:r>
          </w:p>
          <w:p w14:paraId="37D69956">
            <w:pPr>
              <w:pStyle w:val="29"/>
              <w:spacing w:before="27" w:line="219" w:lineRule="auto"/>
              <w:ind w:left="180"/>
              <w:rPr>
                <w:color w:val="000000" w:themeColor="text1"/>
                <w:sz w:val="23"/>
                <w:szCs w:val="23"/>
                <w14:textFill>
                  <w14:solidFill>
                    <w14:schemeClr w14:val="tx1"/>
                  </w14:solidFill>
                </w14:textFill>
              </w:rPr>
            </w:pPr>
            <w:r>
              <w:rPr>
                <w:color w:val="000000" w:themeColor="text1"/>
                <w:spacing w:val="-1"/>
                <w:sz w:val="23"/>
                <w:szCs w:val="23"/>
                <w14:textFill>
                  <w14:solidFill>
                    <w14:schemeClr w14:val="tx1"/>
                  </w14:solidFill>
                </w14:textFill>
              </w:rPr>
              <w:t>2、肥料种类适宜，施肥方法合理、有效。</w:t>
            </w:r>
          </w:p>
          <w:p w14:paraId="07A39448">
            <w:pPr>
              <w:pStyle w:val="29"/>
              <w:spacing w:before="37" w:line="219" w:lineRule="auto"/>
              <w:ind w:left="180"/>
              <w:rPr>
                <w:color w:val="000000" w:themeColor="text1"/>
                <w:sz w:val="23"/>
                <w:szCs w:val="23"/>
                <w14:textFill>
                  <w14:solidFill>
                    <w14:schemeClr w14:val="tx1"/>
                  </w14:solidFill>
                </w14:textFill>
              </w:rPr>
            </w:pPr>
            <w:r>
              <w:rPr>
                <w:color w:val="000000" w:themeColor="text1"/>
                <w:spacing w:val="-1"/>
                <w:sz w:val="23"/>
                <w:szCs w:val="23"/>
                <w14:textFill>
                  <w14:solidFill>
                    <w14:schemeClr w14:val="tx1"/>
                  </w14:solidFill>
                </w14:textFill>
              </w:rPr>
              <w:t>3、无缺肥、无漏肥、无肥害。</w:t>
            </w:r>
          </w:p>
        </w:tc>
      </w:tr>
      <w:tr w14:paraId="06268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1113" w:type="dxa"/>
            <w:vAlign w:val="center"/>
          </w:tcPr>
          <w:p w14:paraId="2B525F15">
            <w:pPr>
              <w:pStyle w:val="29"/>
              <w:spacing w:before="243" w:line="219" w:lineRule="auto"/>
              <w:jc w:val="center"/>
              <w:rPr>
                <w:color w:val="000000" w:themeColor="text1"/>
                <w:sz w:val="23"/>
                <w:szCs w:val="23"/>
                <w14:textFill>
                  <w14:solidFill>
                    <w14:schemeClr w14:val="tx1"/>
                  </w14:solidFill>
                </w14:textFill>
              </w:rPr>
            </w:pPr>
            <w:r>
              <w:rPr>
                <w:color w:val="000000" w:themeColor="text1"/>
                <w:spacing w:val="5"/>
                <w:sz w:val="23"/>
                <w:szCs w:val="23"/>
                <w14:textFill>
                  <w14:solidFill>
                    <w14:schemeClr w14:val="tx1"/>
                  </w14:solidFill>
                </w14:textFill>
              </w:rPr>
              <w:t>松土</w:t>
            </w:r>
          </w:p>
          <w:p w14:paraId="1DCD4734">
            <w:pPr>
              <w:pStyle w:val="29"/>
              <w:spacing w:before="17" w:line="219" w:lineRule="auto"/>
              <w:jc w:val="center"/>
              <w:rPr>
                <w:color w:val="000000" w:themeColor="text1"/>
                <w:sz w:val="23"/>
                <w:szCs w:val="23"/>
                <w14:textFill>
                  <w14:solidFill>
                    <w14:schemeClr w14:val="tx1"/>
                  </w14:solidFill>
                </w14:textFill>
              </w:rPr>
            </w:pPr>
            <w:r>
              <w:rPr>
                <w:color w:val="000000" w:themeColor="text1"/>
                <w:spacing w:val="5"/>
                <w:sz w:val="23"/>
                <w:szCs w:val="23"/>
                <w14:textFill>
                  <w14:solidFill>
                    <w14:schemeClr w14:val="tx1"/>
                  </w14:solidFill>
                </w14:textFill>
              </w:rPr>
              <w:t>除草</w:t>
            </w:r>
          </w:p>
        </w:tc>
        <w:tc>
          <w:tcPr>
            <w:tcW w:w="8180" w:type="dxa"/>
            <w:vAlign w:val="top"/>
          </w:tcPr>
          <w:p w14:paraId="63722561">
            <w:pPr>
              <w:pStyle w:val="29"/>
              <w:spacing w:before="232" w:line="227" w:lineRule="auto"/>
              <w:ind w:left="180" w:right="251" w:firstLine="100"/>
              <w:jc w:val="both"/>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(松土)除草或松土必须及时</w:t>
            </w:r>
            <w:r>
              <w:rPr>
                <w:rFonts w:hint="eastAsia"/>
                <w:color w:val="000000" w:themeColor="text1"/>
                <w:sz w:val="23"/>
                <w:szCs w:val="23"/>
                <w:lang w:eastAsia="zh-CN"/>
                <w14:textFill>
                  <w14:solidFill>
                    <w14:schemeClr w14:val="tx1"/>
                  </w14:solidFill>
                </w14:textFill>
              </w:rPr>
              <w:t>、</w:t>
            </w:r>
            <w:r>
              <w:rPr>
                <w:color w:val="000000" w:themeColor="text1"/>
                <w:sz w:val="23"/>
                <w:szCs w:val="23"/>
                <w14:textFill>
                  <w14:solidFill>
                    <w14:schemeClr w14:val="tx1"/>
                  </w14:solidFill>
                </w14:textFill>
              </w:rPr>
              <w:t>有效，保证绿篱(模纹)内无杂草，全年度</w:t>
            </w:r>
            <w:r>
              <w:rPr>
                <w:rFonts w:hint="eastAsia"/>
                <w:color w:val="000000" w:themeColor="text1"/>
                <w:sz w:val="23"/>
                <w:szCs w:val="23"/>
                <w:lang w:eastAsia="zh-CN"/>
                <w14:textFill>
                  <w14:solidFill>
                    <w14:schemeClr w14:val="tx1"/>
                  </w14:solidFill>
                </w14:textFill>
              </w:rPr>
              <w:t>（</w:t>
            </w:r>
            <w:r>
              <w:rPr>
                <w:color w:val="000000" w:themeColor="text1"/>
                <w:sz w:val="23"/>
                <w:szCs w:val="23"/>
                <w14:textFill>
                  <w14:solidFill>
                    <w14:schemeClr w14:val="tx1"/>
                  </w14:solidFill>
                </w14:textFill>
              </w:rPr>
              <w:t>松土)除草或松土次数不少于4次。</w:t>
            </w:r>
          </w:p>
        </w:tc>
      </w:tr>
      <w:tr w14:paraId="46F52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8" w:hRule="atLeast"/>
          <w:jc w:val="center"/>
        </w:trPr>
        <w:tc>
          <w:tcPr>
            <w:tcW w:w="1113" w:type="dxa"/>
            <w:vAlign w:val="center"/>
          </w:tcPr>
          <w:p w14:paraId="0FF92E2E">
            <w:pPr>
              <w:pStyle w:val="29"/>
              <w:spacing w:before="74" w:line="219" w:lineRule="auto"/>
              <w:jc w:val="center"/>
              <w:rPr>
                <w:color w:val="000000" w:themeColor="text1"/>
                <w:sz w:val="23"/>
                <w:szCs w:val="23"/>
                <w14:textFill>
                  <w14:solidFill>
                    <w14:schemeClr w14:val="tx1"/>
                  </w14:solidFill>
                </w14:textFill>
              </w:rPr>
            </w:pPr>
            <w:r>
              <w:rPr>
                <w:color w:val="000000" w:themeColor="text1"/>
                <w:spacing w:val="-3"/>
                <w:sz w:val="23"/>
                <w:szCs w:val="23"/>
                <w14:textFill>
                  <w14:solidFill>
                    <w14:schemeClr w14:val="tx1"/>
                  </w14:solidFill>
                </w14:textFill>
              </w:rPr>
              <w:t>修剪</w:t>
            </w:r>
          </w:p>
        </w:tc>
        <w:tc>
          <w:tcPr>
            <w:tcW w:w="8180" w:type="dxa"/>
            <w:vAlign w:val="center"/>
          </w:tcPr>
          <w:p w14:paraId="6495B52F">
            <w:pPr>
              <w:pStyle w:val="29"/>
              <w:spacing w:before="42" w:line="210" w:lineRule="auto"/>
              <w:ind w:left="160" w:hanging="19"/>
              <w:jc w:val="both"/>
              <w:rPr>
                <w:color w:val="000000" w:themeColor="text1"/>
                <w:sz w:val="23"/>
                <w:szCs w:val="23"/>
                <w14:textFill>
                  <w14:solidFill>
                    <w14:schemeClr w14:val="tx1"/>
                  </w14:solidFill>
                </w14:textFill>
              </w:rPr>
            </w:pPr>
            <w:r>
              <w:rPr>
                <w:color w:val="000000" w:themeColor="text1"/>
                <w:spacing w:val="-5"/>
                <w:sz w:val="23"/>
                <w:szCs w:val="23"/>
                <w14:textFill>
                  <w14:solidFill>
                    <w14:schemeClr w14:val="tx1"/>
                  </w14:solidFill>
                </w14:textFill>
              </w:rPr>
              <w:t>1、每年修剪次数应不少于4-6次。对于小叶女贞、金叶女贞落叶</w:t>
            </w:r>
            <w:r>
              <w:rPr>
                <w:color w:val="000000" w:themeColor="text1"/>
                <w:spacing w:val="-6"/>
                <w:sz w:val="23"/>
                <w:szCs w:val="23"/>
                <w14:textFill>
                  <w14:solidFill>
                    <w14:schemeClr w14:val="tx1"/>
                  </w14:solidFill>
                </w14:textFill>
              </w:rPr>
              <w:t>长的快的品种修</w:t>
            </w:r>
            <w:r>
              <w:rPr>
                <w:color w:val="000000" w:themeColor="text1"/>
                <w:spacing w:val="-5"/>
                <w:sz w:val="23"/>
                <w:szCs w:val="23"/>
                <w14:textFill>
                  <w14:solidFill>
                    <w14:schemeClr w14:val="tx1"/>
                  </w14:solidFill>
                </w14:textFill>
              </w:rPr>
              <w:t>剪次数应不少于5次，局部重点区域修剪6</w:t>
            </w:r>
            <w:r>
              <w:rPr>
                <w:color w:val="000000" w:themeColor="text1"/>
                <w:spacing w:val="-6"/>
                <w:sz w:val="23"/>
                <w:szCs w:val="23"/>
                <w14:textFill>
                  <w14:solidFill>
                    <w14:schemeClr w14:val="tx1"/>
                  </w14:solidFill>
                </w14:textFill>
              </w:rPr>
              <w:t>次；对于大叶黄杨、海桐等长的慢的品</w:t>
            </w:r>
            <w:r>
              <w:rPr>
                <w:color w:val="000000" w:themeColor="text1"/>
                <w:spacing w:val="1"/>
                <w:sz w:val="23"/>
                <w:szCs w:val="23"/>
                <w14:textFill>
                  <w14:solidFill>
                    <w14:schemeClr w14:val="tx1"/>
                  </w14:solidFill>
                </w14:textFill>
              </w:rPr>
              <w:t>种，每年修剪不少于4次。</w:t>
            </w:r>
          </w:p>
          <w:p w14:paraId="13E7960E">
            <w:pPr>
              <w:pStyle w:val="29"/>
              <w:spacing w:before="6" w:line="210" w:lineRule="auto"/>
              <w:ind w:left="179" w:hanging="29"/>
              <w:jc w:val="both"/>
              <w:rPr>
                <w:color w:val="000000" w:themeColor="text1"/>
                <w:sz w:val="23"/>
                <w:szCs w:val="23"/>
                <w14:textFill>
                  <w14:solidFill>
                    <w14:schemeClr w14:val="tx1"/>
                  </w14:solidFill>
                </w14:textFill>
              </w:rPr>
            </w:pPr>
            <w:r>
              <w:rPr>
                <w:color w:val="000000" w:themeColor="text1"/>
                <w:spacing w:val="-2"/>
                <w:sz w:val="23"/>
                <w:szCs w:val="23"/>
                <w14:textFill>
                  <w14:solidFill>
                    <w14:schemeClr w14:val="tx1"/>
                  </w14:solidFill>
                </w14:textFill>
              </w:rPr>
              <w:t>2、外形美观，有层次感，直线笔直，曲线流畅。对于多个品种、不规则品</w:t>
            </w:r>
            <w:r>
              <w:rPr>
                <w:color w:val="000000" w:themeColor="text1"/>
                <w:spacing w:val="-3"/>
                <w:sz w:val="23"/>
                <w:szCs w:val="23"/>
                <w14:textFill>
                  <w14:solidFill>
                    <w14:schemeClr w14:val="tx1"/>
                  </w14:solidFill>
                </w14:textFill>
              </w:rPr>
              <w:t>种区</w:t>
            </w:r>
            <w:r>
              <w:rPr>
                <w:color w:val="000000" w:themeColor="text1"/>
                <w:sz w:val="23"/>
                <w:szCs w:val="23"/>
                <w14:textFill>
                  <w14:solidFill>
                    <w14:schemeClr w14:val="tx1"/>
                  </w14:solidFill>
                </w14:textFill>
              </w:rPr>
              <w:t>域，提倡龟背性修剪，提高艺术性。</w:t>
            </w:r>
          </w:p>
          <w:p w14:paraId="5E2C2069">
            <w:pPr>
              <w:pStyle w:val="29"/>
              <w:spacing w:before="27" w:line="219" w:lineRule="auto"/>
              <w:ind w:left="180"/>
              <w:jc w:val="both"/>
              <w:rPr>
                <w:color w:val="000000" w:themeColor="text1"/>
                <w:sz w:val="23"/>
                <w:szCs w:val="23"/>
                <w14:textFill>
                  <w14:solidFill>
                    <w14:schemeClr w14:val="tx1"/>
                  </w14:solidFill>
                </w14:textFill>
              </w:rPr>
            </w:pPr>
            <w:r>
              <w:rPr>
                <w:color w:val="000000" w:themeColor="text1"/>
                <w:spacing w:val="-1"/>
                <w:sz w:val="23"/>
                <w:szCs w:val="23"/>
                <w14:textFill>
                  <w14:solidFill>
                    <w14:schemeClr w14:val="tx1"/>
                  </w14:solidFill>
                </w14:textFill>
              </w:rPr>
              <w:t>3、修剪强度适宜，疏密适当。</w:t>
            </w:r>
          </w:p>
          <w:p w14:paraId="6708064D">
            <w:pPr>
              <w:pStyle w:val="29"/>
              <w:spacing w:before="6" w:line="196" w:lineRule="auto"/>
              <w:ind w:left="180"/>
              <w:jc w:val="both"/>
              <w:rPr>
                <w:color w:val="000000" w:themeColor="text1"/>
                <w:sz w:val="23"/>
                <w:szCs w:val="23"/>
                <w14:textFill>
                  <w14:solidFill>
                    <w14:schemeClr w14:val="tx1"/>
                  </w14:solidFill>
                </w14:textFill>
              </w:rPr>
            </w:pPr>
            <w:r>
              <w:rPr>
                <w:color w:val="000000" w:themeColor="text1"/>
                <w:spacing w:val="-1"/>
                <w:sz w:val="23"/>
                <w:szCs w:val="23"/>
                <w14:textFill>
                  <w14:solidFill>
                    <w14:schemeClr w14:val="tx1"/>
                  </w14:solidFill>
                </w14:textFill>
              </w:rPr>
              <w:t>4、操作标准，工具齐全。</w:t>
            </w:r>
          </w:p>
        </w:tc>
      </w:tr>
      <w:tr w14:paraId="5CB55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jc w:val="center"/>
        </w:trPr>
        <w:tc>
          <w:tcPr>
            <w:tcW w:w="1113" w:type="dxa"/>
            <w:vAlign w:val="center"/>
          </w:tcPr>
          <w:p w14:paraId="5CFA16FC">
            <w:pPr>
              <w:pStyle w:val="29"/>
              <w:spacing w:before="74" w:line="234" w:lineRule="auto"/>
              <w:jc w:val="center"/>
              <w:rPr>
                <w:color w:val="000000" w:themeColor="text1"/>
                <w:sz w:val="23"/>
                <w:szCs w:val="23"/>
                <w14:textFill>
                  <w14:solidFill>
                    <w14:schemeClr w14:val="tx1"/>
                  </w14:solidFill>
                </w14:textFill>
              </w:rPr>
            </w:pPr>
            <w:r>
              <w:rPr>
                <w:color w:val="000000" w:themeColor="text1"/>
                <w:spacing w:val="12"/>
                <w:sz w:val="23"/>
                <w:szCs w:val="23"/>
                <w14:textFill>
                  <w14:solidFill>
                    <w14:schemeClr w14:val="tx1"/>
                  </w14:solidFill>
                </w14:textFill>
              </w:rPr>
              <w:t>栽(补)</w:t>
            </w:r>
            <w:r>
              <w:rPr>
                <w:color w:val="000000" w:themeColor="text1"/>
                <w:sz w:val="23"/>
                <w:szCs w:val="23"/>
                <w14:textFill>
                  <w14:solidFill>
                    <w14:schemeClr w14:val="tx1"/>
                  </w14:solidFill>
                </w14:textFill>
              </w:rPr>
              <w:t xml:space="preserve"> 植</w:t>
            </w:r>
          </w:p>
        </w:tc>
        <w:tc>
          <w:tcPr>
            <w:tcW w:w="8180" w:type="dxa"/>
            <w:vAlign w:val="top"/>
          </w:tcPr>
          <w:p w14:paraId="5004794D">
            <w:pPr>
              <w:pStyle w:val="29"/>
              <w:spacing w:before="75" w:line="219" w:lineRule="auto"/>
              <w:ind w:firstLine="230" w:firstLineChars="100"/>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1、采用同一品种。</w:t>
            </w:r>
          </w:p>
          <w:p w14:paraId="3944F159">
            <w:pPr>
              <w:pStyle w:val="29"/>
              <w:spacing w:before="8" w:line="219" w:lineRule="auto"/>
              <w:ind w:firstLine="230" w:firstLineChars="100"/>
              <w:rPr>
                <w:color w:val="000000" w:themeColor="text1"/>
                <w:sz w:val="23"/>
                <w:szCs w:val="23"/>
                <w14:textFill>
                  <w14:solidFill>
                    <w14:schemeClr w14:val="tx1"/>
                  </w14:solidFill>
                </w14:textFill>
              </w:rPr>
            </w:pPr>
            <w:r>
              <w:rPr>
                <w:rFonts w:hint="eastAsia"/>
                <w:color w:val="000000" w:themeColor="text1"/>
                <w:sz w:val="23"/>
                <w:szCs w:val="23"/>
                <w:lang w:val="en-US" w:eastAsia="zh-CN"/>
                <w14:textFill>
                  <w14:solidFill>
                    <w14:schemeClr w14:val="tx1"/>
                  </w14:solidFill>
                </w14:textFill>
              </w:rPr>
              <w:t>2</w:t>
            </w:r>
            <w:r>
              <w:rPr>
                <w:color w:val="000000" w:themeColor="text1"/>
                <w:sz w:val="23"/>
                <w:szCs w:val="23"/>
                <w14:textFill>
                  <w14:solidFill>
                    <w14:schemeClr w14:val="tx1"/>
                  </w14:solidFill>
                </w14:textFill>
              </w:rPr>
              <w:t>、疏密适度，覆盖率90</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sz w:val="23"/>
                <w:szCs w:val="23"/>
                <w14:textFill>
                  <w14:solidFill>
                    <w14:schemeClr w14:val="tx1"/>
                  </w14:solidFill>
                </w14:textFill>
              </w:rPr>
              <w:t>以上，成活率100%。</w:t>
            </w:r>
          </w:p>
          <w:p w14:paraId="56DB987D">
            <w:pPr>
              <w:pStyle w:val="29"/>
              <w:spacing w:before="37" w:line="220" w:lineRule="auto"/>
              <w:ind w:firstLine="230" w:firstLineChars="100"/>
              <w:rPr>
                <w:color w:val="000000" w:themeColor="text1"/>
                <w:sz w:val="23"/>
                <w:szCs w:val="23"/>
                <w14:textFill>
                  <w14:solidFill>
                    <w14:schemeClr w14:val="tx1"/>
                  </w14:solidFill>
                </w14:textFill>
              </w:rPr>
            </w:pPr>
            <w:r>
              <w:rPr>
                <w:color w:val="000000" w:themeColor="text1"/>
                <w:sz w:val="23"/>
                <w:szCs w:val="23"/>
                <w14:textFill>
                  <w14:solidFill>
                    <w14:schemeClr w14:val="tx1"/>
                  </w14:solidFill>
                </w14:textFill>
              </w:rPr>
              <w:t>3、补栽平整美观。</w:t>
            </w:r>
          </w:p>
        </w:tc>
      </w:tr>
      <w:tr w14:paraId="3B6ED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jc w:val="center"/>
        </w:trPr>
        <w:tc>
          <w:tcPr>
            <w:tcW w:w="1113" w:type="dxa"/>
            <w:vAlign w:val="center"/>
          </w:tcPr>
          <w:p w14:paraId="7F3A02BE">
            <w:pPr>
              <w:pStyle w:val="29"/>
              <w:spacing w:before="74" w:line="212" w:lineRule="auto"/>
              <w:ind w:right="59"/>
              <w:jc w:val="center"/>
              <w:rPr>
                <w:color w:val="000000" w:themeColor="text1"/>
                <w:sz w:val="23"/>
                <w:szCs w:val="23"/>
                <w14:textFill>
                  <w14:solidFill>
                    <w14:schemeClr w14:val="tx1"/>
                  </w14:solidFill>
                </w14:textFill>
              </w:rPr>
            </w:pPr>
            <w:r>
              <w:rPr>
                <w:color w:val="000000" w:themeColor="text1"/>
                <w:spacing w:val="-4"/>
                <w:sz w:val="23"/>
                <w:szCs w:val="23"/>
                <w14:textFill>
                  <w14:solidFill>
                    <w14:schemeClr w14:val="tx1"/>
                  </w14:solidFill>
                </w14:textFill>
              </w:rPr>
              <w:t>卫生保</w:t>
            </w:r>
            <w:r>
              <w:rPr>
                <w:color w:val="000000" w:themeColor="text1"/>
                <w:sz w:val="23"/>
                <w:szCs w:val="23"/>
                <w14:textFill>
                  <w14:solidFill>
                    <w14:schemeClr w14:val="tx1"/>
                  </w14:solidFill>
                </w14:textFill>
              </w:rPr>
              <w:t>洁</w:t>
            </w:r>
          </w:p>
        </w:tc>
        <w:tc>
          <w:tcPr>
            <w:tcW w:w="8180" w:type="dxa"/>
            <w:vAlign w:val="top"/>
          </w:tcPr>
          <w:p w14:paraId="15D9F456">
            <w:pPr>
              <w:pStyle w:val="29"/>
              <w:spacing w:before="232" w:line="227" w:lineRule="auto"/>
              <w:ind w:left="229" w:leftChars="109" w:right="251" w:firstLine="0" w:firstLineChars="0"/>
              <w:jc w:val="both"/>
              <w:rPr>
                <w:color w:val="000000" w:themeColor="text1"/>
                <w:sz w:val="23"/>
                <w:szCs w:val="23"/>
                <w14:textFill>
                  <w14:solidFill>
                    <w14:schemeClr w14:val="tx1"/>
                  </w14:solidFill>
                </w14:textFill>
              </w:rPr>
            </w:pPr>
            <w:r>
              <w:rPr>
                <w:rFonts w:ascii="宋体" w:hAnsi="宋体" w:eastAsia="宋体" w:cs="宋体"/>
                <w:color w:val="000000" w:themeColor="text1"/>
                <w:sz w:val="23"/>
                <w:szCs w:val="23"/>
                <w14:textFill>
                  <w14:solidFill>
                    <w14:schemeClr w14:val="tx1"/>
                  </w14:solidFill>
                </w14:textFill>
              </w:rPr>
              <w:t>对作业废弃物(如修剪产生的草屑和清除的杂草等)重点地区随产随清，其它地区日产日清。</w:t>
            </w:r>
          </w:p>
        </w:tc>
      </w:tr>
    </w:tbl>
    <w:p w14:paraId="52867390">
      <w:pPr>
        <w:pStyle w:val="4"/>
      </w:pPr>
    </w:p>
    <w:p w14:paraId="45C0B5B0">
      <w:pPr>
        <w:sectPr>
          <w:pgSz w:w="11910" w:h="16840"/>
          <w:pgMar w:top="1417" w:right="1417" w:bottom="1417" w:left="1417" w:header="0" w:footer="850" w:gutter="0"/>
          <w:cols w:space="720" w:num="1"/>
        </w:sectPr>
      </w:pPr>
    </w:p>
    <w:p w14:paraId="4F0CE55F">
      <w:pPr>
        <w:spacing w:before="101" w:line="219" w:lineRule="auto"/>
        <w:jc w:val="center"/>
      </w:pPr>
      <w:r>
        <w:rPr>
          <w:rFonts w:ascii="宋体" w:hAnsi="宋体" w:eastAsia="宋体" w:cs="宋体"/>
          <w:b/>
          <w:bCs/>
          <w:spacing w:val="-26"/>
          <w:sz w:val="31"/>
          <w:szCs w:val="31"/>
        </w:rPr>
        <w:t>卢氏县园林绿化养护标准——有害生物控制标准</w:t>
      </w:r>
    </w:p>
    <w:tbl>
      <w:tblPr>
        <w:tblStyle w:val="30"/>
        <w:tblW w:w="87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802"/>
        <w:gridCol w:w="7436"/>
      </w:tblGrid>
      <w:tr w14:paraId="465CF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342" w:type="dxa"/>
            <w:gridSpan w:val="2"/>
            <w:vAlign w:val="top"/>
          </w:tcPr>
          <w:p w14:paraId="779C14B8">
            <w:pPr>
              <w:pStyle w:val="29"/>
              <w:spacing w:before="83" w:line="220" w:lineRule="auto"/>
              <w:ind w:left="275"/>
            </w:pPr>
            <w:r>
              <w:rPr>
                <w:color w:val="303040"/>
                <w:spacing w:val="-6"/>
              </w:rPr>
              <w:t>项目</w:t>
            </w:r>
          </w:p>
        </w:tc>
        <w:tc>
          <w:tcPr>
            <w:tcW w:w="7436" w:type="dxa"/>
            <w:vAlign w:val="top"/>
          </w:tcPr>
          <w:p w14:paraId="746DA686">
            <w:pPr>
              <w:pStyle w:val="29"/>
              <w:spacing w:before="82" w:line="219" w:lineRule="auto"/>
              <w:ind w:left="2861"/>
            </w:pPr>
            <w:r>
              <w:rPr>
                <w:spacing w:val="-2"/>
              </w:rPr>
              <w:t>养护标准</w:t>
            </w:r>
          </w:p>
        </w:tc>
      </w:tr>
      <w:tr w14:paraId="16123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jc w:val="center"/>
        </w:trPr>
        <w:tc>
          <w:tcPr>
            <w:tcW w:w="540" w:type="dxa"/>
            <w:vMerge w:val="restart"/>
            <w:tcBorders>
              <w:bottom w:val="nil"/>
            </w:tcBorders>
            <w:textDirection w:val="tbRlV"/>
            <w:vAlign w:val="top"/>
          </w:tcPr>
          <w:p w14:paraId="7E62B37D">
            <w:pPr>
              <w:pStyle w:val="29"/>
              <w:spacing w:before="202" w:line="197" w:lineRule="auto"/>
              <w:ind w:left="1150"/>
              <w:rPr>
                <w:color w:val="000000" w:themeColor="text1"/>
                <w14:textFill>
                  <w14:solidFill>
                    <w14:schemeClr w14:val="tx1"/>
                  </w14:solidFill>
                </w14:textFill>
              </w:rPr>
            </w:pPr>
            <w:r>
              <w:rPr>
                <w:color w:val="000000" w:themeColor="text1"/>
                <w14:textFill>
                  <w14:solidFill>
                    <w14:schemeClr w14:val="tx1"/>
                  </w14:solidFill>
                </w14:textFill>
              </w:rPr>
              <w:t>病</w:t>
            </w:r>
            <w:r>
              <w:rPr>
                <w:color w:val="000000" w:themeColor="text1"/>
                <w:spacing w:val="58"/>
                <w14:textFill>
                  <w14:solidFill>
                    <w14:schemeClr w14:val="tx1"/>
                  </w14:solidFill>
                </w14:textFill>
              </w:rPr>
              <w:t xml:space="preserve"> </w:t>
            </w:r>
            <w:r>
              <w:rPr>
                <w:color w:val="000000" w:themeColor="text1"/>
                <w14:textFill>
                  <w14:solidFill>
                    <w14:schemeClr w14:val="tx1"/>
                  </w14:solidFill>
                </w14:textFill>
              </w:rPr>
              <w:t>害</w:t>
            </w:r>
          </w:p>
        </w:tc>
        <w:tc>
          <w:tcPr>
            <w:tcW w:w="802" w:type="dxa"/>
            <w:textDirection w:val="tbRlV"/>
            <w:vAlign w:val="center"/>
          </w:tcPr>
          <w:p w14:paraId="484CCBF1">
            <w:pPr>
              <w:pStyle w:val="29"/>
              <w:spacing w:before="196" w:line="201" w:lineRule="auto"/>
              <w:ind w:left="270"/>
              <w:jc w:val="center"/>
              <w:rPr>
                <w:color w:val="000000" w:themeColor="text1"/>
                <w14:textFill>
                  <w14:solidFill>
                    <w14:schemeClr w14:val="tx1"/>
                  </w14:solidFill>
                </w14:textFill>
              </w:rPr>
            </w:pPr>
            <w:r>
              <w:rPr>
                <w:color w:val="000000" w:themeColor="text1"/>
                <w14:textFill>
                  <w14:solidFill>
                    <w14:schemeClr w14:val="tx1"/>
                  </w14:solidFill>
                </w14:textFill>
              </w:rPr>
              <w:t>发</w:t>
            </w:r>
            <w:r>
              <w:rPr>
                <w:color w:val="000000" w:themeColor="text1"/>
                <w:spacing w:val="46"/>
                <w14:textFill>
                  <w14:solidFill>
                    <w14:schemeClr w14:val="tx1"/>
                  </w14:solidFill>
                </w14:textFill>
              </w:rPr>
              <w:t xml:space="preserve"> </w:t>
            </w:r>
            <w:r>
              <w:rPr>
                <w:color w:val="000000" w:themeColor="text1"/>
                <w14:textFill>
                  <w14:solidFill>
                    <w14:schemeClr w14:val="tx1"/>
                  </w14:solidFill>
                </w14:textFill>
              </w:rPr>
              <w:t>病</w:t>
            </w:r>
            <w:r>
              <w:rPr>
                <w:color w:val="000000" w:themeColor="text1"/>
                <w:spacing w:val="46"/>
                <w14:textFill>
                  <w14:solidFill>
                    <w14:schemeClr w14:val="tx1"/>
                  </w14:solidFill>
                </w14:textFill>
              </w:rPr>
              <w:t xml:space="preserve"> </w:t>
            </w:r>
            <w:r>
              <w:rPr>
                <w:color w:val="000000" w:themeColor="text1"/>
                <w14:textFill>
                  <w14:solidFill>
                    <w14:schemeClr w14:val="tx1"/>
                  </w14:solidFill>
                </w14:textFill>
              </w:rPr>
              <w:t>率</w:t>
            </w:r>
          </w:p>
        </w:tc>
        <w:tc>
          <w:tcPr>
            <w:tcW w:w="7436" w:type="dxa"/>
            <w:vAlign w:val="top"/>
          </w:tcPr>
          <w:p w14:paraId="1962DF2C">
            <w:pPr>
              <w:pStyle w:val="29"/>
              <w:spacing w:before="206"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1、基本无明显危害(整体病虫害发病率小于10</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w:t>
            </w:r>
          </w:p>
          <w:p w14:paraId="55B957F4">
            <w:pPr>
              <w:pStyle w:val="29"/>
              <w:spacing w:before="85"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2、叶部病虫害发病率小于10</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w:t>
            </w:r>
          </w:p>
          <w:p w14:paraId="146C470C">
            <w:pPr>
              <w:pStyle w:val="29"/>
              <w:spacing w:before="6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3、枝干病虫害发病率小于10</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w:t>
            </w:r>
          </w:p>
          <w:p w14:paraId="2C49C1B4">
            <w:pPr>
              <w:pStyle w:val="29"/>
              <w:spacing w:before="85"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4、根部病虫害发病率小于10</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w:t>
            </w:r>
          </w:p>
        </w:tc>
      </w:tr>
      <w:tr w14:paraId="24844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9" w:hRule="atLeast"/>
          <w:jc w:val="center"/>
        </w:trPr>
        <w:tc>
          <w:tcPr>
            <w:tcW w:w="540" w:type="dxa"/>
            <w:vMerge w:val="continue"/>
            <w:tcBorders>
              <w:top w:val="nil"/>
            </w:tcBorders>
            <w:textDirection w:val="tbRlV"/>
            <w:vAlign w:val="top"/>
          </w:tcPr>
          <w:p w14:paraId="7AD197CE">
            <w:pPr>
              <w:rPr>
                <w:rFonts w:ascii="Arial"/>
                <w:color w:val="000000" w:themeColor="text1"/>
                <w:sz w:val="21"/>
                <w14:textFill>
                  <w14:solidFill>
                    <w14:schemeClr w14:val="tx1"/>
                  </w14:solidFill>
                </w14:textFill>
              </w:rPr>
            </w:pPr>
          </w:p>
        </w:tc>
        <w:tc>
          <w:tcPr>
            <w:tcW w:w="802" w:type="dxa"/>
            <w:textDirection w:val="tbRlV"/>
            <w:vAlign w:val="center"/>
          </w:tcPr>
          <w:p w14:paraId="6A9D2511">
            <w:pPr>
              <w:pStyle w:val="29"/>
              <w:spacing w:before="194" w:line="203" w:lineRule="auto"/>
              <w:ind w:left="132"/>
              <w:jc w:val="center"/>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危</w:t>
            </w:r>
            <w:r>
              <w:rPr>
                <w:color w:val="000000" w:themeColor="text1"/>
                <w:spacing w:val="36"/>
                <w14:textFill>
                  <w14:solidFill>
                    <w14:schemeClr w14:val="tx1"/>
                  </w14:solidFill>
                </w14:textFill>
              </w:rPr>
              <w:t xml:space="preserve"> </w:t>
            </w:r>
            <w:r>
              <w:rPr>
                <w:color w:val="000000" w:themeColor="text1"/>
                <w14:textFill>
                  <w14:solidFill>
                    <w14:schemeClr w14:val="tx1"/>
                  </w14:solidFill>
                </w14:textFill>
              </w:rPr>
              <w:t>害</w:t>
            </w:r>
            <w:r>
              <w:rPr>
                <w:color w:val="000000" w:themeColor="text1"/>
                <w:spacing w:val="36"/>
                <w14:textFill>
                  <w14:solidFill>
                    <w14:schemeClr w14:val="tx1"/>
                  </w14:solidFill>
                </w14:textFill>
              </w:rPr>
              <w:t xml:space="preserve"> </w:t>
            </w:r>
            <w:r>
              <w:rPr>
                <w:color w:val="000000" w:themeColor="text1"/>
                <w14:textFill>
                  <w14:solidFill>
                    <w14:schemeClr w14:val="tx1"/>
                  </w14:solidFill>
                </w14:textFill>
              </w:rPr>
              <w:t>程</w:t>
            </w:r>
            <w:r>
              <w:rPr>
                <w:color w:val="000000" w:themeColor="text1"/>
                <w:spacing w:val="36"/>
                <w14:textFill>
                  <w14:solidFill>
                    <w14:schemeClr w14:val="tx1"/>
                  </w14:solidFill>
                </w14:textFill>
              </w:rPr>
              <w:t xml:space="preserve"> </w:t>
            </w:r>
            <w:r>
              <w:rPr>
                <w:rFonts w:hint="eastAsia"/>
                <w:color w:val="000000" w:themeColor="text1"/>
                <w:spacing w:val="36"/>
                <w:lang w:val="en-US" w:eastAsia="zh-CN"/>
                <w14:textFill>
                  <w14:solidFill>
                    <w14:schemeClr w14:val="tx1"/>
                  </w14:solidFill>
                </w14:textFill>
              </w:rPr>
              <w:t>度</w:t>
            </w:r>
          </w:p>
        </w:tc>
        <w:tc>
          <w:tcPr>
            <w:tcW w:w="7436" w:type="dxa"/>
            <w:vAlign w:val="center"/>
          </w:tcPr>
          <w:p w14:paraId="480934B5">
            <w:pPr>
              <w:pStyle w:val="29"/>
              <w:spacing w:before="62" w:line="219" w:lineRule="auto"/>
              <w:ind w:firstLine="210" w:firstLineChars="100"/>
              <w:jc w:val="both"/>
              <w:rPr>
                <w:color w:val="000000" w:themeColor="text1"/>
                <w14:textFill>
                  <w14:solidFill>
                    <w14:schemeClr w14:val="tx1"/>
                  </w14:solidFill>
                </w14:textFill>
              </w:rPr>
            </w:pPr>
            <w:r>
              <w:rPr>
                <w:color w:val="000000" w:themeColor="text1"/>
                <w14:textFill>
                  <w14:solidFill>
                    <w14:schemeClr w14:val="tx1"/>
                  </w14:solidFill>
                </w14:textFill>
              </w:rPr>
              <w:t>无危害至零星轻度危害。</w:t>
            </w:r>
          </w:p>
        </w:tc>
      </w:tr>
      <w:tr w14:paraId="0FC04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9" w:hRule="atLeast"/>
          <w:jc w:val="center"/>
        </w:trPr>
        <w:tc>
          <w:tcPr>
            <w:tcW w:w="540" w:type="dxa"/>
            <w:vMerge w:val="restart"/>
            <w:tcBorders>
              <w:bottom w:val="nil"/>
            </w:tcBorders>
            <w:textDirection w:val="tbRlV"/>
            <w:vAlign w:val="top"/>
          </w:tcPr>
          <w:p w14:paraId="575CAC6F">
            <w:pPr>
              <w:pStyle w:val="29"/>
              <w:spacing w:before="200" w:line="194" w:lineRule="auto"/>
              <w:ind w:left="2472"/>
              <w:rPr>
                <w:color w:val="000000" w:themeColor="text1"/>
                <w14:textFill>
                  <w14:solidFill>
                    <w14:schemeClr w14:val="tx1"/>
                  </w14:solidFill>
                </w14:textFill>
              </w:rPr>
            </w:pPr>
            <w:r>
              <w:rPr>
                <w:color w:val="000000" w:themeColor="text1"/>
                <w14:textFill>
                  <w14:solidFill>
                    <w14:schemeClr w14:val="tx1"/>
                  </w14:solidFill>
                </w14:textFill>
              </w:rPr>
              <w:t>虫</w:t>
            </w:r>
            <w:r>
              <w:rPr>
                <w:color w:val="000000" w:themeColor="text1"/>
                <w:spacing w:val="59"/>
                <w14:textFill>
                  <w14:solidFill>
                    <w14:schemeClr w14:val="tx1"/>
                  </w14:solidFill>
                </w14:textFill>
              </w:rPr>
              <w:t xml:space="preserve"> </w:t>
            </w:r>
            <w:r>
              <w:rPr>
                <w:color w:val="000000" w:themeColor="text1"/>
                <w14:textFill>
                  <w14:solidFill>
                    <w14:schemeClr w14:val="tx1"/>
                  </w14:solidFill>
                </w14:textFill>
              </w:rPr>
              <w:t>害</w:t>
            </w:r>
          </w:p>
        </w:tc>
        <w:tc>
          <w:tcPr>
            <w:tcW w:w="802" w:type="dxa"/>
            <w:textDirection w:val="tbRlV"/>
            <w:vAlign w:val="center"/>
          </w:tcPr>
          <w:p w14:paraId="4CAB5E4E">
            <w:pPr>
              <w:pStyle w:val="29"/>
              <w:spacing w:before="187" w:line="199" w:lineRule="auto"/>
              <w:ind w:left="84"/>
              <w:jc w:val="center"/>
              <w:rPr>
                <w:color w:val="000000" w:themeColor="text1"/>
                <w14:textFill>
                  <w14:solidFill>
                    <w14:schemeClr w14:val="tx1"/>
                  </w14:solidFill>
                </w14:textFill>
              </w:rPr>
            </w:pPr>
            <w:r>
              <w:rPr>
                <w:color w:val="000000" w:themeColor="text1"/>
                <w14:textFill>
                  <w14:solidFill>
                    <w14:schemeClr w14:val="tx1"/>
                  </w14:solidFill>
                </w14:textFill>
              </w:rPr>
              <w:t>食</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叶</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害</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虫</w:t>
            </w:r>
          </w:p>
        </w:tc>
        <w:tc>
          <w:tcPr>
            <w:tcW w:w="7436" w:type="dxa"/>
            <w:vAlign w:val="top"/>
          </w:tcPr>
          <w:p w14:paraId="316A264D">
            <w:pPr>
              <w:spacing w:line="251" w:lineRule="auto"/>
              <w:rPr>
                <w:rFonts w:ascii="Arial"/>
                <w:color w:val="000000" w:themeColor="text1"/>
                <w:sz w:val="21"/>
                <w14:textFill>
                  <w14:solidFill>
                    <w14:schemeClr w14:val="tx1"/>
                  </w14:solidFill>
                </w14:textFill>
              </w:rPr>
            </w:pPr>
          </w:p>
          <w:p w14:paraId="2953DB7B">
            <w:pPr>
              <w:spacing w:line="252" w:lineRule="auto"/>
              <w:rPr>
                <w:rFonts w:ascii="Arial"/>
                <w:color w:val="000000" w:themeColor="text1"/>
                <w:sz w:val="21"/>
                <w14:textFill>
                  <w14:solidFill>
                    <w14:schemeClr w14:val="tx1"/>
                  </w14:solidFill>
                </w14:textFill>
              </w:rPr>
            </w:pPr>
          </w:p>
          <w:p w14:paraId="5E7CE351">
            <w:pPr>
              <w:pStyle w:val="29"/>
              <w:spacing w:before="62" w:line="216"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1、无明显危害(整体株危害率小于8</w:t>
            </w:r>
            <w:r>
              <w:rPr>
                <w:rFonts w:hint="eastAsia" w:ascii="宋体" w:hAnsi="宋体" w:eastAsia="宋体" w:cs="宋体"/>
                <w:color w:val="000000" w:themeColor="text1"/>
                <w:lang w:val="en-US" w:eastAsia="zh-CN"/>
                <w14:textFill>
                  <w14:solidFill>
                    <w14:schemeClr w14:val="tx1"/>
                  </w14:solidFill>
                </w14:textFill>
              </w:rPr>
              <w:t>％</w:t>
            </w:r>
            <w:r>
              <w:rPr>
                <w:rFonts w:hint="eastAsia"/>
                <w:color w:val="000000" w:themeColor="text1"/>
                <w:spacing w:val="1"/>
                <w:lang w:eastAsia="zh-CN"/>
                <w14:textFill>
                  <w14:solidFill>
                    <w14:schemeClr w14:val="tx1"/>
                  </w14:solidFill>
                </w14:textFill>
              </w:rPr>
              <w:t>，</w:t>
            </w:r>
            <w:r>
              <w:rPr>
                <w:color w:val="000000" w:themeColor="text1"/>
                <w:spacing w:val="1"/>
                <w14:textFill>
                  <w14:solidFill>
                    <w14:schemeClr w14:val="tx1"/>
                  </w14:solidFill>
                </w14:textFill>
              </w:rPr>
              <w:t>叶危害率小于10</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spacing w:val="1"/>
                <w14:textFill>
                  <w14:solidFill>
                    <w14:schemeClr w14:val="tx1"/>
                  </w14:solidFill>
                </w14:textFill>
              </w:rPr>
              <w:t>)</w:t>
            </w:r>
          </w:p>
        </w:tc>
      </w:tr>
      <w:tr w14:paraId="58E8D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9" w:hRule="atLeast"/>
          <w:jc w:val="center"/>
        </w:trPr>
        <w:tc>
          <w:tcPr>
            <w:tcW w:w="540" w:type="dxa"/>
            <w:vMerge w:val="continue"/>
            <w:tcBorders>
              <w:top w:val="nil"/>
              <w:bottom w:val="nil"/>
            </w:tcBorders>
            <w:textDirection w:val="tbRlV"/>
            <w:vAlign w:val="top"/>
          </w:tcPr>
          <w:p w14:paraId="3F8CA2F4">
            <w:pPr>
              <w:rPr>
                <w:rFonts w:ascii="Arial"/>
                <w:color w:val="000000" w:themeColor="text1"/>
                <w:sz w:val="21"/>
                <w14:textFill>
                  <w14:solidFill>
                    <w14:schemeClr w14:val="tx1"/>
                  </w14:solidFill>
                </w14:textFill>
              </w:rPr>
            </w:pPr>
          </w:p>
        </w:tc>
        <w:tc>
          <w:tcPr>
            <w:tcW w:w="802" w:type="dxa"/>
            <w:textDirection w:val="tbRlV"/>
            <w:vAlign w:val="center"/>
          </w:tcPr>
          <w:p w14:paraId="12462B7F">
            <w:pPr>
              <w:pStyle w:val="29"/>
              <w:spacing w:before="186" w:line="201" w:lineRule="auto"/>
              <w:ind w:left="174"/>
              <w:jc w:val="center"/>
              <w:rPr>
                <w:color w:val="000000" w:themeColor="text1"/>
                <w14:textFill>
                  <w14:solidFill>
                    <w14:schemeClr w14:val="tx1"/>
                  </w14:solidFill>
                </w14:textFill>
              </w:rPr>
            </w:pPr>
            <w:r>
              <w:rPr>
                <w:color w:val="000000" w:themeColor="text1"/>
                <w14:textFill>
                  <w14:solidFill>
                    <w14:schemeClr w14:val="tx1"/>
                  </w14:solidFill>
                </w14:textFill>
              </w:rPr>
              <w:t>刺</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吸</w:t>
            </w:r>
            <w:r>
              <w:rPr>
                <w:color w:val="000000" w:themeColor="text1"/>
                <w:spacing w:val="30"/>
                <w14:textFill>
                  <w14:solidFill>
                    <w14:schemeClr w14:val="tx1"/>
                  </w14:solidFill>
                </w14:textFill>
              </w:rPr>
              <w:t xml:space="preserve"> </w:t>
            </w:r>
            <w:r>
              <w:rPr>
                <w:color w:val="000000" w:themeColor="text1"/>
                <w14:textFill>
                  <w14:solidFill>
                    <w14:schemeClr w14:val="tx1"/>
                  </w14:solidFill>
                </w14:textFill>
              </w:rPr>
              <w:t>害</w:t>
            </w:r>
            <w:r>
              <w:rPr>
                <w:color w:val="000000" w:themeColor="text1"/>
                <w:spacing w:val="31"/>
                <w14:textFill>
                  <w14:solidFill>
                    <w14:schemeClr w14:val="tx1"/>
                  </w14:solidFill>
                </w14:textFill>
              </w:rPr>
              <w:t xml:space="preserve"> </w:t>
            </w:r>
            <w:r>
              <w:rPr>
                <w:color w:val="000000" w:themeColor="text1"/>
                <w14:textFill>
                  <w14:solidFill>
                    <w14:schemeClr w14:val="tx1"/>
                  </w14:solidFill>
                </w14:textFill>
              </w:rPr>
              <w:t>虫</w:t>
            </w:r>
          </w:p>
        </w:tc>
        <w:tc>
          <w:tcPr>
            <w:tcW w:w="7436" w:type="dxa"/>
            <w:vAlign w:val="top"/>
          </w:tcPr>
          <w:p w14:paraId="3197447E">
            <w:pPr>
              <w:spacing w:line="262" w:lineRule="auto"/>
              <w:rPr>
                <w:rFonts w:ascii="Arial"/>
                <w:color w:val="000000" w:themeColor="text1"/>
                <w:sz w:val="21"/>
                <w14:textFill>
                  <w14:solidFill>
                    <w14:schemeClr w14:val="tx1"/>
                  </w14:solidFill>
                </w14:textFill>
              </w:rPr>
            </w:pPr>
          </w:p>
          <w:p w14:paraId="5263C3AB">
            <w:pPr>
              <w:spacing w:line="262" w:lineRule="auto"/>
              <w:rPr>
                <w:rFonts w:ascii="Arial"/>
                <w:color w:val="000000" w:themeColor="text1"/>
                <w:sz w:val="21"/>
                <w14:textFill>
                  <w14:solidFill>
                    <w14:schemeClr w14:val="tx1"/>
                  </w14:solidFill>
                </w14:textFill>
              </w:rPr>
            </w:pPr>
          </w:p>
          <w:p w14:paraId="435F7473">
            <w:pPr>
              <w:pStyle w:val="29"/>
              <w:spacing w:before="62" w:line="216"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2、无明显危害(整体株危害率小于15</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spacing w:val="1"/>
                <w14:textFill>
                  <w14:solidFill>
                    <w14:schemeClr w14:val="tx1"/>
                  </w14:solidFill>
                </w14:textFill>
              </w:rPr>
              <w:t>,叶危害率小于10</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,其中介壳虫危害少于10只</w:t>
            </w:r>
            <w:r>
              <w:rPr>
                <w:rFonts w:hint="eastAsia"/>
                <w:color w:val="000000" w:themeColor="text1"/>
                <w:lang w:val="en-US" w:eastAsia="zh-CN"/>
                <w14:textFill>
                  <w14:solidFill>
                    <w14:schemeClr w14:val="tx1"/>
                  </w14:solidFill>
                </w14:textFill>
              </w:rPr>
              <w:t>/</w:t>
            </w:r>
            <w:r>
              <w:rPr>
                <w:color w:val="000000" w:themeColor="text1"/>
                <w:spacing w:val="11"/>
                <w14:textFill>
                  <w14:solidFill>
                    <w14:schemeClr w14:val="tx1"/>
                  </w14:solidFill>
                </w14:textFill>
              </w:rPr>
              <w:t>尺枝条)</w:t>
            </w:r>
          </w:p>
        </w:tc>
      </w:tr>
      <w:tr w14:paraId="251F7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4" w:hRule="atLeast"/>
          <w:jc w:val="center"/>
        </w:trPr>
        <w:tc>
          <w:tcPr>
            <w:tcW w:w="540" w:type="dxa"/>
            <w:vMerge w:val="continue"/>
            <w:tcBorders>
              <w:top w:val="nil"/>
              <w:bottom w:val="nil"/>
            </w:tcBorders>
            <w:textDirection w:val="tbRlV"/>
            <w:vAlign w:val="top"/>
          </w:tcPr>
          <w:p w14:paraId="1C973E81">
            <w:pPr>
              <w:rPr>
                <w:rFonts w:ascii="Arial"/>
                <w:color w:val="000000" w:themeColor="text1"/>
                <w:sz w:val="21"/>
                <w14:textFill>
                  <w14:solidFill>
                    <w14:schemeClr w14:val="tx1"/>
                  </w14:solidFill>
                </w14:textFill>
              </w:rPr>
            </w:pPr>
          </w:p>
        </w:tc>
        <w:tc>
          <w:tcPr>
            <w:tcW w:w="802" w:type="dxa"/>
            <w:textDirection w:val="tbRlV"/>
            <w:vAlign w:val="center"/>
          </w:tcPr>
          <w:p w14:paraId="1D0DD95D">
            <w:pPr>
              <w:pStyle w:val="29"/>
              <w:spacing w:before="185" w:line="201" w:lineRule="auto"/>
              <w:ind w:left="94"/>
              <w:jc w:val="center"/>
              <w:rPr>
                <w:color w:val="000000" w:themeColor="text1"/>
                <w14:textFill>
                  <w14:solidFill>
                    <w14:schemeClr w14:val="tx1"/>
                  </w14:solidFill>
                </w14:textFill>
              </w:rPr>
            </w:pPr>
            <w:r>
              <w:rPr>
                <w:color w:val="000000" w:themeColor="text1"/>
                <w14:textFill>
                  <w14:solidFill>
                    <w14:schemeClr w14:val="tx1"/>
                  </w14:solidFill>
                </w14:textFill>
              </w:rPr>
              <w:t>蛀</w:t>
            </w:r>
            <w:r>
              <w:rPr>
                <w:color w:val="000000" w:themeColor="text1"/>
                <w:spacing w:val="30"/>
                <w:w w:val="101"/>
                <w14:textFill>
                  <w14:solidFill>
                    <w14:schemeClr w14:val="tx1"/>
                  </w14:solidFill>
                </w14:textFill>
              </w:rPr>
              <w:t xml:space="preserve"> </w:t>
            </w:r>
            <w:r>
              <w:rPr>
                <w:color w:val="000000" w:themeColor="text1"/>
                <w14:textFill>
                  <w14:solidFill>
                    <w14:schemeClr w14:val="tx1"/>
                  </w14:solidFill>
                </w14:textFill>
              </w:rPr>
              <w:t>干</w:t>
            </w:r>
            <w:r>
              <w:rPr>
                <w:color w:val="000000" w:themeColor="text1"/>
                <w:spacing w:val="30"/>
                <w:w w:val="101"/>
                <w14:textFill>
                  <w14:solidFill>
                    <w14:schemeClr w14:val="tx1"/>
                  </w14:solidFill>
                </w14:textFill>
              </w:rPr>
              <w:t xml:space="preserve"> </w:t>
            </w:r>
            <w:r>
              <w:rPr>
                <w:color w:val="000000" w:themeColor="text1"/>
                <w14:textFill>
                  <w14:solidFill>
                    <w14:schemeClr w14:val="tx1"/>
                  </w14:solidFill>
                </w14:textFill>
              </w:rPr>
              <w:t>害</w:t>
            </w:r>
            <w:r>
              <w:rPr>
                <w:color w:val="000000" w:themeColor="text1"/>
                <w:spacing w:val="30"/>
                <w:w w:val="101"/>
                <w14:textFill>
                  <w14:solidFill>
                    <w14:schemeClr w14:val="tx1"/>
                  </w14:solidFill>
                </w14:textFill>
              </w:rPr>
              <w:t xml:space="preserve"> </w:t>
            </w:r>
            <w:r>
              <w:rPr>
                <w:color w:val="000000" w:themeColor="text1"/>
                <w14:textFill>
                  <w14:solidFill>
                    <w14:schemeClr w14:val="tx1"/>
                  </w14:solidFill>
                </w14:textFill>
              </w:rPr>
              <w:t>虫</w:t>
            </w:r>
          </w:p>
        </w:tc>
        <w:tc>
          <w:tcPr>
            <w:tcW w:w="7436" w:type="dxa"/>
            <w:vAlign w:val="top"/>
          </w:tcPr>
          <w:p w14:paraId="7ACDE6D4">
            <w:pPr>
              <w:spacing w:line="435" w:lineRule="auto"/>
              <w:rPr>
                <w:rFonts w:ascii="Arial"/>
                <w:color w:val="000000" w:themeColor="text1"/>
                <w:sz w:val="21"/>
                <w14:textFill>
                  <w14:solidFill>
                    <w14:schemeClr w14:val="tx1"/>
                  </w14:solidFill>
                </w14:textFill>
              </w:rPr>
            </w:pPr>
          </w:p>
          <w:p w14:paraId="2BE2A416">
            <w:pPr>
              <w:pStyle w:val="29"/>
              <w:spacing w:before="62" w:line="216" w:lineRule="auto"/>
              <w:ind w:left="141"/>
              <w:jc w:val="both"/>
              <w:rPr>
                <w:color w:val="000000" w:themeColor="text1"/>
                <w14:textFill>
                  <w14:solidFill>
                    <w14:schemeClr w14:val="tx1"/>
                  </w14:solidFill>
                </w14:textFill>
              </w:rPr>
            </w:pPr>
            <w:r>
              <w:rPr>
                <w:color w:val="000000" w:themeColor="text1"/>
                <w14:textFill>
                  <w14:solidFill>
                    <w14:schemeClr w14:val="tx1"/>
                  </w14:solidFill>
                </w14:textFill>
              </w:rPr>
              <w:t>3、无明显危害(整体株危害率小于5</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,枝危害率小于5</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,基本无活虫活卵，危害少于2</w:t>
            </w:r>
          </w:p>
          <w:p w14:paraId="51CD26DF">
            <w:pPr>
              <w:pStyle w:val="29"/>
              <w:spacing w:before="19" w:line="219" w:lineRule="auto"/>
              <w:ind w:left="181"/>
              <w:rPr>
                <w:color w:val="000000" w:themeColor="text1"/>
                <w14:textFill>
                  <w14:solidFill>
                    <w14:schemeClr w14:val="tx1"/>
                  </w14:solidFill>
                </w14:textFill>
              </w:rPr>
            </w:pPr>
            <w:r>
              <w:rPr>
                <w:color w:val="000000" w:themeColor="text1"/>
                <w:spacing w:val="6"/>
                <w14:textFill>
                  <w14:solidFill>
                    <w14:schemeClr w14:val="tx1"/>
                  </w14:solidFill>
                </w14:textFill>
              </w:rPr>
              <w:t>只/尺枝条)</w:t>
            </w:r>
          </w:p>
        </w:tc>
      </w:tr>
      <w:tr w14:paraId="29FC0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9" w:hRule="atLeast"/>
          <w:jc w:val="center"/>
        </w:trPr>
        <w:tc>
          <w:tcPr>
            <w:tcW w:w="540" w:type="dxa"/>
            <w:vMerge w:val="continue"/>
            <w:tcBorders>
              <w:top w:val="nil"/>
            </w:tcBorders>
            <w:textDirection w:val="tbRlV"/>
            <w:vAlign w:val="top"/>
          </w:tcPr>
          <w:p w14:paraId="2CCDA9E9">
            <w:pPr>
              <w:rPr>
                <w:rFonts w:ascii="Arial"/>
                <w:color w:val="000000" w:themeColor="text1"/>
                <w:sz w:val="21"/>
                <w14:textFill>
                  <w14:solidFill>
                    <w14:schemeClr w14:val="tx1"/>
                  </w14:solidFill>
                </w14:textFill>
              </w:rPr>
            </w:pPr>
          </w:p>
        </w:tc>
        <w:tc>
          <w:tcPr>
            <w:tcW w:w="802" w:type="dxa"/>
            <w:textDirection w:val="tbRlV"/>
            <w:vAlign w:val="center"/>
          </w:tcPr>
          <w:p w14:paraId="0A1BD3C3">
            <w:pPr>
              <w:pStyle w:val="29"/>
              <w:spacing w:before="174" w:line="202" w:lineRule="auto"/>
              <w:ind w:left="85"/>
              <w:jc w:val="center"/>
              <w:rPr>
                <w:color w:val="000000" w:themeColor="text1"/>
                <w14:textFill>
                  <w14:solidFill>
                    <w14:schemeClr w14:val="tx1"/>
                  </w14:solidFill>
                </w14:textFill>
              </w:rPr>
            </w:pPr>
            <w:r>
              <w:rPr>
                <w:color w:val="000000" w:themeColor="text1"/>
                <w14:textFill>
                  <w14:solidFill>
                    <w14:schemeClr w14:val="tx1"/>
                  </w14:solidFill>
                </w14:textFill>
              </w:rPr>
              <w:t>地</w:t>
            </w:r>
            <w:r>
              <w:rPr>
                <w:color w:val="000000" w:themeColor="text1"/>
                <w:spacing w:val="30"/>
                <w:w w:val="101"/>
                <w14:textFill>
                  <w14:solidFill>
                    <w14:schemeClr w14:val="tx1"/>
                  </w14:solidFill>
                </w14:textFill>
              </w:rPr>
              <w:t xml:space="preserve"> </w:t>
            </w:r>
            <w:r>
              <w:rPr>
                <w:color w:val="000000" w:themeColor="text1"/>
                <w14:textFill>
                  <w14:solidFill>
                    <w14:schemeClr w14:val="tx1"/>
                  </w14:solidFill>
                </w14:textFill>
              </w:rPr>
              <w:t>下</w:t>
            </w:r>
            <w:r>
              <w:rPr>
                <w:color w:val="000000" w:themeColor="text1"/>
                <w:spacing w:val="30"/>
                <w:w w:val="101"/>
                <w14:textFill>
                  <w14:solidFill>
                    <w14:schemeClr w14:val="tx1"/>
                  </w14:solidFill>
                </w14:textFill>
              </w:rPr>
              <w:t xml:space="preserve"> </w:t>
            </w:r>
            <w:r>
              <w:rPr>
                <w:color w:val="000000" w:themeColor="text1"/>
                <w14:textFill>
                  <w14:solidFill>
                    <w14:schemeClr w14:val="tx1"/>
                  </w14:solidFill>
                </w14:textFill>
              </w:rPr>
              <w:t>害</w:t>
            </w:r>
            <w:r>
              <w:rPr>
                <w:color w:val="000000" w:themeColor="text1"/>
                <w:spacing w:val="30"/>
                <w:w w:val="101"/>
                <w14:textFill>
                  <w14:solidFill>
                    <w14:schemeClr w14:val="tx1"/>
                  </w14:solidFill>
                </w14:textFill>
              </w:rPr>
              <w:t xml:space="preserve"> </w:t>
            </w:r>
            <w:r>
              <w:rPr>
                <w:color w:val="000000" w:themeColor="text1"/>
                <w14:textFill>
                  <w14:solidFill>
                    <w14:schemeClr w14:val="tx1"/>
                  </w14:solidFill>
                </w14:textFill>
              </w:rPr>
              <w:t>虫</w:t>
            </w:r>
          </w:p>
        </w:tc>
        <w:tc>
          <w:tcPr>
            <w:tcW w:w="7436" w:type="dxa"/>
            <w:vAlign w:val="top"/>
          </w:tcPr>
          <w:p w14:paraId="25A93091">
            <w:pPr>
              <w:spacing w:line="253" w:lineRule="auto"/>
              <w:rPr>
                <w:rFonts w:ascii="Arial"/>
                <w:color w:val="000000" w:themeColor="text1"/>
                <w:sz w:val="21"/>
                <w14:textFill>
                  <w14:solidFill>
                    <w14:schemeClr w14:val="tx1"/>
                  </w14:solidFill>
                </w14:textFill>
              </w:rPr>
            </w:pPr>
          </w:p>
          <w:p w14:paraId="1BE6284E">
            <w:pPr>
              <w:spacing w:line="253" w:lineRule="auto"/>
              <w:rPr>
                <w:rFonts w:ascii="Arial"/>
                <w:color w:val="000000" w:themeColor="text1"/>
                <w:sz w:val="21"/>
                <w14:textFill>
                  <w14:solidFill>
                    <w14:schemeClr w14:val="tx1"/>
                  </w14:solidFill>
                </w14:textFill>
              </w:rPr>
            </w:pPr>
          </w:p>
          <w:p w14:paraId="508B28A5">
            <w:pPr>
              <w:pStyle w:val="29"/>
              <w:spacing w:before="62" w:line="216" w:lineRule="auto"/>
              <w:ind w:left="181"/>
              <w:rPr>
                <w:color w:val="000000" w:themeColor="text1"/>
                <w14:textFill>
                  <w14:solidFill>
                    <w14:schemeClr w14:val="tx1"/>
                  </w14:solidFill>
                </w14:textFill>
              </w:rPr>
            </w:pPr>
            <w:r>
              <w:rPr>
                <w:color w:val="000000" w:themeColor="text1"/>
                <w:spacing w:val="5"/>
                <w14:textFill>
                  <w14:solidFill>
                    <w14:schemeClr w14:val="tx1"/>
                  </w14:solidFill>
                </w14:textFill>
              </w:rPr>
              <w:t>4、基本无危害(整体株危害率小于3</w:t>
            </w:r>
            <w:r>
              <w:rPr>
                <w:rFonts w:hint="eastAsia" w:ascii="宋体" w:hAnsi="宋体" w:eastAsia="宋体" w:cs="宋体"/>
                <w:color w:val="000000" w:themeColor="text1"/>
                <w:lang w:val="en-US" w:eastAsia="zh-CN"/>
                <w14:textFill>
                  <w14:solidFill>
                    <w14:schemeClr w14:val="tx1"/>
                  </w14:solidFill>
                </w14:textFill>
              </w:rPr>
              <w:t>％</w:t>
            </w:r>
            <w:r>
              <w:rPr>
                <w:color w:val="000000" w:themeColor="text1"/>
                <w:spacing w:val="5"/>
                <w14:textFill>
                  <w14:solidFill>
                    <w14:schemeClr w14:val="tx1"/>
                  </w14:solidFill>
                </w14:textFill>
              </w:rPr>
              <w:t>,危害少于3</w:t>
            </w:r>
            <w:r>
              <w:rPr>
                <w:color w:val="000000" w:themeColor="text1"/>
                <w:spacing w:val="4"/>
                <w14:textFill>
                  <w14:solidFill>
                    <w14:schemeClr w14:val="tx1"/>
                  </w14:solidFill>
                </w14:textFill>
              </w:rPr>
              <w:t>只/m²)</w:t>
            </w:r>
          </w:p>
        </w:tc>
      </w:tr>
      <w:tr w14:paraId="56525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7" w:hRule="atLeast"/>
          <w:jc w:val="center"/>
        </w:trPr>
        <w:tc>
          <w:tcPr>
            <w:tcW w:w="540" w:type="dxa"/>
            <w:vAlign w:val="center"/>
          </w:tcPr>
          <w:p w14:paraId="1B3F77E3">
            <w:pPr>
              <w:pStyle w:val="29"/>
              <w:spacing w:before="62" w:line="248" w:lineRule="auto"/>
              <w:ind w:right="78"/>
              <w:jc w:val="center"/>
              <w:rPr>
                <w:color w:val="000000" w:themeColor="text1"/>
                <w:spacing w:val="-7"/>
                <w14:textFill>
                  <w14:solidFill>
                    <w14:schemeClr w14:val="tx1"/>
                  </w14:solidFill>
                </w14:textFill>
              </w:rPr>
            </w:pPr>
            <w:r>
              <w:rPr>
                <w:color w:val="000000" w:themeColor="text1"/>
                <w:spacing w:val="-7"/>
                <w14:textFill>
                  <w14:solidFill>
                    <w14:schemeClr w14:val="tx1"/>
                  </w14:solidFill>
                </w14:textFill>
              </w:rPr>
              <w:t>病</w:t>
            </w:r>
          </w:p>
          <w:p w14:paraId="506CBD80">
            <w:pPr>
              <w:pStyle w:val="29"/>
              <w:spacing w:before="62" w:line="248" w:lineRule="auto"/>
              <w:ind w:right="78"/>
              <w:jc w:val="center"/>
              <w:rPr>
                <w:color w:val="000000" w:themeColor="text1"/>
                <w:spacing w:val="-7"/>
                <w14:textFill>
                  <w14:solidFill>
                    <w14:schemeClr w14:val="tx1"/>
                  </w14:solidFill>
                </w14:textFill>
              </w:rPr>
            </w:pPr>
            <w:r>
              <w:rPr>
                <w:color w:val="000000" w:themeColor="text1"/>
                <w:spacing w:val="-7"/>
                <w14:textFill>
                  <w14:solidFill>
                    <w14:schemeClr w14:val="tx1"/>
                  </w14:solidFill>
                </w14:textFill>
              </w:rPr>
              <w:t>虫</w:t>
            </w:r>
            <w:r>
              <w:rPr>
                <w:color w:val="000000" w:themeColor="text1"/>
                <w14:textFill>
                  <w14:solidFill>
                    <w14:schemeClr w14:val="tx1"/>
                  </w14:solidFill>
                </w14:textFill>
              </w:rPr>
              <w:t xml:space="preserve"> </w:t>
            </w:r>
            <w:r>
              <w:rPr>
                <w:color w:val="000000" w:themeColor="text1"/>
                <w:spacing w:val="-7"/>
                <w14:textFill>
                  <w14:solidFill>
                    <w14:schemeClr w14:val="tx1"/>
                  </w14:solidFill>
                </w14:textFill>
              </w:rPr>
              <w:t>害</w:t>
            </w:r>
          </w:p>
          <w:p w14:paraId="453BDDDA">
            <w:pPr>
              <w:pStyle w:val="29"/>
              <w:spacing w:before="62" w:line="248" w:lineRule="auto"/>
              <w:ind w:right="78"/>
              <w:jc w:val="center"/>
              <w:rPr>
                <w:color w:val="000000" w:themeColor="text1"/>
                <w14:textFill>
                  <w14:solidFill>
                    <w14:schemeClr w14:val="tx1"/>
                  </w14:solidFill>
                </w14:textFill>
              </w:rPr>
            </w:pPr>
            <w:r>
              <w:rPr>
                <w:color w:val="000000" w:themeColor="text1"/>
                <w:spacing w:val="-7"/>
                <w14:textFill>
                  <w14:solidFill>
                    <w14:schemeClr w14:val="tx1"/>
                  </w14:solidFill>
                </w14:textFill>
              </w:rPr>
              <w:t>防 治</w:t>
            </w:r>
          </w:p>
        </w:tc>
        <w:tc>
          <w:tcPr>
            <w:tcW w:w="802" w:type="dxa"/>
            <w:vAlign w:val="top"/>
          </w:tcPr>
          <w:p w14:paraId="50118846">
            <w:pPr>
              <w:rPr>
                <w:rFonts w:ascii="Arial"/>
                <w:color w:val="000000" w:themeColor="text1"/>
                <w:sz w:val="21"/>
                <w14:textFill>
                  <w14:solidFill>
                    <w14:schemeClr w14:val="tx1"/>
                  </w14:solidFill>
                </w14:textFill>
              </w:rPr>
            </w:pPr>
          </w:p>
        </w:tc>
        <w:tc>
          <w:tcPr>
            <w:tcW w:w="7436" w:type="dxa"/>
            <w:vAlign w:val="top"/>
          </w:tcPr>
          <w:p w14:paraId="4DD94C14">
            <w:pPr>
              <w:pStyle w:val="29"/>
              <w:spacing w:before="62"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1、有植保专业技术人员。</w:t>
            </w:r>
          </w:p>
          <w:p w14:paraId="76C99469">
            <w:pPr>
              <w:pStyle w:val="29"/>
              <w:spacing w:before="75" w:line="220"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2、有详尽的防治工作计划。</w:t>
            </w:r>
          </w:p>
          <w:p w14:paraId="22EC648B">
            <w:pPr>
              <w:pStyle w:val="29"/>
              <w:spacing w:before="81" w:line="219" w:lineRule="auto"/>
              <w:ind w:left="181"/>
              <w:rPr>
                <w:color w:val="000000" w:themeColor="text1"/>
                <w14:textFill>
                  <w14:solidFill>
                    <w14:schemeClr w14:val="tx1"/>
                  </w14:solidFill>
                </w14:textFill>
              </w:rPr>
            </w:pPr>
            <w:r>
              <w:rPr>
                <w:color w:val="000000" w:themeColor="text1"/>
                <w:spacing w:val="-1"/>
                <w14:textFill>
                  <w14:solidFill>
                    <w14:schemeClr w14:val="tx1"/>
                  </w14:solidFill>
                </w14:textFill>
              </w:rPr>
              <w:t>3、植保机具齐全，运转良好。</w:t>
            </w:r>
          </w:p>
          <w:p w14:paraId="5EBD84E2">
            <w:pPr>
              <w:pStyle w:val="29"/>
              <w:spacing w:before="5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4、药剂保管、药剂使用制度、安全保护制度及措施完善到位，无安全事故。</w:t>
            </w:r>
          </w:p>
          <w:p w14:paraId="65753507">
            <w:pPr>
              <w:pStyle w:val="29"/>
              <w:spacing w:before="96" w:line="220" w:lineRule="auto"/>
              <w:ind w:left="181"/>
              <w:rPr>
                <w:color w:val="000000" w:themeColor="text1"/>
                <w14:textFill>
                  <w14:solidFill>
                    <w14:schemeClr w14:val="tx1"/>
                  </w14:solidFill>
                </w14:textFill>
              </w:rPr>
            </w:pPr>
            <w:r>
              <w:rPr>
                <w:color w:val="000000" w:themeColor="text1"/>
                <w14:textFill>
                  <w14:solidFill>
                    <w14:schemeClr w14:val="tx1"/>
                  </w14:solidFill>
                </w14:textFill>
              </w:rPr>
              <w:t>5、以无公害防治为主。</w:t>
            </w:r>
          </w:p>
          <w:p w14:paraId="13B8CC1F">
            <w:pPr>
              <w:pStyle w:val="29"/>
              <w:spacing w:before="73"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6、每年防治不少于3次。</w:t>
            </w:r>
          </w:p>
          <w:p w14:paraId="2688344E">
            <w:pPr>
              <w:pStyle w:val="29"/>
              <w:spacing w:before="84" w:line="219" w:lineRule="auto"/>
              <w:ind w:left="181"/>
              <w:rPr>
                <w:color w:val="000000" w:themeColor="text1"/>
                <w14:textFill>
                  <w14:solidFill>
                    <w14:schemeClr w14:val="tx1"/>
                  </w14:solidFill>
                </w14:textFill>
              </w:rPr>
            </w:pPr>
            <w:r>
              <w:rPr>
                <w:color w:val="000000" w:themeColor="text1"/>
                <w14:textFill>
                  <w14:solidFill>
                    <w14:schemeClr w14:val="tx1"/>
                  </w14:solidFill>
                </w14:textFill>
              </w:rPr>
              <w:t>7、防治率不小于90%。</w:t>
            </w:r>
          </w:p>
        </w:tc>
      </w:tr>
    </w:tbl>
    <w:p w14:paraId="4FDEAAFF">
      <w:pPr>
        <w:pStyle w:val="4"/>
        <w:rPr>
          <w:color w:val="000000" w:themeColor="text1"/>
          <w14:textFill>
            <w14:solidFill>
              <w14:schemeClr w14:val="tx1"/>
            </w14:solidFill>
          </w14:textFill>
        </w:rPr>
      </w:pPr>
    </w:p>
    <w:p w14:paraId="34D784A9">
      <w:pPr>
        <w:sectPr>
          <w:pgSz w:w="11910" w:h="16840"/>
          <w:pgMar w:top="1417" w:right="1417" w:bottom="1417" w:left="1417" w:header="0" w:footer="850" w:gutter="0"/>
          <w:cols w:space="720" w:num="1"/>
        </w:sectPr>
      </w:pPr>
    </w:p>
    <w:p w14:paraId="348F2EFD">
      <w:pPr>
        <w:spacing w:before="101" w:line="222" w:lineRule="auto"/>
        <w:rPr>
          <w:rFonts w:hint="eastAsia" w:ascii="宋体" w:hAnsi="宋体" w:eastAsia="宋体" w:cs="宋体"/>
          <w:spacing w:val="0"/>
          <w:sz w:val="31"/>
          <w:szCs w:val="31"/>
        </w:rPr>
      </w:pPr>
      <w:r>
        <w:rPr>
          <w:rFonts w:hint="eastAsia" w:ascii="宋体" w:hAnsi="宋体" w:eastAsia="宋体" w:cs="宋体"/>
          <w:spacing w:val="0"/>
          <w:sz w:val="31"/>
          <w:szCs w:val="31"/>
        </w:rPr>
        <w:t>附件2:</w:t>
      </w:r>
    </w:p>
    <w:p w14:paraId="59F81B3E">
      <w:pPr>
        <w:spacing w:before="47" w:line="220" w:lineRule="auto"/>
        <w:jc w:val="center"/>
        <w:rPr>
          <w:rFonts w:hint="eastAsia" w:ascii="宋体" w:hAnsi="宋体" w:eastAsia="宋体" w:cs="宋体"/>
          <w:spacing w:val="0"/>
          <w:sz w:val="16"/>
          <w:szCs w:val="18"/>
        </w:rPr>
      </w:pPr>
      <w:r>
        <w:rPr>
          <w:rFonts w:hint="eastAsia" w:ascii="宋体" w:hAnsi="宋体" w:eastAsia="宋体" w:cs="宋体"/>
          <w:b/>
          <w:bCs/>
          <w:spacing w:val="0"/>
          <w:sz w:val="40"/>
          <w:szCs w:val="40"/>
        </w:rPr>
        <w:t>卢氏县绿地管理检查验收评分细则</w:t>
      </w:r>
    </w:p>
    <w:p w14:paraId="4E8EC7EE">
      <w:pPr>
        <w:keepNext w:val="0"/>
        <w:keepLines w:val="0"/>
        <w:pageBreakBefore w:val="0"/>
        <w:widowControl w:val="0"/>
        <w:kinsoku/>
        <w:wordWrap w:val="0"/>
        <w:overflowPunct/>
        <w:topLinePunct w:val="0"/>
        <w:autoSpaceDE w:val="0"/>
        <w:autoSpaceDN w:val="0"/>
        <w:bidi w:val="0"/>
        <w:adjustRightInd w:val="0"/>
        <w:snapToGrid w:val="0"/>
        <w:spacing w:before="91" w:line="5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一</w:t>
      </w:r>
      <w:r>
        <w:rPr>
          <w:rFonts w:hint="eastAsia" w:ascii="宋体" w:hAnsi="宋体" w:eastAsia="宋体" w:cs="宋体"/>
          <w:spacing w:val="-70"/>
          <w:sz w:val="24"/>
          <w:szCs w:val="24"/>
        </w:rPr>
        <w:t xml:space="preserve"> </w:t>
      </w:r>
      <w:r>
        <w:rPr>
          <w:rFonts w:hint="eastAsia" w:ascii="宋体" w:hAnsi="宋体" w:eastAsia="宋体" w:cs="宋体"/>
          <w:spacing w:val="-2"/>
          <w:sz w:val="24"/>
          <w:szCs w:val="24"/>
        </w:rPr>
        <w:t>、工作及劳动纪律</w:t>
      </w:r>
    </w:p>
    <w:p w14:paraId="186463AB">
      <w:pPr>
        <w:keepNext w:val="0"/>
        <w:keepLines w:val="0"/>
        <w:pageBreakBefore w:val="0"/>
        <w:widowControl w:val="0"/>
        <w:kinsoku/>
        <w:wordWrap w:val="0"/>
        <w:overflowPunct/>
        <w:topLinePunct w:val="0"/>
        <w:autoSpaceDE w:val="0"/>
        <w:autoSpaceDN w:val="0"/>
        <w:bidi w:val="0"/>
        <w:adjustRightInd w:val="0"/>
        <w:snapToGrid w:val="0"/>
        <w:spacing w:line="500" w:lineRule="exact"/>
        <w:ind w:left="107" w:right="38" w:firstLine="504" w:firstLineChars="200"/>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1</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对检查结果不满，无理取闹，视情节轻重扣1-3分。</w:t>
      </w:r>
    </w:p>
    <w:p w14:paraId="7A0B7CBF">
      <w:pPr>
        <w:keepNext w:val="0"/>
        <w:keepLines w:val="0"/>
        <w:pageBreakBefore w:val="0"/>
        <w:widowControl w:val="0"/>
        <w:kinsoku/>
        <w:wordWrap w:val="0"/>
        <w:overflowPunct/>
        <w:topLinePunct w:val="0"/>
        <w:autoSpaceDE w:val="0"/>
        <w:autoSpaceDN w:val="0"/>
        <w:bidi w:val="0"/>
        <w:adjustRightInd w:val="0"/>
        <w:snapToGrid w:val="0"/>
        <w:spacing w:line="500" w:lineRule="exact"/>
        <w:ind w:left="107" w:right="38" w:firstLine="504" w:firstLineChars="200"/>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2</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工作积极性不高，马虎、应付，视情节轻重扣1-3分。</w:t>
      </w:r>
    </w:p>
    <w:p w14:paraId="5E542367">
      <w:pPr>
        <w:keepNext w:val="0"/>
        <w:keepLines w:val="0"/>
        <w:pageBreakBefore w:val="0"/>
        <w:widowControl w:val="0"/>
        <w:kinsoku/>
        <w:wordWrap w:val="0"/>
        <w:overflowPunct/>
        <w:topLinePunct w:val="0"/>
        <w:autoSpaceDE w:val="0"/>
        <w:autoSpaceDN w:val="0"/>
        <w:bidi w:val="0"/>
        <w:adjustRightInd w:val="0"/>
        <w:snapToGrid w:val="0"/>
        <w:spacing w:line="500" w:lineRule="exact"/>
        <w:ind w:left="108" w:right="40" w:firstLine="504" w:firstLineChars="200"/>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日常巡查时发现管理问题而管理人员不在岗者每次扣2分或早退、擅自离开工作岗位者每次扣1分。</w:t>
      </w:r>
    </w:p>
    <w:p w14:paraId="23333AD6">
      <w:pPr>
        <w:keepNext w:val="0"/>
        <w:keepLines w:val="0"/>
        <w:pageBreakBefore w:val="0"/>
        <w:widowControl w:val="0"/>
        <w:kinsoku/>
        <w:wordWrap w:val="0"/>
        <w:overflowPunct/>
        <w:topLinePunct w:val="0"/>
        <w:autoSpaceDE w:val="0"/>
        <w:autoSpaceDN w:val="0"/>
        <w:bidi w:val="0"/>
        <w:adjustRightInd w:val="0"/>
        <w:snapToGrid w:val="0"/>
        <w:spacing w:line="500" w:lineRule="exact"/>
        <w:ind w:left="107" w:right="38" w:firstLine="504" w:firstLineChars="200"/>
        <w:textAlignment w:val="baseline"/>
        <w:rPr>
          <w:rFonts w:hint="eastAsia" w:ascii="宋体" w:hAnsi="宋体" w:eastAsia="宋体" w:cs="宋体"/>
          <w:spacing w:val="6"/>
          <w:sz w:val="24"/>
          <w:szCs w:val="24"/>
          <w:lang w:eastAsia="zh-CN"/>
        </w:rPr>
      </w:pPr>
      <w:r>
        <w:rPr>
          <w:rFonts w:hint="eastAsia" w:ascii="宋体" w:hAnsi="宋体" w:eastAsia="宋体" w:cs="宋体"/>
          <w:spacing w:val="6"/>
          <w:sz w:val="24"/>
          <w:szCs w:val="24"/>
        </w:rPr>
        <w:t>4</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不穿工作服者(如马甲、草帽乌黑、穿拖鞋)</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每人次扣0.5分</w:t>
      </w:r>
      <w:r>
        <w:rPr>
          <w:rFonts w:hint="eastAsia" w:ascii="宋体" w:hAnsi="宋体" w:eastAsia="宋体" w:cs="宋体"/>
          <w:spacing w:val="6"/>
          <w:sz w:val="24"/>
          <w:szCs w:val="24"/>
          <w:lang w:eastAsia="zh-CN"/>
        </w:rPr>
        <w:t>。</w:t>
      </w:r>
    </w:p>
    <w:p w14:paraId="3578800C">
      <w:pPr>
        <w:keepNext w:val="0"/>
        <w:keepLines w:val="0"/>
        <w:pageBreakBefore w:val="0"/>
        <w:widowControl w:val="0"/>
        <w:kinsoku/>
        <w:wordWrap w:val="0"/>
        <w:overflowPunct/>
        <w:topLinePunct w:val="0"/>
        <w:autoSpaceDE w:val="0"/>
        <w:autoSpaceDN w:val="0"/>
        <w:bidi w:val="0"/>
        <w:adjustRightInd w:val="0"/>
        <w:snapToGrid w:val="0"/>
        <w:spacing w:line="500" w:lineRule="exact"/>
        <w:ind w:left="107" w:right="38" w:firstLine="504" w:firstLineChars="200"/>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5</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组织检查时发现管理人员脱岗每人次扣2分。</w:t>
      </w:r>
    </w:p>
    <w:p w14:paraId="0783E779">
      <w:pPr>
        <w:keepNext w:val="0"/>
        <w:keepLines w:val="0"/>
        <w:pageBreakBefore w:val="0"/>
        <w:widowControl w:val="0"/>
        <w:kinsoku/>
        <w:wordWrap w:val="0"/>
        <w:overflowPunct/>
        <w:topLinePunct w:val="0"/>
        <w:autoSpaceDE w:val="0"/>
        <w:autoSpaceDN w:val="0"/>
        <w:bidi w:val="0"/>
        <w:adjustRightInd w:val="0"/>
        <w:snapToGrid w:val="0"/>
        <w:spacing w:line="500" w:lineRule="exact"/>
        <w:ind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rPr>
        <w:t>二、卫生保洁</w:t>
      </w:r>
    </w:p>
    <w:p w14:paraId="7F78AF00">
      <w:pPr>
        <w:keepNext w:val="0"/>
        <w:keepLines w:val="0"/>
        <w:pageBreakBefore w:val="0"/>
        <w:widowControl w:val="0"/>
        <w:kinsoku/>
        <w:wordWrap w:val="0"/>
        <w:overflowPunct/>
        <w:topLinePunct w:val="0"/>
        <w:autoSpaceDE w:val="0"/>
        <w:autoSpaceDN w:val="0"/>
        <w:bidi w:val="0"/>
        <w:adjustRightInd w:val="0"/>
        <w:snapToGrid w:val="0"/>
        <w:spacing w:line="500" w:lineRule="exact"/>
        <w:ind w:left="107" w:right="30" w:firstLine="532" w:firstLineChars="200"/>
        <w:textAlignment w:val="baseline"/>
        <w:rPr>
          <w:rFonts w:hint="eastAsia" w:ascii="宋体" w:hAnsi="宋体" w:eastAsia="宋体" w:cs="宋体"/>
          <w:spacing w:val="13"/>
          <w:sz w:val="24"/>
          <w:szCs w:val="24"/>
        </w:rPr>
      </w:pPr>
      <w:r>
        <w:rPr>
          <w:rFonts w:hint="eastAsia" w:ascii="宋体" w:hAnsi="宋体" w:eastAsia="宋体" w:cs="宋体"/>
          <w:spacing w:val="13"/>
          <w:sz w:val="24"/>
          <w:szCs w:val="24"/>
        </w:rPr>
        <w:t>1</w:t>
      </w:r>
      <w:r>
        <w:rPr>
          <w:rFonts w:hint="eastAsia" w:ascii="宋体" w:hAnsi="宋体" w:eastAsia="宋体" w:cs="宋体"/>
          <w:spacing w:val="13"/>
          <w:sz w:val="24"/>
          <w:szCs w:val="24"/>
          <w:lang w:eastAsia="zh-CN"/>
        </w:rPr>
        <w:t>、</w:t>
      </w:r>
      <w:r>
        <w:rPr>
          <w:rFonts w:hint="eastAsia" w:ascii="宋体" w:hAnsi="宋体" w:eastAsia="宋体" w:cs="宋体"/>
          <w:spacing w:val="13"/>
          <w:sz w:val="24"/>
          <w:szCs w:val="24"/>
        </w:rPr>
        <w:t>因绿化管理产生的垃圾，按照要求及时清理</w:t>
      </w:r>
      <w:r>
        <w:rPr>
          <w:rFonts w:hint="eastAsia" w:ascii="宋体" w:hAnsi="宋体" w:eastAsia="宋体" w:cs="宋体"/>
          <w:spacing w:val="12"/>
          <w:sz w:val="24"/>
          <w:szCs w:val="24"/>
        </w:rPr>
        <w:t>，否则每3平方</w:t>
      </w:r>
      <w:r>
        <w:rPr>
          <w:rFonts w:hint="eastAsia" w:ascii="宋体" w:hAnsi="宋体" w:eastAsia="宋体" w:cs="宋体"/>
          <w:spacing w:val="25"/>
          <w:sz w:val="24"/>
          <w:szCs w:val="24"/>
        </w:rPr>
        <w:t>米</w:t>
      </w:r>
      <w:r>
        <w:rPr>
          <w:rFonts w:hint="eastAsia" w:ascii="宋体" w:hAnsi="宋体" w:eastAsia="宋体" w:cs="宋体"/>
          <w:spacing w:val="13"/>
          <w:sz w:val="24"/>
          <w:szCs w:val="24"/>
        </w:rPr>
        <w:t>扣1分，不够3平方米的按3平方米计算。</w:t>
      </w:r>
    </w:p>
    <w:p w14:paraId="66316164">
      <w:pPr>
        <w:keepNext w:val="0"/>
        <w:keepLines w:val="0"/>
        <w:pageBreakBefore w:val="0"/>
        <w:widowControl w:val="0"/>
        <w:kinsoku/>
        <w:wordWrap w:val="0"/>
        <w:overflowPunct/>
        <w:topLinePunct w:val="0"/>
        <w:autoSpaceDE w:val="0"/>
        <w:autoSpaceDN w:val="0"/>
        <w:bidi w:val="0"/>
        <w:adjustRightInd w:val="0"/>
        <w:snapToGrid w:val="0"/>
        <w:spacing w:line="500" w:lineRule="exact"/>
        <w:ind w:right="30" w:firstLine="532" w:firstLineChars="200"/>
        <w:textAlignment w:val="baseline"/>
        <w:rPr>
          <w:rFonts w:hint="eastAsia" w:ascii="宋体" w:hAnsi="宋体" w:eastAsia="宋体" w:cs="宋体"/>
          <w:spacing w:val="13"/>
          <w:sz w:val="24"/>
          <w:szCs w:val="24"/>
        </w:rPr>
      </w:pPr>
      <w:r>
        <w:rPr>
          <w:rFonts w:hint="eastAsia" w:ascii="宋体" w:hAnsi="宋体" w:eastAsia="宋体" w:cs="宋体"/>
          <w:spacing w:val="13"/>
          <w:sz w:val="24"/>
          <w:szCs w:val="24"/>
        </w:rPr>
        <w:t>2</w:t>
      </w:r>
      <w:r>
        <w:rPr>
          <w:rFonts w:hint="eastAsia" w:ascii="宋体" w:hAnsi="宋体" w:eastAsia="宋体" w:cs="宋体"/>
          <w:spacing w:val="13"/>
          <w:sz w:val="24"/>
          <w:szCs w:val="24"/>
          <w:lang w:eastAsia="zh-CN"/>
        </w:rPr>
        <w:t>、</w:t>
      </w:r>
      <w:r>
        <w:rPr>
          <w:rFonts w:hint="eastAsia" w:ascii="宋体" w:hAnsi="宋体" w:eastAsia="宋体" w:cs="宋体"/>
          <w:spacing w:val="13"/>
          <w:sz w:val="24"/>
          <w:szCs w:val="24"/>
        </w:rPr>
        <w:t>对于枝干上、树穴内有明显悬挂物、生活垃圾、砖石瓦砾、干枯枝叶和其他废弃物的，没有及时清理的，每处扣0.5分。</w:t>
      </w:r>
    </w:p>
    <w:p w14:paraId="78A42180">
      <w:pPr>
        <w:keepNext w:val="0"/>
        <w:keepLines w:val="0"/>
        <w:pageBreakBefore w:val="0"/>
        <w:widowControl w:val="0"/>
        <w:kinsoku/>
        <w:wordWrap w:val="0"/>
        <w:overflowPunct/>
        <w:topLinePunct w:val="0"/>
        <w:autoSpaceDE w:val="0"/>
        <w:autoSpaceDN w:val="0"/>
        <w:bidi w:val="0"/>
        <w:adjustRightInd w:val="0"/>
        <w:snapToGrid w:val="0"/>
        <w:spacing w:line="500" w:lineRule="exact"/>
        <w:ind w:left="0" w:right="0" w:firstLine="504" w:firstLineChars="200"/>
        <w:textAlignment w:val="baseline"/>
        <w:rPr>
          <w:rFonts w:hint="eastAsia" w:ascii="宋体" w:hAnsi="宋体" w:eastAsia="宋体" w:cs="宋体"/>
          <w:sz w:val="24"/>
          <w:szCs w:val="24"/>
          <w:lang w:eastAsia="zh-CN"/>
        </w:rPr>
      </w:pPr>
      <w:r>
        <w:rPr>
          <w:rFonts w:hint="eastAsia" w:ascii="宋体" w:hAnsi="宋体" w:eastAsia="宋体" w:cs="宋体"/>
          <w:spacing w:val="6"/>
          <w:sz w:val="24"/>
          <w:szCs w:val="24"/>
        </w:rPr>
        <w:t>三</w:t>
      </w:r>
      <w:r>
        <w:rPr>
          <w:rFonts w:hint="eastAsia" w:ascii="宋体" w:hAnsi="宋体" w:eastAsia="宋体" w:cs="宋体"/>
          <w:spacing w:val="-41"/>
          <w:sz w:val="24"/>
          <w:szCs w:val="24"/>
        </w:rPr>
        <w:t xml:space="preserve"> </w:t>
      </w:r>
      <w:r>
        <w:rPr>
          <w:rFonts w:hint="eastAsia" w:ascii="宋体" w:hAnsi="宋体" w:eastAsia="宋体" w:cs="宋体"/>
          <w:spacing w:val="6"/>
          <w:sz w:val="24"/>
          <w:szCs w:val="24"/>
        </w:rPr>
        <w:t>、园林植物养护(包括行道树、乔木、花灌木、绿篱、</w:t>
      </w:r>
      <w:r>
        <w:rPr>
          <w:rFonts w:hint="eastAsia" w:ascii="宋体" w:hAnsi="宋体" w:eastAsia="宋体" w:cs="宋体"/>
          <w:sz w:val="24"/>
          <w:szCs w:val="24"/>
        </w:rPr>
        <w:t xml:space="preserve"> </w:t>
      </w:r>
      <w:r>
        <w:rPr>
          <w:rFonts w:hint="eastAsia" w:ascii="宋体" w:hAnsi="宋体" w:eastAsia="宋体" w:cs="宋体"/>
          <w:spacing w:val="12"/>
          <w:sz w:val="24"/>
          <w:szCs w:val="24"/>
        </w:rPr>
        <w:t>草坪、地被等)</w:t>
      </w:r>
      <w:r>
        <w:rPr>
          <w:rFonts w:hint="eastAsia" w:ascii="宋体" w:hAnsi="宋体" w:eastAsia="宋体" w:cs="宋体"/>
          <w:sz w:val="24"/>
          <w:szCs w:val="24"/>
          <w:lang w:eastAsia="zh-CN"/>
        </w:rPr>
        <w:t>。</w:t>
      </w:r>
    </w:p>
    <w:p w14:paraId="073C45A7">
      <w:pPr>
        <w:keepNext w:val="0"/>
        <w:keepLines w:val="0"/>
        <w:pageBreakBefore w:val="0"/>
        <w:widowControl w:val="0"/>
        <w:kinsoku/>
        <w:wordWrap w:val="0"/>
        <w:overflowPunct/>
        <w:topLinePunct w:val="0"/>
        <w:autoSpaceDE w:val="0"/>
        <w:autoSpaceDN w:val="0"/>
        <w:bidi w:val="0"/>
        <w:adjustRightInd w:val="0"/>
        <w:snapToGrid w:val="0"/>
        <w:spacing w:line="500" w:lineRule="exact"/>
        <w:ind w:right="38" w:firstLine="506" w:firstLineChars="200"/>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3.1、整体长势</w:t>
      </w:r>
    </w:p>
    <w:p w14:paraId="3858FF55">
      <w:pPr>
        <w:keepNext w:val="0"/>
        <w:keepLines w:val="0"/>
        <w:pageBreakBefore w:val="0"/>
        <w:widowControl w:val="0"/>
        <w:kinsoku/>
        <w:wordWrap w:val="0"/>
        <w:overflowPunct/>
        <w:topLinePunct w:val="0"/>
        <w:autoSpaceDE w:val="0"/>
        <w:autoSpaceDN w:val="0"/>
        <w:bidi w:val="0"/>
        <w:adjustRightInd w:val="0"/>
        <w:snapToGrid w:val="0"/>
        <w:spacing w:line="500" w:lineRule="exact"/>
        <w:ind w:right="38" w:firstLine="504" w:firstLineChars="200"/>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各种苗木生长旺盛，颜色均匀一致，无明显枯黄现象，否则每5平方米扣1分，小于5平方米的按5平方米计算。</w:t>
      </w:r>
    </w:p>
    <w:p w14:paraId="0195CCDE">
      <w:pPr>
        <w:keepNext w:val="0"/>
        <w:keepLines w:val="0"/>
        <w:pageBreakBefore w:val="0"/>
        <w:widowControl w:val="0"/>
        <w:kinsoku/>
        <w:wordWrap w:val="0"/>
        <w:overflowPunct/>
        <w:topLinePunct w:val="0"/>
        <w:autoSpaceDE w:val="0"/>
        <w:autoSpaceDN w:val="0"/>
        <w:bidi w:val="0"/>
        <w:adjustRightInd w:val="0"/>
        <w:snapToGrid w:val="0"/>
        <w:spacing w:line="500" w:lineRule="exact"/>
        <w:ind w:right="38" w:firstLine="506" w:firstLineChars="200"/>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3.2、中耕除草</w:t>
      </w:r>
    </w:p>
    <w:p w14:paraId="1B421405">
      <w:pPr>
        <w:keepNext w:val="0"/>
        <w:keepLines w:val="0"/>
        <w:pageBreakBefore w:val="0"/>
        <w:widowControl w:val="0"/>
        <w:kinsoku/>
        <w:wordWrap w:val="0"/>
        <w:overflowPunct/>
        <w:topLinePunct w:val="0"/>
        <w:autoSpaceDE w:val="0"/>
        <w:autoSpaceDN w:val="0"/>
        <w:bidi w:val="0"/>
        <w:adjustRightInd w:val="0"/>
        <w:snapToGrid w:val="0"/>
        <w:spacing w:line="500" w:lineRule="exact"/>
        <w:ind w:right="38" w:firstLine="504" w:firstLineChars="200"/>
        <w:textAlignment w:val="baseline"/>
        <w:rPr>
          <w:rFonts w:hint="eastAsia" w:ascii="宋体" w:hAnsi="宋体" w:eastAsia="宋体" w:cs="宋体"/>
          <w:sz w:val="24"/>
          <w:szCs w:val="24"/>
        </w:rPr>
      </w:pPr>
      <w:r>
        <w:rPr>
          <w:rFonts w:hint="eastAsia" w:ascii="宋体" w:hAnsi="宋体" w:eastAsia="宋体" w:cs="宋体"/>
          <w:spacing w:val="6"/>
          <w:sz w:val="24"/>
          <w:szCs w:val="24"/>
        </w:rPr>
        <w:t>3.2.1、绿篱或花灌木内无明显杂草，否则每平方米扣</w:t>
      </w:r>
      <w:r>
        <w:rPr>
          <w:rFonts w:hint="eastAsia" w:ascii="宋体" w:hAnsi="宋体" w:eastAsia="宋体" w:cs="宋体"/>
          <w:spacing w:val="2"/>
          <w:sz w:val="24"/>
          <w:szCs w:val="24"/>
        </w:rPr>
        <w:t>0.</w:t>
      </w:r>
      <w:r>
        <w:rPr>
          <w:rFonts w:hint="eastAsia" w:ascii="宋体" w:hAnsi="宋体" w:eastAsia="宋体" w:cs="宋体"/>
          <w:spacing w:val="2"/>
          <w:sz w:val="24"/>
          <w:szCs w:val="24"/>
          <w:lang w:val="en-US" w:eastAsia="zh-CN"/>
        </w:rPr>
        <w:t>2</w:t>
      </w:r>
      <w:r>
        <w:rPr>
          <w:rFonts w:hint="eastAsia" w:ascii="宋体" w:hAnsi="宋体" w:eastAsia="宋体" w:cs="宋体"/>
          <w:spacing w:val="2"/>
          <w:sz w:val="24"/>
          <w:szCs w:val="24"/>
        </w:rPr>
        <w:t>分。</w:t>
      </w:r>
    </w:p>
    <w:p w14:paraId="25211752">
      <w:pPr>
        <w:keepNext w:val="0"/>
        <w:keepLines w:val="0"/>
        <w:pageBreakBefore w:val="0"/>
        <w:widowControl w:val="0"/>
        <w:kinsoku/>
        <w:wordWrap w:val="0"/>
        <w:overflowPunct/>
        <w:topLinePunct w:val="0"/>
        <w:autoSpaceDE w:val="0"/>
        <w:autoSpaceDN w:val="0"/>
        <w:bidi w:val="0"/>
        <w:adjustRightInd w:val="0"/>
        <w:snapToGrid w:val="0"/>
        <w:spacing w:line="500" w:lineRule="exact"/>
        <w:ind w:firstLine="500" w:firstLineChars="200"/>
        <w:jc w:val="both"/>
        <w:textAlignment w:val="baseline"/>
        <w:rPr>
          <w:rFonts w:hint="eastAsia" w:ascii="宋体" w:hAnsi="宋体" w:eastAsia="宋体" w:cs="宋体"/>
          <w:spacing w:val="4"/>
          <w:sz w:val="24"/>
          <w:szCs w:val="24"/>
        </w:rPr>
      </w:pPr>
      <w:r>
        <w:rPr>
          <w:rFonts w:hint="eastAsia" w:ascii="宋体" w:hAnsi="宋体" w:eastAsia="宋体" w:cs="宋体"/>
          <w:spacing w:val="5"/>
          <w:sz w:val="24"/>
          <w:szCs w:val="24"/>
        </w:rPr>
        <w:t>3.2.2</w:t>
      </w:r>
      <w:r>
        <w:rPr>
          <w:rFonts w:hint="eastAsia" w:ascii="宋体" w:hAnsi="宋体" w:eastAsia="宋体" w:cs="宋体"/>
          <w:spacing w:val="-40"/>
          <w:sz w:val="24"/>
          <w:szCs w:val="24"/>
          <w:lang w:eastAsia="zh-CN"/>
        </w:rPr>
        <w:t>、</w:t>
      </w:r>
      <w:r>
        <w:rPr>
          <w:rFonts w:hint="eastAsia" w:ascii="宋体" w:hAnsi="宋体" w:eastAsia="宋体" w:cs="宋体"/>
          <w:spacing w:val="5"/>
          <w:sz w:val="24"/>
          <w:szCs w:val="24"/>
        </w:rPr>
        <w:t>花坛、花带没有及时松土或除杂草，每平方</w:t>
      </w:r>
      <w:r>
        <w:rPr>
          <w:rFonts w:hint="eastAsia" w:ascii="宋体" w:hAnsi="宋体" w:eastAsia="宋体" w:cs="宋体"/>
          <w:spacing w:val="4"/>
          <w:sz w:val="24"/>
          <w:szCs w:val="24"/>
        </w:rPr>
        <w:t>米扣0.2分。</w:t>
      </w:r>
    </w:p>
    <w:p w14:paraId="36C3DC3A">
      <w:pPr>
        <w:keepNext w:val="0"/>
        <w:keepLines w:val="0"/>
        <w:pageBreakBefore w:val="0"/>
        <w:widowControl w:val="0"/>
        <w:kinsoku/>
        <w:wordWrap w:val="0"/>
        <w:overflowPunct/>
        <w:topLinePunct w:val="0"/>
        <w:autoSpaceDE w:val="0"/>
        <w:autoSpaceDN w:val="0"/>
        <w:bidi w:val="0"/>
        <w:adjustRightInd w:val="0"/>
        <w:snapToGrid w:val="0"/>
        <w:spacing w:line="500" w:lineRule="exact"/>
        <w:ind w:firstLine="516" w:firstLineChars="200"/>
        <w:jc w:val="both"/>
        <w:textAlignment w:val="baseline"/>
        <w:rPr>
          <w:rFonts w:hint="eastAsia" w:ascii="宋体" w:hAnsi="宋体" w:eastAsia="宋体" w:cs="宋体"/>
          <w:spacing w:val="9"/>
          <w:sz w:val="24"/>
          <w:szCs w:val="24"/>
        </w:rPr>
      </w:pPr>
      <w:r>
        <w:rPr>
          <w:rFonts w:hint="eastAsia" w:ascii="宋体" w:hAnsi="宋体" w:eastAsia="宋体" w:cs="宋体"/>
          <w:spacing w:val="9"/>
          <w:sz w:val="24"/>
          <w:szCs w:val="24"/>
        </w:rPr>
        <w:t>3.2.3</w:t>
      </w:r>
      <w:r>
        <w:rPr>
          <w:rFonts w:hint="eastAsia" w:ascii="宋体" w:hAnsi="宋体" w:eastAsia="宋体" w:cs="宋体"/>
          <w:spacing w:val="-38"/>
          <w:sz w:val="24"/>
          <w:szCs w:val="24"/>
        </w:rPr>
        <w:t xml:space="preserve"> </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树下或树池内没有及时除草，每棵扣0.1分。</w:t>
      </w:r>
    </w:p>
    <w:p w14:paraId="542CDE0B">
      <w:pPr>
        <w:keepNext w:val="0"/>
        <w:keepLines w:val="0"/>
        <w:pageBreakBefore w:val="0"/>
        <w:widowControl w:val="0"/>
        <w:kinsoku/>
        <w:wordWrap w:val="0"/>
        <w:overflowPunct/>
        <w:topLinePunct w:val="0"/>
        <w:autoSpaceDE w:val="0"/>
        <w:autoSpaceDN w:val="0"/>
        <w:bidi w:val="0"/>
        <w:adjustRightInd w:val="0"/>
        <w:snapToGrid w:val="0"/>
        <w:spacing w:line="500" w:lineRule="exact"/>
        <w:ind w:right="38" w:firstLine="504" w:firstLineChars="200"/>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3.2.4</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草坪没有及时进行松土和除草，每3平方米为一处，每处扣0.2分。</w:t>
      </w:r>
    </w:p>
    <w:p w14:paraId="78A8DA27">
      <w:pPr>
        <w:keepNext w:val="0"/>
        <w:keepLines w:val="0"/>
        <w:pageBreakBefore w:val="0"/>
        <w:widowControl w:val="0"/>
        <w:kinsoku/>
        <w:wordWrap w:val="0"/>
        <w:overflowPunct/>
        <w:topLinePunct w:val="0"/>
        <w:autoSpaceDE w:val="0"/>
        <w:autoSpaceDN w:val="0"/>
        <w:bidi w:val="0"/>
        <w:adjustRightInd w:val="0"/>
        <w:snapToGrid w:val="0"/>
        <w:spacing w:line="500" w:lineRule="exact"/>
        <w:ind w:right="38" w:firstLine="506" w:firstLineChars="200"/>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lang w:val="en-US" w:eastAsia="zh-CN"/>
        </w:rPr>
        <w:t>3.3</w:t>
      </w:r>
      <w:r>
        <w:rPr>
          <w:rFonts w:hint="eastAsia" w:ascii="宋体" w:hAnsi="宋体" w:eastAsia="宋体" w:cs="宋体"/>
          <w:b/>
          <w:bCs/>
          <w:spacing w:val="6"/>
          <w:sz w:val="24"/>
          <w:szCs w:val="24"/>
        </w:rPr>
        <w:t>、植物修剪和管理</w:t>
      </w:r>
    </w:p>
    <w:p w14:paraId="6921DB21">
      <w:pPr>
        <w:keepNext w:val="0"/>
        <w:keepLines w:val="0"/>
        <w:pageBreakBefore w:val="0"/>
        <w:widowControl w:val="0"/>
        <w:kinsoku/>
        <w:wordWrap w:val="0"/>
        <w:overflowPunct/>
        <w:topLinePunct w:val="0"/>
        <w:autoSpaceDE w:val="0"/>
        <w:autoSpaceDN w:val="0"/>
        <w:bidi w:val="0"/>
        <w:adjustRightInd w:val="0"/>
        <w:snapToGrid w:val="0"/>
        <w:spacing w:line="500" w:lineRule="exact"/>
        <w:ind w:right="38" w:firstLine="506" w:firstLineChars="200"/>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(1)乔木、行道树修剪</w:t>
      </w:r>
    </w:p>
    <w:p w14:paraId="59555FCF">
      <w:pPr>
        <w:keepNext w:val="0"/>
        <w:keepLines w:val="0"/>
        <w:pageBreakBefore w:val="0"/>
        <w:widowControl w:val="0"/>
        <w:tabs>
          <w:tab w:val="left" w:pos="8620"/>
        </w:tabs>
        <w:kinsoku/>
        <w:wordWrap w:val="0"/>
        <w:overflowPunct/>
        <w:topLinePunct w:val="0"/>
        <w:autoSpaceDE w:val="0"/>
        <w:autoSpaceDN w:val="0"/>
        <w:bidi w:val="0"/>
        <w:adjustRightInd w:val="0"/>
        <w:snapToGrid w:val="0"/>
        <w:spacing w:line="500" w:lineRule="exact"/>
        <w:ind w:right="-29"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3.3.1.1</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乔木、行道树死枝、病枯枝、伤枝未及时剪除的，每发现一棵扣1分。</w:t>
      </w:r>
    </w:p>
    <w:p w14:paraId="7750816B">
      <w:pPr>
        <w:keepNext w:val="0"/>
        <w:keepLines w:val="0"/>
        <w:pageBreakBefore w:val="0"/>
        <w:widowControl w:val="0"/>
        <w:tabs>
          <w:tab w:val="left" w:pos="8620"/>
        </w:tabs>
        <w:kinsoku/>
        <w:wordWrap w:val="0"/>
        <w:overflowPunct/>
        <w:topLinePunct w:val="0"/>
        <w:autoSpaceDE w:val="0"/>
        <w:autoSpaceDN w:val="0"/>
        <w:bidi w:val="0"/>
        <w:adjustRightInd w:val="0"/>
        <w:snapToGrid w:val="0"/>
        <w:spacing w:line="500" w:lineRule="exact"/>
        <w:ind w:right="-29"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3.3.1.2</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乔木、行道树未及时修剪整形，造成树线、树屋矛盾，每棵扣1分；情节特别严重，造成严重安全隐患的每棵扣5分。</w:t>
      </w:r>
    </w:p>
    <w:p w14:paraId="74C6F96F">
      <w:pPr>
        <w:keepNext w:val="0"/>
        <w:keepLines w:val="0"/>
        <w:pageBreakBefore w:val="0"/>
        <w:widowControl w:val="0"/>
        <w:kinsoku/>
        <w:wordWrap w:val="0"/>
        <w:overflowPunct/>
        <w:topLinePunct w:val="0"/>
        <w:autoSpaceDE w:val="0"/>
        <w:autoSpaceDN w:val="0"/>
        <w:bidi w:val="0"/>
        <w:adjustRightInd w:val="0"/>
        <w:snapToGrid w:val="0"/>
        <w:spacing w:line="500" w:lineRule="exact"/>
        <w:ind w:right="38" w:firstLine="506" w:firstLineChars="200"/>
        <w:textAlignment w:val="baseline"/>
        <w:rPr>
          <w:rFonts w:hint="eastAsia" w:ascii="宋体" w:hAnsi="宋体" w:eastAsia="宋体" w:cs="宋体"/>
          <w:b/>
          <w:bCs/>
          <w:spacing w:val="6"/>
          <w:sz w:val="24"/>
          <w:szCs w:val="24"/>
        </w:rPr>
        <w:sectPr>
          <w:pgSz w:w="12280" w:h="17100"/>
          <w:pgMar w:top="1429" w:right="1587" w:bottom="1429" w:left="1587" w:header="0" w:footer="850" w:gutter="0"/>
          <w:cols w:space="720" w:num="1"/>
        </w:sectPr>
      </w:pPr>
    </w:p>
    <w:p w14:paraId="02A042C9">
      <w:pPr>
        <w:keepNext w:val="0"/>
        <w:keepLines w:val="0"/>
        <w:pageBreakBefore w:val="0"/>
        <w:widowControl w:val="0"/>
        <w:tabs>
          <w:tab w:val="left" w:pos="8620"/>
        </w:tabs>
        <w:kinsoku/>
        <w:wordWrap w:val="0"/>
        <w:overflowPunct/>
        <w:topLinePunct w:val="0"/>
        <w:autoSpaceDE w:val="0"/>
        <w:autoSpaceDN w:val="0"/>
        <w:bidi w:val="0"/>
        <w:adjustRightInd w:val="0"/>
        <w:snapToGrid w:val="0"/>
        <w:spacing w:line="500" w:lineRule="exact"/>
        <w:ind w:right="-29"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3.3.1.3、乔木、行道树未按技术要求进行修剪、抹芽等，每处扣0.5分；截口不平，截口直径15cm以上树木未涂防腐剂，一处扣0.5分。</w:t>
      </w:r>
    </w:p>
    <w:p w14:paraId="1964A3FF">
      <w:pPr>
        <w:keepNext w:val="0"/>
        <w:keepLines w:val="0"/>
        <w:pageBreakBefore w:val="0"/>
        <w:widowControl w:val="0"/>
        <w:tabs>
          <w:tab w:val="left" w:pos="8620"/>
        </w:tabs>
        <w:kinsoku/>
        <w:wordWrap w:val="0"/>
        <w:overflowPunct/>
        <w:topLinePunct w:val="0"/>
        <w:autoSpaceDE w:val="0"/>
        <w:autoSpaceDN w:val="0"/>
        <w:bidi w:val="0"/>
        <w:adjustRightInd w:val="0"/>
        <w:snapToGrid w:val="0"/>
        <w:spacing w:line="500" w:lineRule="exact"/>
        <w:ind w:right="-29"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3.3.1.4</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修剪人员未桉操作技术规范进行修剪，存在安全隐患的每次扣1分；造成人身或财产安全事故的每次扣10分。</w:t>
      </w:r>
    </w:p>
    <w:p w14:paraId="68A8049E">
      <w:pPr>
        <w:keepNext w:val="0"/>
        <w:keepLines w:val="0"/>
        <w:pageBreakBefore w:val="0"/>
        <w:widowControl w:val="0"/>
        <w:tabs>
          <w:tab w:val="left" w:pos="8620"/>
        </w:tabs>
        <w:kinsoku/>
        <w:wordWrap w:val="0"/>
        <w:overflowPunct/>
        <w:topLinePunct w:val="0"/>
        <w:autoSpaceDE w:val="0"/>
        <w:autoSpaceDN w:val="0"/>
        <w:bidi w:val="0"/>
        <w:adjustRightInd w:val="0"/>
        <w:snapToGrid w:val="0"/>
        <w:spacing w:line="500" w:lineRule="exact"/>
        <w:ind w:right="-29"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(2)花灌木修剪和管理</w:t>
      </w:r>
    </w:p>
    <w:p w14:paraId="255FD5A9">
      <w:pPr>
        <w:keepNext w:val="0"/>
        <w:keepLines w:val="0"/>
        <w:pageBreakBefore w:val="0"/>
        <w:widowControl w:val="0"/>
        <w:tabs>
          <w:tab w:val="left" w:pos="8620"/>
        </w:tabs>
        <w:kinsoku/>
        <w:wordWrap w:val="0"/>
        <w:overflowPunct/>
        <w:topLinePunct w:val="0"/>
        <w:autoSpaceDE w:val="0"/>
        <w:autoSpaceDN w:val="0"/>
        <w:bidi w:val="0"/>
        <w:adjustRightInd w:val="0"/>
        <w:snapToGrid w:val="0"/>
        <w:spacing w:line="500" w:lineRule="exact"/>
        <w:ind w:right="-29"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3.3.2.1、各种花灌木和绿篱、模纹植物未及时修剪，每5平方米扣1分，小于5平方米按5平方米计算。</w:t>
      </w:r>
    </w:p>
    <w:p w14:paraId="705D4CE7">
      <w:pPr>
        <w:keepNext w:val="0"/>
        <w:keepLines w:val="0"/>
        <w:pageBreakBefore w:val="0"/>
        <w:widowControl w:val="0"/>
        <w:tabs>
          <w:tab w:val="left" w:pos="8620"/>
        </w:tabs>
        <w:kinsoku/>
        <w:wordWrap w:val="0"/>
        <w:overflowPunct/>
        <w:topLinePunct w:val="0"/>
        <w:autoSpaceDE w:val="0"/>
        <w:autoSpaceDN w:val="0"/>
        <w:bidi w:val="0"/>
        <w:adjustRightInd w:val="0"/>
        <w:snapToGrid w:val="0"/>
        <w:spacing w:line="500" w:lineRule="exact"/>
        <w:ind w:right="-29"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3.3.2.2、球类及绿篱等造型植物未及时或未按要求修剪，致使树型杂乱或影响花木生长者，每棵扣0.1分或每平方扣0.1分。</w:t>
      </w:r>
    </w:p>
    <w:p w14:paraId="22C9E196">
      <w:pPr>
        <w:keepNext w:val="0"/>
        <w:keepLines w:val="0"/>
        <w:pageBreakBefore w:val="0"/>
        <w:widowControl w:val="0"/>
        <w:tabs>
          <w:tab w:val="left" w:pos="8620"/>
        </w:tabs>
        <w:kinsoku/>
        <w:wordWrap w:val="0"/>
        <w:overflowPunct/>
        <w:topLinePunct w:val="0"/>
        <w:autoSpaceDE w:val="0"/>
        <w:autoSpaceDN w:val="0"/>
        <w:bidi w:val="0"/>
        <w:adjustRightInd w:val="0"/>
        <w:snapToGrid w:val="0"/>
        <w:spacing w:line="500" w:lineRule="exact"/>
        <w:ind w:right="-29"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3.3.2.3、花灌木干枝、伤枝、枯枝未及时修剪者每发现一处扣1分。</w:t>
      </w:r>
    </w:p>
    <w:p w14:paraId="16440ABC">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28"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3.3.2.4、花灌木残花未及时剪除，每发现一棵扣0.2分。</w:t>
      </w:r>
    </w:p>
    <w:p w14:paraId="35AA37F1">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28"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3.3.2.5</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各种花灌木未按植物生长习性进行修剪、剥芽每棵扣0.5 分。</w:t>
      </w:r>
    </w:p>
    <w:p w14:paraId="37D1A969">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28"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3.3.2.6</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修剪人员未按操作技术规范进行修剪，存在安全隐患的每次扣1分；修剪绿篱未张线的扣5分；造成人身或财产安全事故的每次扣10分，并由承包人承担全部责任。</w:t>
      </w:r>
    </w:p>
    <w:p w14:paraId="38DEC41B">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28"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(3)草坪修剪和管理</w:t>
      </w:r>
    </w:p>
    <w:p w14:paraId="164C0FB4">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28"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3.3.3.1</w:t>
      </w:r>
      <w:r>
        <w:rPr>
          <w:rFonts w:hint="eastAsia" w:ascii="宋体" w:hAnsi="宋体" w:eastAsia="宋体" w:cs="宋体"/>
          <w:spacing w:val="6"/>
          <w:sz w:val="24"/>
          <w:szCs w:val="24"/>
          <w:lang w:eastAsia="zh-CN"/>
        </w:rPr>
        <w:t>、</w:t>
      </w:r>
      <w:r>
        <w:rPr>
          <w:rFonts w:hint="eastAsia" w:ascii="宋体" w:hAnsi="宋体" w:eastAsia="宋体" w:cs="宋体"/>
          <w:spacing w:val="11"/>
          <w:sz w:val="24"/>
          <w:szCs w:val="24"/>
        </w:rPr>
        <w:t>草坪未及时修剪，每亩扣1分，大于100平方米，小于1亩的按1亩计算。</w:t>
      </w:r>
    </w:p>
    <w:p w14:paraId="3118DC95">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28"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3.3.3.2</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草坪修剪整齐美观，有修剪不到位的地方，每10平方米扣0.1分。</w:t>
      </w:r>
    </w:p>
    <w:p w14:paraId="363FE2F8">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28"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3.3.3.3</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草坪中的树坑、绿篱、花坛等边缘切边不整齐的，每 5米扣0.1分，大于1米小于5米的按5米计算。</w:t>
      </w:r>
    </w:p>
    <w:p w14:paraId="41080B9F">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28"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3.3.3.4</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草坪管理不善致使黄土裸露，又没有及时更新补栽， 每1平方米扣0.1分。</w:t>
      </w:r>
    </w:p>
    <w:p w14:paraId="72D7418E">
      <w:pPr>
        <w:keepNext w:val="0"/>
        <w:keepLines w:val="0"/>
        <w:pageBreakBefore w:val="0"/>
        <w:widowControl w:val="0"/>
        <w:tabs>
          <w:tab w:val="left" w:pos="8820"/>
        </w:tabs>
        <w:kinsoku/>
        <w:wordWrap w:val="0"/>
        <w:overflowPunct/>
        <w:topLinePunct w:val="0"/>
        <w:autoSpaceDE w:val="0"/>
        <w:autoSpaceDN w:val="0"/>
        <w:bidi w:val="0"/>
        <w:adjustRightInd w:val="0"/>
        <w:snapToGrid w:val="0"/>
        <w:spacing w:before="91" w:line="500" w:lineRule="exact"/>
        <w:ind w:right="-28"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3.3.3.5</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草坪下枯草层未及时清理，每平方米扣0.1分。</w:t>
      </w:r>
    </w:p>
    <w:p w14:paraId="492A80EA">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 xml:space="preserve">3.3.3.6、修剪人员未按操作技术规范进行修剪，存在安全隐患 </w:t>
      </w:r>
      <w:r>
        <w:rPr>
          <w:rFonts w:hint="eastAsia" w:ascii="宋体" w:hAnsi="宋体" w:eastAsia="宋体" w:cs="宋体"/>
          <w:spacing w:val="17"/>
          <w:sz w:val="24"/>
          <w:szCs w:val="24"/>
        </w:rPr>
        <w:t>的每次扣1分；造成人身或财产安全事故的每次扣10分，并由承包人承担全部责任。</w:t>
      </w:r>
    </w:p>
    <w:p w14:paraId="5C921EF3">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lang w:eastAsia="zh-CN"/>
        </w:rPr>
        <w:t>（</w:t>
      </w:r>
      <w:r>
        <w:rPr>
          <w:rFonts w:hint="eastAsia" w:ascii="宋体" w:hAnsi="宋体" w:eastAsia="宋体" w:cs="宋体"/>
          <w:b/>
          <w:bCs/>
          <w:spacing w:val="6"/>
          <w:sz w:val="24"/>
          <w:szCs w:val="24"/>
        </w:rPr>
        <w:t>4</w:t>
      </w:r>
      <w:r>
        <w:rPr>
          <w:rFonts w:hint="eastAsia" w:ascii="宋体" w:hAnsi="宋体" w:eastAsia="宋体" w:cs="宋体"/>
          <w:b/>
          <w:bCs/>
          <w:spacing w:val="6"/>
          <w:sz w:val="24"/>
          <w:szCs w:val="24"/>
          <w:lang w:eastAsia="zh-CN"/>
        </w:rPr>
        <w:t>）</w:t>
      </w:r>
      <w:r>
        <w:rPr>
          <w:rFonts w:hint="eastAsia" w:ascii="宋体" w:hAnsi="宋体" w:eastAsia="宋体" w:cs="宋体"/>
          <w:b/>
          <w:bCs/>
          <w:spacing w:val="6"/>
          <w:sz w:val="24"/>
          <w:szCs w:val="24"/>
        </w:rPr>
        <w:t>花坛草花修剪和管理</w:t>
      </w:r>
    </w:p>
    <w:p w14:paraId="0763FBAC">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3.3.4.1</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未及时更换草花，严重影响景观的，每处扣2分。</w:t>
      </w:r>
    </w:p>
    <w:p w14:paraId="4838B73E">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3.3.4.2、</w:t>
      </w:r>
      <w:r>
        <w:rPr>
          <w:rFonts w:hint="eastAsia" w:ascii="宋体" w:hAnsi="宋体" w:eastAsia="宋体" w:cs="宋体"/>
          <w:spacing w:val="17"/>
          <w:sz w:val="24"/>
          <w:szCs w:val="24"/>
        </w:rPr>
        <w:t>未按要求种植或布置的，每平方米扣0.1分，密度达</w:t>
      </w:r>
      <w:r>
        <w:rPr>
          <w:rFonts w:hint="eastAsia" w:ascii="宋体" w:hAnsi="宋体" w:eastAsia="宋体" w:cs="宋体"/>
          <w:spacing w:val="6"/>
          <w:sz w:val="24"/>
          <w:szCs w:val="24"/>
        </w:rPr>
        <w:t>不到标准，扣0.5分。</w:t>
      </w:r>
    </w:p>
    <w:p w14:paraId="05A809B4">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3.3.4.3、开败的花朵及时剪除，否则每处扣0.1分。</w:t>
      </w:r>
    </w:p>
    <w:p w14:paraId="1A468406">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 xml:space="preserve">3.4 </w:t>
      </w:r>
      <w:r>
        <w:rPr>
          <w:rFonts w:hint="eastAsia" w:ascii="宋体" w:hAnsi="宋体" w:eastAsia="宋体" w:cs="宋体"/>
          <w:b/>
          <w:bCs/>
          <w:spacing w:val="6"/>
          <w:sz w:val="24"/>
          <w:szCs w:val="24"/>
          <w:lang w:eastAsia="zh-CN"/>
        </w:rPr>
        <w:t>、</w:t>
      </w:r>
      <w:r>
        <w:rPr>
          <w:rFonts w:hint="eastAsia" w:ascii="宋体" w:hAnsi="宋体" w:eastAsia="宋体" w:cs="宋体"/>
          <w:b/>
          <w:bCs/>
          <w:spacing w:val="6"/>
          <w:sz w:val="24"/>
          <w:szCs w:val="24"/>
        </w:rPr>
        <w:t>病虫害防治</w:t>
      </w:r>
    </w:p>
    <w:p w14:paraId="358D9092">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3.4.1</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对植物病虫害未及时采取有效防治措施进行防治，致使病虫害大规模蔓延的，每处扣2分。</w:t>
      </w:r>
    </w:p>
    <w:p w14:paraId="52F2DAB3">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3.4.2、苗木病虫害防治用药和药液比例配制不正确，造成苗木伤害的，由承包人负责赔偿，并每处扣3分。</w:t>
      </w:r>
    </w:p>
    <w:p w14:paraId="18B9D26E">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3.4.3</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每平方米草坪、草花病虫害侵害超过5%为一处，每发现一处扣0.25分。</w:t>
      </w:r>
    </w:p>
    <w:p w14:paraId="6A3F66E0">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3.4.4、绿篱每平方米病虫害侵害率超过5%为一处，每发现一处扣0.25分。</w:t>
      </w:r>
    </w:p>
    <w:p w14:paraId="7D162BEE">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3.4.5</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花灌木、乔木、行道树因病虫害致使单株侵害超过5%的，每发现一棵扣0.25分。</w:t>
      </w:r>
    </w:p>
    <w:p w14:paraId="0377151D">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3.4.6</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苗木受蛀干害虫危害，每棵超过3个虫孔，每发现一棵扣0.25分。</w:t>
      </w:r>
    </w:p>
    <w:p w14:paraId="70EDA7B2">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3.4.7、因病虫害造成花木严重生长不良，影响观赏、甚至枯死的，每发现一棵扣1分。</w:t>
      </w:r>
    </w:p>
    <w:p w14:paraId="7AEFCC29">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3.4.8</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苗木病虫害防治时因操作不当，存在安全隐患的每次扣1分；造成人身或财产安全事故的每次扣10分，并由承包人承担全部责任。</w:t>
      </w:r>
    </w:p>
    <w:p w14:paraId="45093CD1">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3.4.9</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禁止使用违禁农药，违者每次扣10分。</w:t>
      </w:r>
    </w:p>
    <w:p w14:paraId="6F8E2A11">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3.4.10</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对苗木的病虫害防治要在居民活动相对较少的时间段内进行，喷药时间、方法不合理，受到举报的每次扣5分。</w:t>
      </w:r>
    </w:p>
    <w:p w14:paraId="2AD4FA87">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3.5、肥水管理</w:t>
      </w:r>
    </w:p>
    <w:p w14:paraId="2A127201">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3.5.1、未及时足量浇水或浇水过量造成植物干旱或水涝致使植物生长不良或死亡者，每发现一棵或一处扣1分，草坪每平方米扣0.25分。</w:t>
      </w:r>
    </w:p>
    <w:p w14:paraId="1C86A25F">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3.5.2、水堰不整齐，大小不适中，堰壁不结实者，每处扣0.5分。</w:t>
      </w:r>
    </w:p>
    <w:p w14:paraId="42307C9A">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3.5.3、</w:t>
      </w:r>
      <w:r>
        <w:rPr>
          <w:rFonts w:hint="eastAsia" w:ascii="宋体" w:hAnsi="宋体" w:eastAsia="宋体" w:cs="宋体"/>
          <w:spacing w:val="17"/>
          <w:sz w:val="24"/>
          <w:szCs w:val="24"/>
        </w:rPr>
        <w:t>管养绿地每平方米施有机肥0.25公斤，复合肥0.15公斤；树木每棵0.25-1公斤。未及时施肥或施肥不当造成绿化苗木生长不良或死亡的，每平方米、每株或每处扣1分。</w:t>
      </w:r>
    </w:p>
    <w:p w14:paraId="6CBBDC1A">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3.5.4、施肥后不覆土或草地施肥后不淋水，致使肥料裸露，每棵或平方米扣1分。</w:t>
      </w:r>
    </w:p>
    <w:p w14:paraId="2ABC5021">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3.5.5</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排水不畅通，雨后积水严重，造成苗木生长不良或死亡的每棵、每平方米或每处扣1分。</w:t>
      </w:r>
    </w:p>
    <w:p w14:paraId="00EAACA9">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3.5.6</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浪费用水，如水龙头未关好、开关损坏未修理等造成用水浪费的，每次或每处扣2分。</w:t>
      </w:r>
    </w:p>
    <w:p w14:paraId="5E0E5F42">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3.6、苗木补栽</w:t>
      </w:r>
    </w:p>
    <w:p w14:paraId="58525C5D">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3.6.1、</w:t>
      </w:r>
      <w:r>
        <w:rPr>
          <w:rFonts w:hint="eastAsia" w:ascii="宋体" w:hAnsi="宋体" w:eastAsia="宋体" w:cs="宋体"/>
          <w:spacing w:val="11"/>
          <w:sz w:val="24"/>
          <w:szCs w:val="24"/>
        </w:rPr>
        <w:t>因管理人员管理不当造成苗木死亡的应及时补栽同品种、同规格的苗木，并确保成活，否则在养护期满综合验收前从履约保证金中扣除补植费用，并每棵、每平方米或每处扣1分</w:t>
      </w:r>
      <w:r>
        <w:rPr>
          <w:rFonts w:hint="eastAsia" w:ascii="宋体" w:hAnsi="宋体" w:eastAsia="宋体" w:cs="宋体"/>
          <w:spacing w:val="17"/>
          <w:sz w:val="24"/>
          <w:szCs w:val="24"/>
        </w:rPr>
        <w:t>。</w:t>
      </w:r>
    </w:p>
    <w:p w14:paraId="54BEE2F5">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3.6.2、补栽苗木成活率达不到要求，大苗每少一棵扣0.5分，小苗每少一个百分点扣5分。</w:t>
      </w:r>
    </w:p>
    <w:p w14:paraId="76095E31">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3.6.3、补栽苗木没有按照操作规范进行的，或补种苗木不合格者，视情节轻重，每棵扣1-5分。</w:t>
      </w:r>
    </w:p>
    <w:p w14:paraId="13F01CA5">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3.7、其他管理事项</w:t>
      </w:r>
    </w:p>
    <w:p w14:paraId="0FA72FBA">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3.7.1、需要支撑的树木未进行支撑或支撑不牢固，每株扣0.5分。</w:t>
      </w:r>
    </w:p>
    <w:p w14:paraId="539515E3">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3.7.2</w:t>
      </w:r>
      <w:r>
        <w:rPr>
          <w:rFonts w:hint="eastAsia" w:ascii="宋体" w:hAnsi="宋体" w:eastAsia="宋体" w:cs="宋体"/>
          <w:spacing w:val="6"/>
          <w:sz w:val="24"/>
          <w:szCs w:val="24"/>
          <w:lang w:eastAsia="zh-CN"/>
        </w:rPr>
        <w:t>、</w:t>
      </w:r>
      <w:r>
        <w:rPr>
          <w:rFonts w:hint="eastAsia" w:ascii="宋体" w:hAnsi="宋体" w:eastAsia="宋体" w:cs="宋体"/>
          <w:spacing w:val="6"/>
          <w:sz w:val="24"/>
          <w:szCs w:val="24"/>
        </w:rPr>
        <w:t>绿地内乔木、单株花灌木及行道树未及时扶正，影响景观，每棵扣2分。</w:t>
      </w:r>
    </w:p>
    <w:p w14:paraId="4B8AB9BD">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3.7.3、没有按照要求对苗木进行涂白的，每棵扣0.2分。</w:t>
      </w:r>
    </w:p>
    <w:p w14:paraId="31EEAAFD">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3.7.4</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死亡苗木未及时清理并更换补植的，每棵扣1分。</w:t>
      </w:r>
    </w:p>
    <w:p w14:paraId="3C49425C">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四、绿地设施维护</w:t>
      </w:r>
    </w:p>
    <w:p w14:paraId="2E9DDE2C">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4.1</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树木、标牌、花架、雕塑、小品刻画、污染(锈蚀)严重者，每处扣0.5分。</w:t>
      </w:r>
    </w:p>
    <w:p w14:paraId="7ABAAF89">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4.2、管理人员发现损害绿化苗木和绿化设施的行为，没有按要求制止、处理和不及时上报的，每发现一次扣5分。</w:t>
      </w:r>
    </w:p>
    <w:p w14:paraId="13139442">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4.3</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园路、铺装、台阶、护栏、坐凳、园林小品等园建设施或绿化配套设施损坏未及时报告和维修，每处扣2分。</w:t>
      </w:r>
    </w:p>
    <w:p w14:paraId="055EE13B">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4.4</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对管养范围内的安全隐患(如锐器、碎玻璃、取水口保护装置、雨水井盖板缺失等),未及时报告、清除或采取有效防范措施，每处扣10分。若造成游客伤害的，由承包人负责赔偿。</w:t>
      </w:r>
    </w:p>
    <w:p w14:paraId="2BE051E4">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五、绿地保护</w:t>
      </w:r>
    </w:p>
    <w:p w14:paraId="14EE5AFE">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5.1、绿地被无故侵占或绿化苗木被无故损坏，没有及时发现并报告，每1平方米扣0.5分或每棵乔木扣5分，灌木扣2分。</w:t>
      </w:r>
    </w:p>
    <w:p w14:paraId="7F760C7C">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5.2</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树木和园林设施上无晾晒衣服、乱拉电线等，否则每处扣0.5分。</w:t>
      </w:r>
    </w:p>
    <w:p w14:paraId="68BEAD3D">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5.3</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绿地内严禁停放车辆，发现一辆扣0.5分。</w:t>
      </w:r>
    </w:p>
    <w:p w14:paraId="49BD6EC2">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12"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spacing w:val="8"/>
          <w:sz w:val="24"/>
          <w:szCs w:val="24"/>
        </w:rPr>
        <w:t>5.4、及时清理植物上的杂物(包括积雪、飘浮物)</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发现一处扣</w:t>
      </w:r>
      <w:r>
        <w:rPr>
          <w:rFonts w:hint="eastAsia" w:ascii="宋体" w:hAnsi="宋体" w:eastAsia="宋体" w:cs="宋体"/>
          <w:b w:val="0"/>
          <w:bCs w:val="0"/>
          <w:spacing w:val="6"/>
          <w:sz w:val="24"/>
          <w:szCs w:val="24"/>
        </w:rPr>
        <w:t>1分。</w:t>
      </w:r>
    </w:p>
    <w:p w14:paraId="7BC10E1D">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rPr>
      </w:pPr>
      <w:r>
        <w:rPr>
          <w:rFonts w:hint="eastAsia" w:ascii="宋体" w:hAnsi="宋体" w:eastAsia="宋体" w:cs="宋体"/>
          <w:b/>
          <w:bCs/>
          <w:spacing w:val="6"/>
          <w:sz w:val="24"/>
          <w:szCs w:val="24"/>
        </w:rPr>
        <w:t>六、突击任务</w:t>
      </w:r>
    </w:p>
    <w:p w14:paraId="1B7C82EF">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6.1、按时保质完成局、绿化部门交给的突击任务，否则每次扣10分。</w:t>
      </w:r>
    </w:p>
    <w:p w14:paraId="5524B5BF">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4" w:firstLineChars="200"/>
        <w:jc w:val="both"/>
        <w:textAlignment w:val="baseline"/>
        <w:rPr>
          <w:rFonts w:hint="eastAsia" w:ascii="宋体" w:hAnsi="宋体" w:eastAsia="宋体" w:cs="宋体"/>
          <w:b w:val="0"/>
          <w:bCs w:val="0"/>
          <w:spacing w:val="6"/>
          <w:sz w:val="24"/>
          <w:szCs w:val="24"/>
        </w:rPr>
      </w:pPr>
      <w:r>
        <w:rPr>
          <w:rFonts w:hint="eastAsia" w:ascii="宋体" w:hAnsi="宋体" w:eastAsia="宋体" w:cs="宋体"/>
          <w:b w:val="0"/>
          <w:bCs w:val="0"/>
          <w:spacing w:val="6"/>
          <w:sz w:val="24"/>
          <w:szCs w:val="24"/>
        </w:rPr>
        <w:t>6.2</w:t>
      </w:r>
      <w:r>
        <w:rPr>
          <w:rFonts w:hint="eastAsia" w:ascii="宋体" w:hAnsi="宋体" w:eastAsia="宋体" w:cs="宋体"/>
          <w:b w:val="0"/>
          <w:bCs w:val="0"/>
          <w:spacing w:val="6"/>
          <w:sz w:val="24"/>
          <w:szCs w:val="24"/>
          <w:lang w:eastAsia="zh-CN"/>
        </w:rPr>
        <w:t>、</w:t>
      </w:r>
      <w:r>
        <w:rPr>
          <w:rFonts w:hint="eastAsia" w:ascii="宋体" w:hAnsi="宋体" w:eastAsia="宋体" w:cs="宋体"/>
          <w:b w:val="0"/>
          <w:bCs w:val="0"/>
          <w:spacing w:val="6"/>
          <w:sz w:val="24"/>
          <w:szCs w:val="24"/>
        </w:rPr>
        <w:t>因管理不善、措施不到位，绿化部门受县领导批评一次，扣公司10分，受局领导批评一次，扣公司5分。</w:t>
      </w:r>
    </w:p>
    <w:p w14:paraId="1427D6AC">
      <w:pPr>
        <w:keepNext w:val="0"/>
        <w:keepLines w:val="0"/>
        <w:pageBreakBefore w:val="0"/>
        <w:widowControl w:val="0"/>
        <w:tabs>
          <w:tab w:val="left" w:pos="8820"/>
        </w:tabs>
        <w:kinsoku/>
        <w:wordWrap w:val="0"/>
        <w:overflowPunct/>
        <w:topLinePunct w:val="0"/>
        <w:autoSpaceDE w:val="0"/>
        <w:autoSpaceDN w:val="0"/>
        <w:bidi w:val="0"/>
        <w:adjustRightInd w:val="0"/>
        <w:snapToGrid w:val="0"/>
        <w:spacing w:line="500" w:lineRule="exact"/>
        <w:ind w:right="0" w:rightChars="0" w:firstLine="506" w:firstLineChars="200"/>
        <w:jc w:val="both"/>
        <w:textAlignment w:val="baseline"/>
        <w:rPr>
          <w:rFonts w:hint="eastAsia" w:ascii="宋体" w:hAnsi="宋体" w:eastAsia="宋体" w:cs="宋体"/>
          <w:b/>
          <w:bCs/>
          <w:spacing w:val="6"/>
          <w:sz w:val="24"/>
          <w:szCs w:val="24"/>
          <w:highlight w:val="none"/>
        </w:rPr>
      </w:pPr>
      <w:r>
        <w:rPr>
          <w:rFonts w:hint="eastAsia" w:ascii="宋体" w:hAnsi="宋体" w:eastAsia="宋体" w:cs="宋体"/>
          <w:b/>
          <w:bCs/>
          <w:spacing w:val="6"/>
          <w:sz w:val="24"/>
          <w:szCs w:val="24"/>
          <w:highlight w:val="none"/>
        </w:rPr>
        <w:t>七、评比奖罚：</w:t>
      </w:r>
    </w:p>
    <w:p w14:paraId="0AA3D5B4">
      <w:pPr>
        <w:keepNext w:val="0"/>
        <w:keepLines w:val="0"/>
        <w:pageBreakBefore w:val="0"/>
        <w:widowControl w:val="0"/>
        <w:kinsoku/>
        <w:wordWrap w:val="0"/>
        <w:overflowPunct/>
        <w:topLinePunct w:val="0"/>
        <w:autoSpaceDE w:val="0"/>
        <w:autoSpaceDN w:val="0"/>
        <w:bidi w:val="0"/>
        <w:adjustRightInd w:val="0"/>
        <w:snapToGrid w:val="0"/>
        <w:spacing w:line="500" w:lineRule="exact"/>
        <w:ind w:right="0" w:firstLine="504" w:firstLineChars="200"/>
        <w:textAlignment w:val="baseline"/>
        <w:rPr>
          <w:rFonts w:hint="eastAsia" w:ascii="宋体" w:hAnsi="宋体" w:eastAsia="宋体" w:cs="宋体"/>
          <w:color w:val="0000FF"/>
          <w:sz w:val="24"/>
          <w:szCs w:val="24"/>
          <w:highlight w:val="none"/>
          <w:lang w:val="en-US" w:eastAsia="zh-CN"/>
        </w:rPr>
        <w:sectPr>
          <w:pgSz w:w="11910" w:h="16840"/>
          <w:pgMar w:top="1429" w:right="1587" w:bottom="1429" w:left="1587" w:header="0" w:footer="850" w:gutter="0"/>
          <w:cols w:space="720" w:num="1"/>
        </w:sectPr>
      </w:pPr>
      <w:r>
        <w:rPr>
          <w:rFonts w:hint="eastAsia" w:ascii="宋体" w:hAnsi="宋体" w:eastAsia="宋体" w:cs="宋体"/>
          <w:b w:val="0"/>
          <w:bCs w:val="0"/>
          <w:spacing w:val="6"/>
          <w:sz w:val="24"/>
          <w:szCs w:val="24"/>
          <w:highlight w:val="none"/>
        </w:rPr>
        <w:t>每月</w:t>
      </w:r>
      <w:r>
        <w:rPr>
          <w:rFonts w:hint="eastAsia" w:ascii="宋体" w:hAnsi="宋体" w:eastAsia="宋体" w:cs="宋体"/>
          <w:b w:val="0"/>
          <w:bCs w:val="0"/>
          <w:spacing w:val="6"/>
          <w:sz w:val="24"/>
          <w:szCs w:val="24"/>
          <w:highlight w:val="none"/>
          <w:lang w:val="en-US" w:eastAsia="zh-CN"/>
        </w:rPr>
        <w:t>考核</w:t>
      </w:r>
      <w:r>
        <w:rPr>
          <w:rFonts w:hint="eastAsia" w:ascii="宋体" w:hAnsi="宋体" w:eastAsia="宋体" w:cs="宋体"/>
          <w:b w:val="0"/>
          <w:bCs w:val="0"/>
          <w:spacing w:val="6"/>
          <w:sz w:val="24"/>
          <w:szCs w:val="24"/>
          <w:highlight w:val="none"/>
        </w:rPr>
        <w:t>一次，结合平时不定时抽查综合分数为当月得分</w:t>
      </w:r>
      <w:r>
        <w:rPr>
          <w:rFonts w:hint="eastAsia" w:ascii="宋体" w:hAnsi="宋体" w:eastAsia="宋体" w:cs="宋体"/>
          <w:b w:val="0"/>
          <w:bCs w:val="0"/>
          <w:spacing w:val="6"/>
          <w:sz w:val="24"/>
          <w:szCs w:val="24"/>
          <w:highlight w:val="none"/>
          <w:lang w:eastAsia="zh-CN"/>
        </w:rPr>
        <w:t>，</w:t>
      </w:r>
      <w:r>
        <w:rPr>
          <w:rFonts w:hint="eastAsia" w:ascii="宋体" w:hAnsi="宋体" w:eastAsia="宋体" w:cs="宋体"/>
          <w:b w:val="0"/>
          <w:bCs w:val="0"/>
          <w:spacing w:val="6"/>
          <w:sz w:val="24"/>
          <w:szCs w:val="24"/>
          <w:highlight w:val="none"/>
        </w:rPr>
        <w:t>每季度总结一次。考核不合格者扣减费用或终止合作。</w:t>
      </w:r>
    </w:p>
    <w:p w14:paraId="45A0B74B">
      <w:pPr>
        <w:keepNext w:val="0"/>
        <w:keepLines w:val="0"/>
        <w:pageBreakBefore w:val="0"/>
        <w:widowControl w:val="0"/>
        <w:numPr>
          <w:ilvl w:val="0"/>
          <w:numId w:val="0"/>
        </w:numPr>
        <w:kinsoku/>
        <w:wordWrap/>
        <w:overflowPunct/>
        <w:topLinePunct w:val="0"/>
        <w:bidi w:val="0"/>
        <w:adjustRightInd/>
        <w:snapToGrid/>
        <w:spacing w:line="500" w:lineRule="exact"/>
        <w:jc w:val="center"/>
        <w:textAlignment w:val="auto"/>
        <w:rPr>
          <w:rFonts w:hint="eastAsia" w:ascii="黑体" w:cs="宋体"/>
          <w:b/>
          <w:kern w:val="2"/>
          <w:sz w:val="24"/>
          <w:szCs w:val="24"/>
        </w:rPr>
      </w:pPr>
      <w:r>
        <w:rPr>
          <w:rFonts w:hint="eastAsia" w:ascii="黑体" w:cs="宋体" w:hAnsiTheme="minorHAnsi" w:eastAsiaTheme="minorEastAsia"/>
          <w:b/>
          <w:kern w:val="2"/>
          <w:sz w:val="24"/>
          <w:szCs w:val="24"/>
          <w:lang w:val="en-US" w:eastAsia="zh-CN" w:bidi="ar-SA"/>
        </w:rPr>
        <w:t>第四章</w:t>
      </w:r>
      <w:r>
        <w:rPr>
          <w:rFonts w:hint="eastAsia" w:ascii="黑体" w:cs="宋体"/>
          <w:b/>
          <w:kern w:val="2"/>
          <w:sz w:val="24"/>
          <w:szCs w:val="24"/>
          <w:lang w:val="en-US" w:eastAsia="zh-CN" w:bidi="ar-SA"/>
        </w:rPr>
        <w:t xml:space="preserve"> </w:t>
      </w:r>
      <w:r>
        <w:rPr>
          <w:rFonts w:hint="eastAsia" w:ascii="黑体" w:cs="宋体"/>
          <w:b/>
          <w:kern w:val="2"/>
          <w:sz w:val="24"/>
          <w:szCs w:val="24"/>
        </w:rPr>
        <w:t>合同条款及格式</w:t>
      </w:r>
    </w:p>
    <w:p w14:paraId="2141198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2" w:firstLineChars="200"/>
        <w:jc w:val="center"/>
        <w:textAlignment w:val="auto"/>
        <w:rPr>
          <w:rFonts w:hint="eastAsia"/>
          <w:b/>
          <w:color w:val="000000"/>
          <w:kern w:val="2"/>
          <w:sz w:val="24"/>
          <w:szCs w:val="24"/>
          <w:lang w:val="en-US" w:bidi="ar-SA"/>
        </w:rPr>
      </w:pPr>
      <w:bookmarkStart w:id="32" w:name="_Toc461977428"/>
      <w:bookmarkEnd w:id="32"/>
      <w:bookmarkStart w:id="33" w:name="_Toc316289951"/>
      <w:r>
        <w:rPr>
          <w:rFonts w:hint="eastAsia"/>
          <w:b/>
          <w:color w:val="000000"/>
          <w:kern w:val="2"/>
          <w:sz w:val="24"/>
          <w:szCs w:val="24"/>
          <w:lang w:val="en-US" w:bidi="ar-SA"/>
        </w:rPr>
        <w:t>（此合同范本仅供参考，具体以签订正式合同时为准）</w:t>
      </w:r>
      <w:bookmarkEnd w:id="33"/>
    </w:p>
    <w:p w14:paraId="5F920313">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bookmarkStart w:id="34" w:name="_Toc1817"/>
      <w:bookmarkStart w:id="35" w:name="_Toc4691"/>
      <w:r>
        <w:rPr>
          <w:rFonts w:hint="eastAsia" w:ascii="宋体" w:hAnsi="宋体" w:eastAsia="宋体" w:cs="宋体"/>
          <w:color w:val="000000"/>
          <w:sz w:val="24"/>
          <w:szCs w:val="24"/>
          <w:lang w:val="zh-CN"/>
        </w:rPr>
        <w:t>甲方：</w:t>
      </w:r>
      <w:r>
        <w:rPr>
          <w:rFonts w:hint="eastAsia" w:ascii="宋体" w:hAnsi="宋体" w:eastAsia="宋体" w:cs="宋体"/>
          <w:color w:val="000000"/>
          <w:sz w:val="24"/>
          <w:szCs w:val="24"/>
          <w:u w:val="single"/>
          <w:lang w:val="en-US" w:eastAsia="zh-CN"/>
        </w:rPr>
        <w:t xml:space="preserve">                             </w:t>
      </w:r>
    </w:p>
    <w:p w14:paraId="04241723">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乙方：</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 xml:space="preserve">                                 </w:t>
      </w:r>
    </w:p>
    <w:p w14:paraId="7231098D">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根据《民法典》及其他有关法律、行政法规，遵循平等、自愿、公平和诚实信用的原则，双方就</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项目协商一致，订立本合同。</w:t>
      </w:r>
    </w:p>
    <w:p w14:paraId="3C87F001">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一、项目概况</w:t>
      </w:r>
    </w:p>
    <w:p w14:paraId="1710518E">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(一)项目名称：</w:t>
      </w:r>
      <w:r>
        <w:rPr>
          <w:rFonts w:hint="eastAsia" w:ascii="宋体" w:hAnsi="宋体" w:eastAsia="宋体" w:cs="宋体"/>
          <w:color w:val="000000"/>
          <w:sz w:val="24"/>
          <w:szCs w:val="24"/>
          <w:u w:val="single"/>
          <w:lang w:val="en-US" w:eastAsia="zh-CN"/>
        </w:rPr>
        <w:t xml:space="preserve">                                 </w:t>
      </w:r>
    </w:p>
    <w:p w14:paraId="77D1473B">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(二)养护管理范围：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 xml:space="preserve"> </w:t>
      </w:r>
    </w:p>
    <w:p w14:paraId="63FBFE98">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 xml:space="preserve">(三)资金来源：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 xml:space="preserve">                </w:t>
      </w:r>
    </w:p>
    <w:p w14:paraId="5943381F">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zh-CN"/>
        </w:rPr>
        <w:t>二、合同期限</w:t>
      </w:r>
      <w:r>
        <w:rPr>
          <w:rFonts w:hint="eastAsia" w:ascii="宋体" w:hAnsi="宋体" w:eastAsia="宋体" w:cs="宋体"/>
          <w:color w:val="000000"/>
          <w:sz w:val="24"/>
          <w:szCs w:val="24"/>
          <w:lang w:val="en-US" w:eastAsia="zh-CN"/>
        </w:rPr>
        <w:t xml:space="preserve">  </w:t>
      </w:r>
    </w:p>
    <w:p w14:paraId="069C0E08">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合同期限：</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日至</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年</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月</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日止。</w:t>
      </w:r>
    </w:p>
    <w:p w14:paraId="2E9FE426">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合同期限：</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年。</w:t>
      </w:r>
    </w:p>
    <w:p w14:paraId="6EDC9694">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三 、合同价款及承包方</w:t>
      </w:r>
    </w:p>
    <w:p w14:paraId="1F8253DD">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(一)合同价款(大写)：</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 xml:space="preserve">              </w:t>
      </w:r>
    </w:p>
    <w:p w14:paraId="10502DC6">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(小写)：</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 xml:space="preserve">            </w:t>
      </w:r>
    </w:p>
    <w:p w14:paraId="20ADB150">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(二)承包方式：甲方将绿地</w:t>
      </w:r>
      <w:r>
        <w:rPr>
          <w:rFonts w:hint="eastAsia" w:ascii="宋体" w:hAnsi="宋体" w:eastAsia="宋体" w:cs="宋体"/>
          <w:color w:val="000000"/>
          <w:sz w:val="24"/>
          <w:szCs w:val="24"/>
          <w:lang w:val="en-US" w:eastAsia="zh-CN"/>
        </w:rPr>
        <w:t>日常管护</w:t>
      </w:r>
      <w:r>
        <w:rPr>
          <w:rFonts w:hint="eastAsia" w:ascii="宋体" w:hAnsi="宋体" w:eastAsia="宋体" w:cs="宋体"/>
          <w:color w:val="000000"/>
          <w:sz w:val="24"/>
          <w:szCs w:val="24"/>
          <w:lang w:val="zh-CN"/>
        </w:rPr>
        <w:t>任务及相应的经费交给乙方，乙方按甲方的要求和标准组织养护管理工作，并接受甲方的指导、监督和检查考核。</w:t>
      </w:r>
    </w:p>
    <w:p w14:paraId="52934A58">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u w:val="single"/>
          <w:lang w:val="en-US" w:eastAsia="zh-CN"/>
        </w:rPr>
      </w:pPr>
      <w:r>
        <w:rPr>
          <w:rFonts w:hint="eastAsia" w:ascii="宋体" w:hAnsi="宋体" w:eastAsia="宋体" w:cs="宋体"/>
          <w:color w:val="000000"/>
          <w:sz w:val="24"/>
          <w:szCs w:val="24"/>
          <w:lang w:val="zh-CN"/>
        </w:rPr>
        <w:t>四、养护费支付方式：</w:t>
      </w:r>
      <w:r>
        <w:rPr>
          <w:rFonts w:hint="eastAsia" w:ascii="宋体" w:hAnsi="宋体" w:eastAsia="宋体" w:cs="宋体"/>
          <w:color w:val="000000"/>
          <w:sz w:val="24"/>
          <w:szCs w:val="24"/>
          <w:u w:val="single"/>
          <w:lang w:val="en-US" w:eastAsia="zh-CN"/>
        </w:rPr>
        <w:t xml:space="preserve">                </w:t>
      </w:r>
    </w:p>
    <w:p w14:paraId="7C59AB8F">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五、绿地养护管理工作任务和质量标准、考核办法</w:t>
      </w:r>
    </w:p>
    <w:p w14:paraId="190CA956">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(一)绿地养护管理工作任务</w:t>
      </w:r>
    </w:p>
    <w:p w14:paraId="7A4C17F0">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1.管理范围内地被、灌木、乔木的养护管理。</w:t>
      </w:r>
    </w:p>
    <w:p w14:paraId="2ADD7F0F">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2.卫生管理。</w:t>
      </w:r>
    </w:p>
    <w:p w14:paraId="465D3D6A">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3.浇水设施管理。</w:t>
      </w:r>
    </w:p>
    <w:p w14:paraId="42E22CD1">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4.管理区巡查、巡逻。</w:t>
      </w:r>
    </w:p>
    <w:p w14:paraId="4E8C516E">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5.特殊情况的应急处理等。</w:t>
      </w:r>
    </w:p>
    <w:p w14:paraId="168FC5F5">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六、甲方权利和义务</w:t>
      </w:r>
    </w:p>
    <w:p w14:paraId="09F74C68">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(一)严格按照义马市园林绿化服务中心园林绿化考核办法对乙方进行考核。</w:t>
      </w:r>
    </w:p>
    <w:p w14:paraId="476125ED">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(二)管理区内绿地养护管理由</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负责；安全巡查、巡逻、特殊情况的应急处理等由</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负责。</w:t>
      </w:r>
    </w:p>
    <w:p w14:paraId="44CF5545">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(三)对乙方的养护管理工作进行技术指导、监督、检查考核。</w:t>
      </w:r>
    </w:p>
    <w:p w14:paraId="6D54622B">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(四)绩效考核机制，项目实施机构等相关单位对</w:t>
      </w:r>
      <w:r>
        <w:rPr>
          <w:rFonts w:hint="eastAsia" w:ascii="宋体" w:hAnsi="宋体" w:eastAsia="宋体" w:cs="宋体"/>
          <w:color w:val="000000"/>
          <w:sz w:val="24"/>
          <w:szCs w:val="24"/>
          <w:lang w:val="en-US" w:eastAsia="zh-CN"/>
        </w:rPr>
        <w:t>乙方</w:t>
      </w:r>
      <w:r>
        <w:rPr>
          <w:rFonts w:hint="eastAsia" w:ascii="宋体" w:hAnsi="宋体" w:eastAsia="宋体" w:cs="宋体"/>
          <w:color w:val="000000"/>
          <w:sz w:val="24"/>
          <w:szCs w:val="24"/>
          <w:lang w:val="zh-CN"/>
        </w:rPr>
        <w:t>提供的服务质量进行监督考核调查。</w:t>
      </w:r>
    </w:p>
    <w:p w14:paraId="3710D789">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(五)监督乙方定期对员工进行园林绿化技术培训，以提高绿地养护管理技术水平。</w:t>
      </w:r>
    </w:p>
    <w:p w14:paraId="6ECF07EE">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七、乙方的权利和义务</w:t>
      </w:r>
    </w:p>
    <w:p w14:paraId="472B927E">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(一)乙方应严格按照、绿地养护管理工作要求和质量标准进行养护，接受甲方的监督、指导、考核，听从甲方管理人员指挥安排。</w:t>
      </w:r>
    </w:p>
    <w:p w14:paraId="1195B94A">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(二)乙方须履行投标文件中的服务承诺；项目部人员配备情况；技术服务方案。</w:t>
      </w:r>
    </w:p>
    <w:p w14:paraId="27EBD286">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(三)根据合同及检查考核结果，领取养护管理经费。</w:t>
      </w:r>
    </w:p>
    <w:p w14:paraId="419DEE87">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(四)乙方有权对绿地养护管理工作提出建议。</w:t>
      </w:r>
    </w:p>
    <w:p w14:paraId="1181B8EA">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(五)乙方养护管理人员管理办法</w:t>
      </w:r>
    </w:p>
    <w:p w14:paraId="34C7FE06">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1.乙方项目现场负责人要具备投标文件中承诺的相应的技术水平和工作能力，甲方有权要求乙方更换不合格的项目现场负责人，乙方在收到甲方通知后3个工作日内完成更换。</w:t>
      </w:r>
    </w:p>
    <w:p w14:paraId="4962E2A0">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2.乙方项目现场负责人变更必须向甲方提出变更申请未经甲方同意的变更，按乙方没有项目现场负责人处理。</w:t>
      </w:r>
    </w:p>
    <w:p w14:paraId="193FA83F">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3.乙方养护管理人员要按照要求上下班。项目现场负责人有事1天内，必须向负责人请假，1天-3天，必须批准，3天以上，必须主任批准。</w:t>
      </w:r>
    </w:p>
    <w:p w14:paraId="796DF204">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4.乙方养护管理人员工资等费用由乙方负责，不得拖欠农民工工资，若有拖欠农民工工资情况甲方有权根据承诺书要求双倍从养护经费中扣除该项费用。</w:t>
      </w:r>
    </w:p>
    <w:p w14:paraId="7EBC62C6">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5.乙方要加强对养护管理人员的业务技术培训、安全生产培训、施工机械、车辆的安全操作培训及安全教育。若发生安全事故，由乙方全权负责。</w:t>
      </w:r>
    </w:p>
    <w:p w14:paraId="66BF1834">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6.乙方所用养护管理人员人数和工种必须满足本</w:t>
      </w:r>
      <w:r>
        <w:rPr>
          <w:rFonts w:hint="eastAsia" w:ascii="宋体" w:hAnsi="宋体" w:eastAsia="宋体" w:cs="宋体"/>
          <w:color w:val="000000"/>
          <w:sz w:val="24"/>
          <w:szCs w:val="24"/>
          <w:lang w:val="en-US" w:eastAsia="zh-CN"/>
        </w:rPr>
        <w:t>项目</w:t>
      </w:r>
      <w:r>
        <w:rPr>
          <w:rFonts w:hint="eastAsia" w:ascii="宋体" w:hAnsi="宋体" w:eastAsia="宋体" w:cs="宋体"/>
          <w:color w:val="000000"/>
          <w:sz w:val="24"/>
          <w:szCs w:val="24"/>
          <w:lang w:val="zh-CN"/>
        </w:rPr>
        <w:t>养护工作的需求，每人必须持有意外伤害保险单方可上岗。最低工作人员不能低于：</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人。(含普通养护工人、项目现场负责人、兼职专业司机、兼职专业水电维修工等，要求有相关证件 ) 。</w:t>
      </w:r>
    </w:p>
    <w:p w14:paraId="2261E192">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7.乙方养护管理人员要求全天上班，节假日若有突击任务或平时其他特殊因素需要技术人员出现场情况，乙方必须服从甲方工作安排。</w:t>
      </w:r>
    </w:p>
    <w:p w14:paraId="5B4779FE">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lang w:val="zh-CN"/>
        </w:rPr>
        <w:t>.乙方养护管理人员必须加强病虫害防治工作，病虫害防治要根据苗木不同病虫害的发生发展规律，预防与防治相结合，科学用药，确保苗木无严重病虫害发生。</w:t>
      </w:r>
    </w:p>
    <w:p w14:paraId="15BF93C2">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lang w:val="zh-CN"/>
        </w:rPr>
        <w:t>.及时处理清运各类生产垃圾，做好管理范围内卫生保洁、清洁工作。</w:t>
      </w:r>
    </w:p>
    <w:p w14:paraId="1684924F">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w:t>
      </w:r>
      <w:r>
        <w:rPr>
          <w:rFonts w:hint="eastAsia" w:ascii="宋体" w:hAnsi="宋体" w:eastAsia="宋体" w:cs="宋体"/>
          <w:color w:val="000000"/>
          <w:sz w:val="24"/>
          <w:szCs w:val="24"/>
          <w:lang w:val="en-US" w:eastAsia="zh-CN"/>
        </w:rPr>
        <w:t>0</w:t>
      </w:r>
      <w:r>
        <w:rPr>
          <w:rFonts w:hint="eastAsia" w:ascii="宋体" w:hAnsi="宋体" w:eastAsia="宋体" w:cs="宋体"/>
          <w:color w:val="000000"/>
          <w:sz w:val="24"/>
          <w:szCs w:val="24"/>
          <w:lang w:val="zh-CN"/>
        </w:rPr>
        <w:t>.若乙方不能完成所承担的养护管理工作，通报、批评仍不整改的，甲方有权直接雇佣劳工进行养护管理，所产生的费用从养护管理费用中扣除。</w:t>
      </w:r>
    </w:p>
    <w:p w14:paraId="7F242ED2">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val="zh-CN"/>
        </w:rPr>
        <w:t>.管理区域内绿地整齐美观，无乱搭乱建、乱贴乱画、无乱堆放杂物、工具及其它物品，无拉绳、挂物等现象。</w:t>
      </w:r>
    </w:p>
    <w:p w14:paraId="5904BB01">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val="zh-CN"/>
        </w:rPr>
        <w:t>.及时制止管理区域内游人践踏绿地、折花折枝、下水游玩等现象。</w:t>
      </w:r>
    </w:p>
    <w:p w14:paraId="798C2EB2">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13</w:t>
      </w:r>
      <w:r>
        <w:rPr>
          <w:rFonts w:hint="eastAsia" w:ascii="宋体" w:hAnsi="宋体" w:eastAsia="宋体" w:cs="宋体"/>
          <w:color w:val="000000"/>
          <w:sz w:val="24"/>
          <w:szCs w:val="24"/>
          <w:lang w:val="zh-CN"/>
        </w:rPr>
        <w:t>.管理区域内要做好防火工作，要做好巡逻检查，发现火情及时上报并组织人员灭火。</w:t>
      </w:r>
    </w:p>
    <w:p w14:paraId="235F5E8C">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14</w:t>
      </w:r>
      <w:r>
        <w:rPr>
          <w:rFonts w:hint="eastAsia" w:ascii="宋体" w:hAnsi="宋体" w:eastAsia="宋体" w:cs="宋体"/>
          <w:color w:val="000000"/>
          <w:sz w:val="24"/>
          <w:szCs w:val="24"/>
          <w:lang w:val="zh-CN"/>
        </w:rPr>
        <w:t>.对管理区域要经常巡逻，防止苗木盗伐、侵占绿地及设施损坏等现象，一经发现，要及时上报并处理。</w:t>
      </w:r>
    </w:p>
    <w:p w14:paraId="03936E02">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lang w:val="zh-CN"/>
        </w:rPr>
        <w:t>.若发生火灾或苗木、设施丢失等情况，根据实际发生情况追究责任，损失费用从养护经费中扣除。</w:t>
      </w:r>
    </w:p>
    <w:p w14:paraId="3E0B70EF">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16</w:t>
      </w:r>
      <w:r>
        <w:rPr>
          <w:rFonts w:hint="eastAsia" w:ascii="宋体" w:hAnsi="宋体" w:eastAsia="宋体" w:cs="宋体"/>
          <w:color w:val="000000"/>
          <w:sz w:val="24"/>
          <w:szCs w:val="24"/>
          <w:lang w:val="zh-CN"/>
        </w:rPr>
        <w:t>.汛期严格按要求做好隐患排查、整改、紧急汛情处置等工作，严重情况及时上报。</w:t>
      </w:r>
    </w:p>
    <w:p w14:paraId="550650A9">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17</w:t>
      </w:r>
      <w:r>
        <w:rPr>
          <w:rFonts w:hint="eastAsia" w:ascii="宋体" w:hAnsi="宋体" w:eastAsia="宋体" w:cs="宋体"/>
          <w:color w:val="000000"/>
          <w:sz w:val="24"/>
          <w:szCs w:val="24"/>
          <w:lang w:val="zh-CN"/>
        </w:rPr>
        <w:t>.乙方要积极做好管理区域内防灾(救灾)工作。发生暴雨、暴雪、大风等极端天气时，要组织人员巡逻，发现险情及时上报并处理。雨水冲刷的沟槽，要及时恢复平整。如遇不可抗拒自然灾害(如暴雨、冰雹等)造成的重大损失，由甲乙双方协商解决补救办法。</w:t>
      </w:r>
    </w:p>
    <w:p w14:paraId="775EBB30">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18</w:t>
      </w:r>
      <w:r>
        <w:rPr>
          <w:rFonts w:hint="eastAsia" w:ascii="宋体" w:hAnsi="宋体" w:eastAsia="宋体" w:cs="宋体"/>
          <w:color w:val="000000"/>
          <w:sz w:val="24"/>
          <w:szCs w:val="24"/>
          <w:lang w:val="zh-CN"/>
        </w:rPr>
        <w:t>.管理区内导游牌、说明牌、警示牌等各类标牌及时维护，保持字迹清晰，完好无缺。</w:t>
      </w:r>
    </w:p>
    <w:p w14:paraId="0AB3CCCA">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en-US" w:eastAsia="zh-CN"/>
        </w:rPr>
        <w:t>19</w:t>
      </w:r>
      <w:r>
        <w:rPr>
          <w:rFonts w:hint="eastAsia" w:ascii="宋体" w:hAnsi="宋体" w:eastAsia="宋体" w:cs="宋体"/>
          <w:color w:val="000000"/>
          <w:sz w:val="24"/>
          <w:szCs w:val="24"/>
          <w:lang w:val="zh-CN"/>
        </w:rPr>
        <w:t>.对于甲方临时安排的工作任务，乙方应无条件组织施工人员完成，每次参加集体劳动人数和全年参加次数由管理处根据工作需要集中安排。</w:t>
      </w:r>
    </w:p>
    <w:p w14:paraId="5F3F196B">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w:t>
      </w:r>
      <w:r>
        <w:rPr>
          <w:rFonts w:hint="eastAsia" w:ascii="宋体" w:hAnsi="宋体" w:eastAsia="宋体" w:cs="宋体"/>
          <w:color w:val="000000"/>
          <w:sz w:val="24"/>
          <w:szCs w:val="24"/>
          <w:lang w:val="en-US" w:eastAsia="zh-CN"/>
        </w:rPr>
        <w:t>0</w:t>
      </w:r>
      <w:r>
        <w:rPr>
          <w:rFonts w:hint="eastAsia" w:ascii="宋体" w:hAnsi="宋体" w:eastAsia="宋体" w:cs="宋体"/>
          <w:color w:val="000000"/>
          <w:sz w:val="24"/>
          <w:szCs w:val="24"/>
          <w:lang w:val="zh-CN"/>
        </w:rPr>
        <w:t>.每月25日前将下月工作计划以书面形式报甲方审核，每月28日以书面形式提交本月工作总结。调整的月度工作计划需报甲方备案。</w:t>
      </w:r>
    </w:p>
    <w:p w14:paraId="32542099">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八、违约责任</w:t>
      </w:r>
    </w:p>
    <w:p w14:paraId="7A0ECAA3">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（一）合同双方当事人中的任一方因未履行合同的约定或违反法律、法规及有关政策规定的，双方协商解决。</w:t>
      </w:r>
    </w:p>
    <w:p w14:paraId="15E1CBB6">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合同履行过程中，由于城市规划建设或上级政策调整变化等造成管理面积发生变化，可以依据招标面积和中标价计算出单位面积养护管理费用，按实际发生面积进行增减，若造成合同无法继续履行时，双方应及时解除合同，互不承担违约责任。</w:t>
      </w:r>
    </w:p>
    <w:p w14:paraId="73CBE934">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（三）因一方原因，造成合同无法继续履行时，该方应提前1个月通知另一方，办理合同终止手续，并有责任方赔偿对方相应的经济损失</w:t>
      </w:r>
    </w:p>
    <w:p w14:paraId="43291A0D">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（四）乙方擅自将绿地养护管理任务转包给第三者的，甲方有权单方终止本合同。转包合同无效，由此造成的经济损失由乙方负担。</w:t>
      </w:r>
    </w:p>
    <w:p w14:paraId="016FA62C">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（五）乙方管理养护期间发生安全隐患、事故等事件，两次及以上即终止合同。</w:t>
      </w:r>
    </w:p>
    <w:p w14:paraId="7AFD0617">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（六）月综合考核评分连续三次不合格，终止合同</w:t>
      </w:r>
    </w:p>
    <w:p w14:paraId="6EF4EBB8">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（七）双方发生争议协商解决不成时，可以向甲方所在地仲裁委员会申请仲裁或向合同签订地人民法院进行解决。</w:t>
      </w:r>
    </w:p>
    <w:p w14:paraId="61DA6FEC">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九、其它事项</w:t>
      </w:r>
    </w:p>
    <w:p w14:paraId="2FE8FEA2">
      <w:pPr>
        <w:keepNext w:val="0"/>
        <w:keepLines w:val="0"/>
        <w:pageBreakBefore w:val="0"/>
        <w:widowControl w:val="0"/>
        <w:kinsoku/>
        <w:wordWrap/>
        <w:overflowPunct/>
        <w:topLinePunct w:val="0"/>
        <w:autoSpaceDE w:val="0"/>
        <w:autoSpaceDN w:val="0"/>
        <w:bidi w:val="0"/>
        <w:adjustRightInd/>
        <w:snapToGrid/>
        <w:spacing w:line="500" w:lineRule="exact"/>
        <w:ind w:left="488" w:leftChars="228" w:hanging="9" w:hangingChars="4"/>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(一)本合同期满后，双方可根据意愿决定是否按原合同价续约，期限不超过</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 xml:space="preserve">    </w:t>
      </w:r>
    </w:p>
    <w:p w14:paraId="401E2880">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年</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月</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日。</w:t>
      </w:r>
    </w:p>
    <w:p w14:paraId="125758A8">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(二)本合同未尽事宜，经双方协商解决，签订补充协议作为合同附件，本合同所有附件与本合同具有同等效力。</w:t>
      </w:r>
    </w:p>
    <w:p w14:paraId="63B226B3">
      <w:pPr>
        <w:keepNext w:val="0"/>
        <w:keepLines w:val="0"/>
        <w:pageBreakBefore w:val="0"/>
        <w:widowControl w:val="0"/>
        <w:kinsoku/>
        <w:wordWrap/>
        <w:overflowPunct/>
        <w:topLinePunct w:val="0"/>
        <w:autoSpaceDE w:val="0"/>
        <w:autoSpaceDN w:val="0"/>
        <w:bidi w:val="0"/>
        <w:adjustRightInd/>
        <w:snapToGrid/>
        <w:spacing w:line="500" w:lineRule="exact"/>
        <w:ind w:firstLine="470" w:firstLineChars="196"/>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(三)本合同一式</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val="zh-CN"/>
        </w:rPr>
        <w:t>陆</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zh-CN"/>
        </w:rPr>
        <w:t>份，具有同等法律效力，自签字盖章之日起生效。</w:t>
      </w:r>
    </w:p>
    <w:p w14:paraId="3F05349E">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rPr>
        <w:t>甲方</w:t>
      </w:r>
      <w:r>
        <w:rPr>
          <w:rFonts w:hint="eastAsia" w:ascii="宋体" w:hAnsi="宋体" w:eastAsia="宋体" w:cs="宋体"/>
          <w:color w:val="000000"/>
          <w:sz w:val="24"/>
          <w:szCs w:val="24"/>
          <w:lang w:val="zh-CN"/>
        </w:rPr>
        <w:t xml:space="preserve">单位名称(公章)：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w:t>
      </w:r>
      <w:r>
        <w:rPr>
          <w:rFonts w:hint="eastAsia" w:ascii="宋体" w:hAnsi="宋体" w:eastAsia="宋体" w:cs="宋体"/>
          <w:color w:val="000000"/>
          <w:sz w:val="24"/>
          <w:szCs w:val="24"/>
          <w:lang w:val="zh-CN"/>
        </w:rPr>
        <w:t xml:space="preserve">单位名称(公章)：   </w:t>
      </w:r>
    </w:p>
    <w:p w14:paraId="59FE3367">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法定代表人或授权代理人（签字）：</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zh-CN"/>
        </w:rPr>
        <w:t>法定代表人或授权代理人（签字）：</w:t>
      </w:r>
      <w:r>
        <w:rPr>
          <w:rFonts w:hint="eastAsia" w:ascii="宋体" w:hAnsi="宋体" w:eastAsia="宋体" w:cs="宋体"/>
          <w:color w:val="000000"/>
          <w:sz w:val="24"/>
          <w:szCs w:val="24"/>
          <w:lang w:val="en-US" w:eastAsia="zh-CN"/>
        </w:rPr>
        <w:t xml:space="preserve">                  </w:t>
      </w:r>
    </w:p>
    <w:p w14:paraId="2404E08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开户行：                            开户行：</w:t>
      </w:r>
    </w:p>
    <w:p w14:paraId="5356B7F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账  号：                            账  号：</w:t>
      </w:r>
    </w:p>
    <w:p w14:paraId="3E84F5D2">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sz w:val="24"/>
          <w:szCs w:val="24"/>
          <w:lang w:val="zh-CN"/>
        </w:rPr>
        <w:sectPr>
          <w:footerReference r:id="rId10" w:type="default"/>
          <w:pgSz w:w="11910" w:h="16830"/>
          <w:pgMar w:top="1440" w:right="1417" w:bottom="1440" w:left="1417" w:header="0" w:footer="0" w:gutter="0"/>
          <w:cols w:space="720" w:num="1"/>
        </w:sectPr>
      </w:pPr>
      <w:r>
        <w:rPr>
          <w:rFonts w:hint="eastAsia" w:ascii="宋体" w:hAnsi="宋体" w:eastAsia="宋体" w:cs="宋体"/>
          <w:color w:val="000000"/>
          <w:sz w:val="24"/>
          <w:szCs w:val="24"/>
          <w:lang w:val="en-US" w:eastAsia="zh-CN"/>
        </w:rPr>
        <w:t xml:space="preserve">签订时间：    </w:t>
      </w:r>
      <w:r>
        <w:rPr>
          <w:rFonts w:hint="eastAsia" w:ascii="宋体" w:hAnsi="宋体" w:eastAsia="宋体" w:cs="宋体"/>
          <w:color w:val="000000"/>
          <w:sz w:val="24"/>
          <w:szCs w:val="24"/>
          <w:lang w:val="zh-CN"/>
        </w:rPr>
        <w:t xml:space="preserve">年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zh-CN"/>
        </w:rPr>
        <w:t xml:space="preserve"> 月</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zh-CN"/>
        </w:rPr>
        <w:t xml:space="preserve">  日 </w:t>
      </w:r>
      <w:r>
        <w:rPr>
          <w:rFonts w:hint="eastAsia" w:ascii="宋体" w:hAnsi="宋体" w:eastAsia="宋体" w:cs="宋体"/>
          <w:color w:val="000000"/>
          <w:sz w:val="24"/>
          <w:szCs w:val="24"/>
          <w:lang w:val="en-US" w:eastAsia="zh-CN"/>
        </w:rPr>
        <w:t xml:space="preserve">       签订时间：    </w:t>
      </w:r>
      <w:r>
        <w:rPr>
          <w:rFonts w:hint="eastAsia" w:ascii="宋体" w:hAnsi="宋体" w:eastAsia="宋体" w:cs="宋体"/>
          <w:color w:val="000000"/>
          <w:sz w:val="24"/>
          <w:szCs w:val="24"/>
          <w:lang w:val="zh-CN"/>
        </w:rPr>
        <w:t xml:space="preserve">年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zh-CN"/>
        </w:rPr>
        <w:t xml:space="preserve"> 月</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lang w:val="zh-CN"/>
        </w:rPr>
        <w:t xml:space="preserve">  日</w:t>
      </w:r>
    </w:p>
    <w:p w14:paraId="46453E2B">
      <w:pPr>
        <w:autoSpaceDE w:val="0"/>
        <w:autoSpaceDN w:val="0"/>
        <w:spacing w:line="360" w:lineRule="auto"/>
        <w:jc w:val="center"/>
        <w:rPr>
          <w:rFonts w:hint="eastAsia" w:ascii="宋体" w:hAnsi="宋体" w:cs="宋体"/>
          <w:b/>
          <w:kern w:val="2"/>
          <w:sz w:val="24"/>
          <w:szCs w:val="24"/>
        </w:rPr>
      </w:pPr>
      <w:r>
        <w:rPr>
          <w:rFonts w:hint="eastAsia" w:ascii="黑体" w:cs="宋体"/>
          <w:b/>
          <w:kern w:val="2"/>
          <w:sz w:val="24"/>
          <w:szCs w:val="24"/>
        </w:rPr>
        <w:t>第五章 评审标准</w:t>
      </w:r>
      <w:bookmarkEnd w:id="34"/>
      <w:bookmarkEnd w:id="35"/>
    </w:p>
    <w:p w14:paraId="6515E0B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ascii="宋体" w:hAnsi="宋体" w:cs="宋体"/>
          <w:b/>
          <w:sz w:val="24"/>
          <w:szCs w:val="24"/>
        </w:rPr>
      </w:pPr>
      <w:r>
        <w:rPr>
          <w:rFonts w:hint="eastAsia" w:ascii="宋体" w:hAnsi="宋体" w:cs="宋体"/>
          <w:b/>
          <w:kern w:val="2"/>
          <w:sz w:val="24"/>
          <w:szCs w:val="24"/>
        </w:rPr>
        <w:t>评标办法前附表</w:t>
      </w:r>
    </w:p>
    <w:tbl>
      <w:tblPr>
        <w:tblStyle w:val="15"/>
        <w:tblW w:w="9401" w:type="dxa"/>
        <w:jc w:val="center"/>
        <w:tblLayout w:type="fixed"/>
        <w:tblCellMar>
          <w:top w:w="0" w:type="dxa"/>
          <w:left w:w="108" w:type="dxa"/>
          <w:bottom w:w="0" w:type="dxa"/>
          <w:right w:w="108" w:type="dxa"/>
        </w:tblCellMar>
      </w:tblPr>
      <w:tblGrid>
        <w:gridCol w:w="832"/>
        <w:gridCol w:w="855"/>
        <w:gridCol w:w="1656"/>
        <w:gridCol w:w="6058"/>
      </w:tblGrid>
      <w:tr w14:paraId="081CA3A4">
        <w:tblPrEx>
          <w:tblCellMar>
            <w:top w:w="0" w:type="dxa"/>
            <w:left w:w="108" w:type="dxa"/>
            <w:bottom w:w="0" w:type="dxa"/>
            <w:right w:w="108" w:type="dxa"/>
          </w:tblCellMar>
        </w:tblPrEx>
        <w:trPr>
          <w:trHeight w:val="476" w:hRule="atLeast"/>
          <w:jc w:val="center"/>
        </w:trPr>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2CA4F4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2.1初步评审</w:t>
            </w:r>
          </w:p>
        </w:tc>
        <w:tc>
          <w:tcPr>
            <w:tcW w:w="1656" w:type="dxa"/>
            <w:tcBorders>
              <w:top w:val="single" w:color="auto" w:sz="4" w:space="0"/>
              <w:left w:val="nil"/>
              <w:bottom w:val="single" w:color="auto" w:sz="4" w:space="0"/>
              <w:right w:val="single" w:color="auto" w:sz="4" w:space="0"/>
            </w:tcBorders>
            <w:noWrap w:val="0"/>
            <w:vAlign w:val="center"/>
          </w:tcPr>
          <w:p w14:paraId="1C6EF9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评审因素</w:t>
            </w:r>
          </w:p>
        </w:tc>
        <w:tc>
          <w:tcPr>
            <w:tcW w:w="6058" w:type="dxa"/>
            <w:tcBorders>
              <w:top w:val="single" w:color="auto" w:sz="4" w:space="0"/>
              <w:left w:val="nil"/>
              <w:bottom w:val="single" w:color="auto" w:sz="4" w:space="0"/>
              <w:right w:val="single" w:color="auto" w:sz="4" w:space="0"/>
            </w:tcBorders>
            <w:noWrap w:val="0"/>
            <w:vAlign w:val="center"/>
          </w:tcPr>
          <w:p w14:paraId="0E8D91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评审标准</w:t>
            </w:r>
          </w:p>
        </w:tc>
      </w:tr>
      <w:tr w14:paraId="76293E4D">
        <w:tblPrEx>
          <w:tblCellMar>
            <w:top w:w="0" w:type="dxa"/>
            <w:left w:w="108" w:type="dxa"/>
            <w:bottom w:w="0" w:type="dxa"/>
            <w:right w:w="108" w:type="dxa"/>
          </w:tblCellMar>
        </w:tblPrEx>
        <w:trPr>
          <w:trHeight w:val="1003" w:hRule="atLeast"/>
          <w:jc w:val="center"/>
        </w:trPr>
        <w:tc>
          <w:tcPr>
            <w:tcW w:w="832" w:type="dxa"/>
            <w:vMerge w:val="restart"/>
            <w:tcBorders>
              <w:top w:val="nil"/>
              <w:left w:val="single" w:color="auto" w:sz="4" w:space="0"/>
              <w:right w:val="single" w:color="auto" w:sz="4" w:space="0"/>
            </w:tcBorders>
            <w:noWrap w:val="0"/>
            <w:vAlign w:val="center"/>
          </w:tcPr>
          <w:p w14:paraId="170B05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2.1.1</w:t>
            </w:r>
          </w:p>
        </w:tc>
        <w:tc>
          <w:tcPr>
            <w:tcW w:w="855" w:type="dxa"/>
            <w:vMerge w:val="restart"/>
            <w:tcBorders>
              <w:top w:val="nil"/>
              <w:left w:val="nil"/>
              <w:right w:val="single" w:color="auto" w:sz="4" w:space="0"/>
            </w:tcBorders>
            <w:noWrap w:val="0"/>
            <w:vAlign w:val="center"/>
          </w:tcPr>
          <w:p w14:paraId="290EEE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资格评审标准</w:t>
            </w:r>
          </w:p>
        </w:tc>
        <w:tc>
          <w:tcPr>
            <w:tcW w:w="1656" w:type="dxa"/>
            <w:tcBorders>
              <w:top w:val="single" w:color="auto" w:sz="4" w:space="0"/>
              <w:left w:val="nil"/>
              <w:bottom w:val="single" w:color="auto" w:sz="4" w:space="0"/>
              <w:right w:val="single" w:color="auto" w:sz="4" w:space="0"/>
            </w:tcBorders>
            <w:noWrap w:val="0"/>
            <w:vAlign w:val="center"/>
          </w:tcPr>
          <w:p w14:paraId="7355FA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营业执照</w:t>
            </w:r>
            <w:r>
              <w:rPr>
                <w:rFonts w:hint="eastAsia" w:ascii="宋体" w:hAnsi="宋体" w:cs="宋体"/>
                <w:sz w:val="24"/>
                <w:szCs w:val="24"/>
              </w:rPr>
              <w:t>或其他证明材料</w:t>
            </w:r>
          </w:p>
        </w:tc>
        <w:tc>
          <w:tcPr>
            <w:tcW w:w="6058" w:type="dxa"/>
            <w:tcBorders>
              <w:top w:val="single" w:color="auto" w:sz="4" w:space="0"/>
              <w:left w:val="nil"/>
              <w:bottom w:val="single" w:color="auto" w:sz="4" w:space="0"/>
              <w:right w:val="single" w:color="auto" w:sz="4" w:space="0"/>
            </w:tcBorders>
            <w:noWrap w:val="0"/>
            <w:vAlign w:val="center"/>
          </w:tcPr>
          <w:p w14:paraId="4D2B4C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供应商须具有独立承担民事责任的能力，须提供有效的营业执照或其他证明材料</w:t>
            </w:r>
          </w:p>
        </w:tc>
      </w:tr>
      <w:tr w14:paraId="570A7EEE">
        <w:tblPrEx>
          <w:tblCellMar>
            <w:top w:w="0" w:type="dxa"/>
            <w:left w:w="108" w:type="dxa"/>
            <w:bottom w:w="0" w:type="dxa"/>
            <w:right w:w="108" w:type="dxa"/>
          </w:tblCellMar>
        </w:tblPrEx>
        <w:trPr>
          <w:trHeight w:val="90" w:hRule="atLeast"/>
          <w:jc w:val="center"/>
        </w:trPr>
        <w:tc>
          <w:tcPr>
            <w:tcW w:w="832" w:type="dxa"/>
            <w:vMerge w:val="continue"/>
            <w:tcBorders>
              <w:left w:val="single" w:color="auto" w:sz="4" w:space="0"/>
              <w:right w:val="single" w:color="auto" w:sz="4" w:space="0"/>
            </w:tcBorders>
            <w:noWrap w:val="0"/>
            <w:vAlign w:val="center"/>
          </w:tcPr>
          <w:p w14:paraId="79BEF84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75C5E9B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09F7A6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4"/>
                <w:szCs w:val="24"/>
                <w:lang w:val="en-US" w:eastAsia="zh-CN"/>
              </w:rPr>
            </w:pPr>
            <w:r>
              <w:rPr>
                <w:rFonts w:hint="default" w:ascii="宋体" w:hAnsi="宋体" w:cs="宋体"/>
                <w:sz w:val="24"/>
                <w:szCs w:val="24"/>
                <w:lang w:val="en-US" w:eastAsia="zh-CN"/>
              </w:rPr>
              <w:t>设备和专业技术服务能力</w:t>
            </w:r>
          </w:p>
        </w:tc>
        <w:tc>
          <w:tcPr>
            <w:tcW w:w="6058" w:type="dxa"/>
            <w:tcBorders>
              <w:top w:val="single" w:color="auto" w:sz="4" w:space="0"/>
              <w:left w:val="nil"/>
              <w:bottom w:val="single" w:color="auto" w:sz="4" w:space="0"/>
              <w:right w:val="single" w:color="auto" w:sz="4" w:space="0"/>
            </w:tcBorders>
            <w:noWrap w:val="0"/>
            <w:vAlign w:val="center"/>
          </w:tcPr>
          <w:p w14:paraId="5DB3F0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供应商须具有履行合同所必需的设备和专业技术服务能力（提供相关证明资料或承诺书，格式自拟）</w:t>
            </w:r>
          </w:p>
        </w:tc>
      </w:tr>
      <w:tr w14:paraId="1B8BBC27">
        <w:tblPrEx>
          <w:tblCellMar>
            <w:top w:w="0" w:type="dxa"/>
            <w:left w:w="108" w:type="dxa"/>
            <w:bottom w:w="0" w:type="dxa"/>
            <w:right w:w="108" w:type="dxa"/>
          </w:tblCellMar>
        </w:tblPrEx>
        <w:trPr>
          <w:trHeight w:val="910" w:hRule="atLeast"/>
          <w:jc w:val="center"/>
        </w:trPr>
        <w:tc>
          <w:tcPr>
            <w:tcW w:w="832" w:type="dxa"/>
            <w:vMerge w:val="continue"/>
            <w:tcBorders>
              <w:left w:val="single" w:color="auto" w:sz="4" w:space="0"/>
              <w:right w:val="single" w:color="auto" w:sz="4" w:space="0"/>
            </w:tcBorders>
            <w:noWrap w:val="0"/>
            <w:vAlign w:val="center"/>
          </w:tcPr>
          <w:p w14:paraId="770077E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425BD71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02641C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项目负责人</w:t>
            </w:r>
          </w:p>
        </w:tc>
        <w:tc>
          <w:tcPr>
            <w:tcW w:w="6058" w:type="dxa"/>
            <w:tcBorders>
              <w:top w:val="single" w:color="auto" w:sz="4" w:space="0"/>
              <w:left w:val="nil"/>
              <w:bottom w:val="single" w:color="auto" w:sz="4" w:space="0"/>
              <w:right w:val="single" w:color="auto" w:sz="4" w:space="0"/>
            </w:tcBorders>
            <w:noWrap w:val="0"/>
            <w:vAlign w:val="center"/>
          </w:tcPr>
          <w:p w14:paraId="275CB1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拟派项目负责人须为本单位正式员工，与投标单位签订劳动合同</w:t>
            </w:r>
          </w:p>
        </w:tc>
      </w:tr>
      <w:tr w14:paraId="489D0113">
        <w:tblPrEx>
          <w:tblCellMar>
            <w:top w:w="0" w:type="dxa"/>
            <w:left w:w="108" w:type="dxa"/>
            <w:bottom w:w="0" w:type="dxa"/>
            <w:right w:w="108" w:type="dxa"/>
          </w:tblCellMar>
        </w:tblPrEx>
        <w:trPr>
          <w:trHeight w:val="90" w:hRule="atLeast"/>
          <w:jc w:val="center"/>
        </w:trPr>
        <w:tc>
          <w:tcPr>
            <w:tcW w:w="832" w:type="dxa"/>
            <w:vMerge w:val="continue"/>
            <w:tcBorders>
              <w:left w:val="single" w:color="auto" w:sz="4" w:space="0"/>
              <w:right w:val="single" w:color="auto" w:sz="4" w:space="0"/>
            </w:tcBorders>
            <w:noWrap w:val="0"/>
            <w:vAlign w:val="center"/>
          </w:tcPr>
          <w:p w14:paraId="0D02264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4E537BA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4CB7E9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rPr>
            </w:pPr>
            <w:r>
              <w:rPr>
                <w:rFonts w:hint="eastAsia" w:ascii="宋体" w:hAnsi="宋体" w:cs="宋体"/>
                <w:sz w:val="24"/>
                <w:szCs w:val="24"/>
              </w:rPr>
              <w:t>无行贿犯罪</w:t>
            </w:r>
          </w:p>
          <w:p w14:paraId="749DF2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rPr>
            </w:pPr>
            <w:r>
              <w:rPr>
                <w:rFonts w:hint="eastAsia" w:ascii="宋体" w:hAnsi="宋体" w:cs="宋体"/>
                <w:sz w:val="24"/>
                <w:szCs w:val="24"/>
              </w:rPr>
              <w:t>记录</w:t>
            </w:r>
          </w:p>
        </w:tc>
        <w:tc>
          <w:tcPr>
            <w:tcW w:w="6058" w:type="dxa"/>
            <w:tcBorders>
              <w:top w:val="single" w:color="auto" w:sz="4" w:space="0"/>
              <w:left w:val="nil"/>
              <w:bottom w:val="single" w:color="auto" w:sz="4" w:space="0"/>
              <w:right w:val="single" w:color="auto" w:sz="4" w:space="0"/>
            </w:tcBorders>
            <w:noWrap w:val="0"/>
            <w:vAlign w:val="center"/>
          </w:tcPr>
          <w:p w14:paraId="43AF99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参加政府采购活动前3年内无行贿犯罪记录，供应商出具的无行贿犯罪记录在《中国裁判文书网》自行查询或自行承诺（查询/承诺对象：“企业、法定代表人、项目负责人”）</w:t>
            </w:r>
          </w:p>
        </w:tc>
      </w:tr>
      <w:tr w14:paraId="6D4846A8">
        <w:tblPrEx>
          <w:tblCellMar>
            <w:top w:w="0" w:type="dxa"/>
            <w:left w:w="108" w:type="dxa"/>
            <w:bottom w:w="0" w:type="dxa"/>
            <w:right w:w="108" w:type="dxa"/>
          </w:tblCellMar>
        </w:tblPrEx>
        <w:trPr>
          <w:trHeight w:val="90" w:hRule="atLeast"/>
          <w:jc w:val="center"/>
        </w:trPr>
        <w:tc>
          <w:tcPr>
            <w:tcW w:w="832" w:type="dxa"/>
            <w:vMerge w:val="continue"/>
            <w:tcBorders>
              <w:left w:val="single" w:color="auto" w:sz="4" w:space="0"/>
              <w:right w:val="single" w:color="auto" w:sz="4" w:space="0"/>
            </w:tcBorders>
            <w:noWrap w:val="0"/>
            <w:vAlign w:val="center"/>
          </w:tcPr>
          <w:p w14:paraId="48E5FB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09D888A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40D71B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rPr>
              <w:t>无商业贿赂、不正当竞争行为、骗取中标、严重违约及重大工程质量等问题</w:t>
            </w:r>
          </w:p>
        </w:tc>
        <w:tc>
          <w:tcPr>
            <w:tcW w:w="6058" w:type="dxa"/>
            <w:tcBorders>
              <w:top w:val="single" w:color="auto" w:sz="4" w:space="0"/>
              <w:left w:val="nil"/>
              <w:bottom w:val="single" w:color="auto" w:sz="4" w:space="0"/>
              <w:right w:val="single" w:color="auto" w:sz="4" w:space="0"/>
            </w:tcBorders>
            <w:noWrap w:val="0"/>
            <w:vAlign w:val="center"/>
          </w:tcPr>
          <w:p w14:paraId="15CD0F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参加政府采购活动前3年内无商业贿赂、不正当竞争行为、骗取中标、严重违约及重大工程质量等问题；</w:t>
            </w:r>
            <w:r>
              <w:rPr>
                <w:rFonts w:hint="eastAsia" w:ascii="宋体" w:hAnsi="宋体" w:cs="宋体"/>
                <w:sz w:val="24"/>
                <w:szCs w:val="24"/>
                <w:lang w:eastAsia="zh-CN"/>
              </w:rPr>
              <w:t>提供企业注册地工商管理部门出具的无商业贿赂和不正当竞争行为的查询证明（若当地工商管理部门不办理此项业务，供应商须自行出具本企业无商业贿赂和不正当竞争行为承诺书）</w:t>
            </w:r>
          </w:p>
        </w:tc>
      </w:tr>
      <w:tr w14:paraId="161F1AF7">
        <w:tblPrEx>
          <w:tblCellMar>
            <w:top w:w="0" w:type="dxa"/>
            <w:left w:w="108" w:type="dxa"/>
            <w:bottom w:w="0" w:type="dxa"/>
            <w:right w:w="108" w:type="dxa"/>
          </w:tblCellMar>
        </w:tblPrEx>
        <w:trPr>
          <w:trHeight w:val="930" w:hRule="atLeast"/>
          <w:jc w:val="center"/>
        </w:trPr>
        <w:tc>
          <w:tcPr>
            <w:tcW w:w="832" w:type="dxa"/>
            <w:vMerge w:val="continue"/>
            <w:tcBorders>
              <w:left w:val="single" w:color="auto" w:sz="4" w:space="0"/>
              <w:right w:val="single" w:color="auto" w:sz="4" w:space="0"/>
            </w:tcBorders>
            <w:noWrap w:val="0"/>
            <w:vAlign w:val="center"/>
          </w:tcPr>
          <w:p w14:paraId="42EDC04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7F97048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3010D2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cs="宋体"/>
                <w:sz w:val="24"/>
                <w:szCs w:val="24"/>
              </w:rPr>
              <w:t>信用</w:t>
            </w:r>
            <w:r>
              <w:rPr>
                <w:rFonts w:hint="eastAsia" w:ascii="宋体" w:hAnsi="宋体" w:cs="宋体"/>
                <w:sz w:val="24"/>
                <w:szCs w:val="24"/>
                <w:lang w:eastAsia="zh-CN"/>
              </w:rPr>
              <w:t>查询</w:t>
            </w:r>
          </w:p>
        </w:tc>
        <w:tc>
          <w:tcPr>
            <w:tcW w:w="6058" w:type="dxa"/>
            <w:tcBorders>
              <w:top w:val="single" w:color="auto" w:sz="4" w:space="0"/>
              <w:left w:val="nil"/>
              <w:bottom w:val="single" w:color="auto" w:sz="4" w:space="0"/>
              <w:right w:val="single" w:color="auto" w:sz="4" w:space="0"/>
            </w:tcBorders>
            <w:noWrap w:val="0"/>
            <w:vAlign w:val="center"/>
          </w:tcPr>
          <w:p w14:paraId="05EF8B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hint="eastAsia" w:ascii="宋体" w:hAnsi="宋体" w:cs="宋体"/>
                <w:sz w:val="24"/>
                <w:szCs w:val="24"/>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w:t>
            </w:r>
            <w:r>
              <w:rPr>
                <w:rFonts w:hint="eastAsia" w:ascii="宋体" w:hAnsi="宋体" w:cs="宋体"/>
                <w:sz w:val="24"/>
                <w:szCs w:val="24"/>
                <w:lang w:val="en-US" w:eastAsia="zh-CN"/>
              </w:rPr>
              <w:t>磋商</w:t>
            </w:r>
            <w:r>
              <w:rPr>
                <w:rFonts w:hint="eastAsia" w:ascii="宋体" w:hAnsi="宋体" w:cs="宋体"/>
                <w:sz w:val="24"/>
                <w:szCs w:val="24"/>
              </w:rPr>
              <w:t>公告发布之后至开标截止时间之前，查询结果清晰可见</w:t>
            </w:r>
          </w:p>
        </w:tc>
      </w:tr>
      <w:tr w14:paraId="6423E38E">
        <w:tblPrEx>
          <w:tblCellMar>
            <w:top w:w="0" w:type="dxa"/>
            <w:left w:w="108" w:type="dxa"/>
            <w:bottom w:w="0" w:type="dxa"/>
            <w:right w:w="108" w:type="dxa"/>
          </w:tblCellMar>
        </w:tblPrEx>
        <w:trPr>
          <w:trHeight w:val="631" w:hRule="atLeast"/>
          <w:jc w:val="center"/>
        </w:trPr>
        <w:tc>
          <w:tcPr>
            <w:tcW w:w="832" w:type="dxa"/>
            <w:vMerge w:val="continue"/>
            <w:tcBorders>
              <w:left w:val="single" w:color="auto" w:sz="4" w:space="0"/>
              <w:right w:val="single" w:color="auto" w:sz="4" w:space="0"/>
            </w:tcBorders>
            <w:noWrap w:val="0"/>
            <w:vAlign w:val="center"/>
          </w:tcPr>
          <w:p w14:paraId="097B66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752C1C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right w:val="single" w:color="auto" w:sz="4" w:space="0"/>
            </w:tcBorders>
            <w:noWrap w:val="0"/>
            <w:vAlign w:val="center"/>
          </w:tcPr>
          <w:p w14:paraId="5D1772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eastAsiaTheme="minorEastAsia"/>
                <w:sz w:val="24"/>
                <w:szCs w:val="24"/>
                <w:lang w:val="en-US" w:eastAsia="zh-CN"/>
              </w:rPr>
            </w:pPr>
            <w:r>
              <w:rPr>
                <w:rFonts w:hint="eastAsia" w:ascii="宋体" w:hAnsi="宋体" w:cs="宋体"/>
                <w:sz w:val="24"/>
                <w:szCs w:val="24"/>
              </w:rPr>
              <w:t>控股、管理关系</w:t>
            </w:r>
            <w:r>
              <w:rPr>
                <w:rFonts w:hint="eastAsia" w:ascii="宋体" w:hAnsi="宋体" w:cs="宋体"/>
                <w:sz w:val="24"/>
                <w:szCs w:val="24"/>
                <w:lang w:val="en-US" w:eastAsia="zh-CN"/>
              </w:rPr>
              <w:t>查询</w:t>
            </w:r>
          </w:p>
        </w:tc>
        <w:tc>
          <w:tcPr>
            <w:tcW w:w="6058" w:type="dxa"/>
            <w:tcBorders>
              <w:top w:val="single" w:color="auto" w:sz="4" w:space="0"/>
              <w:left w:val="nil"/>
              <w:bottom w:val="single" w:color="auto" w:sz="4" w:space="0"/>
              <w:right w:val="single" w:color="auto" w:sz="4" w:space="0"/>
            </w:tcBorders>
            <w:noWrap w:val="0"/>
            <w:vAlign w:val="center"/>
          </w:tcPr>
          <w:p w14:paraId="097CDD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hint="eastAsia" w:ascii="宋体" w:hAnsi="宋体" w:cs="宋体"/>
                <w:sz w:val="24"/>
                <w:szCs w:val="24"/>
              </w:rPr>
              <w:t>单位负责人为同一人或者存在控股、管理关系的不同单位，不得同时参加同一项目的投标（提供“国家企业信用信息公示系统”中公示的公司基础信息、股东或投资人信息，査询时间须是本项目</w:t>
            </w:r>
            <w:r>
              <w:rPr>
                <w:rFonts w:hint="eastAsia" w:ascii="宋体" w:hAnsi="宋体" w:cs="宋体"/>
                <w:sz w:val="24"/>
                <w:szCs w:val="24"/>
                <w:lang w:val="en-US" w:eastAsia="zh-CN"/>
              </w:rPr>
              <w:t>磋商</w:t>
            </w:r>
            <w:r>
              <w:rPr>
                <w:rFonts w:hint="eastAsia" w:ascii="宋体" w:hAnsi="宋体" w:cs="宋体"/>
                <w:sz w:val="24"/>
                <w:szCs w:val="24"/>
              </w:rPr>
              <w:t>公告发布之后至开标截止时间之前，查询结果清晰可见）</w:t>
            </w:r>
          </w:p>
        </w:tc>
      </w:tr>
      <w:tr w14:paraId="233A709D">
        <w:tblPrEx>
          <w:tblCellMar>
            <w:top w:w="0" w:type="dxa"/>
            <w:left w:w="108" w:type="dxa"/>
            <w:bottom w:w="0" w:type="dxa"/>
            <w:right w:w="108" w:type="dxa"/>
          </w:tblCellMar>
        </w:tblPrEx>
        <w:trPr>
          <w:trHeight w:val="506" w:hRule="atLeast"/>
          <w:jc w:val="center"/>
        </w:trPr>
        <w:tc>
          <w:tcPr>
            <w:tcW w:w="832" w:type="dxa"/>
            <w:vMerge w:val="continue"/>
            <w:tcBorders>
              <w:left w:val="single" w:color="auto" w:sz="4" w:space="0"/>
              <w:right w:val="single" w:color="auto" w:sz="4" w:space="0"/>
            </w:tcBorders>
            <w:noWrap w:val="0"/>
            <w:vAlign w:val="center"/>
          </w:tcPr>
          <w:p w14:paraId="5B9233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305FDC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right w:val="single" w:color="auto" w:sz="4" w:space="0"/>
            </w:tcBorders>
            <w:noWrap w:val="0"/>
            <w:vAlign w:val="center"/>
          </w:tcPr>
          <w:p w14:paraId="6FC890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cs="宋体"/>
                <w:sz w:val="24"/>
                <w:szCs w:val="24"/>
                <w:lang w:eastAsia="zh-CN"/>
              </w:rPr>
              <w:t>非</w:t>
            </w:r>
            <w:r>
              <w:rPr>
                <w:rFonts w:hint="eastAsia" w:ascii="宋体" w:hAnsi="宋体" w:cs="宋体"/>
                <w:sz w:val="24"/>
                <w:szCs w:val="24"/>
              </w:rPr>
              <w:t>联合体磋商</w:t>
            </w:r>
          </w:p>
        </w:tc>
        <w:tc>
          <w:tcPr>
            <w:tcW w:w="6058" w:type="dxa"/>
            <w:tcBorders>
              <w:top w:val="single" w:color="auto" w:sz="4" w:space="0"/>
              <w:left w:val="nil"/>
              <w:bottom w:val="single" w:color="auto" w:sz="4" w:space="0"/>
              <w:right w:val="single" w:color="auto" w:sz="4" w:space="0"/>
            </w:tcBorders>
            <w:noWrap w:val="0"/>
            <w:vAlign w:val="center"/>
          </w:tcPr>
          <w:p w14:paraId="786115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cs="宋体"/>
                <w:sz w:val="24"/>
                <w:szCs w:val="24"/>
              </w:rPr>
              <w:t>本项目不接受联合体磋商</w:t>
            </w:r>
            <w:r>
              <w:rPr>
                <w:rFonts w:hint="eastAsia" w:ascii="宋体" w:hAnsi="宋体" w:cs="宋体"/>
                <w:sz w:val="24"/>
                <w:szCs w:val="24"/>
                <w:lang w:eastAsia="zh-CN"/>
              </w:rPr>
              <w:t>（提供承诺书，格式自拟）</w:t>
            </w:r>
          </w:p>
        </w:tc>
      </w:tr>
      <w:tr w14:paraId="0DF6F870">
        <w:tblPrEx>
          <w:tblCellMar>
            <w:top w:w="0" w:type="dxa"/>
            <w:left w:w="108" w:type="dxa"/>
            <w:bottom w:w="0" w:type="dxa"/>
            <w:right w:w="108" w:type="dxa"/>
          </w:tblCellMar>
        </w:tblPrEx>
        <w:trPr>
          <w:trHeight w:val="90" w:hRule="atLeast"/>
          <w:jc w:val="center"/>
        </w:trPr>
        <w:tc>
          <w:tcPr>
            <w:tcW w:w="832" w:type="dxa"/>
            <w:vMerge w:val="continue"/>
            <w:tcBorders>
              <w:left w:val="single" w:color="auto" w:sz="4" w:space="0"/>
              <w:right w:val="single" w:color="auto" w:sz="4" w:space="0"/>
            </w:tcBorders>
            <w:noWrap w:val="0"/>
            <w:vAlign w:val="center"/>
          </w:tcPr>
          <w:p w14:paraId="17A310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2E95E3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right w:val="single" w:color="auto" w:sz="4" w:space="0"/>
            </w:tcBorders>
            <w:noWrap w:val="0"/>
            <w:vAlign w:val="center"/>
          </w:tcPr>
          <w:p w14:paraId="292905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lang w:eastAsia="zh-CN"/>
              </w:rPr>
            </w:pPr>
            <w:r>
              <w:rPr>
                <w:rFonts w:hint="eastAsia" w:ascii="宋体" w:hAnsi="宋体" w:cs="宋体"/>
                <w:sz w:val="24"/>
                <w:szCs w:val="24"/>
                <w:lang w:eastAsia="zh-CN"/>
              </w:rPr>
              <w:t>资格后审</w:t>
            </w:r>
          </w:p>
        </w:tc>
        <w:tc>
          <w:tcPr>
            <w:tcW w:w="6058" w:type="dxa"/>
            <w:tcBorders>
              <w:top w:val="single" w:color="auto" w:sz="4" w:space="0"/>
              <w:left w:val="nil"/>
              <w:bottom w:val="single" w:color="auto" w:sz="4" w:space="0"/>
              <w:right w:val="single" w:color="auto" w:sz="4" w:space="0"/>
            </w:tcBorders>
            <w:noWrap w:val="0"/>
            <w:vAlign w:val="center"/>
          </w:tcPr>
          <w:p w14:paraId="7392BE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hint="eastAsia" w:ascii="宋体" w:hAnsi="宋体" w:cs="宋体"/>
                <w:sz w:val="24"/>
                <w:szCs w:val="24"/>
              </w:rPr>
              <w:t>本项目实行资格后审</w:t>
            </w:r>
            <w:r>
              <w:rPr>
                <w:rFonts w:hint="eastAsia" w:ascii="宋体" w:hAnsi="宋体" w:cs="宋体"/>
                <w:sz w:val="24"/>
                <w:szCs w:val="24"/>
                <w:lang w:eastAsia="zh-CN"/>
              </w:rPr>
              <w:t>（提供承诺书，格式自拟）</w:t>
            </w:r>
          </w:p>
        </w:tc>
      </w:tr>
      <w:tr w14:paraId="577A664B">
        <w:tblPrEx>
          <w:tblCellMar>
            <w:top w:w="0" w:type="dxa"/>
            <w:left w:w="108" w:type="dxa"/>
            <w:bottom w:w="0" w:type="dxa"/>
            <w:right w:w="108" w:type="dxa"/>
          </w:tblCellMar>
        </w:tblPrEx>
        <w:trPr>
          <w:trHeight w:val="736" w:hRule="atLeast"/>
          <w:jc w:val="center"/>
        </w:trPr>
        <w:tc>
          <w:tcPr>
            <w:tcW w:w="832" w:type="dxa"/>
            <w:vMerge w:val="continue"/>
            <w:tcBorders>
              <w:left w:val="single" w:color="auto" w:sz="4" w:space="0"/>
              <w:bottom w:val="single" w:color="auto" w:sz="4" w:space="0"/>
              <w:right w:val="single" w:color="auto" w:sz="4" w:space="0"/>
            </w:tcBorders>
            <w:noWrap w:val="0"/>
            <w:vAlign w:val="center"/>
          </w:tcPr>
          <w:p w14:paraId="266A3E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bottom w:val="single" w:color="auto" w:sz="4" w:space="0"/>
              <w:right w:val="single" w:color="auto" w:sz="4" w:space="0"/>
            </w:tcBorders>
            <w:noWrap w:val="0"/>
            <w:vAlign w:val="center"/>
          </w:tcPr>
          <w:p w14:paraId="31C24A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71C757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不允许</w:t>
            </w:r>
          </w:p>
          <w:p w14:paraId="366A3E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highlight w:val="none"/>
              </w:rPr>
            </w:pPr>
            <w:r>
              <w:rPr>
                <w:rFonts w:hint="eastAsia" w:ascii="宋体" w:hAnsi="宋体" w:cs="宋体"/>
                <w:sz w:val="24"/>
                <w:szCs w:val="24"/>
                <w:highlight w:val="none"/>
                <w:lang w:val="en-US" w:eastAsia="zh-CN"/>
              </w:rPr>
              <w:t>分包转包</w:t>
            </w:r>
          </w:p>
        </w:tc>
        <w:tc>
          <w:tcPr>
            <w:tcW w:w="6058" w:type="dxa"/>
            <w:tcBorders>
              <w:top w:val="single" w:color="auto" w:sz="4" w:space="0"/>
              <w:left w:val="nil"/>
              <w:bottom w:val="single" w:color="auto" w:sz="4" w:space="0"/>
              <w:right w:val="single" w:color="auto" w:sz="4" w:space="0"/>
            </w:tcBorders>
            <w:noWrap w:val="0"/>
            <w:vAlign w:val="center"/>
          </w:tcPr>
          <w:p w14:paraId="560E6C4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本项目不允许分包转包，如果在项目运行过程中，供应商出现项目分包转包的情况，采购人可以立即终止项目服务合同</w:t>
            </w:r>
            <w:r>
              <w:rPr>
                <w:rFonts w:hint="eastAsia" w:ascii="宋体" w:hAnsi="宋体" w:cs="宋体"/>
                <w:sz w:val="24"/>
                <w:szCs w:val="24"/>
                <w:highlight w:val="none"/>
                <w:lang w:eastAsia="zh-CN"/>
              </w:rPr>
              <w:t>（提供承诺书，格式自拟）</w:t>
            </w:r>
          </w:p>
        </w:tc>
      </w:tr>
      <w:tr w14:paraId="7A15F045">
        <w:tblPrEx>
          <w:tblCellMar>
            <w:top w:w="0" w:type="dxa"/>
            <w:left w:w="108" w:type="dxa"/>
            <w:bottom w:w="0" w:type="dxa"/>
            <w:right w:w="108" w:type="dxa"/>
          </w:tblCellMar>
        </w:tblPrEx>
        <w:trPr>
          <w:trHeight w:val="736" w:hRule="atLeast"/>
          <w:jc w:val="center"/>
        </w:trPr>
        <w:tc>
          <w:tcPr>
            <w:tcW w:w="832" w:type="dxa"/>
            <w:vMerge w:val="continue"/>
            <w:tcBorders>
              <w:left w:val="single" w:color="auto" w:sz="4" w:space="0"/>
              <w:bottom w:val="single" w:color="auto" w:sz="4" w:space="0"/>
              <w:right w:val="single" w:color="auto" w:sz="4" w:space="0"/>
            </w:tcBorders>
            <w:noWrap w:val="0"/>
            <w:vAlign w:val="center"/>
          </w:tcPr>
          <w:p w14:paraId="3960B2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bottom w:val="single" w:color="auto" w:sz="4" w:space="0"/>
              <w:right w:val="single" w:color="auto" w:sz="4" w:space="0"/>
            </w:tcBorders>
            <w:noWrap w:val="0"/>
            <w:vAlign w:val="center"/>
          </w:tcPr>
          <w:p w14:paraId="33C5D2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2AF462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rPr>
            </w:pPr>
            <w:r>
              <w:rPr>
                <w:rFonts w:hint="eastAsia" w:ascii="宋体" w:hAnsi="宋体" w:cs="宋体"/>
                <w:sz w:val="24"/>
                <w:szCs w:val="24"/>
              </w:rPr>
              <w:t>落实政府采购政策满足的资格要求</w:t>
            </w:r>
          </w:p>
        </w:tc>
        <w:tc>
          <w:tcPr>
            <w:tcW w:w="6058" w:type="dxa"/>
            <w:tcBorders>
              <w:top w:val="single" w:color="auto" w:sz="4" w:space="0"/>
              <w:left w:val="nil"/>
              <w:bottom w:val="single" w:color="auto" w:sz="4" w:space="0"/>
              <w:right w:val="single" w:color="auto" w:sz="4" w:space="0"/>
            </w:tcBorders>
            <w:noWrap w:val="0"/>
            <w:vAlign w:val="center"/>
          </w:tcPr>
          <w:p w14:paraId="2147FD9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hint="eastAsia" w:ascii="宋体" w:hAnsi="宋体" w:cs="宋体"/>
                <w:sz w:val="24"/>
                <w:szCs w:val="24"/>
                <w:lang w:val="en-US" w:eastAsia="zh-CN"/>
              </w:rPr>
              <w:t>根据《政府采购促进中小企业发展管理办法》（财库〔2020〕46号）规定，本项目专门面向中小企业采购，同时供应商须提供《中小企业声明函》</w:t>
            </w:r>
          </w:p>
        </w:tc>
      </w:tr>
      <w:tr w14:paraId="05F5B9CC">
        <w:tblPrEx>
          <w:tblCellMar>
            <w:top w:w="0" w:type="dxa"/>
            <w:left w:w="108" w:type="dxa"/>
            <w:bottom w:w="0" w:type="dxa"/>
            <w:right w:w="108" w:type="dxa"/>
          </w:tblCellMar>
        </w:tblPrEx>
        <w:trPr>
          <w:trHeight w:val="425" w:hRule="atLeast"/>
          <w:jc w:val="center"/>
        </w:trPr>
        <w:tc>
          <w:tcPr>
            <w:tcW w:w="832" w:type="dxa"/>
            <w:vMerge w:val="restart"/>
            <w:tcBorders>
              <w:top w:val="single" w:color="auto" w:sz="4" w:space="0"/>
              <w:left w:val="single" w:color="auto" w:sz="4" w:space="0"/>
              <w:right w:val="single" w:color="auto" w:sz="4" w:space="0"/>
            </w:tcBorders>
            <w:noWrap w:val="0"/>
            <w:vAlign w:val="center"/>
          </w:tcPr>
          <w:p w14:paraId="078142C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r>
              <w:rPr>
                <w:rFonts w:ascii="宋体" w:hAnsi="宋体" w:cs="宋体"/>
                <w:sz w:val="24"/>
                <w:szCs w:val="24"/>
              </w:rPr>
              <w:t>2.1.2</w:t>
            </w:r>
          </w:p>
        </w:tc>
        <w:tc>
          <w:tcPr>
            <w:tcW w:w="855" w:type="dxa"/>
            <w:vMerge w:val="restart"/>
            <w:tcBorders>
              <w:top w:val="single" w:color="auto" w:sz="4" w:space="0"/>
              <w:left w:val="single" w:color="auto" w:sz="4" w:space="0"/>
              <w:right w:val="single" w:color="auto" w:sz="4" w:space="0"/>
            </w:tcBorders>
            <w:noWrap w:val="0"/>
            <w:vAlign w:val="center"/>
          </w:tcPr>
          <w:p w14:paraId="6118D8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rPr>
              <w:t>响应</w:t>
            </w:r>
            <w:r>
              <w:rPr>
                <w:rFonts w:ascii="宋体" w:hAnsi="宋体" w:cs="宋体"/>
                <w:sz w:val="24"/>
                <w:szCs w:val="24"/>
              </w:rPr>
              <w:t>性审查</w:t>
            </w:r>
          </w:p>
        </w:tc>
        <w:tc>
          <w:tcPr>
            <w:tcW w:w="1656" w:type="dxa"/>
            <w:tcBorders>
              <w:top w:val="single" w:color="auto" w:sz="4" w:space="0"/>
              <w:left w:val="single" w:color="auto" w:sz="4" w:space="0"/>
              <w:bottom w:val="single" w:color="auto" w:sz="4" w:space="0"/>
              <w:right w:val="single" w:color="auto" w:sz="4" w:space="0"/>
            </w:tcBorders>
            <w:noWrap w:val="0"/>
            <w:vAlign w:val="center"/>
          </w:tcPr>
          <w:p w14:paraId="04CA4A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rPr>
            </w:pPr>
            <w:r>
              <w:rPr>
                <w:rFonts w:hint="eastAsia" w:ascii="宋体" w:hAnsi="宋体" w:cs="宋体"/>
                <w:sz w:val="24"/>
                <w:szCs w:val="24"/>
                <w:lang w:val="en-US" w:eastAsia="zh-CN"/>
              </w:rPr>
              <w:t>管护期限</w:t>
            </w:r>
          </w:p>
        </w:tc>
        <w:tc>
          <w:tcPr>
            <w:tcW w:w="6058" w:type="dxa"/>
            <w:tcBorders>
              <w:top w:val="single" w:color="auto" w:sz="4" w:space="0"/>
              <w:left w:val="nil"/>
              <w:bottom w:val="single" w:color="auto" w:sz="4" w:space="0"/>
              <w:right w:val="single" w:color="auto" w:sz="4" w:space="0"/>
            </w:tcBorders>
            <w:noWrap w:val="0"/>
            <w:vAlign w:val="center"/>
          </w:tcPr>
          <w:p w14:paraId="4A4442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一年</w:t>
            </w:r>
          </w:p>
        </w:tc>
      </w:tr>
      <w:tr w14:paraId="083D7AF5">
        <w:tblPrEx>
          <w:tblCellMar>
            <w:top w:w="0" w:type="dxa"/>
            <w:left w:w="108" w:type="dxa"/>
            <w:bottom w:w="0" w:type="dxa"/>
            <w:right w:w="108" w:type="dxa"/>
          </w:tblCellMar>
        </w:tblPrEx>
        <w:trPr>
          <w:trHeight w:val="488" w:hRule="atLeast"/>
          <w:jc w:val="center"/>
        </w:trPr>
        <w:tc>
          <w:tcPr>
            <w:tcW w:w="832" w:type="dxa"/>
            <w:vMerge w:val="continue"/>
            <w:tcBorders>
              <w:left w:val="single" w:color="auto" w:sz="4" w:space="0"/>
              <w:right w:val="single" w:color="auto" w:sz="4" w:space="0"/>
            </w:tcBorders>
            <w:noWrap w:val="0"/>
            <w:vAlign w:val="center"/>
          </w:tcPr>
          <w:p w14:paraId="0F47B7C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220B62F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4F902B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质量要求</w:t>
            </w:r>
          </w:p>
        </w:tc>
        <w:tc>
          <w:tcPr>
            <w:tcW w:w="6058" w:type="dxa"/>
            <w:tcBorders>
              <w:top w:val="single" w:color="auto" w:sz="4" w:space="0"/>
              <w:left w:val="nil"/>
              <w:bottom w:val="single" w:color="auto" w:sz="4" w:space="0"/>
              <w:right w:val="single" w:color="auto" w:sz="4" w:space="0"/>
            </w:tcBorders>
            <w:noWrap w:val="0"/>
            <w:vAlign w:val="center"/>
          </w:tcPr>
          <w:p w14:paraId="55C678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符合国家及相关行业标准，并满足采购人要求</w:t>
            </w:r>
          </w:p>
        </w:tc>
      </w:tr>
      <w:tr w14:paraId="19C653C8">
        <w:tblPrEx>
          <w:tblCellMar>
            <w:top w:w="0" w:type="dxa"/>
            <w:left w:w="108" w:type="dxa"/>
            <w:bottom w:w="0" w:type="dxa"/>
            <w:right w:w="108" w:type="dxa"/>
          </w:tblCellMar>
        </w:tblPrEx>
        <w:trPr>
          <w:trHeight w:val="473" w:hRule="atLeast"/>
          <w:jc w:val="center"/>
        </w:trPr>
        <w:tc>
          <w:tcPr>
            <w:tcW w:w="832" w:type="dxa"/>
            <w:vMerge w:val="continue"/>
            <w:tcBorders>
              <w:left w:val="single" w:color="auto" w:sz="4" w:space="0"/>
              <w:right w:val="single" w:color="auto" w:sz="4" w:space="0"/>
            </w:tcBorders>
            <w:noWrap w:val="0"/>
            <w:vAlign w:val="center"/>
          </w:tcPr>
          <w:p w14:paraId="113B01E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670F54B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71DD77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cs="宋体"/>
                <w:sz w:val="24"/>
                <w:szCs w:val="24"/>
              </w:rPr>
              <w:t>服务地点</w:t>
            </w:r>
          </w:p>
        </w:tc>
        <w:tc>
          <w:tcPr>
            <w:tcW w:w="6058" w:type="dxa"/>
            <w:tcBorders>
              <w:top w:val="single" w:color="auto" w:sz="4" w:space="0"/>
              <w:left w:val="nil"/>
              <w:bottom w:val="single" w:color="auto" w:sz="4" w:space="0"/>
              <w:right w:val="single" w:color="auto" w:sz="4" w:space="0"/>
            </w:tcBorders>
            <w:noWrap w:val="0"/>
            <w:vAlign w:val="center"/>
          </w:tcPr>
          <w:p w14:paraId="293CF3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卢氏县</w:t>
            </w:r>
          </w:p>
        </w:tc>
      </w:tr>
      <w:tr w14:paraId="5DABF112">
        <w:tblPrEx>
          <w:tblCellMar>
            <w:top w:w="0" w:type="dxa"/>
            <w:left w:w="108" w:type="dxa"/>
            <w:bottom w:w="0" w:type="dxa"/>
            <w:right w:w="108" w:type="dxa"/>
          </w:tblCellMar>
        </w:tblPrEx>
        <w:trPr>
          <w:trHeight w:val="556" w:hRule="atLeast"/>
          <w:jc w:val="center"/>
        </w:trPr>
        <w:tc>
          <w:tcPr>
            <w:tcW w:w="832" w:type="dxa"/>
            <w:vMerge w:val="continue"/>
            <w:tcBorders>
              <w:left w:val="single" w:color="auto" w:sz="4" w:space="0"/>
              <w:right w:val="single" w:color="auto" w:sz="4" w:space="0"/>
            </w:tcBorders>
            <w:noWrap w:val="0"/>
            <w:vAlign w:val="center"/>
          </w:tcPr>
          <w:p w14:paraId="4BD389C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4057439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65D39B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磋商有效期</w:t>
            </w:r>
          </w:p>
        </w:tc>
        <w:tc>
          <w:tcPr>
            <w:tcW w:w="6058" w:type="dxa"/>
            <w:tcBorders>
              <w:top w:val="single" w:color="auto" w:sz="4" w:space="0"/>
              <w:left w:val="nil"/>
              <w:bottom w:val="single" w:color="auto" w:sz="4" w:space="0"/>
              <w:right w:val="single" w:color="auto" w:sz="4" w:space="0"/>
            </w:tcBorders>
            <w:noWrap w:val="0"/>
            <w:vAlign w:val="center"/>
          </w:tcPr>
          <w:p w14:paraId="3F9654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符合磋商文件要求</w:t>
            </w:r>
          </w:p>
        </w:tc>
      </w:tr>
      <w:tr w14:paraId="752E2550">
        <w:tblPrEx>
          <w:tblCellMar>
            <w:top w:w="0" w:type="dxa"/>
            <w:left w:w="108" w:type="dxa"/>
            <w:bottom w:w="0" w:type="dxa"/>
            <w:right w:w="108" w:type="dxa"/>
          </w:tblCellMar>
        </w:tblPrEx>
        <w:trPr>
          <w:trHeight w:val="471" w:hRule="atLeast"/>
          <w:jc w:val="center"/>
        </w:trPr>
        <w:tc>
          <w:tcPr>
            <w:tcW w:w="832" w:type="dxa"/>
            <w:vMerge w:val="continue"/>
            <w:tcBorders>
              <w:left w:val="single" w:color="auto" w:sz="4" w:space="0"/>
              <w:right w:val="single" w:color="auto" w:sz="4" w:space="0"/>
            </w:tcBorders>
            <w:noWrap w:val="0"/>
            <w:vAlign w:val="center"/>
          </w:tcPr>
          <w:p w14:paraId="6897A5A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76777DF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3BD1E6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磋商</w:t>
            </w:r>
            <w:r>
              <w:rPr>
                <w:rFonts w:hint="eastAsia" w:ascii="宋体" w:hAnsi="宋体" w:cs="宋体"/>
                <w:sz w:val="24"/>
                <w:szCs w:val="24"/>
              </w:rPr>
              <w:t>承诺函</w:t>
            </w:r>
          </w:p>
        </w:tc>
        <w:tc>
          <w:tcPr>
            <w:tcW w:w="6058" w:type="dxa"/>
            <w:tcBorders>
              <w:top w:val="single" w:color="auto" w:sz="4" w:space="0"/>
              <w:left w:val="nil"/>
              <w:bottom w:val="single" w:color="auto" w:sz="4" w:space="0"/>
              <w:right w:val="single" w:color="auto" w:sz="4" w:space="0"/>
            </w:tcBorders>
            <w:noWrap w:val="0"/>
            <w:vAlign w:val="center"/>
          </w:tcPr>
          <w:p w14:paraId="34706B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按照磋商文件要求提交</w:t>
            </w:r>
          </w:p>
        </w:tc>
      </w:tr>
      <w:tr w14:paraId="4B948BEB">
        <w:tblPrEx>
          <w:tblCellMar>
            <w:top w:w="0" w:type="dxa"/>
            <w:left w:w="108" w:type="dxa"/>
            <w:bottom w:w="0" w:type="dxa"/>
            <w:right w:w="108" w:type="dxa"/>
          </w:tblCellMar>
        </w:tblPrEx>
        <w:trPr>
          <w:trHeight w:val="426" w:hRule="atLeast"/>
          <w:jc w:val="center"/>
        </w:trPr>
        <w:tc>
          <w:tcPr>
            <w:tcW w:w="832" w:type="dxa"/>
            <w:vMerge w:val="continue"/>
            <w:tcBorders>
              <w:left w:val="single" w:color="auto" w:sz="4" w:space="0"/>
              <w:bottom w:val="single" w:color="auto" w:sz="4" w:space="0"/>
              <w:right w:val="single" w:color="auto" w:sz="4" w:space="0"/>
            </w:tcBorders>
            <w:noWrap w:val="0"/>
            <w:vAlign w:val="center"/>
          </w:tcPr>
          <w:p w14:paraId="5580842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bottom w:val="single" w:color="auto" w:sz="4" w:space="0"/>
              <w:right w:val="single" w:color="auto" w:sz="4" w:space="0"/>
            </w:tcBorders>
            <w:noWrap w:val="0"/>
            <w:vAlign w:val="center"/>
          </w:tcPr>
          <w:p w14:paraId="222B934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73D38E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磋商报价</w:t>
            </w:r>
          </w:p>
        </w:tc>
        <w:tc>
          <w:tcPr>
            <w:tcW w:w="6058" w:type="dxa"/>
            <w:tcBorders>
              <w:top w:val="single" w:color="auto" w:sz="4" w:space="0"/>
              <w:left w:val="nil"/>
              <w:bottom w:val="single" w:color="auto" w:sz="4" w:space="0"/>
              <w:right w:val="single" w:color="auto" w:sz="4" w:space="0"/>
            </w:tcBorders>
            <w:noWrap w:val="0"/>
            <w:vAlign w:val="center"/>
          </w:tcPr>
          <w:p w14:paraId="426FCE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ascii="宋体" w:hAnsi="宋体" w:cs="宋体"/>
                <w:sz w:val="24"/>
                <w:szCs w:val="24"/>
              </w:rPr>
              <w:t>磋商供应商的报价不能超出磋商预算价</w:t>
            </w:r>
            <w:r>
              <w:rPr>
                <w:rFonts w:hint="eastAsia" w:ascii="宋体" w:hAnsi="宋体" w:cs="宋体"/>
                <w:sz w:val="24"/>
                <w:szCs w:val="24"/>
              </w:rPr>
              <w:t>（超出按废标处理）</w:t>
            </w:r>
          </w:p>
        </w:tc>
      </w:tr>
      <w:tr w14:paraId="2AD39470">
        <w:tblPrEx>
          <w:tblCellMar>
            <w:top w:w="0" w:type="dxa"/>
            <w:left w:w="108" w:type="dxa"/>
            <w:bottom w:w="0" w:type="dxa"/>
            <w:right w:w="108" w:type="dxa"/>
          </w:tblCellMar>
        </w:tblPrEx>
        <w:trPr>
          <w:trHeight w:val="542" w:hRule="atLeast"/>
          <w:jc w:val="center"/>
        </w:trPr>
        <w:tc>
          <w:tcPr>
            <w:tcW w:w="832" w:type="dxa"/>
            <w:vMerge w:val="restart"/>
            <w:tcBorders>
              <w:top w:val="single" w:color="auto" w:sz="4" w:space="0"/>
              <w:left w:val="single" w:color="auto" w:sz="4" w:space="0"/>
              <w:right w:val="single" w:color="auto" w:sz="4" w:space="0"/>
            </w:tcBorders>
            <w:noWrap w:val="0"/>
            <w:vAlign w:val="center"/>
          </w:tcPr>
          <w:p w14:paraId="33EF020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r>
              <w:rPr>
                <w:rFonts w:hint="eastAsia" w:ascii="宋体" w:hAnsi="宋体" w:cs="宋体"/>
                <w:sz w:val="24"/>
                <w:szCs w:val="24"/>
              </w:rPr>
              <w:t>2.1.3</w:t>
            </w:r>
          </w:p>
        </w:tc>
        <w:tc>
          <w:tcPr>
            <w:tcW w:w="855" w:type="dxa"/>
            <w:vMerge w:val="restart"/>
            <w:tcBorders>
              <w:top w:val="single" w:color="auto" w:sz="4" w:space="0"/>
              <w:left w:val="single" w:color="auto" w:sz="4" w:space="0"/>
              <w:right w:val="single" w:color="auto" w:sz="4" w:space="0"/>
            </w:tcBorders>
            <w:noWrap w:val="0"/>
            <w:vAlign w:val="center"/>
          </w:tcPr>
          <w:p w14:paraId="2F7909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rPr>
              <w:t>符合性</w:t>
            </w:r>
            <w:r>
              <w:rPr>
                <w:rFonts w:hint="eastAsia" w:ascii="宋体" w:hAnsi="宋体" w:cs="宋体"/>
                <w:sz w:val="24"/>
                <w:szCs w:val="24"/>
                <w:lang w:val="zh-CN"/>
              </w:rPr>
              <w:t>评审标准</w:t>
            </w:r>
          </w:p>
        </w:tc>
        <w:tc>
          <w:tcPr>
            <w:tcW w:w="1656" w:type="dxa"/>
            <w:tcBorders>
              <w:top w:val="single" w:color="auto" w:sz="4" w:space="0"/>
              <w:left w:val="nil"/>
              <w:bottom w:val="single" w:color="auto" w:sz="4" w:space="0"/>
              <w:right w:val="single" w:color="auto" w:sz="4" w:space="0"/>
            </w:tcBorders>
            <w:noWrap w:val="0"/>
            <w:vAlign w:val="center"/>
          </w:tcPr>
          <w:p w14:paraId="1718A0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lang w:val="zh-CN"/>
              </w:rPr>
            </w:pPr>
            <w:r>
              <w:rPr>
                <w:rFonts w:hint="eastAsia" w:ascii="宋体" w:hAnsi="宋体" w:cs="宋体"/>
                <w:sz w:val="24"/>
                <w:szCs w:val="24"/>
                <w:lang w:val="zh-CN"/>
              </w:rPr>
              <w:t>供应商名称</w:t>
            </w:r>
          </w:p>
        </w:tc>
        <w:tc>
          <w:tcPr>
            <w:tcW w:w="6058" w:type="dxa"/>
            <w:tcBorders>
              <w:top w:val="single" w:color="auto" w:sz="4" w:space="0"/>
              <w:left w:val="nil"/>
              <w:bottom w:val="single" w:color="auto" w:sz="4" w:space="0"/>
              <w:right w:val="single" w:color="auto" w:sz="4" w:space="0"/>
            </w:tcBorders>
            <w:noWrap w:val="0"/>
            <w:vAlign w:val="center"/>
          </w:tcPr>
          <w:p w14:paraId="109ECC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lang w:val="zh-CN"/>
              </w:rPr>
            </w:pPr>
            <w:r>
              <w:rPr>
                <w:rFonts w:hint="eastAsia" w:ascii="宋体" w:hAnsi="宋体" w:cs="宋体"/>
                <w:sz w:val="24"/>
                <w:szCs w:val="24"/>
                <w:lang w:val="zh-CN"/>
              </w:rPr>
              <w:t>与营业执照等一致</w:t>
            </w:r>
          </w:p>
        </w:tc>
      </w:tr>
      <w:tr w14:paraId="79D61A2A">
        <w:tblPrEx>
          <w:tblCellMar>
            <w:top w:w="0" w:type="dxa"/>
            <w:left w:w="108" w:type="dxa"/>
            <w:bottom w:w="0" w:type="dxa"/>
            <w:right w:w="108" w:type="dxa"/>
          </w:tblCellMar>
        </w:tblPrEx>
        <w:trPr>
          <w:trHeight w:val="577" w:hRule="atLeast"/>
          <w:jc w:val="center"/>
        </w:trPr>
        <w:tc>
          <w:tcPr>
            <w:tcW w:w="832" w:type="dxa"/>
            <w:vMerge w:val="continue"/>
            <w:tcBorders>
              <w:left w:val="single" w:color="auto" w:sz="4" w:space="0"/>
              <w:right w:val="single" w:color="auto" w:sz="4" w:space="0"/>
            </w:tcBorders>
            <w:noWrap w:val="0"/>
            <w:vAlign w:val="center"/>
          </w:tcPr>
          <w:p w14:paraId="3A41435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06E1BA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51E4CF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lang w:val="zh-CN"/>
              </w:rPr>
            </w:pPr>
            <w:r>
              <w:rPr>
                <w:rFonts w:hint="eastAsia" w:ascii="宋体" w:hAnsi="宋体" w:cs="宋体"/>
                <w:sz w:val="24"/>
                <w:szCs w:val="24"/>
                <w:lang w:val="zh-CN"/>
              </w:rPr>
              <w:t>签字或盖章</w:t>
            </w:r>
          </w:p>
        </w:tc>
        <w:tc>
          <w:tcPr>
            <w:tcW w:w="6058" w:type="dxa"/>
            <w:tcBorders>
              <w:top w:val="single" w:color="auto" w:sz="4" w:space="0"/>
              <w:left w:val="nil"/>
              <w:bottom w:val="single" w:color="auto" w:sz="4" w:space="0"/>
              <w:right w:val="single" w:color="auto" w:sz="4" w:space="0"/>
            </w:tcBorders>
            <w:noWrap w:val="0"/>
            <w:vAlign w:val="center"/>
          </w:tcPr>
          <w:p w14:paraId="65F268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cs="宋体"/>
                <w:sz w:val="24"/>
                <w:szCs w:val="24"/>
                <w:lang w:val="zh-CN"/>
              </w:rPr>
              <w:t>符合竞争性磋商文件要求的签字或盖章</w:t>
            </w:r>
            <w:r>
              <w:rPr>
                <w:rFonts w:hint="eastAsia" w:ascii="宋体" w:hAnsi="宋体" w:cs="宋体"/>
                <w:sz w:val="24"/>
                <w:szCs w:val="24"/>
                <w:lang w:val="en-US" w:eastAsia="zh-CN"/>
              </w:rPr>
              <w:t>要求</w:t>
            </w:r>
          </w:p>
        </w:tc>
      </w:tr>
      <w:tr w14:paraId="16F34DC3">
        <w:tblPrEx>
          <w:tblCellMar>
            <w:top w:w="0" w:type="dxa"/>
            <w:left w:w="108" w:type="dxa"/>
            <w:bottom w:w="0" w:type="dxa"/>
            <w:right w:w="108" w:type="dxa"/>
          </w:tblCellMar>
        </w:tblPrEx>
        <w:trPr>
          <w:trHeight w:val="826" w:hRule="atLeast"/>
          <w:jc w:val="center"/>
        </w:trPr>
        <w:tc>
          <w:tcPr>
            <w:tcW w:w="832" w:type="dxa"/>
            <w:vMerge w:val="continue"/>
            <w:tcBorders>
              <w:left w:val="single" w:color="auto" w:sz="4" w:space="0"/>
              <w:right w:val="single" w:color="auto" w:sz="4" w:space="0"/>
            </w:tcBorders>
            <w:noWrap w:val="0"/>
            <w:vAlign w:val="center"/>
          </w:tcPr>
          <w:p w14:paraId="6974F8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30AE10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6ACA5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lang w:val="zh-CN"/>
              </w:rPr>
              <w:t>响应文件内容及格式</w:t>
            </w:r>
          </w:p>
        </w:tc>
        <w:tc>
          <w:tcPr>
            <w:tcW w:w="6058" w:type="dxa"/>
            <w:tcBorders>
              <w:top w:val="single" w:color="auto" w:sz="4" w:space="0"/>
              <w:left w:val="nil"/>
              <w:bottom w:val="single" w:color="auto" w:sz="4" w:space="0"/>
              <w:right w:val="single" w:color="auto" w:sz="4" w:space="0"/>
            </w:tcBorders>
            <w:noWrap w:val="0"/>
            <w:vAlign w:val="center"/>
          </w:tcPr>
          <w:p w14:paraId="23A7CF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lang w:val="zh-CN"/>
              </w:rPr>
              <w:t>符合第六章“响应文件内容及格式”要求</w:t>
            </w:r>
          </w:p>
        </w:tc>
      </w:tr>
      <w:tr w14:paraId="0798E98B">
        <w:tblPrEx>
          <w:tblCellMar>
            <w:top w:w="0" w:type="dxa"/>
            <w:left w:w="108" w:type="dxa"/>
            <w:bottom w:w="0" w:type="dxa"/>
            <w:right w:w="108" w:type="dxa"/>
          </w:tblCellMar>
        </w:tblPrEx>
        <w:trPr>
          <w:trHeight w:val="577" w:hRule="atLeast"/>
          <w:jc w:val="center"/>
        </w:trPr>
        <w:tc>
          <w:tcPr>
            <w:tcW w:w="832" w:type="dxa"/>
            <w:vMerge w:val="continue"/>
            <w:tcBorders>
              <w:left w:val="single" w:color="auto" w:sz="4" w:space="0"/>
              <w:bottom w:val="single" w:color="auto" w:sz="4" w:space="0"/>
              <w:right w:val="single" w:color="auto" w:sz="4" w:space="0"/>
            </w:tcBorders>
            <w:noWrap w:val="0"/>
            <w:vAlign w:val="center"/>
          </w:tcPr>
          <w:p w14:paraId="7440540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bottom w:val="single" w:color="auto" w:sz="4" w:space="0"/>
              <w:right w:val="single" w:color="auto" w:sz="4" w:space="0"/>
            </w:tcBorders>
            <w:noWrap w:val="0"/>
            <w:vAlign w:val="center"/>
          </w:tcPr>
          <w:p w14:paraId="6C2084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044524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lang w:val="zh-CN"/>
              </w:rPr>
              <w:t>报价唯一</w:t>
            </w:r>
          </w:p>
        </w:tc>
        <w:tc>
          <w:tcPr>
            <w:tcW w:w="6058" w:type="dxa"/>
            <w:tcBorders>
              <w:top w:val="single" w:color="auto" w:sz="4" w:space="0"/>
              <w:left w:val="nil"/>
              <w:bottom w:val="single" w:color="auto" w:sz="4" w:space="0"/>
              <w:right w:val="single" w:color="auto" w:sz="4" w:space="0"/>
            </w:tcBorders>
            <w:noWrap w:val="0"/>
            <w:vAlign w:val="center"/>
          </w:tcPr>
          <w:p w14:paraId="2B1579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cs="宋体"/>
                <w:sz w:val="24"/>
                <w:szCs w:val="24"/>
              </w:rPr>
              <w:t>只能有一个有效报价，且投标报价不超过预算</w:t>
            </w:r>
            <w:r>
              <w:rPr>
                <w:rFonts w:hint="eastAsia" w:ascii="宋体" w:hAnsi="宋体" w:cs="宋体"/>
                <w:sz w:val="24"/>
                <w:szCs w:val="24"/>
                <w:lang w:val="en-US" w:eastAsia="zh-CN"/>
              </w:rPr>
              <w:t>金额</w:t>
            </w:r>
          </w:p>
        </w:tc>
      </w:tr>
    </w:tbl>
    <w:p w14:paraId="06FE21AE">
      <w:pPr>
        <w:widowControl w:val="0"/>
        <w:spacing w:line="360" w:lineRule="auto"/>
        <w:jc w:val="both"/>
        <w:rPr>
          <w:sz w:val="24"/>
          <w:szCs w:val="24"/>
        </w:rPr>
      </w:pPr>
      <w:r>
        <w:rPr>
          <w:rFonts w:hint="eastAsia"/>
          <w:kern w:val="2"/>
          <w:sz w:val="24"/>
          <w:szCs w:val="24"/>
        </w:rPr>
        <w:t xml:space="preserve"> </w:t>
      </w:r>
      <w:r>
        <w:rPr>
          <w:rFonts w:hint="eastAsia" w:ascii="宋体" w:hAnsi="宋体" w:cs="宋体"/>
          <w:b/>
          <w:sz w:val="24"/>
          <w:szCs w:val="24"/>
        </w:rPr>
        <w:t>1. 磋商文件的评审、比较和否决</w:t>
      </w:r>
    </w:p>
    <w:p w14:paraId="0B63107C">
      <w:pPr>
        <w:spacing w:line="360" w:lineRule="auto"/>
        <w:ind w:firstLine="480"/>
        <w:jc w:val="both"/>
        <w:rPr>
          <w:sz w:val="24"/>
          <w:szCs w:val="24"/>
        </w:rPr>
      </w:pPr>
      <w:r>
        <w:rPr>
          <w:rFonts w:hint="eastAsia" w:ascii="宋体" w:hAnsi="宋体" w:cs="宋体"/>
          <w:b/>
          <w:sz w:val="24"/>
          <w:szCs w:val="24"/>
        </w:rPr>
        <w:t>1.1</w:t>
      </w:r>
      <w:r>
        <w:rPr>
          <w:rFonts w:hint="eastAsia" w:ascii="宋体" w:hAnsi="宋体" w:cs="宋体"/>
          <w:sz w:val="24"/>
          <w:szCs w:val="24"/>
        </w:rPr>
        <w:t>磋商小组将按照竞争性磋商文件的规定，仅对在实质上响应竞争性磋商文件要求的磋商文件进行评估和比较。</w:t>
      </w:r>
    </w:p>
    <w:p w14:paraId="12465302">
      <w:pPr>
        <w:spacing w:line="360" w:lineRule="auto"/>
        <w:ind w:firstLine="480"/>
        <w:jc w:val="both"/>
        <w:rPr>
          <w:sz w:val="24"/>
          <w:szCs w:val="24"/>
        </w:rPr>
      </w:pPr>
      <w:r>
        <w:rPr>
          <w:rFonts w:hint="eastAsia" w:ascii="宋体" w:hAnsi="宋体" w:cs="宋体"/>
          <w:b/>
          <w:sz w:val="24"/>
          <w:szCs w:val="24"/>
        </w:rPr>
        <w:t>1.2</w:t>
      </w:r>
      <w:r>
        <w:rPr>
          <w:rFonts w:hint="eastAsia" w:ascii="宋体" w:hAnsi="宋体" w:cs="宋体"/>
          <w:sz w:val="24"/>
          <w:szCs w:val="24"/>
        </w:rPr>
        <w:t>根据相关法律法规及有关磋商文件规定，结合本项目具体情况，制定本次采购评标办法。并按照“公平、公正、科学、择优”的原则进行评标。采用百分制综合评估法进行评比。</w:t>
      </w:r>
    </w:p>
    <w:p w14:paraId="0123E241">
      <w:pPr>
        <w:spacing w:line="360" w:lineRule="auto"/>
        <w:ind w:firstLine="480"/>
        <w:jc w:val="both"/>
        <w:rPr>
          <w:rFonts w:hint="eastAsia" w:ascii="宋体" w:hAnsi="宋体" w:eastAsia="宋体" w:cs="宋体"/>
          <w:sz w:val="24"/>
          <w:szCs w:val="24"/>
        </w:rPr>
      </w:pPr>
      <w:r>
        <w:rPr>
          <w:rFonts w:hint="eastAsia" w:ascii="宋体" w:hAnsi="宋体" w:cs="宋体"/>
          <w:b/>
          <w:sz w:val="24"/>
          <w:szCs w:val="24"/>
        </w:rPr>
        <w:t>1.3</w:t>
      </w:r>
      <w:r>
        <w:rPr>
          <w:rFonts w:hint="eastAsia" w:ascii="宋体" w:hAnsi="宋体" w:eastAsia="宋体" w:cs="宋体"/>
          <w:sz w:val="24"/>
          <w:szCs w:val="24"/>
        </w:rPr>
        <w:t>在评审过程中，磋商小组可以以书面形式要求磋商供应商就磋商文件中含义不明确的内容进行书面说明并提供相关材料；凡遇到竞争性磋商文件中无界定或界定不清、前后不一致使磋商小组成员意见有分歧且又难于协商一致的问题，均由磋商小组予以表决，获半数以上同意的即为通过，未获半数同意的即为否决。</w:t>
      </w:r>
    </w:p>
    <w:p w14:paraId="2E14C2AC">
      <w:pPr>
        <w:spacing w:line="360" w:lineRule="auto"/>
        <w:ind w:firstLine="480"/>
        <w:jc w:val="both"/>
        <w:rPr>
          <w:sz w:val="24"/>
          <w:szCs w:val="24"/>
        </w:rPr>
      </w:pPr>
      <w:r>
        <w:rPr>
          <w:rFonts w:hint="eastAsia" w:ascii="宋体" w:hAnsi="宋体" w:cs="宋体"/>
          <w:b/>
          <w:sz w:val="24"/>
          <w:szCs w:val="24"/>
        </w:rPr>
        <w:t>1.4</w:t>
      </w:r>
      <w:r>
        <w:rPr>
          <w:rFonts w:hint="eastAsia" w:ascii="宋体" w:hAnsi="宋体" w:cs="宋体"/>
          <w:sz w:val="24"/>
          <w:szCs w:val="24"/>
        </w:rPr>
        <w:t>评标时，磋商报价是评标的重要依据，但不是唯一依据，采购人不承诺将合同授予报价最低或最高的磋商供应商。</w:t>
      </w:r>
    </w:p>
    <w:p w14:paraId="5E0ED521">
      <w:pPr>
        <w:spacing w:line="360" w:lineRule="auto"/>
        <w:ind w:firstLine="480"/>
        <w:jc w:val="both"/>
        <w:rPr>
          <w:sz w:val="24"/>
          <w:szCs w:val="24"/>
        </w:rPr>
      </w:pPr>
      <w:r>
        <w:rPr>
          <w:rFonts w:hint="eastAsia" w:ascii="宋体" w:hAnsi="宋体" w:cs="宋体"/>
          <w:b/>
          <w:sz w:val="24"/>
          <w:szCs w:val="24"/>
        </w:rPr>
        <w:t>1.5</w:t>
      </w:r>
      <w:r>
        <w:rPr>
          <w:rFonts w:hint="eastAsia" w:ascii="宋体" w:hAnsi="宋体" w:cs="宋体"/>
          <w:sz w:val="24"/>
          <w:szCs w:val="24"/>
        </w:rPr>
        <w:t>磋商小组依据竞争性磋商文件中规定的评标标准和方法，对磋商文件进行评审和比较，向采购人提出书面评标报告，并推荐合格的</w:t>
      </w:r>
      <w:r>
        <w:rPr>
          <w:rFonts w:hint="eastAsia" w:ascii="宋体" w:hAnsi="宋体" w:cs="宋体"/>
          <w:sz w:val="24"/>
          <w:szCs w:val="24"/>
          <w:lang w:eastAsia="zh-CN"/>
        </w:rPr>
        <w:t>成交</w:t>
      </w:r>
      <w:r>
        <w:rPr>
          <w:rFonts w:hint="eastAsia" w:ascii="宋体" w:hAnsi="宋体" w:cs="宋体"/>
          <w:sz w:val="24"/>
          <w:szCs w:val="24"/>
        </w:rPr>
        <w:t>候选人。采购人根据磋商小组提出的书面评标报告和推荐的</w:t>
      </w:r>
      <w:r>
        <w:rPr>
          <w:rFonts w:hint="eastAsia" w:ascii="宋体" w:hAnsi="宋体" w:cs="宋体"/>
          <w:sz w:val="24"/>
          <w:szCs w:val="24"/>
          <w:lang w:eastAsia="zh-CN"/>
        </w:rPr>
        <w:t>成交</w:t>
      </w:r>
      <w:r>
        <w:rPr>
          <w:rFonts w:hint="eastAsia" w:ascii="宋体" w:hAnsi="宋体" w:cs="宋体"/>
          <w:sz w:val="24"/>
          <w:szCs w:val="24"/>
        </w:rPr>
        <w:t>候选人按序确定</w:t>
      </w:r>
      <w:r>
        <w:rPr>
          <w:rFonts w:hint="eastAsia" w:ascii="宋体" w:hAnsi="宋体" w:cs="宋体"/>
          <w:sz w:val="24"/>
          <w:szCs w:val="24"/>
          <w:lang w:eastAsia="zh-CN"/>
        </w:rPr>
        <w:t>成交</w:t>
      </w:r>
      <w:r>
        <w:rPr>
          <w:rFonts w:hint="eastAsia" w:ascii="宋体" w:hAnsi="宋体" w:cs="宋体"/>
          <w:sz w:val="24"/>
          <w:szCs w:val="24"/>
        </w:rPr>
        <w:t>人。</w:t>
      </w:r>
    </w:p>
    <w:p w14:paraId="42D8E42D">
      <w:pPr>
        <w:spacing w:line="360" w:lineRule="auto"/>
        <w:ind w:firstLine="480"/>
        <w:jc w:val="both"/>
        <w:rPr>
          <w:sz w:val="24"/>
          <w:szCs w:val="24"/>
        </w:rPr>
      </w:pPr>
      <w:r>
        <w:rPr>
          <w:rFonts w:hint="eastAsia" w:ascii="宋体" w:hAnsi="宋体" w:cs="宋体"/>
          <w:b/>
          <w:sz w:val="24"/>
          <w:szCs w:val="24"/>
        </w:rPr>
        <w:t>2. 评审程序</w:t>
      </w:r>
    </w:p>
    <w:p w14:paraId="4C87E522">
      <w:pPr>
        <w:spacing w:line="360" w:lineRule="auto"/>
        <w:ind w:firstLine="480"/>
        <w:jc w:val="both"/>
        <w:rPr>
          <w:sz w:val="24"/>
          <w:szCs w:val="24"/>
        </w:rPr>
      </w:pPr>
      <w:r>
        <w:rPr>
          <w:rFonts w:hint="eastAsia" w:ascii="宋体" w:hAnsi="宋体" w:cs="宋体"/>
          <w:sz w:val="24"/>
          <w:szCs w:val="24"/>
        </w:rPr>
        <w:t>2.1 资格审查</w:t>
      </w:r>
    </w:p>
    <w:p w14:paraId="5FD48309">
      <w:pPr>
        <w:spacing w:line="360" w:lineRule="auto"/>
        <w:ind w:firstLine="480"/>
        <w:jc w:val="both"/>
        <w:rPr>
          <w:sz w:val="24"/>
          <w:szCs w:val="24"/>
        </w:rPr>
      </w:pPr>
      <w:r>
        <w:rPr>
          <w:rFonts w:hint="eastAsia" w:ascii="宋体" w:hAnsi="宋体" w:cs="宋体"/>
          <w:sz w:val="24"/>
          <w:szCs w:val="24"/>
        </w:rPr>
        <w:t>本项目采用资格后审</w:t>
      </w:r>
    </w:p>
    <w:p w14:paraId="56E30086">
      <w:pPr>
        <w:spacing w:line="360" w:lineRule="auto"/>
        <w:ind w:firstLine="480"/>
        <w:jc w:val="both"/>
        <w:rPr>
          <w:sz w:val="24"/>
          <w:szCs w:val="24"/>
        </w:rPr>
      </w:pPr>
      <w:r>
        <w:rPr>
          <w:rFonts w:hint="eastAsia" w:ascii="宋体" w:hAnsi="宋体" w:cs="宋体"/>
          <w:sz w:val="24"/>
          <w:szCs w:val="24"/>
        </w:rPr>
        <w:t>磋商小组按照竞争性磋商文件供应商资格要求，对磋商供应商的磋商文件进行初步评审，有一项不符合的，视为未通过初步审查，按废标处理，符合的进入下一评标程序。</w:t>
      </w:r>
    </w:p>
    <w:p w14:paraId="3A5AFC2B">
      <w:pPr>
        <w:spacing w:line="360" w:lineRule="auto"/>
        <w:ind w:firstLine="472" w:firstLineChars="196"/>
        <w:rPr>
          <w:rFonts w:ascii="宋体" w:hAnsi="宋体" w:cs="宋体"/>
          <w:b/>
          <w:sz w:val="24"/>
          <w:szCs w:val="24"/>
        </w:rPr>
      </w:pPr>
      <w:r>
        <w:rPr>
          <w:rFonts w:hint="eastAsia" w:ascii="宋体" w:hAnsi="宋体" w:cs="宋体"/>
          <w:b/>
          <w:sz w:val="24"/>
          <w:szCs w:val="24"/>
        </w:rPr>
        <w:t>3.评标具体方法和标准</w:t>
      </w:r>
    </w:p>
    <w:p w14:paraId="7BFDCF1C">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磋商小组根据评标原则和办法对所有磋商文件进行集中审核，分别评价。</w:t>
      </w:r>
    </w:p>
    <w:p w14:paraId="50B4E3D5">
      <w:pPr>
        <w:spacing w:line="360" w:lineRule="auto"/>
        <w:ind w:firstLine="480"/>
        <w:jc w:val="both"/>
        <w:rPr>
          <w:rFonts w:hint="eastAsia" w:ascii="宋体" w:hAnsi="宋体" w:eastAsia="宋体" w:cs="宋体"/>
          <w:b/>
          <w:bCs/>
          <w:sz w:val="24"/>
          <w:szCs w:val="24"/>
        </w:rPr>
      </w:pPr>
      <w:r>
        <w:rPr>
          <w:rFonts w:hint="eastAsia" w:ascii="宋体" w:hAnsi="宋体" w:eastAsia="宋体" w:cs="宋体"/>
          <w:sz w:val="24"/>
          <w:szCs w:val="24"/>
        </w:rPr>
        <w:t>评审因素：首先应对</w:t>
      </w:r>
      <w:r>
        <w:rPr>
          <w:rFonts w:hint="eastAsia" w:ascii="宋体" w:hAnsi="宋体" w:eastAsia="宋体" w:cs="宋体"/>
          <w:sz w:val="24"/>
          <w:szCs w:val="24"/>
          <w:lang w:eastAsia="zh-CN"/>
        </w:rPr>
        <w:t>响应供应商</w:t>
      </w:r>
      <w:r>
        <w:rPr>
          <w:rFonts w:hint="eastAsia" w:ascii="宋体" w:hAnsi="宋体" w:eastAsia="宋体" w:cs="宋体"/>
          <w:sz w:val="24"/>
          <w:szCs w:val="24"/>
        </w:rPr>
        <w:t>的资格文件进行审查，不能通过初步审查的，其</w:t>
      </w:r>
      <w:r>
        <w:rPr>
          <w:rFonts w:hint="eastAsia" w:ascii="宋体" w:hAnsi="宋体" w:eastAsia="宋体" w:cs="宋体"/>
          <w:sz w:val="24"/>
          <w:szCs w:val="24"/>
          <w:lang w:eastAsia="zh-CN"/>
        </w:rPr>
        <w:t>响应</w:t>
      </w:r>
      <w:r>
        <w:rPr>
          <w:rFonts w:hint="eastAsia" w:ascii="宋体" w:hAnsi="宋体" w:eastAsia="宋体" w:cs="宋体"/>
          <w:sz w:val="24"/>
          <w:szCs w:val="24"/>
        </w:rPr>
        <w:t>文件不再评审，通过初步审查的，其投标进入以下评标程序。</w:t>
      </w:r>
    </w:p>
    <w:p w14:paraId="6FCFB19F">
      <w:pPr>
        <w:spacing w:line="360" w:lineRule="auto"/>
        <w:ind w:firstLine="480"/>
        <w:jc w:val="center"/>
        <w:rPr>
          <w:rFonts w:hint="eastAsia" w:ascii="宋体" w:cs="宋体"/>
          <w:b/>
          <w:bCs/>
          <w:spacing w:val="-4"/>
          <w:sz w:val="24"/>
          <w:szCs w:val="24"/>
        </w:rPr>
      </w:pPr>
      <w:r>
        <w:rPr>
          <w:rFonts w:hint="eastAsia" w:ascii="宋体" w:hAnsi="宋体" w:eastAsia="宋体" w:cs="宋体"/>
          <w:b/>
          <w:bCs/>
          <w:sz w:val="24"/>
          <w:szCs w:val="24"/>
        </w:rPr>
        <w:t>评标办法</w:t>
      </w:r>
      <w:r>
        <w:rPr>
          <w:rFonts w:hint="eastAsia" w:ascii="宋体" w:hAnsi="宋体" w:eastAsia="宋体" w:cs="宋体"/>
          <w:b/>
          <w:bCs/>
          <w:sz w:val="24"/>
          <w:szCs w:val="24"/>
          <w:lang w:eastAsia="zh-CN"/>
        </w:rPr>
        <w:t>（</w:t>
      </w:r>
      <w:r>
        <w:rPr>
          <w:rFonts w:hint="eastAsia" w:ascii="宋体" w:hAnsi="宋体" w:eastAsia="宋体" w:cs="宋体"/>
          <w:b/>
          <w:bCs/>
          <w:sz w:val="24"/>
          <w:szCs w:val="24"/>
        </w:rPr>
        <w:t>综合评分法</w:t>
      </w:r>
      <w:r>
        <w:rPr>
          <w:rFonts w:hint="eastAsia" w:ascii="宋体" w:hAnsi="宋体" w:eastAsia="宋体" w:cs="宋体"/>
          <w:b/>
          <w:bCs/>
          <w:sz w:val="24"/>
          <w:szCs w:val="24"/>
          <w:lang w:eastAsia="zh-CN"/>
        </w:rPr>
        <w:t>）</w:t>
      </w:r>
    </w:p>
    <w:tbl>
      <w:tblPr>
        <w:tblStyle w:val="15"/>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420"/>
        <w:gridCol w:w="7238"/>
      </w:tblGrid>
      <w:tr w14:paraId="15A0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681" w:type="dxa"/>
            <w:gridSpan w:val="2"/>
            <w:tcBorders>
              <w:top w:val="single" w:color="auto" w:sz="4" w:space="0"/>
              <w:left w:val="single" w:color="auto" w:sz="4" w:space="0"/>
              <w:bottom w:val="single" w:color="auto" w:sz="4" w:space="0"/>
              <w:right w:val="single" w:color="auto" w:sz="4" w:space="0"/>
            </w:tcBorders>
            <w:noWrap w:val="0"/>
            <w:vAlign w:val="center"/>
          </w:tcPr>
          <w:p w14:paraId="6D7050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rPr>
            </w:pPr>
            <w:r>
              <w:rPr>
                <w:rFonts w:hint="eastAsia" w:ascii="宋体" w:hAnsi="宋体"/>
                <w:kern w:val="0"/>
                <w:sz w:val="24"/>
                <w:szCs w:val="24"/>
              </w:rPr>
              <w:t>条款内容</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5FC1EB9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kern w:val="0"/>
                <w:sz w:val="24"/>
                <w:szCs w:val="24"/>
              </w:rPr>
            </w:pPr>
            <w:r>
              <w:rPr>
                <w:rFonts w:hint="eastAsia" w:ascii="宋体" w:hAnsi="宋体"/>
                <w:kern w:val="0"/>
                <w:sz w:val="24"/>
                <w:szCs w:val="24"/>
              </w:rPr>
              <w:t>编列内容</w:t>
            </w:r>
          </w:p>
        </w:tc>
      </w:tr>
      <w:tr w14:paraId="247D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681" w:type="dxa"/>
            <w:gridSpan w:val="2"/>
            <w:tcBorders>
              <w:top w:val="single" w:color="auto" w:sz="4" w:space="0"/>
              <w:left w:val="single" w:color="auto" w:sz="4" w:space="0"/>
              <w:bottom w:val="single" w:color="auto" w:sz="4" w:space="0"/>
              <w:right w:val="single" w:color="auto" w:sz="4" w:space="0"/>
            </w:tcBorders>
            <w:noWrap w:val="0"/>
            <w:vAlign w:val="center"/>
          </w:tcPr>
          <w:p w14:paraId="24C2E342">
            <w:pPr>
              <w:spacing w:line="360" w:lineRule="auto"/>
              <w:jc w:val="center"/>
              <w:rPr>
                <w:rFonts w:hint="eastAsia" w:ascii="宋体" w:hAnsi="宋体"/>
                <w:kern w:val="0"/>
                <w:sz w:val="24"/>
                <w:szCs w:val="24"/>
              </w:rPr>
            </w:pPr>
            <w:r>
              <w:rPr>
                <w:rFonts w:hint="eastAsia" w:ascii="宋体" w:hAnsi="宋体"/>
                <w:kern w:val="0"/>
                <w:sz w:val="24"/>
                <w:szCs w:val="24"/>
              </w:rPr>
              <w:t>分值构成</w:t>
            </w:r>
          </w:p>
          <w:p w14:paraId="3240FA34">
            <w:pPr>
              <w:spacing w:line="360" w:lineRule="auto"/>
              <w:jc w:val="center"/>
              <w:rPr>
                <w:rFonts w:hint="eastAsia" w:ascii="宋体" w:hAnsi="宋体"/>
                <w:kern w:val="0"/>
                <w:sz w:val="24"/>
                <w:szCs w:val="24"/>
              </w:rPr>
            </w:pPr>
            <w:r>
              <w:rPr>
                <w:rFonts w:hint="eastAsia" w:ascii="宋体" w:hAnsi="宋体"/>
                <w:kern w:val="0"/>
                <w:sz w:val="24"/>
                <w:szCs w:val="24"/>
              </w:rPr>
              <w:t>（总分100分）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6977C3E4">
            <w:pPr>
              <w:spacing w:line="360" w:lineRule="auto"/>
              <w:jc w:val="center"/>
              <w:rPr>
                <w:rFonts w:hint="eastAsia" w:ascii="宋体" w:hAnsi="宋体"/>
                <w:kern w:val="0"/>
                <w:sz w:val="24"/>
                <w:szCs w:val="24"/>
              </w:rPr>
            </w:pPr>
            <w:r>
              <w:rPr>
                <w:rFonts w:hint="eastAsia" w:ascii="宋体" w:hAnsi="宋体"/>
                <w:kern w:val="0"/>
                <w:sz w:val="24"/>
                <w:szCs w:val="24"/>
              </w:rPr>
              <w:t>报价</w:t>
            </w:r>
            <w:r>
              <w:rPr>
                <w:rFonts w:hint="eastAsia" w:ascii="宋体" w:hAnsi="宋体"/>
                <w:kern w:val="0"/>
                <w:sz w:val="24"/>
                <w:szCs w:val="24"/>
                <w:lang w:val="en-US" w:eastAsia="zh-CN"/>
              </w:rPr>
              <w:t>部分</w:t>
            </w:r>
            <w:r>
              <w:rPr>
                <w:rFonts w:hint="eastAsia" w:ascii="宋体" w:hAnsi="宋体"/>
                <w:kern w:val="0"/>
                <w:sz w:val="24"/>
                <w:szCs w:val="24"/>
              </w:rPr>
              <w:t>：</w:t>
            </w:r>
            <w:r>
              <w:rPr>
                <w:rFonts w:hint="eastAsia" w:ascii="宋体" w:hAnsi="宋体"/>
                <w:kern w:val="0"/>
                <w:sz w:val="24"/>
                <w:szCs w:val="24"/>
                <w:lang w:val="en-US" w:eastAsia="zh-CN"/>
              </w:rPr>
              <w:t>20</w:t>
            </w:r>
            <w:r>
              <w:rPr>
                <w:rFonts w:hint="eastAsia" w:ascii="宋体" w:hAnsi="宋体"/>
                <w:kern w:val="0"/>
                <w:sz w:val="24"/>
                <w:szCs w:val="24"/>
              </w:rPr>
              <w:t>分</w:t>
            </w:r>
          </w:p>
          <w:p w14:paraId="72285FE8">
            <w:pPr>
              <w:spacing w:line="360" w:lineRule="auto"/>
              <w:jc w:val="center"/>
              <w:rPr>
                <w:rFonts w:hint="eastAsia" w:ascii="宋体" w:hAnsi="宋体"/>
                <w:kern w:val="0"/>
                <w:sz w:val="24"/>
                <w:szCs w:val="24"/>
              </w:rPr>
            </w:pPr>
            <w:r>
              <w:rPr>
                <w:rFonts w:hint="eastAsia" w:ascii="宋体" w:hAnsi="宋体"/>
                <w:kern w:val="0"/>
                <w:sz w:val="24"/>
                <w:szCs w:val="24"/>
              </w:rPr>
              <w:t>技术部分：</w:t>
            </w:r>
            <w:r>
              <w:rPr>
                <w:rFonts w:hint="eastAsia" w:ascii="宋体" w:hAnsi="宋体"/>
                <w:kern w:val="0"/>
                <w:sz w:val="24"/>
                <w:szCs w:val="24"/>
                <w:lang w:val="en-US" w:eastAsia="zh-CN"/>
              </w:rPr>
              <w:t>55</w:t>
            </w:r>
            <w:r>
              <w:rPr>
                <w:rFonts w:hint="eastAsia" w:ascii="宋体" w:hAnsi="宋体"/>
                <w:kern w:val="0"/>
                <w:sz w:val="24"/>
                <w:szCs w:val="24"/>
              </w:rPr>
              <w:t>分</w:t>
            </w:r>
          </w:p>
          <w:p w14:paraId="1666F3A5">
            <w:pPr>
              <w:spacing w:line="360" w:lineRule="auto"/>
              <w:jc w:val="center"/>
              <w:rPr>
                <w:rFonts w:hint="eastAsia" w:ascii="宋体" w:hAnsi="宋体"/>
                <w:kern w:val="0"/>
                <w:sz w:val="24"/>
                <w:szCs w:val="24"/>
              </w:rPr>
            </w:pPr>
            <w:r>
              <w:rPr>
                <w:rFonts w:hint="eastAsia" w:ascii="宋体" w:hAnsi="宋体"/>
                <w:kern w:val="0"/>
                <w:sz w:val="24"/>
                <w:szCs w:val="24"/>
                <w:lang w:val="en-US" w:eastAsia="zh-CN"/>
              </w:rPr>
              <w:t>商务</w:t>
            </w:r>
            <w:r>
              <w:rPr>
                <w:rFonts w:hint="eastAsia" w:ascii="宋体" w:hAnsi="宋体"/>
                <w:kern w:val="0"/>
                <w:sz w:val="24"/>
                <w:szCs w:val="24"/>
              </w:rPr>
              <w:t>部分：</w:t>
            </w:r>
            <w:r>
              <w:rPr>
                <w:rFonts w:hint="eastAsia" w:ascii="宋体" w:hAnsi="宋体"/>
                <w:kern w:val="0"/>
                <w:sz w:val="24"/>
                <w:szCs w:val="24"/>
                <w:lang w:val="en-US" w:eastAsia="zh-CN"/>
              </w:rPr>
              <w:t>25</w:t>
            </w:r>
            <w:r>
              <w:rPr>
                <w:rFonts w:hint="eastAsia" w:ascii="宋体" w:hAnsi="宋体"/>
                <w:kern w:val="0"/>
                <w:sz w:val="24"/>
                <w:szCs w:val="24"/>
              </w:rPr>
              <w:t>分</w:t>
            </w:r>
          </w:p>
        </w:tc>
      </w:tr>
      <w:tr w14:paraId="4F4B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center"/>
          </w:tcPr>
          <w:p w14:paraId="1A193FB3">
            <w:pPr>
              <w:spacing w:line="192" w:lineRule="auto"/>
              <w:jc w:val="center"/>
              <w:rPr>
                <w:rFonts w:hint="eastAsia" w:ascii="宋体" w:hAnsi="宋体" w:eastAsia="宋体" w:cs="宋体"/>
                <w:b/>
                <w:bCs/>
                <w:sz w:val="24"/>
                <w:szCs w:val="24"/>
                <w:lang w:eastAsia="zh-CN"/>
              </w:rPr>
            </w:pPr>
            <w:r>
              <w:rPr>
                <w:rFonts w:hint="eastAsia" w:ascii="宋体" w:hAnsi="宋体" w:cs="宋体"/>
                <w:b/>
                <w:bCs/>
                <w:sz w:val="24"/>
                <w:szCs w:val="24"/>
                <w:lang w:eastAsia="zh-CN"/>
              </w:rPr>
              <w:t>评审项</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366526A8">
            <w:pPr>
              <w:spacing w:line="192" w:lineRule="auto"/>
              <w:jc w:val="center"/>
              <w:rPr>
                <w:rFonts w:ascii="宋体" w:hAnsi="宋体" w:cs="宋体"/>
                <w:b/>
                <w:bCs/>
                <w:sz w:val="24"/>
                <w:szCs w:val="24"/>
              </w:rPr>
            </w:pPr>
            <w:r>
              <w:rPr>
                <w:rFonts w:hint="eastAsia" w:ascii="宋体" w:hAnsi="宋体" w:cs="宋体"/>
                <w:b/>
                <w:bCs/>
                <w:sz w:val="24"/>
                <w:szCs w:val="24"/>
              </w:rPr>
              <w:t>编列内容</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339B1210">
            <w:pPr>
              <w:spacing w:line="192" w:lineRule="auto"/>
              <w:ind w:firstLine="542"/>
              <w:jc w:val="center"/>
              <w:rPr>
                <w:rFonts w:ascii="宋体" w:hAnsi="宋体" w:cs="宋体"/>
                <w:b/>
                <w:bCs/>
                <w:sz w:val="24"/>
                <w:szCs w:val="24"/>
              </w:rPr>
            </w:pPr>
            <w:r>
              <w:rPr>
                <w:rFonts w:hint="eastAsia" w:ascii="宋体" w:hAnsi="宋体" w:cs="宋体"/>
                <w:b/>
                <w:bCs/>
                <w:sz w:val="24"/>
                <w:szCs w:val="24"/>
              </w:rPr>
              <w:t>评分标准</w:t>
            </w:r>
          </w:p>
        </w:tc>
      </w:tr>
      <w:tr w14:paraId="0022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center"/>
          </w:tcPr>
          <w:p w14:paraId="0C0E6F75">
            <w:pPr>
              <w:numPr>
                <w:ilvl w:val="0"/>
                <w:numId w:val="0"/>
              </w:numPr>
              <w:spacing w:line="36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报价部分（20分）</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4573DD08">
            <w:pPr>
              <w:numPr>
                <w:ilvl w:val="0"/>
                <w:numId w:val="0"/>
              </w:numPr>
              <w:spacing w:line="36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投标报价</w:t>
            </w:r>
          </w:p>
          <w:p w14:paraId="26BB0809">
            <w:pPr>
              <w:numPr>
                <w:ilvl w:val="0"/>
                <w:numId w:val="0"/>
              </w:numPr>
              <w:spacing w:line="360" w:lineRule="exact"/>
              <w:jc w:val="center"/>
            </w:pPr>
            <w:r>
              <w:rPr>
                <w:rFonts w:hint="eastAsia" w:ascii="宋体" w:hAnsi="宋体" w:eastAsia="宋体" w:cs="宋体"/>
                <w:color w:val="auto"/>
                <w:sz w:val="24"/>
                <w:szCs w:val="24"/>
                <w:lang w:val="en-US" w:eastAsia="zh-CN"/>
              </w:rPr>
              <w:t>（20分）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16403EF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en-US" w:eastAsia="zh-CN"/>
              </w:rPr>
              <w:t>价格分采用低价优先法计算，即满足竞争性磋商文件要求通过初步评审且最终投标价格最低的投标报价为评标基准价，其价格得分为满分20分。</w:t>
            </w:r>
          </w:p>
          <w:p w14:paraId="03794C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2、其他响应人的价格分统一按照下列公式计算：</w:t>
            </w:r>
          </w:p>
          <w:p w14:paraId="3B5864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投标报价得分=(评标基准价／投标报价)*20%*100</w:t>
            </w:r>
          </w:p>
          <w:p w14:paraId="0A1A6D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价格分计算保留小数点后二位。在评标过程中，磋商小组认为供应商的报价明显低于成本价或明显低于其他通过初步审查供应商的报价，有可能影响产品质量或者不能诚信履约的，磋商小组可向该供应商提出询问，要求其在评标现场合理的时间内提供书面说明，必要时提交相关证明材料；供应商不能证明其报价合理性及不能提供相关证明材料的，磋商小组认定该供应商以低于成本价恶意竞标，其投标做废标处理。</w:t>
            </w:r>
          </w:p>
        </w:tc>
      </w:tr>
      <w:tr w14:paraId="2107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restart"/>
            <w:tcBorders>
              <w:left w:val="single" w:color="auto" w:sz="4" w:space="0"/>
              <w:right w:val="single" w:color="auto" w:sz="4" w:space="0"/>
            </w:tcBorders>
            <w:noWrap w:val="0"/>
            <w:vAlign w:val="center"/>
          </w:tcPr>
          <w:p w14:paraId="5B337A37">
            <w:pPr>
              <w:spacing w:line="360" w:lineRule="auto"/>
              <w:jc w:val="center"/>
              <w:rPr>
                <w:rFonts w:hint="eastAsia" w:ascii="宋体" w:hAnsi="宋体"/>
                <w:kern w:val="0"/>
                <w:sz w:val="24"/>
                <w:szCs w:val="24"/>
              </w:rPr>
            </w:pPr>
            <w:r>
              <w:rPr>
                <w:rFonts w:hint="eastAsia" w:ascii="宋体" w:hAnsi="宋体"/>
                <w:kern w:val="0"/>
                <w:sz w:val="24"/>
                <w:szCs w:val="24"/>
              </w:rPr>
              <w:t>技术部分（</w:t>
            </w:r>
            <w:r>
              <w:rPr>
                <w:rFonts w:hint="eastAsia" w:ascii="宋体" w:hAnsi="宋体"/>
                <w:kern w:val="0"/>
                <w:sz w:val="24"/>
                <w:szCs w:val="24"/>
                <w:lang w:val="en-US" w:eastAsia="zh-CN"/>
              </w:rPr>
              <w:t>55</w:t>
            </w:r>
            <w:r>
              <w:rPr>
                <w:rFonts w:hint="eastAsia" w:ascii="宋体" w:hAnsi="宋体"/>
                <w:kern w:val="0"/>
                <w:sz w:val="24"/>
                <w:szCs w:val="24"/>
              </w:rPr>
              <w:t>分）</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70839B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highlight w:val="yellow"/>
                <w:lang w:val="en-US" w:eastAsia="zh-CN" w:bidi="ar-SA"/>
              </w:rPr>
            </w:pPr>
            <w:r>
              <w:rPr>
                <w:rFonts w:hint="eastAsia" w:ascii="宋体" w:hAnsi="宋体" w:eastAsia="宋体" w:cs="宋体"/>
                <w:sz w:val="24"/>
                <w:szCs w:val="24"/>
                <w:lang w:val="en-US" w:eastAsia="zh-CN" w:bidi="ar-SA"/>
              </w:rPr>
              <w:t>服务方案（15分）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319401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根据本项目特点制定服务方案，包括但不仅限于：养护环境的现状分析、植物养护主要内容、园林设施以及灌溉与照明系统维护、卫生保洁、保护巡查、日常管护工作安排等：</w:t>
            </w:r>
          </w:p>
          <w:p w14:paraId="0E48F8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1、服务方案逻辑清晰，对各环节步骤描述详细完善，方案内容合理全面，实用性和可行性高，完全满足项目需求，得15分；</w:t>
            </w:r>
          </w:p>
          <w:p w14:paraId="22525D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2、服务方案逻辑基本清晰，对各环节步骤描述大致详细、无明显纰漏，方案内容大致合理、但局部细节需完善，具有一定的实用性和可行性，基本满足项目需求，得11分；</w:t>
            </w:r>
          </w:p>
          <w:p w14:paraId="3A5B837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3、服务方案逻辑不够清晰，对各环节步骤描述不够详细，方案内容尚且合理、但局部细节略有不足，实用性和可行性有限，勉强满足项目需求，得7分；</w:t>
            </w:r>
          </w:p>
          <w:p w14:paraId="572B99A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4、服务方案逻辑混乱，对各环节步骤描述简略，方案内容片面、不合理，不实用且可行性较差，不能满足项目需求，得3分；</w:t>
            </w:r>
          </w:p>
          <w:p w14:paraId="1EEE77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highlight w:val="yellow"/>
                <w:lang w:val="en-US" w:eastAsia="zh-CN" w:bidi="ar-SA"/>
              </w:rPr>
            </w:pPr>
            <w:r>
              <w:rPr>
                <w:rFonts w:hint="eastAsia" w:ascii="宋体" w:hAnsi="宋体" w:eastAsia="宋体" w:cs="宋体"/>
                <w:sz w:val="24"/>
                <w:szCs w:val="24"/>
                <w:lang w:val="en-US" w:eastAsia="zh-CN" w:bidi="ar-SA"/>
              </w:rPr>
              <w:t>5、不提供则不得分。</w:t>
            </w:r>
          </w:p>
        </w:tc>
      </w:tr>
      <w:tr w14:paraId="5C27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7A0ACE46">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22F284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季度工作</w:t>
            </w:r>
          </w:p>
          <w:p w14:paraId="32FB1F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重点</w:t>
            </w:r>
          </w:p>
          <w:p w14:paraId="39E598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（7分）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449187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根据不同植物生长周期、生长习性、季节变化、土壤墒情以及病虫害防治等方面，制定季度工作重点及管护措施：</w:t>
            </w:r>
          </w:p>
          <w:p w14:paraId="1FC040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1、对本项目季度工作重点分析全面详尽，管护措施科学合理、非常切合实际、可行性高，得7分；</w:t>
            </w:r>
          </w:p>
          <w:p w14:paraId="6C0900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2、对本项目季度工作重点分析基本全面，管护措施大致合理、但细节待优化，较为切合实际、</w:t>
            </w:r>
            <w:r>
              <w:rPr>
                <w:rFonts w:hint="eastAsia" w:ascii="宋体" w:hAnsi="宋体" w:eastAsia="宋体" w:cs="宋体"/>
                <w:sz w:val="24"/>
                <w:szCs w:val="24"/>
                <w:lang w:val="en-US" w:eastAsia="zh-CN"/>
              </w:rPr>
              <w:t>具备一定的可行性</w:t>
            </w:r>
            <w:r>
              <w:rPr>
                <w:rFonts w:hint="eastAsia" w:ascii="宋体" w:hAnsi="宋体" w:eastAsia="宋体" w:cs="宋体"/>
                <w:sz w:val="24"/>
                <w:szCs w:val="24"/>
                <w:lang w:val="en-US" w:eastAsia="zh-CN" w:bidi="ar-SA"/>
              </w:rPr>
              <w:t>，得5分；</w:t>
            </w:r>
          </w:p>
          <w:p w14:paraId="6E8C5C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3、对本项目季度工作重点分析不够全面，管护措施尚且合理、但细节不到位，勉强切合实际、但</w:t>
            </w:r>
            <w:r>
              <w:rPr>
                <w:rFonts w:hint="eastAsia" w:ascii="宋体" w:hAnsi="宋体" w:eastAsia="宋体" w:cs="宋体"/>
                <w:sz w:val="24"/>
                <w:szCs w:val="24"/>
                <w:lang w:val="en-US" w:eastAsia="zh-CN"/>
              </w:rPr>
              <w:t>可行程度有限</w:t>
            </w:r>
            <w:r>
              <w:rPr>
                <w:rFonts w:hint="eastAsia" w:ascii="宋体" w:hAnsi="宋体" w:eastAsia="宋体" w:cs="宋体"/>
                <w:sz w:val="24"/>
                <w:szCs w:val="24"/>
                <w:lang w:val="en-US" w:eastAsia="zh-CN" w:bidi="ar-SA"/>
              </w:rPr>
              <w:t>，得3分；</w:t>
            </w:r>
          </w:p>
          <w:p w14:paraId="126008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4、对本项目季度工作重点分析片面粗略，管护措施不合理、不切实际、不具备可行性，得1分；</w:t>
            </w:r>
          </w:p>
          <w:p w14:paraId="08EA2B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5、不提供则不得分。</w:t>
            </w:r>
          </w:p>
        </w:tc>
      </w:tr>
      <w:tr w14:paraId="0AC3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7F6C7FE2">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0D1002E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人员配备</w:t>
            </w:r>
          </w:p>
          <w:p w14:paraId="4C1E69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(7分)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6EF16F6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1、人员投入充足、配备非常合理、</w:t>
            </w:r>
            <w:r>
              <w:rPr>
                <w:rFonts w:hint="eastAsia" w:ascii="宋体" w:hAnsi="宋体"/>
                <w:sz w:val="24"/>
                <w:highlight w:val="none"/>
              </w:rPr>
              <w:t>职责</w:t>
            </w:r>
            <w:r>
              <w:rPr>
                <w:rFonts w:hint="eastAsia" w:ascii="宋体" w:hAnsi="宋体" w:eastAsia="宋体" w:cs="宋体"/>
                <w:sz w:val="24"/>
                <w:szCs w:val="24"/>
                <w:highlight w:val="none"/>
                <w:lang w:val="en-US" w:eastAsia="zh-CN" w:bidi="ar-SA"/>
              </w:rPr>
              <w:t>分工明确到位，完全符合养护需求，得7分；</w:t>
            </w:r>
          </w:p>
          <w:p w14:paraId="223D697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2、人员投入够用、配备大致合理、</w:t>
            </w:r>
            <w:r>
              <w:rPr>
                <w:rFonts w:hint="eastAsia" w:ascii="宋体" w:hAnsi="宋体"/>
                <w:sz w:val="24"/>
                <w:highlight w:val="none"/>
              </w:rPr>
              <w:t>职责</w:t>
            </w:r>
            <w:r>
              <w:rPr>
                <w:rFonts w:hint="eastAsia" w:ascii="宋体" w:hAnsi="宋体" w:eastAsia="宋体" w:cs="宋体"/>
                <w:sz w:val="24"/>
                <w:szCs w:val="24"/>
                <w:highlight w:val="none"/>
                <w:lang w:val="en-US" w:eastAsia="zh-CN" w:bidi="ar-SA"/>
              </w:rPr>
              <w:t>分工尚可，大致符合养护需求，得5分；</w:t>
            </w:r>
          </w:p>
          <w:p w14:paraId="2365F20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3、人员投入勉强够用、配备略有不合理、</w:t>
            </w:r>
            <w:r>
              <w:rPr>
                <w:rFonts w:hint="eastAsia" w:ascii="宋体" w:hAnsi="宋体"/>
                <w:sz w:val="24"/>
                <w:highlight w:val="none"/>
              </w:rPr>
              <w:t>职责</w:t>
            </w:r>
            <w:r>
              <w:rPr>
                <w:rFonts w:hint="eastAsia" w:ascii="宋体" w:hAnsi="宋体" w:eastAsia="宋体" w:cs="宋体"/>
                <w:sz w:val="24"/>
                <w:szCs w:val="24"/>
                <w:highlight w:val="none"/>
                <w:lang w:val="en-US" w:eastAsia="zh-CN" w:bidi="ar-SA"/>
              </w:rPr>
              <w:t>分工局部安排不到位，仅符合基础养护需求，得3分；</w:t>
            </w:r>
          </w:p>
          <w:p w14:paraId="78D8558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4、人员投入不足、配备不合理、</w:t>
            </w:r>
            <w:r>
              <w:rPr>
                <w:rFonts w:hint="eastAsia" w:ascii="宋体" w:hAnsi="宋体"/>
                <w:sz w:val="24"/>
                <w:highlight w:val="none"/>
              </w:rPr>
              <w:t>职责</w:t>
            </w:r>
            <w:r>
              <w:rPr>
                <w:rFonts w:hint="eastAsia" w:ascii="宋体" w:hAnsi="宋体" w:eastAsia="宋体" w:cs="宋体"/>
                <w:sz w:val="24"/>
                <w:szCs w:val="24"/>
                <w:highlight w:val="none"/>
                <w:lang w:val="en-US" w:eastAsia="zh-CN" w:bidi="ar-SA"/>
              </w:rPr>
              <w:t>分工模糊不清、不能满足基础养护需求，得1分；</w:t>
            </w:r>
          </w:p>
          <w:p w14:paraId="2FF41B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5、不提供则不得分。</w:t>
            </w:r>
          </w:p>
        </w:tc>
      </w:tr>
      <w:tr w14:paraId="45CE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328D1D3A">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132506">
            <w:pPr>
              <w:pageBreakBefore w:val="0"/>
              <w:widowControl/>
              <w:kinsoku/>
              <w:wordWrap/>
              <w:overflowPunct/>
              <w:topLinePunct w:val="0"/>
              <w:bidi w:val="0"/>
              <w:snapToGrid/>
              <w:spacing w:line="5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rPr>
              <w:t>管理</w:t>
            </w:r>
            <w:r>
              <w:rPr>
                <w:rFonts w:hint="eastAsia" w:ascii="宋体" w:hAnsi="宋体" w:eastAsia="宋体" w:cs="宋体"/>
                <w:sz w:val="24"/>
                <w:szCs w:val="24"/>
                <w:lang w:val="en-US" w:eastAsia="zh-CN"/>
              </w:rPr>
              <w:t>制度</w:t>
            </w:r>
          </w:p>
          <w:p w14:paraId="32663A2D">
            <w:pPr>
              <w:pageBreakBefore w:val="0"/>
              <w:widowControl/>
              <w:kinsoku/>
              <w:wordWrap/>
              <w:overflowPunct/>
              <w:topLinePunct w:val="0"/>
              <w:bidi w:val="0"/>
              <w:snapToGrid/>
              <w:spacing w:line="500" w:lineRule="exact"/>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tc>
        <w:tc>
          <w:tcPr>
            <w:tcW w:w="72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28222E">
            <w:pPr>
              <w:pageBreakBefore w:val="0"/>
              <w:widowControl/>
              <w:numPr>
                <w:ilvl w:val="0"/>
                <w:numId w:val="1"/>
              </w:numPr>
              <w:kinsoku/>
              <w:wordWrap/>
              <w:overflowPunct/>
              <w:topLinePunct w:val="0"/>
              <w:bidi w:val="0"/>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管理得当，养护管理制度健全规范，能够建立内容完善的工作台账，得6分；</w:t>
            </w:r>
          </w:p>
          <w:p w14:paraId="13171E0E">
            <w:pPr>
              <w:pageBreakBefore w:val="0"/>
              <w:widowControl/>
              <w:numPr>
                <w:ilvl w:val="0"/>
                <w:numId w:val="1"/>
              </w:numPr>
              <w:kinsoku/>
              <w:wordWrap/>
              <w:overflowPunct/>
              <w:topLinePunct w:val="0"/>
              <w:bidi w:val="0"/>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管理尚可，养护管理制度基本健全、大致合规，有工作台账但不够完善，得4.5分；</w:t>
            </w:r>
          </w:p>
          <w:p w14:paraId="7352B32E">
            <w:pPr>
              <w:pageBreakBefore w:val="0"/>
              <w:widowControl/>
              <w:numPr>
                <w:ilvl w:val="0"/>
                <w:numId w:val="1"/>
              </w:numPr>
              <w:kinsoku/>
              <w:wordWrap/>
              <w:overflowPunct/>
              <w:topLinePunct w:val="0"/>
              <w:bidi w:val="0"/>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管理存在缺陷，养护管理制度不够健全、需完善的地方较多、勉强合规，工作台账初步建立但不够完善，得3分；</w:t>
            </w:r>
          </w:p>
          <w:p w14:paraId="25EF4ECA">
            <w:pPr>
              <w:pageBreakBefore w:val="0"/>
              <w:widowControl/>
              <w:numPr>
                <w:ilvl w:val="0"/>
                <w:numId w:val="1"/>
              </w:numPr>
              <w:kinsoku/>
              <w:wordWrap/>
              <w:overflowPunct/>
              <w:topLinePunct w:val="0"/>
              <w:bidi w:val="0"/>
              <w:snapToGrid/>
              <w:spacing w:line="5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管理不当，养护管理制度不健全、不规范，无工作台账，得1.5分；</w:t>
            </w:r>
          </w:p>
          <w:p w14:paraId="61E9801F">
            <w:pPr>
              <w:pageBreakBefore w:val="0"/>
              <w:widowControl/>
              <w:numPr>
                <w:ilvl w:val="0"/>
                <w:numId w:val="0"/>
              </w:numPr>
              <w:kinsoku/>
              <w:wordWrap/>
              <w:overflowPunct/>
              <w:topLinePunct w:val="0"/>
              <w:bidi w:val="0"/>
              <w:snapToGrid/>
              <w:spacing w:line="500" w:lineRule="exact"/>
              <w:ind w:left="0" w:leftChars="0" w:firstLine="0" w:firstLine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val="en-US" w:eastAsia="zh-CN"/>
              </w:rPr>
              <w:t>5、不提供则不得分。</w:t>
            </w:r>
          </w:p>
        </w:tc>
      </w:tr>
      <w:tr w14:paraId="04F3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02DF91BB">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071C59F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机械设备、工具配置</w:t>
            </w:r>
          </w:p>
          <w:p w14:paraId="27A53A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lang w:val="en-US" w:eastAsia="zh-CN" w:bidi="ar-SA"/>
              </w:rPr>
              <w:t>（6分）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4E76C59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1、拟投入的所有机械设备、工具等，配置完备齐全、合理妥当，完全满足养护需求，得6分；</w:t>
            </w:r>
          </w:p>
          <w:p w14:paraId="0C31F9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2、拟投入的主要机械设备、工具等，配置大致齐全、基本合理，基本满足养护需求，得4.5分；</w:t>
            </w:r>
          </w:p>
          <w:p w14:paraId="59BEA9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3、拟投入的主要机械设备、工具等，配置略微不全、不够合理，勉强满足</w:t>
            </w:r>
            <w:r>
              <w:rPr>
                <w:rFonts w:hint="eastAsia" w:ascii="宋体" w:hAnsi="宋体" w:eastAsia="宋体" w:cs="宋体"/>
                <w:sz w:val="24"/>
                <w:szCs w:val="24"/>
                <w:highlight w:val="none"/>
                <w:lang w:val="en-US" w:eastAsia="zh-CN" w:bidi="ar-SA"/>
              </w:rPr>
              <w:t>基础</w:t>
            </w:r>
            <w:r>
              <w:rPr>
                <w:rFonts w:hint="eastAsia" w:ascii="宋体" w:hAnsi="宋体" w:eastAsia="宋体" w:cs="宋体"/>
                <w:sz w:val="24"/>
                <w:szCs w:val="24"/>
                <w:lang w:val="en-US" w:eastAsia="zh-CN" w:bidi="ar-SA"/>
              </w:rPr>
              <w:t>养护需求，得3分；</w:t>
            </w:r>
          </w:p>
          <w:p w14:paraId="59AD098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4、拟投入的主要机械设备、工具等，配置不齐全、不合理，不能满足</w:t>
            </w:r>
            <w:r>
              <w:rPr>
                <w:rFonts w:hint="eastAsia" w:ascii="宋体" w:hAnsi="宋体" w:eastAsia="宋体" w:cs="宋体"/>
                <w:sz w:val="24"/>
                <w:szCs w:val="24"/>
                <w:highlight w:val="none"/>
                <w:lang w:val="en-US" w:eastAsia="zh-CN" w:bidi="ar-SA"/>
              </w:rPr>
              <w:t>基础</w:t>
            </w:r>
            <w:r>
              <w:rPr>
                <w:rFonts w:hint="eastAsia" w:ascii="宋体" w:hAnsi="宋体" w:eastAsia="宋体" w:cs="宋体"/>
                <w:sz w:val="24"/>
                <w:szCs w:val="24"/>
                <w:lang w:val="en-US" w:eastAsia="zh-CN" w:bidi="ar-SA"/>
              </w:rPr>
              <w:t>养护需求，得1.5分；</w:t>
            </w:r>
          </w:p>
          <w:p w14:paraId="04AAB1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lang w:val="en-US" w:eastAsia="zh-CN" w:bidi="ar-SA"/>
              </w:rPr>
              <w:t>5、不提供则不得分。</w:t>
            </w:r>
          </w:p>
        </w:tc>
      </w:tr>
      <w:tr w14:paraId="2892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3678815D">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FFBEF4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服务质量保障措施</w:t>
            </w:r>
          </w:p>
          <w:p w14:paraId="58ABF5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(7分)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6FEF59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1、服务质量保障措施全面完善、</w:t>
            </w:r>
            <w:r>
              <w:rPr>
                <w:rFonts w:hint="eastAsia" w:ascii="宋体" w:hAnsi="宋体" w:eastAsia="宋体" w:cs="宋体"/>
                <w:sz w:val="24"/>
                <w:szCs w:val="24"/>
                <w:highlight w:val="none"/>
                <w:lang w:val="en-US" w:eastAsia="zh-CN"/>
              </w:rPr>
              <w:t>严谨高效、</w:t>
            </w:r>
            <w:r>
              <w:rPr>
                <w:rFonts w:hint="eastAsia" w:ascii="宋体" w:hAnsi="宋体" w:eastAsia="宋体" w:cs="宋体"/>
                <w:sz w:val="24"/>
                <w:szCs w:val="24"/>
                <w:highlight w:val="none"/>
                <w:lang w:val="en-US" w:eastAsia="zh-CN" w:bidi="ar-SA"/>
              </w:rPr>
              <w:t>可行性高，完全符合本项目相关标准和技术要求，得7分；</w:t>
            </w:r>
          </w:p>
          <w:p w14:paraId="2FB70C4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2、服务质量保障措施大致全面、</w:t>
            </w:r>
            <w:r>
              <w:rPr>
                <w:rFonts w:hint="eastAsia" w:ascii="宋体" w:hAnsi="宋体" w:eastAsia="宋体" w:cs="宋体"/>
                <w:sz w:val="24"/>
                <w:szCs w:val="24"/>
                <w:lang w:val="en-US" w:eastAsia="zh-CN" w:bidi="ar-SA"/>
              </w:rPr>
              <w:t>无明显纰漏</w:t>
            </w:r>
            <w:r>
              <w:rPr>
                <w:rFonts w:hint="eastAsia" w:ascii="宋体" w:hAnsi="宋体" w:eastAsia="宋体" w:cs="宋体"/>
                <w:sz w:val="24"/>
                <w:szCs w:val="24"/>
                <w:highlight w:val="none"/>
                <w:lang w:val="en-US" w:eastAsia="zh-CN" w:bidi="ar-SA"/>
              </w:rPr>
              <w:t>，</w:t>
            </w:r>
            <w:r>
              <w:rPr>
                <w:rFonts w:hint="eastAsia" w:ascii="宋体" w:hAnsi="宋体" w:eastAsia="宋体" w:cs="宋体"/>
                <w:sz w:val="24"/>
                <w:szCs w:val="24"/>
                <w:highlight w:val="none"/>
                <w:lang w:val="en-US" w:eastAsia="zh-CN"/>
              </w:rPr>
              <w:t>效率尚可、具备一定的可行性</w:t>
            </w:r>
            <w:r>
              <w:rPr>
                <w:rFonts w:hint="eastAsia" w:ascii="宋体" w:hAnsi="宋体" w:eastAsia="宋体" w:cs="宋体"/>
                <w:sz w:val="24"/>
                <w:szCs w:val="24"/>
                <w:highlight w:val="none"/>
                <w:lang w:val="en-US" w:eastAsia="zh-CN" w:bidi="ar-SA"/>
              </w:rPr>
              <w:t>，大致符合本项目相关标准和技术要求，得5分；</w:t>
            </w:r>
          </w:p>
          <w:p w14:paraId="24E77A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3、服务质量保障措施不够全面、</w:t>
            </w:r>
            <w:r>
              <w:rPr>
                <w:rFonts w:hint="eastAsia" w:ascii="宋体" w:hAnsi="宋体" w:eastAsia="宋体" w:cs="宋体"/>
                <w:sz w:val="24"/>
                <w:szCs w:val="24"/>
                <w:lang w:val="en-US" w:eastAsia="zh-CN"/>
              </w:rPr>
              <w:t>需完善的地方较多</w:t>
            </w:r>
            <w:r>
              <w:rPr>
                <w:rFonts w:hint="eastAsia" w:ascii="宋体" w:hAnsi="宋体" w:eastAsia="宋体" w:cs="宋体"/>
                <w:sz w:val="24"/>
                <w:szCs w:val="24"/>
                <w:highlight w:val="none"/>
                <w:lang w:val="en-US" w:eastAsia="zh-CN" w:bidi="ar-SA"/>
              </w:rPr>
              <w:t>，</w:t>
            </w:r>
            <w:r>
              <w:rPr>
                <w:rFonts w:hint="eastAsia" w:ascii="宋体" w:hAnsi="宋体" w:eastAsia="宋体" w:cs="宋体"/>
                <w:sz w:val="24"/>
                <w:szCs w:val="24"/>
                <w:highlight w:val="none"/>
                <w:lang w:val="en-US" w:eastAsia="zh-CN"/>
              </w:rPr>
              <w:t>效率欠佳、可行性有限</w:t>
            </w:r>
            <w:r>
              <w:rPr>
                <w:rFonts w:hint="eastAsia" w:ascii="宋体" w:hAnsi="宋体" w:eastAsia="宋体" w:cs="宋体"/>
                <w:sz w:val="24"/>
                <w:szCs w:val="24"/>
                <w:highlight w:val="none"/>
                <w:lang w:val="en-US" w:eastAsia="zh-CN" w:bidi="ar-SA"/>
              </w:rPr>
              <w:t>，勉强符合本项目相关标准和技术要求，得3分；</w:t>
            </w:r>
          </w:p>
          <w:p w14:paraId="79E4906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4、服务质量保障措施不全面、</w:t>
            </w:r>
            <w:r>
              <w:rPr>
                <w:rFonts w:hint="eastAsia" w:ascii="宋体" w:hAnsi="宋体" w:eastAsia="宋体" w:cs="宋体"/>
                <w:sz w:val="24"/>
                <w:szCs w:val="24"/>
                <w:highlight w:val="none"/>
                <w:lang w:val="en-US" w:eastAsia="zh-CN"/>
              </w:rPr>
              <w:t>不严谨且低效、</w:t>
            </w:r>
            <w:r>
              <w:rPr>
                <w:rFonts w:hint="eastAsia" w:ascii="宋体" w:hAnsi="宋体" w:eastAsia="宋体" w:cs="宋体"/>
                <w:sz w:val="24"/>
                <w:szCs w:val="24"/>
                <w:highlight w:val="none"/>
                <w:lang w:val="en-US" w:eastAsia="zh-CN" w:bidi="ar-SA"/>
              </w:rPr>
              <w:t>可行性较差，不符合本项目相关标准和技术要求，得1分；</w:t>
            </w:r>
          </w:p>
          <w:p w14:paraId="6BED5C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5、不提供则不得分。</w:t>
            </w:r>
          </w:p>
        </w:tc>
      </w:tr>
      <w:tr w14:paraId="1F17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329C9EFF">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9C1A3D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应急预案及处置措施</w:t>
            </w:r>
          </w:p>
          <w:p w14:paraId="298490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（7分）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3A43736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提供关于突发事件（极端天气、火灾、病虫害爆发、绿地内有节假日或大型活动等）应急预案及处置措施：</w:t>
            </w:r>
          </w:p>
          <w:p w14:paraId="6E22000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en-US" w:eastAsia="zh-CN"/>
              </w:rPr>
              <w:t>应急预案</w:t>
            </w:r>
            <w:r>
              <w:rPr>
                <w:rFonts w:hint="eastAsia" w:ascii="宋体" w:hAnsi="宋体" w:eastAsia="宋体" w:cs="宋体"/>
                <w:sz w:val="24"/>
                <w:szCs w:val="24"/>
                <w:lang w:val="en-US" w:eastAsia="zh-CN" w:bidi="ar-SA"/>
              </w:rPr>
              <w:t>全面详尽，</w:t>
            </w:r>
            <w:r>
              <w:rPr>
                <w:rFonts w:hint="eastAsia" w:ascii="宋体" w:hAnsi="宋体" w:eastAsia="宋体" w:cs="宋体"/>
                <w:sz w:val="24"/>
                <w:szCs w:val="24"/>
                <w:lang w:val="en-US" w:eastAsia="zh-CN"/>
              </w:rPr>
              <w:t>处置措施</w:t>
            </w:r>
            <w:r>
              <w:rPr>
                <w:rFonts w:hint="eastAsia" w:ascii="宋体" w:hAnsi="宋体" w:eastAsia="宋体" w:cs="宋体"/>
                <w:sz w:val="24"/>
                <w:szCs w:val="24"/>
                <w:lang w:val="en-US" w:eastAsia="zh-CN" w:bidi="ar-SA"/>
              </w:rPr>
              <w:t xml:space="preserve">针对性强、科学合理、可操作性高，得7分； </w:t>
            </w:r>
          </w:p>
          <w:p w14:paraId="15044B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w:t>
            </w:r>
            <w:r>
              <w:rPr>
                <w:rFonts w:hint="eastAsia" w:ascii="宋体" w:hAnsi="宋体" w:eastAsia="宋体" w:cs="宋体"/>
                <w:sz w:val="24"/>
                <w:szCs w:val="24"/>
                <w:lang w:val="en-US" w:eastAsia="zh-CN"/>
              </w:rPr>
              <w:t>应急预案</w:t>
            </w:r>
            <w:r>
              <w:rPr>
                <w:rFonts w:hint="eastAsia" w:ascii="宋体" w:hAnsi="宋体" w:eastAsia="宋体" w:cs="宋体"/>
                <w:sz w:val="24"/>
                <w:szCs w:val="24"/>
                <w:lang w:val="en-US" w:eastAsia="zh-CN" w:bidi="ar-SA"/>
              </w:rPr>
              <w:t>基本全面</w:t>
            </w:r>
            <w:r>
              <w:rPr>
                <w:rFonts w:hint="eastAsia" w:ascii="宋体" w:hAnsi="宋体" w:eastAsia="宋体" w:cs="宋体"/>
                <w:sz w:val="24"/>
                <w:szCs w:val="24"/>
                <w:highlight w:val="none"/>
                <w:lang w:val="en-US" w:eastAsia="zh-CN" w:bidi="ar-SA"/>
              </w:rPr>
              <w:t>、</w:t>
            </w:r>
            <w:r>
              <w:rPr>
                <w:rFonts w:hint="eastAsia" w:ascii="宋体" w:hAnsi="宋体" w:eastAsia="宋体" w:cs="宋体"/>
                <w:sz w:val="24"/>
                <w:szCs w:val="24"/>
                <w:lang w:val="en-US" w:eastAsia="zh-CN" w:bidi="ar-SA"/>
              </w:rPr>
              <w:t>无明显纰漏，</w:t>
            </w:r>
            <w:r>
              <w:rPr>
                <w:rFonts w:hint="eastAsia" w:ascii="宋体" w:hAnsi="宋体" w:eastAsia="宋体" w:cs="宋体"/>
                <w:sz w:val="24"/>
                <w:szCs w:val="24"/>
                <w:lang w:val="en-US" w:eastAsia="zh-CN"/>
              </w:rPr>
              <w:t>处置措施</w:t>
            </w:r>
            <w:r>
              <w:rPr>
                <w:rFonts w:hint="eastAsia" w:ascii="宋体" w:hAnsi="宋体" w:eastAsia="宋体" w:cs="宋体"/>
                <w:sz w:val="24"/>
                <w:szCs w:val="24"/>
                <w:lang w:val="en-US" w:eastAsia="zh-CN" w:bidi="ar-SA"/>
              </w:rPr>
              <w:t xml:space="preserve">具有一定针对性、大致合理、具有基本的可操作性，得5分； </w:t>
            </w:r>
          </w:p>
          <w:p w14:paraId="278950E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w:t>
            </w:r>
            <w:r>
              <w:rPr>
                <w:rFonts w:hint="eastAsia" w:ascii="宋体" w:hAnsi="宋体" w:eastAsia="宋体" w:cs="宋体"/>
                <w:sz w:val="24"/>
                <w:szCs w:val="24"/>
                <w:lang w:val="en-US" w:eastAsia="zh-CN"/>
              </w:rPr>
              <w:t>应急预案</w:t>
            </w:r>
            <w:r>
              <w:rPr>
                <w:rFonts w:hint="eastAsia" w:ascii="宋体" w:hAnsi="宋体" w:eastAsia="宋体" w:cs="宋体"/>
                <w:sz w:val="24"/>
                <w:szCs w:val="24"/>
                <w:lang w:val="en-US" w:eastAsia="zh-CN" w:bidi="ar-SA"/>
              </w:rPr>
              <w:t>不够全面、</w:t>
            </w:r>
            <w:r>
              <w:rPr>
                <w:rFonts w:hint="eastAsia" w:ascii="宋体" w:hAnsi="宋体" w:eastAsia="宋体" w:cs="宋体"/>
                <w:sz w:val="24"/>
                <w:szCs w:val="24"/>
                <w:lang w:val="en-US" w:eastAsia="zh-CN"/>
              </w:rPr>
              <w:t>需完善的地方较多</w:t>
            </w:r>
            <w:r>
              <w:rPr>
                <w:rFonts w:hint="eastAsia" w:ascii="宋体" w:hAnsi="宋体" w:eastAsia="宋体" w:cs="宋体"/>
                <w:sz w:val="24"/>
                <w:szCs w:val="24"/>
                <w:lang w:val="en-US" w:eastAsia="zh-CN" w:bidi="ar-SA"/>
              </w:rPr>
              <w:t>，</w:t>
            </w:r>
            <w:r>
              <w:rPr>
                <w:rFonts w:hint="eastAsia" w:ascii="宋体" w:hAnsi="宋体" w:eastAsia="宋体" w:cs="宋体"/>
                <w:sz w:val="24"/>
                <w:szCs w:val="24"/>
                <w:lang w:val="en-US" w:eastAsia="zh-CN"/>
              </w:rPr>
              <w:t>处置措施</w:t>
            </w:r>
            <w:r>
              <w:rPr>
                <w:rFonts w:hint="eastAsia" w:ascii="宋体" w:hAnsi="宋体" w:eastAsia="宋体" w:cs="宋体"/>
                <w:sz w:val="24"/>
                <w:szCs w:val="24"/>
                <w:lang w:val="en-US" w:eastAsia="zh-CN" w:bidi="ar-SA"/>
              </w:rPr>
              <w:t xml:space="preserve">针对性不足、不够合理、可操作性有限，得3分； </w:t>
            </w:r>
          </w:p>
          <w:p w14:paraId="1E729F5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w:t>
            </w:r>
            <w:r>
              <w:rPr>
                <w:rFonts w:hint="eastAsia" w:ascii="宋体" w:hAnsi="宋体" w:eastAsia="宋体" w:cs="宋体"/>
                <w:sz w:val="24"/>
                <w:szCs w:val="24"/>
                <w:lang w:val="en-US" w:eastAsia="zh-CN"/>
              </w:rPr>
              <w:t>应急预案不全面，处置措施不具有针对性、不合理、不具备可操作性</w:t>
            </w:r>
            <w:r>
              <w:rPr>
                <w:rFonts w:hint="eastAsia" w:ascii="宋体" w:hAnsi="宋体" w:eastAsia="宋体" w:cs="宋体"/>
                <w:sz w:val="24"/>
                <w:szCs w:val="24"/>
                <w:lang w:val="en-US" w:eastAsia="zh-CN" w:bidi="ar-SA"/>
              </w:rPr>
              <w:t xml:space="preserve">，得1分； </w:t>
            </w:r>
          </w:p>
          <w:p w14:paraId="2F2A76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5、不提供则不得分。 </w:t>
            </w:r>
          </w:p>
        </w:tc>
      </w:tr>
      <w:tr w14:paraId="6D6D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261" w:type="dxa"/>
            <w:vMerge w:val="restart"/>
            <w:tcBorders>
              <w:top w:val="single" w:color="auto" w:sz="4" w:space="0"/>
              <w:left w:val="single" w:color="auto" w:sz="4" w:space="0"/>
              <w:right w:val="single" w:color="auto" w:sz="4" w:space="0"/>
            </w:tcBorders>
            <w:noWrap w:val="0"/>
            <w:vAlign w:val="center"/>
          </w:tcPr>
          <w:p w14:paraId="26F28C01">
            <w:pPr>
              <w:pStyle w:val="2"/>
              <w:jc w:val="center"/>
              <w:outlineLvl w:val="1"/>
              <w:rPr>
                <w:rFonts w:ascii="宋体" w:hAnsi="宋体"/>
                <w:kern w:val="0"/>
                <w:sz w:val="24"/>
                <w:szCs w:val="24"/>
                <w:lang w:val="en-US" w:eastAsia="zh-CN"/>
              </w:rPr>
            </w:pPr>
            <w:r>
              <w:rPr>
                <w:rFonts w:hint="eastAsia" w:ascii="宋体" w:hAnsi="宋体" w:eastAsia="宋体" w:cs="宋体"/>
                <w:b w:val="0"/>
                <w:bCs w:val="0"/>
                <w:kern w:val="0"/>
                <w:sz w:val="24"/>
                <w:szCs w:val="24"/>
                <w:lang w:val="en-US" w:eastAsia="zh-CN"/>
              </w:rPr>
              <w:t>商务</w:t>
            </w:r>
            <w:r>
              <w:rPr>
                <w:rFonts w:hint="eastAsia" w:ascii="宋体" w:hAnsi="宋体" w:eastAsia="宋体" w:cs="宋体"/>
                <w:b w:val="0"/>
                <w:bCs w:val="0"/>
                <w:kern w:val="0"/>
                <w:sz w:val="24"/>
                <w:szCs w:val="24"/>
                <w:highlight w:val="none"/>
                <w:lang w:val="en-US" w:eastAsia="zh-CN"/>
              </w:rPr>
              <w:t>部分（25分）</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320797E7">
            <w:pPr>
              <w:pageBreakBefore w:val="0"/>
              <w:widowControl/>
              <w:kinsoku/>
              <w:wordWrap/>
              <w:overflowPunct/>
              <w:topLinePunct w:val="0"/>
              <w:bidi w:val="0"/>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企业</w:t>
            </w:r>
            <w:r>
              <w:rPr>
                <w:rFonts w:hint="eastAsia" w:ascii="宋体" w:hAnsi="宋体" w:eastAsia="宋体" w:cs="宋体"/>
                <w:sz w:val="24"/>
                <w:szCs w:val="24"/>
              </w:rPr>
              <w:t>业绩</w:t>
            </w:r>
          </w:p>
          <w:p w14:paraId="05A2AC6C">
            <w:pPr>
              <w:pageBreakBefore w:val="0"/>
              <w:widowControl/>
              <w:kinsoku/>
              <w:wordWrap/>
              <w:overflowPunct/>
              <w:topLinePunct w:val="0"/>
              <w:bidi w:val="0"/>
              <w:snapToGrid/>
              <w:spacing w:line="500" w:lineRule="exact"/>
              <w:jc w:val="center"/>
              <w:textAlignment w:val="auto"/>
              <w:rPr>
                <w:rFonts w:hint="eastAsia" w:ascii="宋体" w:hAnsi="宋体" w:eastAsia="宋体" w:cs="宋体"/>
                <w:color w:val="auto"/>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7771C213">
            <w:pPr>
              <w:pageBreakBefore w:val="0"/>
              <w:widowControl/>
              <w:kinsoku/>
              <w:wordWrap/>
              <w:overflowPunct/>
              <w:topLinePunct w:val="0"/>
              <w:bidi w:val="0"/>
              <w:snapToGrid/>
              <w:spacing w:line="500" w:lineRule="exact"/>
              <w:jc w:val="left"/>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rPr>
              <w:t>提供近</w:t>
            </w:r>
            <w:r>
              <w:rPr>
                <w:rFonts w:hint="eastAsia" w:ascii="宋体" w:hAnsi="宋体" w:eastAsia="宋体" w:cs="宋体"/>
                <w:sz w:val="24"/>
                <w:szCs w:val="24"/>
                <w:lang w:val="en-US" w:eastAsia="zh-CN"/>
              </w:rPr>
              <w:t>三</w:t>
            </w:r>
            <w:r>
              <w:rPr>
                <w:rFonts w:hint="eastAsia" w:ascii="宋体" w:hAnsi="宋体" w:eastAsia="宋体" w:cs="宋体"/>
                <w:sz w:val="24"/>
                <w:szCs w:val="24"/>
              </w:rPr>
              <w:t>年</w:t>
            </w:r>
            <w:r>
              <w:rPr>
                <w:rFonts w:hint="eastAsia" w:ascii="宋体" w:hAnsi="宋体" w:eastAsia="宋体" w:cs="宋体"/>
                <w:sz w:val="24"/>
                <w:szCs w:val="24"/>
                <w:lang w:val="en-US" w:eastAsia="zh-CN"/>
              </w:rPr>
              <w:t>（指2023年01月01日起至今）承担过</w:t>
            </w:r>
            <w:r>
              <w:rPr>
                <w:rFonts w:hint="eastAsia" w:ascii="宋体" w:hAnsi="宋体" w:eastAsia="宋体" w:cs="宋体"/>
                <w:sz w:val="24"/>
                <w:szCs w:val="24"/>
              </w:rPr>
              <w:t>类似项目业绩：每提供一</w:t>
            </w:r>
            <w:r>
              <w:rPr>
                <w:rFonts w:hint="eastAsia" w:ascii="宋体" w:hAnsi="宋体" w:eastAsia="宋体" w:cs="宋体"/>
                <w:sz w:val="24"/>
                <w:szCs w:val="24"/>
                <w:lang w:val="en-US" w:eastAsia="zh-CN"/>
              </w:rPr>
              <w:t>项</w:t>
            </w:r>
            <w:r>
              <w:rPr>
                <w:rFonts w:hint="eastAsia" w:ascii="宋体" w:hAnsi="宋体" w:eastAsia="宋体" w:cs="宋体"/>
                <w:sz w:val="24"/>
                <w:szCs w:val="24"/>
              </w:rPr>
              <w:t>业绩</w:t>
            </w:r>
            <w:r>
              <w:rPr>
                <w:rFonts w:hint="eastAsia" w:ascii="宋体" w:hAnsi="宋体" w:eastAsia="宋体" w:cs="宋体"/>
                <w:sz w:val="24"/>
                <w:szCs w:val="24"/>
                <w:lang w:val="en-US" w:eastAsia="zh-CN"/>
              </w:rPr>
              <w:t>得2分</w:t>
            </w:r>
            <w:r>
              <w:rPr>
                <w:rFonts w:hint="eastAsia" w:ascii="宋体" w:hAnsi="宋体" w:eastAsia="宋体" w:cs="宋体"/>
                <w:sz w:val="24"/>
                <w:szCs w:val="24"/>
              </w:rPr>
              <w:t>，</w:t>
            </w:r>
            <w:r>
              <w:rPr>
                <w:rFonts w:hint="eastAsia" w:ascii="宋体" w:hAnsi="宋体" w:eastAsia="宋体" w:cs="宋体"/>
                <w:sz w:val="24"/>
                <w:szCs w:val="24"/>
                <w:lang w:val="en-US" w:eastAsia="zh-CN"/>
              </w:rPr>
              <w:t>该项最多得4</w:t>
            </w:r>
            <w:r>
              <w:rPr>
                <w:rFonts w:hint="eastAsia" w:ascii="宋体" w:hAnsi="宋体" w:eastAsia="宋体" w:cs="宋体"/>
                <w:sz w:val="24"/>
                <w:szCs w:val="24"/>
              </w:rPr>
              <w:t>分</w:t>
            </w:r>
            <w:r>
              <w:rPr>
                <w:rFonts w:hint="eastAsia" w:ascii="宋体" w:hAnsi="宋体" w:eastAsia="宋体" w:cs="宋体"/>
                <w:sz w:val="24"/>
                <w:szCs w:val="24"/>
                <w:lang w:val="en-US" w:eastAsia="zh-CN"/>
              </w:rPr>
              <w:t>；不提供则不得分；（注：需提供中标通标书或合同协议书原件的扫描件附在响应文件中，合同协议书以合同签订时间为准）</w:t>
            </w:r>
          </w:p>
        </w:tc>
      </w:tr>
      <w:tr w14:paraId="0D36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261" w:type="dxa"/>
            <w:vMerge w:val="continue"/>
            <w:tcBorders>
              <w:left w:val="single" w:color="auto" w:sz="4" w:space="0"/>
              <w:right w:val="single" w:color="auto" w:sz="4" w:space="0"/>
            </w:tcBorders>
            <w:noWrap w:val="0"/>
            <w:vAlign w:val="center"/>
          </w:tcPr>
          <w:p w14:paraId="73104947">
            <w:pPr>
              <w:spacing w:line="360" w:lineRule="auto"/>
              <w:rPr>
                <w:rFonts w:hint="eastAsia" w:ascii="宋体" w:hAnsi="宋体"/>
                <w:kern w:val="0"/>
                <w:sz w:val="24"/>
                <w:szCs w:val="24"/>
              </w:rPr>
            </w:pPr>
          </w:p>
        </w:tc>
        <w:tc>
          <w:tcPr>
            <w:tcW w:w="1420" w:type="dxa"/>
            <w:tcBorders>
              <w:top w:val="single" w:color="auto" w:sz="4" w:space="0"/>
              <w:left w:val="single" w:color="auto" w:sz="4" w:space="0"/>
              <w:right w:val="single" w:color="auto" w:sz="4" w:space="0"/>
            </w:tcBorders>
            <w:shd w:val="clear" w:color="auto" w:fill="auto"/>
            <w:noWrap w:val="0"/>
            <w:vAlign w:val="center"/>
          </w:tcPr>
          <w:p w14:paraId="4C4C0C2C">
            <w:pPr>
              <w:spacing w:line="3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后续</w:t>
            </w:r>
            <w:r>
              <w:rPr>
                <w:rFonts w:hint="eastAsia" w:ascii="宋体" w:hAnsi="宋体" w:eastAsia="宋体" w:cs="宋体"/>
                <w:color w:val="auto"/>
                <w:sz w:val="24"/>
                <w:szCs w:val="24"/>
                <w:lang w:eastAsia="zh-CN"/>
              </w:rPr>
              <w:t>服务</w:t>
            </w:r>
          </w:p>
          <w:p w14:paraId="11FD2D14">
            <w:pPr>
              <w:spacing w:line="36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分）</w:t>
            </w:r>
          </w:p>
        </w:tc>
        <w:tc>
          <w:tcPr>
            <w:tcW w:w="72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9CE62F">
            <w:p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针对本项目管护期内出现特殊情况：如人为践踏损坏、苗木缺失或死亡、补栽等情况，提供解决问题的措施以及处理问题的响应时间：</w:t>
            </w:r>
          </w:p>
          <w:p w14:paraId="1C8B9E15">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lang w:val="en-US" w:eastAsia="zh-CN"/>
              </w:rPr>
              <w:t>处理措施灵活高效、切实可行，响应时间非常及时，得7分；</w:t>
            </w:r>
          </w:p>
          <w:p w14:paraId="6CDF4F5E">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处理措施较为灵活、但细节需完善，效率尚可、基本切合实际、具备一定的可行性，响应时间较为及时，得5分；</w:t>
            </w:r>
          </w:p>
          <w:p w14:paraId="6CDA18C9">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3</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highlight w:val="none"/>
                <w:lang w:val="en-US" w:eastAsia="zh-CN"/>
              </w:rPr>
              <w:t>处理措施不够灵活、</w:t>
            </w:r>
            <w:r>
              <w:rPr>
                <w:rFonts w:hint="eastAsia" w:ascii="宋体" w:hAnsi="宋体" w:eastAsia="宋体" w:cs="宋体"/>
                <w:sz w:val="24"/>
                <w:szCs w:val="24"/>
                <w:lang w:val="en-US" w:eastAsia="zh-CN"/>
              </w:rPr>
              <w:t>需完善的地方较多</w:t>
            </w:r>
            <w:r>
              <w:rPr>
                <w:rFonts w:hint="eastAsia" w:ascii="宋体" w:hAnsi="宋体" w:eastAsia="宋体" w:cs="宋体"/>
                <w:color w:val="auto"/>
                <w:sz w:val="24"/>
                <w:szCs w:val="24"/>
                <w:highlight w:val="none"/>
                <w:lang w:val="en-US" w:eastAsia="zh-CN"/>
              </w:rPr>
              <w:t>，效率有限、勉强切合实际、可行程度不足，响应时间不够及时，得3分；</w:t>
            </w:r>
          </w:p>
          <w:p w14:paraId="1964C365">
            <w:pPr>
              <w:numPr>
                <w:ilvl w:val="0"/>
                <w:numId w:val="0"/>
              </w:numPr>
              <w:autoSpaceDE w:val="0"/>
              <w:autoSpaceDN w:val="0"/>
              <w:adjustRightInd w:val="0"/>
              <w:spacing w:line="360" w:lineRule="auto"/>
              <w:ind w:left="0" w:leftChars="0" w:firstLine="0" w:firstLineChars="0"/>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4</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highlight w:val="none"/>
                <w:lang w:val="en-US" w:eastAsia="zh-CN"/>
              </w:rPr>
              <w:t>处理措施死板低效、不切实际、不具备可行性，响应时间不及时，得1分；</w:t>
            </w:r>
          </w:p>
          <w:p w14:paraId="468A5C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val="en-US" w:eastAsia="zh-CN" w:bidi="ar-SA"/>
              </w:rPr>
              <w:t>5、不提供则不得分。</w:t>
            </w:r>
          </w:p>
        </w:tc>
      </w:tr>
      <w:tr w14:paraId="6C29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61" w:type="dxa"/>
            <w:vMerge w:val="continue"/>
            <w:tcBorders>
              <w:left w:val="single" w:color="auto" w:sz="4" w:space="0"/>
              <w:right w:val="single" w:color="auto" w:sz="4" w:space="0"/>
            </w:tcBorders>
            <w:noWrap w:val="0"/>
            <w:vAlign w:val="center"/>
          </w:tcPr>
          <w:p w14:paraId="43BD4FFC">
            <w:pPr>
              <w:spacing w:line="360" w:lineRule="auto"/>
              <w:rPr>
                <w:rFonts w:hint="eastAsia" w:ascii="宋体" w:hAnsi="宋体"/>
                <w:kern w:val="0"/>
                <w:sz w:val="24"/>
                <w:szCs w:val="24"/>
              </w:rPr>
            </w:pPr>
          </w:p>
        </w:tc>
        <w:tc>
          <w:tcPr>
            <w:tcW w:w="1420" w:type="dxa"/>
            <w:tcBorders>
              <w:left w:val="single" w:color="auto" w:sz="4" w:space="0"/>
              <w:bottom w:val="single" w:color="auto" w:sz="4" w:space="0"/>
              <w:right w:val="single" w:color="auto" w:sz="4" w:space="0"/>
            </w:tcBorders>
            <w:noWrap w:val="0"/>
            <w:vAlign w:val="center"/>
          </w:tcPr>
          <w:p w14:paraId="4BA79B6A">
            <w:pPr>
              <w:spacing w:line="36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后续承诺</w:t>
            </w:r>
          </w:p>
          <w:p w14:paraId="37039BF3">
            <w:pPr>
              <w:spacing w:line="3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41C667BF">
            <w:pPr>
              <w:numPr>
                <w:ilvl w:val="0"/>
                <w:numId w:val="0"/>
              </w:numPr>
              <w:autoSpaceDE w:val="0"/>
              <w:autoSpaceDN w:val="0"/>
              <w:adjustRightInd w:val="0"/>
              <w:spacing w:line="360" w:lineRule="auto"/>
              <w:jc w:val="left"/>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lang w:val="en-US" w:eastAsia="zh-CN"/>
              </w:rPr>
              <w:t>提供管护期内，服从甲方管理、检查与考核的承诺；</w:t>
            </w:r>
            <w:r>
              <w:rPr>
                <w:rFonts w:hint="default" w:ascii="宋体" w:hAnsi="宋体" w:eastAsia="宋体" w:cs="宋体"/>
                <w:color w:val="auto"/>
                <w:sz w:val="24"/>
                <w:szCs w:val="24"/>
                <w:highlight w:val="none"/>
                <w:lang w:val="en-US" w:eastAsia="zh-CN"/>
              </w:rPr>
              <w:t>②</w:t>
            </w:r>
            <w:r>
              <w:rPr>
                <w:rFonts w:hint="eastAsia" w:ascii="宋体" w:hAnsi="宋体" w:eastAsia="宋体" w:cs="宋体"/>
                <w:color w:val="auto"/>
                <w:sz w:val="24"/>
                <w:szCs w:val="24"/>
                <w:highlight w:val="none"/>
                <w:lang w:val="en-US" w:eastAsia="zh-CN"/>
              </w:rPr>
              <w:t>若出现乙方管理养护不当造成的问题，提供责任承诺；③提供不拖欠工人工资的承诺。</w:t>
            </w:r>
          </w:p>
          <w:p w14:paraId="281A0140">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1</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highlight w:val="none"/>
                <w:lang w:val="en-US" w:eastAsia="zh-CN"/>
              </w:rPr>
              <w:t>承诺内容全面详实、严谨合理，得7分；</w:t>
            </w:r>
          </w:p>
          <w:p w14:paraId="198F6ADC">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2</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highlight w:val="none"/>
                <w:lang w:val="en-US" w:eastAsia="zh-CN"/>
              </w:rPr>
              <w:t>承诺内容大致全面、但不够详实，具备基本严谨性、</w:t>
            </w:r>
            <w:r>
              <w:rPr>
                <w:rFonts w:hint="eastAsia" w:ascii="宋体" w:hAnsi="宋体" w:eastAsia="宋体" w:cs="宋体"/>
                <w:sz w:val="24"/>
                <w:szCs w:val="24"/>
                <w:lang w:val="en-US" w:eastAsia="zh-CN" w:bidi="ar-SA"/>
              </w:rPr>
              <w:t>无明显不合理处</w:t>
            </w:r>
            <w:r>
              <w:rPr>
                <w:rFonts w:hint="eastAsia" w:ascii="宋体" w:hAnsi="宋体" w:eastAsia="宋体" w:cs="宋体"/>
                <w:color w:val="auto"/>
                <w:sz w:val="24"/>
                <w:szCs w:val="24"/>
                <w:highlight w:val="none"/>
                <w:lang w:val="en-US" w:eastAsia="zh-CN"/>
              </w:rPr>
              <w:t>，得5分；</w:t>
            </w:r>
          </w:p>
          <w:p w14:paraId="7952F2CE">
            <w:pPr>
              <w:numPr>
                <w:ilvl w:val="0"/>
                <w:numId w:val="0"/>
              </w:numPr>
              <w:autoSpaceDE w:val="0"/>
              <w:autoSpaceDN w:val="0"/>
              <w:adjustRightInd w:val="0"/>
              <w:spacing w:line="360" w:lineRule="auto"/>
              <w:ind w:left="0" w:leftChars="0" w:firstLine="0" w:firstLineChars="0"/>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3</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highlight w:val="none"/>
                <w:lang w:val="en-US" w:eastAsia="zh-CN"/>
              </w:rPr>
              <w:t>承诺内容不够全面、</w:t>
            </w:r>
            <w:r>
              <w:rPr>
                <w:rFonts w:hint="eastAsia" w:ascii="宋体" w:hAnsi="宋体" w:eastAsia="宋体" w:cs="宋体"/>
                <w:sz w:val="24"/>
                <w:szCs w:val="24"/>
                <w:lang w:val="en-US" w:eastAsia="zh-CN"/>
              </w:rPr>
              <w:t>需完善的地方较多</w:t>
            </w:r>
            <w:r>
              <w:rPr>
                <w:rFonts w:hint="eastAsia" w:ascii="宋体" w:hAnsi="宋体" w:eastAsia="宋体" w:cs="宋体"/>
                <w:color w:val="auto"/>
                <w:sz w:val="24"/>
                <w:szCs w:val="24"/>
                <w:highlight w:val="none"/>
                <w:lang w:val="en-US" w:eastAsia="zh-CN"/>
              </w:rPr>
              <w:t>，不够严谨、疏漏较多、但勉强合理，得3分；</w:t>
            </w:r>
          </w:p>
          <w:p w14:paraId="1E76139B">
            <w:pPr>
              <w:numPr>
                <w:ilvl w:val="0"/>
                <w:numId w:val="0"/>
              </w:numPr>
              <w:autoSpaceDE w:val="0"/>
              <w:autoSpaceDN w:val="0"/>
              <w:adjustRightInd w:val="0"/>
              <w:spacing w:line="360" w:lineRule="auto"/>
              <w:ind w:left="0" w:leftChars="0" w:firstLine="0" w:firstLineChars="0"/>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4</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highlight w:val="none"/>
                <w:lang w:val="en-US" w:eastAsia="zh-CN"/>
              </w:rPr>
              <w:t>承诺内容片面简略，不严谨、不合理，得1分；</w:t>
            </w:r>
          </w:p>
          <w:p w14:paraId="3E5181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5、不提供则不得分。</w:t>
            </w:r>
          </w:p>
        </w:tc>
      </w:tr>
      <w:tr w14:paraId="0D98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61" w:type="dxa"/>
            <w:vMerge w:val="continue"/>
            <w:tcBorders>
              <w:left w:val="single" w:color="auto" w:sz="4" w:space="0"/>
              <w:right w:val="single" w:color="auto" w:sz="4" w:space="0"/>
            </w:tcBorders>
            <w:noWrap w:val="0"/>
            <w:vAlign w:val="center"/>
          </w:tcPr>
          <w:p w14:paraId="76244F12">
            <w:pPr>
              <w:spacing w:line="360" w:lineRule="auto"/>
              <w:rPr>
                <w:rFonts w:hint="eastAsia" w:ascii="宋体" w:hAnsi="宋体"/>
                <w:kern w:val="0"/>
                <w:sz w:val="24"/>
                <w:szCs w:val="24"/>
              </w:rPr>
            </w:pPr>
          </w:p>
        </w:tc>
        <w:tc>
          <w:tcPr>
            <w:tcW w:w="1420" w:type="dxa"/>
            <w:tcBorders>
              <w:left w:val="single" w:color="auto" w:sz="4" w:space="0"/>
              <w:bottom w:val="single" w:color="auto" w:sz="4" w:space="0"/>
              <w:right w:val="single" w:color="auto" w:sz="4" w:space="0"/>
            </w:tcBorders>
            <w:noWrap w:val="0"/>
            <w:vAlign w:val="center"/>
          </w:tcPr>
          <w:p w14:paraId="56B4CB48">
            <w:pPr>
              <w:spacing w:line="36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合理化建议</w:t>
            </w:r>
          </w:p>
          <w:p w14:paraId="72A6092F">
            <w:pPr>
              <w:spacing w:line="36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（7分）</w:t>
            </w:r>
          </w:p>
        </w:tc>
        <w:tc>
          <w:tcPr>
            <w:tcW w:w="7238" w:type="dxa"/>
            <w:tcBorders>
              <w:top w:val="single" w:color="auto" w:sz="4" w:space="0"/>
              <w:left w:val="single" w:color="auto" w:sz="4" w:space="0"/>
              <w:bottom w:val="single" w:color="auto" w:sz="4" w:space="0"/>
              <w:right w:val="single" w:color="auto" w:sz="4" w:space="0"/>
            </w:tcBorders>
            <w:noWrap w:val="0"/>
            <w:vAlign w:val="center"/>
          </w:tcPr>
          <w:p w14:paraId="19B264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根据不用季节和植物特性，营造层次分明、四季有景的景观，提供花卉、灌木、乔木等搭配建议：</w:t>
            </w:r>
          </w:p>
          <w:p w14:paraId="064B200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1、植物搭配合理，对项目具有非常好的参考价值，得7分；</w:t>
            </w:r>
          </w:p>
          <w:p w14:paraId="65EC654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2、植物搭配大致合理、但</w:t>
            </w:r>
            <w:r>
              <w:rPr>
                <w:rFonts w:hint="eastAsia" w:ascii="宋体" w:hAnsi="宋体" w:eastAsia="宋体" w:cs="宋体"/>
                <w:color w:val="auto"/>
                <w:sz w:val="24"/>
                <w:szCs w:val="24"/>
                <w:highlight w:val="none"/>
                <w:lang w:val="en-US" w:eastAsia="zh-CN"/>
              </w:rPr>
              <w:t>局部略微需调整</w:t>
            </w:r>
            <w:r>
              <w:rPr>
                <w:rFonts w:hint="eastAsia" w:ascii="宋体" w:hAnsi="宋体" w:eastAsia="宋体" w:cs="宋体"/>
                <w:sz w:val="24"/>
                <w:szCs w:val="24"/>
                <w:lang w:val="en-US" w:eastAsia="zh-CN" w:bidi="ar-SA"/>
              </w:rPr>
              <w:t>，对项目有一定的参考价值，得5分；</w:t>
            </w:r>
          </w:p>
          <w:p w14:paraId="6CEC27D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3、植物搭配不够合理、</w:t>
            </w:r>
            <w:r>
              <w:rPr>
                <w:rFonts w:hint="eastAsia" w:ascii="宋体" w:hAnsi="宋体" w:eastAsia="宋体" w:cs="宋体"/>
                <w:sz w:val="24"/>
                <w:szCs w:val="24"/>
                <w:lang w:val="en-US" w:eastAsia="zh-CN"/>
              </w:rPr>
              <w:t>需调整的地方较多</w:t>
            </w:r>
            <w:r>
              <w:rPr>
                <w:rFonts w:hint="eastAsia" w:ascii="宋体" w:hAnsi="宋体" w:eastAsia="宋体" w:cs="宋体"/>
                <w:sz w:val="24"/>
                <w:szCs w:val="24"/>
                <w:lang w:val="en-US" w:eastAsia="zh-CN" w:bidi="ar-SA"/>
              </w:rPr>
              <w:t>，对项目参考价值有限，得3分；</w:t>
            </w:r>
          </w:p>
          <w:p w14:paraId="71F26E2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4、植物搭配不合理，对项目无实际参考价值，得1分；</w:t>
            </w:r>
          </w:p>
          <w:p w14:paraId="1D9670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lang w:val="en-US" w:eastAsia="zh-CN" w:bidi="ar-SA"/>
              </w:rPr>
              <w:t>5、不提供则不得分。</w:t>
            </w:r>
          </w:p>
        </w:tc>
      </w:tr>
      <w:tr w14:paraId="29E2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919" w:type="dxa"/>
            <w:gridSpan w:val="3"/>
            <w:tcBorders>
              <w:left w:val="single" w:color="auto" w:sz="4" w:space="0"/>
              <w:right w:val="single" w:color="auto" w:sz="4" w:space="0"/>
            </w:tcBorders>
            <w:noWrap w:val="0"/>
            <w:vAlign w:val="center"/>
          </w:tcPr>
          <w:p w14:paraId="21D3682A">
            <w:pPr>
              <w:spacing w:line="360" w:lineRule="auto"/>
              <w:rPr>
                <w:rFonts w:hint="eastAsia" w:ascii="宋体" w:hAnsi="宋体"/>
                <w:kern w:val="0"/>
                <w:sz w:val="24"/>
                <w:szCs w:val="24"/>
              </w:rPr>
            </w:pPr>
            <w:r>
              <w:rPr>
                <w:rFonts w:hint="eastAsia" w:ascii="宋体" w:hAnsi="宋体"/>
                <w:kern w:val="0"/>
                <w:sz w:val="24"/>
                <w:szCs w:val="24"/>
              </w:rPr>
              <w:t>综合得分=报价得分＋技术标得分＋</w:t>
            </w:r>
            <w:r>
              <w:rPr>
                <w:rFonts w:hint="eastAsia" w:ascii="宋体" w:hAnsi="宋体"/>
                <w:kern w:val="0"/>
                <w:sz w:val="24"/>
                <w:szCs w:val="24"/>
                <w:lang w:val="en-US" w:eastAsia="zh-CN"/>
              </w:rPr>
              <w:t>商务</w:t>
            </w:r>
            <w:r>
              <w:rPr>
                <w:rFonts w:hint="eastAsia" w:ascii="宋体" w:hAnsi="宋体"/>
                <w:kern w:val="0"/>
                <w:sz w:val="24"/>
                <w:szCs w:val="24"/>
              </w:rPr>
              <w:t>标得分。</w:t>
            </w:r>
          </w:p>
          <w:p w14:paraId="36E81BC4">
            <w:pPr>
              <w:spacing w:line="360" w:lineRule="auto"/>
              <w:rPr>
                <w:rFonts w:hint="eastAsia" w:ascii="宋体" w:hAnsi="宋体"/>
                <w:kern w:val="0"/>
                <w:sz w:val="24"/>
                <w:szCs w:val="24"/>
              </w:rPr>
            </w:pPr>
            <w:r>
              <w:rPr>
                <w:rFonts w:hint="eastAsia" w:ascii="宋体" w:hAnsi="宋体"/>
                <w:kern w:val="0"/>
                <w:sz w:val="24"/>
                <w:szCs w:val="24"/>
              </w:rPr>
              <w:t>磋商小组完成对技术标、报价标和</w:t>
            </w:r>
            <w:r>
              <w:rPr>
                <w:rFonts w:hint="eastAsia" w:ascii="宋体" w:hAnsi="宋体"/>
                <w:kern w:val="0"/>
                <w:sz w:val="24"/>
                <w:szCs w:val="24"/>
                <w:lang w:val="en-US" w:eastAsia="zh-CN"/>
              </w:rPr>
              <w:t>商务</w:t>
            </w:r>
            <w:r>
              <w:rPr>
                <w:rFonts w:hint="eastAsia" w:ascii="宋体" w:hAnsi="宋体"/>
                <w:kern w:val="0"/>
                <w:sz w:val="24"/>
                <w:szCs w:val="24"/>
              </w:rPr>
              <w:t>标的汇总后取平均值作为该响应人的最终得分。</w:t>
            </w:r>
          </w:p>
          <w:p w14:paraId="44291B77">
            <w:pPr>
              <w:spacing w:line="360" w:lineRule="auto"/>
              <w:rPr>
                <w:rFonts w:hint="eastAsia" w:ascii="宋体" w:hAnsi="宋体"/>
                <w:kern w:val="0"/>
                <w:sz w:val="24"/>
                <w:szCs w:val="24"/>
              </w:rPr>
            </w:pPr>
            <w:r>
              <w:rPr>
                <w:rFonts w:hint="eastAsia" w:ascii="宋体" w:hAnsi="宋体"/>
                <w:kern w:val="0"/>
                <w:sz w:val="24"/>
                <w:szCs w:val="24"/>
              </w:rPr>
              <w:t>本办法计算过程中分值按四舍五入保留两位小数，结果按四舍五入保留两位小数。 供应商的报价应包含所承诺的应达到的质量标准及其他承诺应达到的标准所包含的所有费用。</w:t>
            </w:r>
          </w:p>
          <w:p w14:paraId="7DD6C15D">
            <w:pPr>
              <w:spacing w:line="360" w:lineRule="auto"/>
              <w:rPr>
                <w:rFonts w:hint="eastAsia" w:ascii="宋体" w:hAnsi="宋体"/>
                <w:kern w:val="0"/>
                <w:sz w:val="24"/>
                <w:szCs w:val="24"/>
              </w:rPr>
            </w:pPr>
            <w:r>
              <w:rPr>
                <w:rFonts w:hint="eastAsia" w:ascii="宋体" w:hAnsi="宋体"/>
                <w:kern w:val="0"/>
                <w:sz w:val="24"/>
                <w:szCs w:val="24"/>
              </w:rPr>
              <w:t>注：1、评标过程中涉及到资格审查、人员证明、企业业绩等计分部分时，以供应商自行上传</w:t>
            </w:r>
            <w:r>
              <w:rPr>
                <w:rFonts w:hint="eastAsia" w:ascii="宋体" w:hAnsi="宋体"/>
                <w:kern w:val="0"/>
                <w:sz w:val="24"/>
                <w:szCs w:val="24"/>
                <w:lang w:eastAsia="zh-CN"/>
              </w:rPr>
              <w:t>到响应</w:t>
            </w:r>
            <w:r>
              <w:rPr>
                <w:rFonts w:hint="eastAsia" w:ascii="宋体" w:hAnsi="宋体"/>
                <w:kern w:val="0"/>
                <w:sz w:val="24"/>
                <w:szCs w:val="24"/>
              </w:rPr>
              <w:t>文件中的相应内容为准。</w:t>
            </w:r>
          </w:p>
          <w:p w14:paraId="6676B771">
            <w:pPr>
              <w:spacing w:line="360" w:lineRule="auto"/>
              <w:rPr>
                <w:rFonts w:hint="eastAsia" w:ascii="宋体" w:hAnsi="宋体"/>
                <w:kern w:val="0"/>
                <w:sz w:val="24"/>
                <w:szCs w:val="24"/>
              </w:rPr>
            </w:pPr>
            <w:r>
              <w:rPr>
                <w:rFonts w:hint="eastAsia" w:ascii="宋体" w:hAnsi="宋体"/>
                <w:kern w:val="0"/>
                <w:sz w:val="24"/>
                <w:szCs w:val="24"/>
              </w:rPr>
              <w:t>2、评标开始后，不再接受任何补充材料。</w:t>
            </w:r>
          </w:p>
        </w:tc>
      </w:tr>
    </w:tbl>
    <w:p w14:paraId="080994D0">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1.评标方法</w:t>
      </w:r>
    </w:p>
    <w:p w14:paraId="19801647">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本次评标先进行资格审查。通过资格审查的单位进行下一步的综合得分评审。资格评审、响应性评审、符合性评审未合格的按无效标处理。</w:t>
      </w:r>
    </w:p>
    <w:p w14:paraId="1078ABFD">
      <w:pPr>
        <w:keepNext w:val="0"/>
        <w:keepLines w:val="0"/>
        <w:pageBreakBefore w:val="0"/>
        <w:widowControl w:val="0"/>
        <w:kinsoku/>
        <w:wordWrap w:val="0"/>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bCs/>
          <w:sz w:val="24"/>
          <w:szCs w:val="24"/>
        </w:rPr>
      </w:pPr>
      <w:r>
        <w:rPr>
          <w:rFonts w:hint="eastAsia" w:ascii="宋体" w:hAnsi="宋体" w:cs="宋体"/>
          <w:sz w:val="24"/>
          <w:szCs w:val="24"/>
        </w:rPr>
        <w:t>本次评标采用综合评</w:t>
      </w:r>
      <w:r>
        <w:rPr>
          <w:rFonts w:hint="eastAsia" w:ascii="宋体" w:hAnsi="宋体" w:cs="宋体"/>
          <w:sz w:val="24"/>
          <w:szCs w:val="24"/>
          <w:lang w:eastAsia="zh-CN"/>
        </w:rPr>
        <w:t>分</w:t>
      </w:r>
      <w:r>
        <w:rPr>
          <w:rFonts w:hint="eastAsia" w:ascii="宋体" w:hAnsi="宋体" w:cs="宋体"/>
          <w:sz w:val="24"/>
          <w:szCs w:val="24"/>
        </w:rPr>
        <w:t>法。竞争性磋商小组对满足磋商文件实质性要求的响应文件，按照本章第2.2款规定的评分标准进行打分，并按得分由高到低顺序推荐成交候选人，或根据采购人授权直接确定成交响应人，但报价低于国家规定的除外。</w:t>
      </w:r>
      <w:r>
        <w:rPr>
          <w:rFonts w:hint="eastAsia" w:ascii="宋体" w:hAnsi="宋体" w:cs="宋体"/>
          <w:bCs/>
          <w:sz w:val="24"/>
          <w:szCs w:val="24"/>
        </w:rPr>
        <w:t xml:space="preserve">最终评分相等时，以最终报价低的优先；最终报价也相等的，由采购人自行确定。 </w:t>
      </w:r>
    </w:p>
    <w:p w14:paraId="1BF6FEA6">
      <w:pPr>
        <w:snapToGrid w:val="0"/>
        <w:spacing w:line="440" w:lineRule="exact"/>
        <w:ind w:right="31" w:rightChars="15" w:firstLine="482" w:firstLineChars="200"/>
        <w:rPr>
          <w:rFonts w:hint="eastAsia" w:ascii="宋体" w:hAnsi="宋体" w:cs="宋体"/>
          <w:b/>
          <w:sz w:val="24"/>
          <w:szCs w:val="24"/>
        </w:rPr>
      </w:pPr>
      <w:bookmarkStart w:id="36" w:name="_Toc449367501"/>
      <w:r>
        <w:rPr>
          <w:rFonts w:hint="eastAsia" w:ascii="宋体" w:hAnsi="宋体" w:cs="宋体"/>
          <w:b/>
          <w:sz w:val="24"/>
          <w:szCs w:val="24"/>
        </w:rPr>
        <w:t>2. 评审标准</w:t>
      </w:r>
      <w:bookmarkEnd w:id="36"/>
    </w:p>
    <w:p w14:paraId="3E17F3A5">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 xml:space="preserve">2.1 初步评审标准 </w:t>
      </w:r>
    </w:p>
    <w:p w14:paraId="0A384015">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2.1.1 资格评审标准：见评标办法前附表。</w:t>
      </w:r>
    </w:p>
    <w:p w14:paraId="6F7A9CE5">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2.1.2 响应性评审标准：见评标办法前附表。</w:t>
      </w:r>
    </w:p>
    <w:p w14:paraId="3B78416E">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 xml:space="preserve">2.1.3 符合性评审标准：见评标办法前附表。 </w:t>
      </w:r>
    </w:p>
    <w:p w14:paraId="565F40E4">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 xml:space="preserve">2.2 分值构成与评分标准 </w:t>
      </w:r>
    </w:p>
    <w:p w14:paraId="088CDD9F">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2.2.1 分值构成</w:t>
      </w:r>
    </w:p>
    <w:p w14:paraId="26C79F31">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（1）报价部分：见评标办法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074AB2C6">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（2）技术部分：见评标办法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5A8A1EA0">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kern w:val="0"/>
          <w:sz w:val="24"/>
          <w:szCs w:val="24"/>
          <w:lang w:val="en-US" w:eastAsia="zh-CN"/>
        </w:rPr>
        <w:t>商务</w:t>
      </w:r>
      <w:r>
        <w:rPr>
          <w:rFonts w:hint="eastAsia" w:ascii="宋体" w:hAnsi="宋体" w:cs="宋体"/>
          <w:sz w:val="24"/>
          <w:szCs w:val="24"/>
        </w:rPr>
        <w:t>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60C631DB">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2.2.</w:t>
      </w:r>
      <w:r>
        <w:rPr>
          <w:rFonts w:hint="eastAsia" w:ascii="宋体" w:hAnsi="宋体" w:cs="宋体"/>
          <w:b/>
          <w:sz w:val="24"/>
          <w:szCs w:val="24"/>
          <w:lang w:val="en-US" w:eastAsia="zh-CN"/>
        </w:rPr>
        <w:t>2</w:t>
      </w:r>
      <w:r>
        <w:rPr>
          <w:rFonts w:hint="eastAsia" w:ascii="宋体" w:hAnsi="宋体" w:cs="宋体"/>
          <w:b/>
          <w:sz w:val="24"/>
          <w:szCs w:val="24"/>
        </w:rPr>
        <w:t>评分标准</w:t>
      </w:r>
    </w:p>
    <w:p w14:paraId="4A1F5E8A">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（1）报价部分：见评标办法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72C18544">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（2）技术部分：见评标办法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53581CE2">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kern w:val="0"/>
          <w:sz w:val="24"/>
          <w:szCs w:val="24"/>
          <w:lang w:val="en-US" w:eastAsia="zh-CN"/>
        </w:rPr>
        <w:t>商务</w:t>
      </w:r>
      <w:r>
        <w:rPr>
          <w:rFonts w:hint="eastAsia" w:ascii="宋体" w:hAnsi="宋体" w:cs="宋体"/>
          <w:sz w:val="24"/>
          <w:szCs w:val="24"/>
        </w:rPr>
        <w:t>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10D18DC7">
      <w:pPr>
        <w:snapToGrid w:val="0"/>
        <w:spacing w:line="440" w:lineRule="exact"/>
        <w:ind w:right="31" w:rightChars="15" w:firstLine="482" w:firstLineChars="200"/>
        <w:rPr>
          <w:rFonts w:hint="eastAsia" w:ascii="宋体" w:hAnsi="宋体" w:cs="宋体"/>
          <w:b/>
          <w:sz w:val="24"/>
          <w:szCs w:val="24"/>
        </w:rPr>
      </w:pPr>
      <w:bookmarkStart w:id="37" w:name="_Toc449367502"/>
      <w:r>
        <w:rPr>
          <w:rFonts w:hint="eastAsia" w:ascii="宋体" w:hAnsi="宋体" w:cs="宋体"/>
          <w:b/>
          <w:sz w:val="24"/>
          <w:szCs w:val="24"/>
        </w:rPr>
        <w:t>3.评标程序</w:t>
      </w:r>
      <w:bookmarkEnd w:id="37"/>
    </w:p>
    <w:p w14:paraId="71107D93">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 xml:space="preserve">3.1 初步评审 </w:t>
      </w:r>
    </w:p>
    <w:p w14:paraId="70B8D5B0">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3.1.1竞争性磋商小组依据本章第 2.1项规定的评审标准对响应文件进行初步评审。有一项不符合评审标准的，作废标处理。</w:t>
      </w:r>
    </w:p>
    <w:p w14:paraId="4FC9F7B5">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3.1.2 响应人有以下情形之一的，其投标作废标处理：</w:t>
      </w:r>
    </w:p>
    <w:p w14:paraId="024649E8">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（1）串通投标或弄虚作假或有其他违法行为的；</w:t>
      </w:r>
    </w:p>
    <w:p w14:paraId="3F21AA74">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（2）不按竞争性磋商小组要求澄清、说明或补正的。</w:t>
      </w:r>
    </w:p>
    <w:p w14:paraId="1CF9B49D">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3.1.3投标报价有算术错误的，竞争性磋商小组按以下原则对报价进行修正，修正的价格经响应人书面确认后具有约束力。响应人不接受修正价格的，其投标作废标处理。响应文件中填报的投标报价、服务周期、质量</w:t>
      </w:r>
      <w:r>
        <w:rPr>
          <w:rFonts w:hint="eastAsia" w:ascii="宋体" w:hAnsi="宋体" w:cs="宋体"/>
          <w:sz w:val="24"/>
          <w:szCs w:val="24"/>
          <w:lang w:eastAsia="zh-CN"/>
        </w:rPr>
        <w:t>要求</w:t>
      </w:r>
      <w:r>
        <w:rPr>
          <w:rFonts w:hint="eastAsia" w:ascii="宋体" w:hAnsi="宋体" w:cs="宋体"/>
          <w:sz w:val="24"/>
          <w:szCs w:val="24"/>
        </w:rPr>
        <w:t>前后不一致时，以磋商</w:t>
      </w:r>
      <w:r>
        <w:rPr>
          <w:rFonts w:hint="eastAsia" w:ascii="宋体" w:hAnsi="宋体" w:cs="宋体"/>
          <w:sz w:val="24"/>
          <w:szCs w:val="24"/>
          <w:lang w:val="en-US" w:eastAsia="zh-CN"/>
        </w:rPr>
        <w:t>函及</w:t>
      </w:r>
      <w:r>
        <w:rPr>
          <w:rFonts w:hint="eastAsia" w:ascii="宋体" w:hAnsi="宋体" w:cs="宋体"/>
          <w:sz w:val="24"/>
          <w:szCs w:val="24"/>
        </w:rPr>
        <w:t>磋商</w:t>
      </w:r>
      <w:r>
        <w:rPr>
          <w:rFonts w:hint="eastAsia" w:ascii="宋体" w:hAnsi="宋体" w:cs="宋体"/>
          <w:sz w:val="24"/>
          <w:szCs w:val="24"/>
          <w:lang w:val="en-US" w:eastAsia="zh-CN"/>
        </w:rPr>
        <w:t>函附录</w:t>
      </w:r>
      <w:r>
        <w:rPr>
          <w:rFonts w:hint="eastAsia" w:ascii="宋体" w:hAnsi="宋体" w:cs="宋体"/>
          <w:sz w:val="24"/>
          <w:szCs w:val="24"/>
        </w:rPr>
        <w:t>中填报的相应内容为准。</w:t>
      </w:r>
    </w:p>
    <w:p w14:paraId="3F889364">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(1）响应文件中的大写金额与小写金额不一致的，以大写金额为准；</w:t>
      </w:r>
    </w:p>
    <w:p w14:paraId="03166DC9">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14:paraId="602A7B2B">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2" w:firstLineChars="200"/>
        <w:textAlignment w:val="auto"/>
        <w:rPr>
          <w:rFonts w:hint="eastAsia" w:ascii="宋体" w:hAnsi="宋体" w:cs="宋体"/>
          <w:b/>
          <w:sz w:val="24"/>
          <w:szCs w:val="24"/>
        </w:rPr>
      </w:pPr>
      <w:r>
        <w:rPr>
          <w:rFonts w:hint="eastAsia" w:ascii="宋体" w:hAnsi="宋体" w:cs="宋体"/>
          <w:b/>
          <w:sz w:val="24"/>
          <w:szCs w:val="24"/>
        </w:rPr>
        <w:t xml:space="preserve">3.2 详细评审 </w:t>
      </w:r>
    </w:p>
    <w:p w14:paraId="35939619">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3.2.1 竞争性磋商小组按本章第 2.2款规定的量化因素和分值进行打分，并计算出综合评估得分。</w:t>
      </w:r>
      <w:r>
        <w:rPr>
          <w:rFonts w:hint="eastAsia" w:ascii="宋体" w:hAnsi="宋体" w:cs="宋体"/>
          <w:b/>
          <w:sz w:val="24"/>
          <w:szCs w:val="24"/>
        </w:rPr>
        <w:t>每个响应人最终得分为各评委打分的算术平均值。</w:t>
      </w:r>
    </w:p>
    <w:p w14:paraId="4916FDCF">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(1）按本章第2.2.</w:t>
      </w:r>
      <w:r>
        <w:rPr>
          <w:rFonts w:hint="eastAsia" w:ascii="宋体" w:hAnsi="宋体" w:cs="宋体"/>
          <w:sz w:val="24"/>
          <w:szCs w:val="24"/>
          <w:lang w:val="en-US" w:eastAsia="zh-CN"/>
        </w:rPr>
        <w:t>2</w:t>
      </w:r>
      <w:r>
        <w:rPr>
          <w:rFonts w:hint="eastAsia" w:ascii="宋体" w:hAnsi="宋体" w:cs="宋体"/>
          <w:sz w:val="24"/>
          <w:szCs w:val="24"/>
        </w:rPr>
        <w:t>(1）目规定的评审因素和分值对报价部分计算出得分A；</w:t>
      </w:r>
    </w:p>
    <w:p w14:paraId="6ADB4C18">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(2）按本章第2.2.</w:t>
      </w:r>
      <w:r>
        <w:rPr>
          <w:rFonts w:hint="eastAsia" w:ascii="宋体" w:hAnsi="宋体" w:cs="宋体"/>
          <w:sz w:val="24"/>
          <w:szCs w:val="24"/>
          <w:lang w:val="en-US" w:eastAsia="zh-CN"/>
        </w:rPr>
        <w:t>2</w:t>
      </w:r>
      <w:r>
        <w:rPr>
          <w:rFonts w:hint="eastAsia" w:ascii="宋体" w:hAnsi="宋体" w:cs="宋体"/>
          <w:sz w:val="24"/>
          <w:szCs w:val="24"/>
        </w:rPr>
        <w:t>(2）目规定的评审因素和分值对技术部分计算出得分B；</w:t>
      </w:r>
    </w:p>
    <w:p w14:paraId="1322A3DC">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(3）按本章第2.2.</w:t>
      </w:r>
      <w:r>
        <w:rPr>
          <w:rFonts w:hint="eastAsia" w:ascii="宋体" w:hAnsi="宋体" w:cs="宋体"/>
          <w:sz w:val="24"/>
          <w:szCs w:val="24"/>
          <w:lang w:val="en-US" w:eastAsia="zh-CN"/>
        </w:rPr>
        <w:t>2</w:t>
      </w:r>
      <w:r>
        <w:rPr>
          <w:rFonts w:hint="eastAsia" w:ascii="宋体" w:hAnsi="宋体" w:cs="宋体"/>
          <w:sz w:val="24"/>
          <w:szCs w:val="24"/>
        </w:rPr>
        <w:t>(3）目规定的评审因素和分值对</w:t>
      </w:r>
      <w:r>
        <w:rPr>
          <w:rFonts w:hint="eastAsia" w:ascii="宋体" w:hAnsi="宋体" w:cs="宋体"/>
          <w:sz w:val="24"/>
          <w:szCs w:val="24"/>
          <w:lang w:val="en-US" w:eastAsia="zh-CN"/>
        </w:rPr>
        <w:t>商务</w:t>
      </w:r>
      <w:r>
        <w:rPr>
          <w:rFonts w:hint="eastAsia" w:ascii="宋体" w:hAnsi="宋体" w:cs="宋体"/>
          <w:sz w:val="24"/>
          <w:szCs w:val="24"/>
        </w:rPr>
        <w:t>部分计算出得分C；</w:t>
      </w:r>
    </w:p>
    <w:p w14:paraId="6F70FA4B">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3.2.2 评分分值计算保留小数点后两位，小数点后第三位“四舍五入”。</w:t>
      </w:r>
    </w:p>
    <w:p w14:paraId="04960E6E">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3.2.3 响应人得分=A十B十C。</w:t>
      </w:r>
    </w:p>
    <w:p w14:paraId="1881E43E">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 xml:space="preserve">3.2.4 竞争性磋商小组发现响应人的报价明显低于其他投标报价，或者在设有拦标价时明显低于拦标价，使得其投标报价可能低于其个别成本的，应当要求该响应人作出书面说明并提供相应的证明材料。响应人不能合理说明或者不能提供相应证明材料的，由竞争性磋商小组认定该响应人以低于成本报价竞标，其投标作废标处理。 </w:t>
      </w:r>
    </w:p>
    <w:p w14:paraId="1C4F98F1">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 xml:space="preserve">3.3 响应文件的澄清和补正 </w:t>
      </w:r>
    </w:p>
    <w:p w14:paraId="2C816788">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3.3.1 在评标过程中，竞争性磋商小组可以书面形式要求响应人对所提交响应文件中不明确的内容进行书面澄清或说明，或者对细微偏差进行补正。竞争性磋商小组不接受响应人主动提出的澄清、说明或补正。</w:t>
      </w:r>
    </w:p>
    <w:p w14:paraId="1681509C">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 xml:space="preserve">3.3.2澄清、说明和补正不得改变响应文件的实质性内容（算术性错误修正的除外）。响应人的书面澄清、说明和补正属于响应文件的组成部分。 </w:t>
      </w:r>
    </w:p>
    <w:p w14:paraId="1F42BC7F">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3.3.3 竞争性磋商小组对响应人提交的澄清、说明或补正有疑问的，可以要求响应人进一步澄清、说明或补正，直至满足竞争性磋商小组的要求。</w:t>
      </w:r>
    </w:p>
    <w:p w14:paraId="7CEAC022">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3.4定标办法</w:t>
      </w:r>
    </w:p>
    <w:p w14:paraId="76526A27">
      <w:pPr>
        <w:keepNext w:val="0"/>
        <w:keepLines w:val="0"/>
        <w:pageBreakBefore w:val="0"/>
        <w:widowControl w:val="0"/>
        <w:kinsoku/>
        <w:wordWrap/>
        <w:overflowPunct/>
        <w:topLinePunct w:val="0"/>
        <w:autoSpaceDE/>
        <w:autoSpaceDN/>
        <w:bidi w:val="0"/>
        <w:adjustRightInd/>
        <w:snapToGrid w:val="0"/>
        <w:spacing w:line="440" w:lineRule="exact"/>
        <w:ind w:right="0" w:rightChars="0" w:firstLine="480" w:firstLineChars="200"/>
        <w:textAlignment w:val="auto"/>
        <w:rPr>
          <w:rFonts w:hint="eastAsia" w:ascii="宋体" w:hAnsi="宋体" w:cs="宋体"/>
          <w:sz w:val="24"/>
          <w:szCs w:val="24"/>
        </w:rPr>
      </w:pPr>
      <w:r>
        <w:rPr>
          <w:rFonts w:hint="eastAsia" w:ascii="宋体" w:hAnsi="宋体" w:cs="宋体"/>
          <w:sz w:val="24"/>
          <w:szCs w:val="24"/>
        </w:rPr>
        <w:t>3.4.1 竞争性磋商小组按照上述办法打分，最后按照各响应人最终得分从高到低排序。</w:t>
      </w:r>
    </w:p>
    <w:p w14:paraId="299BFC84">
      <w:pPr>
        <w:keepNext w:val="0"/>
        <w:keepLines w:val="0"/>
        <w:pageBreakBefore w:val="0"/>
        <w:widowControl w:val="0"/>
        <w:kinsoku/>
        <w:wordWrap/>
        <w:overflowPunct/>
        <w:topLinePunct w:val="0"/>
        <w:autoSpaceDE/>
        <w:autoSpaceDN/>
        <w:bidi w:val="0"/>
        <w:adjustRightInd/>
        <w:snapToGrid w:val="0"/>
        <w:spacing w:line="440" w:lineRule="exact"/>
        <w:ind w:right="0" w:rightChars="0" w:firstLine="480" w:firstLineChars="200"/>
        <w:textAlignment w:val="auto"/>
        <w:rPr>
          <w:rFonts w:hint="eastAsia" w:ascii="宋体" w:hAnsi="宋体" w:cs="宋体"/>
          <w:sz w:val="24"/>
          <w:szCs w:val="24"/>
        </w:rPr>
      </w:pPr>
      <w:r>
        <w:rPr>
          <w:rFonts w:hint="eastAsia" w:ascii="宋体" w:hAnsi="宋体" w:cs="宋体"/>
          <w:sz w:val="24"/>
          <w:szCs w:val="24"/>
        </w:rPr>
        <w:t>3.4.2竞争性磋商小组完成评标后，应当向采购人提交书面评标报告。向采购人推荐3名成交候选人，得分最高的响应人为第一成交候选人，得分第二的响应人为第二成交候选人，得分第三的响应人为第三成交候选人。</w:t>
      </w:r>
    </w:p>
    <w:p w14:paraId="3A339CB3">
      <w:pPr>
        <w:keepNext w:val="0"/>
        <w:keepLines w:val="0"/>
        <w:pageBreakBefore w:val="0"/>
        <w:widowControl w:val="0"/>
        <w:kinsoku/>
        <w:wordWrap/>
        <w:overflowPunct/>
        <w:topLinePunct w:val="0"/>
        <w:autoSpaceDE/>
        <w:autoSpaceDN/>
        <w:bidi w:val="0"/>
        <w:adjustRightInd/>
        <w:snapToGrid w:val="0"/>
        <w:spacing w:line="440" w:lineRule="exact"/>
        <w:ind w:right="0" w:rightChars="0" w:firstLine="480" w:firstLineChars="200"/>
        <w:textAlignment w:val="auto"/>
        <w:rPr>
          <w:rFonts w:hint="eastAsia" w:ascii="宋体" w:hAnsi="宋体" w:cs="宋体"/>
          <w:sz w:val="24"/>
          <w:szCs w:val="24"/>
        </w:rPr>
      </w:pPr>
      <w:r>
        <w:rPr>
          <w:rFonts w:hint="eastAsia" w:ascii="宋体" w:hAnsi="宋体" w:cs="宋体"/>
          <w:sz w:val="24"/>
          <w:szCs w:val="24"/>
        </w:rPr>
        <w:t>3.4.3按响应人得分由高到低排序，采购人应当确定排名第一的成交候选人为成交人。排名第一的成交候选人放弃中</w:t>
      </w:r>
      <w:r>
        <w:rPr>
          <w:rFonts w:hint="eastAsia" w:ascii="宋体" w:hAnsi="宋体" w:cs="宋体"/>
          <w:sz w:val="24"/>
          <w:szCs w:val="24"/>
          <w:lang w:eastAsia="zh-CN"/>
        </w:rPr>
        <w:t>成交</w:t>
      </w:r>
      <w:r>
        <w:rPr>
          <w:rFonts w:hint="eastAsia" w:ascii="宋体" w:hAnsi="宋体" w:cs="宋体"/>
          <w:sz w:val="24"/>
          <w:szCs w:val="24"/>
        </w:rPr>
        <w:t>、因不可抗力提出不能履行合同或者磋商文件规定应当提交履约响应人而在规定的期限内未能提交的，采购人可按照推荐顺序依次确定另一名成交候选人为成交人。</w:t>
      </w:r>
    </w:p>
    <w:p w14:paraId="708675E8">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3.4.4 成交人确定后，面向社会公示，公示期为1个工作日，采购人向成交响应人签发成交通知书，采购人与成交响应人应自成交通知书签发之日起</w:t>
      </w:r>
      <w:r>
        <w:rPr>
          <w:rFonts w:hint="eastAsia" w:ascii="宋体" w:hAnsi="宋体" w:cs="宋体"/>
          <w:sz w:val="24"/>
          <w:szCs w:val="24"/>
          <w:lang w:val="en-US" w:eastAsia="zh-CN"/>
        </w:rPr>
        <w:t>1</w:t>
      </w:r>
      <w:r>
        <w:rPr>
          <w:rFonts w:hint="eastAsia" w:ascii="宋体" w:hAnsi="宋体" w:cs="宋体"/>
          <w:sz w:val="24"/>
          <w:szCs w:val="24"/>
        </w:rPr>
        <w:t>个工作日内签定合同。</w:t>
      </w:r>
    </w:p>
    <w:p w14:paraId="51586868">
      <w:pPr>
        <w:snapToGrid w:val="0"/>
        <w:spacing w:line="440" w:lineRule="exact"/>
        <w:ind w:right="31" w:rightChars="15" w:firstLine="482" w:firstLineChars="200"/>
        <w:rPr>
          <w:rFonts w:hint="eastAsia" w:ascii="宋体" w:hAnsi="宋体" w:cs="宋体"/>
          <w:b/>
          <w:sz w:val="24"/>
          <w:szCs w:val="24"/>
        </w:rPr>
      </w:pPr>
      <w:bookmarkStart w:id="38" w:name="_Toc449367503"/>
      <w:r>
        <w:rPr>
          <w:rFonts w:hint="eastAsia" w:ascii="宋体" w:hAnsi="宋体" w:cs="宋体"/>
          <w:b/>
          <w:sz w:val="24"/>
          <w:szCs w:val="24"/>
        </w:rPr>
        <w:t>4. 评标注意事项</w:t>
      </w:r>
      <w:bookmarkEnd w:id="38"/>
    </w:p>
    <w:p w14:paraId="18D34CCB">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竞争性磋商小组应按下列原则进行评分汇总统计：</w:t>
      </w:r>
    </w:p>
    <w:p w14:paraId="29FD9DA5">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1、分数计算过程中，保留两位小数，小数点后第三位四舍五入。</w:t>
      </w:r>
    </w:p>
    <w:p w14:paraId="2CB76739">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2、分数汇总时，将所有评委打分取算术平均值作为该响应人的最终得分。</w:t>
      </w:r>
    </w:p>
    <w:p w14:paraId="2D06FFFE">
      <w:pPr>
        <w:snapToGrid w:val="0"/>
        <w:spacing w:line="420" w:lineRule="exact"/>
        <w:ind w:right="31" w:rightChars="15" w:firstLine="482" w:firstLineChars="200"/>
        <w:rPr>
          <w:rFonts w:hint="eastAsia" w:ascii="宋体" w:hAnsi="宋体" w:cs="宋体"/>
          <w:b/>
          <w:sz w:val="24"/>
          <w:szCs w:val="24"/>
        </w:rPr>
      </w:pPr>
      <w:bookmarkStart w:id="39" w:name="_Toc449367504"/>
      <w:r>
        <w:rPr>
          <w:rFonts w:hint="eastAsia" w:ascii="宋体" w:hAnsi="宋体" w:cs="宋体"/>
          <w:b/>
          <w:sz w:val="24"/>
          <w:szCs w:val="24"/>
        </w:rPr>
        <w:t>5.评标报告</w:t>
      </w:r>
      <w:bookmarkEnd w:id="39"/>
    </w:p>
    <w:p w14:paraId="30109D50">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竞争性磋商小组根据</w:t>
      </w:r>
      <w:r>
        <w:rPr>
          <w:rFonts w:hint="eastAsia" w:ascii="宋体" w:hAnsi="宋体" w:cs="宋体"/>
          <w:sz w:val="24"/>
          <w:szCs w:val="24"/>
          <w:lang w:eastAsia="zh-CN"/>
        </w:rPr>
        <w:t>供应商</w:t>
      </w:r>
      <w:r>
        <w:rPr>
          <w:rFonts w:hint="eastAsia" w:ascii="宋体" w:hAnsi="宋体" w:cs="宋体"/>
          <w:sz w:val="24"/>
          <w:szCs w:val="24"/>
        </w:rPr>
        <w:t>须知前附表的规定向采购人提交评标报告。评标报告应当由全体竞争性磋商小组成员签字，并于评标结束后抄送有关行政监督部门。</w:t>
      </w:r>
    </w:p>
    <w:p w14:paraId="6EBE0EED">
      <w:pPr>
        <w:snapToGrid w:val="0"/>
        <w:spacing w:line="440" w:lineRule="exact"/>
        <w:ind w:right="31" w:rightChars="15" w:firstLine="480" w:firstLineChars="200"/>
        <w:rPr>
          <w:rFonts w:hint="eastAsia" w:ascii="宋体" w:hAnsi="宋体" w:cs="宋体"/>
          <w:b/>
          <w:bCs/>
          <w:sz w:val="24"/>
          <w:szCs w:val="24"/>
        </w:rPr>
        <w:sectPr>
          <w:footerReference r:id="rId11" w:type="default"/>
          <w:pgSz w:w="11906" w:h="16838"/>
          <w:pgMar w:top="1440" w:right="1417" w:bottom="1440"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宋体"/>
          <w:sz w:val="24"/>
          <w:szCs w:val="24"/>
        </w:rPr>
        <w:t xml:space="preserve"> 对评标结论具有异议的，竞争性磋商小组成员可以书面方式阐述其不同意见和理由。竞争性磋商小组成员拒绝在评标报告上签字且不陈述其不同意见和理由的，视为同意评标结论。竞争性磋商小组应当对此作出书面说明并记录在案。</w:t>
      </w:r>
    </w:p>
    <w:p w14:paraId="48C46BBD">
      <w:pPr>
        <w:keepNext/>
        <w:widowControl w:val="0"/>
        <w:spacing w:before="100" w:beforeAutospacing="1" w:after="100" w:afterAutospacing="1" w:line="360" w:lineRule="auto"/>
        <w:jc w:val="center"/>
        <w:outlineLvl w:val="0"/>
        <w:rPr>
          <w:rFonts w:ascii="宋体" w:hAnsi="宋体" w:cs="黑体"/>
          <w:b/>
          <w:sz w:val="24"/>
          <w:szCs w:val="24"/>
        </w:rPr>
      </w:pPr>
      <w:bookmarkStart w:id="40" w:name="_Toc18426"/>
      <w:bookmarkStart w:id="41" w:name="_Toc1016"/>
      <w:r>
        <w:rPr>
          <w:rFonts w:hint="eastAsia" w:ascii="宋体" w:hAnsi="宋体" w:cs="宋体"/>
          <w:b/>
          <w:kern w:val="2"/>
          <w:sz w:val="24"/>
          <w:szCs w:val="24"/>
        </w:rPr>
        <w:t xml:space="preserve">第六章  </w:t>
      </w:r>
      <w:r>
        <w:rPr>
          <w:rFonts w:hint="eastAsia" w:ascii="宋体" w:hAnsi="宋体" w:cs="宋体"/>
          <w:b/>
          <w:kern w:val="2"/>
          <w:sz w:val="24"/>
          <w:szCs w:val="24"/>
          <w:lang w:eastAsia="zh-CN"/>
        </w:rPr>
        <w:t>响应</w:t>
      </w:r>
      <w:r>
        <w:rPr>
          <w:rFonts w:hint="eastAsia" w:ascii="宋体" w:hAnsi="宋体" w:cs="宋体"/>
          <w:b/>
          <w:kern w:val="2"/>
          <w:sz w:val="24"/>
          <w:szCs w:val="24"/>
        </w:rPr>
        <w:t>文件</w:t>
      </w:r>
      <w:r>
        <w:rPr>
          <w:rFonts w:hint="eastAsia" w:ascii="宋体" w:hAnsi="宋体" w:cs="宋体"/>
          <w:b/>
          <w:kern w:val="2"/>
          <w:sz w:val="24"/>
          <w:szCs w:val="24"/>
          <w:lang w:eastAsia="zh-CN"/>
        </w:rPr>
        <w:t>内容及</w:t>
      </w:r>
      <w:r>
        <w:rPr>
          <w:rFonts w:hint="eastAsia" w:ascii="宋体" w:hAnsi="宋体" w:cs="宋体"/>
          <w:b/>
          <w:kern w:val="2"/>
          <w:sz w:val="24"/>
          <w:szCs w:val="24"/>
        </w:rPr>
        <w:t>格式</w:t>
      </w:r>
      <w:bookmarkEnd w:id="40"/>
      <w:bookmarkEnd w:id="41"/>
    </w:p>
    <w:p w14:paraId="0BB4F114">
      <w:pPr>
        <w:widowControl w:val="0"/>
        <w:spacing w:line="360" w:lineRule="auto"/>
        <w:ind w:firstLine="952" w:firstLineChars="395"/>
        <w:jc w:val="center"/>
        <w:rPr>
          <w:rFonts w:ascii="宋体" w:hAnsi="宋体" w:cs="宋体"/>
          <w:b/>
          <w:kern w:val="2"/>
          <w:sz w:val="24"/>
          <w:szCs w:val="24"/>
          <w:u w:val="single"/>
        </w:rPr>
      </w:pPr>
    </w:p>
    <w:p w14:paraId="21B82993">
      <w:pPr>
        <w:widowControl w:val="0"/>
        <w:spacing w:line="360" w:lineRule="auto"/>
        <w:jc w:val="center"/>
        <w:rPr>
          <w:rFonts w:hint="eastAsia" w:ascii="宋体" w:hAnsi="宋体" w:eastAsia="宋体"/>
          <w:b w:val="0"/>
          <w:bCs/>
          <w:sz w:val="24"/>
          <w:szCs w:val="24"/>
          <w:lang w:eastAsia="zh-CN"/>
        </w:rPr>
      </w:pPr>
      <w:r>
        <w:rPr>
          <w:rFonts w:hint="eastAsia" w:ascii="宋体" w:hAnsi="宋体" w:cs="宋体"/>
          <w:b w:val="0"/>
          <w:bCs/>
          <w:kern w:val="2"/>
          <w:sz w:val="24"/>
          <w:szCs w:val="24"/>
          <w:u w:val="single"/>
          <w:lang w:val="en-US" w:eastAsia="zh-CN"/>
        </w:rPr>
        <w:t xml:space="preserve">                   </w:t>
      </w:r>
      <w:r>
        <w:rPr>
          <w:rFonts w:hint="eastAsia" w:ascii="宋体" w:hAnsi="宋体" w:cs="宋体"/>
          <w:b w:val="0"/>
          <w:bCs/>
          <w:kern w:val="2"/>
          <w:sz w:val="24"/>
          <w:szCs w:val="24"/>
          <w:u w:val="single"/>
          <w:lang w:eastAsia="zh-CN"/>
        </w:rPr>
        <w:t>（</w:t>
      </w:r>
      <w:r>
        <w:rPr>
          <w:rFonts w:hint="eastAsia" w:ascii="宋体" w:hAnsi="宋体" w:cs="宋体"/>
          <w:b w:val="0"/>
          <w:bCs/>
          <w:kern w:val="2"/>
          <w:sz w:val="24"/>
          <w:szCs w:val="24"/>
        </w:rPr>
        <w:t>项目名称</w:t>
      </w:r>
      <w:r>
        <w:rPr>
          <w:rFonts w:hint="eastAsia" w:ascii="宋体" w:hAnsi="宋体" w:cs="宋体"/>
          <w:b w:val="0"/>
          <w:bCs/>
          <w:kern w:val="2"/>
          <w:sz w:val="24"/>
          <w:szCs w:val="24"/>
          <w:lang w:eastAsia="zh-CN"/>
        </w:rPr>
        <w:t>）</w:t>
      </w:r>
    </w:p>
    <w:p w14:paraId="58C81866">
      <w:pPr>
        <w:widowControl w:val="0"/>
        <w:spacing w:line="360" w:lineRule="auto"/>
        <w:ind w:firstLine="948" w:firstLineChars="395"/>
        <w:jc w:val="both"/>
        <w:rPr>
          <w:rFonts w:hint="eastAsia" w:ascii="宋体" w:hAnsi="宋体"/>
          <w:b w:val="0"/>
          <w:bCs/>
          <w:kern w:val="2"/>
          <w:sz w:val="24"/>
          <w:szCs w:val="24"/>
        </w:rPr>
      </w:pPr>
      <w:r>
        <w:rPr>
          <w:rFonts w:hint="eastAsia" w:ascii="宋体" w:hAnsi="宋体"/>
          <w:b w:val="0"/>
          <w:bCs/>
          <w:kern w:val="2"/>
          <w:sz w:val="24"/>
          <w:szCs w:val="24"/>
        </w:rPr>
        <w:t xml:space="preserve"> </w:t>
      </w:r>
    </w:p>
    <w:p w14:paraId="138803CA">
      <w:pPr>
        <w:widowControl w:val="0"/>
        <w:spacing w:line="360" w:lineRule="auto"/>
        <w:ind w:firstLine="948" w:firstLineChars="395"/>
        <w:jc w:val="both"/>
        <w:rPr>
          <w:rFonts w:hint="eastAsia" w:ascii="宋体" w:hAnsi="宋体"/>
          <w:b w:val="0"/>
          <w:bCs/>
          <w:kern w:val="2"/>
          <w:sz w:val="24"/>
          <w:szCs w:val="24"/>
        </w:rPr>
      </w:pPr>
    </w:p>
    <w:p w14:paraId="6F6B1330">
      <w:pPr>
        <w:widowControl w:val="0"/>
        <w:spacing w:line="360" w:lineRule="auto"/>
        <w:ind w:firstLine="948" w:firstLineChars="395"/>
        <w:jc w:val="both"/>
        <w:rPr>
          <w:rFonts w:hint="eastAsia" w:ascii="宋体" w:hAnsi="宋体"/>
          <w:b w:val="0"/>
          <w:bCs/>
          <w:kern w:val="2"/>
          <w:sz w:val="24"/>
          <w:szCs w:val="24"/>
        </w:rPr>
      </w:pPr>
    </w:p>
    <w:p w14:paraId="068192FF">
      <w:pPr>
        <w:widowControl w:val="0"/>
        <w:spacing w:line="360" w:lineRule="auto"/>
        <w:ind w:firstLine="948" w:firstLineChars="395"/>
        <w:jc w:val="both"/>
        <w:rPr>
          <w:rFonts w:hint="eastAsia" w:ascii="宋体" w:hAnsi="宋体"/>
          <w:b w:val="0"/>
          <w:bCs/>
          <w:kern w:val="2"/>
          <w:sz w:val="24"/>
          <w:szCs w:val="24"/>
        </w:rPr>
      </w:pPr>
    </w:p>
    <w:p w14:paraId="5151C95C">
      <w:pPr>
        <w:widowControl w:val="0"/>
        <w:spacing w:line="360" w:lineRule="auto"/>
        <w:jc w:val="center"/>
        <w:rPr>
          <w:rFonts w:ascii="宋体" w:hAnsi="宋体"/>
          <w:b w:val="0"/>
          <w:bCs/>
          <w:sz w:val="24"/>
          <w:szCs w:val="24"/>
        </w:rPr>
      </w:pPr>
      <w:bookmarkStart w:id="42" w:name="_Toc453139657"/>
      <w:bookmarkEnd w:id="42"/>
      <w:r>
        <w:rPr>
          <w:rFonts w:hint="eastAsia" w:ascii="宋体" w:hAnsi="宋体" w:cs="宋体"/>
          <w:b w:val="0"/>
          <w:bCs/>
          <w:kern w:val="2"/>
          <w:sz w:val="24"/>
          <w:szCs w:val="24"/>
        </w:rPr>
        <w:t>竞争性磋商响应文件</w:t>
      </w:r>
    </w:p>
    <w:p w14:paraId="3DB43CB7">
      <w:pPr>
        <w:widowControl w:val="0"/>
        <w:spacing w:line="360" w:lineRule="auto"/>
        <w:ind w:firstLine="1068" w:firstLineChars="445"/>
        <w:jc w:val="both"/>
        <w:rPr>
          <w:rFonts w:hint="eastAsia" w:ascii="宋体" w:hAnsi="宋体"/>
          <w:b w:val="0"/>
          <w:bCs/>
          <w:kern w:val="2"/>
          <w:sz w:val="24"/>
          <w:szCs w:val="24"/>
        </w:rPr>
      </w:pPr>
      <w:r>
        <w:rPr>
          <w:rFonts w:hint="eastAsia" w:ascii="宋体" w:hAnsi="宋体"/>
          <w:b w:val="0"/>
          <w:bCs/>
          <w:kern w:val="2"/>
          <w:sz w:val="24"/>
          <w:szCs w:val="24"/>
        </w:rPr>
        <w:t xml:space="preserve"> </w:t>
      </w:r>
    </w:p>
    <w:p w14:paraId="472B97BD">
      <w:pPr>
        <w:widowControl w:val="0"/>
        <w:spacing w:line="360" w:lineRule="auto"/>
        <w:ind w:firstLine="1068" w:firstLineChars="445"/>
        <w:jc w:val="both"/>
        <w:rPr>
          <w:rFonts w:hint="eastAsia" w:ascii="宋体" w:hAnsi="宋体"/>
          <w:b w:val="0"/>
          <w:bCs/>
          <w:kern w:val="2"/>
          <w:sz w:val="24"/>
          <w:szCs w:val="24"/>
        </w:rPr>
      </w:pPr>
    </w:p>
    <w:p w14:paraId="5124BDBA">
      <w:pPr>
        <w:widowControl w:val="0"/>
        <w:spacing w:line="360" w:lineRule="auto"/>
        <w:ind w:firstLine="1068" w:firstLineChars="445"/>
        <w:jc w:val="both"/>
        <w:rPr>
          <w:rFonts w:hint="eastAsia" w:ascii="宋体" w:hAnsi="宋体"/>
          <w:b w:val="0"/>
          <w:bCs/>
          <w:kern w:val="2"/>
          <w:sz w:val="24"/>
          <w:szCs w:val="24"/>
        </w:rPr>
      </w:pPr>
    </w:p>
    <w:p w14:paraId="68C638B2">
      <w:pPr>
        <w:widowControl w:val="0"/>
        <w:spacing w:line="360" w:lineRule="auto"/>
        <w:ind w:firstLine="1068" w:firstLineChars="445"/>
        <w:jc w:val="both"/>
        <w:rPr>
          <w:rFonts w:ascii="宋体" w:hAnsi="宋体"/>
          <w:b w:val="0"/>
          <w:bCs/>
          <w:sz w:val="24"/>
          <w:szCs w:val="24"/>
        </w:rPr>
      </w:pPr>
      <w:r>
        <w:rPr>
          <w:rFonts w:hint="eastAsia" w:ascii="宋体" w:hAnsi="宋体"/>
          <w:b w:val="0"/>
          <w:bCs/>
          <w:kern w:val="2"/>
          <w:sz w:val="24"/>
          <w:szCs w:val="24"/>
        </w:rPr>
        <w:t xml:space="preserve"> </w:t>
      </w:r>
    </w:p>
    <w:p w14:paraId="5EE57922">
      <w:pPr>
        <w:widowControl w:val="0"/>
        <w:spacing w:line="360" w:lineRule="auto"/>
        <w:ind w:firstLine="3360" w:firstLineChars="1400"/>
        <w:jc w:val="both"/>
        <w:rPr>
          <w:rFonts w:ascii="宋体" w:hAnsi="宋体"/>
          <w:b w:val="0"/>
          <w:bCs/>
          <w:sz w:val="24"/>
          <w:szCs w:val="24"/>
        </w:rPr>
      </w:pPr>
      <w:r>
        <w:rPr>
          <w:rFonts w:hint="eastAsia" w:ascii="宋体" w:hAnsi="宋体" w:cs="宋体"/>
          <w:b w:val="0"/>
          <w:bCs/>
          <w:kern w:val="2"/>
          <w:sz w:val="24"/>
          <w:szCs w:val="24"/>
        </w:rPr>
        <w:t>项目编号：</w:t>
      </w:r>
      <w:r>
        <w:rPr>
          <w:rFonts w:hint="eastAsia" w:ascii="宋体" w:hAnsi="宋体"/>
          <w:b w:val="0"/>
          <w:bCs/>
          <w:sz w:val="24"/>
          <w:szCs w:val="24"/>
          <w:u w:val="single"/>
          <w:lang w:val="en-US" w:eastAsia="zh-CN"/>
        </w:rPr>
        <w:t xml:space="preserve">           </w:t>
      </w:r>
      <w:r>
        <w:rPr>
          <w:rFonts w:hint="eastAsia" w:ascii="宋体" w:hAnsi="宋体"/>
          <w:b w:val="0"/>
          <w:bCs/>
          <w:kern w:val="2"/>
          <w:sz w:val="24"/>
          <w:szCs w:val="24"/>
        </w:rPr>
        <w:t xml:space="preserve"> </w:t>
      </w:r>
    </w:p>
    <w:p w14:paraId="72B1FE0A">
      <w:pPr>
        <w:widowControl w:val="0"/>
        <w:spacing w:line="360" w:lineRule="auto"/>
        <w:jc w:val="both"/>
        <w:rPr>
          <w:rFonts w:ascii="宋体" w:hAnsi="宋体"/>
          <w:sz w:val="24"/>
          <w:szCs w:val="24"/>
        </w:rPr>
      </w:pPr>
      <w:r>
        <w:rPr>
          <w:rFonts w:hint="eastAsia" w:ascii="宋体" w:hAnsi="宋体"/>
          <w:kern w:val="2"/>
          <w:sz w:val="24"/>
          <w:szCs w:val="24"/>
        </w:rPr>
        <w:t xml:space="preserve"> </w:t>
      </w:r>
    </w:p>
    <w:p w14:paraId="3623FF5A">
      <w:pPr>
        <w:widowControl w:val="0"/>
        <w:spacing w:line="360" w:lineRule="auto"/>
        <w:jc w:val="both"/>
        <w:rPr>
          <w:rFonts w:hint="eastAsia" w:ascii="宋体" w:hAnsi="宋体"/>
          <w:kern w:val="2"/>
          <w:sz w:val="24"/>
          <w:szCs w:val="24"/>
        </w:rPr>
      </w:pPr>
      <w:r>
        <w:rPr>
          <w:rFonts w:hint="eastAsia" w:ascii="宋体" w:hAnsi="宋体"/>
          <w:kern w:val="2"/>
          <w:sz w:val="24"/>
          <w:szCs w:val="24"/>
        </w:rPr>
        <w:t xml:space="preserve"> </w:t>
      </w:r>
    </w:p>
    <w:p w14:paraId="2710BFC3">
      <w:pPr>
        <w:pStyle w:val="14"/>
        <w:ind w:left="400" w:firstLine="480"/>
        <w:rPr>
          <w:rFonts w:hint="eastAsia" w:ascii="宋体" w:hAnsi="宋体"/>
          <w:kern w:val="2"/>
          <w:sz w:val="24"/>
          <w:szCs w:val="24"/>
        </w:rPr>
      </w:pPr>
    </w:p>
    <w:p w14:paraId="40828E31">
      <w:pPr>
        <w:pStyle w:val="11"/>
        <w:bidi w:val="0"/>
        <w:rPr>
          <w:rFonts w:hint="eastAsia"/>
        </w:rPr>
      </w:pPr>
    </w:p>
    <w:p w14:paraId="46BC258D">
      <w:pPr>
        <w:widowControl w:val="0"/>
        <w:spacing w:line="360" w:lineRule="auto"/>
        <w:jc w:val="both"/>
        <w:rPr>
          <w:rFonts w:hint="eastAsia" w:ascii="宋体" w:hAnsi="宋体"/>
          <w:kern w:val="2"/>
          <w:sz w:val="24"/>
          <w:szCs w:val="24"/>
        </w:rPr>
      </w:pPr>
    </w:p>
    <w:p w14:paraId="09E4C393">
      <w:pPr>
        <w:pStyle w:val="14"/>
        <w:ind w:left="400" w:firstLine="480"/>
        <w:rPr>
          <w:rFonts w:hint="eastAsia" w:ascii="宋体" w:hAnsi="宋体"/>
          <w:kern w:val="2"/>
          <w:sz w:val="24"/>
          <w:szCs w:val="24"/>
        </w:rPr>
      </w:pPr>
    </w:p>
    <w:p w14:paraId="7206451F">
      <w:pPr>
        <w:pStyle w:val="6"/>
        <w:bidi w:val="0"/>
      </w:pPr>
    </w:p>
    <w:p w14:paraId="191E082C">
      <w:pPr>
        <w:widowControl w:val="0"/>
        <w:spacing w:line="360" w:lineRule="auto"/>
        <w:jc w:val="both"/>
        <w:rPr>
          <w:rFonts w:ascii="宋体" w:hAnsi="宋体"/>
          <w:sz w:val="24"/>
          <w:szCs w:val="24"/>
        </w:rPr>
      </w:pPr>
      <w:r>
        <w:rPr>
          <w:rFonts w:hint="eastAsia" w:ascii="宋体" w:hAnsi="宋体"/>
          <w:kern w:val="2"/>
          <w:sz w:val="24"/>
          <w:szCs w:val="24"/>
        </w:rPr>
        <w:t xml:space="preserve"> </w:t>
      </w:r>
    </w:p>
    <w:p w14:paraId="03935BDA">
      <w:pPr>
        <w:widowControl w:val="0"/>
        <w:spacing w:line="360" w:lineRule="auto"/>
        <w:jc w:val="center"/>
        <w:rPr>
          <w:rFonts w:ascii="宋体" w:hAnsi="宋体"/>
          <w:sz w:val="24"/>
          <w:szCs w:val="24"/>
        </w:rPr>
      </w:pPr>
      <w:bookmarkStart w:id="43" w:name="_Toc453139658"/>
      <w:bookmarkEnd w:id="43"/>
      <w:r>
        <w:rPr>
          <w:rFonts w:hint="eastAsia" w:ascii="宋体" w:hAnsi="宋体" w:cs="宋体"/>
          <w:kern w:val="2"/>
          <w:sz w:val="24"/>
          <w:szCs w:val="24"/>
          <w:lang w:val="en-US" w:eastAsia="zh-CN"/>
        </w:rPr>
        <w:t xml:space="preserve">     </w:t>
      </w:r>
      <w:r>
        <w:rPr>
          <w:rFonts w:hint="eastAsia" w:ascii="宋体" w:hAnsi="宋体" w:cs="宋体"/>
          <w:kern w:val="2"/>
          <w:sz w:val="24"/>
          <w:szCs w:val="24"/>
        </w:rPr>
        <w:t>供应商名称：</w:t>
      </w:r>
      <w:r>
        <w:rPr>
          <w:rFonts w:hint="eastAsia" w:ascii="宋体" w:hAnsi="宋体"/>
          <w:kern w:val="2"/>
          <w:sz w:val="24"/>
          <w:szCs w:val="24"/>
          <w:u w:val="single"/>
          <w:lang w:val="en-US" w:eastAsia="zh-CN"/>
        </w:rPr>
        <w:t xml:space="preserve">       </w:t>
      </w:r>
      <w:r>
        <w:rPr>
          <w:rFonts w:hint="eastAsia" w:ascii="宋体" w:hAnsi="宋体" w:cs="宋体"/>
          <w:kern w:val="2"/>
          <w:sz w:val="24"/>
          <w:szCs w:val="24"/>
        </w:rPr>
        <w:t>（</w:t>
      </w:r>
      <w:r>
        <w:rPr>
          <w:rFonts w:hint="eastAsia" w:ascii="宋体" w:hAnsi="宋体" w:cs="宋体"/>
          <w:kern w:val="2"/>
          <w:sz w:val="24"/>
          <w:szCs w:val="24"/>
          <w:lang w:eastAsia="zh-CN"/>
        </w:rPr>
        <w:t>公章电子</w:t>
      </w:r>
      <w:r>
        <w:rPr>
          <w:rFonts w:hint="eastAsia" w:ascii="宋体" w:hAnsi="宋体" w:eastAsia="宋体" w:cs="宋体"/>
          <w:color w:val="auto"/>
          <w:sz w:val="24"/>
          <w:szCs w:val="24"/>
        </w:rPr>
        <w:t>签章</w:t>
      </w:r>
      <w:r>
        <w:rPr>
          <w:rFonts w:hint="eastAsia" w:ascii="宋体" w:hAnsi="宋体" w:cs="宋体"/>
          <w:kern w:val="2"/>
          <w:sz w:val="24"/>
          <w:szCs w:val="24"/>
        </w:rPr>
        <w:t>）</w:t>
      </w:r>
    </w:p>
    <w:p w14:paraId="7F0BB07B">
      <w:pPr>
        <w:widowControl w:val="0"/>
        <w:spacing w:line="360" w:lineRule="auto"/>
        <w:jc w:val="center"/>
        <w:rPr>
          <w:rFonts w:ascii="宋体" w:hAnsi="宋体"/>
          <w:sz w:val="24"/>
          <w:szCs w:val="24"/>
        </w:rPr>
      </w:pPr>
      <w:bookmarkStart w:id="44" w:name="_Toc453139660"/>
      <w:bookmarkEnd w:id="44"/>
      <w:r>
        <w:rPr>
          <w:rFonts w:hint="eastAsia" w:ascii="宋体" w:hAnsi="宋体" w:cs="宋体"/>
          <w:kern w:val="2"/>
          <w:sz w:val="24"/>
          <w:szCs w:val="24"/>
          <w:lang w:val="en-US" w:eastAsia="zh-CN"/>
        </w:rPr>
        <w:t xml:space="preserve">     </w:t>
      </w:r>
      <w:r>
        <w:rPr>
          <w:rFonts w:hint="eastAsia" w:ascii="宋体" w:hAnsi="宋体" w:cs="宋体"/>
          <w:kern w:val="2"/>
          <w:sz w:val="24"/>
          <w:szCs w:val="24"/>
        </w:rPr>
        <w:t>法定代表人：</w:t>
      </w:r>
      <w:r>
        <w:rPr>
          <w:rFonts w:hint="eastAsia" w:ascii="宋体" w:hAnsi="宋体"/>
          <w:kern w:val="2"/>
          <w:sz w:val="24"/>
          <w:szCs w:val="24"/>
          <w:u w:val="single"/>
          <w:lang w:val="en-US" w:eastAsia="zh-CN"/>
        </w:rPr>
        <w:t xml:space="preserve">       </w:t>
      </w:r>
      <w:r>
        <w:rPr>
          <w:rFonts w:hint="eastAsia" w:ascii="宋体" w:hAnsi="宋体"/>
          <w:kern w:val="2"/>
          <w:sz w:val="24"/>
          <w:szCs w:val="24"/>
        </w:rPr>
        <w:t>（法人</w:t>
      </w:r>
      <w:r>
        <w:rPr>
          <w:rFonts w:hint="eastAsia" w:ascii="宋体" w:hAnsi="宋体"/>
          <w:kern w:val="2"/>
          <w:sz w:val="24"/>
          <w:szCs w:val="24"/>
          <w:lang w:eastAsia="zh-CN"/>
        </w:rPr>
        <w:t>电子</w:t>
      </w:r>
      <w:r>
        <w:rPr>
          <w:rFonts w:hint="eastAsia" w:ascii="宋体" w:hAnsi="宋体"/>
          <w:kern w:val="2"/>
          <w:sz w:val="24"/>
          <w:szCs w:val="24"/>
        </w:rPr>
        <w:t>签章</w:t>
      </w:r>
      <w:r>
        <w:rPr>
          <w:rFonts w:hint="eastAsia" w:ascii="宋体" w:hAnsi="宋体" w:cs="宋体"/>
          <w:kern w:val="2"/>
          <w:sz w:val="24"/>
          <w:szCs w:val="24"/>
        </w:rPr>
        <w:t>）</w:t>
      </w:r>
    </w:p>
    <w:p w14:paraId="16688A63">
      <w:pPr>
        <w:widowControl w:val="0"/>
        <w:spacing w:line="360" w:lineRule="auto"/>
        <w:ind w:left="0" w:leftChars="0" w:firstLine="2798" w:firstLineChars="1166"/>
        <w:jc w:val="both"/>
        <w:rPr>
          <w:rFonts w:hint="default" w:ascii="宋体" w:hAnsi="宋体" w:eastAsia="宋体"/>
          <w:sz w:val="24"/>
          <w:szCs w:val="24"/>
          <w:lang w:val="en-US" w:eastAsia="zh-CN"/>
        </w:rPr>
      </w:pPr>
      <w:bookmarkStart w:id="45" w:name="_Toc453139662"/>
      <w:bookmarkEnd w:id="45"/>
      <w:r>
        <w:rPr>
          <w:rFonts w:hint="eastAsia" w:ascii="宋体" w:hAnsi="宋体" w:cs="宋体"/>
          <w:kern w:val="2"/>
          <w:sz w:val="24"/>
          <w:szCs w:val="24"/>
        </w:rPr>
        <w:t>日</w:t>
      </w:r>
      <w:r>
        <w:rPr>
          <w:rFonts w:hint="eastAsia" w:ascii="宋体" w:hAnsi="宋体"/>
          <w:kern w:val="2"/>
          <w:sz w:val="24"/>
          <w:szCs w:val="24"/>
        </w:rPr>
        <w:t xml:space="preserve">    </w:t>
      </w:r>
      <w:r>
        <w:rPr>
          <w:rFonts w:hint="eastAsia" w:ascii="宋体" w:hAnsi="宋体"/>
          <w:kern w:val="2"/>
          <w:sz w:val="24"/>
          <w:szCs w:val="24"/>
          <w:lang w:val="en-US" w:eastAsia="zh-CN"/>
        </w:rPr>
        <w:t xml:space="preserve"> </w:t>
      </w:r>
      <w:r>
        <w:rPr>
          <w:rFonts w:hint="eastAsia" w:ascii="宋体" w:hAnsi="宋体"/>
          <w:kern w:val="2"/>
          <w:sz w:val="24"/>
          <w:szCs w:val="24"/>
        </w:rPr>
        <w:t xml:space="preserve"> </w:t>
      </w:r>
      <w:r>
        <w:rPr>
          <w:rFonts w:hint="eastAsia" w:ascii="宋体" w:hAnsi="宋体" w:cs="宋体"/>
          <w:kern w:val="2"/>
          <w:sz w:val="24"/>
          <w:szCs w:val="24"/>
        </w:rPr>
        <w:t>期：</w:t>
      </w:r>
      <w:r>
        <w:rPr>
          <w:rFonts w:hint="eastAsia" w:ascii="宋体" w:hAnsi="宋体" w:cs="宋体"/>
          <w:kern w:val="2"/>
          <w:sz w:val="24"/>
          <w:szCs w:val="24"/>
          <w:lang w:val="en-US" w:eastAsia="zh-CN"/>
        </w:rPr>
        <w:t xml:space="preserve">   年    月    日</w:t>
      </w:r>
    </w:p>
    <w:p w14:paraId="727A64A7">
      <w:pPr>
        <w:widowControl w:val="0"/>
        <w:spacing w:line="360" w:lineRule="auto"/>
        <w:jc w:val="both"/>
        <w:rPr>
          <w:rFonts w:ascii="宋体" w:hAnsi="宋体"/>
          <w:kern w:val="2"/>
          <w:sz w:val="24"/>
          <w:szCs w:val="24"/>
        </w:rPr>
      </w:pPr>
      <w:r>
        <w:rPr>
          <w:rFonts w:hint="eastAsia" w:ascii="宋体" w:hAnsi="宋体"/>
          <w:kern w:val="2"/>
          <w:sz w:val="24"/>
          <w:szCs w:val="24"/>
        </w:rPr>
        <w:t xml:space="preserve"> </w:t>
      </w:r>
    </w:p>
    <w:p w14:paraId="5213DE22">
      <w:pPr>
        <w:widowControl w:val="0"/>
        <w:spacing w:line="360" w:lineRule="auto"/>
        <w:jc w:val="both"/>
        <w:rPr>
          <w:rFonts w:ascii="宋体" w:hAnsi="宋体"/>
          <w:kern w:val="2"/>
          <w:sz w:val="24"/>
          <w:szCs w:val="24"/>
        </w:rPr>
      </w:pPr>
    </w:p>
    <w:p w14:paraId="155A7AEA">
      <w:pPr>
        <w:widowControl w:val="0"/>
        <w:spacing w:line="360" w:lineRule="auto"/>
        <w:jc w:val="both"/>
        <w:rPr>
          <w:rFonts w:ascii="宋体" w:hAnsi="宋体"/>
          <w:kern w:val="2"/>
          <w:sz w:val="24"/>
          <w:szCs w:val="24"/>
        </w:rPr>
      </w:pPr>
    </w:p>
    <w:p w14:paraId="701ECB76">
      <w:pPr>
        <w:spacing w:line="360" w:lineRule="auto"/>
        <w:jc w:val="center"/>
        <w:rPr>
          <w:rFonts w:hint="eastAsia" w:ascii="宋体" w:hAnsi="宋体" w:cs="宋体"/>
          <w:b/>
          <w:sz w:val="24"/>
          <w:szCs w:val="24"/>
        </w:rPr>
      </w:pPr>
    </w:p>
    <w:p w14:paraId="28BC2770">
      <w:pPr>
        <w:spacing w:line="360" w:lineRule="auto"/>
        <w:jc w:val="center"/>
        <w:rPr>
          <w:rFonts w:hint="eastAsia" w:ascii="宋体" w:hAnsi="宋体" w:cs="宋体"/>
          <w:b/>
          <w:sz w:val="24"/>
          <w:szCs w:val="24"/>
        </w:rPr>
      </w:pPr>
      <w:r>
        <w:rPr>
          <w:rFonts w:hint="eastAsia" w:ascii="宋体" w:hAnsi="宋体" w:cs="宋体"/>
          <w:b/>
          <w:sz w:val="24"/>
          <w:szCs w:val="24"/>
        </w:rPr>
        <w:t>目录</w:t>
      </w:r>
    </w:p>
    <w:p w14:paraId="25CAE33F">
      <w:pPr>
        <w:pStyle w:val="14"/>
        <w:ind w:left="400" w:firstLine="482"/>
        <w:rPr>
          <w:rFonts w:hint="eastAsia" w:ascii="宋体" w:hAnsi="宋体" w:cs="宋体"/>
          <w:b/>
          <w:sz w:val="24"/>
          <w:szCs w:val="24"/>
        </w:rPr>
      </w:pPr>
    </w:p>
    <w:p w14:paraId="15B3CACA">
      <w:pPr>
        <w:jc w:val="center"/>
        <w:rPr>
          <w:rFonts w:hint="eastAsia" w:ascii="宋体" w:hAnsi="宋体" w:cs="宋体"/>
          <w:b/>
          <w:sz w:val="24"/>
          <w:szCs w:val="24"/>
        </w:rPr>
      </w:pPr>
      <w:r>
        <w:rPr>
          <w:rFonts w:hint="eastAsia" w:ascii="宋体" w:hAnsi="宋体" w:cs="宋体"/>
          <w:b/>
          <w:sz w:val="24"/>
          <w:szCs w:val="24"/>
        </w:rPr>
        <w:t>（格式自拟）</w:t>
      </w:r>
    </w:p>
    <w:p w14:paraId="288361F5">
      <w:pPr>
        <w:pStyle w:val="14"/>
        <w:ind w:left="400" w:firstLine="482"/>
        <w:rPr>
          <w:rFonts w:hint="eastAsia" w:ascii="宋体" w:hAnsi="宋体" w:cs="宋体"/>
          <w:b/>
          <w:sz w:val="24"/>
          <w:szCs w:val="24"/>
        </w:rPr>
      </w:pPr>
    </w:p>
    <w:p w14:paraId="5DD7E098">
      <w:pPr>
        <w:rPr>
          <w:rFonts w:hint="eastAsia" w:ascii="宋体" w:hAnsi="宋体" w:cs="宋体"/>
          <w:b/>
          <w:sz w:val="24"/>
          <w:szCs w:val="24"/>
        </w:rPr>
      </w:pPr>
    </w:p>
    <w:p w14:paraId="49A448F4">
      <w:pPr>
        <w:pStyle w:val="14"/>
        <w:ind w:left="400" w:firstLine="482"/>
        <w:rPr>
          <w:rFonts w:hint="eastAsia" w:ascii="宋体" w:hAnsi="宋体" w:cs="宋体"/>
          <w:b/>
          <w:sz w:val="24"/>
          <w:szCs w:val="24"/>
        </w:rPr>
      </w:pPr>
    </w:p>
    <w:p w14:paraId="0D4541D6">
      <w:pPr>
        <w:rPr>
          <w:rFonts w:hint="eastAsia" w:ascii="宋体" w:hAnsi="宋体" w:cs="宋体"/>
          <w:b/>
          <w:sz w:val="24"/>
          <w:szCs w:val="24"/>
        </w:rPr>
      </w:pPr>
    </w:p>
    <w:p w14:paraId="0805562B">
      <w:pPr>
        <w:pStyle w:val="14"/>
        <w:ind w:left="400" w:firstLine="400"/>
        <w:rPr>
          <w:rFonts w:hint="eastAsia"/>
        </w:rPr>
      </w:pPr>
    </w:p>
    <w:p w14:paraId="1CBAECCB">
      <w:pPr>
        <w:rPr>
          <w:rFonts w:hint="eastAsia" w:ascii="宋体" w:hAnsi="宋体" w:cs="宋体"/>
          <w:b/>
          <w:sz w:val="24"/>
          <w:szCs w:val="24"/>
        </w:rPr>
      </w:pPr>
    </w:p>
    <w:p w14:paraId="4729FE58">
      <w:pPr>
        <w:pStyle w:val="14"/>
        <w:ind w:left="400" w:firstLine="482"/>
        <w:rPr>
          <w:rFonts w:hint="eastAsia" w:ascii="宋体" w:hAnsi="宋体" w:cs="宋体"/>
          <w:b/>
          <w:sz w:val="24"/>
          <w:szCs w:val="24"/>
        </w:rPr>
      </w:pPr>
    </w:p>
    <w:p w14:paraId="53EE3252">
      <w:pPr>
        <w:rPr>
          <w:rFonts w:hint="eastAsia" w:ascii="宋体" w:hAnsi="宋体" w:cs="宋体"/>
          <w:b/>
          <w:sz w:val="24"/>
          <w:szCs w:val="24"/>
        </w:rPr>
      </w:pPr>
    </w:p>
    <w:p w14:paraId="44BB8984">
      <w:pPr>
        <w:pStyle w:val="14"/>
        <w:ind w:left="400" w:firstLine="482"/>
        <w:rPr>
          <w:rFonts w:hint="eastAsia" w:ascii="宋体" w:hAnsi="宋体" w:cs="宋体"/>
          <w:b/>
          <w:sz w:val="24"/>
          <w:szCs w:val="24"/>
        </w:rPr>
      </w:pPr>
    </w:p>
    <w:p w14:paraId="3544C298">
      <w:pPr>
        <w:rPr>
          <w:rFonts w:hint="eastAsia" w:ascii="宋体" w:hAnsi="宋体" w:cs="宋体"/>
          <w:b/>
          <w:sz w:val="24"/>
          <w:szCs w:val="24"/>
        </w:rPr>
      </w:pPr>
    </w:p>
    <w:p w14:paraId="53E03FC3">
      <w:pPr>
        <w:pStyle w:val="14"/>
        <w:ind w:left="400" w:firstLine="400"/>
        <w:rPr>
          <w:rFonts w:hint="eastAsia"/>
        </w:rPr>
      </w:pPr>
    </w:p>
    <w:p w14:paraId="6A4D29DB">
      <w:pPr>
        <w:spacing w:line="360" w:lineRule="auto"/>
        <w:jc w:val="center"/>
        <w:rPr>
          <w:rFonts w:hint="eastAsia" w:ascii="宋体" w:hAnsi="宋体" w:cs="宋体"/>
          <w:b/>
          <w:sz w:val="24"/>
          <w:szCs w:val="24"/>
        </w:rPr>
      </w:pPr>
    </w:p>
    <w:p w14:paraId="10D6679B">
      <w:pPr>
        <w:spacing w:line="360" w:lineRule="auto"/>
        <w:jc w:val="center"/>
        <w:rPr>
          <w:rFonts w:hint="eastAsia" w:ascii="宋体" w:hAnsi="宋体" w:cs="宋体"/>
          <w:b/>
          <w:sz w:val="24"/>
          <w:szCs w:val="24"/>
        </w:rPr>
      </w:pPr>
    </w:p>
    <w:p w14:paraId="2052E7D0">
      <w:pPr>
        <w:spacing w:line="360" w:lineRule="auto"/>
        <w:jc w:val="center"/>
        <w:rPr>
          <w:rFonts w:hint="eastAsia" w:ascii="宋体" w:hAnsi="宋体" w:cs="宋体"/>
          <w:b/>
          <w:sz w:val="24"/>
          <w:szCs w:val="24"/>
        </w:rPr>
      </w:pPr>
    </w:p>
    <w:p w14:paraId="7CEB2BA9">
      <w:pPr>
        <w:spacing w:line="360" w:lineRule="auto"/>
        <w:jc w:val="center"/>
        <w:rPr>
          <w:rFonts w:hint="eastAsia" w:ascii="宋体" w:hAnsi="宋体" w:cs="宋体"/>
          <w:b/>
          <w:sz w:val="24"/>
          <w:szCs w:val="24"/>
        </w:rPr>
      </w:pPr>
    </w:p>
    <w:p w14:paraId="5F7E9FA9">
      <w:pPr>
        <w:spacing w:line="360" w:lineRule="auto"/>
        <w:jc w:val="center"/>
        <w:rPr>
          <w:rFonts w:hint="eastAsia" w:ascii="宋体" w:hAnsi="宋体" w:cs="宋体"/>
          <w:b/>
          <w:sz w:val="24"/>
          <w:szCs w:val="24"/>
        </w:rPr>
      </w:pPr>
    </w:p>
    <w:p w14:paraId="36975967">
      <w:pPr>
        <w:spacing w:line="360" w:lineRule="auto"/>
        <w:jc w:val="center"/>
        <w:rPr>
          <w:rFonts w:hint="eastAsia" w:ascii="宋体" w:hAnsi="宋体" w:cs="宋体"/>
          <w:b/>
          <w:sz w:val="24"/>
          <w:szCs w:val="24"/>
        </w:rPr>
      </w:pPr>
    </w:p>
    <w:p w14:paraId="322B7DE1">
      <w:pPr>
        <w:spacing w:line="360" w:lineRule="auto"/>
        <w:jc w:val="center"/>
        <w:rPr>
          <w:rFonts w:hint="eastAsia" w:ascii="宋体" w:hAnsi="宋体" w:cs="宋体"/>
          <w:b/>
          <w:sz w:val="24"/>
          <w:szCs w:val="24"/>
        </w:rPr>
      </w:pPr>
    </w:p>
    <w:p w14:paraId="0AF89423">
      <w:pPr>
        <w:spacing w:line="360" w:lineRule="auto"/>
        <w:jc w:val="center"/>
        <w:rPr>
          <w:rFonts w:hint="eastAsia" w:ascii="宋体" w:hAnsi="宋体" w:cs="宋体"/>
          <w:b/>
          <w:sz w:val="24"/>
          <w:szCs w:val="24"/>
        </w:rPr>
      </w:pPr>
    </w:p>
    <w:p w14:paraId="0272F15D">
      <w:pPr>
        <w:spacing w:line="360" w:lineRule="auto"/>
        <w:jc w:val="center"/>
        <w:rPr>
          <w:rFonts w:hint="eastAsia" w:ascii="宋体" w:hAnsi="宋体" w:cs="宋体"/>
          <w:b/>
          <w:sz w:val="24"/>
          <w:szCs w:val="24"/>
        </w:rPr>
      </w:pPr>
    </w:p>
    <w:p w14:paraId="1CEFCFC2">
      <w:pPr>
        <w:spacing w:line="360" w:lineRule="auto"/>
        <w:jc w:val="center"/>
        <w:rPr>
          <w:rFonts w:hint="eastAsia" w:ascii="宋体" w:hAnsi="宋体" w:cs="宋体"/>
          <w:b/>
          <w:sz w:val="24"/>
          <w:szCs w:val="24"/>
        </w:rPr>
      </w:pPr>
    </w:p>
    <w:p w14:paraId="14B5D92A">
      <w:pPr>
        <w:spacing w:line="360" w:lineRule="auto"/>
        <w:jc w:val="center"/>
        <w:rPr>
          <w:rFonts w:hint="eastAsia" w:ascii="宋体" w:hAnsi="宋体" w:cs="宋体"/>
          <w:b/>
          <w:sz w:val="24"/>
          <w:szCs w:val="24"/>
        </w:rPr>
      </w:pPr>
    </w:p>
    <w:p w14:paraId="324A1BE5">
      <w:pPr>
        <w:spacing w:line="360" w:lineRule="auto"/>
        <w:jc w:val="center"/>
        <w:rPr>
          <w:rFonts w:hint="eastAsia" w:ascii="宋体" w:hAnsi="宋体" w:cs="宋体"/>
          <w:b/>
          <w:sz w:val="24"/>
          <w:szCs w:val="24"/>
        </w:rPr>
      </w:pPr>
    </w:p>
    <w:p w14:paraId="325975B7">
      <w:pPr>
        <w:spacing w:line="360" w:lineRule="auto"/>
        <w:jc w:val="center"/>
        <w:rPr>
          <w:rFonts w:hint="eastAsia" w:ascii="宋体" w:hAnsi="宋体" w:cs="宋体"/>
          <w:b/>
          <w:sz w:val="24"/>
          <w:szCs w:val="24"/>
        </w:rPr>
      </w:pPr>
    </w:p>
    <w:p w14:paraId="1948CC95">
      <w:pPr>
        <w:spacing w:line="360" w:lineRule="auto"/>
        <w:jc w:val="center"/>
        <w:rPr>
          <w:rFonts w:hint="eastAsia" w:ascii="宋体" w:hAnsi="宋体" w:cs="宋体"/>
          <w:b/>
          <w:sz w:val="24"/>
          <w:szCs w:val="24"/>
        </w:rPr>
      </w:pPr>
    </w:p>
    <w:p w14:paraId="04F9989B">
      <w:pPr>
        <w:spacing w:line="360" w:lineRule="auto"/>
        <w:jc w:val="both"/>
        <w:rPr>
          <w:rFonts w:hint="eastAsia" w:ascii="宋体" w:hAnsi="宋体" w:cs="宋体"/>
          <w:b/>
          <w:sz w:val="24"/>
          <w:szCs w:val="24"/>
        </w:rPr>
      </w:pPr>
    </w:p>
    <w:p w14:paraId="28C443EA">
      <w:pPr>
        <w:numPr>
          <w:ilvl w:val="0"/>
          <w:numId w:val="0"/>
        </w:numPr>
        <w:spacing w:line="360" w:lineRule="auto"/>
        <w:jc w:val="center"/>
        <w:rPr>
          <w:rFonts w:hint="eastAsia" w:ascii="宋体" w:hAnsi="宋体" w:eastAsiaTheme="minorEastAsia" w:cstheme="minorBidi"/>
          <w:b/>
          <w:bCs/>
          <w:kern w:val="0"/>
          <w:sz w:val="28"/>
          <w:szCs w:val="28"/>
          <w:lang w:val="en-US" w:eastAsia="zh-CN" w:bidi="ar-SA"/>
        </w:rPr>
      </w:pPr>
    </w:p>
    <w:p w14:paraId="7F6298F7">
      <w:pPr>
        <w:numPr>
          <w:ilvl w:val="0"/>
          <w:numId w:val="0"/>
        </w:numPr>
        <w:spacing w:line="360" w:lineRule="auto"/>
        <w:jc w:val="center"/>
        <w:rPr>
          <w:rFonts w:hint="eastAsia" w:ascii="宋体" w:hAnsi="宋体" w:eastAsiaTheme="minorEastAsia" w:cstheme="minorBidi"/>
          <w:b/>
          <w:bCs/>
          <w:kern w:val="0"/>
          <w:sz w:val="28"/>
          <w:szCs w:val="28"/>
          <w:lang w:val="en-US" w:eastAsia="zh-CN" w:bidi="ar-SA"/>
        </w:rPr>
      </w:pPr>
    </w:p>
    <w:p w14:paraId="52FD9DF2">
      <w:pPr>
        <w:numPr>
          <w:ilvl w:val="0"/>
          <w:numId w:val="0"/>
        </w:numPr>
        <w:spacing w:line="360" w:lineRule="auto"/>
        <w:jc w:val="center"/>
        <w:rPr>
          <w:rFonts w:hint="eastAsia" w:ascii="宋体" w:hAnsi="宋体"/>
          <w:b/>
          <w:bCs/>
          <w:kern w:val="0"/>
          <w:sz w:val="28"/>
          <w:szCs w:val="28"/>
        </w:rPr>
      </w:pPr>
      <w:r>
        <w:rPr>
          <w:rFonts w:hint="eastAsia" w:ascii="宋体" w:hAnsi="宋体" w:eastAsiaTheme="minorEastAsia" w:cstheme="minorBidi"/>
          <w:b/>
          <w:bCs/>
          <w:kern w:val="0"/>
          <w:sz w:val="28"/>
          <w:szCs w:val="28"/>
          <w:lang w:val="en-US" w:eastAsia="zh-CN" w:bidi="ar-SA"/>
        </w:rPr>
        <w:t>一、</w:t>
      </w:r>
      <w:r>
        <w:rPr>
          <w:rFonts w:hint="eastAsia" w:ascii="宋体" w:hAnsi="宋体"/>
          <w:b/>
          <w:bCs/>
          <w:kern w:val="0"/>
          <w:sz w:val="28"/>
          <w:szCs w:val="28"/>
        </w:rPr>
        <w:t>磋商函及磋商函附</w:t>
      </w:r>
      <w:r>
        <w:rPr>
          <w:rFonts w:hint="eastAsia" w:ascii="宋体" w:hAnsi="宋体"/>
          <w:b/>
          <w:bCs/>
          <w:kern w:val="0"/>
          <w:sz w:val="28"/>
          <w:szCs w:val="28"/>
          <w:lang w:eastAsia="zh-CN"/>
        </w:rPr>
        <w:t>录</w:t>
      </w:r>
    </w:p>
    <w:p w14:paraId="566DBAE9">
      <w:pPr>
        <w:numPr>
          <w:ilvl w:val="0"/>
          <w:numId w:val="0"/>
        </w:numPr>
        <w:spacing w:line="360" w:lineRule="auto"/>
        <w:jc w:val="center"/>
        <w:rPr>
          <w:rFonts w:hint="eastAsia" w:ascii="宋体" w:hAnsi="宋体"/>
          <w:b/>
          <w:bCs/>
          <w:kern w:val="0"/>
          <w:sz w:val="28"/>
          <w:szCs w:val="28"/>
        </w:rPr>
      </w:pPr>
      <w:r>
        <w:rPr>
          <w:rFonts w:hint="eastAsia" w:ascii="宋体" w:hAnsi="宋体"/>
          <w:b/>
          <w:bCs/>
          <w:kern w:val="0"/>
          <w:sz w:val="28"/>
          <w:szCs w:val="28"/>
        </w:rPr>
        <w:t>（一）磋商函</w:t>
      </w:r>
    </w:p>
    <w:p w14:paraId="699B71F2">
      <w:pPr>
        <w:widowControl/>
        <w:spacing w:line="500" w:lineRule="exact"/>
        <w:jc w:val="left"/>
        <w:rPr>
          <w:rFonts w:hint="eastAsia" w:ascii="宋体" w:hAnsi="宋体" w:eastAsia="宋体" w:cs="宋体"/>
          <w:color w:val="auto"/>
          <w:kern w:val="0"/>
          <w:sz w:val="24"/>
        </w:rPr>
      </w:pPr>
      <w:bookmarkStart w:id="46" w:name="OLE_LINK11"/>
      <w:bookmarkEnd w:id="46"/>
      <w:bookmarkStart w:id="47" w:name="OLE_LINK7"/>
      <w:r>
        <w:rPr>
          <w:rFonts w:hint="eastAsia" w:ascii="宋体" w:hAnsi="宋体" w:eastAsia="宋体" w:cs="宋体"/>
          <w:color w:val="auto"/>
          <w:spacing w:val="46"/>
          <w:kern w:val="0"/>
          <w:sz w:val="24"/>
        </w:rPr>
        <w:t>致</w:t>
      </w:r>
      <w:bookmarkEnd w:id="47"/>
      <w:r>
        <w:rPr>
          <w:rFonts w:hint="eastAsia" w:ascii="宋体" w:hAnsi="宋体" w:eastAsia="宋体" w:cs="宋体"/>
          <w:color w:val="auto"/>
          <w:spacing w:val="46"/>
          <w:kern w:val="0"/>
          <w:sz w:val="24"/>
          <w:u w:val="single"/>
        </w:rPr>
        <w:t xml:space="preserve"> （采购人） </w:t>
      </w:r>
      <w:r>
        <w:rPr>
          <w:rFonts w:hint="eastAsia" w:ascii="宋体" w:hAnsi="宋体" w:eastAsia="宋体" w:cs="宋体"/>
          <w:color w:val="auto"/>
          <w:spacing w:val="46"/>
          <w:kern w:val="0"/>
          <w:sz w:val="24"/>
        </w:rPr>
        <w:t>：</w:t>
      </w:r>
    </w:p>
    <w:p w14:paraId="732A7E74">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根据已收到贵方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（项目名称）（项目编号：</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）磋商文件的全部内容，遵照《中华人民共和国政府采购法》等有关规定，我单位经研究上述磋商文件及其它有关文件后，我方愿以人民币（大写）</w:t>
      </w:r>
      <w:r>
        <w:rPr>
          <w:rFonts w:hint="eastAsia" w:ascii="宋体" w:hAnsi="宋体" w:eastAsia="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（小写：</w:t>
      </w:r>
      <w:r>
        <w:rPr>
          <w:rFonts w:hint="default" w:ascii="Arial" w:hAnsi="Arial" w:eastAsia="宋体" w:cs="Arial"/>
          <w:color w:val="auto"/>
          <w:kern w:val="0"/>
          <w:sz w:val="24"/>
        </w:rPr>
        <w:t>¥</w:t>
      </w:r>
      <w:r>
        <w:rPr>
          <w:rFonts w:hint="eastAsia" w:ascii="宋体" w:hAnsi="宋体" w:eastAsia="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元）的</w:t>
      </w:r>
      <w:r>
        <w:rPr>
          <w:rFonts w:hint="eastAsia" w:ascii="宋体" w:hAnsi="宋体" w:cs="宋体"/>
          <w:color w:val="auto"/>
          <w:kern w:val="0"/>
          <w:sz w:val="24"/>
          <w:lang w:eastAsia="zh-CN"/>
        </w:rPr>
        <w:t>磋商</w:t>
      </w:r>
      <w:r>
        <w:rPr>
          <w:rFonts w:hint="eastAsia" w:ascii="宋体" w:hAnsi="宋体" w:cs="宋体"/>
          <w:color w:val="auto"/>
          <w:kern w:val="0"/>
          <w:sz w:val="24"/>
          <w:lang w:val="en-US" w:eastAsia="zh-CN"/>
        </w:rPr>
        <w:t>总</w:t>
      </w:r>
      <w:r>
        <w:rPr>
          <w:rFonts w:hint="eastAsia" w:ascii="宋体" w:hAnsi="宋体" w:eastAsia="宋体" w:cs="宋体"/>
          <w:color w:val="auto"/>
          <w:kern w:val="0"/>
          <w:sz w:val="24"/>
        </w:rPr>
        <w:t>报价承包上述项目的</w:t>
      </w:r>
      <w:r>
        <w:rPr>
          <w:rFonts w:hint="eastAsia" w:ascii="宋体" w:hAnsi="宋体" w:eastAsia="宋体" w:cs="宋体"/>
          <w:color w:val="auto"/>
          <w:kern w:val="0"/>
          <w:sz w:val="24"/>
          <w:lang w:val="en-US" w:eastAsia="zh-CN"/>
        </w:rPr>
        <w:t>服务工作</w:t>
      </w:r>
      <w:r>
        <w:rPr>
          <w:rFonts w:hint="eastAsia" w:ascii="宋体" w:hAnsi="宋体" w:eastAsia="宋体" w:cs="宋体"/>
          <w:color w:val="auto"/>
          <w:kern w:val="0"/>
          <w:sz w:val="24"/>
        </w:rPr>
        <w:t>。</w:t>
      </w:r>
    </w:p>
    <w:p w14:paraId="74B3B315">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 我方已详细审阅全部</w:t>
      </w:r>
      <w:r>
        <w:rPr>
          <w:rFonts w:hint="eastAsia" w:ascii="宋体" w:hAnsi="宋体" w:eastAsia="宋体" w:cs="宋体"/>
          <w:color w:val="auto"/>
          <w:kern w:val="0"/>
          <w:sz w:val="24"/>
          <w:lang w:eastAsia="zh-CN"/>
        </w:rPr>
        <w:t>磋商</w:t>
      </w:r>
      <w:r>
        <w:rPr>
          <w:rFonts w:hint="eastAsia" w:ascii="宋体" w:hAnsi="宋体" w:eastAsia="宋体" w:cs="宋体"/>
          <w:color w:val="auto"/>
          <w:kern w:val="0"/>
          <w:sz w:val="24"/>
        </w:rPr>
        <w:t>文件，包括修改文件（如有）及有关附件，我方完全知道必须放弃提出含糊不清或误解的权力。</w:t>
      </w:r>
    </w:p>
    <w:p w14:paraId="7FFE9549">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 一旦我方中标，我们将按照</w:t>
      </w:r>
      <w:r>
        <w:rPr>
          <w:rFonts w:hint="eastAsia" w:ascii="宋体" w:hAnsi="宋体" w:cs="宋体"/>
          <w:color w:val="auto"/>
          <w:kern w:val="0"/>
          <w:sz w:val="24"/>
          <w:lang w:eastAsia="zh-CN"/>
        </w:rPr>
        <w:t>措施</w:t>
      </w:r>
      <w:r>
        <w:rPr>
          <w:rFonts w:hint="eastAsia" w:ascii="宋体" w:hAnsi="宋体" w:eastAsia="宋体" w:cs="宋体"/>
          <w:color w:val="auto"/>
          <w:kern w:val="0"/>
          <w:sz w:val="24"/>
        </w:rPr>
        <w:t>文件中规定的各项要求和我们的</w:t>
      </w: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文件中的表述和承诺，按期、按质、按量完成中标义务。</w:t>
      </w:r>
    </w:p>
    <w:p w14:paraId="3A87DF1A">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 我方愿在中标后向代理机构交纳代理</w:t>
      </w:r>
      <w:r>
        <w:rPr>
          <w:rFonts w:hint="eastAsia" w:ascii="宋体" w:hAnsi="宋体" w:cs="宋体"/>
          <w:color w:val="auto"/>
          <w:kern w:val="0"/>
          <w:sz w:val="24"/>
          <w:lang w:eastAsia="zh-CN"/>
        </w:rPr>
        <w:t>服务</w:t>
      </w:r>
      <w:r>
        <w:rPr>
          <w:rFonts w:hint="eastAsia" w:ascii="宋体" w:hAnsi="宋体" w:eastAsia="宋体" w:cs="宋体"/>
          <w:color w:val="auto"/>
          <w:kern w:val="0"/>
          <w:sz w:val="24"/>
        </w:rPr>
        <w:t>费以及相关费用。</w:t>
      </w:r>
    </w:p>
    <w:p w14:paraId="0C75C9CF">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4、 我方同意所递交的</w:t>
      </w: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文件在规定的投标有效期</w:t>
      </w:r>
      <w:r>
        <w:rPr>
          <w:rFonts w:hint="eastAsia" w:ascii="宋体" w:hAnsi="宋体" w:eastAsia="宋体" w:cs="宋体"/>
          <w:color w:val="auto"/>
          <w:kern w:val="0"/>
          <w:sz w:val="24"/>
          <w:u w:val="single"/>
          <w:lang w:val="en-US" w:eastAsia="zh-CN"/>
        </w:rPr>
        <w:t xml:space="preserve">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rPr>
        <w:t>日历天内有效，在此期间我方投标有可能中标，我方将受此约束。</w:t>
      </w:r>
    </w:p>
    <w:p w14:paraId="01DF309B">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5、除非另外达成协议并生效，贵方的中标通知书和本</w:t>
      </w: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文件将构成约束我们双方的合同。</w:t>
      </w:r>
    </w:p>
    <w:p w14:paraId="0F6790B1">
      <w:pPr>
        <w:spacing w:line="360" w:lineRule="auto"/>
        <w:jc w:val="right"/>
        <w:rPr>
          <w:rFonts w:hint="eastAsia" w:ascii="宋体" w:hAnsi="宋体" w:cs="宋体"/>
          <w:sz w:val="24"/>
          <w:szCs w:val="24"/>
        </w:rPr>
      </w:pPr>
    </w:p>
    <w:p w14:paraId="5D2F7FB1">
      <w:pPr>
        <w:spacing w:line="360" w:lineRule="auto"/>
        <w:jc w:val="center"/>
        <w:rPr>
          <w:rFonts w:hint="eastAsia"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供应商</w:t>
      </w:r>
      <w:r>
        <w:rPr>
          <w:rFonts w:hint="eastAsia" w:ascii="宋体" w:hAnsi="宋体" w:cs="宋体"/>
          <w:sz w:val="24"/>
          <w:szCs w:val="24"/>
          <w:lang w:eastAsia="zh-CN"/>
        </w:rPr>
        <w:t>名称：</w:t>
      </w:r>
      <w:r>
        <w:rPr>
          <w:rFonts w:hint="eastAsia" w:ascii="宋体" w:hAnsi="宋体"/>
          <w:kern w:val="2"/>
          <w:sz w:val="24"/>
          <w:szCs w:val="24"/>
          <w:u w:val="single"/>
          <w:lang w:val="en-US" w:eastAsia="zh-CN"/>
        </w:rPr>
        <w:t xml:space="preserve">       </w:t>
      </w:r>
      <w:r>
        <w:rPr>
          <w:rFonts w:hint="eastAsia" w:ascii="宋体" w:hAnsi="宋体" w:cs="宋体"/>
          <w:sz w:val="24"/>
          <w:szCs w:val="24"/>
        </w:rPr>
        <w:t>（</w:t>
      </w:r>
      <w:r>
        <w:rPr>
          <w:rFonts w:hint="eastAsia" w:ascii="宋体" w:hAnsi="宋体" w:cs="宋体"/>
          <w:sz w:val="24"/>
          <w:szCs w:val="24"/>
          <w:lang w:eastAsia="zh-CN"/>
        </w:rPr>
        <w:t>公章电子</w:t>
      </w:r>
      <w:r>
        <w:rPr>
          <w:rFonts w:hint="eastAsia" w:ascii="宋体" w:hAnsi="宋体" w:cs="宋体"/>
          <w:sz w:val="24"/>
          <w:szCs w:val="24"/>
        </w:rPr>
        <w:t xml:space="preserve">签章） </w:t>
      </w:r>
    </w:p>
    <w:p w14:paraId="779DB51E">
      <w:pPr>
        <w:spacing w:line="360" w:lineRule="auto"/>
        <w:jc w:val="center"/>
        <w:rPr>
          <w:rFonts w:hint="eastAsia"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法定代表人：</w:t>
      </w:r>
      <w:r>
        <w:rPr>
          <w:rFonts w:hint="eastAsia" w:ascii="宋体" w:hAnsi="宋体"/>
          <w:kern w:val="2"/>
          <w:sz w:val="24"/>
          <w:szCs w:val="24"/>
          <w:u w:val="single"/>
          <w:lang w:val="en-US" w:eastAsia="zh-CN"/>
        </w:rPr>
        <w:t xml:space="preserve">       </w:t>
      </w:r>
      <w:r>
        <w:rPr>
          <w:rFonts w:hint="eastAsia" w:ascii="宋体" w:hAnsi="宋体" w:cs="宋体"/>
          <w:sz w:val="24"/>
          <w:szCs w:val="24"/>
        </w:rPr>
        <w:t>（法人</w:t>
      </w:r>
      <w:r>
        <w:rPr>
          <w:rFonts w:hint="eastAsia" w:ascii="宋体" w:hAnsi="宋体" w:cs="宋体"/>
          <w:sz w:val="24"/>
          <w:szCs w:val="24"/>
          <w:lang w:eastAsia="zh-CN"/>
        </w:rPr>
        <w:t>电子</w:t>
      </w:r>
      <w:r>
        <w:rPr>
          <w:rFonts w:hint="eastAsia" w:ascii="宋体" w:hAnsi="宋体" w:cs="宋体"/>
          <w:sz w:val="24"/>
          <w:szCs w:val="24"/>
        </w:rPr>
        <w:t>签章）</w:t>
      </w:r>
    </w:p>
    <w:p w14:paraId="05B06B72">
      <w:pPr>
        <w:wordWrap w:val="0"/>
        <w:spacing w:line="360" w:lineRule="auto"/>
        <w:ind w:right="420"/>
        <w:jc w:val="center"/>
        <w:rPr>
          <w:rFonts w:hint="default" w:ascii="宋体" w:hAnsi="宋体" w:eastAsia="宋体" w:cs="宋体"/>
          <w:sz w:val="24"/>
          <w:szCs w:val="24"/>
          <w:u w:val="none"/>
          <w:lang w:val="en-US" w:eastAsia="zh-CN"/>
        </w:rPr>
      </w:pPr>
      <w:r>
        <w:rPr>
          <w:rFonts w:hint="eastAsia" w:ascii="宋体" w:hAnsi="宋体" w:cs="宋体"/>
          <w:sz w:val="24"/>
          <w:szCs w:val="24"/>
          <w:lang w:val="en-US" w:eastAsia="zh-CN"/>
        </w:rPr>
        <w:t xml:space="preserve">                              </w:t>
      </w:r>
      <w:r>
        <w:rPr>
          <w:rFonts w:hint="eastAsia" w:ascii="宋体" w:hAnsi="宋体" w:cs="宋体"/>
          <w:sz w:val="24"/>
          <w:szCs w:val="24"/>
        </w:rPr>
        <w:t>日 期：</w:t>
      </w:r>
      <w:r>
        <w:rPr>
          <w:rFonts w:hint="eastAsia" w:ascii="宋体" w:hAnsi="宋体" w:cs="宋体"/>
          <w:sz w:val="24"/>
          <w:szCs w:val="24"/>
          <w:lang w:val="en-US" w:eastAsia="zh-CN"/>
        </w:rPr>
        <w:t xml:space="preserve">   年 </w:t>
      </w:r>
      <w:r>
        <w:rPr>
          <w:rFonts w:hint="eastAsia" w:ascii="宋体" w:hAnsi="宋体" w:cs="宋体"/>
          <w:sz w:val="24"/>
          <w:szCs w:val="24"/>
          <w:u w:val="none"/>
          <w:lang w:val="en-US" w:eastAsia="zh-CN"/>
        </w:rPr>
        <w:t xml:space="preserve">  月   日</w:t>
      </w:r>
    </w:p>
    <w:p w14:paraId="562C0EAD">
      <w:pPr>
        <w:pStyle w:val="6"/>
        <w:bidi w:val="0"/>
      </w:pPr>
    </w:p>
    <w:p w14:paraId="4D461F4D">
      <w:pPr>
        <w:pStyle w:val="6"/>
        <w:bidi w:val="0"/>
      </w:pPr>
    </w:p>
    <w:p w14:paraId="6E8C9C9A">
      <w:pPr>
        <w:pStyle w:val="6"/>
        <w:bidi w:val="0"/>
      </w:pPr>
    </w:p>
    <w:p w14:paraId="2E8C3784">
      <w:pPr>
        <w:pStyle w:val="6"/>
        <w:bidi w:val="0"/>
      </w:pPr>
    </w:p>
    <w:p w14:paraId="4DA3DDA2">
      <w:pPr>
        <w:pStyle w:val="6"/>
        <w:bidi w:val="0"/>
      </w:pPr>
    </w:p>
    <w:p w14:paraId="5EFB0E3A">
      <w:pPr>
        <w:pStyle w:val="6"/>
        <w:bidi w:val="0"/>
      </w:pPr>
    </w:p>
    <w:p w14:paraId="55FF7DAE">
      <w:pPr>
        <w:pStyle w:val="6"/>
      </w:pPr>
    </w:p>
    <w:p w14:paraId="47D8A4A8">
      <w:pPr>
        <w:spacing w:after="156" w:afterLines="50" w:line="360" w:lineRule="auto"/>
        <w:jc w:val="center"/>
        <w:outlineLvl w:val="0"/>
        <w:rPr>
          <w:rFonts w:hint="eastAsia" w:ascii="宋体" w:hAnsi="宋体" w:cs="宋体"/>
          <w:b/>
          <w:sz w:val="24"/>
          <w:szCs w:val="24"/>
          <w:lang w:eastAsia="zh-CN"/>
        </w:rPr>
      </w:pPr>
      <w:bookmarkStart w:id="48" w:name="_Toc18215"/>
      <w:bookmarkStart w:id="49" w:name="_Toc13281"/>
    </w:p>
    <w:p w14:paraId="7A8E6EB7">
      <w:pPr>
        <w:spacing w:after="156" w:afterLines="50" w:line="360" w:lineRule="auto"/>
        <w:jc w:val="center"/>
        <w:outlineLvl w:val="0"/>
        <w:rPr>
          <w:rFonts w:hint="eastAsia" w:ascii="宋体" w:hAnsi="宋体" w:cs="宋体"/>
          <w:b/>
          <w:sz w:val="24"/>
          <w:szCs w:val="24"/>
          <w:lang w:eastAsia="zh-CN"/>
        </w:rPr>
      </w:pPr>
    </w:p>
    <w:p w14:paraId="65B6ED56">
      <w:pPr>
        <w:spacing w:after="156" w:afterLines="50" w:line="360" w:lineRule="auto"/>
        <w:jc w:val="center"/>
        <w:outlineLvl w:val="0"/>
        <w:rPr>
          <w:rFonts w:hint="eastAsia" w:ascii="宋体" w:hAnsi="宋体" w:cs="宋体"/>
          <w:b/>
          <w:sz w:val="24"/>
          <w:szCs w:val="24"/>
          <w:lang w:eastAsia="zh-CN"/>
        </w:rPr>
      </w:pPr>
    </w:p>
    <w:p w14:paraId="6818DFB3">
      <w:pPr>
        <w:spacing w:after="156" w:afterLines="50" w:line="360" w:lineRule="auto"/>
        <w:jc w:val="center"/>
        <w:outlineLvl w:val="0"/>
        <w:rPr>
          <w:rFonts w:ascii="宋体" w:hAnsi="宋体" w:cs="宋体"/>
          <w:sz w:val="24"/>
          <w:szCs w:val="24"/>
        </w:rPr>
      </w:pPr>
      <w:r>
        <w:rPr>
          <w:rFonts w:hint="eastAsia" w:ascii="宋体" w:hAnsi="宋体" w:cs="宋体"/>
          <w:b/>
          <w:sz w:val="24"/>
          <w:szCs w:val="24"/>
          <w:lang w:eastAsia="zh-CN"/>
        </w:rPr>
        <w:t>（</w:t>
      </w:r>
      <w:r>
        <w:rPr>
          <w:rFonts w:hint="eastAsia" w:ascii="宋体" w:hAnsi="宋体" w:cs="宋体"/>
          <w:b/>
          <w:sz w:val="24"/>
          <w:szCs w:val="24"/>
        </w:rPr>
        <w:t>二</w:t>
      </w:r>
      <w:r>
        <w:rPr>
          <w:rFonts w:hint="eastAsia" w:ascii="宋体" w:hAnsi="宋体" w:cs="宋体"/>
          <w:b/>
          <w:sz w:val="24"/>
          <w:szCs w:val="24"/>
          <w:lang w:eastAsia="zh-CN"/>
        </w:rPr>
        <w:t>）</w:t>
      </w:r>
      <w:r>
        <w:rPr>
          <w:rFonts w:hint="eastAsia" w:ascii="宋体" w:hAnsi="宋体" w:cs="宋体"/>
          <w:b/>
          <w:sz w:val="24"/>
          <w:szCs w:val="24"/>
        </w:rPr>
        <w:t>磋商函附录</w:t>
      </w:r>
      <w:bookmarkEnd w:id="48"/>
      <w:bookmarkEnd w:id="49"/>
    </w:p>
    <w:tbl>
      <w:tblPr>
        <w:tblStyle w:val="15"/>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3540"/>
        <w:gridCol w:w="1470"/>
        <w:gridCol w:w="3110"/>
      </w:tblGrid>
      <w:tr w14:paraId="3964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777" w:type="dxa"/>
            <w:noWrap w:val="0"/>
            <w:vAlign w:val="bottom"/>
          </w:tcPr>
          <w:p w14:paraId="2CE42663">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pacing w:val="10"/>
                <w:sz w:val="24"/>
                <w:szCs w:val="24"/>
              </w:rPr>
              <w:t>项目名称</w:t>
            </w:r>
          </w:p>
        </w:tc>
        <w:tc>
          <w:tcPr>
            <w:tcW w:w="8120" w:type="dxa"/>
            <w:gridSpan w:val="3"/>
            <w:noWrap w:val="0"/>
            <w:vAlign w:val="center"/>
          </w:tcPr>
          <w:p w14:paraId="1A1AD405">
            <w:pPr>
              <w:widowControl w:val="0"/>
              <w:autoSpaceDE w:val="0"/>
              <w:autoSpaceDN w:val="0"/>
              <w:adjustRightInd w:val="0"/>
              <w:spacing w:line="360" w:lineRule="auto"/>
              <w:ind w:firstLine="520" w:firstLineChars="200"/>
              <w:rPr>
                <w:rFonts w:ascii="宋体" w:hAnsi="宋体" w:cs="宋体"/>
                <w:spacing w:val="10"/>
                <w:sz w:val="24"/>
                <w:szCs w:val="24"/>
              </w:rPr>
            </w:pPr>
          </w:p>
        </w:tc>
      </w:tr>
      <w:tr w14:paraId="175D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777" w:type="dxa"/>
            <w:noWrap w:val="0"/>
            <w:vAlign w:val="bottom"/>
          </w:tcPr>
          <w:p w14:paraId="75A75C63">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z w:val="24"/>
                <w:szCs w:val="24"/>
              </w:rPr>
              <w:t>项目编号</w:t>
            </w:r>
          </w:p>
        </w:tc>
        <w:tc>
          <w:tcPr>
            <w:tcW w:w="8120" w:type="dxa"/>
            <w:gridSpan w:val="3"/>
            <w:noWrap w:val="0"/>
            <w:vAlign w:val="center"/>
          </w:tcPr>
          <w:p w14:paraId="6298E85A">
            <w:pPr>
              <w:widowControl w:val="0"/>
              <w:autoSpaceDE w:val="0"/>
              <w:autoSpaceDN w:val="0"/>
              <w:adjustRightInd w:val="0"/>
              <w:spacing w:line="360" w:lineRule="auto"/>
              <w:ind w:firstLine="520" w:firstLineChars="200"/>
              <w:rPr>
                <w:rFonts w:ascii="宋体" w:hAnsi="宋体" w:cs="宋体"/>
                <w:spacing w:val="10"/>
                <w:sz w:val="24"/>
                <w:szCs w:val="24"/>
              </w:rPr>
            </w:pPr>
          </w:p>
        </w:tc>
      </w:tr>
      <w:tr w14:paraId="1947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777" w:type="dxa"/>
            <w:noWrap w:val="0"/>
            <w:vAlign w:val="bottom"/>
          </w:tcPr>
          <w:p w14:paraId="67E9A6F3">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pacing w:val="10"/>
                <w:sz w:val="24"/>
                <w:szCs w:val="24"/>
              </w:rPr>
              <w:t>供应商名称</w:t>
            </w:r>
          </w:p>
        </w:tc>
        <w:tc>
          <w:tcPr>
            <w:tcW w:w="8120" w:type="dxa"/>
            <w:gridSpan w:val="3"/>
            <w:noWrap w:val="0"/>
            <w:vAlign w:val="center"/>
          </w:tcPr>
          <w:p w14:paraId="207E7438">
            <w:pPr>
              <w:widowControl w:val="0"/>
              <w:autoSpaceDE w:val="0"/>
              <w:autoSpaceDN w:val="0"/>
              <w:adjustRightInd w:val="0"/>
              <w:spacing w:line="360" w:lineRule="auto"/>
              <w:ind w:firstLine="520" w:firstLineChars="200"/>
              <w:rPr>
                <w:rFonts w:ascii="宋体" w:hAnsi="宋体" w:cs="宋体"/>
                <w:spacing w:val="10"/>
                <w:sz w:val="24"/>
                <w:szCs w:val="24"/>
              </w:rPr>
            </w:pPr>
          </w:p>
        </w:tc>
      </w:tr>
      <w:tr w14:paraId="21F3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777" w:type="dxa"/>
            <w:noWrap w:val="0"/>
            <w:vAlign w:val="bottom"/>
          </w:tcPr>
          <w:p w14:paraId="306AA63C">
            <w:pPr>
              <w:widowControl w:val="0"/>
              <w:autoSpaceDE w:val="0"/>
              <w:autoSpaceDN w:val="0"/>
              <w:adjustRightInd w:val="0"/>
              <w:spacing w:line="360" w:lineRule="auto"/>
              <w:jc w:val="center"/>
              <w:rPr>
                <w:rFonts w:hint="eastAsia" w:ascii="宋体" w:hAnsi="宋体" w:cs="宋体"/>
                <w:spacing w:val="10"/>
                <w:sz w:val="24"/>
                <w:szCs w:val="24"/>
                <w:lang w:val="en-US" w:eastAsia="zh-CN"/>
              </w:rPr>
            </w:pPr>
            <w:r>
              <w:rPr>
                <w:rFonts w:hint="eastAsia" w:ascii="宋体" w:hAnsi="宋体" w:cs="宋体"/>
                <w:spacing w:val="-1"/>
                <w:sz w:val="24"/>
                <w:lang w:val="en-US" w:eastAsia="zh-CN"/>
              </w:rPr>
              <w:t>统一社会信用</w:t>
            </w:r>
            <w:r>
              <w:rPr>
                <w:rFonts w:hint="eastAsia" w:ascii="宋体" w:hAnsi="宋体" w:cs="宋体"/>
                <w:spacing w:val="-1"/>
                <w:sz w:val="24"/>
              </w:rPr>
              <w:t>代码</w:t>
            </w:r>
          </w:p>
        </w:tc>
        <w:tc>
          <w:tcPr>
            <w:tcW w:w="8120" w:type="dxa"/>
            <w:gridSpan w:val="3"/>
            <w:noWrap w:val="0"/>
            <w:vAlign w:val="center"/>
          </w:tcPr>
          <w:p w14:paraId="164D22D8">
            <w:pPr>
              <w:widowControl w:val="0"/>
              <w:autoSpaceDE w:val="0"/>
              <w:autoSpaceDN w:val="0"/>
              <w:adjustRightInd w:val="0"/>
              <w:spacing w:line="360" w:lineRule="auto"/>
              <w:ind w:firstLine="520" w:firstLineChars="200"/>
              <w:rPr>
                <w:rFonts w:ascii="宋体" w:hAnsi="宋体" w:cs="宋体"/>
                <w:spacing w:val="10"/>
                <w:sz w:val="24"/>
                <w:szCs w:val="24"/>
              </w:rPr>
            </w:pPr>
          </w:p>
        </w:tc>
      </w:tr>
      <w:tr w14:paraId="4639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1777" w:type="dxa"/>
            <w:noWrap w:val="0"/>
            <w:vAlign w:val="center"/>
          </w:tcPr>
          <w:p w14:paraId="21564464">
            <w:pPr>
              <w:widowControl w:val="0"/>
              <w:autoSpaceDE w:val="0"/>
              <w:autoSpaceDN w:val="0"/>
              <w:adjustRightInd w:val="0"/>
              <w:spacing w:line="360" w:lineRule="auto"/>
              <w:jc w:val="center"/>
              <w:rPr>
                <w:rFonts w:hint="eastAsia" w:ascii="宋体" w:hAnsi="宋体" w:cs="宋体"/>
                <w:spacing w:val="10"/>
                <w:sz w:val="24"/>
                <w:szCs w:val="24"/>
              </w:rPr>
            </w:pPr>
            <w:r>
              <w:rPr>
                <w:rFonts w:hint="eastAsia" w:ascii="宋体" w:hAnsi="宋体" w:cs="宋体"/>
                <w:spacing w:val="10"/>
                <w:sz w:val="24"/>
                <w:szCs w:val="24"/>
              </w:rPr>
              <w:t>磋商报价</w:t>
            </w:r>
          </w:p>
          <w:p w14:paraId="7B9B4E08">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pacing w:val="10"/>
                <w:sz w:val="24"/>
                <w:szCs w:val="24"/>
              </w:rPr>
              <w:t>（元）</w:t>
            </w:r>
          </w:p>
        </w:tc>
        <w:tc>
          <w:tcPr>
            <w:tcW w:w="8120" w:type="dxa"/>
            <w:gridSpan w:val="3"/>
            <w:noWrap w:val="0"/>
            <w:vAlign w:val="center"/>
          </w:tcPr>
          <w:p w14:paraId="7F904777">
            <w:pPr>
              <w:widowControl w:val="0"/>
              <w:autoSpaceDE w:val="0"/>
              <w:autoSpaceDN w:val="0"/>
              <w:adjustRightInd w:val="0"/>
              <w:spacing w:line="360" w:lineRule="auto"/>
              <w:jc w:val="both"/>
              <w:rPr>
                <w:rFonts w:hint="eastAsia" w:ascii="宋体" w:hAnsi="宋体" w:cs="宋体"/>
                <w:spacing w:val="10"/>
                <w:sz w:val="24"/>
                <w:szCs w:val="24"/>
                <w:u w:val="single"/>
                <w:lang w:val="en-US" w:eastAsia="zh-CN"/>
              </w:rPr>
            </w:pPr>
            <w:r>
              <w:rPr>
                <w:rFonts w:hint="eastAsia" w:ascii="宋体" w:hAnsi="宋体" w:cs="宋体"/>
                <w:spacing w:val="10"/>
                <w:sz w:val="24"/>
                <w:szCs w:val="24"/>
                <w:lang w:eastAsia="zh-CN"/>
              </w:rPr>
              <w:t>大</w:t>
            </w:r>
            <w:r>
              <w:rPr>
                <w:rFonts w:hint="eastAsia" w:ascii="宋体" w:hAnsi="宋体" w:cs="宋体"/>
                <w:spacing w:val="10"/>
                <w:sz w:val="24"/>
                <w:szCs w:val="24"/>
              </w:rPr>
              <w:t>写：</w:t>
            </w:r>
            <w:r>
              <w:rPr>
                <w:rFonts w:hint="eastAsia" w:ascii="宋体" w:hAnsi="宋体" w:cs="宋体"/>
                <w:spacing w:val="10"/>
                <w:sz w:val="24"/>
                <w:szCs w:val="24"/>
                <w:u w:val="single"/>
                <w:lang w:val="en-US" w:eastAsia="zh-CN"/>
              </w:rPr>
              <w:t xml:space="preserve">               </w:t>
            </w:r>
          </w:p>
          <w:p w14:paraId="1FD8A234">
            <w:pPr>
              <w:widowControl w:val="0"/>
              <w:autoSpaceDE w:val="0"/>
              <w:autoSpaceDN w:val="0"/>
              <w:adjustRightInd w:val="0"/>
              <w:spacing w:line="360" w:lineRule="auto"/>
              <w:jc w:val="both"/>
              <w:rPr>
                <w:rFonts w:hint="default" w:ascii="宋体" w:hAnsi="宋体" w:cs="宋体"/>
                <w:spacing w:val="10"/>
                <w:sz w:val="24"/>
                <w:szCs w:val="24"/>
                <w:lang w:val="en-US"/>
              </w:rPr>
            </w:pPr>
            <w:r>
              <w:rPr>
                <w:rFonts w:hint="eastAsia" w:ascii="宋体" w:hAnsi="宋体" w:cs="宋体"/>
                <w:spacing w:val="10"/>
                <w:sz w:val="24"/>
                <w:szCs w:val="24"/>
                <w:lang w:eastAsia="zh-CN"/>
              </w:rPr>
              <w:t>小</w:t>
            </w:r>
            <w:r>
              <w:rPr>
                <w:rFonts w:hint="eastAsia" w:ascii="宋体" w:hAnsi="宋体" w:cs="宋体"/>
                <w:spacing w:val="10"/>
                <w:sz w:val="24"/>
                <w:szCs w:val="24"/>
              </w:rPr>
              <w:t>写：</w:t>
            </w:r>
            <w:r>
              <w:rPr>
                <w:rFonts w:hint="default" w:ascii="Arial" w:hAnsi="Arial" w:eastAsia="宋体" w:cs="Arial"/>
                <w:color w:val="auto"/>
                <w:kern w:val="0"/>
                <w:sz w:val="24"/>
              </w:rPr>
              <w:t>¥</w:t>
            </w:r>
            <w:r>
              <w:rPr>
                <w:rFonts w:hint="eastAsia" w:ascii="宋体" w:hAnsi="宋体" w:cs="宋体"/>
                <w:spacing w:val="10"/>
                <w:sz w:val="24"/>
                <w:szCs w:val="24"/>
                <w:u w:val="single"/>
                <w:lang w:val="en-US" w:eastAsia="zh-CN"/>
              </w:rPr>
              <w:t xml:space="preserve">             </w:t>
            </w:r>
            <w:r>
              <w:rPr>
                <w:rFonts w:hint="eastAsia" w:ascii="宋体" w:hAnsi="宋体" w:cs="宋体"/>
                <w:spacing w:val="10"/>
                <w:sz w:val="24"/>
                <w:szCs w:val="24"/>
                <w:u w:val="none"/>
                <w:lang w:val="en-US" w:eastAsia="zh-CN"/>
              </w:rPr>
              <w:t>元</w:t>
            </w:r>
          </w:p>
          <w:p w14:paraId="4F5DD9BE">
            <w:pPr>
              <w:widowControl w:val="0"/>
              <w:autoSpaceDE w:val="0"/>
              <w:autoSpaceDN w:val="0"/>
              <w:adjustRightInd w:val="0"/>
              <w:spacing w:line="360" w:lineRule="auto"/>
              <w:jc w:val="both"/>
            </w:pPr>
            <w:r>
              <w:rPr>
                <w:rFonts w:hint="default" w:ascii="宋体" w:hAnsi="宋体" w:eastAsia="宋体" w:cs="宋体"/>
                <w:spacing w:val="10"/>
                <w:sz w:val="24"/>
                <w:szCs w:val="24"/>
                <w:lang w:val="en-US" w:eastAsia="zh-CN"/>
              </w:rPr>
              <w:t>（供应商应在此填第一次报价，但以供应商最后一次的磋商报价为成交价）</w:t>
            </w:r>
          </w:p>
        </w:tc>
      </w:tr>
      <w:tr w14:paraId="4683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777" w:type="dxa"/>
            <w:noWrap w:val="0"/>
            <w:vAlign w:val="bottom"/>
          </w:tcPr>
          <w:p w14:paraId="78B66848">
            <w:pPr>
              <w:widowControl w:val="0"/>
              <w:autoSpaceDE w:val="0"/>
              <w:autoSpaceDN w:val="0"/>
              <w:adjustRightInd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项目负责人</w:t>
            </w:r>
          </w:p>
        </w:tc>
        <w:tc>
          <w:tcPr>
            <w:tcW w:w="3540" w:type="dxa"/>
            <w:noWrap w:val="0"/>
            <w:vAlign w:val="bottom"/>
          </w:tcPr>
          <w:p w14:paraId="5CB0B45A">
            <w:pPr>
              <w:widowControl w:val="0"/>
              <w:autoSpaceDE w:val="0"/>
              <w:autoSpaceDN w:val="0"/>
              <w:adjustRightInd w:val="0"/>
              <w:spacing w:line="360" w:lineRule="auto"/>
              <w:jc w:val="center"/>
              <w:rPr>
                <w:rFonts w:ascii="宋体" w:hAnsi="宋体" w:cs="宋体"/>
                <w:spacing w:val="10"/>
                <w:sz w:val="24"/>
                <w:szCs w:val="24"/>
              </w:rPr>
            </w:pPr>
          </w:p>
        </w:tc>
        <w:tc>
          <w:tcPr>
            <w:tcW w:w="1470" w:type="dxa"/>
            <w:noWrap w:val="0"/>
            <w:vAlign w:val="bottom"/>
          </w:tcPr>
          <w:p w14:paraId="063FF84A">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pacing w:val="10"/>
                <w:sz w:val="24"/>
                <w:szCs w:val="24"/>
                <w:lang w:val="en-US" w:eastAsia="zh-CN"/>
              </w:rPr>
              <w:t>联系方式</w:t>
            </w:r>
          </w:p>
        </w:tc>
        <w:tc>
          <w:tcPr>
            <w:tcW w:w="3110" w:type="dxa"/>
            <w:noWrap w:val="0"/>
            <w:vAlign w:val="center"/>
          </w:tcPr>
          <w:p w14:paraId="1DCC512C">
            <w:pPr>
              <w:widowControl w:val="0"/>
              <w:autoSpaceDE w:val="0"/>
              <w:autoSpaceDN w:val="0"/>
              <w:adjustRightInd w:val="0"/>
              <w:spacing w:line="360" w:lineRule="auto"/>
              <w:ind w:firstLine="520" w:firstLineChars="200"/>
              <w:rPr>
                <w:rFonts w:ascii="宋体" w:hAnsi="宋体" w:cs="宋体"/>
                <w:spacing w:val="10"/>
                <w:sz w:val="24"/>
                <w:szCs w:val="24"/>
              </w:rPr>
            </w:pPr>
          </w:p>
        </w:tc>
      </w:tr>
      <w:tr w14:paraId="744F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777" w:type="dxa"/>
            <w:noWrap w:val="0"/>
            <w:vAlign w:val="bottom"/>
          </w:tcPr>
          <w:p w14:paraId="7D9E3D85">
            <w:pPr>
              <w:widowControl w:val="0"/>
              <w:autoSpaceDE w:val="0"/>
              <w:autoSpaceDN w:val="0"/>
              <w:adjustRightInd w:val="0"/>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服务内容</w:t>
            </w:r>
          </w:p>
        </w:tc>
        <w:tc>
          <w:tcPr>
            <w:tcW w:w="8120" w:type="dxa"/>
            <w:gridSpan w:val="3"/>
            <w:noWrap w:val="0"/>
            <w:vAlign w:val="center"/>
          </w:tcPr>
          <w:p w14:paraId="285F7D09">
            <w:pPr>
              <w:widowControl w:val="0"/>
              <w:autoSpaceDE w:val="0"/>
              <w:autoSpaceDN w:val="0"/>
              <w:adjustRightInd w:val="0"/>
              <w:spacing w:line="360" w:lineRule="auto"/>
              <w:ind w:firstLine="520" w:firstLineChars="200"/>
              <w:rPr>
                <w:rFonts w:ascii="宋体" w:hAnsi="宋体" w:cs="宋体"/>
                <w:spacing w:val="10"/>
                <w:sz w:val="24"/>
                <w:szCs w:val="24"/>
              </w:rPr>
            </w:pPr>
          </w:p>
        </w:tc>
      </w:tr>
      <w:tr w14:paraId="5792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777" w:type="dxa"/>
            <w:noWrap w:val="0"/>
            <w:vAlign w:val="bottom"/>
          </w:tcPr>
          <w:p w14:paraId="19E49572">
            <w:pPr>
              <w:widowControl w:val="0"/>
              <w:autoSpaceDE w:val="0"/>
              <w:autoSpaceDN w:val="0"/>
              <w:adjustRightInd w:val="0"/>
              <w:spacing w:line="360" w:lineRule="auto"/>
              <w:jc w:val="center"/>
              <w:rPr>
                <w:rFonts w:hint="eastAsia" w:ascii="宋体" w:hAnsi="宋体" w:cs="宋体"/>
                <w:sz w:val="24"/>
                <w:szCs w:val="24"/>
              </w:rPr>
            </w:pPr>
            <w:r>
              <w:rPr>
                <w:rFonts w:hint="eastAsia" w:ascii="宋体" w:hAnsi="宋体" w:cs="宋体"/>
                <w:sz w:val="24"/>
                <w:szCs w:val="24"/>
                <w:lang w:val="en-US" w:eastAsia="zh-CN"/>
              </w:rPr>
              <w:t>管护期限</w:t>
            </w:r>
          </w:p>
        </w:tc>
        <w:tc>
          <w:tcPr>
            <w:tcW w:w="8120" w:type="dxa"/>
            <w:gridSpan w:val="3"/>
            <w:noWrap w:val="0"/>
            <w:vAlign w:val="center"/>
          </w:tcPr>
          <w:p w14:paraId="4147D7E6">
            <w:pPr>
              <w:widowControl w:val="0"/>
              <w:autoSpaceDE w:val="0"/>
              <w:autoSpaceDN w:val="0"/>
              <w:adjustRightInd w:val="0"/>
              <w:spacing w:line="360" w:lineRule="auto"/>
              <w:ind w:firstLine="520" w:firstLineChars="200"/>
              <w:rPr>
                <w:rFonts w:ascii="宋体" w:hAnsi="宋体" w:cs="宋体"/>
                <w:spacing w:val="10"/>
                <w:sz w:val="24"/>
                <w:szCs w:val="24"/>
              </w:rPr>
            </w:pPr>
          </w:p>
        </w:tc>
      </w:tr>
      <w:tr w14:paraId="16BD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777" w:type="dxa"/>
            <w:noWrap w:val="0"/>
            <w:vAlign w:val="bottom"/>
          </w:tcPr>
          <w:p w14:paraId="2BD3CAAC">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z w:val="24"/>
                <w:szCs w:val="24"/>
              </w:rPr>
              <w:t>质量要求</w:t>
            </w:r>
          </w:p>
        </w:tc>
        <w:tc>
          <w:tcPr>
            <w:tcW w:w="8120" w:type="dxa"/>
            <w:gridSpan w:val="3"/>
            <w:noWrap w:val="0"/>
            <w:vAlign w:val="center"/>
          </w:tcPr>
          <w:p w14:paraId="451F2698">
            <w:pPr>
              <w:widowControl w:val="0"/>
              <w:autoSpaceDE w:val="0"/>
              <w:autoSpaceDN w:val="0"/>
              <w:adjustRightInd w:val="0"/>
              <w:spacing w:line="360" w:lineRule="auto"/>
              <w:ind w:firstLine="520" w:firstLineChars="200"/>
              <w:rPr>
                <w:rFonts w:ascii="宋体" w:hAnsi="宋体" w:cs="宋体"/>
                <w:spacing w:val="10"/>
                <w:sz w:val="24"/>
                <w:szCs w:val="24"/>
              </w:rPr>
            </w:pPr>
          </w:p>
        </w:tc>
      </w:tr>
      <w:tr w14:paraId="76BA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77" w:type="dxa"/>
            <w:noWrap w:val="0"/>
            <w:vAlign w:val="bottom"/>
          </w:tcPr>
          <w:p w14:paraId="6E8AFA60">
            <w:pPr>
              <w:widowControl w:val="0"/>
              <w:autoSpaceDE w:val="0"/>
              <w:autoSpaceDN w:val="0"/>
              <w:adjustRightInd w:val="0"/>
              <w:spacing w:line="360" w:lineRule="auto"/>
              <w:jc w:val="center"/>
              <w:rPr>
                <w:rFonts w:hint="default" w:ascii="宋体" w:hAnsi="宋体" w:cs="宋体"/>
                <w:spacing w:val="10"/>
                <w:sz w:val="24"/>
                <w:szCs w:val="24"/>
                <w:lang w:val="en-US" w:eastAsia="zh-CN"/>
              </w:rPr>
            </w:pPr>
            <w:r>
              <w:rPr>
                <w:rFonts w:hint="eastAsia" w:ascii="宋体" w:hAnsi="宋体" w:cs="宋体"/>
                <w:spacing w:val="10"/>
                <w:sz w:val="24"/>
                <w:szCs w:val="24"/>
                <w:lang w:val="en-US" w:eastAsia="zh-CN"/>
              </w:rPr>
              <w:t>服务地点</w:t>
            </w:r>
          </w:p>
        </w:tc>
        <w:tc>
          <w:tcPr>
            <w:tcW w:w="8120" w:type="dxa"/>
            <w:gridSpan w:val="3"/>
            <w:noWrap w:val="0"/>
            <w:vAlign w:val="center"/>
          </w:tcPr>
          <w:p w14:paraId="384FE022">
            <w:pPr>
              <w:widowControl w:val="0"/>
              <w:autoSpaceDE w:val="0"/>
              <w:autoSpaceDN w:val="0"/>
              <w:adjustRightInd w:val="0"/>
              <w:spacing w:line="360" w:lineRule="auto"/>
              <w:ind w:firstLine="520" w:firstLineChars="200"/>
              <w:rPr>
                <w:rFonts w:ascii="宋体" w:hAnsi="宋体" w:cs="宋体"/>
                <w:spacing w:val="10"/>
                <w:sz w:val="24"/>
                <w:szCs w:val="24"/>
              </w:rPr>
            </w:pPr>
          </w:p>
        </w:tc>
      </w:tr>
      <w:tr w14:paraId="6F3A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77" w:type="dxa"/>
            <w:noWrap w:val="0"/>
            <w:vAlign w:val="bottom"/>
          </w:tcPr>
          <w:p w14:paraId="1B0EDD1F">
            <w:pPr>
              <w:widowControl w:val="0"/>
              <w:autoSpaceDE w:val="0"/>
              <w:autoSpaceDN w:val="0"/>
              <w:adjustRightInd w:val="0"/>
              <w:spacing w:line="360" w:lineRule="auto"/>
              <w:jc w:val="center"/>
              <w:rPr>
                <w:rFonts w:hint="eastAsia" w:ascii="宋体" w:hAnsi="宋体" w:cs="宋体"/>
                <w:spacing w:val="10"/>
                <w:sz w:val="24"/>
                <w:szCs w:val="24"/>
              </w:rPr>
            </w:pPr>
            <w:r>
              <w:rPr>
                <w:rFonts w:hint="eastAsia" w:ascii="宋体" w:hAnsi="宋体" w:cs="宋体"/>
                <w:sz w:val="24"/>
                <w:highlight w:val="none"/>
                <w:lang w:val="en-US" w:eastAsia="zh-CN"/>
              </w:rPr>
              <w:t>磋商</w:t>
            </w:r>
            <w:r>
              <w:rPr>
                <w:rFonts w:hint="eastAsia" w:ascii="宋体" w:hAnsi="宋体" w:cs="宋体"/>
                <w:sz w:val="24"/>
                <w:highlight w:val="none"/>
              </w:rPr>
              <w:t>有效期</w:t>
            </w:r>
          </w:p>
        </w:tc>
        <w:tc>
          <w:tcPr>
            <w:tcW w:w="8120" w:type="dxa"/>
            <w:gridSpan w:val="3"/>
            <w:noWrap w:val="0"/>
            <w:vAlign w:val="center"/>
          </w:tcPr>
          <w:p w14:paraId="7D4A9504">
            <w:pPr>
              <w:widowControl w:val="0"/>
              <w:autoSpaceDE w:val="0"/>
              <w:autoSpaceDN w:val="0"/>
              <w:adjustRightInd w:val="0"/>
              <w:spacing w:line="360" w:lineRule="auto"/>
              <w:ind w:firstLine="520" w:firstLineChars="200"/>
              <w:rPr>
                <w:rFonts w:ascii="宋体" w:hAnsi="宋体" w:cs="宋体"/>
                <w:spacing w:val="10"/>
                <w:sz w:val="24"/>
                <w:szCs w:val="24"/>
              </w:rPr>
            </w:pPr>
          </w:p>
        </w:tc>
      </w:tr>
      <w:tr w14:paraId="446D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777" w:type="dxa"/>
            <w:noWrap w:val="0"/>
            <w:vAlign w:val="bottom"/>
          </w:tcPr>
          <w:p w14:paraId="3F7F48A4">
            <w:pPr>
              <w:widowControl w:val="0"/>
              <w:autoSpaceDE w:val="0"/>
              <w:autoSpaceDN w:val="0"/>
              <w:adjustRightInd w:val="0"/>
              <w:spacing w:line="360" w:lineRule="auto"/>
              <w:jc w:val="center"/>
              <w:rPr>
                <w:rFonts w:hint="eastAsia" w:ascii="宋体" w:hAnsi="宋体" w:cs="宋体"/>
                <w:spacing w:val="10"/>
                <w:sz w:val="24"/>
                <w:szCs w:val="24"/>
              </w:rPr>
            </w:pPr>
            <w:r>
              <w:rPr>
                <w:rFonts w:hint="eastAsia" w:ascii="宋体" w:hAnsi="宋体" w:cs="宋体"/>
                <w:spacing w:val="10"/>
                <w:sz w:val="24"/>
                <w:szCs w:val="24"/>
              </w:rPr>
              <w:t>备注</w:t>
            </w:r>
          </w:p>
        </w:tc>
        <w:tc>
          <w:tcPr>
            <w:tcW w:w="8120" w:type="dxa"/>
            <w:gridSpan w:val="3"/>
            <w:noWrap w:val="0"/>
            <w:vAlign w:val="center"/>
          </w:tcPr>
          <w:p w14:paraId="3811CDEC">
            <w:pPr>
              <w:widowControl w:val="0"/>
              <w:autoSpaceDE w:val="0"/>
              <w:autoSpaceDN w:val="0"/>
              <w:adjustRightInd w:val="0"/>
              <w:spacing w:line="360" w:lineRule="auto"/>
              <w:ind w:firstLine="520" w:firstLineChars="200"/>
              <w:rPr>
                <w:rFonts w:ascii="宋体" w:hAnsi="宋体" w:cs="宋体"/>
                <w:spacing w:val="10"/>
                <w:sz w:val="24"/>
                <w:szCs w:val="24"/>
              </w:rPr>
            </w:pPr>
          </w:p>
        </w:tc>
      </w:tr>
    </w:tbl>
    <w:p w14:paraId="57AB0AA0">
      <w:pPr>
        <w:widowControl w:val="0"/>
        <w:autoSpaceDE w:val="0"/>
        <w:autoSpaceDN w:val="0"/>
        <w:adjustRightInd w:val="0"/>
        <w:spacing w:line="360" w:lineRule="auto"/>
        <w:ind w:firstLine="480" w:firstLineChars="200"/>
        <w:rPr>
          <w:rFonts w:ascii="宋体" w:hAnsi="宋体" w:cs="宋体"/>
          <w:sz w:val="21"/>
          <w:szCs w:val="21"/>
        </w:rPr>
      </w:pPr>
      <w:r>
        <w:rPr>
          <w:rFonts w:hint="eastAsia" w:ascii="宋体" w:hAnsi="宋体" w:cs="宋体"/>
          <w:sz w:val="24"/>
          <w:szCs w:val="24"/>
        </w:rPr>
        <w:t xml:space="preserve">  </w:t>
      </w:r>
      <w:r>
        <w:rPr>
          <w:rFonts w:hint="eastAsia" w:ascii="宋体" w:hAnsi="宋体" w:cs="宋体"/>
          <w:sz w:val="21"/>
          <w:szCs w:val="21"/>
        </w:rPr>
        <w:t xml:space="preserve">            </w:t>
      </w:r>
    </w:p>
    <w:p w14:paraId="57B22380">
      <w:pPr>
        <w:autoSpaceDE w:val="0"/>
        <w:autoSpaceDN w:val="0"/>
        <w:adjustRightInd w:val="0"/>
        <w:snapToGrid w:val="0"/>
        <w:spacing w:after="200" w:line="360" w:lineRule="auto"/>
        <w:jc w:val="right"/>
        <w:rPr>
          <w:rFonts w:ascii="宋体" w:hAnsi="宋体" w:cs="宋体"/>
          <w:sz w:val="24"/>
          <w:szCs w:val="24"/>
        </w:rPr>
      </w:pPr>
      <w:r>
        <w:rPr>
          <w:rFonts w:hint="eastAsia" w:ascii="宋体" w:hAnsi="宋体" w:cs="宋体"/>
          <w:sz w:val="24"/>
          <w:szCs w:val="24"/>
        </w:rPr>
        <w:t>供应商</w:t>
      </w:r>
      <w:r>
        <w:rPr>
          <w:rFonts w:hint="eastAsia" w:ascii="宋体" w:hAnsi="宋体" w:cs="宋体"/>
          <w:sz w:val="24"/>
          <w:szCs w:val="24"/>
          <w:lang w:eastAsia="zh-CN"/>
        </w:rPr>
        <w:t>名称</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lang w:eastAsia="zh-CN"/>
        </w:rPr>
        <w:t>公章电子</w:t>
      </w:r>
      <w:r>
        <w:rPr>
          <w:rFonts w:hint="eastAsia" w:ascii="宋体" w:hAnsi="宋体" w:cs="宋体"/>
          <w:sz w:val="24"/>
          <w:szCs w:val="24"/>
        </w:rPr>
        <w:t>签章）</w:t>
      </w:r>
    </w:p>
    <w:p w14:paraId="5405BB76">
      <w:pPr>
        <w:autoSpaceDE w:val="0"/>
        <w:autoSpaceDN w:val="0"/>
        <w:adjustRightInd w:val="0"/>
        <w:snapToGrid w:val="0"/>
        <w:spacing w:after="200" w:line="360" w:lineRule="auto"/>
        <w:jc w:val="right"/>
        <w:rPr>
          <w:rFonts w:hint="eastAsia" w:ascii="宋体" w:hAnsi="宋体" w:cs="宋体"/>
          <w:sz w:val="24"/>
          <w:szCs w:val="24"/>
          <w:lang w:val="en-US" w:eastAsia="zh-CN"/>
        </w:rPr>
      </w:pPr>
      <w:r>
        <w:rPr>
          <w:rFonts w:hint="eastAsia" w:ascii="宋体" w:hAnsi="宋体" w:cs="宋体"/>
          <w:sz w:val="24"/>
          <w:szCs w:val="24"/>
        </w:rPr>
        <w:t>法定代表人：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lang w:eastAsia="zh-CN"/>
        </w:rPr>
        <w:t>法人电子</w:t>
      </w:r>
      <w:r>
        <w:rPr>
          <w:rFonts w:hint="eastAsia" w:ascii="宋体" w:hAnsi="宋体" w:cs="宋体"/>
          <w:sz w:val="24"/>
          <w:szCs w:val="24"/>
        </w:rPr>
        <w:t>签章）</w:t>
      </w:r>
      <w:r>
        <w:rPr>
          <w:rFonts w:hint="eastAsia" w:ascii="宋体" w:hAnsi="宋体" w:cs="宋体"/>
          <w:sz w:val="24"/>
          <w:szCs w:val="24"/>
          <w:lang w:val="en-US" w:eastAsia="zh-CN"/>
        </w:rPr>
        <w:t xml:space="preserve">                        </w:t>
      </w:r>
    </w:p>
    <w:p w14:paraId="7B28703C">
      <w:pPr>
        <w:autoSpaceDE w:val="0"/>
        <w:autoSpaceDN w:val="0"/>
        <w:adjustRightInd w:val="0"/>
        <w:snapToGrid w:val="0"/>
        <w:spacing w:after="200" w:line="360" w:lineRule="auto"/>
        <w:jc w:val="center"/>
        <w:rPr>
          <w:rFonts w:hint="eastAsia" w:ascii="宋体" w:hAnsi="宋体" w:eastAsia="宋体" w:cs="宋体"/>
          <w:b/>
          <w:bCs/>
          <w:sz w:val="28"/>
          <w:szCs w:val="28"/>
          <w:lang w:eastAsia="zh-CN"/>
        </w:rPr>
      </w:pPr>
      <w:r>
        <w:rPr>
          <w:rFonts w:hint="eastAsia" w:ascii="宋体" w:hAnsi="宋体" w:cs="宋体"/>
          <w:sz w:val="24"/>
          <w:szCs w:val="24"/>
          <w:lang w:val="en-US" w:eastAsia="zh-CN"/>
        </w:rPr>
        <w:t xml:space="preserve">                 </w:t>
      </w:r>
      <w:r>
        <w:rPr>
          <w:rFonts w:hint="eastAsia" w:ascii="宋体" w:hAnsi="宋体" w:cs="宋体"/>
          <w:sz w:val="24"/>
          <w:szCs w:val="24"/>
        </w:rPr>
        <w:t>日期：</w:t>
      </w:r>
      <w:r>
        <w:rPr>
          <w:rFonts w:hint="eastAsia" w:ascii="宋体" w:hAnsi="宋体" w:cs="宋体"/>
          <w:sz w:val="24"/>
          <w:szCs w:val="24"/>
          <w:lang w:val="en-US" w:eastAsia="zh-CN"/>
        </w:rPr>
        <w:t xml:space="preserve">  </w:t>
      </w:r>
      <w:r>
        <w:rPr>
          <w:rFonts w:hint="eastAsia" w:ascii="宋体" w:hAnsi="宋体" w:cs="宋体"/>
          <w:sz w:val="24"/>
          <w:szCs w:val="24"/>
          <w:lang w:eastAsia="zh-CN"/>
        </w:rPr>
        <w:t>年</w:t>
      </w:r>
      <w:r>
        <w:rPr>
          <w:rFonts w:hint="eastAsia" w:ascii="宋体" w:hAnsi="宋体" w:cs="宋体"/>
          <w:sz w:val="24"/>
          <w:szCs w:val="24"/>
          <w:lang w:val="en-US" w:eastAsia="zh-CN"/>
        </w:rPr>
        <w:t xml:space="preserve">  </w:t>
      </w:r>
      <w:r>
        <w:rPr>
          <w:rFonts w:hint="eastAsia" w:ascii="宋体" w:hAnsi="宋体" w:cs="宋体"/>
          <w:sz w:val="24"/>
          <w:szCs w:val="24"/>
          <w:lang w:eastAsia="zh-CN"/>
        </w:rPr>
        <w:t>月</w:t>
      </w:r>
      <w:r>
        <w:rPr>
          <w:rFonts w:hint="eastAsia" w:ascii="宋体" w:hAnsi="宋体" w:cs="宋体"/>
          <w:sz w:val="24"/>
          <w:szCs w:val="24"/>
          <w:lang w:val="en-US" w:eastAsia="zh-CN"/>
        </w:rPr>
        <w:t xml:space="preserve">  </w:t>
      </w:r>
      <w:r>
        <w:rPr>
          <w:rFonts w:hint="eastAsia" w:ascii="宋体" w:hAnsi="宋体" w:cs="宋体"/>
          <w:sz w:val="24"/>
          <w:szCs w:val="24"/>
          <w:lang w:eastAsia="zh-CN"/>
        </w:rPr>
        <w:t>日</w:t>
      </w:r>
    </w:p>
    <w:p w14:paraId="2A90916F">
      <w:pPr>
        <w:spacing w:line="360" w:lineRule="auto"/>
        <w:jc w:val="center"/>
        <w:outlineLvl w:val="1"/>
        <w:rPr>
          <w:rFonts w:hint="eastAsia" w:ascii="宋体" w:hAnsi="宋体" w:cs="宋体"/>
          <w:b/>
          <w:sz w:val="24"/>
          <w:szCs w:val="24"/>
          <w:lang w:eastAsia="zh-CN"/>
        </w:rPr>
      </w:pPr>
    </w:p>
    <w:p w14:paraId="6433F156">
      <w:pPr>
        <w:spacing w:line="360" w:lineRule="auto"/>
        <w:jc w:val="center"/>
        <w:outlineLvl w:val="1"/>
        <w:rPr>
          <w:rFonts w:hint="eastAsia" w:ascii="宋体" w:hAnsi="宋体" w:cs="宋体"/>
          <w:b/>
          <w:sz w:val="24"/>
          <w:szCs w:val="24"/>
          <w:lang w:eastAsia="zh-CN"/>
        </w:rPr>
      </w:pPr>
    </w:p>
    <w:p w14:paraId="22A978CD">
      <w:pPr>
        <w:spacing w:line="360" w:lineRule="auto"/>
        <w:jc w:val="center"/>
        <w:outlineLvl w:val="1"/>
        <w:rPr>
          <w:rFonts w:hint="eastAsia" w:ascii="宋体" w:hAnsi="宋体" w:cs="宋体"/>
          <w:b/>
          <w:sz w:val="24"/>
          <w:szCs w:val="24"/>
          <w:lang w:eastAsia="zh-CN"/>
        </w:rPr>
      </w:pPr>
      <w:r>
        <w:rPr>
          <w:rFonts w:hint="eastAsia" w:ascii="宋体" w:hAnsi="宋体" w:cs="宋体"/>
          <w:b/>
          <w:sz w:val="24"/>
          <w:szCs w:val="24"/>
          <w:lang w:eastAsia="zh-CN"/>
        </w:rPr>
        <w:t>（</w:t>
      </w:r>
      <w:r>
        <w:rPr>
          <w:rFonts w:hint="eastAsia" w:ascii="宋体" w:hAnsi="宋体" w:cs="宋体"/>
          <w:b/>
          <w:sz w:val="24"/>
          <w:szCs w:val="24"/>
          <w:lang w:val="en-US" w:eastAsia="zh-CN"/>
        </w:rPr>
        <w:t>三</w:t>
      </w:r>
      <w:r>
        <w:rPr>
          <w:rFonts w:hint="eastAsia" w:ascii="宋体" w:hAnsi="宋体" w:cs="宋体"/>
          <w:b/>
          <w:sz w:val="24"/>
          <w:szCs w:val="24"/>
          <w:lang w:eastAsia="zh-CN"/>
        </w:rPr>
        <w:t>）</w:t>
      </w:r>
      <w:r>
        <w:rPr>
          <w:rFonts w:hint="eastAsia" w:ascii="宋体" w:hAnsi="宋体" w:cs="宋体"/>
          <w:b/>
          <w:sz w:val="24"/>
          <w:szCs w:val="24"/>
          <w:lang w:val="en-US" w:eastAsia="zh-CN"/>
        </w:rPr>
        <w:t>报价明细表</w:t>
      </w:r>
    </w:p>
    <w:tbl>
      <w:tblPr>
        <w:tblStyle w:val="30"/>
        <w:tblW w:w="112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1510"/>
        <w:gridCol w:w="2310"/>
        <w:gridCol w:w="2070"/>
        <w:gridCol w:w="1107"/>
        <w:gridCol w:w="1140"/>
        <w:gridCol w:w="585"/>
        <w:gridCol w:w="927"/>
        <w:gridCol w:w="906"/>
      </w:tblGrid>
      <w:tr w14:paraId="0F79F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jc w:val="center"/>
        </w:trPr>
        <w:tc>
          <w:tcPr>
            <w:tcW w:w="690" w:type="dxa"/>
            <w:vAlign w:val="center"/>
          </w:tcPr>
          <w:p w14:paraId="759DF8B6">
            <w:pPr>
              <w:pStyle w:val="29"/>
              <w:keepNext w:val="0"/>
              <w:keepLines w:val="0"/>
              <w:pageBreakBefore w:val="0"/>
              <w:widowControl w:val="0"/>
              <w:kinsoku/>
              <w:wordWrap/>
              <w:overflowPunct/>
              <w:topLinePunct w:val="0"/>
              <w:autoSpaceDE/>
              <w:autoSpaceDN/>
              <w:bidi w:val="0"/>
              <w:adjustRightInd/>
              <w:snapToGrid/>
              <w:spacing w:before="226" w:line="240" w:lineRule="exact"/>
              <w:jc w:val="center"/>
              <w:textAlignment w:val="auto"/>
              <w:rPr>
                <w:spacing w:val="0"/>
              </w:rPr>
            </w:pPr>
            <w:r>
              <w:rPr>
                <w:b/>
                <w:bCs/>
                <w:spacing w:val="0"/>
              </w:rPr>
              <w:t>序号</w:t>
            </w:r>
          </w:p>
        </w:tc>
        <w:tc>
          <w:tcPr>
            <w:tcW w:w="1510" w:type="dxa"/>
            <w:vAlign w:val="center"/>
          </w:tcPr>
          <w:p w14:paraId="0E9B12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Arial"/>
                <w:spacing w:val="0"/>
                <w:sz w:val="21"/>
              </w:rPr>
            </w:pPr>
          </w:p>
        </w:tc>
        <w:tc>
          <w:tcPr>
            <w:tcW w:w="2310" w:type="dxa"/>
            <w:vAlign w:val="center"/>
          </w:tcPr>
          <w:p w14:paraId="27759C4A">
            <w:pPr>
              <w:pStyle w:val="29"/>
              <w:keepNext w:val="0"/>
              <w:keepLines w:val="0"/>
              <w:pageBreakBefore w:val="0"/>
              <w:widowControl w:val="0"/>
              <w:kinsoku/>
              <w:wordWrap/>
              <w:overflowPunct/>
              <w:topLinePunct w:val="0"/>
              <w:autoSpaceDE/>
              <w:autoSpaceDN/>
              <w:bidi w:val="0"/>
              <w:adjustRightInd/>
              <w:snapToGrid/>
              <w:spacing w:before="226" w:line="240" w:lineRule="exact"/>
              <w:jc w:val="center"/>
              <w:textAlignment w:val="auto"/>
              <w:rPr>
                <w:spacing w:val="0"/>
              </w:rPr>
            </w:pPr>
            <w:r>
              <w:rPr>
                <w:b/>
                <w:bCs/>
                <w:spacing w:val="0"/>
              </w:rPr>
              <w:t>绿地名称</w:t>
            </w:r>
          </w:p>
        </w:tc>
        <w:tc>
          <w:tcPr>
            <w:tcW w:w="2070" w:type="dxa"/>
            <w:vAlign w:val="center"/>
          </w:tcPr>
          <w:p w14:paraId="292F1E5D">
            <w:pPr>
              <w:pStyle w:val="29"/>
              <w:keepNext w:val="0"/>
              <w:keepLines w:val="0"/>
              <w:pageBreakBefore w:val="0"/>
              <w:widowControl w:val="0"/>
              <w:kinsoku/>
              <w:wordWrap/>
              <w:overflowPunct/>
              <w:topLinePunct w:val="0"/>
              <w:autoSpaceDE/>
              <w:autoSpaceDN/>
              <w:bidi w:val="0"/>
              <w:adjustRightInd/>
              <w:snapToGrid/>
              <w:spacing w:before="226" w:line="240" w:lineRule="exact"/>
              <w:jc w:val="center"/>
              <w:textAlignment w:val="auto"/>
              <w:rPr>
                <w:spacing w:val="0"/>
              </w:rPr>
            </w:pPr>
            <w:r>
              <w:rPr>
                <w:b/>
                <w:bCs/>
                <w:spacing w:val="0"/>
              </w:rPr>
              <w:t>位置</w:t>
            </w:r>
          </w:p>
        </w:tc>
        <w:tc>
          <w:tcPr>
            <w:tcW w:w="1107" w:type="dxa"/>
            <w:vAlign w:val="center"/>
          </w:tcPr>
          <w:p w14:paraId="3AA86E8D">
            <w:pPr>
              <w:pStyle w:val="29"/>
              <w:keepNext w:val="0"/>
              <w:keepLines w:val="0"/>
              <w:pageBreakBefore w:val="0"/>
              <w:widowControl w:val="0"/>
              <w:kinsoku/>
              <w:wordWrap/>
              <w:overflowPunct/>
              <w:topLinePunct w:val="0"/>
              <w:autoSpaceDE/>
              <w:autoSpaceDN/>
              <w:bidi w:val="0"/>
              <w:adjustRightInd/>
              <w:snapToGrid/>
              <w:spacing w:before="225" w:line="240" w:lineRule="exact"/>
              <w:jc w:val="center"/>
              <w:textAlignment w:val="auto"/>
              <w:rPr>
                <w:b/>
                <w:bCs/>
                <w:spacing w:val="0"/>
              </w:rPr>
            </w:pPr>
            <w:r>
              <w:rPr>
                <w:b/>
                <w:bCs/>
                <w:spacing w:val="0"/>
              </w:rPr>
              <w:t>面积</w:t>
            </w:r>
          </w:p>
          <w:p w14:paraId="68E359E8">
            <w:pPr>
              <w:pStyle w:val="29"/>
              <w:keepNext w:val="0"/>
              <w:keepLines w:val="0"/>
              <w:pageBreakBefore w:val="0"/>
              <w:widowControl w:val="0"/>
              <w:kinsoku/>
              <w:wordWrap/>
              <w:overflowPunct/>
              <w:topLinePunct w:val="0"/>
              <w:autoSpaceDE/>
              <w:autoSpaceDN/>
              <w:bidi w:val="0"/>
              <w:adjustRightInd/>
              <w:snapToGrid/>
              <w:spacing w:before="225" w:line="240" w:lineRule="exact"/>
              <w:jc w:val="center"/>
              <w:textAlignment w:val="auto"/>
              <w:rPr>
                <w:spacing w:val="0"/>
              </w:rPr>
            </w:pPr>
            <w:r>
              <w:rPr>
                <w:b/>
                <w:bCs/>
                <w:spacing w:val="0"/>
              </w:rPr>
              <w:t>(平方米)</w:t>
            </w:r>
          </w:p>
        </w:tc>
        <w:tc>
          <w:tcPr>
            <w:tcW w:w="1140" w:type="dxa"/>
            <w:vAlign w:val="center"/>
          </w:tcPr>
          <w:p w14:paraId="1CAEFE3F">
            <w:pPr>
              <w:pStyle w:val="29"/>
              <w:keepNext w:val="0"/>
              <w:keepLines w:val="0"/>
              <w:pageBreakBefore w:val="0"/>
              <w:widowControl w:val="0"/>
              <w:kinsoku/>
              <w:wordWrap/>
              <w:overflowPunct/>
              <w:topLinePunct w:val="0"/>
              <w:autoSpaceDE/>
              <w:autoSpaceDN/>
              <w:bidi w:val="0"/>
              <w:adjustRightInd/>
              <w:snapToGrid/>
              <w:spacing w:before="225" w:line="240" w:lineRule="exact"/>
              <w:jc w:val="center"/>
              <w:textAlignment w:val="auto"/>
              <w:rPr>
                <w:spacing w:val="0"/>
              </w:rPr>
            </w:pPr>
            <w:r>
              <w:rPr>
                <w:b/>
                <w:bCs/>
                <w:spacing w:val="0"/>
              </w:rPr>
              <w:t>面积/数量</w:t>
            </w:r>
          </w:p>
        </w:tc>
        <w:tc>
          <w:tcPr>
            <w:tcW w:w="585" w:type="dxa"/>
            <w:vAlign w:val="center"/>
          </w:tcPr>
          <w:p w14:paraId="2C0FE944">
            <w:pPr>
              <w:pStyle w:val="29"/>
              <w:keepNext w:val="0"/>
              <w:keepLines w:val="0"/>
              <w:pageBreakBefore w:val="0"/>
              <w:widowControl w:val="0"/>
              <w:kinsoku/>
              <w:wordWrap/>
              <w:overflowPunct/>
              <w:topLinePunct w:val="0"/>
              <w:autoSpaceDE/>
              <w:autoSpaceDN/>
              <w:bidi w:val="0"/>
              <w:adjustRightInd/>
              <w:snapToGrid/>
              <w:spacing w:before="226" w:line="240" w:lineRule="exact"/>
              <w:jc w:val="center"/>
              <w:textAlignment w:val="auto"/>
              <w:rPr>
                <w:b/>
                <w:bCs/>
                <w:spacing w:val="0"/>
              </w:rPr>
            </w:pPr>
            <w:r>
              <w:rPr>
                <w:b/>
                <w:bCs/>
                <w:spacing w:val="0"/>
              </w:rPr>
              <w:t>单位</w:t>
            </w:r>
          </w:p>
        </w:tc>
        <w:tc>
          <w:tcPr>
            <w:tcW w:w="927" w:type="dxa"/>
            <w:vAlign w:val="center"/>
          </w:tcPr>
          <w:p w14:paraId="46F91635">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rFonts w:ascii="宋体" w:hAnsi="宋体" w:eastAsia="宋体" w:cs="宋体"/>
                <w:b/>
                <w:bCs/>
                <w:spacing w:val="0"/>
              </w:rPr>
            </w:pPr>
            <w:r>
              <w:rPr>
                <w:rFonts w:ascii="宋体" w:hAnsi="宋体" w:eastAsia="宋体" w:cs="宋体"/>
                <w:b/>
                <w:bCs/>
                <w:spacing w:val="0"/>
              </w:rPr>
              <w:t>单价/年</w:t>
            </w:r>
          </w:p>
          <w:p w14:paraId="792A226D">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b/>
                <w:bCs/>
                <w:spacing w:val="0"/>
              </w:rPr>
            </w:pPr>
            <w:r>
              <w:rPr>
                <w:rFonts w:ascii="宋体" w:hAnsi="宋体" w:eastAsia="宋体" w:cs="宋体"/>
                <w:b/>
                <w:bCs/>
                <w:spacing w:val="0"/>
              </w:rPr>
              <w:t>(元)</w:t>
            </w:r>
          </w:p>
        </w:tc>
        <w:tc>
          <w:tcPr>
            <w:tcW w:w="906" w:type="dxa"/>
            <w:vAlign w:val="center"/>
          </w:tcPr>
          <w:p w14:paraId="03DA3241">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b/>
                <w:bCs/>
                <w:spacing w:val="0"/>
              </w:rPr>
            </w:pPr>
            <w:r>
              <w:rPr>
                <w:b/>
                <w:bCs/>
                <w:spacing w:val="0"/>
              </w:rPr>
              <w:t>总价/年</w:t>
            </w:r>
          </w:p>
          <w:p w14:paraId="29006880">
            <w:pPr>
              <w:pStyle w:val="29"/>
              <w:keepNext w:val="0"/>
              <w:keepLines w:val="0"/>
              <w:pageBreakBefore w:val="0"/>
              <w:widowControl w:val="0"/>
              <w:kinsoku/>
              <w:wordWrap/>
              <w:overflowPunct/>
              <w:topLinePunct w:val="0"/>
              <w:autoSpaceDE/>
              <w:autoSpaceDN/>
              <w:bidi w:val="0"/>
              <w:adjustRightInd/>
              <w:snapToGrid/>
              <w:spacing w:before="224" w:line="240" w:lineRule="exact"/>
              <w:jc w:val="center"/>
              <w:textAlignment w:val="auto"/>
              <w:rPr>
                <w:spacing w:val="0"/>
              </w:rPr>
            </w:pPr>
            <w:r>
              <w:rPr>
                <w:b/>
                <w:bCs/>
                <w:spacing w:val="0"/>
              </w:rPr>
              <w:t>(元)</w:t>
            </w:r>
          </w:p>
        </w:tc>
      </w:tr>
      <w:tr w14:paraId="33693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center"/>
          </w:tcPr>
          <w:p w14:paraId="24E87672">
            <w:pPr>
              <w:pStyle w:val="29"/>
              <w:spacing w:before="137" w:line="241" w:lineRule="auto"/>
              <w:jc w:val="center"/>
              <w:rPr>
                <w:color w:val="000000" w:themeColor="text1"/>
                <w:spacing w:val="0"/>
                <w14:textFill>
                  <w14:solidFill>
                    <w14:schemeClr w14:val="tx1"/>
                  </w14:solidFill>
                </w14:textFill>
              </w:rPr>
            </w:pPr>
          </w:p>
        </w:tc>
        <w:tc>
          <w:tcPr>
            <w:tcW w:w="1510" w:type="dxa"/>
            <w:vMerge w:val="restart"/>
            <w:tcBorders>
              <w:bottom w:val="nil"/>
            </w:tcBorders>
            <w:vAlign w:val="center"/>
          </w:tcPr>
          <w:p w14:paraId="17DE9EE3">
            <w:pPr>
              <w:pStyle w:val="29"/>
              <w:spacing w:before="58" w:line="219" w:lineRule="auto"/>
              <w:jc w:val="center"/>
              <w:rPr>
                <w:color w:val="000000" w:themeColor="text1"/>
                <w:spacing w:val="0"/>
                <w14:textFill>
                  <w14:solidFill>
                    <w14:schemeClr w14:val="tx1"/>
                  </w14:solidFill>
                </w14:textFill>
              </w:rPr>
            </w:pPr>
          </w:p>
        </w:tc>
        <w:tc>
          <w:tcPr>
            <w:tcW w:w="2310" w:type="dxa"/>
            <w:vAlign w:val="center"/>
          </w:tcPr>
          <w:p w14:paraId="37AA063C">
            <w:pPr>
              <w:pStyle w:val="29"/>
              <w:spacing w:before="118" w:line="219" w:lineRule="auto"/>
              <w:jc w:val="both"/>
              <w:rPr>
                <w:color w:val="000000" w:themeColor="text1"/>
                <w:spacing w:val="0"/>
                <w14:textFill>
                  <w14:solidFill>
                    <w14:schemeClr w14:val="tx1"/>
                  </w14:solidFill>
                </w14:textFill>
              </w:rPr>
            </w:pPr>
          </w:p>
        </w:tc>
        <w:tc>
          <w:tcPr>
            <w:tcW w:w="2070" w:type="dxa"/>
            <w:vAlign w:val="top"/>
          </w:tcPr>
          <w:p w14:paraId="041B232F">
            <w:pPr>
              <w:pStyle w:val="29"/>
              <w:spacing w:before="119" w:line="219" w:lineRule="auto"/>
              <w:jc w:val="center"/>
              <w:rPr>
                <w:color w:val="000000" w:themeColor="text1"/>
                <w:spacing w:val="0"/>
                <w14:textFill>
                  <w14:solidFill>
                    <w14:schemeClr w14:val="tx1"/>
                  </w14:solidFill>
                </w14:textFill>
              </w:rPr>
            </w:pPr>
          </w:p>
        </w:tc>
        <w:tc>
          <w:tcPr>
            <w:tcW w:w="1107" w:type="dxa"/>
            <w:vAlign w:val="center"/>
          </w:tcPr>
          <w:p w14:paraId="3EC169F9">
            <w:pPr>
              <w:pStyle w:val="29"/>
              <w:spacing w:before="137" w:line="239" w:lineRule="auto"/>
              <w:jc w:val="center"/>
              <w:rPr>
                <w:color w:val="000000" w:themeColor="text1"/>
                <w:spacing w:val="0"/>
                <w14:textFill>
                  <w14:solidFill>
                    <w14:schemeClr w14:val="tx1"/>
                  </w14:solidFill>
                </w14:textFill>
              </w:rPr>
            </w:pPr>
          </w:p>
        </w:tc>
        <w:tc>
          <w:tcPr>
            <w:tcW w:w="1140" w:type="dxa"/>
            <w:vMerge w:val="restart"/>
            <w:tcBorders>
              <w:bottom w:val="nil"/>
            </w:tcBorders>
            <w:vAlign w:val="center"/>
          </w:tcPr>
          <w:p w14:paraId="39A61B97">
            <w:pPr>
              <w:pStyle w:val="29"/>
              <w:spacing w:before="58" w:line="239" w:lineRule="auto"/>
              <w:jc w:val="center"/>
              <w:rPr>
                <w:color w:val="000000" w:themeColor="text1"/>
                <w:spacing w:val="0"/>
                <w14:textFill>
                  <w14:solidFill>
                    <w14:schemeClr w14:val="tx1"/>
                  </w14:solidFill>
                </w14:textFill>
              </w:rPr>
            </w:pPr>
          </w:p>
        </w:tc>
        <w:tc>
          <w:tcPr>
            <w:tcW w:w="585" w:type="dxa"/>
            <w:vAlign w:val="top"/>
          </w:tcPr>
          <w:p w14:paraId="1E399753">
            <w:pPr>
              <w:pStyle w:val="29"/>
              <w:spacing w:before="155" w:line="194" w:lineRule="auto"/>
              <w:jc w:val="center"/>
              <w:rPr>
                <w:color w:val="000000" w:themeColor="text1"/>
                <w:spacing w:val="0"/>
                <w14:textFill>
                  <w14:solidFill>
                    <w14:schemeClr w14:val="tx1"/>
                  </w14:solidFill>
                </w14:textFill>
              </w:rPr>
            </w:pPr>
          </w:p>
        </w:tc>
        <w:tc>
          <w:tcPr>
            <w:tcW w:w="927" w:type="dxa"/>
            <w:vMerge w:val="restart"/>
            <w:tcBorders>
              <w:bottom w:val="nil"/>
            </w:tcBorders>
            <w:vAlign w:val="top"/>
          </w:tcPr>
          <w:p w14:paraId="191CBE89">
            <w:pPr>
              <w:spacing w:line="248" w:lineRule="auto"/>
              <w:rPr>
                <w:rFonts w:ascii="Arial"/>
                <w:color w:val="000000" w:themeColor="text1"/>
                <w:spacing w:val="0"/>
                <w:sz w:val="21"/>
                <w14:textFill>
                  <w14:solidFill>
                    <w14:schemeClr w14:val="tx1"/>
                  </w14:solidFill>
                </w14:textFill>
              </w:rPr>
            </w:pPr>
          </w:p>
          <w:p w14:paraId="5A50825E">
            <w:pPr>
              <w:spacing w:line="248" w:lineRule="auto"/>
              <w:rPr>
                <w:rFonts w:ascii="Arial"/>
                <w:color w:val="000000" w:themeColor="text1"/>
                <w:spacing w:val="0"/>
                <w:sz w:val="21"/>
                <w14:textFill>
                  <w14:solidFill>
                    <w14:schemeClr w14:val="tx1"/>
                  </w14:solidFill>
                </w14:textFill>
              </w:rPr>
            </w:pPr>
          </w:p>
          <w:p w14:paraId="11C5BEE4">
            <w:pPr>
              <w:spacing w:line="248" w:lineRule="auto"/>
              <w:rPr>
                <w:rFonts w:ascii="Arial"/>
                <w:color w:val="000000" w:themeColor="text1"/>
                <w:spacing w:val="0"/>
                <w:sz w:val="21"/>
                <w14:textFill>
                  <w14:solidFill>
                    <w14:schemeClr w14:val="tx1"/>
                  </w14:solidFill>
                </w14:textFill>
              </w:rPr>
            </w:pPr>
          </w:p>
          <w:p w14:paraId="2F578F7A">
            <w:pPr>
              <w:spacing w:line="248" w:lineRule="auto"/>
              <w:rPr>
                <w:rFonts w:ascii="Arial"/>
                <w:color w:val="000000" w:themeColor="text1"/>
                <w:spacing w:val="0"/>
                <w:sz w:val="21"/>
                <w14:textFill>
                  <w14:solidFill>
                    <w14:schemeClr w14:val="tx1"/>
                  </w14:solidFill>
                </w14:textFill>
              </w:rPr>
            </w:pPr>
          </w:p>
          <w:p w14:paraId="617A032D">
            <w:pPr>
              <w:spacing w:line="248" w:lineRule="auto"/>
              <w:rPr>
                <w:rFonts w:ascii="Arial"/>
                <w:color w:val="000000" w:themeColor="text1"/>
                <w:spacing w:val="0"/>
                <w:sz w:val="21"/>
                <w14:textFill>
                  <w14:solidFill>
                    <w14:schemeClr w14:val="tx1"/>
                  </w14:solidFill>
                </w14:textFill>
              </w:rPr>
            </w:pPr>
          </w:p>
          <w:p w14:paraId="27ACCB72">
            <w:pPr>
              <w:spacing w:line="249" w:lineRule="auto"/>
              <w:rPr>
                <w:rFonts w:ascii="Arial"/>
                <w:color w:val="000000" w:themeColor="text1"/>
                <w:spacing w:val="0"/>
                <w:sz w:val="21"/>
                <w14:textFill>
                  <w14:solidFill>
                    <w14:schemeClr w14:val="tx1"/>
                  </w14:solidFill>
                </w14:textFill>
              </w:rPr>
            </w:pPr>
          </w:p>
          <w:p w14:paraId="57A03FCE">
            <w:pPr>
              <w:pStyle w:val="29"/>
              <w:spacing w:before="58" w:line="239" w:lineRule="auto"/>
              <w:jc w:val="both"/>
              <w:rPr>
                <w:color w:val="000000" w:themeColor="text1"/>
                <w:spacing w:val="0"/>
                <w14:textFill>
                  <w14:solidFill>
                    <w14:schemeClr w14:val="tx1"/>
                  </w14:solidFill>
                </w14:textFill>
              </w:rPr>
            </w:pPr>
          </w:p>
        </w:tc>
        <w:tc>
          <w:tcPr>
            <w:tcW w:w="906" w:type="dxa"/>
            <w:vMerge w:val="restart"/>
            <w:tcBorders>
              <w:bottom w:val="nil"/>
            </w:tcBorders>
            <w:vAlign w:val="top"/>
          </w:tcPr>
          <w:p w14:paraId="161FB407">
            <w:pPr>
              <w:spacing w:line="248" w:lineRule="auto"/>
              <w:rPr>
                <w:rFonts w:ascii="Arial"/>
                <w:color w:val="000000" w:themeColor="text1"/>
                <w:spacing w:val="0"/>
                <w:sz w:val="21"/>
                <w14:textFill>
                  <w14:solidFill>
                    <w14:schemeClr w14:val="tx1"/>
                  </w14:solidFill>
                </w14:textFill>
              </w:rPr>
            </w:pPr>
          </w:p>
          <w:p w14:paraId="15EA9F46">
            <w:pPr>
              <w:spacing w:line="248" w:lineRule="auto"/>
              <w:rPr>
                <w:rFonts w:ascii="Arial"/>
                <w:color w:val="000000" w:themeColor="text1"/>
                <w:spacing w:val="0"/>
                <w:sz w:val="21"/>
                <w14:textFill>
                  <w14:solidFill>
                    <w14:schemeClr w14:val="tx1"/>
                  </w14:solidFill>
                </w14:textFill>
              </w:rPr>
            </w:pPr>
          </w:p>
          <w:p w14:paraId="27B4FD7B">
            <w:pPr>
              <w:spacing w:line="248" w:lineRule="auto"/>
              <w:rPr>
                <w:rFonts w:ascii="Arial"/>
                <w:color w:val="000000" w:themeColor="text1"/>
                <w:spacing w:val="0"/>
                <w:sz w:val="21"/>
                <w14:textFill>
                  <w14:solidFill>
                    <w14:schemeClr w14:val="tx1"/>
                  </w14:solidFill>
                </w14:textFill>
              </w:rPr>
            </w:pPr>
          </w:p>
          <w:p w14:paraId="5D009655">
            <w:pPr>
              <w:spacing w:line="248" w:lineRule="auto"/>
              <w:rPr>
                <w:rFonts w:ascii="Arial"/>
                <w:color w:val="000000" w:themeColor="text1"/>
                <w:spacing w:val="0"/>
                <w:sz w:val="21"/>
                <w14:textFill>
                  <w14:solidFill>
                    <w14:schemeClr w14:val="tx1"/>
                  </w14:solidFill>
                </w14:textFill>
              </w:rPr>
            </w:pPr>
          </w:p>
          <w:p w14:paraId="39821274">
            <w:pPr>
              <w:spacing w:line="248" w:lineRule="auto"/>
              <w:rPr>
                <w:rFonts w:ascii="Arial"/>
                <w:color w:val="000000" w:themeColor="text1"/>
                <w:spacing w:val="0"/>
                <w:sz w:val="21"/>
                <w14:textFill>
                  <w14:solidFill>
                    <w14:schemeClr w14:val="tx1"/>
                  </w14:solidFill>
                </w14:textFill>
              </w:rPr>
            </w:pPr>
          </w:p>
          <w:p w14:paraId="1AC20F7E">
            <w:pPr>
              <w:spacing w:line="249" w:lineRule="auto"/>
              <w:rPr>
                <w:rFonts w:ascii="Arial"/>
                <w:color w:val="000000" w:themeColor="text1"/>
                <w:spacing w:val="0"/>
                <w:sz w:val="21"/>
                <w14:textFill>
                  <w14:solidFill>
                    <w14:schemeClr w14:val="tx1"/>
                  </w14:solidFill>
                </w14:textFill>
              </w:rPr>
            </w:pPr>
          </w:p>
          <w:p w14:paraId="4D9CAC6C">
            <w:pPr>
              <w:pStyle w:val="29"/>
              <w:spacing w:before="58" w:line="239" w:lineRule="auto"/>
              <w:jc w:val="both"/>
              <w:rPr>
                <w:color w:val="000000" w:themeColor="text1"/>
                <w:spacing w:val="0"/>
                <w14:textFill>
                  <w14:solidFill>
                    <w14:schemeClr w14:val="tx1"/>
                  </w14:solidFill>
                </w14:textFill>
              </w:rPr>
            </w:pPr>
          </w:p>
        </w:tc>
      </w:tr>
      <w:tr w14:paraId="52B31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4C341F72">
            <w:pPr>
              <w:pStyle w:val="29"/>
              <w:spacing w:before="127" w:line="241" w:lineRule="auto"/>
              <w:jc w:val="center"/>
              <w:rPr>
                <w:color w:val="000000" w:themeColor="text1"/>
                <w:spacing w:val="0"/>
                <w14:textFill>
                  <w14:solidFill>
                    <w14:schemeClr w14:val="tx1"/>
                  </w14:solidFill>
                </w14:textFill>
              </w:rPr>
            </w:pPr>
          </w:p>
        </w:tc>
        <w:tc>
          <w:tcPr>
            <w:tcW w:w="1510" w:type="dxa"/>
            <w:vMerge w:val="continue"/>
            <w:tcBorders>
              <w:top w:val="nil"/>
              <w:bottom w:val="nil"/>
            </w:tcBorders>
            <w:vAlign w:val="center"/>
          </w:tcPr>
          <w:p w14:paraId="74612782">
            <w:pPr>
              <w:jc w:val="center"/>
              <w:rPr>
                <w:rFonts w:ascii="Arial"/>
                <w:color w:val="000000" w:themeColor="text1"/>
                <w:spacing w:val="0"/>
                <w:sz w:val="21"/>
                <w14:textFill>
                  <w14:solidFill>
                    <w14:schemeClr w14:val="tx1"/>
                  </w14:solidFill>
                </w14:textFill>
              </w:rPr>
            </w:pPr>
          </w:p>
        </w:tc>
        <w:tc>
          <w:tcPr>
            <w:tcW w:w="2310" w:type="dxa"/>
            <w:vAlign w:val="center"/>
          </w:tcPr>
          <w:p w14:paraId="7087ED79">
            <w:pPr>
              <w:pStyle w:val="29"/>
              <w:spacing w:before="109" w:line="219" w:lineRule="auto"/>
              <w:jc w:val="center"/>
              <w:rPr>
                <w:color w:val="000000" w:themeColor="text1"/>
                <w:spacing w:val="0"/>
                <w14:textFill>
                  <w14:solidFill>
                    <w14:schemeClr w14:val="tx1"/>
                  </w14:solidFill>
                </w14:textFill>
              </w:rPr>
            </w:pPr>
          </w:p>
        </w:tc>
        <w:tc>
          <w:tcPr>
            <w:tcW w:w="2070" w:type="dxa"/>
            <w:vAlign w:val="top"/>
          </w:tcPr>
          <w:p w14:paraId="3E3958B2">
            <w:pPr>
              <w:pStyle w:val="29"/>
              <w:spacing w:before="109" w:line="219" w:lineRule="auto"/>
              <w:jc w:val="center"/>
              <w:rPr>
                <w:color w:val="000000" w:themeColor="text1"/>
                <w:spacing w:val="0"/>
                <w14:textFill>
                  <w14:solidFill>
                    <w14:schemeClr w14:val="tx1"/>
                  </w14:solidFill>
                </w14:textFill>
              </w:rPr>
            </w:pPr>
          </w:p>
        </w:tc>
        <w:tc>
          <w:tcPr>
            <w:tcW w:w="1107" w:type="dxa"/>
            <w:vAlign w:val="center"/>
          </w:tcPr>
          <w:p w14:paraId="26AB185E">
            <w:pPr>
              <w:pStyle w:val="29"/>
              <w:spacing w:before="127" w:line="239" w:lineRule="auto"/>
              <w:jc w:val="both"/>
              <w:rPr>
                <w:color w:val="000000" w:themeColor="text1"/>
                <w:spacing w:val="0"/>
                <w14:textFill>
                  <w14:solidFill>
                    <w14:schemeClr w14:val="tx1"/>
                  </w14:solidFill>
                </w14:textFill>
              </w:rPr>
            </w:pPr>
          </w:p>
        </w:tc>
        <w:tc>
          <w:tcPr>
            <w:tcW w:w="1140" w:type="dxa"/>
            <w:vMerge w:val="continue"/>
            <w:tcBorders>
              <w:top w:val="nil"/>
              <w:bottom w:val="nil"/>
            </w:tcBorders>
            <w:vAlign w:val="center"/>
          </w:tcPr>
          <w:p w14:paraId="4E7AC8FF">
            <w:pPr>
              <w:jc w:val="center"/>
              <w:rPr>
                <w:rFonts w:ascii="Arial"/>
                <w:color w:val="000000" w:themeColor="text1"/>
                <w:spacing w:val="0"/>
                <w:sz w:val="21"/>
                <w14:textFill>
                  <w14:solidFill>
                    <w14:schemeClr w14:val="tx1"/>
                  </w14:solidFill>
                </w14:textFill>
              </w:rPr>
            </w:pPr>
          </w:p>
        </w:tc>
        <w:tc>
          <w:tcPr>
            <w:tcW w:w="585" w:type="dxa"/>
            <w:vAlign w:val="top"/>
          </w:tcPr>
          <w:p w14:paraId="5D821C5E">
            <w:pPr>
              <w:pStyle w:val="29"/>
              <w:spacing w:before="144" w:line="194" w:lineRule="auto"/>
              <w:jc w:val="center"/>
              <w:rPr>
                <w:color w:val="000000" w:themeColor="text1"/>
                <w:spacing w:val="0"/>
                <w14:textFill>
                  <w14:solidFill>
                    <w14:schemeClr w14:val="tx1"/>
                  </w14:solidFill>
                </w14:textFill>
              </w:rPr>
            </w:pPr>
          </w:p>
        </w:tc>
        <w:tc>
          <w:tcPr>
            <w:tcW w:w="927" w:type="dxa"/>
            <w:vMerge w:val="continue"/>
            <w:tcBorders>
              <w:top w:val="nil"/>
              <w:bottom w:val="nil"/>
            </w:tcBorders>
            <w:vAlign w:val="top"/>
          </w:tcPr>
          <w:p w14:paraId="5590EC7A">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3F0591F2">
            <w:pPr>
              <w:rPr>
                <w:rFonts w:ascii="Arial"/>
                <w:color w:val="000000" w:themeColor="text1"/>
                <w:spacing w:val="0"/>
                <w:sz w:val="21"/>
                <w14:textFill>
                  <w14:solidFill>
                    <w14:schemeClr w14:val="tx1"/>
                  </w14:solidFill>
                </w14:textFill>
              </w:rPr>
            </w:pPr>
          </w:p>
        </w:tc>
      </w:tr>
      <w:tr w14:paraId="5FBFA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center"/>
          </w:tcPr>
          <w:p w14:paraId="66AB4DED">
            <w:pPr>
              <w:pStyle w:val="29"/>
              <w:spacing w:before="136"/>
              <w:jc w:val="both"/>
              <w:rPr>
                <w:color w:val="000000" w:themeColor="text1"/>
                <w:spacing w:val="0"/>
                <w14:textFill>
                  <w14:solidFill>
                    <w14:schemeClr w14:val="tx1"/>
                  </w14:solidFill>
                </w14:textFill>
              </w:rPr>
            </w:pPr>
          </w:p>
        </w:tc>
        <w:tc>
          <w:tcPr>
            <w:tcW w:w="1510" w:type="dxa"/>
            <w:vMerge w:val="continue"/>
            <w:tcBorders>
              <w:top w:val="nil"/>
              <w:bottom w:val="nil"/>
            </w:tcBorders>
            <w:vAlign w:val="center"/>
          </w:tcPr>
          <w:p w14:paraId="584B11BC">
            <w:pPr>
              <w:jc w:val="center"/>
              <w:rPr>
                <w:rFonts w:ascii="Arial"/>
                <w:color w:val="000000" w:themeColor="text1"/>
                <w:spacing w:val="0"/>
                <w:sz w:val="21"/>
                <w14:textFill>
                  <w14:solidFill>
                    <w14:schemeClr w14:val="tx1"/>
                  </w14:solidFill>
                </w14:textFill>
              </w:rPr>
            </w:pPr>
          </w:p>
        </w:tc>
        <w:tc>
          <w:tcPr>
            <w:tcW w:w="2310" w:type="dxa"/>
            <w:vAlign w:val="center"/>
          </w:tcPr>
          <w:p w14:paraId="4D2B58A1">
            <w:pPr>
              <w:pStyle w:val="29"/>
              <w:spacing w:before="119" w:line="219" w:lineRule="auto"/>
              <w:jc w:val="center"/>
              <w:rPr>
                <w:color w:val="000000" w:themeColor="text1"/>
                <w:spacing w:val="0"/>
                <w14:textFill>
                  <w14:solidFill>
                    <w14:schemeClr w14:val="tx1"/>
                  </w14:solidFill>
                </w14:textFill>
              </w:rPr>
            </w:pPr>
          </w:p>
        </w:tc>
        <w:tc>
          <w:tcPr>
            <w:tcW w:w="2070" w:type="dxa"/>
            <w:vAlign w:val="top"/>
          </w:tcPr>
          <w:p w14:paraId="136EB7E5">
            <w:pPr>
              <w:jc w:val="center"/>
              <w:rPr>
                <w:rFonts w:ascii="Arial"/>
                <w:color w:val="000000" w:themeColor="text1"/>
                <w:spacing w:val="0"/>
                <w:sz w:val="21"/>
                <w14:textFill>
                  <w14:solidFill>
                    <w14:schemeClr w14:val="tx1"/>
                  </w14:solidFill>
                </w14:textFill>
              </w:rPr>
            </w:pPr>
          </w:p>
        </w:tc>
        <w:tc>
          <w:tcPr>
            <w:tcW w:w="1107" w:type="dxa"/>
            <w:vAlign w:val="center"/>
          </w:tcPr>
          <w:p w14:paraId="140E2E5D">
            <w:pPr>
              <w:pStyle w:val="29"/>
              <w:spacing w:before="137" w:line="239" w:lineRule="auto"/>
              <w:jc w:val="both"/>
              <w:rPr>
                <w:color w:val="000000" w:themeColor="text1"/>
                <w:spacing w:val="0"/>
                <w14:textFill>
                  <w14:solidFill>
                    <w14:schemeClr w14:val="tx1"/>
                  </w14:solidFill>
                </w14:textFill>
              </w:rPr>
            </w:pPr>
          </w:p>
        </w:tc>
        <w:tc>
          <w:tcPr>
            <w:tcW w:w="1140" w:type="dxa"/>
            <w:vMerge w:val="continue"/>
            <w:tcBorders>
              <w:top w:val="nil"/>
              <w:bottom w:val="nil"/>
            </w:tcBorders>
            <w:vAlign w:val="center"/>
          </w:tcPr>
          <w:p w14:paraId="0D32C3A7">
            <w:pPr>
              <w:jc w:val="center"/>
              <w:rPr>
                <w:rFonts w:ascii="Arial"/>
                <w:color w:val="000000" w:themeColor="text1"/>
                <w:spacing w:val="0"/>
                <w:sz w:val="21"/>
                <w14:textFill>
                  <w14:solidFill>
                    <w14:schemeClr w14:val="tx1"/>
                  </w14:solidFill>
                </w14:textFill>
              </w:rPr>
            </w:pPr>
          </w:p>
        </w:tc>
        <w:tc>
          <w:tcPr>
            <w:tcW w:w="585" w:type="dxa"/>
            <w:vAlign w:val="top"/>
          </w:tcPr>
          <w:p w14:paraId="1CF97087">
            <w:pPr>
              <w:pStyle w:val="29"/>
              <w:spacing w:before="154" w:line="194" w:lineRule="auto"/>
              <w:jc w:val="center"/>
              <w:rPr>
                <w:color w:val="000000" w:themeColor="text1"/>
                <w:spacing w:val="0"/>
                <w14:textFill>
                  <w14:solidFill>
                    <w14:schemeClr w14:val="tx1"/>
                  </w14:solidFill>
                </w14:textFill>
              </w:rPr>
            </w:pPr>
          </w:p>
        </w:tc>
        <w:tc>
          <w:tcPr>
            <w:tcW w:w="927" w:type="dxa"/>
            <w:vMerge w:val="continue"/>
            <w:tcBorders>
              <w:top w:val="nil"/>
              <w:bottom w:val="nil"/>
            </w:tcBorders>
            <w:vAlign w:val="top"/>
          </w:tcPr>
          <w:p w14:paraId="51E3F299">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2788C20C">
            <w:pPr>
              <w:rPr>
                <w:rFonts w:ascii="Arial"/>
                <w:color w:val="000000" w:themeColor="text1"/>
                <w:spacing w:val="0"/>
                <w:sz w:val="21"/>
                <w14:textFill>
                  <w14:solidFill>
                    <w14:schemeClr w14:val="tx1"/>
                  </w14:solidFill>
                </w14:textFill>
              </w:rPr>
            </w:pPr>
          </w:p>
        </w:tc>
      </w:tr>
      <w:tr w14:paraId="4E034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5CAB5594">
            <w:pPr>
              <w:pStyle w:val="29"/>
              <w:spacing w:before="127" w:line="241" w:lineRule="auto"/>
              <w:jc w:val="both"/>
              <w:rPr>
                <w:color w:val="000000" w:themeColor="text1"/>
                <w:spacing w:val="0"/>
                <w14:textFill>
                  <w14:solidFill>
                    <w14:schemeClr w14:val="tx1"/>
                  </w14:solidFill>
                </w14:textFill>
              </w:rPr>
            </w:pPr>
          </w:p>
        </w:tc>
        <w:tc>
          <w:tcPr>
            <w:tcW w:w="1510" w:type="dxa"/>
            <w:vMerge w:val="continue"/>
            <w:tcBorders>
              <w:top w:val="nil"/>
              <w:bottom w:val="nil"/>
            </w:tcBorders>
            <w:vAlign w:val="center"/>
          </w:tcPr>
          <w:p w14:paraId="2025B871">
            <w:pPr>
              <w:jc w:val="center"/>
              <w:rPr>
                <w:rFonts w:ascii="Arial"/>
                <w:color w:val="000000" w:themeColor="text1"/>
                <w:spacing w:val="0"/>
                <w:sz w:val="21"/>
                <w14:textFill>
                  <w14:solidFill>
                    <w14:schemeClr w14:val="tx1"/>
                  </w14:solidFill>
                </w14:textFill>
              </w:rPr>
            </w:pPr>
          </w:p>
        </w:tc>
        <w:tc>
          <w:tcPr>
            <w:tcW w:w="2310" w:type="dxa"/>
            <w:vAlign w:val="center"/>
          </w:tcPr>
          <w:p w14:paraId="13EAF55F">
            <w:pPr>
              <w:pStyle w:val="29"/>
              <w:spacing w:before="109" w:line="219" w:lineRule="auto"/>
              <w:jc w:val="center"/>
              <w:rPr>
                <w:color w:val="000000" w:themeColor="text1"/>
                <w:spacing w:val="0"/>
                <w14:textFill>
                  <w14:solidFill>
                    <w14:schemeClr w14:val="tx1"/>
                  </w14:solidFill>
                </w14:textFill>
              </w:rPr>
            </w:pPr>
          </w:p>
        </w:tc>
        <w:tc>
          <w:tcPr>
            <w:tcW w:w="2070" w:type="dxa"/>
            <w:vAlign w:val="top"/>
          </w:tcPr>
          <w:p w14:paraId="397D22AD">
            <w:pPr>
              <w:pStyle w:val="29"/>
              <w:spacing w:before="108" w:line="219" w:lineRule="auto"/>
              <w:jc w:val="center"/>
              <w:rPr>
                <w:color w:val="000000" w:themeColor="text1"/>
                <w:spacing w:val="0"/>
                <w14:textFill>
                  <w14:solidFill>
                    <w14:schemeClr w14:val="tx1"/>
                  </w14:solidFill>
                </w14:textFill>
              </w:rPr>
            </w:pPr>
          </w:p>
        </w:tc>
        <w:tc>
          <w:tcPr>
            <w:tcW w:w="1107" w:type="dxa"/>
            <w:vAlign w:val="center"/>
          </w:tcPr>
          <w:p w14:paraId="2ADED6DA">
            <w:pPr>
              <w:pStyle w:val="29"/>
              <w:spacing w:before="127" w:line="239" w:lineRule="auto"/>
              <w:jc w:val="center"/>
              <w:rPr>
                <w:color w:val="000000" w:themeColor="text1"/>
                <w:spacing w:val="0"/>
                <w14:textFill>
                  <w14:solidFill>
                    <w14:schemeClr w14:val="tx1"/>
                  </w14:solidFill>
                </w14:textFill>
              </w:rPr>
            </w:pPr>
          </w:p>
        </w:tc>
        <w:tc>
          <w:tcPr>
            <w:tcW w:w="1140" w:type="dxa"/>
            <w:vMerge w:val="continue"/>
            <w:tcBorders>
              <w:top w:val="nil"/>
              <w:bottom w:val="nil"/>
            </w:tcBorders>
            <w:vAlign w:val="center"/>
          </w:tcPr>
          <w:p w14:paraId="7CF4A23D">
            <w:pPr>
              <w:jc w:val="center"/>
              <w:rPr>
                <w:rFonts w:ascii="Arial"/>
                <w:color w:val="000000" w:themeColor="text1"/>
                <w:spacing w:val="0"/>
                <w:sz w:val="21"/>
                <w14:textFill>
                  <w14:solidFill>
                    <w14:schemeClr w14:val="tx1"/>
                  </w14:solidFill>
                </w14:textFill>
              </w:rPr>
            </w:pPr>
          </w:p>
        </w:tc>
        <w:tc>
          <w:tcPr>
            <w:tcW w:w="585" w:type="dxa"/>
            <w:vAlign w:val="top"/>
          </w:tcPr>
          <w:p w14:paraId="5422DB4F">
            <w:pPr>
              <w:pStyle w:val="29"/>
              <w:spacing w:before="145" w:line="194" w:lineRule="auto"/>
              <w:jc w:val="center"/>
              <w:rPr>
                <w:color w:val="000000" w:themeColor="text1"/>
                <w:spacing w:val="0"/>
                <w14:textFill>
                  <w14:solidFill>
                    <w14:schemeClr w14:val="tx1"/>
                  </w14:solidFill>
                </w14:textFill>
              </w:rPr>
            </w:pPr>
          </w:p>
        </w:tc>
        <w:tc>
          <w:tcPr>
            <w:tcW w:w="927" w:type="dxa"/>
            <w:vMerge w:val="continue"/>
            <w:tcBorders>
              <w:top w:val="nil"/>
              <w:bottom w:val="nil"/>
            </w:tcBorders>
            <w:vAlign w:val="top"/>
          </w:tcPr>
          <w:p w14:paraId="063D356F">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6257356C">
            <w:pPr>
              <w:rPr>
                <w:rFonts w:ascii="Arial"/>
                <w:color w:val="000000" w:themeColor="text1"/>
                <w:spacing w:val="0"/>
                <w:sz w:val="21"/>
                <w14:textFill>
                  <w14:solidFill>
                    <w14:schemeClr w14:val="tx1"/>
                  </w14:solidFill>
                </w14:textFill>
              </w:rPr>
            </w:pPr>
          </w:p>
        </w:tc>
      </w:tr>
      <w:tr w14:paraId="291F1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690" w:type="dxa"/>
            <w:vAlign w:val="center"/>
          </w:tcPr>
          <w:p w14:paraId="0CCFA1B7">
            <w:pPr>
              <w:pStyle w:val="29"/>
              <w:spacing w:before="136"/>
              <w:jc w:val="center"/>
              <w:rPr>
                <w:color w:val="000000" w:themeColor="text1"/>
                <w:spacing w:val="0"/>
                <w14:textFill>
                  <w14:solidFill>
                    <w14:schemeClr w14:val="tx1"/>
                  </w14:solidFill>
                </w14:textFill>
              </w:rPr>
            </w:pPr>
          </w:p>
        </w:tc>
        <w:tc>
          <w:tcPr>
            <w:tcW w:w="1510" w:type="dxa"/>
            <w:vMerge w:val="continue"/>
            <w:tcBorders>
              <w:top w:val="nil"/>
              <w:bottom w:val="nil"/>
            </w:tcBorders>
            <w:vAlign w:val="center"/>
          </w:tcPr>
          <w:p w14:paraId="73D90573">
            <w:pPr>
              <w:jc w:val="center"/>
              <w:rPr>
                <w:rFonts w:ascii="Arial"/>
                <w:color w:val="000000" w:themeColor="text1"/>
                <w:spacing w:val="0"/>
                <w:sz w:val="21"/>
                <w14:textFill>
                  <w14:solidFill>
                    <w14:schemeClr w14:val="tx1"/>
                  </w14:solidFill>
                </w14:textFill>
              </w:rPr>
            </w:pPr>
          </w:p>
        </w:tc>
        <w:tc>
          <w:tcPr>
            <w:tcW w:w="2310" w:type="dxa"/>
            <w:vAlign w:val="center"/>
          </w:tcPr>
          <w:p w14:paraId="1C2B1AC8">
            <w:pPr>
              <w:pStyle w:val="29"/>
              <w:spacing w:before="119" w:line="219" w:lineRule="auto"/>
              <w:jc w:val="center"/>
              <w:rPr>
                <w:color w:val="000000" w:themeColor="text1"/>
                <w:spacing w:val="0"/>
                <w14:textFill>
                  <w14:solidFill>
                    <w14:schemeClr w14:val="tx1"/>
                  </w14:solidFill>
                </w14:textFill>
              </w:rPr>
            </w:pPr>
          </w:p>
        </w:tc>
        <w:tc>
          <w:tcPr>
            <w:tcW w:w="2070" w:type="dxa"/>
            <w:vAlign w:val="top"/>
          </w:tcPr>
          <w:p w14:paraId="508B959D">
            <w:pPr>
              <w:pStyle w:val="29"/>
              <w:spacing w:before="118" w:line="219" w:lineRule="auto"/>
              <w:jc w:val="both"/>
              <w:rPr>
                <w:color w:val="000000" w:themeColor="text1"/>
                <w:spacing w:val="0"/>
                <w14:textFill>
                  <w14:solidFill>
                    <w14:schemeClr w14:val="tx1"/>
                  </w14:solidFill>
                </w14:textFill>
              </w:rPr>
            </w:pPr>
          </w:p>
        </w:tc>
        <w:tc>
          <w:tcPr>
            <w:tcW w:w="1107" w:type="dxa"/>
            <w:vAlign w:val="center"/>
          </w:tcPr>
          <w:p w14:paraId="38324139">
            <w:pPr>
              <w:pStyle w:val="29"/>
              <w:spacing w:before="137" w:line="239" w:lineRule="auto"/>
              <w:jc w:val="center"/>
              <w:rPr>
                <w:color w:val="000000" w:themeColor="text1"/>
                <w:spacing w:val="0"/>
                <w14:textFill>
                  <w14:solidFill>
                    <w14:schemeClr w14:val="tx1"/>
                  </w14:solidFill>
                </w14:textFill>
              </w:rPr>
            </w:pPr>
          </w:p>
        </w:tc>
        <w:tc>
          <w:tcPr>
            <w:tcW w:w="1140" w:type="dxa"/>
            <w:vMerge w:val="continue"/>
            <w:tcBorders>
              <w:top w:val="nil"/>
              <w:bottom w:val="nil"/>
            </w:tcBorders>
            <w:vAlign w:val="center"/>
          </w:tcPr>
          <w:p w14:paraId="204782C6">
            <w:pPr>
              <w:jc w:val="center"/>
              <w:rPr>
                <w:rFonts w:ascii="Arial"/>
                <w:color w:val="000000" w:themeColor="text1"/>
                <w:spacing w:val="0"/>
                <w:sz w:val="21"/>
                <w14:textFill>
                  <w14:solidFill>
                    <w14:schemeClr w14:val="tx1"/>
                  </w14:solidFill>
                </w14:textFill>
              </w:rPr>
            </w:pPr>
          </w:p>
        </w:tc>
        <w:tc>
          <w:tcPr>
            <w:tcW w:w="585" w:type="dxa"/>
            <w:vAlign w:val="top"/>
          </w:tcPr>
          <w:p w14:paraId="7D69E583">
            <w:pPr>
              <w:pStyle w:val="29"/>
              <w:spacing w:before="155" w:line="194" w:lineRule="auto"/>
              <w:jc w:val="center"/>
              <w:rPr>
                <w:color w:val="000000" w:themeColor="text1"/>
                <w:spacing w:val="0"/>
                <w14:textFill>
                  <w14:solidFill>
                    <w14:schemeClr w14:val="tx1"/>
                  </w14:solidFill>
                </w14:textFill>
              </w:rPr>
            </w:pPr>
          </w:p>
        </w:tc>
        <w:tc>
          <w:tcPr>
            <w:tcW w:w="927" w:type="dxa"/>
            <w:vMerge w:val="continue"/>
            <w:tcBorders>
              <w:top w:val="nil"/>
              <w:bottom w:val="nil"/>
            </w:tcBorders>
            <w:vAlign w:val="top"/>
          </w:tcPr>
          <w:p w14:paraId="561FE6D3">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6CCE1C8C">
            <w:pPr>
              <w:rPr>
                <w:rFonts w:ascii="Arial"/>
                <w:color w:val="000000" w:themeColor="text1"/>
                <w:spacing w:val="0"/>
                <w:sz w:val="21"/>
                <w14:textFill>
                  <w14:solidFill>
                    <w14:schemeClr w14:val="tx1"/>
                  </w14:solidFill>
                </w14:textFill>
              </w:rPr>
            </w:pPr>
          </w:p>
        </w:tc>
      </w:tr>
      <w:tr w14:paraId="1966D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28FF94CF">
            <w:pPr>
              <w:pStyle w:val="29"/>
              <w:spacing w:before="127"/>
              <w:jc w:val="both"/>
              <w:rPr>
                <w:color w:val="000000" w:themeColor="text1"/>
                <w:spacing w:val="0"/>
                <w14:textFill>
                  <w14:solidFill>
                    <w14:schemeClr w14:val="tx1"/>
                  </w14:solidFill>
                </w14:textFill>
              </w:rPr>
            </w:pPr>
          </w:p>
        </w:tc>
        <w:tc>
          <w:tcPr>
            <w:tcW w:w="1510" w:type="dxa"/>
            <w:vMerge w:val="continue"/>
            <w:tcBorders>
              <w:top w:val="nil"/>
              <w:bottom w:val="nil"/>
            </w:tcBorders>
            <w:vAlign w:val="center"/>
          </w:tcPr>
          <w:p w14:paraId="456E2EC7">
            <w:pPr>
              <w:jc w:val="center"/>
              <w:rPr>
                <w:rFonts w:ascii="Arial"/>
                <w:color w:val="000000" w:themeColor="text1"/>
                <w:spacing w:val="0"/>
                <w:sz w:val="21"/>
                <w14:textFill>
                  <w14:solidFill>
                    <w14:schemeClr w14:val="tx1"/>
                  </w14:solidFill>
                </w14:textFill>
              </w:rPr>
            </w:pPr>
          </w:p>
        </w:tc>
        <w:tc>
          <w:tcPr>
            <w:tcW w:w="2310" w:type="dxa"/>
            <w:vAlign w:val="center"/>
          </w:tcPr>
          <w:p w14:paraId="18A9211B">
            <w:pPr>
              <w:pStyle w:val="29"/>
              <w:spacing w:before="110" w:line="219" w:lineRule="auto"/>
              <w:jc w:val="center"/>
              <w:rPr>
                <w:color w:val="000000" w:themeColor="text1"/>
                <w:spacing w:val="0"/>
                <w14:textFill>
                  <w14:solidFill>
                    <w14:schemeClr w14:val="tx1"/>
                  </w14:solidFill>
                </w14:textFill>
              </w:rPr>
            </w:pPr>
          </w:p>
        </w:tc>
        <w:tc>
          <w:tcPr>
            <w:tcW w:w="2070" w:type="dxa"/>
            <w:vAlign w:val="top"/>
          </w:tcPr>
          <w:p w14:paraId="3D5026C6">
            <w:pPr>
              <w:pStyle w:val="29"/>
              <w:spacing w:before="109" w:line="219" w:lineRule="auto"/>
              <w:jc w:val="center"/>
              <w:rPr>
                <w:color w:val="000000" w:themeColor="text1"/>
                <w:spacing w:val="0"/>
                <w14:textFill>
                  <w14:solidFill>
                    <w14:schemeClr w14:val="tx1"/>
                  </w14:solidFill>
                </w14:textFill>
              </w:rPr>
            </w:pPr>
          </w:p>
        </w:tc>
        <w:tc>
          <w:tcPr>
            <w:tcW w:w="1107" w:type="dxa"/>
            <w:vAlign w:val="center"/>
          </w:tcPr>
          <w:p w14:paraId="5C118011">
            <w:pPr>
              <w:pStyle w:val="29"/>
              <w:spacing w:before="128" w:line="239" w:lineRule="auto"/>
              <w:jc w:val="center"/>
              <w:rPr>
                <w:color w:val="000000" w:themeColor="text1"/>
                <w:spacing w:val="0"/>
                <w14:textFill>
                  <w14:solidFill>
                    <w14:schemeClr w14:val="tx1"/>
                  </w14:solidFill>
                </w14:textFill>
              </w:rPr>
            </w:pPr>
          </w:p>
        </w:tc>
        <w:tc>
          <w:tcPr>
            <w:tcW w:w="1140" w:type="dxa"/>
            <w:vMerge w:val="continue"/>
            <w:tcBorders>
              <w:top w:val="nil"/>
              <w:bottom w:val="nil"/>
            </w:tcBorders>
            <w:vAlign w:val="center"/>
          </w:tcPr>
          <w:p w14:paraId="2BBBF950">
            <w:pPr>
              <w:jc w:val="center"/>
              <w:rPr>
                <w:rFonts w:ascii="Arial"/>
                <w:color w:val="000000" w:themeColor="text1"/>
                <w:spacing w:val="0"/>
                <w:sz w:val="21"/>
                <w14:textFill>
                  <w14:solidFill>
                    <w14:schemeClr w14:val="tx1"/>
                  </w14:solidFill>
                </w14:textFill>
              </w:rPr>
            </w:pPr>
          </w:p>
        </w:tc>
        <w:tc>
          <w:tcPr>
            <w:tcW w:w="585" w:type="dxa"/>
            <w:vAlign w:val="top"/>
          </w:tcPr>
          <w:p w14:paraId="11B39642">
            <w:pPr>
              <w:pStyle w:val="29"/>
              <w:spacing w:before="146" w:line="194" w:lineRule="auto"/>
              <w:jc w:val="center"/>
              <w:rPr>
                <w:color w:val="000000" w:themeColor="text1"/>
                <w:spacing w:val="0"/>
                <w14:textFill>
                  <w14:solidFill>
                    <w14:schemeClr w14:val="tx1"/>
                  </w14:solidFill>
                </w14:textFill>
              </w:rPr>
            </w:pPr>
          </w:p>
        </w:tc>
        <w:tc>
          <w:tcPr>
            <w:tcW w:w="927" w:type="dxa"/>
            <w:vMerge w:val="continue"/>
            <w:tcBorders>
              <w:top w:val="nil"/>
              <w:bottom w:val="nil"/>
            </w:tcBorders>
            <w:vAlign w:val="top"/>
          </w:tcPr>
          <w:p w14:paraId="2F7EE586">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716AA61A">
            <w:pPr>
              <w:rPr>
                <w:rFonts w:ascii="Arial"/>
                <w:color w:val="000000" w:themeColor="text1"/>
                <w:spacing w:val="0"/>
                <w:sz w:val="21"/>
                <w14:textFill>
                  <w14:solidFill>
                    <w14:schemeClr w14:val="tx1"/>
                  </w14:solidFill>
                </w14:textFill>
              </w:rPr>
            </w:pPr>
          </w:p>
        </w:tc>
      </w:tr>
      <w:tr w14:paraId="245F0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690" w:type="dxa"/>
            <w:vAlign w:val="center"/>
          </w:tcPr>
          <w:p w14:paraId="26A4397A">
            <w:pPr>
              <w:pStyle w:val="29"/>
              <w:spacing w:before="137"/>
              <w:jc w:val="center"/>
              <w:rPr>
                <w:color w:val="000000" w:themeColor="text1"/>
                <w:spacing w:val="0"/>
                <w14:textFill>
                  <w14:solidFill>
                    <w14:schemeClr w14:val="tx1"/>
                  </w14:solidFill>
                </w14:textFill>
              </w:rPr>
            </w:pPr>
          </w:p>
        </w:tc>
        <w:tc>
          <w:tcPr>
            <w:tcW w:w="1510" w:type="dxa"/>
            <w:vMerge w:val="continue"/>
            <w:tcBorders>
              <w:top w:val="nil"/>
              <w:bottom w:val="nil"/>
            </w:tcBorders>
            <w:vAlign w:val="center"/>
          </w:tcPr>
          <w:p w14:paraId="07F35DEE">
            <w:pPr>
              <w:jc w:val="center"/>
              <w:rPr>
                <w:rFonts w:ascii="Arial"/>
                <w:color w:val="000000" w:themeColor="text1"/>
                <w:spacing w:val="0"/>
                <w:sz w:val="21"/>
                <w14:textFill>
                  <w14:solidFill>
                    <w14:schemeClr w14:val="tx1"/>
                  </w14:solidFill>
                </w14:textFill>
              </w:rPr>
            </w:pPr>
          </w:p>
        </w:tc>
        <w:tc>
          <w:tcPr>
            <w:tcW w:w="2310" w:type="dxa"/>
            <w:vAlign w:val="center"/>
          </w:tcPr>
          <w:p w14:paraId="31439B47">
            <w:pPr>
              <w:pStyle w:val="29"/>
              <w:spacing w:before="120" w:line="219" w:lineRule="auto"/>
              <w:jc w:val="both"/>
              <w:rPr>
                <w:color w:val="000000" w:themeColor="text1"/>
                <w:spacing w:val="0"/>
                <w14:textFill>
                  <w14:solidFill>
                    <w14:schemeClr w14:val="tx1"/>
                  </w14:solidFill>
                </w14:textFill>
              </w:rPr>
            </w:pPr>
          </w:p>
        </w:tc>
        <w:tc>
          <w:tcPr>
            <w:tcW w:w="2070" w:type="dxa"/>
            <w:vAlign w:val="top"/>
          </w:tcPr>
          <w:p w14:paraId="24F0EF3B">
            <w:pPr>
              <w:pStyle w:val="29"/>
              <w:spacing w:before="119" w:line="219" w:lineRule="auto"/>
              <w:jc w:val="center"/>
              <w:rPr>
                <w:color w:val="000000" w:themeColor="text1"/>
                <w:spacing w:val="0"/>
                <w14:textFill>
                  <w14:solidFill>
                    <w14:schemeClr w14:val="tx1"/>
                  </w14:solidFill>
                </w14:textFill>
              </w:rPr>
            </w:pPr>
          </w:p>
        </w:tc>
        <w:tc>
          <w:tcPr>
            <w:tcW w:w="1107" w:type="dxa"/>
            <w:vAlign w:val="center"/>
          </w:tcPr>
          <w:p w14:paraId="21861222">
            <w:pPr>
              <w:pStyle w:val="29"/>
              <w:spacing w:before="138" w:line="239" w:lineRule="auto"/>
              <w:jc w:val="center"/>
              <w:rPr>
                <w:color w:val="000000" w:themeColor="text1"/>
                <w:spacing w:val="0"/>
                <w14:textFill>
                  <w14:solidFill>
                    <w14:schemeClr w14:val="tx1"/>
                  </w14:solidFill>
                </w14:textFill>
              </w:rPr>
            </w:pPr>
          </w:p>
        </w:tc>
        <w:tc>
          <w:tcPr>
            <w:tcW w:w="1140" w:type="dxa"/>
            <w:vMerge w:val="continue"/>
            <w:tcBorders>
              <w:top w:val="nil"/>
              <w:bottom w:val="nil"/>
            </w:tcBorders>
            <w:vAlign w:val="center"/>
          </w:tcPr>
          <w:p w14:paraId="4163512C">
            <w:pPr>
              <w:jc w:val="center"/>
              <w:rPr>
                <w:rFonts w:ascii="Arial"/>
                <w:color w:val="000000" w:themeColor="text1"/>
                <w:spacing w:val="0"/>
                <w:sz w:val="21"/>
                <w14:textFill>
                  <w14:solidFill>
                    <w14:schemeClr w14:val="tx1"/>
                  </w14:solidFill>
                </w14:textFill>
              </w:rPr>
            </w:pPr>
          </w:p>
        </w:tc>
        <w:tc>
          <w:tcPr>
            <w:tcW w:w="585" w:type="dxa"/>
            <w:vAlign w:val="top"/>
          </w:tcPr>
          <w:p w14:paraId="5FA5127F">
            <w:pPr>
              <w:pStyle w:val="29"/>
              <w:spacing w:before="156" w:line="194" w:lineRule="auto"/>
              <w:jc w:val="both"/>
              <w:rPr>
                <w:color w:val="000000" w:themeColor="text1"/>
                <w:spacing w:val="0"/>
                <w14:textFill>
                  <w14:solidFill>
                    <w14:schemeClr w14:val="tx1"/>
                  </w14:solidFill>
                </w14:textFill>
              </w:rPr>
            </w:pPr>
          </w:p>
        </w:tc>
        <w:tc>
          <w:tcPr>
            <w:tcW w:w="927" w:type="dxa"/>
            <w:vMerge w:val="continue"/>
            <w:tcBorders>
              <w:top w:val="nil"/>
              <w:bottom w:val="nil"/>
            </w:tcBorders>
            <w:vAlign w:val="top"/>
          </w:tcPr>
          <w:p w14:paraId="766AE769">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013D9804">
            <w:pPr>
              <w:rPr>
                <w:rFonts w:ascii="Arial"/>
                <w:color w:val="000000" w:themeColor="text1"/>
                <w:spacing w:val="0"/>
                <w:sz w:val="21"/>
                <w14:textFill>
                  <w14:solidFill>
                    <w14:schemeClr w14:val="tx1"/>
                  </w14:solidFill>
                </w14:textFill>
              </w:rPr>
            </w:pPr>
          </w:p>
        </w:tc>
      </w:tr>
      <w:tr w14:paraId="7035C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90" w:type="dxa"/>
            <w:vAlign w:val="center"/>
          </w:tcPr>
          <w:p w14:paraId="51300112">
            <w:pPr>
              <w:pStyle w:val="29"/>
              <w:spacing w:before="127"/>
              <w:jc w:val="center"/>
              <w:rPr>
                <w:color w:val="000000" w:themeColor="text1"/>
                <w:spacing w:val="0"/>
                <w14:textFill>
                  <w14:solidFill>
                    <w14:schemeClr w14:val="tx1"/>
                  </w14:solidFill>
                </w14:textFill>
              </w:rPr>
            </w:pPr>
          </w:p>
        </w:tc>
        <w:tc>
          <w:tcPr>
            <w:tcW w:w="1510" w:type="dxa"/>
            <w:vMerge w:val="continue"/>
            <w:tcBorders>
              <w:top w:val="nil"/>
              <w:bottom w:val="nil"/>
            </w:tcBorders>
            <w:vAlign w:val="center"/>
          </w:tcPr>
          <w:p w14:paraId="499F5A3A">
            <w:pPr>
              <w:jc w:val="center"/>
              <w:rPr>
                <w:rFonts w:ascii="Arial"/>
                <w:color w:val="000000" w:themeColor="text1"/>
                <w:spacing w:val="0"/>
                <w:sz w:val="21"/>
                <w14:textFill>
                  <w14:solidFill>
                    <w14:schemeClr w14:val="tx1"/>
                  </w14:solidFill>
                </w14:textFill>
              </w:rPr>
            </w:pPr>
          </w:p>
        </w:tc>
        <w:tc>
          <w:tcPr>
            <w:tcW w:w="2310" w:type="dxa"/>
            <w:vAlign w:val="center"/>
          </w:tcPr>
          <w:p w14:paraId="20B9EA7F">
            <w:pPr>
              <w:pStyle w:val="29"/>
              <w:spacing w:before="110" w:line="219" w:lineRule="auto"/>
              <w:jc w:val="both"/>
              <w:rPr>
                <w:color w:val="000000" w:themeColor="text1"/>
                <w:spacing w:val="0"/>
                <w14:textFill>
                  <w14:solidFill>
                    <w14:schemeClr w14:val="tx1"/>
                  </w14:solidFill>
                </w14:textFill>
              </w:rPr>
            </w:pPr>
          </w:p>
        </w:tc>
        <w:tc>
          <w:tcPr>
            <w:tcW w:w="2070" w:type="dxa"/>
            <w:vAlign w:val="top"/>
          </w:tcPr>
          <w:p w14:paraId="5AA302D6">
            <w:pPr>
              <w:pStyle w:val="29"/>
              <w:spacing w:before="110" w:line="219" w:lineRule="auto"/>
              <w:jc w:val="center"/>
              <w:rPr>
                <w:color w:val="000000" w:themeColor="text1"/>
                <w:spacing w:val="0"/>
                <w14:textFill>
                  <w14:solidFill>
                    <w14:schemeClr w14:val="tx1"/>
                  </w14:solidFill>
                </w14:textFill>
              </w:rPr>
            </w:pPr>
          </w:p>
        </w:tc>
        <w:tc>
          <w:tcPr>
            <w:tcW w:w="1107" w:type="dxa"/>
            <w:vAlign w:val="center"/>
          </w:tcPr>
          <w:p w14:paraId="1764A272">
            <w:pPr>
              <w:pStyle w:val="29"/>
              <w:spacing w:before="128" w:line="239" w:lineRule="auto"/>
              <w:jc w:val="center"/>
              <w:rPr>
                <w:color w:val="000000" w:themeColor="text1"/>
                <w:spacing w:val="0"/>
                <w14:textFill>
                  <w14:solidFill>
                    <w14:schemeClr w14:val="tx1"/>
                  </w14:solidFill>
                </w14:textFill>
              </w:rPr>
            </w:pPr>
          </w:p>
        </w:tc>
        <w:tc>
          <w:tcPr>
            <w:tcW w:w="1140" w:type="dxa"/>
            <w:vMerge w:val="continue"/>
            <w:tcBorders>
              <w:top w:val="nil"/>
              <w:bottom w:val="nil"/>
            </w:tcBorders>
            <w:vAlign w:val="center"/>
          </w:tcPr>
          <w:p w14:paraId="2F2A61D4">
            <w:pPr>
              <w:jc w:val="center"/>
              <w:rPr>
                <w:rFonts w:ascii="Arial"/>
                <w:color w:val="000000" w:themeColor="text1"/>
                <w:spacing w:val="0"/>
                <w:sz w:val="21"/>
                <w14:textFill>
                  <w14:solidFill>
                    <w14:schemeClr w14:val="tx1"/>
                  </w14:solidFill>
                </w14:textFill>
              </w:rPr>
            </w:pPr>
          </w:p>
        </w:tc>
        <w:tc>
          <w:tcPr>
            <w:tcW w:w="585" w:type="dxa"/>
            <w:vAlign w:val="top"/>
          </w:tcPr>
          <w:p w14:paraId="3B006207">
            <w:pPr>
              <w:pStyle w:val="29"/>
              <w:spacing w:before="146" w:line="194" w:lineRule="auto"/>
              <w:jc w:val="center"/>
              <w:rPr>
                <w:color w:val="000000" w:themeColor="text1"/>
                <w:spacing w:val="0"/>
                <w14:textFill>
                  <w14:solidFill>
                    <w14:schemeClr w14:val="tx1"/>
                  </w14:solidFill>
                </w14:textFill>
              </w:rPr>
            </w:pPr>
          </w:p>
        </w:tc>
        <w:tc>
          <w:tcPr>
            <w:tcW w:w="927" w:type="dxa"/>
            <w:vMerge w:val="continue"/>
            <w:tcBorders>
              <w:top w:val="nil"/>
              <w:bottom w:val="nil"/>
            </w:tcBorders>
            <w:vAlign w:val="top"/>
          </w:tcPr>
          <w:p w14:paraId="41F6F025">
            <w:pPr>
              <w:rPr>
                <w:rFonts w:ascii="Arial"/>
                <w:color w:val="000000" w:themeColor="text1"/>
                <w:spacing w:val="0"/>
                <w:sz w:val="21"/>
                <w14:textFill>
                  <w14:solidFill>
                    <w14:schemeClr w14:val="tx1"/>
                  </w14:solidFill>
                </w14:textFill>
              </w:rPr>
            </w:pPr>
          </w:p>
        </w:tc>
        <w:tc>
          <w:tcPr>
            <w:tcW w:w="906" w:type="dxa"/>
            <w:vMerge w:val="continue"/>
            <w:tcBorders>
              <w:top w:val="nil"/>
              <w:bottom w:val="nil"/>
            </w:tcBorders>
            <w:vAlign w:val="top"/>
          </w:tcPr>
          <w:p w14:paraId="74CC7748">
            <w:pPr>
              <w:rPr>
                <w:rFonts w:ascii="Arial"/>
                <w:color w:val="000000" w:themeColor="text1"/>
                <w:spacing w:val="0"/>
                <w:sz w:val="21"/>
                <w14:textFill>
                  <w14:solidFill>
                    <w14:schemeClr w14:val="tx1"/>
                  </w14:solidFill>
                </w14:textFill>
              </w:rPr>
            </w:pPr>
          </w:p>
        </w:tc>
      </w:tr>
      <w:tr w14:paraId="61545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690" w:type="dxa"/>
            <w:vAlign w:val="top"/>
          </w:tcPr>
          <w:p w14:paraId="2495C527">
            <w:pPr>
              <w:pStyle w:val="29"/>
              <w:spacing w:before="147"/>
              <w:jc w:val="center"/>
              <w:rPr>
                <w:color w:val="000000" w:themeColor="text1"/>
                <w:spacing w:val="0"/>
                <w14:textFill>
                  <w14:solidFill>
                    <w14:schemeClr w14:val="tx1"/>
                  </w14:solidFill>
                </w14:textFill>
              </w:rPr>
            </w:pPr>
            <w:r>
              <w:rPr>
                <w:rFonts w:hint="eastAsia"/>
                <w:color w:val="000000" w:themeColor="text1"/>
                <w:spacing w:val="0"/>
                <w14:textFill>
                  <w14:solidFill>
                    <w14:schemeClr w14:val="tx1"/>
                  </w14:solidFill>
                </w14:textFill>
              </w:rPr>
              <w:t>.....</w:t>
            </w:r>
          </w:p>
        </w:tc>
        <w:tc>
          <w:tcPr>
            <w:tcW w:w="1510" w:type="dxa"/>
            <w:vMerge w:val="continue"/>
            <w:tcBorders>
              <w:top w:val="nil"/>
            </w:tcBorders>
            <w:vAlign w:val="center"/>
          </w:tcPr>
          <w:p w14:paraId="141EDC83">
            <w:pPr>
              <w:jc w:val="center"/>
              <w:rPr>
                <w:rFonts w:ascii="Arial"/>
                <w:color w:val="000000" w:themeColor="text1"/>
                <w:spacing w:val="0"/>
                <w:sz w:val="21"/>
                <w14:textFill>
                  <w14:solidFill>
                    <w14:schemeClr w14:val="tx1"/>
                  </w14:solidFill>
                </w14:textFill>
              </w:rPr>
            </w:pPr>
          </w:p>
        </w:tc>
        <w:tc>
          <w:tcPr>
            <w:tcW w:w="2310" w:type="dxa"/>
            <w:vAlign w:val="center"/>
          </w:tcPr>
          <w:p w14:paraId="5D075E65">
            <w:pPr>
              <w:pStyle w:val="29"/>
              <w:spacing w:before="130" w:line="219" w:lineRule="auto"/>
              <w:jc w:val="center"/>
              <w:rPr>
                <w:color w:val="000000" w:themeColor="text1"/>
                <w:spacing w:val="0"/>
                <w14:textFill>
                  <w14:solidFill>
                    <w14:schemeClr w14:val="tx1"/>
                  </w14:solidFill>
                </w14:textFill>
              </w:rPr>
            </w:pPr>
          </w:p>
        </w:tc>
        <w:tc>
          <w:tcPr>
            <w:tcW w:w="2070" w:type="dxa"/>
            <w:vAlign w:val="top"/>
          </w:tcPr>
          <w:p w14:paraId="0EEDF87D">
            <w:pPr>
              <w:pStyle w:val="29"/>
              <w:spacing w:before="130" w:line="219" w:lineRule="auto"/>
              <w:jc w:val="center"/>
              <w:rPr>
                <w:color w:val="000000" w:themeColor="text1"/>
                <w:spacing w:val="0"/>
                <w14:textFill>
                  <w14:solidFill>
                    <w14:schemeClr w14:val="tx1"/>
                  </w14:solidFill>
                </w14:textFill>
              </w:rPr>
            </w:pPr>
          </w:p>
        </w:tc>
        <w:tc>
          <w:tcPr>
            <w:tcW w:w="1107" w:type="dxa"/>
            <w:vAlign w:val="center"/>
          </w:tcPr>
          <w:p w14:paraId="401E8C4B">
            <w:pPr>
              <w:pStyle w:val="29"/>
              <w:spacing w:before="148" w:line="239" w:lineRule="auto"/>
              <w:jc w:val="center"/>
              <w:rPr>
                <w:color w:val="000000" w:themeColor="text1"/>
                <w:spacing w:val="0"/>
                <w14:textFill>
                  <w14:solidFill>
                    <w14:schemeClr w14:val="tx1"/>
                  </w14:solidFill>
                </w14:textFill>
              </w:rPr>
            </w:pPr>
          </w:p>
        </w:tc>
        <w:tc>
          <w:tcPr>
            <w:tcW w:w="1140" w:type="dxa"/>
            <w:vMerge w:val="continue"/>
            <w:tcBorders>
              <w:top w:val="nil"/>
            </w:tcBorders>
            <w:vAlign w:val="center"/>
          </w:tcPr>
          <w:p w14:paraId="68C97848">
            <w:pPr>
              <w:jc w:val="center"/>
              <w:rPr>
                <w:rFonts w:ascii="Arial"/>
                <w:color w:val="000000" w:themeColor="text1"/>
                <w:spacing w:val="0"/>
                <w:sz w:val="21"/>
                <w14:textFill>
                  <w14:solidFill>
                    <w14:schemeClr w14:val="tx1"/>
                  </w14:solidFill>
                </w14:textFill>
              </w:rPr>
            </w:pPr>
          </w:p>
        </w:tc>
        <w:tc>
          <w:tcPr>
            <w:tcW w:w="585" w:type="dxa"/>
            <w:vAlign w:val="top"/>
          </w:tcPr>
          <w:p w14:paraId="03369CFE">
            <w:pPr>
              <w:pStyle w:val="29"/>
              <w:spacing w:before="165" w:line="194" w:lineRule="auto"/>
              <w:jc w:val="center"/>
              <w:rPr>
                <w:color w:val="000000" w:themeColor="text1"/>
                <w:spacing w:val="0"/>
                <w14:textFill>
                  <w14:solidFill>
                    <w14:schemeClr w14:val="tx1"/>
                  </w14:solidFill>
                </w14:textFill>
              </w:rPr>
            </w:pPr>
          </w:p>
        </w:tc>
        <w:tc>
          <w:tcPr>
            <w:tcW w:w="927" w:type="dxa"/>
            <w:vMerge w:val="continue"/>
            <w:tcBorders>
              <w:top w:val="nil"/>
            </w:tcBorders>
            <w:vAlign w:val="top"/>
          </w:tcPr>
          <w:p w14:paraId="17F4798B">
            <w:pPr>
              <w:rPr>
                <w:rFonts w:ascii="Arial"/>
                <w:color w:val="000000" w:themeColor="text1"/>
                <w:spacing w:val="0"/>
                <w:sz w:val="21"/>
                <w14:textFill>
                  <w14:solidFill>
                    <w14:schemeClr w14:val="tx1"/>
                  </w14:solidFill>
                </w14:textFill>
              </w:rPr>
            </w:pPr>
          </w:p>
        </w:tc>
        <w:tc>
          <w:tcPr>
            <w:tcW w:w="906" w:type="dxa"/>
            <w:vMerge w:val="continue"/>
            <w:tcBorders>
              <w:top w:val="nil"/>
            </w:tcBorders>
            <w:vAlign w:val="top"/>
          </w:tcPr>
          <w:p w14:paraId="39901C7E">
            <w:pPr>
              <w:rPr>
                <w:rFonts w:ascii="Arial"/>
                <w:color w:val="000000" w:themeColor="text1"/>
                <w:spacing w:val="0"/>
                <w:sz w:val="21"/>
                <w14:textFill>
                  <w14:solidFill>
                    <w14:schemeClr w14:val="tx1"/>
                  </w14:solidFill>
                </w14:textFill>
              </w:rPr>
            </w:pPr>
          </w:p>
        </w:tc>
      </w:tr>
      <w:tr w14:paraId="5BF2A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690" w:type="dxa"/>
            <w:vAlign w:val="center"/>
          </w:tcPr>
          <w:p w14:paraId="5C227D29">
            <w:pPr>
              <w:pStyle w:val="29"/>
              <w:spacing w:before="134"/>
              <w:jc w:val="center"/>
              <w:rPr>
                <w:rFonts w:hint="eastAsia" w:eastAsia="宋体"/>
                <w:spacing w:val="0"/>
                <w:lang w:val="en-US" w:eastAsia="zh-CN"/>
              </w:rPr>
            </w:pPr>
            <w:r>
              <w:rPr>
                <w:rFonts w:hint="eastAsia"/>
                <w:spacing w:val="0"/>
                <w:lang w:val="en-US" w:eastAsia="zh-CN"/>
              </w:rPr>
              <w:t>合计：</w:t>
            </w:r>
          </w:p>
        </w:tc>
        <w:tc>
          <w:tcPr>
            <w:tcW w:w="1510" w:type="dxa"/>
            <w:vAlign w:val="center"/>
          </w:tcPr>
          <w:p w14:paraId="2991DF2F">
            <w:pPr>
              <w:pStyle w:val="29"/>
              <w:spacing w:before="59" w:line="219" w:lineRule="auto"/>
              <w:jc w:val="center"/>
              <w:rPr>
                <w:rFonts w:ascii="宋体" w:hAnsi="宋体" w:eastAsia="宋体" w:cs="宋体"/>
                <w:spacing w:val="0"/>
              </w:rPr>
            </w:pPr>
          </w:p>
        </w:tc>
        <w:tc>
          <w:tcPr>
            <w:tcW w:w="2310" w:type="dxa"/>
            <w:vAlign w:val="center"/>
          </w:tcPr>
          <w:p w14:paraId="69A03C4A">
            <w:pPr>
              <w:pStyle w:val="29"/>
              <w:spacing w:before="59" w:line="219" w:lineRule="auto"/>
              <w:jc w:val="center"/>
              <w:rPr>
                <w:rFonts w:ascii="宋体" w:hAnsi="宋体" w:eastAsia="宋体" w:cs="宋体"/>
                <w:spacing w:val="0"/>
              </w:rPr>
            </w:pPr>
          </w:p>
        </w:tc>
        <w:tc>
          <w:tcPr>
            <w:tcW w:w="2070" w:type="dxa"/>
            <w:vAlign w:val="center"/>
          </w:tcPr>
          <w:p w14:paraId="0EBD353B">
            <w:pPr>
              <w:jc w:val="center"/>
              <w:rPr>
                <w:rFonts w:ascii="Arial"/>
                <w:spacing w:val="0"/>
                <w:sz w:val="21"/>
              </w:rPr>
            </w:pPr>
          </w:p>
        </w:tc>
        <w:tc>
          <w:tcPr>
            <w:tcW w:w="1107" w:type="dxa"/>
            <w:vAlign w:val="center"/>
          </w:tcPr>
          <w:p w14:paraId="52948B8E">
            <w:pPr>
              <w:pStyle w:val="29"/>
              <w:spacing w:before="134"/>
              <w:jc w:val="center"/>
              <w:rPr>
                <w:spacing w:val="0"/>
              </w:rPr>
            </w:pPr>
          </w:p>
        </w:tc>
        <w:tc>
          <w:tcPr>
            <w:tcW w:w="1140" w:type="dxa"/>
            <w:shd w:val="clear" w:color="auto" w:fill="auto"/>
            <w:vAlign w:val="center"/>
          </w:tcPr>
          <w:p w14:paraId="34D597EB">
            <w:pPr>
              <w:pStyle w:val="29"/>
              <w:spacing w:before="134"/>
              <w:jc w:val="center"/>
              <w:rPr>
                <w:rFonts w:hint="eastAsia" w:ascii="宋体" w:hAnsi="宋体" w:eastAsia="宋体" w:cs="宋体"/>
                <w:spacing w:val="0"/>
                <w:lang w:val="en-US" w:eastAsia="zh-CN"/>
              </w:rPr>
            </w:pPr>
          </w:p>
        </w:tc>
        <w:tc>
          <w:tcPr>
            <w:tcW w:w="585" w:type="dxa"/>
            <w:vAlign w:val="center"/>
          </w:tcPr>
          <w:p w14:paraId="33D81B16">
            <w:pPr>
              <w:pStyle w:val="29"/>
              <w:spacing w:before="134"/>
              <w:jc w:val="both"/>
              <w:rPr>
                <w:rFonts w:hint="eastAsia" w:ascii="宋体" w:hAnsi="宋体" w:eastAsia="宋体" w:cs="宋体"/>
                <w:spacing w:val="0"/>
                <w:lang w:val="en-US" w:eastAsia="zh-CN"/>
              </w:rPr>
            </w:pPr>
          </w:p>
        </w:tc>
        <w:tc>
          <w:tcPr>
            <w:tcW w:w="927" w:type="dxa"/>
            <w:vAlign w:val="center"/>
          </w:tcPr>
          <w:p w14:paraId="4AF929E2">
            <w:pPr>
              <w:pStyle w:val="29"/>
              <w:spacing w:before="134"/>
              <w:jc w:val="center"/>
              <w:rPr>
                <w:rFonts w:hint="eastAsia" w:ascii="宋体" w:hAnsi="宋体" w:eastAsia="宋体" w:cs="宋体"/>
                <w:spacing w:val="0"/>
                <w:lang w:val="en-US" w:eastAsia="zh-CN"/>
              </w:rPr>
            </w:pPr>
          </w:p>
        </w:tc>
        <w:tc>
          <w:tcPr>
            <w:tcW w:w="906" w:type="dxa"/>
            <w:shd w:val="clear" w:color="auto" w:fill="auto"/>
            <w:vAlign w:val="center"/>
          </w:tcPr>
          <w:p w14:paraId="6BA5A641">
            <w:pPr>
              <w:pStyle w:val="29"/>
              <w:spacing w:before="134"/>
              <w:jc w:val="center"/>
              <w:rPr>
                <w:rFonts w:hint="default" w:ascii="宋体" w:hAnsi="宋体" w:eastAsia="宋体" w:cs="宋体"/>
                <w:spacing w:val="0"/>
                <w:lang w:val="en-US" w:eastAsia="zh-CN"/>
              </w:rPr>
            </w:pPr>
          </w:p>
        </w:tc>
      </w:tr>
    </w:tbl>
    <w:p w14:paraId="163501A2">
      <w:pPr>
        <w:widowControl/>
        <w:spacing w:line="360" w:lineRule="auto"/>
        <w:outlineLvl w:val="0"/>
        <w:rPr>
          <w:rFonts w:hint="eastAsia" w:ascii="宋体" w:hAnsi="宋体" w:eastAsia="宋体" w:cs="宋体"/>
          <w:color w:val="auto"/>
          <w:kern w:val="0"/>
          <w:sz w:val="24"/>
        </w:rPr>
      </w:pPr>
      <w:r>
        <w:rPr>
          <w:rFonts w:hint="eastAsia" w:ascii="宋体" w:hAnsi="宋体" w:eastAsia="宋体" w:cs="宋体"/>
          <w:color w:val="auto"/>
          <w:kern w:val="0"/>
          <w:sz w:val="24"/>
        </w:rPr>
        <w:t>注</w:t>
      </w:r>
      <w:bookmarkStart w:id="50" w:name="_Toc374"/>
      <w:r>
        <w:rPr>
          <w:rFonts w:hint="eastAsia" w:ascii="宋体" w:hAnsi="宋体" w:eastAsia="宋体" w:cs="宋体"/>
          <w:color w:val="auto"/>
          <w:kern w:val="0"/>
          <w:sz w:val="24"/>
        </w:rPr>
        <w:t>：此表格若不够用，可根据实际自行</w:t>
      </w:r>
      <w:r>
        <w:rPr>
          <w:rFonts w:hint="eastAsia" w:ascii="宋体" w:hAnsi="宋体" w:cs="宋体"/>
          <w:color w:val="auto"/>
          <w:kern w:val="0"/>
          <w:sz w:val="24"/>
          <w:lang w:val="en-US" w:eastAsia="zh-CN"/>
        </w:rPr>
        <w:t>添加或</w:t>
      </w:r>
      <w:r>
        <w:rPr>
          <w:rFonts w:hint="eastAsia" w:ascii="宋体" w:hAnsi="宋体" w:eastAsia="宋体" w:cs="宋体"/>
          <w:color w:val="auto"/>
          <w:kern w:val="0"/>
          <w:sz w:val="24"/>
        </w:rPr>
        <w:t>扩展表格；</w:t>
      </w:r>
      <w:bookmarkEnd w:id="50"/>
    </w:p>
    <w:p w14:paraId="1345A349">
      <w:pPr>
        <w:spacing w:line="360" w:lineRule="auto"/>
        <w:jc w:val="center"/>
        <w:outlineLvl w:val="0"/>
        <w:rPr>
          <w:rFonts w:hint="eastAsia" w:ascii="宋体" w:hAnsi="宋体" w:cs="宋体"/>
          <w:b/>
          <w:bCs/>
          <w:color w:val="000000" w:themeColor="text1"/>
          <w:kern w:val="0"/>
          <w:sz w:val="28"/>
          <w:szCs w:val="28"/>
          <w:lang w:val="en-US" w:eastAsia="zh-CN"/>
          <w14:textFill>
            <w14:solidFill>
              <w14:schemeClr w14:val="tx1"/>
            </w14:solidFill>
          </w14:textFill>
        </w:rPr>
      </w:pPr>
    </w:p>
    <w:p w14:paraId="70A6DA84">
      <w:pPr>
        <w:spacing w:line="360" w:lineRule="auto"/>
        <w:jc w:val="both"/>
        <w:outlineLvl w:val="0"/>
        <w:rPr>
          <w:rFonts w:hint="eastAsia" w:ascii="宋体" w:hAnsi="宋体" w:cs="宋体"/>
          <w:b/>
          <w:bCs/>
          <w:color w:val="000000" w:themeColor="text1"/>
          <w:kern w:val="0"/>
          <w:sz w:val="28"/>
          <w:szCs w:val="28"/>
          <w:lang w:val="en-US" w:eastAsia="zh-CN"/>
          <w14:textFill>
            <w14:solidFill>
              <w14:schemeClr w14:val="tx1"/>
            </w14:solidFill>
          </w14:textFill>
        </w:rPr>
      </w:pPr>
    </w:p>
    <w:p w14:paraId="71587DBA">
      <w:pPr>
        <w:spacing w:line="360" w:lineRule="auto"/>
        <w:jc w:val="center"/>
        <w:outlineLvl w:val="0"/>
        <w:rPr>
          <w:rFonts w:hint="eastAsia" w:ascii="宋体" w:hAnsi="宋体" w:cs="宋体"/>
          <w:b/>
          <w:bCs/>
          <w:color w:val="000000" w:themeColor="text1"/>
          <w:kern w:val="0"/>
          <w:sz w:val="28"/>
          <w:szCs w:val="28"/>
          <w:lang w:val="en-US" w:eastAsia="zh-CN"/>
          <w14:textFill>
            <w14:solidFill>
              <w14:schemeClr w14:val="tx1"/>
            </w14:solidFill>
          </w14:textFill>
        </w:rPr>
      </w:pPr>
    </w:p>
    <w:p w14:paraId="7E146496">
      <w:pPr>
        <w:widowControl/>
        <w:spacing w:line="480" w:lineRule="auto"/>
        <w:jc w:val="right"/>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w:t>
      </w:r>
      <w:r>
        <w:rPr>
          <w:rFonts w:hint="eastAsia" w:ascii="宋体" w:hAnsi="宋体" w:eastAsia="宋体" w:cs="宋体"/>
          <w:color w:val="000000" w:themeColor="text1"/>
          <w:sz w:val="24"/>
          <w:szCs w:val="24"/>
          <w:highlight w:val="none"/>
          <w:lang w:val="en-US" w:eastAsia="zh-CN"/>
          <w14:textFill>
            <w14:solidFill>
              <w14:schemeClr w14:val="tx1"/>
            </w14:solidFill>
          </w14:textFill>
        </w:rPr>
        <w:t>名称</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公章</w:t>
      </w:r>
      <w:r>
        <w:rPr>
          <w:rFonts w:hint="eastAsia" w:ascii="宋体" w:hAnsi="宋体" w:eastAsia="宋体" w:cs="宋体"/>
          <w:color w:val="000000" w:themeColor="text1"/>
          <w:sz w:val="24"/>
          <w:szCs w:val="24"/>
          <w:highlight w:val="none"/>
          <w14:textFill>
            <w14:solidFill>
              <w14:schemeClr w14:val="tx1"/>
            </w14:solidFill>
          </w14:textFill>
        </w:rPr>
        <w:t>电子签章）</w:t>
      </w:r>
    </w:p>
    <w:p w14:paraId="5BF2C912">
      <w:pPr>
        <w:widowControl/>
        <w:spacing w:line="480" w:lineRule="auto"/>
        <w:jc w:val="right"/>
        <w:outlineLvl w:val="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cs="宋体"/>
          <w:b/>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法人</w:t>
      </w:r>
      <w:r>
        <w:rPr>
          <w:rFonts w:hint="eastAsia" w:ascii="宋体" w:hAnsi="宋体" w:eastAsia="宋体" w:cs="宋体"/>
          <w:color w:val="000000" w:themeColor="text1"/>
          <w:sz w:val="24"/>
          <w:szCs w:val="24"/>
          <w:highlight w:val="none"/>
          <w14:textFill>
            <w14:solidFill>
              <w14:schemeClr w14:val="tx1"/>
            </w14:solidFill>
          </w14:textFill>
        </w:rPr>
        <w:t>电子签章）</w:t>
      </w:r>
    </w:p>
    <w:p w14:paraId="7656295B">
      <w:pPr>
        <w:widowControl/>
        <w:spacing w:line="480" w:lineRule="auto"/>
        <w:jc w:val="right"/>
        <w:outlineLvl w:val="0"/>
        <w:rPr>
          <w:rFonts w:hint="eastAsia" w:ascii="黑体" w:hAnsi="黑体" w:eastAsia="黑体" w:cs="黑体"/>
          <w:color w:val="000000" w:themeColor="text1"/>
          <w:sz w:val="30"/>
          <w:szCs w:val="30"/>
          <w:lang w:val="en-US" w:eastAsia="zh-CN"/>
          <w14:textFill>
            <w14:solidFill>
              <w14:schemeClr w14:val="tx1"/>
            </w14:solidFill>
          </w14:textFill>
        </w:rPr>
        <w:sectPr>
          <w:pgSz w:w="12240" w:h="15840"/>
          <w:pgMar w:top="1400" w:right="1720" w:bottom="1120" w:left="1720" w:header="794" w:footer="907"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000000" w:themeColor="text1"/>
          <w:sz w:val="24"/>
          <w:szCs w:val="24"/>
          <w:highlight w:val="none"/>
          <w14:textFill>
            <w14:solidFill>
              <w14:schemeClr w14:val="tx1"/>
            </w14:solidFill>
          </w14:textFill>
        </w:rPr>
        <w:t xml:space="preserve">            日期：</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   月   日</w:t>
      </w:r>
    </w:p>
    <w:p w14:paraId="5910E03A">
      <w:pPr>
        <w:spacing w:line="360" w:lineRule="auto"/>
        <w:jc w:val="both"/>
        <w:outlineLvl w:val="1"/>
        <w:rPr>
          <w:rFonts w:hint="eastAsia" w:ascii="宋体" w:hAnsi="宋体" w:cs="宋体"/>
          <w:b/>
          <w:sz w:val="24"/>
          <w:szCs w:val="24"/>
          <w:lang w:eastAsia="zh-CN"/>
        </w:rPr>
      </w:pPr>
    </w:p>
    <w:p w14:paraId="0AA62005">
      <w:pPr>
        <w:spacing w:line="360" w:lineRule="auto"/>
        <w:jc w:val="center"/>
        <w:outlineLvl w:val="1"/>
        <w:rPr>
          <w:rFonts w:hint="eastAsia"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、法定代表人身份证明及</w:t>
      </w:r>
      <w:r>
        <w:rPr>
          <w:rFonts w:hint="eastAsia" w:ascii="宋体" w:hAnsi="宋体" w:cs="宋体"/>
          <w:b/>
          <w:sz w:val="24"/>
          <w:szCs w:val="24"/>
          <w:lang w:val="en-US" w:eastAsia="zh-CN"/>
        </w:rPr>
        <w:t>法人</w:t>
      </w:r>
      <w:r>
        <w:rPr>
          <w:rFonts w:hint="eastAsia" w:ascii="宋体" w:hAnsi="宋体" w:cs="宋体"/>
          <w:b/>
          <w:sz w:val="24"/>
          <w:szCs w:val="24"/>
        </w:rPr>
        <w:t>授权委托书</w:t>
      </w:r>
    </w:p>
    <w:p w14:paraId="5D449DCC">
      <w:pPr>
        <w:spacing w:line="360" w:lineRule="auto"/>
        <w:jc w:val="center"/>
        <w:outlineLvl w:val="1"/>
        <w:rPr>
          <w:rFonts w:hint="eastAsia" w:ascii="宋体" w:hAnsi="宋体" w:cs="宋体"/>
          <w:b/>
          <w:sz w:val="24"/>
          <w:szCs w:val="24"/>
        </w:rPr>
      </w:pPr>
      <w:r>
        <w:rPr>
          <w:rFonts w:hint="eastAsia" w:ascii="宋体" w:hAnsi="宋体" w:cs="宋体"/>
          <w:b/>
          <w:sz w:val="24"/>
          <w:szCs w:val="24"/>
          <w:lang w:eastAsia="zh-CN"/>
        </w:rPr>
        <w:t>（一）</w:t>
      </w:r>
      <w:r>
        <w:rPr>
          <w:rFonts w:hint="eastAsia" w:ascii="宋体" w:hAnsi="宋体" w:cs="宋体"/>
          <w:b/>
          <w:sz w:val="24"/>
          <w:szCs w:val="24"/>
        </w:rPr>
        <w:t>法定代表人</w:t>
      </w:r>
      <w:r>
        <w:rPr>
          <w:rFonts w:hint="eastAsia" w:ascii="宋体" w:hAnsi="宋体" w:cs="宋体"/>
          <w:b/>
          <w:sz w:val="24"/>
          <w:szCs w:val="24"/>
          <w:lang w:eastAsia="zh-CN"/>
        </w:rPr>
        <w:t>身份</w:t>
      </w:r>
      <w:r>
        <w:rPr>
          <w:rFonts w:hint="eastAsia" w:ascii="宋体" w:hAnsi="宋体" w:cs="宋体"/>
          <w:b/>
          <w:sz w:val="24"/>
          <w:szCs w:val="24"/>
        </w:rPr>
        <w:t>证明</w:t>
      </w:r>
    </w:p>
    <w:p w14:paraId="34E6A9B9">
      <w:pPr>
        <w:spacing w:line="360" w:lineRule="auto"/>
        <w:jc w:val="both"/>
        <w:rPr>
          <w:rFonts w:ascii="宋体" w:hAnsi="宋体"/>
          <w:sz w:val="24"/>
          <w:szCs w:val="24"/>
        </w:rPr>
      </w:pPr>
      <w:r>
        <w:rPr>
          <w:rFonts w:hint="eastAsia" w:ascii="宋体" w:hAnsi="宋体" w:cs="宋体"/>
          <w:b/>
          <w:sz w:val="24"/>
          <w:szCs w:val="24"/>
        </w:rPr>
        <w:t xml:space="preserve"> </w:t>
      </w:r>
    </w:p>
    <w:p w14:paraId="6E5CB8DE">
      <w:pPr>
        <w:spacing w:line="360" w:lineRule="auto"/>
        <w:ind w:firstLine="610"/>
        <w:jc w:val="both"/>
        <w:rPr>
          <w:rFonts w:ascii="宋体" w:hAnsi="宋体"/>
          <w:sz w:val="24"/>
          <w:szCs w:val="24"/>
        </w:rPr>
      </w:pPr>
      <w:r>
        <w:rPr>
          <w:rFonts w:hint="eastAsia" w:ascii="宋体" w:hAnsi="宋体" w:cs="宋体"/>
          <w:sz w:val="24"/>
          <w:szCs w:val="24"/>
          <w:lang w:eastAsia="zh-CN"/>
        </w:rPr>
        <w:t>供应商</w:t>
      </w:r>
      <w:r>
        <w:rPr>
          <w:rFonts w:hint="eastAsia" w:ascii="宋体" w:hAnsi="宋体" w:cs="宋体"/>
          <w:sz w:val="24"/>
          <w:szCs w:val="24"/>
        </w:rPr>
        <w:t>名称：</w:t>
      </w:r>
      <w:r>
        <w:rPr>
          <w:rFonts w:hint="eastAsia" w:ascii="宋体" w:hAnsi="宋体" w:cs="宋体"/>
          <w:sz w:val="24"/>
          <w:szCs w:val="24"/>
          <w:u w:val="single"/>
        </w:rPr>
        <w:t xml:space="preserve">                     </w:t>
      </w:r>
    </w:p>
    <w:p w14:paraId="1722C291">
      <w:pPr>
        <w:spacing w:line="360" w:lineRule="auto"/>
        <w:ind w:firstLine="610"/>
        <w:jc w:val="both"/>
        <w:rPr>
          <w:rFonts w:ascii="宋体" w:hAnsi="宋体"/>
          <w:sz w:val="24"/>
          <w:szCs w:val="24"/>
        </w:rPr>
      </w:pPr>
      <w:r>
        <w:rPr>
          <w:rFonts w:hint="eastAsia" w:ascii="宋体" w:hAnsi="宋体" w:cs="宋体"/>
          <w:sz w:val="24"/>
          <w:szCs w:val="24"/>
        </w:rPr>
        <w:t>单位性质：</w:t>
      </w:r>
      <w:r>
        <w:rPr>
          <w:rFonts w:hint="eastAsia" w:ascii="宋体" w:hAnsi="宋体" w:cs="宋体"/>
          <w:sz w:val="24"/>
          <w:szCs w:val="24"/>
          <w:u w:val="single"/>
        </w:rPr>
        <w:t xml:space="preserve">                       </w:t>
      </w:r>
    </w:p>
    <w:p w14:paraId="4E31CAC4">
      <w:pPr>
        <w:spacing w:line="360" w:lineRule="auto"/>
        <w:ind w:firstLine="610"/>
        <w:jc w:val="both"/>
        <w:rPr>
          <w:rFonts w:ascii="宋体" w:hAnsi="宋体"/>
          <w:sz w:val="24"/>
          <w:szCs w:val="24"/>
        </w:rPr>
      </w:pPr>
      <w:r>
        <w:rPr>
          <w:rFonts w:hint="eastAsia" w:ascii="宋体" w:hAnsi="宋体" w:cs="宋体"/>
          <w:sz w:val="24"/>
          <w:szCs w:val="24"/>
        </w:rPr>
        <w:t>地 址：</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p>
    <w:p w14:paraId="72826BF5">
      <w:pPr>
        <w:spacing w:line="360" w:lineRule="auto"/>
        <w:ind w:firstLine="610"/>
        <w:jc w:val="both"/>
        <w:rPr>
          <w:rFonts w:ascii="宋体" w:hAnsi="宋体"/>
          <w:sz w:val="24"/>
          <w:szCs w:val="24"/>
        </w:rPr>
      </w:pPr>
      <w:r>
        <w:rPr>
          <w:rFonts w:hint="eastAsia" w:ascii="宋体" w:hAnsi="宋体" w:cs="宋体"/>
          <w:sz w:val="24"/>
          <w:szCs w:val="24"/>
        </w:rPr>
        <w:t>成立时间：</w:t>
      </w:r>
      <w:r>
        <w:rPr>
          <w:rFonts w:hint="eastAsia" w:ascii="宋体" w:hAnsi="宋体" w:cs="宋体"/>
          <w:sz w:val="24"/>
          <w:szCs w:val="24"/>
          <w:lang w:val="en-US" w:eastAsia="zh-CN"/>
        </w:rPr>
        <w:t xml:space="preserve">  </w:t>
      </w:r>
      <w:r>
        <w:rPr>
          <w:rFonts w:hint="eastAsia" w:ascii="宋体" w:hAnsi="宋体" w:cs="宋体"/>
          <w:sz w:val="24"/>
          <w:szCs w:val="24"/>
        </w:rPr>
        <w:t>年</w:t>
      </w:r>
      <w:r>
        <w:rPr>
          <w:rFonts w:hint="eastAsia" w:ascii="宋体" w:hAnsi="宋体" w:cs="宋体"/>
          <w:sz w:val="24"/>
          <w:szCs w:val="24"/>
          <w:lang w:val="en-US" w:eastAsia="zh-CN"/>
        </w:rPr>
        <w:t xml:space="preserve">   </w:t>
      </w:r>
      <w:r>
        <w:rPr>
          <w:rFonts w:hint="eastAsia" w:ascii="宋体" w:hAnsi="宋体" w:cs="宋体"/>
          <w:sz w:val="24"/>
          <w:szCs w:val="24"/>
        </w:rPr>
        <w:t>月</w:t>
      </w:r>
      <w:r>
        <w:rPr>
          <w:rFonts w:hint="eastAsia" w:ascii="宋体" w:hAnsi="宋体" w:cs="宋体"/>
          <w:sz w:val="24"/>
          <w:szCs w:val="24"/>
          <w:lang w:val="en-US" w:eastAsia="zh-CN"/>
        </w:rPr>
        <w:t xml:space="preserve">   </w:t>
      </w:r>
      <w:r>
        <w:rPr>
          <w:rFonts w:hint="eastAsia" w:ascii="宋体" w:hAnsi="宋体" w:cs="宋体"/>
          <w:sz w:val="24"/>
          <w:szCs w:val="24"/>
        </w:rPr>
        <w:t>日</w:t>
      </w:r>
    </w:p>
    <w:p w14:paraId="5B2BD77A">
      <w:pPr>
        <w:spacing w:line="360" w:lineRule="auto"/>
        <w:ind w:firstLine="610"/>
        <w:jc w:val="both"/>
        <w:rPr>
          <w:rFonts w:ascii="宋体" w:hAnsi="宋体"/>
          <w:sz w:val="24"/>
          <w:szCs w:val="24"/>
        </w:rPr>
      </w:pPr>
      <w:r>
        <w:rPr>
          <w:rFonts w:hint="eastAsia" w:ascii="宋体" w:hAnsi="宋体" w:cs="宋体"/>
          <w:sz w:val="24"/>
          <w:szCs w:val="24"/>
        </w:rPr>
        <w:t>经营期限：</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p>
    <w:p w14:paraId="7D35C7B6">
      <w:pPr>
        <w:spacing w:line="360" w:lineRule="auto"/>
        <w:ind w:firstLine="610"/>
        <w:jc w:val="both"/>
        <w:rPr>
          <w:rFonts w:ascii="宋体" w:hAnsi="宋体"/>
          <w:sz w:val="24"/>
          <w:szCs w:val="24"/>
        </w:rPr>
      </w:pPr>
      <w:r>
        <w:rPr>
          <w:rFonts w:hint="eastAsia" w:ascii="宋体" w:hAnsi="宋体" w:cs="宋体"/>
          <w:sz w:val="24"/>
          <w:szCs w:val="24"/>
        </w:rPr>
        <w:t>姓 名：</w:t>
      </w:r>
      <w:r>
        <w:rPr>
          <w:rFonts w:hint="eastAsia" w:ascii="宋体" w:hAnsi="宋体" w:cs="宋体"/>
          <w:sz w:val="24"/>
          <w:szCs w:val="24"/>
          <w:u w:val="single"/>
        </w:rPr>
        <w:t xml:space="preserve">       </w:t>
      </w:r>
      <w:r>
        <w:rPr>
          <w:rFonts w:hint="eastAsia" w:ascii="宋体" w:hAnsi="宋体" w:cs="宋体"/>
          <w:sz w:val="24"/>
          <w:szCs w:val="24"/>
          <w:u w:val="none"/>
          <w:lang w:val="en-US" w:eastAsia="zh-CN"/>
        </w:rPr>
        <w:t xml:space="preserve">  </w:t>
      </w:r>
      <w:r>
        <w:rPr>
          <w:rFonts w:hint="eastAsia" w:ascii="宋体" w:hAnsi="宋体" w:cs="宋体"/>
          <w:sz w:val="24"/>
          <w:szCs w:val="24"/>
        </w:rPr>
        <w:t>性别：</w:t>
      </w:r>
      <w:r>
        <w:rPr>
          <w:rFonts w:hint="eastAsia" w:ascii="宋体" w:hAnsi="宋体" w:cs="宋体"/>
          <w:sz w:val="24"/>
          <w:szCs w:val="24"/>
          <w:u w:val="single"/>
        </w:rPr>
        <w:t xml:space="preserve">       </w:t>
      </w:r>
      <w:r>
        <w:rPr>
          <w:rFonts w:hint="eastAsia" w:ascii="宋体" w:hAnsi="宋体" w:cs="宋体"/>
          <w:sz w:val="24"/>
          <w:szCs w:val="24"/>
          <w:u w:val="none"/>
          <w:lang w:val="en-US" w:eastAsia="zh-CN"/>
        </w:rPr>
        <w:t xml:space="preserve">  </w:t>
      </w:r>
      <w:r>
        <w:rPr>
          <w:rFonts w:hint="eastAsia" w:ascii="宋体" w:hAnsi="宋体" w:cs="宋体"/>
          <w:sz w:val="24"/>
          <w:szCs w:val="24"/>
        </w:rPr>
        <w:t>年龄：</w:t>
      </w:r>
      <w:r>
        <w:rPr>
          <w:rFonts w:hint="eastAsia" w:ascii="宋体" w:hAnsi="宋体" w:cs="宋体"/>
          <w:sz w:val="24"/>
          <w:szCs w:val="24"/>
          <w:u w:val="single"/>
        </w:rPr>
        <w:t xml:space="preserve">       </w:t>
      </w:r>
      <w:r>
        <w:rPr>
          <w:rFonts w:hint="eastAsia" w:ascii="宋体" w:hAnsi="宋体" w:cs="宋体"/>
          <w:sz w:val="24"/>
          <w:szCs w:val="24"/>
          <w:u w:val="none"/>
          <w:lang w:val="en-US" w:eastAsia="zh-CN"/>
        </w:rPr>
        <w:t xml:space="preserve">  </w:t>
      </w:r>
      <w:r>
        <w:rPr>
          <w:rFonts w:hint="eastAsia" w:ascii="宋体" w:hAnsi="宋体" w:cs="宋体"/>
          <w:sz w:val="24"/>
          <w:szCs w:val="24"/>
        </w:rPr>
        <w:t>职务：</w:t>
      </w:r>
      <w:r>
        <w:rPr>
          <w:rFonts w:hint="eastAsia" w:ascii="宋体" w:hAnsi="宋体" w:cs="宋体"/>
          <w:sz w:val="24"/>
          <w:szCs w:val="24"/>
          <w:u w:val="single"/>
        </w:rPr>
        <w:t xml:space="preserve">       </w:t>
      </w:r>
    </w:p>
    <w:p w14:paraId="50410091">
      <w:pPr>
        <w:spacing w:line="360" w:lineRule="auto"/>
        <w:ind w:firstLine="610"/>
        <w:jc w:val="both"/>
        <w:rPr>
          <w:rFonts w:ascii="宋体" w:hAnsi="宋体"/>
          <w:sz w:val="24"/>
          <w:szCs w:val="24"/>
        </w:rPr>
      </w:pPr>
      <w:r>
        <w:rPr>
          <w:rFonts w:hint="eastAsia" w:ascii="宋体" w:hAnsi="宋体" w:cs="宋体"/>
          <w:sz w:val="24"/>
          <w:szCs w:val="24"/>
        </w:rPr>
        <w:t>系</w:t>
      </w:r>
      <w:r>
        <w:rPr>
          <w:rFonts w:hint="eastAsia" w:ascii="宋体" w:hAnsi="宋体" w:cs="宋体"/>
          <w:sz w:val="24"/>
          <w:szCs w:val="24"/>
          <w:u w:val="single"/>
        </w:rPr>
        <w:t xml:space="preserve"> （供应商名称） </w:t>
      </w:r>
      <w:r>
        <w:rPr>
          <w:rFonts w:hint="eastAsia" w:ascii="宋体" w:hAnsi="宋体" w:cs="宋体"/>
          <w:sz w:val="24"/>
          <w:szCs w:val="24"/>
        </w:rPr>
        <w:t>的法定代表人。</w:t>
      </w:r>
    </w:p>
    <w:p w14:paraId="7BABE1B0">
      <w:pPr>
        <w:spacing w:line="360" w:lineRule="auto"/>
        <w:ind w:firstLine="610"/>
        <w:jc w:val="both"/>
        <w:rPr>
          <w:rFonts w:hint="eastAsia" w:ascii="宋体" w:hAnsi="宋体" w:cs="宋体"/>
          <w:sz w:val="24"/>
          <w:szCs w:val="24"/>
        </w:rPr>
      </w:pPr>
      <w:r>
        <w:rPr>
          <w:rFonts w:hint="eastAsia" w:ascii="宋体" w:hAnsi="宋体" w:cs="宋体"/>
          <w:sz w:val="24"/>
          <w:szCs w:val="24"/>
        </w:rPr>
        <w:t>特此证明。</w:t>
      </w:r>
    </w:p>
    <w:p w14:paraId="6AA5A534">
      <w:pPr>
        <w:spacing w:line="360" w:lineRule="auto"/>
        <w:ind w:firstLine="480" w:firstLineChars="200"/>
        <w:jc w:val="both"/>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rPr>
        <w:t>附法定代表人身份证</w:t>
      </w:r>
      <w:r>
        <w:rPr>
          <w:rFonts w:hint="eastAsia" w:ascii="宋体" w:hAnsi="宋体" w:cs="宋体"/>
          <w:sz w:val="24"/>
          <w:szCs w:val="24"/>
          <w:lang w:eastAsia="zh-CN"/>
        </w:rPr>
        <w:t>正反面原件</w:t>
      </w:r>
      <w:r>
        <w:rPr>
          <w:rFonts w:hint="eastAsia" w:ascii="宋体" w:hAnsi="宋体" w:cs="宋体"/>
          <w:sz w:val="24"/>
          <w:szCs w:val="24"/>
          <w:lang w:val="en-US" w:eastAsia="zh-CN"/>
        </w:rPr>
        <w:t>的</w:t>
      </w:r>
      <w:r>
        <w:rPr>
          <w:rFonts w:hint="eastAsia" w:ascii="宋体" w:hAnsi="宋体" w:cs="宋体"/>
          <w:sz w:val="24"/>
          <w:szCs w:val="24"/>
        </w:rPr>
        <w:t>扫描件</w:t>
      </w:r>
      <w:r>
        <w:rPr>
          <w:rFonts w:hint="eastAsia" w:ascii="宋体" w:hAnsi="宋体" w:cs="宋体"/>
          <w:sz w:val="24"/>
          <w:szCs w:val="24"/>
          <w:lang w:eastAsia="zh-CN"/>
        </w:rPr>
        <w:t>）</w:t>
      </w:r>
    </w:p>
    <w:p w14:paraId="4D1FE0B6">
      <w:pPr>
        <w:spacing w:line="360" w:lineRule="auto"/>
        <w:ind w:firstLine="1090"/>
        <w:jc w:val="both"/>
        <w:rPr>
          <w:rFonts w:hint="eastAsia" w:ascii="宋体" w:hAnsi="宋体" w:cs="宋体"/>
          <w:sz w:val="24"/>
          <w:szCs w:val="24"/>
        </w:rPr>
      </w:pPr>
    </w:p>
    <w:p w14:paraId="3E3511D4">
      <w:pPr>
        <w:spacing w:line="360" w:lineRule="auto"/>
        <w:ind w:firstLine="5040"/>
        <w:jc w:val="both"/>
        <w:rPr>
          <w:rFonts w:ascii="宋体" w:hAnsi="宋体" w:cs="宋体"/>
          <w:sz w:val="24"/>
          <w:szCs w:val="24"/>
        </w:rPr>
      </w:pPr>
    </w:p>
    <w:p w14:paraId="482FF2B2">
      <w:pPr>
        <w:spacing w:line="360" w:lineRule="auto"/>
        <w:ind w:firstLine="5040"/>
        <w:jc w:val="both"/>
        <w:rPr>
          <w:rFonts w:hint="eastAsia" w:ascii="宋体" w:hAnsi="宋体" w:cs="宋体"/>
          <w:sz w:val="24"/>
          <w:szCs w:val="24"/>
        </w:rPr>
      </w:pPr>
    </w:p>
    <w:p w14:paraId="4F556854">
      <w:pPr>
        <w:spacing w:line="360" w:lineRule="auto"/>
        <w:ind w:firstLine="5040" w:firstLineChars="2100"/>
        <w:jc w:val="both"/>
        <w:rPr>
          <w:rFonts w:ascii="宋体" w:hAnsi="宋体"/>
          <w:sz w:val="24"/>
          <w:szCs w:val="24"/>
        </w:rPr>
      </w:pPr>
      <w:r>
        <w:rPr>
          <w:rFonts w:hint="eastAsia" w:ascii="宋体" w:hAnsi="宋体" w:cs="宋体"/>
          <w:sz w:val="24"/>
          <w:szCs w:val="24"/>
        </w:rPr>
        <w:t>供应商</w:t>
      </w:r>
      <w:r>
        <w:rPr>
          <w:rFonts w:hint="eastAsia" w:ascii="宋体" w:hAnsi="宋体" w:cs="宋体"/>
          <w:sz w:val="24"/>
          <w:szCs w:val="24"/>
          <w:lang w:eastAsia="zh-CN"/>
        </w:rPr>
        <w:t>名称</w:t>
      </w:r>
      <w:r>
        <w:rPr>
          <w:rFonts w:hint="eastAsia" w:ascii="宋体" w:hAnsi="宋体" w:cs="宋体"/>
          <w:sz w:val="24"/>
          <w:szCs w:val="24"/>
        </w:rPr>
        <w:t>：</w:t>
      </w:r>
      <w:r>
        <w:rPr>
          <w:rFonts w:hint="eastAsia" w:ascii="宋体" w:hAnsi="宋体"/>
          <w:kern w:val="2"/>
          <w:sz w:val="24"/>
          <w:szCs w:val="24"/>
          <w:u w:val="single"/>
          <w:lang w:val="en-US" w:eastAsia="zh-CN"/>
        </w:rPr>
        <w:t xml:space="preserve">       </w:t>
      </w:r>
      <w:r>
        <w:rPr>
          <w:rFonts w:hint="eastAsia" w:ascii="宋体" w:hAnsi="宋体" w:cs="宋体"/>
          <w:sz w:val="24"/>
          <w:szCs w:val="24"/>
          <w:u w:val="none"/>
        </w:rPr>
        <w:t xml:space="preserve"> （</w:t>
      </w:r>
      <w:r>
        <w:rPr>
          <w:rFonts w:hint="eastAsia" w:ascii="宋体" w:hAnsi="宋体" w:cs="宋体"/>
          <w:sz w:val="24"/>
          <w:szCs w:val="24"/>
          <w:u w:val="none"/>
          <w:lang w:eastAsia="zh-CN"/>
        </w:rPr>
        <w:t>公章电子</w:t>
      </w:r>
      <w:r>
        <w:rPr>
          <w:rFonts w:hint="eastAsia" w:ascii="宋体" w:hAnsi="宋体" w:cs="宋体"/>
          <w:sz w:val="24"/>
          <w:szCs w:val="24"/>
          <w:u w:val="none"/>
        </w:rPr>
        <w:t xml:space="preserve">签章） </w:t>
      </w:r>
    </w:p>
    <w:p w14:paraId="531A9B87">
      <w:pPr>
        <w:spacing w:line="360" w:lineRule="auto"/>
        <w:jc w:val="center"/>
        <w:rPr>
          <w:rFonts w:hint="eastAsia" w:ascii="宋体" w:hAnsi="宋体" w:cs="宋体"/>
          <w:sz w:val="24"/>
          <w:szCs w:val="24"/>
          <w:lang w:val="en-US" w:eastAsia="zh-CN"/>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p>
    <w:p w14:paraId="4A52D827">
      <w:pPr>
        <w:spacing w:line="360" w:lineRule="auto"/>
        <w:jc w:val="center"/>
        <w:rPr>
          <w:rFonts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日</w:t>
      </w:r>
      <w:r>
        <w:rPr>
          <w:rFonts w:hint="eastAsia" w:ascii="宋体" w:hAnsi="宋体" w:cs="宋体"/>
          <w:sz w:val="24"/>
          <w:szCs w:val="24"/>
          <w:lang w:val="en-US" w:eastAsia="zh-CN"/>
        </w:rPr>
        <w:t xml:space="preserve">      </w:t>
      </w:r>
      <w:r>
        <w:rPr>
          <w:rFonts w:hint="eastAsia" w:ascii="宋体" w:hAnsi="宋体" w:cs="宋体"/>
          <w:sz w:val="24"/>
          <w:szCs w:val="24"/>
        </w:rPr>
        <w:t>期：</w:t>
      </w:r>
      <w:r>
        <w:rPr>
          <w:rFonts w:hint="eastAsia" w:ascii="宋体" w:hAnsi="宋体" w:cs="宋体"/>
          <w:sz w:val="24"/>
          <w:szCs w:val="24"/>
          <w:lang w:val="en-US" w:eastAsia="zh-CN"/>
        </w:rPr>
        <w:t xml:space="preserve">  </w:t>
      </w:r>
      <w:r>
        <w:rPr>
          <w:rFonts w:hint="eastAsia" w:ascii="宋体" w:hAnsi="宋体" w:cs="宋体"/>
          <w:sz w:val="24"/>
          <w:szCs w:val="24"/>
        </w:rPr>
        <w:t>年</w:t>
      </w:r>
      <w:r>
        <w:rPr>
          <w:rFonts w:hint="eastAsia" w:ascii="宋体" w:hAnsi="宋体" w:cs="宋体"/>
          <w:sz w:val="24"/>
          <w:szCs w:val="24"/>
          <w:lang w:val="en-US" w:eastAsia="zh-CN"/>
        </w:rPr>
        <w:t xml:space="preserve">  </w:t>
      </w:r>
      <w:r>
        <w:rPr>
          <w:rFonts w:hint="eastAsia" w:ascii="宋体" w:hAnsi="宋体" w:cs="宋体"/>
          <w:sz w:val="24"/>
          <w:szCs w:val="24"/>
        </w:rPr>
        <w:t>月</w:t>
      </w:r>
      <w:r>
        <w:rPr>
          <w:rFonts w:hint="eastAsia" w:ascii="宋体" w:hAnsi="宋体" w:cs="宋体"/>
          <w:sz w:val="24"/>
          <w:szCs w:val="24"/>
          <w:lang w:val="en-US" w:eastAsia="zh-CN"/>
        </w:rPr>
        <w:t xml:space="preserve">  </w:t>
      </w:r>
      <w:r>
        <w:rPr>
          <w:rFonts w:hint="eastAsia" w:ascii="宋体" w:hAnsi="宋体" w:cs="宋体"/>
          <w:sz w:val="24"/>
          <w:szCs w:val="24"/>
        </w:rPr>
        <w:t>日</w:t>
      </w:r>
    </w:p>
    <w:p w14:paraId="5F5E73C6">
      <w:pPr>
        <w:spacing w:line="360" w:lineRule="auto"/>
        <w:jc w:val="center"/>
        <w:rPr>
          <w:rFonts w:ascii="宋体" w:hAnsi="宋体" w:cs="宋体"/>
          <w:sz w:val="24"/>
          <w:szCs w:val="24"/>
        </w:rPr>
      </w:pPr>
      <w:r>
        <w:rPr>
          <w:rFonts w:hint="eastAsia" w:ascii="宋体" w:hAnsi="宋体" w:cs="宋体"/>
          <w:sz w:val="24"/>
          <w:szCs w:val="24"/>
        </w:rPr>
        <w:t xml:space="preserve"> </w:t>
      </w:r>
    </w:p>
    <w:p w14:paraId="58C7A45D">
      <w:pPr>
        <w:widowControl w:val="0"/>
        <w:spacing w:line="360" w:lineRule="auto"/>
        <w:jc w:val="both"/>
        <w:outlineLvl w:val="1"/>
        <w:rPr>
          <w:rFonts w:ascii="宋体" w:hAnsi="宋体" w:cs="宋体"/>
          <w:sz w:val="24"/>
          <w:szCs w:val="24"/>
        </w:rPr>
      </w:pPr>
      <w:r>
        <w:rPr>
          <w:rFonts w:hint="eastAsia" w:ascii="宋体" w:hAnsi="宋体" w:cs="宋体"/>
          <w:kern w:val="2"/>
          <w:sz w:val="24"/>
          <w:szCs w:val="24"/>
        </w:rPr>
        <w:t xml:space="preserve"> </w:t>
      </w:r>
    </w:p>
    <w:p w14:paraId="66249FD0">
      <w:pPr>
        <w:keepNext/>
        <w:keepLines/>
        <w:widowControl w:val="0"/>
        <w:spacing w:before="20" w:after="20" w:line="360" w:lineRule="auto"/>
        <w:jc w:val="center"/>
        <w:outlineLvl w:val="1"/>
        <w:rPr>
          <w:rFonts w:ascii="宋体" w:hAnsi="宋体"/>
          <w:b/>
          <w:kern w:val="2"/>
          <w:sz w:val="24"/>
          <w:szCs w:val="24"/>
        </w:rPr>
      </w:pPr>
      <w:bookmarkStart w:id="51" w:name="_Toc461977432"/>
      <w:bookmarkEnd w:id="51"/>
      <w:r>
        <w:rPr>
          <w:rFonts w:hint="eastAsia" w:ascii="宋体" w:hAnsi="宋体"/>
          <w:b/>
          <w:kern w:val="2"/>
          <w:sz w:val="24"/>
          <w:szCs w:val="24"/>
        </w:rPr>
        <w:t xml:space="preserve"> </w:t>
      </w:r>
    </w:p>
    <w:p w14:paraId="479B05F8">
      <w:pPr>
        <w:keepNext/>
        <w:keepLines/>
        <w:widowControl w:val="0"/>
        <w:spacing w:before="20" w:after="20" w:line="360" w:lineRule="auto"/>
        <w:jc w:val="center"/>
        <w:outlineLvl w:val="1"/>
        <w:rPr>
          <w:rFonts w:ascii="宋体" w:hAnsi="宋体"/>
          <w:b/>
          <w:kern w:val="2"/>
          <w:sz w:val="24"/>
          <w:szCs w:val="24"/>
        </w:rPr>
      </w:pPr>
    </w:p>
    <w:p w14:paraId="44B048DE">
      <w:pPr>
        <w:pStyle w:val="6"/>
        <w:bidi w:val="0"/>
      </w:pPr>
    </w:p>
    <w:p w14:paraId="4DAB7B84">
      <w:pPr>
        <w:spacing w:line="360" w:lineRule="auto"/>
        <w:jc w:val="both"/>
        <w:rPr>
          <w:rFonts w:hint="eastAsia" w:ascii="宋体" w:hAnsi="宋体" w:cs="宋体"/>
          <w:b/>
          <w:sz w:val="24"/>
          <w:szCs w:val="24"/>
        </w:rPr>
      </w:pPr>
    </w:p>
    <w:p w14:paraId="591E83AE">
      <w:pPr>
        <w:spacing w:line="360" w:lineRule="auto"/>
        <w:jc w:val="center"/>
        <w:rPr>
          <w:rFonts w:hint="eastAsia" w:ascii="宋体" w:hAnsi="宋体" w:cs="宋体"/>
          <w:b/>
          <w:sz w:val="24"/>
          <w:szCs w:val="24"/>
        </w:rPr>
      </w:pPr>
    </w:p>
    <w:p w14:paraId="765B01D7">
      <w:pPr>
        <w:spacing w:line="360" w:lineRule="auto"/>
        <w:jc w:val="center"/>
        <w:rPr>
          <w:rFonts w:hint="eastAsia" w:ascii="宋体" w:hAnsi="宋体" w:cs="宋体"/>
          <w:b/>
          <w:sz w:val="24"/>
          <w:szCs w:val="24"/>
        </w:rPr>
      </w:pPr>
    </w:p>
    <w:p w14:paraId="73A5AF75">
      <w:pPr>
        <w:spacing w:line="360" w:lineRule="auto"/>
        <w:jc w:val="center"/>
        <w:rPr>
          <w:rFonts w:hint="eastAsia" w:ascii="宋体" w:hAnsi="宋体" w:cs="宋体"/>
          <w:b/>
          <w:sz w:val="24"/>
          <w:szCs w:val="24"/>
        </w:rPr>
      </w:pPr>
    </w:p>
    <w:p w14:paraId="2787A4E0">
      <w:pPr>
        <w:spacing w:line="360" w:lineRule="auto"/>
        <w:jc w:val="center"/>
        <w:rPr>
          <w:rFonts w:hint="eastAsia" w:ascii="宋体" w:hAnsi="宋体" w:cs="宋体"/>
          <w:b/>
          <w:sz w:val="24"/>
          <w:szCs w:val="24"/>
        </w:rPr>
      </w:pPr>
    </w:p>
    <w:p w14:paraId="53C89603">
      <w:pPr>
        <w:spacing w:line="360" w:lineRule="auto"/>
        <w:jc w:val="both"/>
        <w:rPr>
          <w:rFonts w:hint="eastAsia" w:ascii="宋体" w:hAnsi="宋体" w:cs="宋体"/>
          <w:b/>
          <w:sz w:val="24"/>
          <w:szCs w:val="24"/>
          <w:lang w:eastAsia="zh-CN"/>
        </w:rPr>
      </w:pPr>
    </w:p>
    <w:p w14:paraId="47E27F13">
      <w:pPr>
        <w:spacing w:line="360" w:lineRule="auto"/>
        <w:jc w:val="center"/>
        <w:rPr>
          <w:rFonts w:hint="eastAsia" w:ascii="宋体" w:hAnsi="宋体" w:cs="宋体"/>
          <w:b/>
          <w:sz w:val="24"/>
          <w:szCs w:val="24"/>
          <w:lang w:eastAsia="zh-CN"/>
        </w:rPr>
      </w:pPr>
    </w:p>
    <w:p w14:paraId="7BF46E26">
      <w:pPr>
        <w:spacing w:line="360" w:lineRule="auto"/>
        <w:jc w:val="center"/>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 xml:space="preserve"> 法</w:t>
      </w:r>
      <w:r>
        <w:rPr>
          <w:rFonts w:hint="eastAsia" w:ascii="宋体" w:hAnsi="宋体" w:cs="宋体"/>
          <w:b/>
          <w:sz w:val="24"/>
          <w:szCs w:val="24"/>
          <w:lang w:val="en-US" w:eastAsia="zh-CN"/>
        </w:rPr>
        <w:t>人</w:t>
      </w:r>
      <w:r>
        <w:rPr>
          <w:rFonts w:hint="eastAsia" w:ascii="宋体" w:hAnsi="宋体" w:cs="宋体"/>
          <w:b/>
          <w:sz w:val="24"/>
          <w:szCs w:val="24"/>
        </w:rPr>
        <w:t>授权</w:t>
      </w:r>
      <w:r>
        <w:rPr>
          <w:rFonts w:hint="eastAsia" w:ascii="宋体" w:hAnsi="宋体" w:cs="宋体"/>
          <w:b/>
          <w:sz w:val="24"/>
          <w:szCs w:val="24"/>
          <w:lang w:val="en-US" w:eastAsia="zh-CN"/>
        </w:rPr>
        <w:t>委托</w:t>
      </w:r>
      <w:r>
        <w:rPr>
          <w:rFonts w:hint="eastAsia" w:ascii="宋体" w:hAnsi="宋体" w:cs="宋体"/>
          <w:b/>
          <w:sz w:val="24"/>
          <w:szCs w:val="24"/>
        </w:rPr>
        <w:t>书</w:t>
      </w:r>
    </w:p>
    <w:p w14:paraId="3FD71B87">
      <w:pPr>
        <w:snapToGrid w:val="0"/>
        <w:spacing w:line="360" w:lineRule="auto"/>
        <w:ind w:firstLine="480" w:firstLineChars="200"/>
        <w:rPr>
          <w:rFonts w:ascii="宋体" w:hAnsi="宋体"/>
          <w:sz w:val="24"/>
          <w:szCs w:val="24"/>
        </w:rPr>
      </w:pPr>
    </w:p>
    <w:p w14:paraId="5169895E">
      <w:pPr>
        <w:spacing w:line="360" w:lineRule="auto"/>
        <w:ind w:firstLine="480" w:firstLineChars="200"/>
        <w:rPr>
          <w:rFonts w:hint="eastAsia" w:ascii="宋体" w:hAnsi="宋体"/>
          <w:sz w:val="24"/>
          <w:szCs w:val="24"/>
        </w:rPr>
      </w:pPr>
      <w:r>
        <w:rPr>
          <w:rFonts w:hint="eastAsia" w:ascii="宋体" w:hAnsi="宋体"/>
          <w:sz w:val="24"/>
          <w:szCs w:val="24"/>
        </w:rPr>
        <w:t>本人</w:t>
      </w:r>
      <w:r>
        <w:rPr>
          <w:rFonts w:hint="eastAsia" w:ascii="宋体" w:hAnsi="宋体"/>
          <w:sz w:val="24"/>
          <w:szCs w:val="24"/>
          <w:u w:val="single"/>
          <w:lang w:val="en-US" w:eastAsia="zh-CN"/>
        </w:rPr>
        <w:t xml:space="preserve">        </w:t>
      </w:r>
      <w:r>
        <w:rPr>
          <w:rFonts w:hint="eastAsia" w:ascii="宋体" w:hAnsi="宋体"/>
          <w:sz w:val="24"/>
          <w:szCs w:val="24"/>
        </w:rPr>
        <w:t>（姓名）系</w:t>
      </w:r>
      <w:r>
        <w:rPr>
          <w:rFonts w:hint="eastAsia" w:ascii="宋体" w:hAnsi="宋体"/>
          <w:sz w:val="24"/>
          <w:szCs w:val="24"/>
          <w:u w:val="single"/>
          <w:lang w:val="en-US" w:eastAsia="zh-CN"/>
        </w:rPr>
        <w:t xml:space="preserve">         </w:t>
      </w:r>
      <w:r>
        <w:rPr>
          <w:rFonts w:hint="eastAsia" w:ascii="宋体" w:hAnsi="宋体"/>
          <w:sz w:val="24"/>
          <w:szCs w:val="24"/>
        </w:rPr>
        <w:t>（供应商名称）的法定代表人，现委托</w:t>
      </w:r>
      <w:r>
        <w:rPr>
          <w:rFonts w:hint="eastAsia" w:ascii="宋体" w:hAnsi="宋体"/>
          <w:sz w:val="24"/>
          <w:szCs w:val="24"/>
          <w:u w:val="single"/>
          <w:lang w:val="en-US" w:eastAsia="zh-CN"/>
        </w:rPr>
        <w:t xml:space="preserve">        </w:t>
      </w:r>
      <w:r>
        <w:rPr>
          <w:rFonts w:hint="eastAsia" w:ascii="宋体" w:hAnsi="宋体"/>
          <w:sz w:val="24"/>
          <w:szCs w:val="24"/>
        </w:rPr>
        <w:t>（姓名）为我方代理人。代理人根据授权，以我方名义签署、澄清、说明、补正、递交、撤回、修改</w:t>
      </w:r>
      <w:r>
        <w:rPr>
          <w:rFonts w:hint="eastAsia" w:ascii="宋体" w:hAnsi="宋体"/>
          <w:sz w:val="24"/>
          <w:szCs w:val="24"/>
          <w:u w:val="single"/>
          <w:lang w:val="en-US" w:eastAsia="zh-CN"/>
        </w:rPr>
        <w:t xml:space="preserve">                </w:t>
      </w:r>
      <w:r>
        <w:rPr>
          <w:rFonts w:hint="eastAsia" w:ascii="宋体" w:hAnsi="宋体"/>
          <w:sz w:val="24"/>
          <w:szCs w:val="24"/>
        </w:rPr>
        <w:t>（项目名称）响应文件、签订合同和处理有关事宜，其法律后果由我方承担。</w:t>
      </w:r>
    </w:p>
    <w:p w14:paraId="78FE9086">
      <w:pPr>
        <w:spacing w:line="360" w:lineRule="auto"/>
        <w:ind w:firstLine="480" w:firstLineChars="200"/>
        <w:rPr>
          <w:rFonts w:hint="eastAsia" w:ascii="宋体" w:hAnsi="宋体"/>
          <w:sz w:val="24"/>
          <w:szCs w:val="24"/>
        </w:rPr>
      </w:pPr>
      <w:r>
        <w:rPr>
          <w:rFonts w:hint="eastAsia" w:ascii="宋体" w:hAnsi="宋体"/>
          <w:sz w:val="24"/>
          <w:szCs w:val="24"/>
        </w:rPr>
        <w:t>委托期限：</w:t>
      </w:r>
      <w:r>
        <w:rPr>
          <w:rFonts w:hint="eastAsia" w:ascii="宋体" w:hAnsi="宋体"/>
          <w:sz w:val="24"/>
          <w:szCs w:val="24"/>
          <w:u w:val="single"/>
          <w:lang w:val="en-US" w:eastAsia="zh-CN"/>
        </w:rPr>
        <w:t xml:space="preserve">           </w:t>
      </w:r>
      <w:r>
        <w:rPr>
          <w:rFonts w:hint="eastAsia" w:ascii="宋体" w:hAnsi="宋体"/>
          <w:sz w:val="24"/>
          <w:szCs w:val="24"/>
        </w:rPr>
        <w:t xml:space="preserve"> 。</w:t>
      </w:r>
    </w:p>
    <w:p w14:paraId="55E11903">
      <w:pPr>
        <w:spacing w:line="360" w:lineRule="auto"/>
        <w:ind w:firstLine="480" w:firstLineChars="200"/>
        <w:rPr>
          <w:rFonts w:hint="eastAsia" w:ascii="宋体" w:hAnsi="宋体"/>
          <w:sz w:val="24"/>
          <w:szCs w:val="24"/>
        </w:rPr>
      </w:pPr>
      <w:r>
        <w:rPr>
          <w:rFonts w:hint="eastAsia" w:ascii="宋体" w:hAnsi="宋体"/>
          <w:sz w:val="24"/>
          <w:szCs w:val="24"/>
        </w:rPr>
        <w:t>代理人无转委托权。</w:t>
      </w:r>
    </w:p>
    <w:p w14:paraId="5A4ADA5D">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（后</w:t>
      </w:r>
      <w:r>
        <w:rPr>
          <w:rFonts w:hint="eastAsia" w:ascii="宋体" w:hAnsi="宋体"/>
          <w:sz w:val="24"/>
          <w:szCs w:val="24"/>
        </w:rPr>
        <w:t>附委托代理人身份证正反面原件</w:t>
      </w:r>
      <w:r>
        <w:rPr>
          <w:rFonts w:hint="eastAsia" w:ascii="宋体" w:hAnsi="宋体"/>
          <w:sz w:val="24"/>
          <w:szCs w:val="24"/>
          <w:lang w:val="en-US" w:eastAsia="zh-CN"/>
        </w:rPr>
        <w:t>的</w:t>
      </w:r>
      <w:r>
        <w:rPr>
          <w:rFonts w:hint="eastAsia" w:ascii="宋体" w:hAnsi="宋体"/>
          <w:sz w:val="24"/>
          <w:szCs w:val="24"/>
        </w:rPr>
        <w:t>扫描件</w:t>
      </w:r>
      <w:r>
        <w:rPr>
          <w:rFonts w:hint="eastAsia" w:ascii="宋体" w:hAnsi="宋体"/>
          <w:sz w:val="24"/>
          <w:szCs w:val="24"/>
          <w:lang w:eastAsia="zh-CN"/>
        </w:rPr>
        <w:t>）</w:t>
      </w:r>
    </w:p>
    <w:p w14:paraId="3B2B4328">
      <w:pPr>
        <w:spacing w:line="360" w:lineRule="auto"/>
        <w:ind w:firstLine="480" w:firstLineChars="200"/>
        <w:rPr>
          <w:rFonts w:ascii="宋体" w:hAnsi="宋体"/>
          <w:sz w:val="24"/>
          <w:szCs w:val="24"/>
        </w:rPr>
      </w:pPr>
      <w:r>
        <w:rPr>
          <w:rFonts w:hint="eastAsia" w:ascii="宋体" w:hAnsi="宋体"/>
          <w:sz w:val="24"/>
          <w:szCs w:val="24"/>
        </w:rPr>
        <w:t xml:space="preserve"> </w:t>
      </w:r>
    </w:p>
    <w:p w14:paraId="0E990EA9">
      <w:pPr>
        <w:spacing w:line="360" w:lineRule="auto"/>
        <w:jc w:val="center"/>
        <w:rPr>
          <w:rFonts w:ascii="宋体" w:hAnsi="宋体"/>
          <w:sz w:val="24"/>
          <w:szCs w:val="24"/>
        </w:rPr>
      </w:pPr>
      <w:r>
        <w:rPr>
          <w:rFonts w:hint="eastAsia" w:ascii="宋体" w:hAnsi="宋体"/>
          <w:sz w:val="24"/>
          <w:szCs w:val="24"/>
          <w:lang w:val="en-US" w:eastAsia="zh-CN"/>
        </w:rPr>
        <w:t xml:space="preserve">                                  </w:t>
      </w:r>
      <w:r>
        <w:rPr>
          <w:rFonts w:hint="eastAsia" w:ascii="宋体" w:hAnsi="宋体"/>
          <w:sz w:val="24"/>
          <w:szCs w:val="24"/>
        </w:rPr>
        <w:t>供应商</w:t>
      </w:r>
      <w:r>
        <w:rPr>
          <w:rFonts w:hint="eastAsia" w:ascii="宋体" w:hAnsi="宋体"/>
          <w:sz w:val="24"/>
          <w:szCs w:val="24"/>
          <w:lang w:eastAsia="zh-CN"/>
        </w:rPr>
        <w:t>名称</w:t>
      </w:r>
      <w:r>
        <w:rPr>
          <w:rFonts w:hint="eastAsia" w:ascii="宋体" w:hAnsi="宋体"/>
          <w:sz w:val="24"/>
          <w:szCs w:val="24"/>
        </w:rPr>
        <w:t>：</w:t>
      </w:r>
      <w:r>
        <w:rPr>
          <w:rFonts w:hint="eastAsia" w:ascii="宋体" w:hAnsi="宋体"/>
          <w:kern w:val="2"/>
          <w:sz w:val="24"/>
          <w:szCs w:val="24"/>
          <w:u w:val="single"/>
          <w:lang w:val="en-US" w:eastAsia="zh-CN"/>
        </w:rPr>
        <w:t xml:space="preserve">       </w:t>
      </w:r>
      <w:r>
        <w:rPr>
          <w:rFonts w:hint="eastAsia" w:ascii="宋体" w:hAnsi="宋体"/>
          <w:sz w:val="24"/>
          <w:szCs w:val="24"/>
        </w:rPr>
        <w:t>（</w:t>
      </w:r>
      <w:r>
        <w:rPr>
          <w:rFonts w:hint="eastAsia" w:ascii="宋体" w:hAnsi="宋体"/>
          <w:sz w:val="24"/>
          <w:szCs w:val="24"/>
          <w:lang w:eastAsia="zh-CN"/>
        </w:rPr>
        <w:t>公章电子</w:t>
      </w:r>
      <w:r>
        <w:rPr>
          <w:rFonts w:hint="eastAsia" w:ascii="宋体" w:hAnsi="宋体"/>
          <w:sz w:val="24"/>
          <w:szCs w:val="24"/>
        </w:rPr>
        <w:t>签章）</w:t>
      </w:r>
    </w:p>
    <w:p w14:paraId="72EAF9B9">
      <w:pPr>
        <w:spacing w:line="360" w:lineRule="auto"/>
        <w:jc w:val="center"/>
        <w:rPr>
          <w:rFonts w:ascii="宋体" w:hAnsi="宋体"/>
          <w:sz w:val="24"/>
          <w:szCs w:val="24"/>
          <w:u w:val="single"/>
        </w:rPr>
      </w:pPr>
      <w:r>
        <w:rPr>
          <w:rFonts w:hint="eastAsia" w:ascii="宋体" w:hAnsi="宋体"/>
          <w:sz w:val="24"/>
          <w:szCs w:val="24"/>
          <w:lang w:val="en-US" w:eastAsia="zh-CN"/>
        </w:rPr>
        <w:t xml:space="preserve">                                  </w:t>
      </w:r>
      <w:r>
        <w:rPr>
          <w:rFonts w:hint="eastAsia" w:ascii="宋体" w:hAnsi="宋体"/>
          <w:sz w:val="24"/>
          <w:szCs w:val="24"/>
        </w:rPr>
        <w:t>法定代表人：</w:t>
      </w:r>
      <w:r>
        <w:rPr>
          <w:rFonts w:hint="eastAsia" w:ascii="宋体" w:hAnsi="宋体"/>
          <w:kern w:val="2"/>
          <w:sz w:val="24"/>
          <w:szCs w:val="24"/>
          <w:u w:val="single"/>
          <w:lang w:val="en-US" w:eastAsia="zh-CN"/>
        </w:rPr>
        <w:t xml:space="preserve">       </w:t>
      </w:r>
      <w:r>
        <w:rPr>
          <w:rFonts w:hint="eastAsia" w:ascii="宋体" w:hAnsi="宋体"/>
          <w:sz w:val="24"/>
          <w:szCs w:val="24"/>
        </w:rPr>
        <w:t>（法人</w:t>
      </w:r>
      <w:r>
        <w:rPr>
          <w:rFonts w:hint="eastAsia" w:ascii="宋体" w:hAnsi="宋体"/>
          <w:sz w:val="24"/>
          <w:szCs w:val="24"/>
          <w:lang w:eastAsia="zh-CN"/>
        </w:rPr>
        <w:t>电子</w:t>
      </w:r>
      <w:r>
        <w:rPr>
          <w:rFonts w:hint="eastAsia" w:ascii="宋体" w:hAnsi="宋体"/>
          <w:sz w:val="24"/>
          <w:szCs w:val="24"/>
        </w:rPr>
        <w:t>签章）                        　　　　</w:t>
      </w:r>
    </w:p>
    <w:p w14:paraId="0C009D99">
      <w:pPr>
        <w:spacing w:line="360" w:lineRule="auto"/>
        <w:jc w:val="center"/>
        <w:rPr>
          <w:rFonts w:hint="eastAsia" w:ascii="宋体" w:hAnsi="宋体"/>
          <w:sz w:val="24"/>
          <w:szCs w:val="24"/>
          <w:lang w:val="en-US" w:eastAsia="zh-CN"/>
        </w:rPr>
      </w:pPr>
      <w:r>
        <w:rPr>
          <w:rFonts w:hint="eastAsia" w:ascii="宋体" w:hAnsi="宋体"/>
          <w:sz w:val="24"/>
          <w:szCs w:val="24"/>
          <w:lang w:val="en-US" w:eastAsia="zh-CN"/>
        </w:rPr>
        <w:t xml:space="preserve">           </w:t>
      </w:r>
      <w:r>
        <w:rPr>
          <w:rFonts w:hint="eastAsia" w:ascii="宋体" w:hAnsi="宋体"/>
          <w:sz w:val="24"/>
          <w:szCs w:val="24"/>
        </w:rPr>
        <w:t>身份证号码：</w:t>
      </w:r>
      <w:r>
        <w:rPr>
          <w:rFonts w:hint="eastAsia" w:ascii="宋体" w:hAnsi="宋体"/>
          <w:kern w:val="2"/>
          <w:sz w:val="24"/>
          <w:szCs w:val="24"/>
          <w:u w:val="single"/>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p>
    <w:p w14:paraId="2BBB5A0A">
      <w:pPr>
        <w:spacing w:line="360" w:lineRule="auto"/>
        <w:jc w:val="center"/>
        <w:rPr>
          <w:rFonts w:hint="eastAsia" w:ascii="宋体" w:hAnsi="宋体"/>
          <w:sz w:val="24"/>
          <w:szCs w:val="24"/>
          <w:lang w:val="en-US" w:eastAsia="zh-CN"/>
        </w:rPr>
      </w:pPr>
      <w:r>
        <w:rPr>
          <w:rFonts w:hint="eastAsia" w:ascii="宋体" w:hAnsi="宋体"/>
          <w:sz w:val="24"/>
          <w:szCs w:val="24"/>
          <w:lang w:val="en-US" w:eastAsia="zh-CN"/>
        </w:rPr>
        <w:t xml:space="preserve">                                     </w:t>
      </w:r>
      <w:r>
        <w:rPr>
          <w:rFonts w:hint="eastAsia" w:ascii="宋体" w:hAnsi="宋体"/>
          <w:sz w:val="24"/>
          <w:szCs w:val="24"/>
        </w:rPr>
        <w:t>委托代理人：</w:t>
      </w:r>
      <w:r>
        <w:rPr>
          <w:rFonts w:hint="eastAsia" w:ascii="宋体" w:hAnsi="宋体"/>
          <w:kern w:val="2"/>
          <w:sz w:val="24"/>
          <w:szCs w:val="24"/>
          <w:u w:val="single"/>
          <w:lang w:val="en-US" w:eastAsia="zh-CN"/>
        </w:rPr>
        <w:t xml:space="preserve">            </w:t>
      </w:r>
      <w:r>
        <w:rPr>
          <w:rFonts w:hint="eastAsia" w:ascii="宋体" w:hAnsi="宋体"/>
          <w:kern w:val="2"/>
          <w:sz w:val="24"/>
          <w:szCs w:val="24"/>
          <w:u w:val="none"/>
          <w:lang w:val="en-US" w:eastAsia="zh-CN"/>
        </w:rPr>
        <w:t>（签字或签章）</w:t>
      </w:r>
    </w:p>
    <w:p w14:paraId="31FA153B">
      <w:pPr>
        <w:spacing w:line="360" w:lineRule="auto"/>
        <w:jc w:val="center"/>
        <w:rPr>
          <w:rFonts w:ascii="宋体" w:hAnsi="宋体" w:cs="宋体"/>
          <w:b/>
          <w:sz w:val="24"/>
          <w:szCs w:val="24"/>
        </w:rPr>
      </w:pPr>
      <w:r>
        <w:rPr>
          <w:rFonts w:hint="eastAsia" w:ascii="宋体" w:hAnsi="宋体"/>
          <w:sz w:val="24"/>
          <w:szCs w:val="24"/>
          <w:lang w:val="en-US" w:eastAsia="zh-CN"/>
        </w:rPr>
        <w:t xml:space="preserve"> </w:t>
      </w:r>
      <w:r>
        <w:rPr>
          <w:rFonts w:hint="eastAsia" w:ascii="宋体" w:hAnsi="宋体"/>
          <w:sz w:val="24"/>
          <w:szCs w:val="24"/>
        </w:rPr>
        <w:t>委托代理人身份证号码：</w:t>
      </w:r>
      <w:r>
        <w:rPr>
          <w:rFonts w:hint="eastAsia" w:ascii="宋体" w:hAnsi="宋体"/>
          <w:kern w:val="2"/>
          <w:sz w:val="24"/>
          <w:szCs w:val="24"/>
          <w:u w:val="single"/>
          <w:lang w:val="en-US" w:eastAsia="zh-CN"/>
        </w:rPr>
        <w:t xml:space="preserve">                      </w:t>
      </w:r>
      <w:r>
        <w:rPr>
          <w:rFonts w:hint="eastAsia" w:ascii="宋体" w:hAnsi="宋体"/>
          <w:sz w:val="24"/>
          <w:szCs w:val="24"/>
        </w:rPr>
        <w:t xml:space="preserve">  </w:t>
      </w:r>
    </w:p>
    <w:p w14:paraId="7BC2890A">
      <w:pPr>
        <w:spacing w:line="360" w:lineRule="auto"/>
        <w:jc w:val="center"/>
        <w:rPr>
          <w:rFonts w:ascii="宋体" w:hAnsi="宋体" w:cs="宋体"/>
          <w:bCs/>
          <w:sz w:val="24"/>
          <w:szCs w:val="24"/>
        </w:rPr>
      </w:pPr>
      <w:r>
        <w:rPr>
          <w:rFonts w:hint="eastAsia" w:ascii="宋体" w:hAnsi="宋体" w:cs="宋体"/>
          <w:bCs/>
          <w:sz w:val="24"/>
          <w:szCs w:val="24"/>
          <w:lang w:val="en-US" w:eastAsia="zh-CN"/>
        </w:rPr>
        <w:t xml:space="preserve">         </w:t>
      </w:r>
      <w:r>
        <w:rPr>
          <w:rFonts w:hint="eastAsia" w:ascii="宋体" w:hAnsi="宋体" w:cs="宋体"/>
          <w:bCs/>
          <w:sz w:val="24"/>
          <w:szCs w:val="24"/>
        </w:rPr>
        <w:t>联系方式：</w:t>
      </w:r>
      <w:r>
        <w:rPr>
          <w:rFonts w:hint="eastAsia" w:ascii="宋体" w:hAnsi="宋体"/>
          <w:kern w:val="2"/>
          <w:sz w:val="24"/>
          <w:szCs w:val="24"/>
          <w:u w:val="single"/>
          <w:lang w:val="en-US" w:eastAsia="zh-CN"/>
        </w:rPr>
        <w:t xml:space="preserve">                        </w:t>
      </w:r>
    </w:p>
    <w:p w14:paraId="39BD7F01">
      <w:pPr>
        <w:spacing w:line="360" w:lineRule="auto"/>
        <w:jc w:val="both"/>
        <w:rPr>
          <w:rFonts w:ascii="宋体" w:hAnsi="宋体" w:cs="宋体"/>
          <w:b w:val="0"/>
          <w:bCs/>
          <w:sz w:val="24"/>
          <w:szCs w:val="24"/>
        </w:rPr>
      </w:pPr>
      <w:r>
        <w:rPr>
          <w:rFonts w:hint="eastAsia" w:ascii="宋体" w:hAnsi="宋体" w:cs="宋体"/>
          <w:b/>
          <w:sz w:val="24"/>
          <w:szCs w:val="24"/>
        </w:rPr>
        <w:t xml:space="preserve">                                     </w:t>
      </w:r>
      <w:r>
        <w:rPr>
          <w:rFonts w:hint="eastAsia" w:ascii="宋体" w:hAnsi="宋体" w:cs="宋体"/>
          <w:b w:val="0"/>
          <w:bCs/>
          <w:sz w:val="24"/>
          <w:szCs w:val="24"/>
          <w:lang w:eastAsia="zh-CN"/>
        </w:rPr>
        <w:t>日期：</w:t>
      </w:r>
      <w:r>
        <w:rPr>
          <w:rFonts w:hint="eastAsia" w:ascii="宋体" w:hAnsi="宋体" w:cs="宋体"/>
          <w:b w:val="0"/>
          <w:bCs/>
          <w:sz w:val="24"/>
          <w:szCs w:val="24"/>
        </w:rPr>
        <w:t xml:space="preserve"> 年  月  日</w:t>
      </w:r>
    </w:p>
    <w:p w14:paraId="66F74BF7">
      <w:pPr>
        <w:widowControl w:val="0"/>
        <w:spacing w:line="360" w:lineRule="auto"/>
        <w:ind w:firstLine="3410" w:firstLineChars="1421"/>
        <w:jc w:val="both"/>
        <w:rPr>
          <w:rFonts w:ascii="宋体" w:hAnsi="宋体"/>
          <w:sz w:val="24"/>
          <w:szCs w:val="24"/>
        </w:rPr>
      </w:pPr>
      <w:bookmarkStart w:id="52" w:name="_Toc90713373"/>
      <w:bookmarkEnd w:id="52"/>
      <w:bookmarkStart w:id="53" w:name="_Toc269219203"/>
      <w:bookmarkEnd w:id="53"/>
      <w:bookmarkStart w:id="54" w:name="_Toc87621074"/>
      <w:bookmarkEnd w:id="54"/>
      <w:bookmarkStart w:id="55" w:name="_Hlk450185103"/>
      <w:bookmarkEnd w:id="55"/>
      <w:bookmarkStart w:id="56" w:name="_Toc90712554"/>
      <w:bookmarkEnd w:id="56"/>
      <w:bookmarkStart w:id="57" w:name="_Toc461977433"/>
      <w:r>
        <w:rPr>
          <w:rFonts w:hint="eastAsia" w:ascii="宋体" w:hAnsi="宋体"/>
          <w:kern w:val="2"/>
          <w:sz w:val="24"/>
          <w:szCs w:val="24"/>
        </w:rPr>
        <w:t xml:space="preserve"> </w:t>
      </w:r>
      <w:bookmarkEnd w:id="57"/>
    </w:p>
    <w:p w14:paraId="014848FB">
      <w:pPr>
        <w:widowControl w:val="0"/>
        <w:spacing w:line="360" w:lineRule="auto"/>
        <w:ind w:firstLine="3410" w:firstLineChars="1421"/>
        <w:jc w:val="both"/>
        <w:rPr>
          <w:rFonts w:ascii="宋体" w:hAnsi="宋体"/>
          <w:sz w:val="24"/>
          <w:szCs w:val="24"/>
        </w:rPr>
      </w:pPr>
      <w:r>
        <w:rPr>
          <w:rFonts w:hint="eastAsia" w:ascii="宋体" w:hAnsi="宋体"/>
          <w:kern w:val="2"/>
          <w:sz w:val="24"/>
          <w:szCs w:val="24"/>
        </w:rPr>
        <w:t xml:space="preserve"> </w:t>
      </w:r>
    </w:p>
    <w:p w14:paraId="08A47552">
      <w:pPr>
        <w:widowControl w:val="0"/>
        <w:spacing w:line="360" w:lineRule="auto"/>
        <w:ind w:firstLine="3410" w:firstLineChars="1421"/>
        <w:jc w:val="both"/>
        <w:rPr>
          <w:rFonts w:ascii="宋体" w:hAnsi="宋体" w:cs="宋体"/>
          <w:kern w:val="2"/>
          <w:sz w:val="24"/>
          <w:szCs w:val="24"/>
        </w:rPr>
      </w:pPr>
    </w:p>
    <w:p w14:paraId="22778674">
      <w:pPr>
        <w:widowControl w:val="0"/>
        <w:spacing w:line="360" w:lineRule="auto"/>
        <w:ind w:firstLine="3410" w:firstLineChars="1421"/>
        <w:jc w:val="both"/>
        <w:rPr>
          <w:rFonts w:ascii="宋体" w:hAnsi="宋体" w:cs="宋体"/>
          <w:kern w:val="2"/>
          <w:sz w:val="24"/>
          <w:szCs w:val="24"/>
        </w:rPr>
      </w:pPr>
    </w:p>
    <w:p w14:paraId="436A9160">
      <w:pPr>
        <w:widowControl w:val="0"/>
        <w:spacing w:line="360" w:lineRule="auto"/>
        <w:ind w:firstLine="3424" w:firstLineChars="1421"/>
        <w:jc w:val="center"/>
        <w:rPr>
          <w:rFonts w:ascii="宋体" w:hAnsi="宋体" w:cs="宋体"/>
          <w:b/>
          <w:sz w:val="24"/>
          <w:szCs w:val="24"/>
        </w:rPr>
      </w:pPr>
    </w:p>
    <w:p w14:paraId="217125A7">
      <w:pPr>
        <w:widowControl w:val="0"/>
        <w:spacing w:line="360" w:lineRule="auto"/>
        <w:jc w:val="center"/>
        <w:outlineLvl w:val="1"/>
        <w:rPr>
          <w:rFonts w:ascii="宋体" w:hAnsi="宋体" w:cs="宋体"/>
          <w:b/>
          <w:sz w:val="24"/>
          <w:szCs w:val="24"/>
        </w:rPr>
      </w:pPr>
      <w:bookmarkStart w:id="58" w:name="_Toc269219204"/>
      <w:bookmarkEnd w:id="58"/>
      <w:bookmarkStart w:id="59" w:name="_Toc461977434"/>
    </w:p>
    <w:p w14:paraId="1A4DB565">
      <w:pPr>
        <w:widowControl w:val="0"/>
        <w:spacing w:line="360" w:lineRule="auto"/>
        <w:jc w:val="center"/>
        <w:outlineLvl w:val="1"/>
        <w:rPr>
          <w:rFonts w:ascii="宋体" w:hAnsi="宋体" w:cs="宋体"/>
          <w:b/>
          <w:sz w:val="24"/>
          <w:szCs w:val="24"/>
        </w:rPr>
      </w:pPr>
    </w:p>
    <w:p w14:paraId="7033D5DE">
      <w:pPr>
        <w:widowControl w:val="0"/>
        <w:spacing w:line="360" w:lineRule="auto"/>
        <w:jc w:val="both"/>
        <w:outlineLvl w:val="1"/>
        <w:rPr>
          <w:rFonts w:ascii="宋体" w:hAnsi="宋体" w:cs="宋体"/>
          <w:b/>
          <w:sz w:val="24"/>
          <w:szCs w:val="24"/>
        </w:rPr>
      </w:pPr>
    </w:p>
    <w:p w14:paraId="49ED501F">
      <w:pPr>
        <w:pStyle w:val="6"/>
        <w:bidi w:val="0"/>
      </w:pPr>
    </w:p>
    <w:p w14:paraId="6CCDBE64">
      <w:pPr>
        <w:widowControl w:val="0"/>
        <w:autoSpaceDE w:val="0"/>
        <w:autoSpaceDN w:val="0"/>
        <w:adjustRightInd w:val="0"/>
        <w:spacing w:line="360" w:lineRule="auto"/>
        <w:jc w:val="center"/>
        <w:rPr>
          <w:rFonts w:ascii="宋体" w:hAnsi="宋体"/>
          <w:b/>
          <w:sz w:val="24"/>
          <w:szCs w:val="24"/>
        </w:rPr>
      </w:pPr>
      <w:r>
        <w:rPr>
          <w:rFonts w:hint="eastAsia" w:ascii="宋体" w:hAnsi="宋体" w:cs="宋体"/>
          <w:b/>
          <w:sz w:val="24"/>
          <w:szCs w:val="24"/>
        </w:rPr>
        <w:br w:type="page"/>
      </w:r>
      <w:bookmarkStart w:id="60" w:name="_Toc461977437"/>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sz w:val="24"/>
          <w:szCs w:val="24"/>
          <w:lang w:eastAsia="zh-CN"/>
        </w:rPr>
        <w:t>磋商</w:t>
      </w:r>
      <w:r>
        <w:rPr>
          <w:rFonts w:hint="eastAsia" w:ascii="宋体" w:hAnsi="宋体" w:cs="宋体"/>
          <w:b/>
          <w:sz w:val="24"/>
          <w:szCs w:val="24"/>
        </w:rPr>
        <w:t>承诺函</w:t>
      </w:r>
      <w:bookmarkEnd w:id="60"/>
    </w:p>
    <w:p w14:paraId="6BE889AA">
      <w:pPr>
        <w:wordWrap w:val="0"/>
        <w:spacing w:line="360" w:lineRule="auto"/>
        <w:ind w:firstLine="480" w:firstLineChars="200"/>
        <w:rPr>
          <w:rFonts w:hint="eastAsia" w:ascii="宋体" w:hAnsi="宋体" w:cs="宋体"/>
          <w:sz w:val="24"/>
        </w:rPr>
      </w:pPr>
      <w:r>
        <w:rPr>
          <w:rFonts w:hint="eastAsia" w:ascii="宋体" w:hAnsi="宋体" w:cs="宋体"/>
          <w:sz w:val="24"/>
        </w:rPr>
        <w:t xml:space="preserve">致 </w:t>
      </w:r>
      <w:r>
        <w:rPr>
          <w:rFonts w:hint="eastAsia" w:ascii="宋体" w:hAnsi="宋体" w:cs="宋体"/>
          <w:sz w:val="24"/>
          <w:u w:val="single"/>
        </w:rPr>
        <w:t>（采购人）</w:t>
      </w:r>
      <w:r>
        <w:rPr>
          <w:rFonts w:hint="eastAsia" w:ascii="宋体" w:hAnsi="宋体" w:cs="宋体"/>
          <w:sz w:val="24"/>
          <w:u w:val="single"/>
          <w:lang w:val="en-US" w:eastAsia="zh-CN"/>
        </w:rPr>
        <w:t xml:space="preserve">   </w:t>
      </w:r>
      <w:r>
        <w:rPr>
          <w:rFonts w:hint="eastAsia" w:ascii="宋体" w:hAnsi="宋体" w:cs="宋体"/>
          <w:sz w:val="24"/>
        </w:rPr>
        <w:t>：</w:t>
      </w:r>
    </w:p>
    <w:p w14:paraId="236B1027">
      <w:pPr>
        <w:wordWrap w:val="0"/>
        <w:spacing w:line="360" w:lineRule="auto"/>
        <w:ind w:firstLine="480" w:firstLineChars="200"/>
        <w:rPr>
          <w:rFonts w:hint="eastAsia" w:ascii="宋体" w:hAnsi="宋体" w:cs="宋体"/>
          <w:sz w:val="24"/>
        </w:rPr>
      </w:pPr>
      <w:r>
        <w:rPr>
          <w:rFonts w:hint="eastAsia" w:ascii="宋体" w:hAnsi="宋体" w:cs="宋体"/>
          <w:sz w:val="24"/>
        </w:rPr>
        <w:t>我方已充分了解了</w:t>
      </w:r>
      <w:r>
        <w:rPr>
          <w:rFonts w:hint="eastAsia" w:ascii="宋体" w:hAnsi="宋体" w:cs="宋体"/>
          <w:sz w:val="24"/>
          <w:u w:val="single"/>
          <w:lang w:val="en-US" w:eastAsia="zh-CN"/>
        </w:rPr>
        <w:t xml:space="preserve">          </w:t>
      </w:r>
      <w:r>
        <w:rPr>
          <w:rFonts w:hint="eastAsia" w:ascii="宋体" w:hAnsi="宋体" w:cs="宋体"/>
          <w:sz w:val="24"/>
        </w:rPr>
        <w:t>（项目名称）（项目编号</w:t>
      </w:r>
      <w:r>
        <w:rPr>
          <w:rFonts w:hint="eastAsia" w:ascii="宋体" w:hAnsi="宋体" w:cs="宋体"/>
          <w:sz w:val="24"/>
          <w:lang w:eastAsia="zh-CN"/>
        </w:rPr>
        <w:t>：</w:t>
      </w:r>
      <w:r>
        <w:rPr>
          <w:rFonts w:hint="eastAsia" w:ascii="宋体" w:hAnsi="宋体" w:cs="宋体"/>
          <w:sz w:val="24"/>
          <w:u w:val="single"/>
          <w:lang w:val="en-US" w:eastAsia="zh-CN"/>
        </w:rPr>
        <w:t xml:space="preserve">          </w:t>
      </w:r>
      <w:r>
        <w:rPr>
          <w:rFonts w:hint="eastAsia" w:ascii="宋体" w:hAnsi="宋体" w:cs="宋体"/>
          <w:sz w:val="24"/>
        </w:rPr>
        <w:t>）的</w:t>
      </w:r>
      <w:r>
        <w:rPr>
          <w:rFonts w:hint="eastAsia" w:ascii="宋体" w:hAnsi="宋体" w:cs="宋体"/>
          <w:sz w:val="24"/>
          <w:lang w:eastAsia="zh-CN"/>
        </w:rPr>
        <w:t>竞争性磋商</w:t>
      </w:r>
      <w:r>
        <w:rPr>
          <w:rFonts w:hint="eastAsia" w:ascii="宋体" w:hAnsi="宋体" w:cs="宋体"/>
          <w:sz w:val="24"/>
        </w:rPr>
        <w:t>文件，愿意遵照本项目《</w:t>
      </w:r>
      <w:r>
        <w:rPr>
          <w:rFonts w:hint="eastAsia" w:ascii="宋体" w:hAnsi="宋体" w:cs="宋体"/>
          <w:sz w:val="24"/>
          <w:lang w:eastAsia="zh-CN"/>
        </w:rPr>
        <w:t>竞争性</w:t>
      </w:r>
      <w:r>
        <w:rPr>
          <w:rFonts w:hint="eastAsia" w:ascii="宋体" w:hAnsi="宋体" w:cs="宋体"/>
          <w:sz w:val="24"/>
        </w:rPr>
        <w:t>磋商文件》、《中华人民共和国政府采购法》等有关规定参与竞标，并承诺如下：</w:t>
      </w:r>
    </w:p>
    <w:p w14:paraId="222E92A0">
      <w:pPr>
        <w:wordWrap w:val="0"/>
        <w:spacing w:line="360" w:lineRule="auto"/>
        <w:ind w:firstLine="480" w:firstLineChars="200"/>
        <w:rPr>
          <w:rFonts w:hint="eastAsia" w:ascii="宋体" w:hAnsi="宋体" w:cs="宋体"/>
          <w:sz w:val="24"/>
        </w:rPr>
      </w:pPr>
      <w:r>
        <w:rPr>
          <w:rFonts w:hint="eastAsia" w:ascii="宋体" w:hAnsi="宋体" w:cs="宋体"/>
          <w:sz w:val="24"/>
        </w:rPr>
        <w:t>1、我方承诺将严格按照“公开、公平、公正和诚实信用原则”参与本项目竞标活动。</w:t>
      </w:r>
    </w:p>
    <w:p w14:paraId="6747C402">
      <w:pPr>
        <w:wordWrap w:val="0"/>
        <w:spacing w:line="360" w:lineRule="auto"/>
        <w:ind w:firstLine="480" w:firstLineChars="200"/>
        <w:rPr>
          <w:rFonts w:hint="eastAsia" w:ascii="宋体" w:hAnsi="宋体" w:cs="宋体"/>
          <w:sz w:val="24"/>
        </w:rPr>
      </w:pPr>
      <w:r>
        <w:rPr>
          <w:rFonts w:hint="eastAsia" w:ascii="宋体" w:hAnsi="宋体" w:cs="宋体"/>
          <w:sz w:val="24"/>
        </w:rPr>
        <w:t>2、我方承诺在投标有效期内不撤销响应文件；</w:t>
      </w:r>
    </w:p>
    <w:p w14:paraId="4EE6869D">
      <w:pPr>
        <w:wordWrap w:val="0"/>
        <w:spacing w:line="360" w:lineRule="auto"/>
        <w:ind w:firstLine="480" w:firstLineChars="200"/>
        <w:rPr>
          <w:rFonts w:hint="eastAsia" w:ascii="宋体" w:hAnsi="宋体" w:cs="宋体"/>
          <w:sz w:val="24"/>
        </w:rPr>
      </w:pPr>
      <w:r>
        <w:rPr>
          <w:rFonts w:hint="eastAsia" w:ascii="宋体" w:hAnsi="宋体" w:cs="宋体"/>
          <w:sz w:val="24"/>
        </w:rPr>
        <w:t>3、我方承诺在响应文件及对三门峡市公共资源交易供应商市场主体信息库中提供的材料真实有效；</w:t>
      </w:r>
    </w:p>
    <w:p w14:paraId="24ED0D28">
      <w:pPr>
        <w:wordWrap w:val="0"/>
        <w:spacing w:line="360" w:lineRule="auto"/>
        <w:ind w:firstLine="480" w:firstLineChars="200"/>
        <w:rPr>
          <w:rFonts w:hint="eastAsia" w:ascii="宋体" w:hAnsi="宋体" w:cs="宋体"/>
          <w:sz w:val="24"/>
        </w:rPr>
      </w:pPr>
      <w:r>
        <w:rPr>
          <w:rFonts w:hint="eastAsia" w:ascii="宋体" w:hAnsi="宋体" w:cs="宋体"/>
          <w:sz w:val="24"/>
        </w:rPr>
        <w:t>4、我方承诺绝不与采购人、其他投标供应商或者代理机构恶意串通的投标；</w:t>
      </w:r>
    </w:p>
    <w:p w14:paraId="18255901">
      <w:pPr>
        <w:wordWrap w:val="0"/>
        <w:spacing w:line="360" w:lineRule="auto"/>
        <w:ind w:firstLine="480" w:firstLineChars="200"/>
        <w:rPr>
          <w:rFonts w:hint="eastAsia" w:ascii="宋体" w:hAnsi="宋体" w:cs="宋体"/>
          <w:sz w:val="24"/>
        </w:rPr>
      </w:pPr>
      <w:r>
        <w:rPr>
          <w:rFonts w:hint="eastAsia" w:ascii="宋体" w:hAnsi="宋体" w:cs="宋体"/>
          <w:sz w:val="24"/>
        </w:rPr>
        <w:t>5、我方承诺绝不以他人的名义投标、串通投标、以行贿手段谋取中标或者以其他弄虚作假方式投标；</w:t>
      </w:r>
    </w:p>
    <w:p w14:paraId="1B1AD10E">
      <w:pPr>
        <w:wordWrap w:val="0"/>
        <w:spacing w:line="360" w:lineRule="auto"/>
        <w:ind w:firstLine="480" w:firstLineChars="200"/>
        <w:rPr>
          <w:rFonts w:hint="eastAsia" w:ascii="宋体" w:hAnsi="宋体" w:cs="宋体"/>
          <w:sz w:val="24"/>
        </w:rPr>
      </w:pPr>
      <w:r>
        <w:rPr>
          <w:rFonts w:hint="eastAsia" w:ascii="宋体" w:hAnsi="宋体" w:cs="宋体"/>
          <w:sz w:val="24"/>
        </w:rPr>
        <w:t>6、我方承诺绝不采取不正当手段谋取中标；</w:t>
      </w:r>
    </w:p>
    <w:p w14:paraId="0036E9C1">
      <w:pPr>
        <w:wordWrap w:val="0"/>
        <w:spacing w:line="360" w:lineRule="auto"/>
        <w:ind w:firstLine="480" w:firstLineChars="200"/>
        <w:rPr>
          <w:rFonts w:hint="eastAsia" w:ascii="宋体" w:hAnsi="宋体" w:cs="宋体"/>
          <w:sz w:val="24"/>
        </w:rPr>
      </w:pPr>
      <w:r>
        <w:rPr>
          <w:rFonts w:hint="eastAsia" w:ascii="宋体" w:hAnsi="宋体" w:cs="宋体"/>
          <w:sz w:val="24"/>
        </w:rPr>
        <w:t>7、如我方中标，我方承诺在收到成交通知书后，在成交通知书规定的期限内，根据</w:t>
      </w:r>
      <w:r>
        <w:rPr>
          <w:rFonts w:hint="eastAsia" w:ascii="宋体" w:hAnsi="宋体" w:cs="宋体"/>
          <w:sz w:val="24"/>
          <w:lang w:eastAsia="zh-CN"/>
        </w:rPr>
        <w:t>磋商</w:t>
      </w:r>
      <w:r>
        <w:rPr>
          <w:rFonts w:hint="eastAsia" w:ascii="宋体" w:hAnsi="宋体" w:cs="宋体"/>
          <w:sz w:val="24"/>
        </w:rPr>
        <w:t>文件、我方的响应文件及有关澄清承诺书的要求，与采购人订立书面合同，并按照合同约定承担完成合同的责任和义务；</w:t>
      </w:r>
    </w:p>
    <w:p w14:paraId="7F193508">
      <w:pPr>
        <w:wordWrap w:val="0"/>
        <w:spacing w:line="360" w:lineRule="auto"/>
        <w:ind w:firstLine="480" w:firstLineChars="200"/>
        <w:rPr>
          <w:rFonts w:hint="eastAsia" w:ascii="宋体" w:hAnsi="宋体" w:cs="宋体"/>
          <w:sz w:val="24"/>
        </w:rPr>
      </w:pPr>
      <w:r>
        <w:rPr>
          <w:rFonts w:hint="eastAsia" w:ascii="宋体" w:hAnsi="宋体" w:cs="宋体"/>
          <w:sz w:val="24"/>
        </w:rPr>
        <w:t>8、如我方违反此约定，愿意承担对本项目造成的一切经济损失，并同时依法承担相应法律责任。</w:t>
      </w:r>
    </w:p>
    <w:p w14:paraId="47BD1340">
      <w:pPr>
        <w:wordWrap w:val="0"/>
        <w:spacing w:line="360" w:lineRule="auto"/>
        <w:ind w:firstLine="480" w:firstLineChars="200"/>
        <w:rPr>
          <w:rFonts w:hint="eastAsia" w:ascii="宋体" w:hAnsi="宋体" w:cs="宋体"/>
          <w:sz w:val="24"/>
        </w:rPr>
      </w:pPr>
    </w:p>
    <w:p w14:paraId="2F4BCBF2">
      <w:pPr>
        <w:wordWrap w:val="0"/>
        <w:spacing w:line="360" w:lineRule="auto"/>
        <w:ind w:firstLine="480" w:firstLineChars="200"/>
        <w:rPr>
          <w:rFonts w:hint="eastAsia" w:ascii="宋体" w:hAnsi="宋体" w:cs="宋体"/>
          <w:sz w:val="24"/>
        </w:rPr>
      </w:pPr>
      <w:r>
        <w:rPr>
          <w:rFonts w:hint="eastAsia" w:ascii="宋体" w:hAnsi="宋体" w:cs="宋体"/>
          <w:sz w:val="24"/>
        </w:rPr>
        <w:t xml:space="preserve"> </w:t>
      </w:r>
    </w:p>
    <w:p w14:paraId="3CCDDA3B">
      <w:pPr>
        <w:wordWrap w:val="0"/>
        <w:spacing w:line="360" w:lineRule="auto"/>
        <w:ind w:firstLine="480" w:firstLineChars="200"/>
        <w:jc w:val="right"/>
        <w:rPr>
          <w:rFonts w:hint="eastAsia" w:ascii="宋体" w:hAnsi="宋体" w:cs="宋体"/>
          <w:sz w:val="24"/>
        </w:rPr>
      </w:pPr>
      <w:r>
        <w:rPr>
          <w:rFonts w:hint="eastAsia" w:ascii="宋体" w:hAnsi="宋体" w:cs="宋体"/>
          <w:sz w:val="24"/>
        </w:rPr>
        <w:t>供应商名称：</w:t>
      </w:r>
      <w:r>
        <w:rPr>
          <w:rFonts w:hint="eastAsia" w:ascii="宋体" w:hAnsi="宋体"/>
          <w:kern w:val="2"/>
          <w:sz w:val="24"/>
          <w:szCs w:val="24"/>
          <w:u w:val="single"/>
          <w:lang w:val="en-US" w:eastAsia="zh-CN"/>
        </w:rPr>
        <w:t xml:space="preserve">       </w:t>
      </w:r>
      <w:r>
        <w:rPr>
          <w:rFonts w:hint="eastAsia" w:ascii="宋体" w:hAnsi="宋体" w:cs="宋体"/>
          <w:sz w:val="24"/>
        </w:rPr>
        <w:t xml:space="preserve"> （</w:t>
      </w:r>
      <w:r>
        <w:rPr>
          <w:rFonts w:hint="eastAsia" w:ascii="宋体" w:hAnsi="宋体" w:cs="宋体"/>
          <w:sz w:val="24"/>
          <w:lang w:eastAsia="zh-CN"/>
        </w:rPr>
        <w:t>公章电子</w:t>
      </w:r>
      <w:r>
        <w:rPr>
          <w:rFonts w:hint="eastAsia" w:ascii="宋体" w:hAnsi="宋体" w:cs="宋体"/>
          <w:sz w:val="24"/>
        </w:rPr>
        <w:t>签章）</w:t>
      </w:r>
    </w:p>
    <w:p w14:paraId="640698DB">
      <w:pPr>
        <w:wordWrap w:val="0"/>
        <w:spacing w:line="360" w:lineRule="auto"/>
        <w:ind w:firstLine="480" w:firstLineChars="200"/>
        <w:jc w:val="right"/>
        <w:rPr>
          <w:rFonts w:hint="eastAsia" w:ascii="宋体" w:hAnsi="宋体" w:cs="宋体"/>
          <w:sz w:val="24"/>
        </w:rPr>
      </w:pPr>
      <w:r>
        <w:rPr>
          <w:rFonts w:hint="eastAsia" w:ascii="宋体" w:hAnsi="宋体" w:cs="宋体"/>
          <w:sz w:val="24"/>
        </w:rPr>
        <w:t>法定代表人：</w:t>
      </w:r>
      <w:r>
        <w:rPr>
          <w:rFonts w:hint="eastAsia" w:ascii="宋体" w:hAnsi="宋体"/>
          <w:kern w:val="2"/>
          <w:sz w:val="24"/>
          <w:szCs w:val="24"/>
          <w:u w:val="single"/>
          <w:lang w:val="en-US" w:eastAsia="zh-CN"/>
        </w:rPr>
        <w:t xml:space="preserve">       </w:t>
      </w:r>
      <w:r>
        <w:rPr>
          <w:rFonts w:hint="eastAsia" w:ascii="宋体" w:hAnsi="宋体" w:cs="宋体"/>
          <w:sz w:val="24"/>
        </w:rPr>
        <w:t xml:space="preserve"> （法人</w:t>
      </w:r>
      <w:r>
        <w:rPr>
          <w:rFonts w:hint="eastAsia" w:ascii="宋体" w:hAnsi="宋体" w:cs="宋体"/>
          <w:sz w:val="24"/>
          <w:lang w:eastAsia="zh-CN"/>
        </w:rPr>
        <w:t>电子</w:t>
      </w:r>
      <w:r>
        <w:rPr>
          <w:rFonts w:hint="eastAsia" w:ascii="宋体" w:hAnsi="宋体" w:cs="宋体"/>
          <w:sz w:val="24"/>
        </w:rPr>
        <w:t>签章）</w:t>
      </w:r>
    </w:p>
    <w:p w14:paraId="6C60AB88">
      <w:pPr>
        <w:widowControl w:val="0"/>
        <w:spacing w:line="360" w:lineRule="auto"/>
        <w:jc w:val="center"/>
        <w:outlineLvl w:val="1"/>
        <w:rPr>
          <w:rFonts w:ascii="宋体" w:hAnsi="宋体" w:cs="仿宋"/>
          <w:sz w:val="24"/>
          <w:szCs w:val="24"/>
        </w:rPr>
      </w:pPr>
      <w:r>
        <w:rPr>
          <w:rFonts w:hint="eastAsia" w:ascii="宋体" w:hAnsi="宋体" w:cs="宋体"/>
          <w:sz w:val="24"/>
          <w:lang w:val="en-US" w:eastAsia="zh-CN"/>
        </w:rPr>
        <w:t xml:space="preserve">                                     </w:t>
      </w:r>
      <w:r>
        <w:rPr>
          <w:rFonts w:hint="eastAsia" w:ascii="宋体" w:hAnsi="宋体" w:cs="宋体"/>
          <w:sz w:val="24"/>
        </w:rPr>
        <w:t xml:space="preserve">日期：   </w:t>
      </w:r>
      <w:r>
        <w:rPr>
          <w:rFonts w:hint="eastAsia" w:ascii="宋体" w:hAnsi="宋体" w:cs="宋体"/>
          <w:sz w:val="24"/>
          <w:lang w:eastAsia="zh-CN"/>
        </w:rPr>
        <w:t>年</w:t>
      </w:r>
      <w:r>
        <w:rPr>
          <w:rFonts w:hint="eastAsia" w:ascii="宋体" w:hAnsi="宋体" w:cs="宋体"/>
          <w:sz w:val="24"/>
          <w:lang w:val="en-US" w:eastAsia="zh-CN"/>
        </w:rPr>
        <w:t xml:space="preserve">   </w:t>
      </w:r>
      <w:r>
        <w:rPr>
          <w:rFonts w:hint="eastAsia" w:ascii="宋体" w:hAnsi="宋体" w:cs="宋体"/>
          <w:sz w:val="24"/>
          <w:lang w:eastAsia="zh-CN"/>
        </w:rPr>
        <w:t>月</w:t>
      </w:r>
      <w:r>
        <w:rPr>
          <w:rFonts w:hint="eastAsia" w:ascii="宋体" w:hAnsi="宋体" w:cs="宋体"/>
          <w:sz w:val="24"/>
          <w:lang w:val="en-US" w:eastAsia="zh-CN"/>
        </w:rPr>
        <w:t xml:space="preserve">   </w:t>
      </w:r>
      <w:r>
        <w:rPr>
          <w:rFonts w:hint="eastAsia" w:ascii="宋体" w:hAnsi="宋体" w:cs="宋体"/>
          <w:sz w:val="24"/>
          <w:lang w:eastAsia="zh-CN"/>
        </w:rPr>
        <w:t>日</w:t>
      </w:r>
      <w:r>
        <w:rPr>
          <w:rFonts w:hint="eastAsia" w:ascii="宋体" w:hAnsi="宋体" w:cs="宋体"/>
          <w:sz w:val="24"/>
        </w:rPr>
        <w:t xml:space="preserve">           </w:t>
      </w:r>
      <w:bookmarkStart w:id="61" w:name="_Toc179632814"/>
      <w:bookmarkEnd w:id="61"/>
      <w:bookmarkStart w:id="62" w:name="_Toc247085880"/>
      <w:bookmarkEnd w:id="62"/>
      <w:bookmarkStart w:id="63" w:name="_Toc246996362"/>
      <w:bookmarkEnd w:id="63"/>
      <w:bookmarkStart w:id="64" w:name="_Toc528078071"/>
      <w:bookmarkEnd w:id="64"/>
      <w:bookmarkStart w:id="65" w:name="_Toc394651926"/>
      <w:bookmarkEnd w:id="65"/>
      <w:bookmarkStart w:id="66" w:name="_Hlk3282331"/>
      <w:bookmarkEnd w:id="66"/>
      <w:bookmarkStart w:id="67" w:name="_Toc244934213"/>
      <w:bookmarkEnd w:id="67"/>
      <w:bookmarkStart w:id="68" w:name="_Toc361989462"/>
      <w:bookmarkEnd w:id="68"/>
      <w:bookmarkStart w:id="69" w:name="_Toc152045794"/>
      <w:bookmarkEnd w:id="69"/>
      <w:bookmarkStart w:id="70" w:name="_Toc244934212"/>
      <w:bookmarkEnd w:id="70"/>
      <w:bookmarkStart w:id="71" w:name="_Toc144974862"/>
      <w:bookmarkEnd w:id="71"/>
      <w:bookmarkStart w:id="72" w:name="_Toc152042583"/>
      <w:bookmarkEnd w:id="72"/>
      <w:bookmarkStart w:id="73" w:name="_Toc361989463"/>
      <w:bookmarkEnd w:id="73"/>
      <w:bookmarkStart w:id="74" w:name="_Toc246997105"/>
      <w:bookmarkEnd w:id="74"/>
    </w:p>
    <w:p w14:paraId="14A6CAAE">
      <w:pPr>
        <w:spacing w:line="480" w:lineRule="exact"/>
        <w:jc w:val="center"/>
        <w:outlineLvl w:val="0"/>
        <w:rPr>
          <w:rFonts w:hint="eastAsia" w:ascii="宋体" w:hAnsi="宋体" w:eastAsia="宋体" w:cs="宋体"/>
          <w:b/>
          <w:color w:val="auto"/>
          <w:sz w:val="32"/>
          <w:szCs w:val="28"/>
          <w:lang w:eastAsia="zh-CN"/>
        </w:rPr>
      </w:pPr>
      <w:r>
        <w:rPr>
          <w:rFonts w:hint="eastAsia" w:ascii="宋体" w:hAnsi="宋体" w:cs="仿宋"/>
          <w:b/>
          <w:kern w:val="2"/>
          <w:sz w:val="24"/>
          <w:szCs w:val="24"/>
        </w:rPr>
        <w:br w:type="page"/>
      </w:r>
      <w:bookmarkStart w:id="75" w:name="_Toc3396"/>
      <w:bookmarkStart w:id="76" w:name="_Toc31521"/>
      <w:r>
        <w:rPr>
          <w:rFonts w:hint="eastAsia" w:ascii="宋体" w:hAnsi="宋体" w:eastAsia="宋体" w:cs="宋体"/>
          <w:b/>
          <w:color w:val="auto"/>
          <w:sz w:val="24"/>
          <w:szCs w:val="24"/>
          <w:lang w:eastAsia="zh-CN"/>
        </w:rPr>
        <w:t>四</w:t>
      </w:r>
      <w:r>
        <w:rPr>
          <w:rFonts w:hint="eastAsia" w:ascii="宋体" w:hAnsi="宋体" w:eastAsia="宋体" w:cs="宋体"/>
          <w:b/>
          <w:color w:val="auto"/>
          <w:sz w:val="24"/>
          <w:szCs w:val="24"/>
        </w:rPr>
        <w:t>、</w:t>
      </w:r>
      <w:r>
        <w:rPr>
          <w:rFonts w:hint="eastAsia" w:ascii="宋体" w:hAnsi="宋体" w:cs="宋体"/>
          <w:b/>
          <w:color w:val="auto"/>
          <w:sz w:val="24"/>
          <w:szCs w:val="24"/>
          <w:lang w:eastAsia="zh-CN"/>
        </w:rPr>
        <w:t>资格审查资料</w:t>
      </w:r>
      <w:bookmarkEnd w:id="75"/>
      <w:bookmarkEnd w:id="76"/>
    </w:p>
    <w:p w14:paraId="437FFC56">
      <w:pPr>
        <w:widowControl/>
        <w:spacing w:line="520" w:lineRule="atLeas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（一）</w:t>
      </w:r>
      <w:r>
        <w:rPr>
          <w:rFonts w:hint="eastAsia" w:ascii="宋体" w:hAnsi="宋体" w:cs="宋体"/>
          <w:b/>
          <w:bCs/>
          <w:color w:val="auto"/>
          <w:kern w:val="0"/>
          <w:sz w:val="24"/>
          <w:szCs w:val="24"/>
          <w:lang w:eastAsia="zh-CN"/>
        </w:rPr>
        <w:t>供应商</w:t>
      </w:r>
      <w:r>
        <w:rPr>
          <w:rFonts w:hint="eastAsia" w:ascii="宋体" w:hAnsi="宋体" w:eastAsia="宋体" w:cs="宋体"/>
          <w:b/>
          <w:bCs/>
          <w:color w:val="auto"/>
          <w:kern w:val="0"/>
          <w:sz w:val="24"/>
          <w:szCs w:val="24"/>
        </w:rPr>
        <w:t>基本情况表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1128"/>
        <w:gridCol w:w="790"/>
        <w:gridCol w:w="1109"/>
        <w:gridCol w:w="1210"/>
        <w:gridCol w:w="232"/>
        <w:gridCol w:w="1575"/>
      </w:tblGrid>
      <w:tr w14:paraId="78C7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7C33CC25">
            <w:pPr>
              <w:wordWrap w:val="0"/>
              <w:spacing w:line="360" w:lineRule="auto"/>
              <w:jc w:val="center"/>
              <w:rPr>
                <w:rFonts w:hint="eastAsia"/>
                <w:sz w:val="24"/>
              </w:rPr>
            </w:pPr>
            <w:bookmarkStart w:id="77" w:name="_Toc15473_WPSOffice_Level3"/>
            <w:r>
              <w:rPr>
                <w:rFonts w:hint="eastAsia"/>
                <w:sz w:val="24"/>
              </w:rPr>
              <w:t>供应商名称</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44EE21A3">
            <w:pPr>
              <w:wordWrap w:val="0"/>
              <w:spacing w:line="360" w:lineRule="auto"/>
              <w:rPr>
                <w:rFonts w:hint="eastAsia"/>
                <w:sz w:val="24"/>
              </w:rPr>
            </w:pPr>
          </w:p>
        </w:tc>
      </w:tr>
      <w:tr w14:paraId="5D45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0321244D">
            <w:pPr>
              <w:wordWrap w:val="0"/>
              <w:spacing w:line="360" w:lineRule="auto"/>
              <w:jc w:val="center"/>
              <w:rPr>
                <w:rFonts w:hint="eastAsia"/>
                <w:sz w:val="24"/>
              </w:rPr>
            </w:pPr>
            <w:r>
              <w:rPr>
                <w:rFonts w:hint="eastAsia"/>
                <w:sz w:val="24"/>
              </w:rPr>
              <w:t>注册地址</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14:paraId="0C6043CE">
            <w:pPr>
              <w:wordWrap w:val="0"/>
              <w:spacing w:line="360" w:lineRule="auto"/>
              <w:rPr>
                <w:rFonts w:hint="eastAsia"/>
                <w:sz w:val="24"/>
              </w:rPr>
            </w:pPr>
          </w:p>
        </w:tc>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55902262">
            <w:pPr>
              <w:wordWrap w:val="0"/>
              <w:spacing w:line="360" w:lineRule="auto"/>
              <w:jc w:val="center"/>
              <w:rPr>
                <w:rFonts w:hint="eastAsia"/>
                <w:sz w:val="24"/>
              </w:rPr>
            </w:pPr>
            <w:r>
              <w:rPr>
                <w:rFonts w:hint="eastAsia"/>
                <w:sz w:val="24"/>
              </w:rPr>
              <w:t>邮政编码</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45A1708">
            <w:pPr>
              <w:wordWrap w:val="0"/>
              <w:spacing w:line="360" w:lineRule="auto"/>
              <w:rPr>
                <w:rFonts w:hint="eastAsia"/>
                <w:sz w:val="24"/>
              </w:rPr>
            </w:pPr>
          </w:p>
        </w:tc>
      </w:tr>
      <w:tr w14:paraId="55BA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295" w:type="dxa"/>
            <w:vMerge w:val="restart"/>
            <w:tcBorders>
              <w:top w:val="single" w:color="auto" w:sz="4" w:space="0"/>
              <w:left w:val="single" w:color="auto" w:sz="4" w:space="0"/>
              <w:bottom w:val="single" w:color="auto" w:sz="4" w:space="0"/>
              <w:right w:val="single" w:color="auto" w:sz="4" w:space="0"/>
            </w:tcBorders>
            <w:noWrap w:val="0"/>
            <w:vAlign w:val="center"/>
          </w:tcPr>
          <w:p w14:paraId="37E856C7">
            <w:pPr>
              <w:wordWrap w:val="0"/>
              <w:spacing w:line="360" w:lineRule="auto"/>
              <w:jc w:val="center"/>
              <w:rPr>
                <w:rFonts w:hint="eastAsia"/>
                <w:sz w:val="24"/>
              </w:rPr>
            </w:pPr>
            <w:r>
              <w:rPr>
                <w:rFonts w:hint="eastAsia"/>
                <w:sz w:val="24"/>
              </w:rPr>
              <w:t>联系方式</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1FBCBB6">
            <w:pPr>
              <w:wordWrap w:val="0"/>
              <w:spacing w:line="360" w:lineRule="auto"/>
              <w:jc w:val="center"/>
              <w:rPr>
                <w:rFonts w:hint="eastAsia"/>
                <w:sz w:val="24"/>
              </w:rPr>
            </w:pPr>
            <w:r>
              <w:rPr>
                <w:rFonts w:hint="eastAsia"/>
                <w:sz w:val="24"/>
              </w:rPr>
              <w:t>联系人</w:t>
            </w:r>
          </w:p>
        </w:tc>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164C8887">
            <w:pPr>
              <w:wordWrap w:val="0"/>
              <w:spacing w:line="360" w:lineRule="auto"/>
              <w:jc w:val="both"/>
              <w:rPr>
                <w:rFonts w:hint="eastAsia"/>
                <w:sz w:val="24"/>
              </w:rPr>
            </w:pPr>
          </w:p>
        </w:tc>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4560501A">
            <w:pPr>
              <w:wordWrap w:val="0"/>
              <w:spacing w:line="360" w:lineRule="auto"/>
              <w:jc w:val="center"/>
              <w:rPr>
                <w:rFonts w:hint="eastAsia"/>
                <w:sz w:val="24"/>
              </w:rPr>
            </w:pPr>
            <w:r>
              <w:rPr>
                <w:rFonts w:hint="eastAsia"/>
                <w:sz w:val="24"/>
              </w:rPr>
              <w:t>电话</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B938260">
            <w:pPr>
              <w:wordWrap w:val="0"/>
              <w:spacing w:line="360" w:lineRule="auto"/>
              <w:jc w:val="center"/>
              <w:rPr>
                <w:rFonts w:hint="eastAsia"/>
                <w:sz w:val="24"/>
              </w:rPr>
            </w:pPr>
          </w:p>
        </w:tc>
      </w:tr>
      <w:tr w14:paraId="598C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2295" w:type="dxa"/>
            <w:vMerge w:val="continue"/>
            <w:tcBorders>
              <w:top w:val="single" w:color="auto" w:sz="4" w:space="0"/>
              <w:left w:val="single" w:color="auto" w:sz="4" w:space="0"/>
              <w:bottom w:val="single" w:color="auto" w:sz="4" w:space="0"/>
              <w:right w:val="single" w:color="auto" w:sz="4" w:space="0"/>
            </w:tcBorders>
            <w:noWrap w:val="0"/>
            <w:vAlign w:val="center"/>
          </w:tcPr>
          <w:p w14:paraId="664CE167">
            <w:pPr>
              <w:jc w:val="center"/>
              <w:rPr>
                <w:rFonts w:hint="eastAsia"/>
              </w:rPr>
            </w:pPr>
          </w:p>
        </w:tc>
        <w:tc>
          <w:tcPr>
            <w:tcW w:w="1128" w:type="dxa"/>
            <w:tcBorders>
              <w:top w:val="single" w:color="auto" w:sz="4" w:space="0"/>
              <w:left w:val="single" w:color="auto" w:sz="4" w:space="0"/>
              <w:bottom w:val="single" w:color="auto" w:sz="4" w:space="0"/>
              <w:right w:val="single" w:color="auto" w:sz="4" w:space="0"/>
            </w:tcBorders>
            <w:noWrap w:val="0"/>
            <w:vAlign w:val="center"/>
          </w:tcPr>
          <w:p w14:paraId="073F8515">
            <w:pPr>
              <w:wordWrap w:val="0"/>
              <w:spacing w:line="360" w:lineRule="auto"/>
              <w:jc w:val="center"/>
              <w:rPr>
                <w:rFonts w:hint="eastAsia"/>
                <w:sz w:val="24"/>
              </w:rPr>
            </w:pPr>
            <w:r>
              <w:rPr>
                <w:rFonts w:hint="eastAsia"/>
                <w:sz w:val="24"/>
              </w:rPr>
              <w:t>传真</w:t>
            </w:r>
          </w:p>
        </w:tc>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58833ADE">
            <w:pPr>
              <w:wordWrap w:val="0"/>
              <w:spacing w:line="360" w:lineRule="auto"/>
              <w:jc w:val="both"/>
              <w:rPr>
                <w:rFonts w:hint="eastAsia"/>
                <w:sz w:val="24"/>
              </w:rPr>
            </w:pPr>
          </w:p>
        </w:tc>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11EBC967">
            <w:pPr>
              <w:wordWrap w:val="0"/>
              <w:spacing w:line="360" w:lineRule="auto"/>
              <w:jc w:val="center"/>
              <w:rPr>
                <w:rFonts w:hint="eastAsia"/>
                <w:sz w:val="24"/>
              </w:rPr>
            </w:pPr>
            <w:r>
              <w:rPr>
                <w:rFonts w:hint="eastAsia"/>
                <w:sz w:val="24"/>
              </w:rPr>
              <w:t>网址</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6E28F14">
            <w:pPr>
              <w:wordWrap w:val="0"/>
              <w:spacing w:line="360" w:lineRule="auto"/>
              <w:jc w:val="center"/>
              <w:rPr>
                <w:rFonts w:hint="eastAsia"/>
                <w:sz w:val="24"/>
              </w:rPr>
            </w:pPr>
          </w:p>
        </w:tc>
      </w:tr>
      <w:tr w14:paraId="129A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3944A465">
            <w:pPr>
              <w:wordWrap w:val="0"/>
              <w:spacing w:line="360" w:lineRule="auto"/>
              <w:jc w:val="center"/>
              <w:rPr>
                <w:rFonts w:hint="eastAsia"/>
                <w:sz w:val="24"/>
              </w:rPr>
            </w:pPr>
            <w:r>
              <w:rPr>
                <w:rFonts w:hint="eastAsia"/>
                <w:sz w:val="24"/>
              </w:rPr>
              <w:t>组织结构</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23E9F5C2">
            <w:pPr>
              <w:tabs>
                <w:tab w:val="left" w:pos="4776"/>
              </w:tabs>
              <w:wordWrap w:val="0"/>
              <w:spacing w:line="360" w:lineRule="auto"/>
              <w:jc w:val="center"/>
              <w:rPr>
                <w:rFonts w:hint="eastAsia"/>
                <w:sz w:val="24"/>
              </w:rPr>
            </w:pPr>
          </w:p>
        </w:tc>
      </w:tr>
      <w:tr w14:paraId="06C1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698DCE48">
            <w:pPr>
              <w:wordWrap w:val="0"/>
              <w:spacing w:line="360" w:lineRule="auto"/>
              <w:jc w:val="center"/>
              <w:rPr>
                <w:rFonts w:hint="eastAsia"/>
                <w:sz w:val="24"/>
                <w:lang w:eastAsia="zh-CN"/>
              </w:rPr>
            </w:pPr>
            <w:r>
              <w:rPr>
                <w:rFonts w:hint="eastAsia"/>
                <w:sz w:val="24"/>
                <w:lang w:eastAsia="zh-CN"/>
              </w:rPr>
              <w:t>法定代表人</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8F4CB42">
            <w:pPr>
              <w:wordWrap w:val="0"/>
              <w:spacing w:line="360" w:lineRule="auto"/>
              <w:jc w:val="center"/>
              <w:rPr>
                <w:rFonts w:hint="eastAsia"/>
                <w:sz w:val="24"/>
                <w:lang w:eastAsia="zh-CN"/>
              </w:rPr>
            </w:pPr>
            <w:r>
              <w:rPr>
                <w:rFonts w:hint="eastAsia"/>
                <w:sz w:val="24"/>
                <w:lang w:eastAsia="zh-CN"/>
              </w:rPr>
              <w:t>姓名</w:t>
            </w:r>
          </w:p>
        </w:tc>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0ABE6F94">
            <w:pPr>
              <w:wordWrap w:val="0"/>
              <w:spacing w:line="360" w:lineRule="auto"/>
              <w:jc w:val="center"/>
              <w:rPr>
                <w:rFonts w:hint="eastAsia"/>
                <w:sz w:val="24"/>
                <w:lang w:eastAsia="zh-CN"/>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8784C6C">
            <w:pPr>
              <w:wordWrap w:val="0"/>
              <w:spacing w:line="360" w:lineRule="auto"/>
              <w:jc w:val="center"/>
              <w:rPr>
                <w:rFonts w:hint="eastAsia"/>
                <w:sz w:val="24"/>
                <w:lang w:eastAsia="zh-CN"/>
              </w:rPr>
            </w:pPr>
            <w:r>
              <w:rPr>
                <w:rFonts w:hint="eastAsia"/>
                <w:sz w:val="24"/>
                <w:lang w:eastAsia="zh-CN"/>
              </w:rPr>
              <w:t>电话</w:t>
            </w:r>
          </w:p>
        </w:tc>
        <w:tc>
          <w:tcPr>
            <w:tcW w:w="1807" w:type="dxa"/>
            <w:gridSpan w:val="2"/>
            <w:tcBorders>
              <w:top w:val="single" w:color="auto" w:sz="4" w:space="0"/>
              <w:left w:val="single" w:color="auto" w:sz="4" w:space="0"/>
              <w:bottom w:val="single" w:color="auto" w:sz="4" w:space="0"/>
              <w:right w:val="single" w:color="auto" w:sz="4" w:space="0"/>
            </w:tcBorders>
            <w:noWrap w:val="0"/>
            <w:vAlign w:val="bottom"/>
          </w:tcPr>
          <w:p w14:paraId="1EC08AEA">
            <w:pPr>
              <w:wordWrap w:val="0"/>
              <w:spacing w:line="360" w:lineRule="auto"/>
              <w:jc w:val="center"/>
              <w:rPr>
                <w:rFonts w:hint="eastAsia"/>
                <w:sz w:val="24"/>
              </w:rPr>
            </w:pPr>
          </w:p>
        </w:tc>
      </w:tr>
      <w:tr w14:paraId="1797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589CEA2A">
            <w:pPr>
              <w:wordWrap w:val="0"/>
              <w:spacing w:line="360" w:lineRule="auto"/>
              <w:jc w:val="center"/>
              <w:rPr>
                <w:rFonts w:hint="eastAsia"/>
                <w:sz w:val="24"/>
                <w:lang w:val="zh-CN" w:eastAsia="zh-CN"/>
              </w:rPr>
            </w:pPr>
            <w:r>
              <w:rPr>
                <w:rFonts w:hint="eastAsia"/>
                <w:sz w:val="24"/>
                <w:lang w:eastAsia="zh-CN"/>
              </w:rPr>
              <w:t>项目</w:t>
            </w:r>
            <w:r>
              <w:rPr>
                <w:rFonts w:hint="eastAsia"/>
                <w:sz w:val="24"/>
              </w:rPr>
              <w:t>负责人</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0CD96CE4">
            <w:pPr>
              <w:wordWrap w:val="0"/>
              <w:spacing w:line="360" w:lineRule="auto"/>
              <w:jc w:val="center"/>
              <w:rPr>
                <w:rFonts w:hint="eastAsia"/>
                <w:sz w:val="24"/>
                <w:lang w:val="zh-CN" w:eastAsia="zh-CN"/>
              </w:rPr>
            </w:pPr>
            <w:r>
              <w:rPr>
                <w:rFonts w:hint="eastAsia"/>
                <w:sz w:val="24"/>
              </w:rPr>
              <w:t>姓名</w:t>
            </w:r>
          </w:p>
        </w:tc>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2A35FE72">
            <w:pPr>
              <w:wordWrap w:val="0"/>
              <w:spacing w:line="360" w:lineRule="auto"/>
              <w:jc w:val="center"/>
              <w:rPr>
                <w:rFonts w:hint="eastAsia"/>
                <w:sz w:val="24"/>
                <w:lang w:val="zh-CN" w:eastAsia="zh-CN"/>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A42B993">
            <w:pPr>
              <w:wordWrap w:val="0"/>
              <w:spacing w:line="360" w:lineRule="auto"/>
              <w:jc w:val="center"/>
              <w:rPr>
                <w:rFonts w:hint="eastAsia"/>
                <w:sz w:val="24"/>
                <w:lang w:val="zh-CN" w:eastAsia="zh-CN"/>
              </w:rPr>
            </w:pPr>
            <w:r>
              <w:rPr>
                <w:rFonts w:hint="eastAsia"/>
                <w:sz w:val="24"/>
              </w:rPr>
              <w:t>电话</w:t>
            </w:r>
          </w:p>
        </w:tc>
        <w:tc>
          <w:tcPr>
            <w:tcW w:w="1807" w:type="dxa"/>
            <w:gridSpan w:val="2"/>
            <w:tcBorders>
              <w:top w:val="single" w:color="auto" w:sz="4" w:space="0"/>
              <w:left w:val="single" w:color="auto" w:sz="4" w:space="0"/>
              <w:bottom w:val="single" w:color="auto" w:sz="4" w:space="0"/>
              <w:right w:val="single" w:color="auto" w:sz="4" w:space="0"/>
            </w:tcBorders>
            <w:noWrap w:val="0"/>
            <w:vAlign w:val="center"/>
          </w:tcPr>
          <w:p w14:paraId="29C76D87">
            <w:pPr>
              <w:wordWrap w:val="0"/>
              <w:spacing w:line="360" w:lineRule="auto"/>
              <w:jc w:val="center"/>
              <w:rPr>
                <w:rFonts w:hint="eastAsia"/>
                <w:sz w:val="24"/>
              </w:rPr>
            </w:pPr>
          </w:p>
        </w:tc>
      </w:tr>
      <w:tr w14:paraId="772A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06E3133C">
            <w:pPr>
              <w:wordWrap w:val="0"/>
              <w:spacing w:line="360" w:lineRule="auto"/>
              <w:jc w:val="center"/>
              <w:rPr>
                <w:rFonts w:hint="eastAsia"/>
                <w:sz w:val="24"/>
              </w:rPr>
            </w:pPr>
            <w:r>
              <w:rPr>
                <w:rFonts w:hint="eastAsia"/>
                <w:sz w:val="24"/>
              </w:rPr>
              <w:t>成立时间</w:t>
            </w:r>
          </w:p>
        </w:tc>
        <w:tc>
          <w:tcPr>
            <w:tcW w:w="1918" w:type="dxa"/>
            <w:gridSpan w:val="2"/>
            <w:tcBorders>
              <w:top w:val="single" w:color="auto" w:sz="4" w:space="0"/>
              <w:left w:val="single" w:color="auto" w:sz="4" w:space="0"/>
              <w:bottom w:val="single" w:color="auto" w:sz="4" w:space="0"/>
              <w:right w:val="single" w:color="auto" w:sz="4" w:space="0"/>
            </w:tcBorders>
            <w:noWrap w:val="0"/>
            <w:vAlign w:val="center"/>
          </w:tcPr>
          <w:p w14:paraId="197E4D28">
            <w:pPr>
              <w:wordWrap w:val="0"/>
              <w:spacing w:line="360" w:lineRule="auto"/>
              <w:rPr>
                <w:rFonts w:hint="eastAsia"/>
                <w:sz w:val="24"/>
              </w:rPr>
            </w:pPr>
          </w:p>
        </w:tc>
        <w:tc>
          <w:tcPr>
            <w:tcW w:w="2319" w:type="dxa"/>
            <w:gridSpan w:val="2"/>
            <w:tcBorders>
              <w:top w:val="single" w:color="auto" w:sz="4" w:space="0"/>
              <w:left w:val="single" w:color="auto" w:sz="4" w:space="0"/>
              <w:bottom w:val="single" w:color="auto" w:sz="4" w:space="0"/>
              <w:right w:val="single" w:color="auto" w:sz="4" w:space="0"/>
            </w:tcBorders>
            <w:noWrap w:val="0"/>
            <w:vAlign w:val="center"/>
          </w:tcPr>
          <w:p w14:paraId="10B65CD8">
            <w:pPr>
              <w:wordWrap w:val="0"/>
              <w:spacing w:line="360" w:lineRule="auto"/>
              <w:jc w:val="center"/>
              <w:rPr>
                <w:rFonts w:hint="eastAsia"/>
                <w:sz w:val="24"/>
              </w:rPr>
            </w:pPr>
            <w:r>
              <w:rPr>
                <w:rFonts w:hint="eastAsia"/>
                <w:sz w:val="24"/>
              </w:rPr>
              <w:t>员工总人数：</w:t>
            </w:r>
          </w:p>
        </w:tc>
        <w:tc>
          <w:tcPr>
            <w:tcW w:w="1807" w:type="dxa"/>
            <w:gridSpan w:val="2"/>
            <w:tcBorders>
              <w:top w:val="single" w:color="auto" w:sz="4" w:space="0"/>
              <w:left w:val="single" w:color="auto" w:sz="4" w:space="0"/>
              <w:bottom w:val="single" w:color="auto" w:sz="4" w:space="0"/>
              <w:right w:val="single" w:color="auto" w:sz="4" w:space="0"/>
            </w:tcBorders>
            <w:noWrap w:val="0"/>
            <w:vAlign w:val="center"/>
          </w:tcPr>
          <w:p w14:paraId="3A7318BC">
            <w:pPr>
              <w:wordWrap w:val="0"/>
              <w:spacing w:line="360" w:lineRule="auto"/>
              <w:rPr>
                <w:rFonts w:hint="eastAsia"/>
                <w:sz w:val="24"/>
              </w:rPr>
            </w:pPr>
          </w:p>
        </w:tc>
      </w:tr>
      <w:tr w14:paraId="1685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109A8A06">
            <w:pPr>
              <w:wordWrap w:val="0"/>
              <w:spacing w:line="360" w:lineRule="auto"/>
              <w:jc w:val="center"/>
              <w:rPr>
                <w:rFonts w:hint="eastAsia"/>
                <w:sz w:val="24"/>
              </w:rPr>
            </w:pPr>
            <w:r>
              <w:rPr>
                <w:rFonts w:hint="eastAsia" w:ascii="Times New Roman" w:hAnsi="Times New Roman" w:eastAsia="宋体" w:cs="Times New Roman"/>
                <w:sz w:val="24"/>
              </w:rPr>
              <w:t>统一社会信用代码</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49B7EC56">
            <w:pPr>
              <w:wordWrap w:val="0"/>
              <w:spacing w:line="360" w:lineRule="auto"/>
              <w:rPr>
                <w:rFonts w:hint="eastAsia"/>
                <w:sz w:val="24"/>
              </w:rPr>
            </w:pPr>
          </w:p>
        </w:tc>
      </w:tr>
      <w:tr w14:paraId="3EBB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4AB26864">
            <w:pPr>
              <w:wordWrap w:val="0"/>
              <w:spacing w:line="360" w:lineRule="auto"/>
              <w:jc w:val="center"/>
              <w:rPr>
                <w:rFonts w:hint="eastAsia"/>
                <w:sz w:val="24"/>
              </w:rPr>
            </w:pPr>
            <w:r>
              <w:rPr>
                <w:rFonts w:hint="eastAsia"/>
                <w:sz w:val="24"/>
              </w:rPr>
              <w:t>注册资金</w:t>
            </w:r>
          </w:p>
        </w:tc>
        <w:tc>
          <w:tcPr>
            <w:tcW w:w="1918" w:type="dxa"/>
            <w:gridSpan w:val="2"/>
            <w:tcBorders>
              <w:top w:val="single" w:color="auto" w:sz="4" w:space="0"/>
              <w:left w:val="single" w:color="auto" w:sz="4" w:space="0"/>
              <w:bottom w:val="single" w:color="auto" w:sz="4" w:space="0"/>
              <w:right w:val="single" w:color="auto" w:sz="4" w:space="0"/>
            </w:tcBorders>
            <w:noWrap w:val="0"/>
            <w:vAlign w:val="center"/>
          </w:tcPr>
          <w:p w14:paraId="6F4B1769">
            <w:pPr>
              <w:wordWrap w:val="0"/>
              <w:spacing w:line="360" w:lineRule="auto"/>
              <w:jc w:val="center"/>
              <w:rPr>
                <w:rFonts w:hint="eastAsia"/>
                <w:sz w:val="24"/>
              </w:rPr>
            </w:pPr>
          </w:p>
        </w:tc>
        <w:tc>
          <w:tcPr>
            <w:tcW w:w="2319" w:type="dxa"/>
            <w:gridSpan w:val="2"/>
            <w:tcBorders>
              <w:top w:val="single" w:color="auto" w:sz="4" w:space="0"/>
              <w:left w:val="single" w:color="auto" w:sz="4" w:space="0"/>
              <w:bottom w:val="single" w:color="auto" w:sz="4" w:space="0"/>
              <w:right w:val="single" w:color="auto" w:sz="4" w:space="0"/>
            </w:tcBorders>
            <w:noWrap w:val="0"/>
            <w:vAlign w:val="center"/>
          </w:tcPr>
          <w:p w14:paraId="735D7900">
            <w:pPr>
              <w:wordWrap w:val="0"/>
              <w:spacing w:line="360" w:lineRule="auto"/>
              <w:jc w:val="center"/>
              <w:rPr>
                <w:rFonts w:hint="eastAsia" w:eastAsia="宋体"/>
                <w:sz w:val="24"/>
                <w:lang w:eastAsia="zh-CN"/>
              </w:rPr>
            </w:pPr>
            <w:r>
              <w:rPr>
                <w:rFonts w:hint="eastAsia"/>
                <w:sz w:val="24"/>
              </w:rPr>
              <w:t>开户银行</w:t>
            </w:r>
            <w:r>
              <w:rPr>
                <w:rFonts w:hint="eastAsia"/>
                <w:sz w:val="24"/>
                <w:lang w:eastAsia="zh-CN"/>
              </w:rPr>
              <w:t>及户名</w:t>
            </w:r>
          </w:p>
        </w:tc>
        <w:tc>
          <w:tcPr>
            <w:tcW w:w="1807" w:type="dxa"/>
            <w:gridSpan w:val="2"/>
            <w:tcBorders>
              <w:top w:val="single" w:color="auto" w:sz="4" w:space="0"/>
              <w:left w:val="single" w:color="auto" w:sz="4" w:space="0"/>
              <w:bottom w:val="single" w:color="auto" w:sz="4" w:space="0"/>
              <w:right w:val="single" w:color="auto" w:sz="4" w:space="0"/>
            </w:tcBorders>
            <w:noWrap w:val="0"/>
            <w:vAlign w:val="center"/>
          </w:tcPr>
          <w:p w14:paraId="37CD2B0E">
            <w:pPr>
              <w:wordWrap w:val="0"/>
              <w:spacing w:line="360" w:lineRule="auto"/>
              <w:rPr>
                <w:rFonts w:hint="eastAsia"/>
                <w:sz w:val="24"/>
              </w:rPr>
            </w:pPr>
          </w:p>
        </w:tc>
      </w:tr>
      <w:tr w14:paraId="11E4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51640220">
            <w:pPr>
              <w:wordWrap w:val="0"/>
              <w:spacing w:line="360" w:lineRule="auto"/>
              <w:jc w:val="center"/>
              <w:rPr>
                <w:rFonts w:hint="eastAsia"/>
                <w:sz w:val="24"/>
              </w:rPr>
            </w:pPr>
            <w:r>
              <w:rPr>
                <w:rFonts w:hint="eastAsia"/>
                <w:sz w:val="24"/>
              </w:rPr>
              <w:t>账号</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0279DF08">
            <w:pPr>
              <w:wordWrap w:val="0"/>
              <w:spacing w:line="360" w:lineRule="auto"/>
              <w:rPr>
                <w:rFonts w:hint="eastAsia"/>
                <w:sz w:val="24"/>
              </w:rPr>
            </w:pPr>
          </w:p>
        </w:tc>
      </w:tr>
      <w:tr w14:paraId="3F34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59E8F027">
            <w:pPr>
              <w:wordWrap w:val="0"/>
              <w:spacing w:line="360" w:lineRule="auto"/>
              <w:jc w:val="center"/>
              <w:rPr>
                <w:rFonts w:hint="eastAsia"/>
                <w:sz w:val="24"/>
              </w:rPr>
            </w:pPr>
            <w:r>
              <w:rPr>
                <w:rFonts w:hint="eastAsia"/>
                <w:sz w:val="24"/>
              </w:rPr>
              <w:t>经营范围</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35E7409E">
            <w:pPr>
              <w:wordWrap w:val="0"/>
              <w:spacing w:line="360" w:lineRule="auto"/>
              <w:rPr>
                <w:rFonts w:hint="eastAsia"/>
                <w:sz w:val="24"/>
              </w:rPr>
            </w:pPr>
          </w:p>
          <w:p w14:paraId="231864E0">
            <w:pPr>
              <w:pStyle w:val="31"/>
              <w:ind w:left="0" w:leftChars="0" w:firstLine="0" w:firstLineChars="0"/>
              <w:rPr>
                <w:rFonts w:hint="eastAsia"/>
                <w:sz w:val="24"/>
              </w:rPr>
            </w:pPr>
          </w:p>
          <w:p w14:paraId="6A0875B6">
            <w:pPr>
              <w:pStyle w:val="31"/>
              <w:rPr>
                <w:rFonts w:hint="eastAsia"/>
                <w:sz w:val="24"/>
              </w:rPr>
            </w:pPr>
          </w:p>
          <w:p w14:paraId="144A20B2">
            <w:pPr>
              <w:pStyle w:val="31"/>
              <w:rPr>
                <w:rFonts w:hint="eastAsia"/>
                <w:sz w:val="24"/>
              </w:rPr>
            </w:pPr>
          </w:p>
        </w:tc>
      </w:tr>
      <w:bookmarkEnd w:id="77"/>
    </w:tbl>
    <w:p w14:paraId="0ADC1DD7">
      <w:pPr>
        <w:pStyle w:val="26"/>
        <w:numPr>
          <w:ilvl w:val="0"/>
          <w:numId w:val="0"/>
        </w:numPr>
        <w:jc w:val="center"/>
        <w:rPr>
          <w:rFonts w:hint="eastAsia" w:ascii="宋体" w:hAnsi="宋体" w:eastAsia="宋体" w:cs="Times New Roman"/>
          <w:b/>
          <w:bCs/>
          <w:color w:val="auto"/>
          <w:sz w:val="28"/>
          <w:szCs w:val="28"/>
          <w:lang w:val="en-US" w:eastAsia="zh-CN"/>
        </w:rPr>
      </w:pPr>
      <w:r>
        <w:rPr>
          <w:rFonts w:hint="eastAsia" w:ascii="宋体" w:hAnsi="宋体" w:eastAsia="宋体" w:cs="Times New Roman"/>
          <w:b/>
          <w:bCs/>
          <w:color w:val="auto"/>
          <w:sz w:val="28"/>
          <w:szCs w:val="28"/>
          <w:lang w:val="en-US" w:eastAsia="zh-CN"/>
        </w:rPr>
        <w:t>（二）</w:t>
      </w:r>
      <w:bookmarkStart w:id="78" w:name="_Toc269219206"/>
      <w:bookmarkEnd w:id="78"/>
    </w:p>
    <w:p w14:paraId="6330CF3D">
      <w:pPr>
        <w:pStyle w:val="26"/>
        <w:keepNext w:val="0"/>
        <w:keepLines w:val="0"/>
        <w:pageBreakBefore w:val="0"/>
        <w:numPr>
          <w:ilvl w:val="0"/>
          <w:numId w:val="0"/>
        </w:numPr>
        <w:kinsoku/>
        <w:overflowPunct/>
        <w:topLinePunct w:val="0"/>
        <w:autoSpaceDE/>
        <w:autoSpaceDN/>
        <w:bidi w:val="0"/>
        <w:adjustRightInd/>
        <w:snapToGrid/>
        <w:spacing w:line="500" w:lineRule="exact"/>
        <w:jc w:val="center"/>
        <w:textAlignment w:val="auto"/>
        <w:rPr>
          <w:rFonts w:hint="eastAsia" w:ascii="宋体" w:hAnsi="宋体" w:eastAsia="宋体" w:cs="Times New Roman"/>
          <w:b/>
          <w:bCs/>
          <w:color w:val="auto"/>
          <w:sz w:val="28"/>
          <w:szCs w:val="28"/>
          <w:lang w:val="en-US" w:eastAsia="zh-CN"/>
        </w:rPr>
      </w:pPr>
    </w:p>
    <w:p w14:paraId="607A0DA7">
      <w:pPr>
        <w:pStyle w:val="26"/>
        <w:keepNext w:val="0"/>
        <w:keepLines w:val="0"/>
        <w:pageBreakBefore w:val="0"/>
        <w:numPr>
          <w:ilvl w:val="0"/>
          <w:numId w:val="0"/>
        </w:numPr>
        <w:kinsoku/>
        <w:overflowPunct/>
        <w:topLinePunct w:val="0"/>
        <w:autoSpaceDE/>
        <w:autoSpaceDN/>
        <w:bidi w:val="0"/>
        <w:adjustRightInd/>
        <w:snapToGrid/>
        <w:spacing w:line="500" w:lineRule="exact"/>
        <w:jc w:val="center"/>
        <w:textAlignment w:val="auto"/>
        <w:rPr>
          <w:rFonts w:hint="default" w:ascii="宋体" w:hAnsi="宋体" w:eastAsia="宋体" w:cs="Times New Roman"/>
          <w:b/>
          <w:bCs/>
          <w:color w:val="auto"/>
          <w:sz w:val="28"/>
          <w:szCs w:val="28"/>
          <w:lang w:val="en-US" w:eastAsia="zh-CN"/>
        </w:rPr>
      </w:pPr>
      <w:r>
        <w:rPr>
          <w:rFonts w:hint="eastAsia" w:ascii="宋体" w:hAnsi="宋体" w:eastAsia="宋体" w:cs="Times New Roman"/>
          <w:b/>
          <w:bCs/>
          <w:color w:val="auto"/>
          <w:sz w:val="28"/>
          <w:szCs w:val="28"/>
          <w:lang w:val="en-US" w:eastAsia="zh-CN"/>
        </w:rPr>
        <w:t>满足《中华人民共和国政府采购法》第二十二条规定承诺书</w:t>
      </w:r>
    </w:p>
    <w:p w14:paraId="3C39723C">
      <w:pPr>
        <w:keepNext w:val="0"/>
        <w:keepLines w:val="0"/>
        <w:pageBreakBefore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cs="宋体"/>
          <w:sz w:val="24"/>
        </w:rPr>
      </w:pPr>
    </w:p>
    <w:p w14:paraId="34CE65EA">
      <w:pPr>
        <w:keepNext w:val="0"/>
        <w:keepLines w:val="0"/>
        <w:pageBreakBefore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（采购人）</w:t>
      </w:r>
      <w:r>
        <w:rPr>
          <w:rFonts w:hint="eastAsia" w:ascii="宋体" w:hAnsi="宋体" w:cs="宋体"/>
          <w:sz w:val="24"/>
        </w:rPr>
        <w:t>：</w:t>
      </w:r>
    </w:p>
    <w:p w14:paraId="05680995">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eastAsia="zh-CN"/>
        </w:rPr>
        <w:t>我</w:t>
      </w:r>
      <w:r>
        <w:rPr>
          <w:rFonts w:hint="eastAsia" w:ascii="宋体" w:hAnsi="宋体" w:eastAsia="宋体" w:cs="Times New Roman"/>
          <w:color w:val="auto"/>
          <w:sz w:val="24"/>
          <w:szCs w:val="24"/>
          <w:lang w:val="en-US" w:eastAsia="zh-CN"/>
        </w:rPr>
        <w:t>公司在参加</w:t>
      </w:r>
      <w:r>
        <w:rPr>
          <w:rFonts w:hint="eastAsia" w:ascii="宋体" w:hAnsi="宋体" w:cs="宋体"/>
          <w:sz w:val="24"/>
          <w:u w:val="single"/>
          <w:lang w:val="en-US" w:eastAsia="zh-CN"/>
        </w:rPr>
        <w:t xml:space="preserve">              </w:t>
      </w:r>
      <w:r>
        <w:rPr>
          <w:rFonts w:hint="eastAsia" w:ascii="宋体" w:hAnsi="宋体" w:cs="宋体"/>
          <w:sz w:val="24"/>
        </w:rPr>
        <w:t>（项目名称）</w:t>
      </w:r>
      <w:r>
        <w:rPr>
          <w:rFonts w:hint="eastAsia" w:ascii="宋体" w:hAnsi="宋体" w:cs="宋体"/>
          <w:sz w:val="24"/>
          <w:lang w:val="en-US" w:eastAsia="zh-CN"/>
        </w:rPr>
        <w:t>竞争性磋商活动中</w:t>
      </w:r>
      <w:r>
        <w:rPr>
          <w:rFonts w:hint="eastAsia" w:ascii="宋体" w:hAnsi="宋体" w:eastAsia="宋体" w:cs="Times New Roman"/>
          <w:color w:val="auto"/>
          <w:sz w:val="24"/>
          <w:szCs w:val="24"/>
          <w:lang w:eastAsia="zh-CN"/>
        </w:rPr>
        <w:t>承诺：</w:t>
      </w:r>
      <w:r>
        <w:rPr>
          <w:rFonts w:hint="eastAsia" w:ascii="宋体" w:hAnsi="宋体" w:eastAsia="宋体" w:cs="Times New Roman"/>
          <w:color w:val="auto"/>
          <w:sz w:val="24"/>
          <w:szCs w:val="24"/>
          <w:lang w:val="en-US" w:eastAsia="zh-CN"/>
        </w:rPr>
        <w:t>我公司符合</w:t>
      </w:r>
      <w:r>
        <w:rPr>
          <w:rFonts w:hint="eastAsia" w:ascii="宋体" w:hAnsi="宋体" w:eastAsia="宋体" w:cs="Times New Roman"/>
          <w:color w:val="auto"/>
          <w:sz w:val="24"/>
          <w:szCs w:val="24"/>
          <w:lang w:eastAsia="zh-CN"/>
        </w:rPr>
        <w:t>《中华人民共和国政府采购法》</w:t>
      </w:r>
      <w:r>
        <w:rPr>
          <w:rFonts w:hint="eastAsia" w:ascii="宋体" w:hAnsi="宋体" w:eastAsia="宋体" w:cs="Times New Roman"/>
          <w:color w:val="auto"/>
          <w:sz w:val="24"/>
          <w:szCs w:val="24"/>
          <w:lang w:val="en-US" w:eastAsia="zh-CN"/>
        </w:rPr>
        <w:t>第二十二条规定：</w:t>
      </w:r>
    </w:p>
    <w:p w14:paraId="0B92E095">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 xml:space="preserve">（一）具有独立承担民事责任的能力； </w:t>
      </w:r>
    </w:p>
    <w:p w14:paraId="508A1374">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（二）具有良好的商业信誉和健全的财务会计制度；</w:t>
      </w:r>
    </w:p>
    <w:p w14:paraId="079B1617">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（三）具有履行合同所必需的设备和专业技术能力；</w:t>
      </w:r>
    </w:p>
    <w:p w14:paraId="3FADB3C9">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（四）有依法缴纳税收和社会保障资金的良好记录；</w:t>
      </w:r>
    </w:p>
    <w:p w14:paraId="77D73674">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（五）我单位参加本次采购活动前三年内，在经营活动中没有重大违法记录。（重大违法记录，是指供应商因违法经营受到刑事处罚或者责令停产停业、吊销许可证或者执照、较大数额罚款等行政处罚。）</w:t>
      </w:r>
    </w:p>
    <w:p w14:paraId="762BC529">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hAnsi="宋体" w:eastAsia="宋体" w:cs="Times New Roman"/>
          <w:color w:val="auto"/>
          <w:sz w:val="24"/>
          <w:szCs w:val="24"/>
          <w:lang w:val="en-US" w:eastAsia="zh-CN"/>
        </w:rPr>
      </w:pPr>
      <w:bookmarkStart w:id="79" w:name="_Toc23761"/>
      <w:bookmarkStart w:id="80" w:name="_Toc22137"/>
      <w:bookmarkStart w:id="81" w:name="_Toc5741"/>
      <w:r>
        <w:rPr>
          <w:rFonts w:hint="eastAsia" w:ascii="宋体" w:hAnsi="宋体" w:eastAsia="宋体" w:cs="Times New Roman"/>
          <w:color w:val="auto"/>
          <w:sz w:val="24"/>
          <w:szCs w:val="24"/>
          <w:lang w:val="en-US" w:eastAsia="zh-CN"/>
        </w:rPr>
        <w:t>（六）我单位具备法律、行政法规规定的其他条件。</w:t>
      </w:r>
      <w:bookmarkEnd w:id="79"/>
      <w:bookmarkEnd w:id="80"/>
      <w:bookmarkEnd w:id="81"/>
    </w:p>
    <w:p w14:paraId="51367866">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7ED16CA6">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特此承诺！</w:t>
      </w:r>
    </w:p>
    <w:p w14:paraId="5F37BAE2">
      <w:pPr>
        <w:pStyle w:val="12"/>
        <w:keepNext w:val="0"/>
        <w:keepLines w:val="0"/>
        <w:widowControl/>
        <w:suppressLineNumbers w:val="0"/>
        <w:spacing w:before="150" w:beforeAutospacing="0" w:line="450" w:lineRule="atLeast"/>
        <w:rPr>
          <w:rFonts w:hint="eastAsia" w:ascii="宋体" w:hAnsi="宋体" w:eastAsia="宋体" w:cs="Times New Roman"/>
          <w:color w:val="auto"/>
          <w:sz w:val="24"/>
          <w:szCs w:val="24"/>
          <w:lang w:val="en-US" w:eastAsia="zh-CN"/>
        </w:rPr>
      </w:pPr>
    </w:p>
    <w:p w14:paraId="0A07D304">
      <w:pPr>
        <w:pStyle w:val="12"/>
        <w:keepNext w:val="0"/>
        <w:keepLines w:val="0"/>
        <w:widowControl/>
        <w:suppressLineNumbers w:val="0"/>
        <w:spacing w:before="150" w:beforeAutospacing="0" w:line="450" w:lineRule="atLeast"/>
        <w:rPr>
          <w:rFonts w:hint="default" w:ascii="宋体" w:hAnsi="宋体" w:eastAsia="宋体" w:cs="Times New Roman"/>
          <w:color w:val="auto"/>
          <w:sz w:val="24"/>
          <w:szCs w:val="24"/>
          <w:lang w:val="en-US" w:eastAsia="zh-CN"/>
        </w:rPr>
      </w:pPr>
    </w:p>
    <w:p w14:paraId="7E699B47">
      <w:pPr>
        <w:wordWrap w:val="0"/>
        <w:spacing w:line="360" w:lineRule="auto"/>
        <w:ind w:firstLine="480" w:firstLineChars="200"/>
        <w:jc w:val="right"/>
        <w:rPr>
          <w:rFonts w:hint="eastAsia" w:ascii="宋体" w:hAnsi="宋体" w:cs="宋体"/>
          <w:sz w:val="24"/>
        </w:rPr>
      </w:pPr>
      <w:r>
        <w:rPr>
          <w:rFonts w:hint="eastAsia" w:ascii="宋体" w:hAnsi="宋体" w:cs="宋体"/>
          <w:sz w:val="24"/>
        </w:rPr>
        <w:t>供应商名称：</w:t>
      </w:r>
      <w:r>
        <w:rPr>
          <w:rFonts w:hint="eastAsia" w:ascii="宋体" w:hAnsi="宋体"/>
          <w:kern w:val="2"/>
          <w:sz w:val="24"/>
          <w:szCs w:val="24"/>
          <w:u w:val="single"/>
          <w:lang w:val="en-US" w:eastAsia="zh-CN"/>
        </w:rPr>
        <w:t xml:space="preserve">       </w:t>
      </w:r>
      <w:r>
        <w:rPr>
          <w:rFonts w:hint="eastAsia" w:ascii="宋体" w:hAnsi="宋体" w:cs="宋体"/>
          <w:sz w:val="24"/>
        </w:rPr>
        <w:t xml:space="preserve"> （</w:t>
      </w:r>
      <w:r>
        <w:rPr>
          <w:rFonts w:hint="eastAsia" w:ascii="宋体" w:hAnsi="宋体" w:cs="宋体"/>
          <w:sz w:val="24"/>
          <w:lang w:eastAsia="zh-CN"/>
        </w:rPr>
        <w:t>公章电子</w:t>
      </w:r>
      <w:r>
        <w:rPr>
          <w:rFonts w:hint="eastAsia" w:ascii="宋体" w:hAnsi="宋体" w:cs="宋体"/>
          <w:sz w:val="24"/>
        </w:rPr>
        <w:t>签章）</w:t>
      </w:r>
    </w:p>
    <w:p w14:paraId="669C3B91">
      <w:pPr>
        <w:wordWrap w:val="0"/>
        <w:spacing w:line="360" w:lineRule="auto"/>
        <w:ind w:firstLine="480" w:firstLineChars="200"/>
        <w:jc w:val="right"/>
        <w:rPr>
          <w:rFonts w:hint="eastAsia" w:ascii="宋体" w:hAnsi="宋体" w:cs="宋体"/>
          <w:sz w:val="24"/>
        </w:rPr>
      </w:pPr>
      <w:r>
        <w:rPr>
          <w:rFonts w:hint="eastAsia" w:ascii="宋体" w:hAnsi="宋体" w:cs="宋体"/>
          <w:sz w:val="24"/>
        </w:rPr>
        <w:t>法定代表人：</w:t>
      </w:r>
      <w:r>
        <w:rPr>
          <w:rFonts w:hint="eastAsia" w:ascii="宋体" w:hAnsi="宋体"/>
          <w:kern w:val="2"/>
          <w:sz w:val="24"/>
          <w:szCs w:val="24"/>
          <w:u w:val="single"/>
          <w:lang w:val="en-US" w:eastAsia="zh-CN"/>
        </w:rPr>
        <w:t xml:space="preserve">       </w:t>
      </w:r>
      <w:r>
        <w:rPr>
          <w:rFonts w:hint="eastAsia" w:ascii="宋体" w:hAnsi="宋体" w:cs="宋体"/>
          <w:sz w:val="24"/>
        </w:rPr>
        <w:t xml:space="preserve"> （法人</w:t>
      </w:r>
      <w:r>
        <w:rPr>
          <w:rFonts w:hint="eastAsia" w:ascii="宋体" w:hAnsi="宋体" w:cs="宋体"/>
          <w:sz w:val="24"/>
          <w:lang w:eastAsia="zh-CN"/>
        </w:rPr>
        <w:t>电子</w:t>
      </w:r>
      <w:r>
        <w:rPr>
          <w:rFonts w:hint="eastAsia" w:ascii="宋体" w:hAnsi="宋体" w:cs="宋体"/>
          <w:sz w:val="24"/>
        </w:rPr>
        <w:t>签章）</w:t>
      </w:r>
    </w:p>
    <w:p w14:paraId="6238191A">
      <w:pPr>
        <w:widowControl w:val="0"/>
        <w:spacing w:line="360" w:lineRule="auto"/>
        <w:jc w:val="center"/>
        <w:rPr>
          <w:rFonts w:hint="eastAsia" w:ascii="宋体" w:hAnsi="宋体" w:cs="宋体"/>
          <w:b/>
          <w:sz w:val="24"/>
          <w:szCs w:val="24"/>
        </w:rPr>
        <w:sectPr>
          <w:pgSz w:w="11906" w:h="16838"/>
          <w:pgMar w:top="1440" w:right="1417" w:bottom="1440"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宋体"/>
          <w:sz w:val="24"/>
          <w:lang w:val="en-US" w:eastAsia="zh-CN"/>
        </w:rPr>
        <w:t xml:space="preserve">                                     </w:t>
      </w:r>
      <w:r>
        <w:rPr>
          <w:rFonts w:hint="eastAsia" w:ascii="宋体" w:hAnsi="宋体" w:cs="宋体"/>
          <w:sz w:val="24"/>
        </w:rPr>
        <w:t xml:space="preserve">日期：   </w:t>
      </w:r>
      <w:r>
        <w:rPr>
          <w:rFonts w:hint="eastAsia" w:ascii="宋体" w:hAnsi="宋体" w:cs="宋体"/>
          <w:sz w:val="24"/>
          <w:lang w:val="en-US" w:eastAsia="zh-CN"/>
        </w:rPr>
        <w:t xml:space="preserve"> </w:t>
      </w:r>
      <w:r>
        <w:rPr>
          <w:rFonts w:hint="eastAsia" w:ascii="宋体" w:hAnsi="宋体" w:cs="宋体"/>
          <w:sz w:val="24"/>
          <w:lang w:eastAsia="zh-CN"/>
        </w:rPr>
        <w:t>年</w:t>
      </w:r>
      <w:r>
        <w:rPr>
          <w:rFonts w:hint="eastAsia" w:ascii="宋体" w:hAnsi="宋体" w:cs="宋体"/>
          <w:sz w:val="24"/>
          <w:lang w:val="en-US" w:eastAsia="zh-CN"/>
        </w:rPr>
        <w:t xml:space="preserve">   </w:t>
      </w:r>
      <w:r>
        <w:rPr>
          <w:rFonts w:hint="eastAsia" w:ascii="宋体" w:hAnsi="宋体" w:cs="宋体"/>
          <w:sz w:val="24"/>
          <w:lang w:eastAsia="zh-CN"/>
        </w:rPr>
        <w:t>月</w:t>
      </w:r>
      <w:r>
        <w:rPr>
          <w:rFonts w:hint="eastAsia" w:ascii="宋体" w:hAnsi="宋体" w:cs="宋体"/>
          <w:sz w:val="24"/>
          <w:lang w:val="en-US" w:eastAsia="zh-CN"/>
        </w:rPr>
        <w:t xml:space="preserve">   </w:t>
      </w:r>
      <w:r>
        <w:rPr>
          <w:rFonts w:hint="eastAsia" w:ascii="宋体" w:hAnsi="宋体" w:cs="宋体"/>
          <w:sz w:val="24"/>
          <w:lang w:eastAsia="zh-CN"/>
        </w:rPr>
        <w:t>日</w:t>
      </w:r>
      <w:r>
        <w:rPr>
          <w:rFonts w:hint="eastAsia" w:ascii="宋体" w:hAnsi="宋体" w:cs="宋体"/>
          <w:sz w:val="24"/>
        </w:rPr>
        <w:t xml:space="preserve">     </w:t>
      </w:r>
    </w:p>
    <w:p w14:paraId="5D47009C">
      <w:pPr>
        <w:widowControl w:val="0"/>
        <w:spacing w:line="360" w:lineRule="auto"/>
        <w:jc w:val="center"/>
        <w:outlineLvl w:val="1"/>
        <w:rPr>
          <w:rFonts w:ascii="宋体" w:hAnsi="宋体"/>
          <w:sz w:val="24"/>
          <w:szCs w:val="24"/>
        </w:rPr>
      </w:pPr>
      <w:bookmarkStart w:id="82" w:name="_Toc9681"/>
      <w:bookmarkStart w:id="83" w:name="_Toc7873"/>
      <w:r>
        <w:rPr>
          <w:rFonts w:hint="eastAsia" w:ascii="宋体" w:hAnsi="宋体" w:cs="宋体"/>
          <w:b/>
          <w:sz w:val="24"/>
          <w:szCs w:val="24"/>
          <w:lang w:eastAsia="zh-CN"/>
        </w:rPr>
        <w:t>（</w:t>
      </w:r>
      <w:r>
        <w:rPr>
          <w:rFonts w:hint="eastAsia" w:ascii="宋体" w:hAnsi="宋体" w:cs="宋体"/>
          <w:b/>
          <w:sz w:val="24"/>
          <w:szCs w:val="24"/>
          <w:lang w:val="en-US" w:eastAsia="zh-CN"/>
        </w:rPr>
        <w:t>三</w:t>
      </w:r>
      <w:r>
        <w:rPr>
          <w:rFonts w:hint="eastAsia" w:ascii="宋体" w:hAnsi="宋体" w:cs="宋体"/>
          <w:b/>
          <w:sz w:val="24"/>
          <w:szCs w:val="24"/>
          <w:lang w:eastAsia="zh-CN"/>
        </w:rPr>
        <w:t>）</w:t>
      </w:r>
      <w:r>
        <w:rPr>
          <w:rFonts w:hint="eastAsia" w:ascii="宋体" w:hAnsi="宋体" w:cs="宋体"/>
          <w:b/>
          <w:sz w:val="24"/>
          <w:szCs w:val="24"/>
        </w:rPr>
        <w:t>供应商资格</w:t>
      </w:r>
      <w:r>
        <w:rPr>
          <w:rFonts w:hint="eastAsia" w:ascii="宋体" w:hAnsi="宋体" w:cs="宋体"/>
          <w:b/>
          <w:sz w:val="24"/>
          <w:szCs w:val="24"/>
          <w:lang w:eastAsia="zh-CN"/>
        </w:rPr>
        <w:t>审查</w:t>
      </w:r>
      <w:r>
        <w:rPr>
          <w:rFonts w:hint="eastAsia" w:ascii="宋体" w:hAnsi="宋体" w:cs="宋体"/>
          <w:b/>
          <w:sz w:val="24"/>
          <w:szCs w:val="24"/>
        </w:rPr>
        <w:t>材料</w:t>
      </w:r>
    </w:p>
    <w:p w14:paraId="281B4006">
      <w:pPr>
        <w:spacing w:line="480" w:lineRule="exact"/>
        <w:jc w:val="center"/>
        <w:outlineLvl w:val="0"/>
        <w:rPr>
          <w:rFonts w:hint="eastAsia" w:ascii="宋体" w:hAnsi="宋体" w:cs="宋体"/>
          <w:b w:val="0"/>
          <w:bCs/>
          <w:sz w:val="24"/>
          <w:szCs w:val="24"/>
          <w:lang w:eastAsia="zh-CN"/>
        </w:rPr>
        <w:sectPr>
          <w:headerReference r:id="rId12" w:type="default"/>
          <w:footerReference r:id="rId13" w:type="default"/>
          <w:pgSz w:w="11906" w:h="16838"/>
          <w:pgMar w:top="1440" w:right="1800" w:bottom="1843" w:left="1800" w:header="851" w:footer="992" w:gutter="0"/>
          <w:pgNumType w:fmt="decimal"/>
          <w:cols w:space="425" w:num="1"/>
          <w:docGrid w:type="lines" w:linePitch="312" w:charSpace="0"/>
        </w:sectPr>
      </w:pPr>
      <w:r>
        <w:rPr>
          <w:rFonts w:hint="eastAsia" w:ascii="宋体" w:hAnsi="宋体" w:cs="宋体"/>
          <w:b w:val="0"/>
          <w:bCs/>
          <w:sz w:val="24"/>
          <w:szCs w:val="24"/>
        </w:rPr>
        <w:t>（格式自拟，应逐页加盖</w:t>
      </w:r>
      <w:r>
        <w:rPr>
          <w:rFonts w:hint="eastAsia" w:ascii="宋体" w:hAnsi="宋体" w:cs="宋体"/>
          <w:b w:val="0"/>
          <w:bCs/>
          <w:sz w:val="24"/>
          <w:szCs w:val="24"/>
          <w:lang w:eastAsia="zh-CN"/>
        </w:rPr>
        <w:t>公章</w:t>
      </w:r>
      <w:r>
        <w:rPr>
          <w:rFonts w:hint="eastAsia" w:ascii="宋体" w:hAnsi="宋体" w:cs="宋体"/>
          <w:b w:val="0"/>
          <w:bCs/>
          <w:sz w:val="24"/>
          <w:szCs w:val="24"/>
        </w:rPr>
        <w:t>电子签章）</w:t>
      </w:r>
    </w:p>
    <w:p w14:paraId="564CF8AE">
      <w:pPr>
        <w:spacing w:line="480" w:lineRule="exact"/>
        <w:jc w:val="center"/>
        <w:outlineLvl w:val="0"/>
        <w:rPr>
          <w:rFonts w:hint="eastAsia" w:ascii="宋体" w:hAnsi="宋体" w:cs="宋体"/>
          <w:b/>
          <w:sz w:val="24"/>
          <w:szCs w:val="24"/>
        </w:rPr>
      </w:pPr>
      <w:r>
        <w:rPr>
          <w:rFonts w:hint="eastAsia" w:ascii="宋体" w:hAnsi="宋体" w:cs="宋体"/>
          <w:b/>
          <w:sz w:val="24"/>
          <w:szCs w:val="24"/>
          <w:lang w:eastAsia="zh-CN"/>
        </w:rPr>
        <w:t>五</w:t>
      </w:r>
      <w:r>
        <w:rPr>
          <w:rFonts w:hint="eastAsia" w:ascii="宋体" w:hAnsi="宋体" w:cs="宋体"/>
          <w:b/>
          <w:sz w:val="24"/>
          <w:szCs w:val="24"/>
        </w:rPr>
        <w:t>、技术标</w:t>
      </w:r>
      <w:bookmarkEnd w:id="82"/>
      <w:bookmarkEnd w:id="83"/>
    </w:p>
    <w:p w14:paraId="03911683">
      <w:pPr>
        <w:spacing w:line="480" w:lineRule="exact"/>
        <w:jc w:val="center"/>
        <w:outlineLvl w:val="0"/>
        <w:rPr>
          <w:rFonts w:hint="eastAsia" w:ascii="宋体" w:hAnsi="宋体" w:cs="宋体"/>
          <w:b w:val="0"/>
          <w:bCs/>
          <w:sz w:val="24"/>
          <w:szCs w:val="24"/>
        </w:rPr>
      </w:pPr>
      <w:bookmarkStart w:id="84" w:name="_Toc21592"/>
      <w:bookmarkStart w:id="85" w:name="_Toc29319"/>
      <w:r>
        <w:rPr>
          <w:rFonts w:hint="eastAsia" w:ascii="宋体" w:hAnsi="宋体" w:cs="宋体"/>
          <w:b w:val="0"/>
          <w:bCs/>
          <w:sz w:val="24"/>
          <w:szCs w:val="24"/>
        </w:rPr>
        <w:t>（格式自拟，应逐页加盖</w:t>
      </w:r>
      <w:r>
        <w:rPr>
          <w:rFonts w:hint="eastAsia" w:ascii="宋体" w:hAnsi="宋体" w:cs="宋体"/>
          <w:b w:val="0"/>
          <w:bCs/>
          <w:sz w:val="24"/>
          <w:szCs w:val="24"/>
          <w:lang w:eastAsia="zh-CN"/>
        </w:rPr>
        <w:t>公章</w:t>
      </w:r>
      <w:r>
        <w:rPr>
          <w:rFonts w:hint="eastAsia" w:ascii="宋体" w:hAnsi="宋体" w:cs="宋体"/>
          <w:b w:val="0"/>
          <w:bCs/>
          <w:sz w:val="24"/>
          <w:szCs w:val="24"/>
        </w:rPr>
        <w:t>电子签章，内容应包括但不限制于评分办法提到的内容。）</w:t>
      </w:r>
      <w:bookmarkEnd w:id="84"/>
      <w:bookmarkEnd w:id="85"/>
    </w:p>
    <w:p w14:paraId="30CCEC3C">
      <w:pPr>
        <w:spacing w:line="480" w:lineRule="exact"/>
        <w:jc w:val="center"/>
        <w:outlineLvl w:val="0"/>
        <w:rPr>
          <w:rFonts w:hint="eastAsia" w:ascii="宋体" w:hAnsi="宋体" w:eastAsia="宋体" w:cs="宋体"/>
          <w:b w:val="0"/>
          <w:bCs/>
          <w:color w:val="auto"/>
          <w:sz w:val="24"/>
          <w:szCs w:val="24"/>
        </w:rPr>
      </w:pPr>
    </w:p>
    <w:p w14:paraId="5873E49B">
      <w:pPr>
        <w:spacing w:line="480" w:lineRule="exact"/>
        <w:jc w:val="center"/>
        <w:outlineLvl w:val="0"/>
        <w:rPr>
          <w:rFonts w:hint="eastAsia" w:ascii="宋体" w:hAnsi="宋体" w:eastAsia="宋体" w:cs="宋体"/>
          <w:b/>
          <w:color w:val="auto"/>
          <w:sz w:val="24"/>
          <w:szCs w:val="24"/>
        </w:rPr>
      </w:pPr>
    </w:p>
    <w:p w14:paraId="5B5DE5D7">
      <w:pPr>
        <w:spacing w:line="480" w:lineRule="exact"/>
        <w:jc w:val="center"/>
        <w:outlineLvl w:val="0"/>
        <w:rPr>
          <w:rFonts w:hint="eastAsia" w:ascii="宋体" w:hAnsi="宋体" w:eastAsia="宋体" w:cs="宋体"/>
          <w:b/>
          <w:color w:val="auto"/>
          <w:sz w:val="24"/>
          <w:szCs w:val="24"/>
        </w:rPr>
      </w:pPr>
    </w:p>
    <w:p w14:paraId="5D51CD3C">
      <w:pPr>
        <w:spacing w:line="480" w:lineRule="exact"/>
        <w:jc w:val="center"/>
        <w:outlineLvl w:val="0"/>
        <w:rPr>
          <w:rFonts w:hint="eastAsia" w:ascii="宋体" w:hAnsi="宋体" w:eastAsia="宋体" w:cs="宋体"/>
          <w:b/>
          <w:color w:val="auto"/>
          <w:sz w:val="24"/>
          <w:szCs w:val="24"/>
        </w:rPr>
      </w:pPr>
    </w:p>
    <w:p w14:paraId="59F0D66E">
      <w:pPr>
        <w:spacing w:line="480" w:lineRule="exact"/>
        <w:jc w:val="center"/>
        <w:outlineLvl w:val="0"/>
        <w:rPr>
          <w:rFonts w:hint="eastAsia" w:ascii="宋体" w:hAnsi="宋体" w:eastAsia="宋体" w:cs="宋体"/>
          <w:b/>
          <w:color w:val="auto"/>
          <w:sz w:val="24"/>
          <w:szCs w:val="24"/>
        </w:rPr>
      </w:pPr>
    </w:p>
    <w:p w14:paraId="21DC0DB5">
      <w:pPr>
        <w:spacing w:line="480" w:lineRule="exact"/>
        <w:jc w:val="center"/>
        <w:outlineLvl w:val="0"/>
        <w:rPr>
          <w:rFonts w:hint="eastAsia" w:ascii="宋体" w:hAnsi="宋体" w:eastAsia="宋体" w:cs="宋体"/>
          <w:b/>
          <w:color w:val="auto"/>
          <w:sz w:val="24"/>
          <w:szCs w:val="24"/>
        </w:rPr>
      </w:pPr>
    </w:p>
    <w:p w14:paraId="6677AECE">
      <w:pPr>
        <w:spacing w:line="480" w:lineRule="exact"/>
        <w:jc w:val="center"/>
        <w:outlineLvl w:val="0"/>
        <w:rPr>
          <w:rFonts w:hint="eastAsia" w:ascii="宋体" w:hAnsi="宋体" w:eastAsia="宋体" w:cs="宋体"/>
          <w:b/>
          <w:color w:val="auto"/>
          <w:sz w:val="24"/>
          <w:szCs w:val="24"/>
        </w:rPr>
      </w:pPr>
    </w:p>
    <w:p w14:paraId="3BC86B20">
      <w:pPr>
        <w:spacing w:line="480" w:lineRule="exact"/>
        <w:jc w:val="center"/>
        <w:outlineLvl w:val="0"/>
        <w:rPr>
          <w:rFonts w:hint="eastAsia" w:ascii="宋体" w:hAnsi="宋体" w:eastAsia="宋体" w:cs="宋体"/>
          <w:b/>
          <w:color w:val="auto"/>
          <w:sz w:val="24"/>
          <w:szCs w:val="24"/>
        </w:rPr>
      </w:pPr>
    </w:p>
    <w:p w14:paraId="41EEB4B6">
      <w:pPr>
        <w:spacing w:line="480" w:lineRule="exact"/>
        <w:jc w:val="center"/>
        <w:outlineLvl w:val="0"/>
        <w:rPr>
          <w:rFonts w:hint="eastAsia" w:ascii="宋体" w:hAnsi="宋体" w:eastAsia="宋体" w:cs="宋体"/>
          <w:b/>
          <w:color w:val="auto"/>
          <w:sz w:val="24"/>
          <w:szCs w:val="24"/>
        </w:rPr>
      </w:pPr>
    </w:p>
    <w:p w14:paraId="22977280">
      <w:pPr>
        <w:spacing w:line="480" w:lineRule="exact"/>
        <w:jc w:val="center"/>
        <w:outlineLvl w:val="0"/>
        <w:rPr>
          <w:rFonts w:hint="eastAsia" w:ascii="宋体" w:hAnsi="宋体" w:eastAsia="宋体" w:cs="宋体"/>
          <w:b/>
          <w:color w:val="auto"/>
          <w:sz w:val="24"/>
          <w:szCs w:val="24"/>
        </w:rPr>
      </w:pPr>
    </w:p>
    <w:p w14:paraId="675168FB">
      <w:pPr>
        <w:spacing w:line="480" w:lineRule="exact"/>
        <w:jc w:val="center"/>
        <w:outlineLvl w:val="0"/>
        <w:rPr>
          <w:rFonts w:hint="eastAsia" w:ascii="宋体" w:hAnsi="宋体" w:eastAsia="宋体" w:cs="宋体"/>
          <w:b/>
          <w:color w:val="auto"/>
          <w:sz w:val="24"/>
          <w:szCs w:val="24"/>
        </w:rPr>
      </w:pPr>
    </w:p>
    <w:p w14:paraId="0D06E259">
      <w:pPr>
        <w:spacing w:line="480" w:lineRule="exact"/>
        <w:jc w:val="center"/>
        <w:outlineLvl w:val="0"/>
        <w:rPr>
          <w:rFonts w:hint="eastAsia" w:ascii="宋体" w:hAnsi="宋体" w:eastAsia="宋体" w:cs="宋体"/>
          <w:b/>
          <w:color w:val="auto"/>
          <w:sz w:val="24"/>
          <w:szCs w:val="24"/>
        </w:rPr>
      </w:pPr>
    </w:p>
    <w:p w14:paraId="7C1459FF">
      <w:pPr>
        <w:spacing w:line="480" w:lineRule="exact"/>
        <w:jc w:val="center"/>
        <w:outlineLvl w:val="0"/>
        <w:rPr>
          <w:rFonts w:hint="eastAsia" w:ascii="宋体" w:hAnsi="宋体" w:eastAsia="宋体" w:cs="宋体"/>
          <w:b/>
          <w:color w:val="auto"/>
          <w:sz w:val="24"/>
          <w:szCs w:val="24"/>
        </w:rPr>
      </w:pPr>
    </w:p>
    <w:p w14:paraId="66DCB720">
      <w:pPr>
        <w:spacing w:line="480" w:lineRule="exact"/>
        <w:jc w:val="center"/>
        <w:outlineLvl w:val="0"/>
        <w:rPr>
          <w:rFonts w:hint="eastAsia" w:ascii="宋体" w:hAnsi="宋体" w:eastAsia="宋体" w:cs="宋体"/>
          <w:b/>
          <w:color w:val="auto"/>
          <w:sz w:val="24"/>
          <w:szCs w:val="24"/>
        </w:rPr>
      </w:pPr>
    </w:p>
    <w:p w14:paraId="37D841B3">
      <w:pPr>
        <w:spacing w:line="480" w:lineRule="exact"/>
        <w:jc w:val="center"/>
        <w:outlineLvl w:val="0"/>
        <w:rPr>
          <w:rFonts w:hint="eastAsia" w:ascii="宋体" w:hAnsi="宋体" w:eastAsia="宋体" w:cs="宋体"/>
          <w:b/>
          <w:color w:val="auto"/>
          <w:sz w:val="24"/>
          <w:szCs w:val="24"/>
        </w:rPr>
      </w:pPr>
    </w:p>
    <w:p w14:paraId="3755C903">
      <w:pPr>
        <w:spacing w:line="480" w:lineRule="exact"/>
        <w:jc w:val="center"/>
        <w:outlineLvl w:val="0"/>
        <w:rPr>
          <w:rFonts w:hint="eastAsia" w:ascii="宋体" w:hAnsi="宋体" w:eastAsia="宋体" w:cs="宋体"/>
          <w:b/>
          <w:color w:val="auto"/>
          <w:sz w:val="24"/>
          <w:szCs w:val="24"/>
        </w:rPr>
      </w:pPr>
    </w:p>
    <w:p w14:paraId="70831714">
      <w:pPr>
        <w:spacing w:line="480" w:lineRule="exact"/>
        <w:jc w:val="center"/>
        <w:outlineLvl w:val="0"/>
        <w:rPr>
          <w:rFonts w:hint="eastAsia" w:ascii="宋体" w:hAnsi="宋体" w:eastAsia="宋体" w:cs="宋体"/>
          <w:b/>
          <w:color w:val="auto"/>
          <w:sz w:val="24"/>
          <w:szCs w:val="24"/>
        </w:rPr>
      </w:pPr>
    </w:p>
    <w:p w14:paraId="599D3AE2">
      <w:pPr>
        <w:spacing w:line="480" w:lineRule="exact"/>
        <w:jc w:val="center"/>
        <w:outlineLvl w:val="0"/>
        <w:rPr>
          <w:rFonts w:hint="eastAsia" w:ascii="宋体" w:hAnsi="宋体" w:eastAsia="宋体" w:cs="宋体"/>
          <w:b/>
          <w:color w:val="auto"/>
          <w:sz w:val="24"/>
          <w:szCs w:val="24"/>
        </w:rPr>
      </w:pPr>
    </w:p>
    <w:p w14:paraId="27AC3658">
      <w:pPr>
        <w:spacing w:line="480" w:lineRule="exact"/>
        <w:jc w:val="center"/>
        <w:outlineLvl w:val="0"/>
        <w:rPr>
          <w:rFonts w:hint="eastAsia" w:ascii="宋体" w:hAnsi="宋体" w:eastAsia="宋体" w:cs="宋体"/>
          <w:b/>
          <w:color w:val="auto"/>
          <w:sz w:val="24"/>
          <w:szCs w:val="24"/>
        </w:rPr>
      </w:pPr>
    </w:p>
    <w:p w14:paraId="432A8C79">
      <w:pPr>
        <w:spacing w:line="480" w:lineRule="exact"/>
        <w:jc w:val="center"/>
        <w:outlineLvl w:val="0"/>
        <w:rPr>
          <w:rFonts w:hint="eastAsia" w:ascii="宋体" w:hAnsi="宋体" w:eastAsia="宋体" w:cs="宋体"/>
          <w:b/>
          <w:color w:val="auto"/>
          <w:sz w:val="24"/>
          <w:szCs w:val="24"/>
        </w:rPr>
      </w:pPr>
    </w:p>
    <w:p w14:paraId="38996D20">
      <w:pPr>
        <w:spacing w:line="480" w:lineRule="exact"/>
        <w:jc w:val="center"/>
        <w:outlineLvl w:val="0"/>
        <w:rPr>
          <w:rFonts w:hint="eastAsia" w:ascii="宋体" w:hAnsi="宋体" w:eastAsia="宋体" w:cs="宋体"/>
          <w:b/>
          <w:color w:val="auto"/>
          <w:sz w:val="24"/>
          <w:szCs w:val="24"/>
        </w:rPr>
      </w:pPr>
    </w:p>
    <w:p w14:paraId="5E93C935">
      <w:pPr>
        <w:spacing w:line="480" w:lineRule="exact"/>
        <w:jc w:val="center"/>
        <w:outlineLvl w:val="0"/>
        <w:rPr>
          <w:rFonts w:hint="eastAsia" w:ascii="宋体" w:hAnsi="宋体" w:eastAsia="宋体" w:cs="宋体"/>
          <w:b/>
          <w:color w:val="auto"/>
          <w:sz w:val="24"/>
          <w:szCs w:val="24"/>
        </w:rPr>
      </w:pPr>
    </w:p>
    <w:p w14:paraId="7A39904E">
      <w:pPr>
        <w:spacing w:line="480" w:lineRule="exact"/>
        <w:jc w:val="center"/>
        <w:outlineLvl w:val="0"/>
        <w:rPr>
          <w:rFonts w:hint="eastAsia" w:ascii="宋体" w:hAnsi="宋体" w:eastAsia="宋体" w:cs="宋体"/>
          <w:b/>
          <w:color w:val="auto"/>
          <w:sz w:val="24"/>
          <w:szCs w:val="24"/>
        </w:rPr>
      </w:pPr>
    </w:p>
    <w:p w14:paraId="125755F2">
      <w:pPr>
        <w:spacing w:line="480" w:lineRule="exact"/>
        <w:jc w:val="center"/>
        <w:outlineLvl w:val="0"/>
        <w:rPr>
          <w:rFonts w:hint="eastAsia" w:ascii="宋体" w:hAnsi="宋体" w:eastAsia="宋体" w:cs="宋体"/>
          <w:b/>
          <w:color w:val="auto"/>
          <w:sz w:val="24"/>
          <w:szCs w:val="24"/>
        </w:rPr>
      </w:pPr>
    </w:p>
    <w:p w14:paraId="58B53955">
      <w:pPr>
        <w:spacing w:line="480" w:lineRule="exact"/>
        <w:jc w:val="center"/>
        <w:outlineLvl w:val="0"/>
        <w:rPr>
          <w:rFonts w:hint="eastAsia" w:ascii="宋体" w:hAnsi="宋体" w:eastAsia="宋体" w:cs="宋体"/>
          <w:b/>
          <w:color w:val="auto"/>
          <w:sz w:val="24"/>
          <w:szCs w:val="24"/>
        </w:rPr>
      </w:pPr>
    </w:p>
    <w:p w14:paraId="201F6C5A">
      <w:pPr>
        <w:spacing w:line="480" w:lineRule="exact"/>
        <w:jc w:val="center"/>
        <w:outlineLvl w:val="0"/>
        <w:rPr>
          <w:rFonts w:hint="eastAsia" w:ascii="宋体" w:hAnsi="宋体" w:cs="仿宋"/>
          <w:b/>
          <w:kern w:val="2"/>
          <w:sz w:val="24"/>
          <w:szCs w:val="24"/>
        </w:rPr>
      </w:pPr>
      <w:bookmarkStart w:id="86" w:name="_Toc31472"/>
      <w:bookmarkStart w:id="87" w:name="_Toc30129"/>
      <w:r>
        <w:rPr>
          <w:rFonts w:hint="eastAsia" w:ascii="宋体" w:hAnsi="宋体" w:cs="仿宋"/>
          <w:b/>
          <w:kern w:val="2"/>
          <w:sz w:val="24"/>
          <w:szCs w:val="24"/>
          <w:lang w:eastAsia="zh-CN"/>
        </w:rPr>
        <w:t>六</w:t>
      </w:r>
      <w:r>
        <w:rPr>
          <w:rFonts w:hint="eastAsia" w:ascii="宋体" w:hAnsi="宋体" w:cs="仿宋"/>
          <w:b/>
          <w:kern w:val="2"/>
          <w:sz w:val="24"/>
          <w:szCs w:val="24"/>
        </w:rPr>
        <w:t>、</w:t>
      </w:r>
      <w:bookmarkStart w:id="88" w:name="_Toc6822_WPSOffice_Level1"/>
      <w:r>
        <w:rPr>
          <w:rFonts w:hint="eastAsia" w:ascii="宋体" w:hAnsi="宋体" w:cs="仿宋"/>
          <w:b/>
          <w:kern w:val="2"/>
          <w:sz w:val="24"/>
          <w:szCs w:val="24"/>
          <w:lang w:val="en-US" w:eastAsia="zh-CN"/>
        </w:rPr>
        <w:t>商务</w:t>
      </w:r>
      <w:r>
        <w:rPr>
          <w:rFonts w:hint="eastAsia" w:ascii="宋体" w:hAnsi="宋体" w:cs="仿宋"/>
          <w:b/>
          <w:kern w:val="2"/>
          <w:sz w:val="24"/>
          <w:szCs w:val="24"/>
        </w:rPr>
        <w:t>标</w:t>
      </w:r>
      <w:bookmarkEnd w:id="86"/>
      <w:bookmarkEnd w:id="87"/>
      <w:bookmarkEnd w:id="88"/>
    </w:p>
    <w:p w14:paraId="23743C59">
      <w:pPr>
        <w:widowControl/>
        <w:spacing w:line="520" w:lineRule="atLeas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（一）</w:t>
      </w:r>
      <w:r>
        <w:rPr>
          <w:rFonts w:hint="eastAsia" w:ascii="宋体" w:hAnsi="宋体" w:eastAsia="宋体" w:cs="宋体"/>
          <w:b/>
          <w:bCs/>
          <w:color w:val="auto"/>
          <w:kern w:val="0"/>
          <w:sz w:val="24"/>
          <w:szCs w:val="24"/>
        </w:rPr>
        <w:t>业绩一览表及证明材料</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440"/>
        <w:gridCol w:w="1356"/>
        <w:gridCol w:w="1356"/>
        <w:gridCol w:w="1731"/>
      </w:tblGrid>
      <w:tr w14:paraId="1CDC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03BCCE9">
            <w:pPr>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1620" w:type="dxa"/>
            <w:noWrap w:val="0"/>
            <w:vAlign w:val="center"/>
          </w:tcPr>
          <w:p w14:paraId="25BF0D87">
            <w:pPr>
              <w:jc w:val="center"/>
              <w:rPr>
                <w:rFonts w:hint="eastAsia" w:ascii="宋体" w:hAnsi="宋体" w:eastAsia="宋体" w:cs="宋体"/>
                <w:color w:val="auto"/>
                <w:sz w:val="24"/>
              </w:rPr>
            </w:pPr>
            <w:r>
              <w:rPr>
                <w:rFonts w:hint="eastAsia" w:ascii="宋体" w:hAnsi="宋体" w:eastAsia="宋体" w:cs="宋体"/>
                <w:color w:val="auto"/>
                <w:sz w:val="24"/>
              </w:rPr>
              <w:t>项目名称</w:t>
            </w:r>
          </w:p>
        </w:tc>
        <w:tc>
          <w:tcPr>
            <w:tcW w:w="1440" w:type="dxa"/>
            <w:noWrap w:val="0"/>
            <w:vAlign w:val="center"/>
          </w:tcPr>
          <w:p w14:paraId="72454D76">
            <w:pPr>
              <w:jc w:val="center"/>
              <w:rPr>
                <w:rFonts w:hint="eastAsia" w:ascii="宋体" w:hAnsi="宋体" w:eastAsia="宋体" w:cs="宋体"/>
                <w:color w:val="auto"/>
                <w:sz w:val="24"/>
              </w:rPr>
            </w:pPr>
            <w:r>
              <w:rPr>
                <w:rFonts w:hint="eastAsia" w:ascii="宋体" w:hAnsi="宋体" w:eastAsia="宋体" w:cs="宋体"/>
                <w:color w:val="auto"/>
                <w:sz w:val="24"/>
              </w:rPr>
              <w:t>中标日期</w:t>
            </w:r>
          </w:p>
        </w:tc>
        <w:tc>
          <w:tcPr>
            <w:tcW w:w="1356" w:type="dxa"/>
            <w:noWrap w:val="0"/>
            <w:vAlign w:val="center"/>
          </w:tcPr>
          <w:p w14:paraId="1FF49F8B">
            <w:pPr>
              <w:jc w:val="center"/>
              <w:rPr>
                <w:rFonts w:hint="eastAsia" w:ascii="宋体" w:hAnsi="宋体" w:eastAsia="宋体" w:cs="宋体"/>
                <w:color w:val="auto"/>
                <w:sz w:val="24"/>
              </w:rPr>
            </w:pPr>
            <w:r>
              <w:rPr>
                <w:rFonts w:hint="eastAsia" w:ascii="宋体" w:hAnsi="宋体" w:eastAsia="宋体" w:cs="宋体"/>
                <w:color w:val="auto"/>
                <w:sz w:val="24"/>
              </w:rPr>
              <w:t>采购单位</w:t>
            </w:r>
          </w:p>
        </w:tc>
        <w:tc>
          <w:tcPr>
            <w:tcW w:w="1356" w:type="dxa"/>
            <w:noWrap w:val="0"/>
            <w:vAlign w:val="center"/>
          </w:tcPr>
          <w:p w14:paraId="33385C04">
            <w:pPr>
              <w:jc w:val="center"/>
              <w:rPr>
                <w:rFonts w:hint="eastAsia" w:ascii="宋体" w:hAnsi="宋体" w:eastAsia="宋体" w:cs="宋体"/>
                <w:color w:val="auto"/>
                <w:sz w:val="24"/>
              </w:rPr>
            </w:pPr>
            <w:r>
              <w:rPr>
                <w:rFonts w:hint="eastAsia" w:ascii="宋体" w:hAnsi="宋体" w:eastAsia="宋体" w:cs="宋体"/>
                <w:color w:val="auto"/>
                <w:sz w:val="24"/>
              </w:rPr>
              <w:t>中标金额</w:t>
            </w:r>
          </w:p>
        </w:tc>
        <w:tc>
          <w:tcPr>
            <w:tcW w:w="1731" w:type="dxa"/>
            <w:noWrap w:val="0"/>
            <w:vAlign w:val="center"/>
          </w:tcPr>
          <w:p w14:paraId="610291A0">
            <w:pPr>
              <w:jc w:val="center"/>
              <w:rPr>
                <w:rFonts w:hint="eastAsia" w:ascii="宋体" w:hAnsi="宋体" w:eastAsia="宋体" w:cs="宋体"/>
                <w:color w:val="auto"/>
                <w:sz w:val="24"/>
              </w:rPr>
            </w:pPr>
            <w:r>
              <w:rPr>
                <w:rFonts w:hint="eastAsia" w:ascii="宋体" w:hAnsi="宋体" w:eastAsia="宋体" w:cs="宋体"/>
                <w:color w:val="auto"/>
                <w:sz w:val="24"/>
              </w:rPr>
              <w:t>合同签订时间</w:t>
            </w:r>
          </w:p>
        </w:tc>
      </w:tr>
      <w:tr w14:paraId="5548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5EAD7351">
            <w:pPr>
              <w:jc w:val="center"/>
              <w:rPr>
                <w:rFonts w:hint="eastAsia" w:ascii="宋体" w:hAnsi="宋体" w:eastAsia="宋体" w:cs="宋体"/>
                <w:color w:val="auto"/>
                <w:sz w:val="24"/>
              </w:rPr>
            </w:pPr>
          </w:p>
        </w:tc>
        <w:tc>
          <w:tcPr>
            <w:tcW w:w="1620" w:type="dxa"/>
            <w:noWrap w:val="0"/>
            <w:vAlign w:val="center"/>
          </w:tcPr>
          <w:p w14:paraId="0195F29D">
            <w:pPr>
              <w:jc w:val="center"/>
              <w:rPr>
                <w:rFonts w:hint="eastAsia" w:ascii="宋体" w:hAnsi="宋体" w:eastAsia="宋体" w:cs="宋体"/>
                <w:color w:val="auto"/>
                <w:sz w:val="24"/>
              </w:rPr>
            </w:pPr>
          </w:p>
        </w:tc>
        <w:tc>
          <w:tcPr>
            <w:tcW w:w="1440" w:type="dxa"/>
            <w:noWrap w:val="0"/>
            <w:vAlign w:val="center"/>
          </w:tcPr>
          <w:p w14:paraId="782B6E4A">
            <w:pPr>
              <w:jc w:val="center"/>
              <w:rPr>
                <w:rFonts w:hint="eastAsia" w:ascii="宋体" w:hAnsi="宋体" w:eastAsia="宋体" w:cs="宋体"/>
                <w:color w:val="auto"/>
                <w:sz w:val="24"/>
              </w:rPr>
            </w:pPr>
          </w:p>
        </w:tc>
        <w:tc>
          <w:tcPr>
            <w:tcW w:w="1356" w:type="dxa"/>
            <w:noWrap w:val="0"/>
            <w:vAlign w:val="center"/>
          </w:tcPr>
          <w:p w14:paraId="60219A82">
            <w:pPr>
              <w:jc w:val="center"/>
              <w:rPr>
                <w:rFonts w:hint="eastAsia" w:ascii="宋体" w:hAnsi="宋体" w:eastAsia="宋体" w:cs="宋体"/>
                <w:color w:val="auto"/>
                <w:sz w:val="24"/>
              </w:rPr>
            </w:pPr>
          </w:p>
        </w:tc>
        <w:tc>
          <w:tcPr>
            <w:tcW w:w="1356" w:type="dxa"/>
            <w:noWrap w:val="0"/>
            <w:vAlign w:val="center"/>
          </w:tcPr>
          <w:p w14:paraId="31114C74">
            <w:pPr>
              <w:jc w:val="center"/>
              <w:rPr>
                <w:rFonts w:hint="eastAsia" w:ascii="宋体" w:hAnsi="宋体" w:eastAsia="宋体" w:cs="宋体"/>
                <w:color w:val="auto"/>
                <w:sz w:val="24"/>
              </w:rPr>
            </w:pPr>
          </w:p>
        </w:tc>
        <w:tc>
          <w:tcPr>
            <w:tcW w:w="1731" w:type="dxa"/>
            <w:noWrap w:val="0"/>
            <w:vAlign w:val="center"/>
          </w:tcPr>
          <w:p w14:paraId="6A09066D">
            <w:pPr>
              <w:jc w:val="center"/>
              <w:rPr>
                <w:rFonts w:hint="eastAsia" w:ascii="宋体" w:hAnsi="宋体" w:eastAsia="宋体" w:cs="宋体"/>
                <w:color w:val="auto"/>
                <w:sz w:val="24"/>
              </w:rPr>
            </w:pPr>
          </w:p>
        </w:tc>
      </w:tr>
      <w:tr w14:paraId="0B87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E178028">
            <w:pPr>
              <w:jc w:val="center"/>
              <w:rPr>
                <w:rFonts w:hint="eastAsia" w:ascii="宋体" w:hAnsi="宋体" w:eastAsia="宋体" w:cs="宋体"/>
                <w:color w:val="auto"/>
                <w:sz w:val="24"/>
              </w:rPr>
            </w:pPr>
          </w:p>
        </w:tc>
        <w:tc>
          <w:tcPr>
            <w:tcW w:w="1620" w:type="dxa"/>
            <w:noWrap w:val="0"/>
            <w:vAlign w:val="center"/>
          </w:tcPr>
          <w:p w14:paraId="61EB5C95">
            <w:pPr>
              <w:jc w:val="center"/>
              <w:rPr>
                <w:rFonts w:hint="eastAsia" w:ascii="宋体" w:hAnsi="宋体" w:eastAsia="宋体" w:cs="宋体"/>
                <w:color w:val="auto"/>
                <w:sz w:val="24"/>
              </w:rPr>
            </w:pPr>
          </w:p>
        </w:tc>
        <w:tc>
          <w:tcPr>
            <w:tcW w:w="1440" w:type="dxa"/>
            <w:noWrap w:val="0"/>
            <w:vAlign w:val="center"/>
          </w:tcPr>
          <w:p w14:paraId="4E71FC74">
            <w:pPr>
              <w:jc w:val="center"/>
              <w:rPr>
                <w:rFonts w:hint="eastAsia" w:ascii="宋体" w:hAnsi="宋体" w:eastAsia="宋体" w:cs="宋体"/>
                <w:color w:val="auto"/>
                <w:sz w:val="24"/>
              </w:rPr>
            </w:pPr>
          </w:p>
        </w:tc>
        <w:tc>
          <w:tcPr>
            <w:tcW w:w="1356" w:type="dxa"/>
            <w:noWrap w:val="0"/>
            <w:vAlign w:val="center"/>
          </w:tcPr>
          <w:p w14:paraId="11D14034">
            <w:pPr>
              <w:jc w:val="center"/>
              <w:rPr>
                <w:rFonts w:hint="eastAsia" w:ascii="宋体" w:hAnsi="宋体" w:eastAsia="宋体" w:cs="宋体"/>
                <w:color w:val="auto"/>
                <w:sz w:val="24"/>
              </w:rPr>
            </w:pPr>
          </w:p>
        </w:tc>
        <w:tc>
          <w:tcPr>
            <w:tcW w:w="1356" w:type="dxa"/>
            <w:noWrap w:val="0"/>
            <w:vAlign w:val="center"/>
          </w:tcPr>
          <w:p w14:paraId="66DFAA3B">
            <w:pPr>
              <w:jc w:val="center"/>
              <w:rPr>
                <w:rFonts w:hint="eastAsia" w:ascii="宋体" w:hAnsi="宋体" w:eastAsia="宋体" w:cs="宋体"/>
                <w:color w:val="auto"/>
                <w:sz w:val="24"/>
              </w:rPr>
            </w:pPr>
          </w:p>
        </w:tc>
        <w:tc>
          <w:tcPr>
            <w:tcW w:w="1731" w:type="dxa"/>
            <w:noWrap w:val="0"/>
            <w:vAlign w:val="center"/>
          </w:tcPr>
          <w:p w14:paraId="357BDE44">
            <w:pPr>
              <w:jc w:val="center"/>
              <w:rPr>
                <w:rFonts w:hint="eastAsia" w:ascii="宋体" w:hAnsi="宋体" w:eastAsia="宋体" w:cs="宋体"/>
                <w:color w:val="auto"/>
                <w:sz w:val="24"/>
              </w:rPr>
            </w:pPr>
          </w:p>
        </w:tc>
      </w:tr>
      <w:tr w14:paraId="23ED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0EC1AC3D">
            <w:pPr>
              <w:jc w:val="center"/>
              <w:rPr>
                <w:rFonts w:hint="eastAsia" w:ascii="宋体" w:hAnsi="宋体" w:eastAsia="宋体" w:cs="宋体"/>
                <w:color w:val="auto"/>
                <w:sz w:val="24"/>
              </w:rPr>
            </w:pPr>
          </w:p>
        </w:tc>
        <w:tc>
          <w:tcPr>
            <w:tcW w:w="1620" w:type="dxa"/>
            <w:noWrap w:val="0"/>
            <w:vAlign w:val="center"/>
          </w:tcPr>
          <w:p w14:paraId="5F9D7370">
            <w:pPr>
              <w:jc w:val="center"/>
              <w:rPr>
                <w:rFonts w:hint="eastAsia" w:ascii="宋体" w:hAnsi="宋体" w:eastAsia="宋体" w:cs="宋体"/>
                <w:color w:val="auto"/>
                <w:sz w:val="24"/>
              </w:rPr>
            </w:pPr>
          </w:p>
        </w:tc>
        <w:tc>
          <w:tcPr>
            <w:tcW w:w="1440" w:type="dxa"/>
            <w:noWrap w:val="0"/>
            <w:vAlign w:val="center"/>
          </w:tcPr>
          <w:p w14:paraId="00F24D9A">
            <w:pPr>
              <w:jc w:val="center"/>
              <w:rPr>
                <w:rFonts w:hint="eastAsia" w:ascii="宋体" w:hAnsi="宋体" w:eastAsia="宋体" w:cs="宋体"/>
                <w:color w:val="auto"/>
                <w:sz w:val="24"/>
              </w:rPr>
            </w:pPr>
          </w:p>
        </w:tc>
        <w:tc>
          <w:tcPr>
            <w:tcW w:w="1356" w:type="dxa"/>
            <w:noWrap w:val="0"/>
            <w:vAlign w:val="center"/>
          </w:tcPr>
          <w:p w14:paraId="6B3DEB4D">
            <w:pPr>
              <w:jc w:val="center"/>
              <w:rPr>
                <w:rFonts w:hint="eastAsia" w:ascii="宋体" w:hAnsi="宋体" w:eastAsia="宋体" w:cs="宋体"/>
                <w:color w:val="auto"/>
                <w:sz w:val="24"/>
              </w:rPr>
            </w:pPr>
          </w:p>
        </w:tc>
        <w:tc>
          <w:tcPr>
            <w:tcW w:w="1356" w:type="dxa"/>
            <w:noWrap w:val="0"/>
            <w:vAlign w:val="center"/>
          </w:tcPr>
          <w:p w14:paraId="614968AC">
            <w:pPr>
              <w:jc w:val="center"/>
              <w:rPr>
                <w:rFonts w:hint="eastAsia" w:ascii="宋体" w:hAnsi="宋体" w:eastAsia="宋体" w:cs="宋体"/>
                <w:color w:val="auto"/>
                <w:sz w:val="24"/>
              </w:rPr>
            </w:pPr>
          </w:p>
        </w:tc>
        <w:tc>
          <w:tcPr>
            <w:tcW w:w="1731" w:type="dxa"/>
            <w:noWrap w:val="0"/>
            <w:vAlign w:val="center"/>
          </w:tcPr>
          <w:p w14:paraId="0EFED661">
            <w:pPr>
              <w:jc w:val="center"/>
              <w:rPr>
                <w:rFonts w:hint="eastAsia" w:ascii="宋体" w:hAnsi="宋体" w:eastAsia="宋体" w:cs="宋体"/>
                <w:color w:val="auto"/>
                <w:sz w:val="24"/>
              </w:rPr>
            </w:pPr>
          </w:p>
        </w:tc>
      </w:tr>
      <w:tr w14:paraId="158D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32EF0D0D">
            <w:pPr>
              <w:jc w:val="center"/>
              <w:rPr>
                <w:rFonts w:hint="eastAsia" w:ascii="宋体" w:hAnsi="宋体" w:eastAsia="宋体" w:cs="宋体"/>
                <w:color w:val="auto"/>
                <w:sz w:val="24"/>
              </w:rPr>
            </w:pPr>
          </w:p>
        </w:tc>
        <w:tc>
          <w:tcPr>
            <w:tcW w:w="1620" w:type="dxa"/>
            <w:noWrap w:val="0"/>
            <w:vAlign w:val="center"/>
          </w:tcPr>
          <w:p w14:paraId="68C3EEAC">
            <w:pPr>
              <w:jc w:val="center"/>
              <w:rPr>
                <w:rFonts w:hint="eastAsia" w:ascii="宋体" w:hAnsi="宋体" w:eastAsia="宋体" w:cs="宋体"/>
                <w:color w:val="auto"/>
                <w:sz w:val="24"/>
              </w:rPr>
            </w:pPr>
          </w:p>
        </w:tc>
        <w:tc>
          <w:tcPr>
            <w:tcW w:w="1440" w:type="dxa"/>
            <w:noWrap w:val="0"/>
            <w:vAlign w:val="center"/>
          </w:tcPr>
          <w:p w14:paraId="4112E021">
            <w:pPr>
              <w:jc w:val="center"/>
              <w:rPr>
                <w:rFonts w:hint="eastAsia" w:ascii="宋体" w:hAnsi="宋体" w:eastAsia="宋体" w:cs="宋体"/>
                <w:color w:val="auto"/>
                <w:sz w:val="24"/>
              </w:rPr>
            </w:pPr>
          </w:p>
        </w:tc>
        <w:tc>
          <w:tcPr>
            <w:tcW w:w="1356" w:type="dxa"/>
            <w:noWrap w:val="0"/>
            <w:vAlign w:val="center"/>
          </w:tcPr>
          <w:p w14:paraId="61E8A9A1">
            <w:pPr>
              <w:jc w:val="center"/>
              <w:rPr>
                <w:rFonts w:hint="eastAsia" w:ascii="宋体" w:hAnsi="宋体" w:eastAsia="宋体" w:cs="宋体"/>
                <w:color w:val="auto"/>
                <w:sz w:val="24"/>
              </w:rPr>
            </w:pPr>
          </w:p>
        </w:tc>
        <w:tc>
          <w:tcPr>
            <w:tcW w:w="1356" w:type="dxa"/>
            <w:noWrap w:val="0"/>
            <w:vAlign w:val="center"/>
          </w:tcPr>
          <w:p w14:paraId="0D4D2ED3">
            <w:pPr>
              <w:jc w:val="center"/>
              <w:rPr>
                <w:rFonts w:hint="eastAsia" w:ascii="宋体" w:hAnsi="宋体" w:eastAsia="宋体" w:cs="宋体"/>
                <w:color w:val="auto"/>
                <w:sz w:val="24"/>
              </w:rPr>
            </w:pPr>
          </w:p>
        </w:tc>
        <w:tc>
          <w:tcPr>
            <w:tcW w:w="1731" w:type="dxa"/>
            <w:noWrap w:val="0"/>
            <w:vAlign w:val="center"/>
          </w:tcPr>
          <w:p w14:paraId="709DA660">
            <w:pPr>
              <w:jc w:val="center"/>
              <w:rPr>
                <w:rFonts w:hint="eastAsia" w:ascii="宋体" w:hAnsi="宋体" w:eastAsia="宋体" w:cs="宋体"/>
                <w:color w:val="auto"/>
                <w:sz w:val="24"/>
              </w:rPr>
            </w:pPr>
          </w:p>
        </w:tc>
      </w:tr>
      <w:tr w14:paraId="5FB3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F48E718">
            <w:pPr>
              <w:jc w:val="center"/>
              <w:rPr>
                <w:rFonts w:hint="eastAsia" w:ascii="宋体" w:hAnsi="宋体" w:eastAsia="宋体" w:cs="宋体"/>
                <w:color w:val="auto"/>
                <w:sz w:val="24"/>
              </w:rPr>
            </w:pPr>
          </w:p>
        </w:tc>
        <w:tc>
          <w:tcPr>
            <w:tcW w:w="1620" w:type="dxa"/>
            <w:noWrap w:val="0"/>
            <w:vAlign w:val="center"/>
          </w:tcPr>
          <w:p w14:paraId="21DF4FC2">
            <w:pPr>
              <w:jc w:val="center"/>
              <w:rPr>
                <w:rFonts w:hint="eastAsia" w:ascii="宋体" w:hAnsi="宋体" w:eastAsia="宋体" w:cs="宋体"/>
                <w:color w:val="auto"/>
                <w:sz w:val="24"/>
              </w:rPr>
            </w:pPr>
          </w:p>
        </w:tc>
        <w:tc>
          <w:tcPr>
            <w:tcW w:w="1440" w:type="dxa"/>
            <w:noWrap w:val="0"/>
            <w:vAlign w:val="center"/>
          </w:tcPr>
          <w:p w14:paraId="061A6B93">
            <w:pPr>
              <w:jc w:val="center"/>
              <w:rPr>
                <w:rFonts w:hint="eastAsia" w:ascii="宋体" w:hAnsi="宋体" w:eastAsia="宋体" w:cs="宋体"/>
                <w:color w:val="auto"/>
                <w:sz w:val="24"/>
              </w:rPr>
            </w:pPr>
          </w:p>
        </w:tc>
        <w:tc>
          <w:tcPr>
            <w:tcW w:w="1356" w:type="dxa"/>
            <w:noWrap w:val="0"/>
            <w:vAlign w:val="center"/>
          </w:tcPr>
          <w:p w14:paraId="2EE820FB">
            <w:pPr>
              <w:jc w:val="center"/>
              <w:rPr>
                <w:rFonts w:hint="eastAsia" w:ascii="宋体" w:hAnsi="宋体" w:eastAsia="宋体" w:cs="宋体"/>
                <w:color w:val="auto"/>
                <w:sz w:val="24"/>
              </w:rPr>
            </w:pPr>
          </w:p>
        </w:tc>
        <w:tc>
          <w:tcPr>
            <w:tcW w:w="1356" w:type="dxa"/>
            <w:noWrap w:val="0"/>
            <w:vAlign w:val="center"/>
          </w:tcPr>
          <w:p w14:paraId="211C8F09">
            <w:pPr>
              <w:jc w:val="center"/>
              <w:rPr>
                <w:rFonts w:hint="eastAsia" w:ascii="宋体" w:hAnsi="宋体" w:eastAsia="宋体" w:cs="宋体"/>
                <w:color w:val="auto"/>
                <w:sz w:val="24"/>
              </w:rPr>
            </w:pPr>
          </w:p>
        </w:tc>
        <w:tc>
          <w:tcPr>
            <w:tcW w:w="1731" w:type="dxa"/>
            <w:noWrap w:val="0"/>
            <w:vAlign w:val="center"/>
          </w:tcPr>
          <w:p w14:paraId="188441DA">
            <w:pPr>
              <w:jc w:val="center"/>
              <w:rPr>
                <w:rFonts w:hint="eastAsia" w:ascii="宋体" w:hAnsi="宋体" w:eastAsia="宋体" w:cs="宋体"/>
                <w:color w:val="auto"/>
                <w:sz w:val="24"/>
              </w:rPr>
            </w:pPr>
          </w:p>
        </w:tc>
      </w:tr>
      <w:tr w14:paraId="7193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B7EF0AB">
            <w:pPr>
              <w:jc w:val="center"/>
              <w:rPr>
                <w:rFonts w:hint="eastAsia" w:ascii="宋体" w:hAnsi="宋体" w:eastAsia="宋体" w:cs="宋体"/>
                <w:color w:val="auto"/>
                <w:sz w:val="24"/>
              </w:rPr>
            </w:pPr>
          </w:p>
        </w:tc>
        <w:tc>
          <w:tcPr>
            <w:tcW w:w="1620" w:type="dxa"/>
            <w:noWrap w:val="0"/>
            <w:vAlign w:val="center"/>
          </w:tcPr>
          <w:p w14:paraId="79CFE361">
            <w:pPr>
              <w:jc w:val="center"/>
              <w:rPr>
                <w:rFonts w:hint="eastAsia" w:ascii="宋体" w:hAnsi="宋体" w:eastAsia="宋体" w:cs="宋体"/>
                <w:color w:val="auto"/>
                <w:sz w:val="24"/>
              </w:rPr>
            </w:pPr>
          </w:p>
        </w:tc>
        <w:tc>
          <w:tcPr>
            <w:tcW w:w="1440" w:type="dxa"/>
            <w:noWrap w:val="0"/>
            <w:vAlign w:val="center"/>
          </w:tcPr>
          <w:p w14:paraId="29804709">
            <w:pPr>
              <w:jc w:val="center"/>
              <w:rPr>
                <w:rFonts w:hint="eastAsia" w:ascii="宋体" w:hAnsi="宋体" w:eastAsia="宋体" w:cs="宋体"/>
                <w:color w:val="auto"/>
                <w:sz w:val="24"/>
              </w:rPr>
            </w:pPr>
          </w:p>
        </w:tc>
        <w:tc>
          <w:tcPr>
            <w:tcW w:w="1356" w:type="dxa"/>
            <w:noWrap w:val="0"/>
            <w:vAlign w:val="center"/>
          </w:tcPr>
          <w:p w14:paraId="186B3FD0">
            <w:pPr>
              <w:jc w:val="center"/>
              <w:rPr>
                <w:rFonts w:hint="eastAsia" w:ascii="宋体" w:hAnsi="宋体" w:eastAsia="宋体" w:cs="宋体"/>
                <w:color w:val="auto"/>
                <w:sz w:val="24"/>
              </w:rPr>
            </w:pPr>
          </w:p>
        </w:tc>
        <w:tc>
          <w:tcPr>
            <w:tcW w:w="1356" w:type="dxa"/>
            <w:noWrap w:val="0"/>
            <w:vAlign w:val="center"/>
          </w:tcPr>
          <w:p w14:paraId="5514D482">
            <w:pPr>
              <w:jc w:val="center"/>
              <w:rPr>
                <w:rFonts w:hint="eastAsia" w:ascii="宋体" w:hAnsi="宋体" w:eastAsia="宋体" w:cs="宋体"/>
                <w:color w:val="auto"/>
                <w:sz w:val="24"/>
              </w:rPr>
            </w:pPr>
          </w:p>
        </w:tc>
        <w:tc>
          <w:tcPr>
            <w:tcW w:w="1731" w:type="dxa"/>
            <w:noWrap w:val="0"/>
            <w:vAlign w:val="center"/>
          </w:tcPr>
          <w:p w14:paraId="3A1CC8FC">
            <w:pPr>
              <w:jc w:val="center"/>
              <w:rPr>
                <w:rFonts w:hint="eastAsia" w:ascii="宋体" w:hAnsi="宋体" w:eastAsia="宋体" w:cs="宋体"/>
                <w:color w:val="auto"/>
                <w:sz w:val="24"/>
              </w:rPr>
            </w:pPr>
          </w:p>
        </w:tc>
      </w:tr>
      <w:tr w14:paraId="5E21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1658AAC4">
            <w:pPr>
              <w:jc w:val="center"/>
              <w:rPr>
                <w:rFonts w:hint="eastAsia" w:ascii="宋体" w:hAnsi="宋体" w:eastAsia="宋体" w:cs="宋体"/>
                <w:color w:val="auto"/>
                <w:sz w:val="24"/>
              </w:rPr>
            </w:pPr>
          </w:p>
        </w:tc>
        <w:tc>
          <w:tcPr>
            <w:tcW w:w="1620" w:type="dxa"/>
            <w:noWrap w:val="0"/>
            <w:vAlign w:val="center"/>
          </w:tcPr>
          <w:p w14:paraId="277643B8">
            <w:pPr>
              <w:jc w:val="center"/>
              <w:rPr>
                <w:rFonts w:hint="eastAsia" w:ascii="宋体" w:hAnsi="宋体" w:eastAsia="宋体" w:cs="宋体"/>
                <w:color w:val="auto"/>
                <w:sz w:val="24"/>
              </w:rPr>
            </w:pPr>
          </w:p>
        </w:tc>
        <w:tc>
          <w:tcPr>
            <w:tcW w:w="1440" w:type="dxa"/>
            <w:noWrap w:val="0"/>
            <w:vAlign w:val="center"/>
          </w:tcPr>
          <w:p w14:paraId="1FB1A9E6">
            <w:pPr>
              <w:jc w:val="center"/>
              <w:rPr>
                <w:rFonts w:hint="eastAsia" w:ascii="宋体" w:hAnsi="宋体" w:eastAsia="宋体" w:cs="宋体"/>
                <w:color w:val="auto"/>
                <w:sz w:val="24"/>
              </w:rPr>
            </w:pPr>
          </w:p>
        </w:tc>
        <w:tc>
          <w:tcPr>
            <w:tcW w:w="1356" w:type="dxa"/>
            <w:noWrap w:val="0"/>
            <w:vAlign w:val="center"/>
          </w:tcPr>
          <w:p w14:paraId="51CFFE1B">
            <w:pPr>
              <w:jc w:val="center"/>
              <w:rPr>
                <w:rFonts w:hint="eastAsia" w:ascii="宋体" w:hAnsi="宋体" w:eastAsia="宋体" w:cs="宋体"/>
                <w:color w:val="auto"/>
                <w:sz w:val="24"/>
              </w:rPr>
            </w:pPr>
          </w:p>
        </w:tc>
        <w:tc>
          <w:tcPr>
            <w:tcW w:w="1356" w:type="dxa"/>
            <w:noWrap w:val="0"/>
            <w:vAlign w:val="center"/>
          </w:tcPr>
          <w:p w14:paraId="685E936D">
            <w:pPr>
              <w:jc w:val="center"/>
              <w:rPr>
                <w:rFonts w:hint="eastAsia" w:ascii="宋体" w:hAnsi="宋体" w:eastAsia="宋体" w:cs="宋体"/>
                <w:color w:val="auto"/>
                <w:sz w:val="24"/>
              </w:rPr>
            </w:pPr>
          </w:p>
        </w:tc>
        <w:tc>
          <w:tcPr>
            <w:tcW w:w="1731" w:type="dxa"/>
            <w:noWrap w:val="0"/>
            <w:vAlign w:val="center"/>
          </w:tcPr>
          <w:p w14:paraId="466ECAFF">
            <w:pPr>
              <w:jc w:val="center"/>
              <w:rPr>
                <w:rFonts w:hint="eastAsia" w:ascii="宋体" w:hAnsi="宋体" w:eastAsia="宋体" w:cs="宋体"/>
                <w:color w:val="auto"/>
                <w:sz w:val="24"/>
              </w:rPr>
            </w:pPr>
          </w:p>
        </w:tc>
      </w:tr>
      <w:tr w14:paraId="0148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2535E00">
            <w:pPr>
              <w:jc w:val="center"/>
              <w:rPr>
                <w:rFonts w:hint="eastAsia" w:ascii="宋体" w:hAnsi="宋体" w:eastAsia="宋体" w:cs="宋体"/>
                <w:color w:val="auto"/>
                <w:sz w:val="24"/>
              </w:rPr>
            </w:pPr>
          </w:p>
        </w:tc>
        <w:tc>
          <w:tcPr>
            <w:tcW w:w="1620" w:type="dxa"/>
            <w:noWrap w:val="0"/>
            <w:vAlign w:val="center"/>
          </w:tcPr>
          <w:p w14:paraId="25A637D1">
            <w:pPr>
              <w:jc w:val="center"/>
              <w:rPr>
                <w:rFonts w:hint="eastAsia" w:ascii="宋体" w:hAnsi="宋体" w:eastAsia="宋体" w:cs="宋体"/>
                <w:color w:val="auto"/>
                <w:sz w:val="24"/>
              </w:rPr>
            </w:pPr>
          </w:p>
        </w:tc>
        <w:tc>
          <w:tcPr>
            <w:tcW w:w="1440" w:type="dxa"/>
            <w:noWrap w:val="0"/>
            <w:vAlign w:val="center"/>
          </w:tcPr>
          <w:p w14:paraId="0FE9780C">
            <w:pPr>
              <w:jc w:val="center"/>
              <w:rPr>
                <w:rFonts w:hint="eastAsia" w:ascii="宋体" w:hAnsi="宋体" w:eastAsia="宋体" w:cs="宋体"/>
                <w:color w:val="auto"/>
                <w:sz w:val="24"/>
              </w:rPr>
            </w:pPr>
          </w:p>
        </w:tc>
        <w:tc>
          <w:tcPr>
            <w:tcW w:w="1356" w:type="dxa"/>
            <w:noWrap w:val="0"/>
            <w:vAlign w:val="center"/>
          </w:tcPr>
          <w:p w14:paraId="7A6032B8">
            <w:pPr>
              <w:jc w:val="center"/>
              <w:rPr>
                <w:rFonts w:hint="eastAsia" w:ascii="宋体" w:hAnsi="宋体" w:eastAsia="宋体" w:cs="宋体"/>
                <w:color w:val="auto"/>
                <w:sz w:val="24"/>
              </w:rPr>
            </w:pPr>
          </w:p>
        </w:tc>
        <w:tc>
          <w:tcPr>
            <w:tcW w:w="1356" w:type="dxa"/>
            <w:noWrap w:val="0"/>
            <w:vAlign w:val="center"/>
          </w:tcPr>
          <w:p w14:paraId="4F89A2D0">
            <w:pPr>
              <w:jc w:val="center"/>
              <w:rPr>
                <w:rFonts w:hint="eastAsia" w:ascii="宋体" w:hAnsi="宋体" w:eastAsia="宋体" w:cs="宋体"/>
                <w:color w:val="auto"/>
                <w:sz w:val="24"/>
              </w:rPr>
            </w:pPr>
          </w:p>
        </w:tc>
        <w:tc>
          <w:tcPr>
            <w:tcW w:w="1731" w:type="dxa"/>
            <w:noWrap w:val="0"/>
            <w:vAlign w:val="center"/>
          </w:tcPr>
          <w:p w14:paraId="370FB3B3">
            <w:pPr>
              <w:jc w:val="center"/>
              <w:rPr>
                <w:rFonts w:hint="eastAsia" w:ascii="宋体" w:hAnsi="宋体" w:eastAsia="宋体" w:cs="宋体"/>
                <w:color w:val="auto"/>
                <w:sz w:val="24"/>
              </w:rPr>
            </w:pPr>
          </w:p>
        </w:tc>
      </w:tr>
      <w:tr w14:paraId="1393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16339842">
            <w:pPr>
              <w:jc w:val="center"/>
              <w:rPr>
                <w:rFonts w:hint="eastAsia" w:ascii="宋体" w:hAnsi="宋体" w:eastAsia="宋体" w:cs="宋体"/>
                <w:color w:val="auto"/>
                <w:sz w:val="24"/>
              </w:rPr>
            </w:pPr>
          </w:p>
        </w:tc>
        <w:tc>
          <w:tcPr>
            <w:tcW w:w="1620" w:type="dxa"/>
            <w:noWrap w:val="0"/>
            <w:vAlign w:val="center"/>
          </w:tcPr>
          <w:p w14:paraId="023BAF8D">
            <w:pPr>
              <w:jc w:val="center"/>
              <w:rPr>
                <w:rFonts w:hint="eastAsia" w:ascii="宋体" w:hAnsi="宋体" w:eastAsia="宋体" w:cs="宋体"/>
                <w:color w:val="auto"/>
                <w:sz w:val="24"/>
              </w:rPr>
            </w:pPr>
          </w:p>
        </w:tc>
        <w:tc>
          <w:tcPr>
            <w:tcW w:w="1440" w:type="dxa"/>
            <w:noWrap w:val="0"/>
            <w:vAlign w:val="center"/>
          </w:tcPr>
          <w:p w14:paraId="768B398E">
            <w:pPr>
              <w:jc w:val="center"/>
              <w:rPr>
                <w:rFonts w:hint="eastAsia" w:ascii="宋体" w:hAnsi="宋体" w:eastAsia="宋体" w:cs="宋体"/>
                <w:color w:val="auto"/>
                <w:sz w:val="24"/>
              </w:rPr>
            </w:pPr>
          </w:p>
        </w:tc>
        <w:tc>
          <w:tcPr>
            <w:tcW w:w="1356" w:type="dxa"/>
            <w:noWrap w:val="0"/>
            <w:vAlign w:val="center"/>
          </w:tcPr>
          <w:p w14:paraId="7C279ABB">
            <w:pPr>
              <w:jc w:val="center"/>
              <w:rPr>
                <w:rFonts w:hint="eastAsia" w:ascii="宋体" w:hAnsi="宋体" w:eastAsia="宋体" w:cs="宋体"/>
                <w:color w:val="auto"/>
                <w:sz w:val="24"/>
              </w:rPr>
            </w:pPr>
          </w:p>
        </w:tc>
        <w:tc>
          <w:tcPr>
            <w:tcW w:w="1356" w:type="dxa"/>
            <w:noWrap w:val="0"/>
            <w:vAlign w:val="center"/>
          </w:tcPr>
          <w:p w14:paraId="7676FB16">
            <w:pPr>
              <w:jc w:val="center"/>
              <w:rPr>
                <w:rFonts w:hint="eastAsia" w:ascii="宋体" w:hAnsi="宋体" w:eastAsia="宋体" w:cs="宋体"/>
                <w:color w:val="auto"/>
                <w:sz w:val="24"/>
              </w:rPr>
            </w:pPr>
          </w:p>
        </w:tc>
        <w:tc>
          <w:tcPr>
            <w:tcW w:w="1731" w:type="dxa"/>
            <w:noWrap w:val="0"/>
            <w:vAlign w:val="center"/>
          </w:tcPr>
          <w:p w14:paraId="493366AC">
            <w:pPr>
              <w:jc w:val="center"/>
              <w:rPr>
                <w:rFonts w:hint="eastAsia" w:ascii="宋体" w:hAnsi="宋体" w:eastAsia="宋体" w:cs="宋体"/>
                <w:color w:val="auto"/>
                <w:sz w:val="24"/>
              </w:rPr>
            </w:pPr>
          </w:p>
        </w:tc>
      </w:tr>
      <w:tr w14:paraId="67BE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66EDA23">
            <w:pPr>
              <w:jc w:val="center"/>
              <w:rPr>
                <w:rFonts w:hint="eastAsia" w:ascii="宋体" w:hAnsi="宋体" w:eastAsia="宋体" w:cs="宋体"/>
                <w:color w:val="auto"/>
                <w:sz w:val="24"/>
              </w:rPr>
            </w:pPr>
          </w:p>
        </w:tc>
        <w:tc>
          <w:tcPr>
            <w:tcW w:w="1620" w:type="dxa"/>
            <w:noWrap w:val="0"/>
            <w:vAlign w:val="center"/>
          </w:tcPr>
          <w:p w14:paraId="1A45A9CA">
            <w:pPr>
              <w:jc w:val="center"/>
              <w:rPr>
                <w:rFonts w:hint="eastAsia" w:ascii="宋体" w:hAnsi="宋体" w:eastAsia="宋体" w:cs="宋体"/>
                <w:color w:val="auto"/>
                <w:sz w:val="24"/>
              </w:rPr>
            </w:pPr>
          </w:p>
        </w:tc>
        <w:tc>
          <w:tcPr>
            <w:tcW w:w="1440" w:type="dxa"/>
            <w:noWrap w:val="0"/>
            <w:vAlign w:val="center"/>
          </w:tcPr>
          <w:p w14:paraId="35A85069">
            <w:pPr>
              <w:jc w:val="center"/>
              <w:rPr>
                <w:rFonts w:hint="eastAsia" w:ascii="宋体" w:hAnsi="宋体" w:eastAsia="宋体" w:cs="宋体"/>
                <w:color w:val="auto"/>
                <w:sz w:val="24"/>
              </w:rPr>
            </w:pPr>
          </w:p>
        </w:tc>
        <w:tc>
          <w:tcPr>
            <w:tcW w:w="1356" w:type="dxa"/>
            <w:noWrap w:val="0"/>
            <w:vAlign w:val="center"/>
          </w:tcPr>
          <w:p w14:paraId="26368F99">
            <w:pPr>
              <w:jc w:val="center"/>
              <w:rPr>
                <w:rFonts w:hint="eastAsia" w:ascii="宋体" w:hAnsi="宋体" w:eastAsia="宋体" w:cs="宋体"/>
                <w:color w:val="auto"/>
                <w:sz w:val="24"/>
              </w:rPr>
            </w:pPr>
          </w:p>
        </w:tc>
        <w:tc>
          <w:tcPr>
            <w:tcW w:w="1356" w:type="dxa"/>
            <w:noWrap w:val="0"/>
            <w:vAlign w:val="center"/>
          </w:tcPr>
          <w:p w14:paraId="0E66A1C4">
            <w:pPr>
              <w:jc w:val="center"/>
              <w:rPr>
                <w:rFonts w:hint="eastAsia" w:ascii="宋体" w:hAnsi="宋体" w:eastAsia="宋体" w:cs="宋体"/>
                <w:color w:val="auto"/>
                <w:sz w:val="24"/>
              </w:rPr>
            </w:pPr>
          </w:p>
        </w:tc>
        <w:tc>
          <w:tcPr>
            <w:tcW w:w="1731" w:type="dxa"/>
            <w:noWrap w:val="0"/>
            <w:vAlign w:val="center"/>
          </w:tcPr>
          <w:p w14:paraId="27A8154A">
            <w:pPr>
              <w:jc w:val="center"/>
              <w:rPr>
                <w:rFonts w:hint="eastAsia" w:ascii="宋体" w:hAnsi="宋体" w:eastAsia="宋体" w:cs="宋体"/>
                <w:color w:val="auto"/>
                <w:sz w:val="24"/>
              </w:rPr>
            </w:pPr>
          </w:p>
        </w:tc>
      </w:tr>
      <w:tr w14:paraId="4159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2F12A19">
            <w:pPr>
              <w:jc w:val="center"/>
              <w:rPr>
                <w:rFonts w:hint="eastAsia" w:ascii="宋体" w:hAnsi="宋体" w:eastAsia="宋体" w:cs="宋体"/>
                <w:color w:val="auto"/>
                <w:sz w:val="24"/>
              </w:rPr>
            </w:pPr>
          </w:p>
        </w:tc>
        <w:tc>
          <w:tcPr>
            <w:tcW w:w="1620" w:type="dxa"/>
            <w:noWrap w:val="0"/>
            <w:vAlign w:val="center"/>
          </w:tcPr>
          <w:p w14:paraId="18988D70">
            <w:pPr>
              <w:jc w:val="center"/>
              <w:rPr>
                <w:rFonts w:hint="eastAsia" w:ascii="宋体" w:hAnsi="宋体" w:eastAsia="宋体" w:cs="宋体"/>
                <w:color w:val="auto"/>
                <w:sz w:val="24"/>
              </w:rPr>
            </w:pPr>
          </w:p>
        </w:tc>
        <w:tc>
          <w:tcPr>
            <w:tcW w:w="1440" w:type="dxa"/>
            <w:noWrap w:val="0"/>
            <w:vAlign w:val="center"/>
          </w:tcPr>
          <w:p w14:paraId="37C390C9">
            <w:pPr>
              <w:jc w:val="center"/>
              <w:rPr>
                <w:rFonts w:hint="eastAsia" w:ascii="宋体" w:hAnsi="宋体" w:eastAsia="宋体" w:cs="宋体"/>
                <w:color w:val="auto"/>
                <w:sz w:val="24"/>
              </w:rPr>
            </w:pPr>
          </w:p>
        </w:tc>
        <w:tc>
          <w:tcPr>
            <w:tcW w:w="1356" w:type="dxa"/>
            <w:noWrap w:val="0"/>
            <w:vAlign w:val="center"/>
          </w:tcPr>
          <w:p w14:paraId="0F2C9377">
            <w:pPr>
              <w:jc w:val="center"/>
              <w:rPr>
                <w:rFonts w:hint="eastAsia" w:ascii="宋体" w:hAnsi="宋体" w:eastAsia="宋体" w:cs="宋体"/>
                <w:color w:val="auto"/>
                <w:sz w:val="24"/>
              </w:rPr>
            </w:pPr>
          </w:p>
        </w:tc>
        <w:tc>
          <w:tcPr>
            <w:tcW w:w="1356" w:type="dxa"/>
            <w:noWrap w:val="0"/>
            <w:vAlign w:val="center"/>
          </w:tcPr>
          <w:p w14:paraId="210F3B0C">
            <w:pPr>
              <w:jc w:val="center"/>
              <w:rPr>
                <w:rFonts w:hint="eastAsia" w:ascii="宋体" w:hAnsi="宋体" w:eastAsia="宋体" w:cs="宋体"/>
                <w:color w:val="auto"/>
                <w:sz w:val="24"/>
              </w:rPr>
            </w:pPr>
          </w:p>
        </w:tc>
        <w:tc>
          <w:tcPr>
            <w:tcW w:w="1731" w:type="dxa"/>
            <w:noWrap w:val="0"/>
            <w:vAlign w:val="center"/>
          </w:tcPr>
          <w:p w14:paraId="1CB6C2C0">
            <w:pPr>
              <w:jc w:val="center"/>
              <w:rPr>
                <w:rFonts w:hint="eastAsia" w:ascii="宋体" w:hAnsi="宋体" w:eastAsia="宋体" w:cs="宋体"/>
                <w:color w:val="auto"/>
                <w:sz w:val="24"/>
              </w:rPr>
            </w:pPr>
          </w:p>
        </w:tc>
      </w:tr>
      <w:tr w14:paraId="524C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3C6F63C">
            <w:pPr>
              <w:jc w:val="center"/>
              <w:rPr>
                <w:rFonts w:hint="eastAsia" w:ascii="宋体" w:hAnsi="宋体" w:eastAsia="宋体" w:cs="宋体"/>
                <w:color w:val="auto"/>
                <w:sz w:val="24"/>
              </w:rPr>
            </w:pPr>
          </w:p>
        </w:tc>
        <w:tc>
          <w:tcPr>
            <w:tcW w:w="1620" w:type="dxa"/>
            <w:noWrap w:val="0"/>
            <w:vAlign w:val="center"/>
          </w:tcPr>
          <w:p w14:paraId="3CFC8194">
            <w:pPr>
              <w:jc w:val="center"/>
              <w:rPr>
                <w:rFonts w:hint="eastAsia" w:ascii="宋体" w:hAnsi="宋体" w:eastAsia="宋体" w:cs="宋体"/>
                <w:color w:val="auto"/>
                <w:sz w:val="24"/>
              </w:rPr>
            </w:pPr>
          </w:p>
        </w:tc>
        <w:tc>
          <w:tcPr>
            <w:tcW w:w="1440" w:type="dxa"/>
            <w:noWrap w:val="0"/>
            <w:vAlign w:val="center"/>
          </w:tcPr>
          <w:p w14:paraId="3C6E9E6B">
            <w:pPr>
              <w:jc w:val="center"/>
              <w:rPr>
                <w:rFonts w:hint="eastAsia" w:ascii="宋体" w:hAnsi="宋体" w:eastAsia="宋体" w:cs="宋体"/>
                <w:color w:val="auto"/>
                <w:sz w:val="24"/>
              </w:rPr>
            </w:pPr>
          </w:p>
        </w:tc>
        <w:tc>
          <w:tcPr>
            <w:tcW w:w="1356" w:type="dxa"/>
            <w:noWrap w:val="0"/>
            <w:vAlign w:val="center"/>
          </w:tcPr>
          <w:p w14:paraId="6C8133A3">
            <w:pPr>
              <w:jc w:val="center"/>
              <w:rPr>
                <w:rFonts w:hint="eastAsia" w:ascii="宋体" w:hAnsi="宋体" w:eastAsia="宋体" w:cs="宋体"/>
                <w:color w:val="auto"/>
                <w:sz w:val="24"/>
              </w:rPr>
            </w:pPr>
          </w:p>
        </w:tc>
        <w:tc>
          <w:tcPr>
            <w:tcW w:w="1356" w:type="dxa"/>
            <w:noWrap w:val="0"/>
            <w:vAlign w:val="center"/>
          </w:tcPr>
          <w:p w14:paraId="3C8AA1C6">
            <w:pPr>
              <w:jc w:val="center"/>
              <w:rPr>
                <w:rFonts w:hint="eastAsia" w:ascii="宋体" w:hAnsi="宋体" w:eastAsia="宋体" w:cs="宋体"/>
                <w:color w:val="auto"/>
                <w:sz w:val="24"/>
              </w:rPr>
            </w:pPr>
          </w:p>
        </w:tc>
        <w:tc>
          <w:tcPr>
            <w:tcW w:w="1731" w:type="dxa"/>
            <w:noWrap w:val="0"/>
            <w:vAlign w:val="center"/>
          </w:tcPr>
          <w:p w14:paraId="079B64F7">
            <w:pPr>
              <w:jc w:val="center"/>
              <w:rPr>
                <w:rFonts w:hint="eastAsia" w:ascii="宋体" w:hAnsi="宋体" w:eastAsia="宋体" w:cs="宋体"/>
                <w:color w:val="auto"/>
                <w:sz w:val="24"/>
              </w:rPr>
            </w:pPr>
          </w:p>
        </w:tc>
      </w:tr>
    </w:tbl>
    <w:p w14:paraId="4FBBCE70">
      <w:pPr>
        <w:pStyle w:val="4"/>
        <w:keepNext w:val="0"/>
        <w:keepLines w:val="0"/>
        <w:pageBreakBefore w:val="0"/>
        <w:widowControl w:val="0"/>
        <w:kinsoku/>
        <w:wordWrap w:val="0"/>
        <w:overflowPunct/>
        <w:topLinePunct w:val="0"/>
        <w:autoSpaceDE w:val="0"/>
        <w:autoSpaceDN w:val="0"/>
        <w:bidi w:val="0"/>
        <w:adjustRightInd/>
        <w:snapToGrid/>
        <w:spacing w:before="0" w:beforeLines="50" w:line="360" w:lineRule="auto"/>
        <w:ind w:left="0" w:leftChars="0" w:firstLine="480" w:firstLineChars="200"/>
        <w:jc w:val="left"/>
        <w:textAlignment w:val="auto"/>
        <w:rPr>
          <w:rFonts w:hint="eastAsia" w:cs="宋体"/>
          <w:b w:val="0"/>
          <w:bCs/>
          <w:color w:val="000000" w:themeColor="text1"/>
          <w:sz w:val="24"/>
          <w:szCs w:val="24"/>
          <w:lang w:eastAsia="zh-CN"/>
          <w14:textFill>
            <w14:solidFill>
              <w14:schemeClr w14:val="tx1"/>
            </w14:solidFill>
          </w14:textFill>
        </w:rPr>
      </w:pPr>
      <w:r>
        <w:rPr>
          <w:rFonts w:hint="eastAsia" w:ascii="宋体" w:hAnsi="宋体" w:cs="宋体"/>
          <w:b w:val="0"/>
          <w:bCs/>
          <w:sz w:val="24"/>
          <w:szCs w:val="24"/>
        </w:rPr>
        <w:t>注：供应商所列项目清单须附</w:t>
      </w:r>
      <w:r>
        <w:rPr>
          <w:rFonts w:hint="eastAsia" w:ascii="宋体" w:hAnsi="宋体" w:eastAsia="宋体" w:cs="宋体"/>
          <w:color w:val="auto"/>
          <w:sz w:val="24"/>
          <w:szCs w:val="24"/>
          <w:lang w:val="en-US" w:eastAsia="zh-CN"/>
        </w:rPr>
        <w:t>中标通标书或</w:t>
      </w:r>
      <w:r>
        <w:rPr>
          <w:rFonts w:hint="eastAsia" w:ascii="宋体" w:hAnsi="宋体" w:cs="宋体"/>
          <w:b w:val="0"/>
          <w:bCs/>
          <w:sz w:val="24"/>
          <w:szCs w:val="24"/>
        </w:rPr>
        <w:t>合同</w:t>
      </w:r>
      <w:r>
        <w:rPr>
          <w:rFonts w:hint="eastAsia" w:ascii="宋体" w:hAnsi="宋体" w:cs="宋体"/>
          <w:b w:val="0"/>
          <w:bCs/>
          <w:sz w:val="24"/>
          <w:szCs w:val="24"/>
          <w:lang w:val="en-US" w:eastAsia="zh-CN"/>
        </w:rPr>
        <w:t>协议书</w:t>
      </w:r>
      <w:r>
        <w:rPr>
          <w:rFonts w:hint="eastAsia" w:ascii="宋体" w:hAnsi="宋体" w:cs="宋体"/>
          <w:b w:val="0"/>
          <w:bCs/>
          <w:sz w:val="24"/>
          <w:szCs w:val="24"/>
        </w:rPr>
        <w:t>原件的扫描件，</w:t>
      </w:r>
      <w:r>
        <w:rPr>
          <w:rFonts w:hint="eastAsia" w:ascii="宋体" w:hAnsi="宋体" w:eastAsia="宋体" w:cs="宋体"/>
          <w:color w:val="000000" w:themeColor="text1"/>
          <w:sz w:val="24"/>
          <w:szCs w:val="24"/>
          <w:highlight w:val="none"/>
          <w:lang w:val="en-US" w:eastAsia="zh-CN"/>
          <w14:textFill>
            <w14:solidFill>
              <w14:schemeClr w14:val="tx1"/>
            </w14:solidFill>
          </w14:textFill>
        </w:rPr>
        <w:t>合同协议书</w:t>
      </w:r>
      <w:r>
        <w:rPr>
          <w:rFonts w:hint="eastAsia" w:ascii="宋体" w:hAnsi="宋体" w:eastAsia="宋体" w:cs="宋体"/>
          <w:b w:val="0"/>
          <w:bCs/>
          <w:color w:val="000000" w:themeColor="text1"/>
          <w:sz w:val="24"/>
          <w:szCs w:val="24"/>
          <w:lang w:eastAsia="zh-CN"/>
          <w14:textFill>
            <w14:solidFill>
              <w14:schemeClr w14:val="tx1"/>
            </w14:solidFill>
          </w14:textFill>
        </w:rPr>
        <w:t>以合同签订</w:t>
      </w:r>
      <w:r>
        <w:rPr>
          <w:rFonts w:hint="eastAsia" w:cs="宋体"/>
          <w:b w:val="0"/>
          <w:bCs/>
          <w:color w:val="000000" w:themeColor="text1"/>
          <w:sz w:val="24"/>
          <w:szCs w:val="24"/>
          <w:lang w:val="en-US" w:eastAsia="zh-CN"/>
          <w14:textFill>
            <w14:solidFill>
              <w14:schemeClr w14:val="tx1"/>
            </w14:solidFill>
          </w14:textFill>
        </w:rPr>
        <w:t>日期</w:t>
      </w:r>
      <w:r>
        <w:rPr>
          <w:rFonts w:hint="eastAsia" w:ascii="宋体" w:hAnsi="宋体" w:eastAsia="宋体" w:cs="宋体"/>
          <w:b w:val="0"/>
          <w:bCs/>
          <w:color w:val="000000" w:themeColor="text1"/>
          <w:sz w:val="24"/>
          <w:szCs w:val="24"/>
          <w:lang w:eastAsia="zh-CN"/>
          <w14:textFill>
            <w14:solidFill>
              <w14:schemeClr w14:val="tx1"/>
            </w14:solidFill>
          </w14:textFill>
        </w:rPr>
        <w:t>为准；</w:t>
      </w:r>
      <w:r>
        <w:rPr>
          <w:rFonts w:hint="eastAsia" w:ascii="宋体" w:hAnsi="宋体" w:cs="宋体"/>
          <w:b w:val="0"/>
          <w:bCs/>
          <w:sz w:val="24"/>
          <w:szCs w:val="24"/>
        </w:rPr>
        <w:t>时间要求为</w:t>
      </w:r>
      <w:r>
        <w:rPr>
          <w:rFonts w:hint="eastAsia" w:ascii="宋体" w:hAnsi="宋体" w:cs="宋体"/>
          <w:b w:val="0"/>
          <w:bCs/>
          <w:sz w:val="24"/>
          <w:szCs w:val="24"/>
          <w:lang w:eastAsia="zh-CN"/>
        </w:rPr>
        <w:t>自</w:t>
      </w:r>
      <w:r>
        <w:rPr>
          <w:rFonts w:hint="eastAsia" w:ascii="宋体" w:hAnsi="宋体" w:cs="宋体"/>
          <w:b w:val="0"/>
          <w:bCs/>
          <w:sz w:val="24"/>
          <w:szCs w:val="24"/>
          <w:lang w:val="en-US" w:eastAsia="zh-CN"/>
        </w:rPr>
        <w:t>2023</w:t>
      </w:r>
      <w:r>
        <w:rPr>
          <w:rFonts w:hint="eastAsia" w:ascii="宋体" w:hAnsi="宋体" w:cs="宋体"/>
          <w:b w:val="0"/>
          <w:bCs/>
          <w:sz w:val="24"/>
          <w:szCs w:val="24"/>
        </w:rPr>
        <w:t>年</w:t>
      </w:r>
      <w:r>
        <w:rPr>
          <w:rFonts w:hint="eastAsia" w:ascii="宋体" w:hAnsi="宋体" w:cs="宋体"/>
          <w:b w:val="0"/>
          <w:bCs/>
          <w:sz w:val="24"/>
          <w:szCs w:val="24"/>
          <w:lang w:val="en-US" w:eastAsia="zh-CN"/>
        </w:rPr>
        <w:t>0</w:t>
      </w:r>
      <w:r>
        <w:rPr>
          <w:rFonts w:hint="eastAsia" w:ascii="宋体" w:hAnsi="宋体" w:cs="宋体"/>
          <w:b w:val="0"/>
          <w:bCs/>
          <w:sz w:val="24"/>
          <w:szCs w:val="24"/>
        </w:rPr>
        <w:t>1月</w:t>
      </w:r>
      <w:r>
        <w:rPr>
          <w:rFonts w:hint="eastAsia" w:ascii="宋体" w:hAnsi="宋体" w:cs="宋体"/>
          <w:b w:val="0"/>
          <w:bCs/>
          <w:sz w:val="24"/>
          <w:szCs w:val="24"/>
          <w:lang w:val="en-US" w:eastAsia="zh-CN"/>
        </w:rPr>
        <w:t>0</w:t>
      </w:r>
      <w:r>
        <w:rPr>
          <w:rFonts w:hint="eastAsia" w:ascii="宋体" w:hAnsi="宋体" w:cs="宋体"/>
          <w:b w:val="0"/>
          <w:bCs/>
          <w:sz w:val="24"/>
          <w:szCs w:val="24"/>
        </w:rPr>
        <w:t>1日</w:t>
      </w:r>
      <w:r>
        <w:rPr>
          <w:rFonts w:hint="eastAsia" w:ascii="宋体" w:hAnsi="宋体" w:cs="宋体"/>
          <w:b w:val="0"/>
          <w:bCs/>
          <w:sz w:val="24"/>
          <w:szCs w:val="24"/>
          <w:lang w:val="en-US" w:eastAsia="zh-CN"/>
        </w:rPr>
        <w:t>起至今</w:t>
      </w:r>
      <w:r>
        <w:rPr>
          <w:rFonts w:hint="eastAsia" w:cs="宋体"/>
          <w:color w:val="000000" w:themeColor="text1"/>
          <w:sz w:val="24"/>
          <w:szCs w:val="24"/>
          <w:lang w:val="en-US" w:eastAsia="zh-CN"/>
          <w14:textFill>
            <w14:solidFill>
              <w14:schemeClr w14:val="tx1"/>
            </w14:solidFill>
          </w14:textFill>
        </w:rPr>
        <w:t>。</w:t>
      </w:r>
    </w:p>
    <w:p w14:paraId="7F89485B">
      <w:pPr>
        <w:widowControl w:val="0"/>
        <w:spacing w:line="360" w:lineRule="auto"/>
        <w:jc w:val="left"/>
        <w:rPr>
          <w:rFonts w:hint="eastAsia" w:ascii="宋体" w:hAnsi="宋体" w:cs="宋体"/>
          <w:b w:val="0"/>
          <w:bCs/>
          <w:sz w:val="24"/>
          <w:szCs w:val="24"/>
          <w:lang w:eastAsia="zh-CN"/>
        </w:rPr>
      </w:pPr>
    </w:p>
    <w:p w14:paraId="5D65346B">
      <w:pPr>
        <w:spacing w:line="480" w:lineRule="exact"/>
        <w:jc w:val="center"/>
        <w:outlineLvl w:val="0"/>
        <w:rPr>
          <w:rFonts w:hint="eastAsia" w:ascii="宋体" w:hAnsi="宋体" w:cs="宋体"/>
          <w:b/>
          <w:sz w:val="24"/>
          <w:szCs w:val="24"/>
          <w:lang w:eastAsia="zh-CN"/>
        </w:rPr>
      </w:pPr>
    </w:p>
    <w:p w14:paraId="1E4D6896">
      <w:pPr>
        <w:pStyle w:val="20"/>
        <w:rPr>
          <w:rFonts w:hint="eastAsia" w:ascii="宋体" w:hAnsi="宋体" w:cs="宋体"/>
          <w:b/>
          <w:sz w:val="24"/>
          <w:szCs w:val="24"/>
          <w:lang w:eastAsia="zh-CN"/>
        </w:rPr>
      </w:pPr>
    </w:p>
    <w:p w14:paraId="3721E5F6">
      <w:pPr>
        <w:pStyle w:val="13"/>
        <w:ind w:left="0" w:leftChars="0" w:firstLine="0" w:firstLineChars="0"/>
        <w:rPr>
          <w:rFonts w:hint="eastAsia" w:ascii="宋体" w:hAnsi="宋体" w:cs="宋体"/>
          <w:b/>
          <w:sz w:val="24"/>
          <w:szCs w:val="24"/>
          <w:lang w:eastAsia="zh-CN"/>
        </w:rPr>
      </w:pPr>
    </w:p>
    <w:p w14:paraId="56241584">
      <w:pPr>
        <w:pStyle w:val="13"/>
        <w:rPr>
          <w:rFonts w:hint="eastAsia" w:ascii="宋体" w:hAnsi="宋体" w:cs="宋体"/>
          <w:b/>
          <w:sz w:val="24"/>
          <w:szCs w:val="24"/>
          <w:lang w:eastAsia="zh-CN"/>
        </w:rPr>
      </w:pPr>
    </w:p>
    <w:p w14:paraId="18CB2CCF">
      <w:pPr>
        <w:spacing w:line="480" w:lineRule="exact"/>
        <w:jc w:val="center"/>
        <w:outlineLvl w:val="0"/>
        <w:rPr>
          <w:rFonts w:hint="eastAsia" w:ascii="宋体" w:hAnsi="宋体" w:cs="宋体"/>
          <w:b/>
          <w:sz w:val="24"/>
          <w:szCs w:val="24"/>
          <w:lang w:eastAsia="zh-CN"/>
        </w:rPr>
      </w:pPr>
    </w:p>
    <w:p w14:paraId="3F61DE90">
      <w:pPr>
        <w:spacing w:line="480" w:lineRule="exact"/>
        <w:jc w:val="center"/>
        <w:outlineLvl w:val="0"/>
        <w:rPr>
          <w:rFonts w:hint="eastAsia" w:ascii="宋体" w:hAnsi="宋体" w:cs="宋体"/>
          <w:b/>
          <w:sz w:val="24"/>
          <w:szCs w:val="24"/>
          <w:lang w:eastAsia="zh-CN"/>
        </w:rPr>
      </w:pPr>
    </w:p>
    <w:p w14:paraId="0877684A">
      <w:pPr>
        <w:spacing w:line="480" w:lineRule="exact"/>
        <w:jc w:val="center"/>
        <w:outlineLvl w:val="0"/>
        <w:rPr>
          <w:rFonts w:hint="eastAsia" w:ascii="宋体" w:hAnsi="宋体" w:cs="宋体"/>
          <w:b/>
          <w:sz w:val="24"/>
          <w:szCs w:val="24"/>
          <w:lang w:eastAsia="zh-CN"/>
        </w:rPr>
      </w:pPr>
    </w:p>
    <w:p w14:paraId="4DE66EC6">
      <w:pPr>
        <w:spacing w:line="360" w:lineRule="auto"/>
        <w:jc w:val="center"/>
        <w:rPr>
          <w:rFonts w:hint="eastAsia" w:ascii="宋体" w:hAnsi="宋体" w:eastAsia="宋体" w:cs="Times New Roman"/>
          <w:b w:val="0"/>
          <w:bCs/>
          <w:sz w:val="24"/>
          <w:lang w:eastAsia="zh-CN"/>
        </w:rPr>
      </w:pPr>
      <w:bookmarkStart w:id="89" w:name="_Toc8399"/>
      <w:bookmarkStart w:id="90" w:name="_Toc16692"/>
    </w:p>
    <w:p w14:paraId="5BEA8732">
      <w:pPr>
        <w:spacing w:line="360" w:lineRule="auto"/>
        <w:jc w:val="center"/>
        <w:rPr>
          <w:rFonts w:hint="eastAsia" w:ascii="宋体" w:hAnsi="宋体" w:eastAsia="宋体" w:cs="Times New Roman"/>
          <w:b w:val="0"/>
          <w:bCs/>
          <w:sz w:val="24"/>
          <w:lang w:eastAsia="zh-CN"/>
        </w:rPr>
      </w:pPr>
    </w:p>
    <w:p w14:paraId="0B280D94">
      <w:pPr>
        <w:spacing w:line="360" w:lineRule="auto"/>
        <w:jc w:val="center"/>
        <w:rPr>
          <w:rFonts w:hint="eastAsia" w:ascii="宋体" w:hAnsi="宋体" w:cs="仿宋"/>
          <w:b/>
          <w:kern w:val="2"/>
          <w:sz w:val="24"/>
          <w:szCs w:val="24"/>
        </w:rPr>
      </w:pPr>
      <w:r>
        <w:rPr>
          <w:rFonts w:hint="eastAsia" w:ascii="宋体" w:hAnsi="宋体" w:eastAsia="宋体" w:cs="Times New Roman"/>
          <w:b w:val="0"/>
          <w:bCs/>
          <w:sz w:val="24"/>
          <w:lang w:eastAsia="zh-CN"/>
        </w:rPr>
        <w:t>（</w:t>
      </w:r>
      <w:r>
        <w:rPr>
          <w:rFonts w:hint="eastAsia" w:ascii="宋体" w:hAnsi="宋体" w:eastAsia="宋体" w:cs="Times New Roman"/>
          <w:b w:val="0"/>
          <w:bCs/>
          <w:sz w:val="24"/>
          <w:lang w:val="en-US" w:eastAsia="zh-CN"/>
        </w:rPr>
        <w:t>二</w:t>
      </w:r>
      <w:r>
        <w:rPr>
          <w:rFonts w:hint="eastAsia" w:ascii="宋体" w:hAnsi="宋体" w:eastAsia="宋体" w:cs="Times New Roman"/>
          <w:b w:val="0"/>
          <w:bCs/>
          <w:sz w:val="24"/>
          <w:lang w:eastAsia="zh-CN"/>
        </w:rPr>
        <w:t>）</w:t>
      </w:r>
      <w:r>
        <w:rPr>
          <w:rFonts w:hint="eastAsia" w:ascii="宋体" w:hAnsi="宋体"/>
          <w:kern w:val="0"/>
          <w:sz w:val="24"/>
          <w:szCs w:val="24"/>
          <w:lang w:val="en-US" w:eastAsia="zh-CN"/>
        </w:rPr>
        <w:t>商务</w:t>
      </w:r>
      <w:r>
        <w:rPr>
          <w:rFonts w:hint="eastAsia" w:ascii="宋体" w:hAnsi="宋体" w:eastAsia="宋体" w:cs="Times New Roman"/>
          <w:b w:val="0"/>
          <w:bCs/>
          <w:sz w:val="24"/>
          <w:lang w:eastAsia="zh-CN"/>
        </w:rPr>
        <w:t>标其他资料</w:t>
      </w:r>
    </w:p>
    <w:p w14:paraId="0F106EB4">
      <w:pPr>
        <w:spacing w:line="480" w:lineRule="exact"/>
        <w:jc w:val="center"/>
        <w:outlineLvl w:val="0"/>
        <w:rPr>
          <w:rFonts w:hint="eastAsia" w:ascii="宋体" w:hAnsi="宋体" w:cs="仿宋"/>
          <w:b w:val="0"/>
          <w:bCs/>
          <w:kern w:val="2"/>
          <w:sz w:val="24"/>
          <w:szCs w:val="24"/>
        </w:rPr>
      </w:pPr>
      <w:r>
        <w:rPr>
          <w:rFonts w:hint="eastAsia" w:ascii="宋体" w:hAnsi="宋体" w:cs="仿宋"/>
          <w:b w:val="0"/>
          <w:bCs/>
          <w:kern w:val="2"/>
          <w:sz w:val="24"/>
          <w:szCs w:val="24"/>
          <w:lang w:eastAsia="zh-CN"/>
        </w:rPr>
        <w:t>（</w:t>
      </w:r>
      <w:r>
        <w:rPr>
          <w:rFonts w:hint="eastAsia" w:ascii="宋体" w:hAnsi="宋体" w:cs="仿宋"/>
          <w:b w:val="0"/>
          <w:bCs/>
          <w:kern w:val="2"/>
          <w:sz w:val="24"/>
          <w:szCs w:val="24"/>
        </w:rPr>
        <w:t>内容应包括但不限制于评分办法提到的内容</w:t>
      </w:r>
      <w:r>
        <w:rPr>
          <w:rFonts w:hint="eastAsia" w:ascii="宋体" w:hAnsi="宋体" w:cs="仿宋"/>
          <w:b w:val="0"/>
          <w:bCs/>
          <w:kern w:val="2"/>
          <w:sz w:val="24"/>
          <w:szCs w:val="24"/>
          <w:lang w:eastAsia="zh-CN"/>
        </w:rPr>
        <w:t>，</w:t>
      </w:r>
      <w:r>
        <w:rPr>
          <w:rFonts w:hint="eastAsia" w:ascii="宋体" w:hAnsi="宋体" w:cs="仿宋"/>
          <w:b w:val="0"/>
          <w:bCs/>
          <w:kern w:val="2"/>
          <w:sz w:val="24"/>
          <w:szCs w:val="24"/>
        </w:rPr>
        <w:t>格式自拟，应逐页加盖</w:t>
      </w:r>
      <w:r>
        <w:rPr>
          <w:rFonts w:hint="eastAsia" w:ascii="宋体" w:hAnsi="宋体" w:cs="仿宋"/>
          <w:b w:val="0"/>
          <w:bCs/>
          <w:kern w:val="2"/>
          <w:sz w:val="24"/>
          <w:szCs w:val="24"/>
          <w:lang w:eastAsia="zh-CN"/>
        </w:rPr>
        <w:t>公章</w:t>
      </w:r>
      <w:r>
        <w:rPr>
          <w:rFonts w:hint="eastAsia" w:ascii="宋体" w:hAnsi="宋体" w:cs="仿宋"/>
          <w:b w:val="0"/>
          <w:bCs/>
          <w:kern w:val="2"/>
          <w:sz w:val="24"/>
          <w:szCs w:val="24"/>
        </w:rPr>
        <w:t>电子签章）</w:t>
      </w:r>
      <w:bookmarkEnd w:id="89"/>
      <w:bookmarkEnd w:id="90"/>
    </w:p>
    <w:p w14:paraId="097C5D37">
      <w:pPr>
        <w:spacing w:line="480" w:lineRule="exact"/>
        <w:jc w:val="center"/>
        <w:outlineLvl w:val="0"/>
        <w:rPr>
          <w:rFonts w:hint="eastAsia" w:ascii="宋体" w:hAnsi="宋体" w:eastAsia="宋体" w:cs="宋体"/>
          <w:b/>
          <w:color w:val="auto"/>
          <w:sz w:val="24"/>
          <w:szCs w:val="24"/>
        </w:rPr>
      </w:pPr>
    </w:p>
    <w:p w14:paraId="333B8A27">
      <w:pPr>
        <w:spacing w:line="480" w:lineRule="exact"/>
        <w:jc w:val="center"/>
        <w:outlineLvl w:val="0"/>
        <w:rPr>
          <w:rFonts w:hint="eastAsia" w:ascii="宋体" w:hAnsi="宋体" w:eastAsia="宋体" w:cs="宋体"/>
          <w:b/>
          <w:color w:val="auto"/>
          <w:sz w:val="24"/>
          <w:szCs w:val="24"/>
        </w:rPr>
      </w:pPr>
    </w:p>
    <w:p w14:paraId="0636D603">
      <w:pPr>
        <w:spacing w:line="480" w:lineRule="exact"/>
        <w:jc w:val="center"/>
        <w:outlineLvl w:val="0"/>
        <w:rPr>
          <w:rFonts w:hint="eastAsia" w:ascii="宋体" w:hAnsi="宋体" w:eastAsia="宋体" w:cs="宋体"/>
          <w:b/>
          <w:color w:val="auto"/>
          <w:sz w:val="24"/>
          <w:szCs w:val="24"/>
        </w:rPr>
      </w:pPr>
    </w:p>
    <w:p w14:paraId="22FF618F">
      <w:pPr>
        <w:spacing w:line="480" w:lineRule="exact"/>
        <w:jc w:val="center"/>
        <w:outlineLvl w:val="0"/>
        <w:rPr>
          <w:rFonts w:hint="eastAsia" w:ascii="宋体" w:hAnsi="宋体" w:eastAsia="宋体" w:cs="宋体"/>
          <w:b/>
          <w:color w:val="auto"/>
          <w:sz w:val="24"/>
          <w:szCs w:val="24"/>
        </w:rPr>
      </w:pPr>
    </w:p>
    <w:p w14:paraId="36D9F307">
      <w:pPr>
        <w:spacing w:line="480" w:lineRule="exact"/>
        <w:jc w:val="center"/>
        <w:outlineLvl w:val="0"/>
        <w:rPr>
          <w:rFonts w:hint="eastAsia" w:ascii="宋体" w:hAnsi="宋体" w:eastAsia="宋体" w:cs="宋体"/>
          <w:b/>
          <w:color w:val="auto"/>
          <w:sz w:val="24"/>
          <w:szCs w:val="24"/>
        </w:rPr>
      </w:pPr>
    </w:p>
    <w:p w14:paraId="298A6934">
      <w:pPr>
        <w:spacing w:line="480" w:lineRule="exact"/>
        <w:jc w:val="center"/>
        <w:outlineLvl w:val="0"/>
        <w:rPr>
          <w:rFonts w:hint="eastAsia" w:ascii="宋体" w:hAnsi="宋体" w:eastAsia="宋体" w:cs="宋体"/>
          <w:b/>
          <w:color w:val="auto"/>
          <w:sz w:val="24"/>
          <w:szCs w:val="24"/>
        </w:rPr>
      </w:pPr>
    </w:p>
    <w:p w14:paraId="04421227">
      <w:pPr>
        <w:spacing w:line="480" w:lineRule="exact"/>
        <w:jc w:val="center"/>
        <w:outlineLvl w:val="0"/>
        <w:rPr>
          <w:rFonts w:hint="eastAsia" w:ascii="宋体" w:hAnsi="宋体" w:eastAsia="宋体" w:cs="宋体"/>
          <w:b/>
          <w:color w:val="auto"/>
          <w:sz w:val="24"/>
          <w:szCs w:val="24"/>
        </w:rPr>
      </w:pPr>
    </w:p>
    <w:p w14:paraId="2265BB0C">
      <w:pPr>
        <w:spacing w:line="480" w:lineRule="exact"/>
        <w:jc w:val="center"/>
        <w:outlineLvl w:val="0"/>
        <w:rPr>
          <w:rFonts w:hint="eastAsia" w:ascii="宋体" w:hAnsi="宋体" w:eastAsia="宋体" w:cs="宋体"/>
          <w:b/>
          <w:color w:val="auto"/>
          <w:sz w:val="24"/>
          <w:szCs w:val="24"/>
        </w:rPr>
      </w:pPr>
    </w:p>
    <w:p w14:paraId="5DC41804">
      <w:pPr>
        <w:spacing w:line="480" w:lineRule="exact"/>
        <w:jc w:val="center"/>
        <w:outlineLvl w:val="0"/>
        <w:rPr>
          <w:rFonts w:hint="eastAsia" w:ascii="宋体" w:hAnsi="宋体" w:eastAsia="宋体" w:cs="宋体"/>
          <w:b/>
          <w:color w:val="auto"/>
          <w:sz w:val="24"/>
          <w:szCs w:val="24"/>
        </w:rPr>
      </w:pPr>
    </w:p>
    <w:p w14:paraId="1F4CF5E0">
      <w:pPr>
        <w:spacing w:line="480" w:lineRule="exact"/>
        <w:jc w:val="center"/>
        <w:outlineLvl w:val="0"/>
        <w:rPr>
          <w:rFonts w:hint="eastAsia" w:ascii="宋体" w:hAnsi="宋体" w:eastAsia="宋体" w:cs="宋体"/>
          <w:b/>
          <w:color w:val="auto"/>
          <w:sz w:val="24"/>
          <w:szCs w:val="24"/>
        </w:rPr>
      </w:pPr>
    </w:p>
    <w:p w14:paraId="3EF24CAC">
      <w:pPr>
        <w:spacing w:line="480" w:lineRule="exact"/>
        <w:jc w:val="center"/>
        <w:outlineLvl w:val="0"/>
        <w:rPr>
          <w:rFonts w:hint="eastAsia" w:ascii="宋体" w:hAnsi="宋体" w:eastAsia="宋体" w:cs="宋体"/>
          <w:b/>
          <w:color w:val="auto"/>
          <w:sz w:val="24"/>
          <w:szCs w:val="24"/>
        </w:rPr>
      </w:pPr>
    </w:p>
    <w:p w14:paraId="5616F99E">
      <w:pPr>
        <w:spacing w:line="480" w:lineRule="exact"/>
        <w:jc w:val="center"/>
        <w:outlineLvl w:val="0"/>
        <w:rPr>
          <w:rFonts w:hint="eastAsia" w:ascii="宋体" w:hAnsi="宋体" w:eastAsia="宋体" w:cs="宋体"/>
          <w:b/>
          <w:color w:val="auto"/>
          <w:sz w:val="24"/>
          <w:szCs w:val="24"/>
        </w:rPr>
      </w:pPr>
    </w:p>
    <w:p w14:paraId="026DF3E8">
      <w:pPr>
        <w:spacing w:line="480" w:lineRule="exact"/>
        <w:jc w:val="center"/>
        <w:outlineLvl w:val="0"/>
        <w:rPr>
          <w:rFonts w:hint="eastAsia" w:ascii="宋体" w:hAnsi="宋体" w:eastAsia="宋体" w:cs="宋体"/>
          <w:b/>
          <w:color w:val="auto"/>
          <w:sz w:val="24"/>
          <w:szCs w:val="24"/>
        </w:rPr>
      </w:pPr>
    </w:p>
    <w:p w14:paraId="035106D0">
      <w:pPr>
        <w:spacing w:line="480" w:lineRule="exact"/>
        <w:jc w:val="center"/>
        <w:outlineLvl w:val="0"/>
        <w:rPr>
          <w:rFonts w:hint="eastAsia" w:ascii="宋体" w:hAnsi="宋体" w:eastAsia="宋体" w:cs="宋体"/>
          <w:b/>
          <w:color w:val="auto"/>
          <w:sz w:val="24"/>
          <w:szCs w:val="24"/>
        </w:rPr>
      </w:pPr>
    </w:p>
    <w:p w14:paraId="4EFCFE8C">
      <w:pPr>
        <w:spacing w:line="480" w:lineRule="exact"/>
        <w:jc w:val="center"/>
        <w:outlineLvl w:val="0"/>
        <w:rPr>
          <w:rFonts w:hint="eastAsia" w:ascii="宋体" w:hAnsi="宋体" w:eastAsia="宋体" w:cs="宋体"/>
          <w:b/>
          <w:color w:val="auto"/>
          <w:sz w:val="24"/>
          <w:szCs w:val="24"/>
        </w:rPr>
      </w:pPr>
    </w:p>
    <w:p w14:paraId="3C9B533A">
      <w:pPr>
        <w:spacing w:line="480" w:lineRule="exact"/>
        <w:jc w:val="center"/>
        <w:outlineLvl w:val="0"/>
        <w:rPr>
          <w:rFonts w:hint="eastAsia" w:ascii="宋体" w:hAnsi="宋体" w:eastAsia="宋体" w:cs="宋体"/>
          <w:b/>
          <w:color w:val="auto"/>
          <w:sz w:val="24"/>
          <w:szCs w:val="24"/>
        </w:rPr>
      </w:pPr>
    </w:p>
    <w:p w14:paraId="5265AF57">
      <w:pPr>
        <w:spacing w:line="480" w:lineRule="exact"/>
        <w:jc w:val="center"/>
        <w:outlineLvl w:val="0"/>
        <w:rPr>
          <w:rFonts w:hint="eastAsia" w:ascii="宋体" w:hAnsi="宋体" w:eastAsia="宋体" w:cs="宋体"/>
          <w:b/>
          <w:color w:val="auto"/>
          <w:sz w:val="24"/>
          <w:szCs w:val="24"/>
        </w:rPr>
      </w:pPr>
    </w:p>
    <w:bookmarkEnd w:id="59"/>
    <w:p w14:paraId="1EED94A8">
      <w:pPr>
        <w:widowControl w:val="0"/>
        <w:spacing w:line="360" w:lineRule="auto"/>
        <w:jc w:val="center"/>
        <w:outlineLvl w:val="1"/>
        <w:rPr>
          <w:rFonts w:hint="eastAsia" w:ascii="宋体" w:hAnsi="宋体" w:cs="仿宋"/>
          <w:b/>
          <w:kern w:val="2"/>
          <w:sz w:val="24"/>
          <w:szCs w:val="24"/>
          <w:lang w:eastAsia="zh-CN"/>
        </w:rPr>
      </w:pPr>
    </w:p>
    <w:p w14:paraId="3EC0BBAD">
      <w:pPr>
        <w:pStyle w:val="13"/>
        <w:rPr>
          <w:rFonts w:hint="eastAsia" w:ascii="宋体" w:hAnsi="宋体" w:cs="仿宋"/>
          <w:b/>
          <w:kern w:val="2"/>
          <w:sz w:val="24"/>
          <w:szCs w:val="24"/>
          <w:lang w:eastAsia="zh-CN"/>
        </w:rPr>
      </w:pPr>
    </w:p>
    <w:p w14:paraId="1A71A54D">
      <w:pPr>
        <w:pStyle w:val="13"/>
        <w:rPr>
          <w:rFonts w:hint="eastAsia" w:ascii="宋体" w:hAnsi="宋体" w:cs="仿宋"/>
          <w:b/>
          <w:kern w:val="2"/>
          <w:sz w:val="24"/>
          <w:szCs w:val="24"/>
          <w:lang w:eastAsia="zh-CN"/>
        </w:rPr>
      </w:pPr>
    </w:p>
    <w:p w14:paraId="783FC990">
      <w:pPr>
        <w:pStyle w:val="13"/>
        <w:rPr>
          <w:rFonts w:hint="eastAsia" w:ascii="宋体" w:hAnsi="宋体" w:cs="仿宋"/>
          <w:b/>
          <w:kern w:val="2"/>
          <w:sz w:val="24"/>
          <w:szCs w:val="24"/>
          <w:lang w:eastAsia="zh-CN"/>
        </w:rPr>
      </w:pPr>
    </w:p>
    <w:p w14:paraId="4F38F169">
      <w:pPr>
        <w:pStyle w:val="13"/>
        <w:rPr>
          <w:rFonts w:hint="eastAsia" w:ascii="宋体" w:hAnsi="宋体" w:cs="仿宋"/>
          <w:b/>
          <w:kern w:val="2"/>
          <w:sz w:val="24"/>
          <w:szCs w:val="24"/>
          <w:lang w:eastAsia="zh-CN"/>
        </w:rPr>
      </w:pPr>
    </w:p>
    <w:p w14:paraId="190A2AF3">
      <w:pPr>
        <w:pStyle w:val="13"/>
        <w:rPr>
          <w:rFonts w:hint="eastAsia" w:ascii="宋体" w:hAnsi="宋体" w:cs="仿宋"/>
          <w:b/>
          <w:kern w:val="2"/>
          <w:sz w:val="24"/>
          <w:szCs w:val="24"/>
          <w:lang w:eastAsia="zh-CN"/>
        </w:rPr>
      </w:pPr>
    </w:p>
    <w:p w14:paraId="0F847F6B">
      <w:pPr>
        <w:pStyle w:val="13"/>
        <w:rPr>
          <w:rFonts w:hint="eastAsia" w:ascii="宋体" w:hAnsi="宋体" w:cs="仿宋"/>
          <w:b/>
          <w:kern w:val="2"/>
          <w:sz w:val="24"/>
          <w:szCs w:val="24"/>
          <w:lang w:eastAsia="zh-CN"/>
        </w:rPr>
      </w:pPr>
    </w:p>
    <w:p w14:paraId="323582A4">
      <w:pPr>
        <w:pStyle w:val="13"/>
        <w:rPr>
          <w:rFonts w:hint="eastAsia" w:ascii="宋体" w:hAnsi="宋体" w:cs="仿宋"/>
          <w:b/>
          <w:kern w:val="2"/>
          <w:sz w:val="24"/>
          <w:szCs w:val="24"/>
          <w:lang w:eastAsia="zh-CN"/>
        </w:rPr>
      </w:pPr>
    </w:p>
    <w:p w14:paraId="03847612">
      <w:pPr>
        <w:pStyle w:val="13"/>
        <w:rPr>
          <w:rFonts w:hint="eastAsia" w:ascii="宋体" w:hAnsi="宋体" w:cs="仿宋"/>
          <w:b/>
          <w:kern w:val="2"/>
          <w:sz w:val="24"/>
          <w:szCs w:val="24"/>
          <w:lang w:eastAsia="zh-CN"/>
        </w:rPr>
      </w:pPr>
    </w:p>
    <w:p w14:paraId="54165063">
      <w:pPr>
        <w:widowControl w:val="0"/>
        <w:spacing w:line="360" w:lineRule="auto"/>
        <w:jc w:val="center"/>
        <w:outlineLvl w:val="1"/>
        <w:rPr>
          <w:rFonts w:hint="eastAsia" w:ascii="宋体" w:hAnsi="宋体" w:cs="仿宋"/>
          <w:b/>
          <w:kern w:val="2"/>
          <w:sz w:val="24"/>
          <w:szCs w:val="24"/>
          <w:lang w:eastAsia="zh-CN"/>
        </w:rPr>
      </w:pPr>
    </w:p>
    <w:p w14:paraId="207D33D0">
      <w:pPr>
        <w:widowControl w:val="0"/>
        <w:spacing w:line="360" w:lineRule="auto"/>
        <w:jc w:val="center"/>
        <w:outlineLvl w:val="1"/>
        <w:rPr>
          <w:rFonts w:ascii="宋体" w:hAnsi="宋体" w:cs="仿宋"/>
          <w:b/>
          <w:kern w:val="2"/>
          <w:sz w:val="24"/>
          <w:szCs w:val="24"/>
        </w:rPr>
      </w:pPr>
      <w:r>
        <w:rPr>
          <w:rFonts w:hint="eastAsia" w:ascii="宋体" w:hAnsi="宋体" w:cs="仿宋"/>
          <w:b/>
          <w:kern w:val="2"/>
          <w:sz w:val="24"/>
          <w:szCs w:val="24"/>
          <w:lang w:eastAsia="zh-CN"/>
        </w:rPr>
        <w:t>七</w:t>
      </w:r>
      <w:r>
        <w:rPr>
          <w:rFonts w:hint="eastAsia" w:ascii="宋体" w:hAnsi="宋体" w:cs="仿宋"/>
          <w:b/>
          <w:kern w:val="2"/>
          <w:sz w:val="24"/>
          <w:szCs w:val="24"/>
        </w:rPr>
        <w:t>、供应商认为应附的其他资料</w:t>
      </w:r>
    </w:p>
    <w:p w14:paraId="21BFD47D">
      <w:pPr>
        <w:spacing w:line="480" w:lineRule="exact"/>
        <w:jc w:val="center"/>
        <w:outlineLvl w:val="0"/>
        <w:rPr>
          <w:rFonts w:hint="eastAsia" w:ascii="宋体" w:hAnsi="宋体" w:cs="仿宋"/>
          <w:b w:val="0"/>
          <w:bCs/>
          <w:kern w:val="2"/>
          <w:sz w:val="24"/>
          <w:szCs w:val="24"/>
        </w:rPr>
      </w:pPr>
      <w:bookmarkStart w:id="91" w:name="_Toc20442"/>
      <w:bookmarkStart w:id="92" w:name="_Toc28712"/>
      <w:r>
        <w:rPr>
          <w:rFonts w:hint="eastAsia" w:ascii="宋体" w:hAnsi="宋体" w:cs="仿宋"/>
          <w:b w:val="0"/>
          <w:bCs/>
          <w:kern w:val="2"/>
          <w:sz w:val="24"/>
          <w:szCs w:val="24"/>
        </w:rPr>
        <w:t>（格式自拟，应逐页加盖</w:t>
      </w:r>
      <w:r>
        <w:rPr>
          <w:rFonts w:hint="eastAsia" w:ascii="宋体" w:hAnsi="宋体" w:cs="仿宋"/>
          <w:b w:val="0"/>
          <w:bCs/>
          <w:kern w:val="2"/>
          <w:sz w:val="24"/>
          <w:szCs w:val="24"/>
          <w:lang w:eastAsia="zh-CN"/>
        </w:rPr>
        <w:t>公章</w:t>
      </w:r>
      <w:r>
        <w:rPr>
          <w:rFonts w:hint="eastAsia" w:ascii="宋体" w:hAnsi="宋体" w:cs="仿宋"/>
          <w:b w:val="0"/>
          <w:bCs/>
          <w:kern w:val="2"/>
          <w:sz w:val="24"/>
          <w:szCs w:val="24"/>
        </w:rPr>
        <w:t>电子签章）</w:t>
      </w:r>
      <w:bookmarkEnd w:id="91"/>
      <w:bookmarkEnd w:id="92"/>
    </w:p>
    <w:p w14:paraId="58510666">
      <w:pPr>
        <w:widowControl w:val="0"/>
        <w:spacing w:line="360" w:lineRule="auto"/>
        <w:jc w:val="center"/>
        <w:outlineLvl w:val="1"/>
        <w:rPr>
          <w:rFonts w:hint="eastAsia" w:ascii="宋体" w:hAnsi="宋体" w:cs="仿宋"/>
          <w:b/>
          <w:kern w:val="2"/>
          <w:sz w:val="24"/>
          <w:szCs w:val="24"/>
        </w:rPr>
      </w:pPr>
    </w:p>
    <w:p w14:paraId="395B697A">
      <w:pPr>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宋体" w:hAnsi="宋体" w:eastAsia="宋体" w:cs="宋体"/>
          <w:color w:val="auto"/>
          <w:sz w:val="24"/>
          <w:szCs w:val="24"/>
        </w:rPr>
      </w:pPr>
      <w:r>
        <w:rPr>
          <w:rFonts w:hint="eastAsia" w:ascii="宋体" w:hAnsi="宋体" w:cs="宋体"/>
          <w:b/>
          <w:sz w:val="24"/>
          <w:szCs w:val="24"/>
        </w:rPr>
        <w:br w:type="page"/>
      </w:r>
      <w:bookmarkStart w:id="93" w:name="_Toc269219207"/>
      <w:bookmarkEnd w:id="93"/>
      <w:r>
        <w:rPr>
          <w:rFonts w:hint="eastAsia" w:ascii="宋体" w:hAnsi="宋体" w:cs="宋体"/>
          <w:b/>
          <w:sz w:val="24"/>
          <w:szCs w:val="24"/>
          <w:lang w:eastAsia="zh-CN"/>
        </w:rPr>
        <w:t>附件：</w:t>
      </w:r>
      <w:r>
        <w:rPr>
          <w:rFonts w:hint="eastAsia" w:ascii="宋体" w:hAnsi="宋体" w:cs="宋体"/>
          <w:b/>
          <w:sz w:val="24"/>
          <w:szCs w:val="24"/>
          <w:lang w:val="en-US" w:eastAsia="zh-CN"/>
        </w:rPr>
        <w:t xml:space="preserve">                     </w:t>
      </w:r>
      <w:r>
        <w:rPr>
          <w:rFonts w:hint="eastAsia" w:ascii="宋体" w:hAnsi="宋体" w:eastAsia="宋体" w:cs="宋体"/>
          <w:b/>
          <w:color w:val="auto"/>
          <w:sz w:val="24"/>
          <w:szCs w:val="21"/>
        </w:rPr>
        <w:t>中小企业声明函</w:t>
      </w:r>
      <w:bookmarkStart w:id="94" w:name="_Toc9571_WPSOffice_Level2"/>
      <w:bookmarkStart w:id="95" w:name="_Toc32209_WPSOffice_Level2"/>
      <w:bookmarkStart w:id="96" w:name="_Toc5242_WPSOffice_Level2"/>
    </w:p>
    <w:bookmarkEnd w:id="94"/>
    <w:bookmarkEnd w:id="95"/>
    <w:bookmarkEnd w:id="96"/>
    <w:p w14:paraId="2465FFE2">
      <w:pPr>
        <w:pStyle w:val="13"/>
        <w:keepNext w:val="0"/>
        <w:keepLines w:val="0"/>
        <w:pageBreakBefore w:val="0"/>
        <w:kinsoku/>
        <w:wordWrap/>
        <w:overflowPunct/>
        <w:topLinePunct w:val="0"/>
        <w:autoSpaceDE/>
        <w:autoSpaceDN/>
        <w:bidi w:val="0"/>
        <w:adjustRightInd/>
        <w:snapToGrid/>
        <w:spacing w:line="600" w:lineRule="exact"/>
        <w:ind w:firstLine="480"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中小企业声明函（</w:t>
      </w:r>
      <w:r>
        <w:rPr>
          <w:rFonts w:hint="eastAsia" w:ascii="宋体" w:hAnsi="宋体" w:eastAsia="宋体" w:cs="宋体"/>
          <w:color w:val="auto"/>
          <w:sz w:val="24"/>
          <w:szCs w:val="24"/>
          <w:lang w:val="en-US" w:eastAsia="zh-CN"/>
        </w:rPr>
        <w:t>工程、</w:t>
      </w:r>
      <w:r>
        <w:rPr>
          <w:rFonts w:hint="eastAsia" w:ascii="宋体" w:hAnsi="宋体" w:eastAsia="宋体" w:cs="宋体"/>
          <w:color w:val="auto"/>
          <w:sz w:val="24"/>
          <w:szCs w:val="24"/>
        </w:rPr>
        <w:t>服务）</w:t>
      </w:r>
    </w:p>
    <w:p w14:paraId="3797FB94">
      <w:pPr>
        <w:pStyle w:val="13"/>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本公司（联合体）郑重声明，根据《政府采购促进中小企业发展管理办法》（财库（2020）46号）的规定，本公司（联合体）参加</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rPr>
        <w:t>采购活动，</w:t>
      </w:r>
      <w:r>
        <w:rPr>
          <w:rFonts w:hint="eastAsia" w:ascii="宋体" w:hAnsi="宋体" w:eastAsia="宋体" w:cs="宋体"/>
          <w:color w:val="auto"/>
          <w:sz w:val="24"/>
          <w:szCs w:val="24"/>
          <w:lang w:val="en-US" w:eastAsia="zh-CN"/>
        </w:rPr>
        <w:t>工程的施工单位全部为符合政策要求的中小企业（或者：服务全部由符合政策要求的中小企业承接）。</w:t>
      </w:r>
      <w:r>
        <w:rPr>
          <w:rFonts w:hint="eastAsia" w:ascii="宋体" w:hAnsi="宋体" w:eastAsia="宋体" w:cs="宋体"/>
          <w:color w:val="auto"/>
          <w:sz w:val="24"/>
          <w:szCs w:val="24"/>
        </w:rPr>
        <w:t>相关企业（含联合体中的中小企业、签订分包意向协议的中小企业）的具体情况如下：</w:t>
      </w:r>
    </w:p>
    <w:p w14:paraId="2425A945">
      <w:pPr>
        <w:pStyle w:val="13"/>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rPr>
        <w:t>；承建（承接）企业为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（中型企业、小型企业、微型企业）</w:t>
      </w:r>
      <w:r>
        <w:rPr>
          <w:rFonts w:hint="eastAsia" w:ascii="宋体" w:hAnsi="宋体" w:eastAsia="宋体" w:cs="宋体"/>
          <w:color w:val="auto"/>
          <w:sz w:val="24"/>
          <w:szCs w:val="24"/>
        </w:rPr>
        <w:t>；</w:t>
      </w:r>
    </w:p>
    <w:p w14:paraId="1D961A42">
      <w:pPr>
        <w:pStyle w:val="13"/>
        <w:spacing w:line="500" w:lineRule="exact"/>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u w:val="none"/>
        </w:rPr>
        <w:t>，属于</w:t>
      </w:r>
      <w:r>
        <w:rPr>
          <w:rFonts w:hint="eastAsia" w:ascii="宋体" w:hAnsi="宋体" w:eastAsia="宋体" w:cs="宋体"/>
          <w:color w:val="auto"/>
          <w:sz w:val="24"/>
          <w:szCs w:val="24"/>
          <w:u w:val="single"/>
        </w:rPr>
        <w:t>（采购文件中明确的所属行业）</w:t>
      </w:r>
      <w:r>
        <w:rPr>
          <w:rFonts w:hint="eastAsia" w:ascii="宋体" w:hAnsi="宋体" w:eastAsia="宋体" w:cs="宋体"/>
          <w:color w:val="auto"/>
          <w:sz w:val="24"/>
          <w:szCs w:val="24"/>
          <w:u w:val="none"/>
        </w:rPr>
        <w:t>；承建（承接）企业为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u w:val="none"/>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none"/>
        </w:rPr>
        <w:t>万元，属于</w:t>
      </w:r>
      <w:r>
        <w:rPr>
          <w:rFonts w:hint="eastAsia" w:ascii="宋体" w:hAnsi="宋体" w:eastAsia="宋体" w:cs="宋体"/>
          <w:color w:val="auto"/>
          <w:sz w:val="24"/>
          <w:szCs w:val="24"/>
          <w:u w:val="single"/>
        </w:rPr>
        <w:t>（中型企业、小型企业、微型企业）；</w:t>
      </w:r>
    </w:p>
    <w:p w14:paraId="400E2EBF">
      <w:pPr>
        <w:pStyle w:val="13"/>
        <w:ind w:firstLine="561" w:firstLineChars="234"/>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6095F578">
      <w:pPr>
        <w:pStyle w:val="13"/>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14:paraId="2C43C333">
      <w:pPr>
        <w:pStyle w:val="13"/>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本企业对上述声明内容的真实性负责。如有虚假，将依法承担相应责任。</w:t>
      </w:r>
    </w:p>
    <w:p w14:paraId="30922FC8">
      <w:pPr>
        <w:pStyle w:val="13"/>
        <w:spacing w:line="500" w:lineRule="exact"/>
        <w:ind w:firstLine="480" w:firstLineChars="200"/>
        <w:rPr>
          <w:rFonts w:hint="eastAsia" w:ascii="宋体" w:hAnsi="宋体" w:eastAsia="宋体" w:cs="宋体"/>
          <w:color w:val="auto"/>
          <w:sz w:val="24"/>
          <w:szCs w:val="24"/>
        </w:rPr>
      </w:pPr>
    </w:p>
    <w:p w14:paraId="4E3B05A4">
      <w:pPr>
        <w:pStyle w:val="13"/>
        <w:spacing w:line="500" w:lineRule="exact"/>
        <w:ind w:firstLine="480" w:firstLineChars="200"/>
        <w:jc w:val="righ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供应商名称</w:t>
      </w:r>
      <w:r>
        <w:rPr>
          <w:rFonts w:hint="eastAsia" w:ascii="宋体" w:hAnsi="宋体" w:eastAsia="宋体" w:cs="宋体"/>
          <w:color w:val="auto"/>
          <w:sz w:val="24"/>
          <w:szCs w:val="24"/>
        </w:rPr>
        <w:t>：</w:t>
      </w:r>
      <w:r>
        <w:rPr>
          <w:rFonts w:hint="eastAsia" w:ascii="宋体" w:hAnsi="宋体"/>
          <w:kern w:val="2"/>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公章电子</w:t>
      </w:r>
      <w:r>
        <w:rPr>
          <w:rFonts w:hint="eastAsia" w:ascii="宋体" w:hAnsi="宋体" w:eastAsia="宋体" w:cs="宋体"/>
          <w:color w:val="auto"/>
          <w:sz w:val="24"/>
          <w:szCs w:val="24"/>
        </w:rPr>
        <w:t>签章）</w:t>
      </w:r>
    </w:p>
    <w:p w14:paraId="64DCAA11">
      <w:pPr>
        <w:pStyle w:val="13"/>
        <w:spacing w:line="500" w:lineRule="exact"/>
        <w:ind w:firstLine="480"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日</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  月  日</w:t>
      </w:r>
    </w:p>
    <w:p w14:paraId="0FEBE801">
      <w:pPr>
        <w:pStyle w:val="13"/>
        <w:spacing w:line="500" w:lineRule="exact"/>
        <w:ind w:firstLine="480" w:firstLineChars="200"/>
        <w:rPr>
          <w:rFonts w:hint="eastAsia"/>
        </w:rPr>
      </w:pPr>
      <w:r>
        <w:rPr>
          <w:rFonts w:hint="eastAsia" w:ascii="宋体" w:hAnsi="宋体" w:eastAsia="宋体" w:cs="宋体"/>
          <w:color w:val="auto"/>
          <w:sz w:val="24"/>
          <w:szCs w:val="24"/>
        </w:rPr>
        <w:t>注：从业人员、营业收入、资产总额填报上一年度数据，无上一年度数据的新成立企业可不填报。</w:t>
      </w:r>
    </w:p>
    <w:p w14:paraId="3F3850C6"/>
    <w:p w14:paraId="518DB982"/>
    <w:sectPr>
      <w:pgSz w:w="11906" w:h="16838"/>
      <w:pgMar w:top="1440" w:right="1800" w:bottom="1843"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DC60523-7286-4901-801B-876F21968B93}"/>
  </w:font>
  <w:font w:name="黑体">
    <w:panose1 w:val="02010609060101010101"/>
    <w:charset w:val="86"/>
    <w:family w:val="auto"/>
    <w:pitch w:val="default"/>
    <w:sig w:usb0="800002BF" w:usb1="38CF7CFA" w:usb2="00000016" w:usb3="00000000" w:csb0="00040001" w:csb1="00000000"/>
    <w:embedRegular r:id="rId2" w:fontKey="{AB213506-B331-47FD-A4C4-F754CDA70A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11CD28E-BFAE-4982-9438-E4684324E618}"/>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EADF3013-BA12-4B7B-AACD-EDC8677DE2B2}"/>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embedRegular r:id="rId5" w:fontKey="{A09B7521-2459-46C3-94A3-C02C200D0FF1}"/>
  </w:font>
  <w:font w:name="微软雅黑">
    <w:panose1 w:val="020B0503020204020204"/>
    <w:charset w:val="86"/>
    <w:family w:val="swiss"/>
    <w:pitch w:val="default"/>
    <w:sig w:usb0="80000287" w:usb1="2ACF3C50" w:usb2="00000016" w:usb3="00000000" w:csb0="0004001F" w:csb1="00000000"/>
    <w:embedRegular r:id="rId6" w:fontKey="{F903A004-FF93-4859-86EE-E596C48744B4}"/>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2441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6CCA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10820">
    <w:pPr>
      <w:pStyle w:val="7"/>
      <w:tabs>
        <w:tab w:val="center" w:pos="4490"/>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17373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2173733">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AEC79">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79A05">
                          <w:pPr>
                            <w:pStyle w:val="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8E79A05">
                    <w:pPr>
                      <w:pStyle w:val="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C5CF4">
    <w:pPr>
      <w:pStyle w:val="32"/>
    </w:pPr>
    <w:r>
      <mc:AlternateContent>
        <mc:Choice Requires="wps">
          <w:drawing>
            <wp:anchor distT="0" distB="0" distL="114300" distR="114300" simplePos="0" relativeHeight="251663360" behindDoc="0" locked="0" layoutInCell="1" allowOverlap="1">
              <wp:simplePos x="0" y="0"/>
              <wp:positionH relativeFrom="margin">
                <wp:posOffset>2601595</wp:posOffset>
              </wp:positionH>
              <wp:positionV relativeFrom="paragraph">
                <wp:posOffset>-450215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DE0D9E">
                          <w:pPr>
                            <w:pStyle w:val="7"/>
                          </w:pPr>
                          <w:r>
                            <w:fldChar w:fldCharType="begin"/>
                          </w:r>
                          <w:r>
                            <w:instrText xml:space="preserve"> PAGE  \* MERGEFORMAT </w:instrText>
                          </w:r>
                          <w:r>
                            <w:fldChar w:fldCharType="separate"/>
                          </w:r>
                          <w:r>
                            <w:t>53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204.85pt;margin-top:-35.45pt;height:144pt;width:144pt;mso-position-horizontal-relative:margin;mso-wrap-style:none;z-index:251663360;mso-width-relative:page;mso-height-relative:page;" filled="f" stroked="f" coordsize="21600,21600" o:gfxdata="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tWLTtcAAAALAQAADwAAAAAAAAABACAAAAAiAAAAZHJzL2Rv&#10;d25yZXYueG1sUEsBAhQAFAAAAAgAh07iQCQ5IxHJAQAAmQMAAA4AAAAAAAAAAQAgAAAAJgEAAGRy&#10;cy9lMm9Eb2MueG1sUEsFBgAAAAAGAAYAWQEAAGEFAAAAAA==&#10;">
              <v:fill on="f" focussize="0,0"/>
              <v:stroke on="f"/>
              <v:imagedata o:title=""/>
              <o:lock v:ext="edit" aspectratio="f"/>
              <v:textbox inset="0mm,0mm,0mm,0mm" style="mso-fit-shape-to-text:t;">
                <w:txbxContent>
                  <w:p w14:paraId="67DE0D9E">
                    <w:pPr>
                      <w:pStyle w:val="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B9DC0">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4369C">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6E4369C">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64483">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C43C2">
                          <w:pPr>
                            <w:pStyle w:val="7"/>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3AC43C2">
                    <w:pPr>
                      <w:pStyle w:val="7"/>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401D7">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FD08E">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84FA1">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7A50B">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4D79D2"/>
    <w:multiLevelType w:val="singleLevel"/>
    <w:tmpl w:val="CA4D79D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dit="trackedChanges" w:enforcement="1" w:cryptProviderType="rsaFull" w:cryptAlgorithmClass="hash" w:cryptAlgorithmType="typeAny" w:cryptAlgorithmSid="4" w:cryptSpinCount="0" w:hash="8YHn+sBfAzCGxcu5spI2urf6NG0=" w:salt="e2CQ+oLCa2azHR8nM++NzQ=="/>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169C8"/>
    <w:rsid w:val="00804DE2"/>
    <w:rsid w:val="00B0507A"/>
    <w:rsid w:val="00CE37E1"/>
    <w:rsid w:val="00DC24C2"/>
    <w:rsid w:val="010C0545"/>
    <w:rsid w:val="014F46AE"/>
    <w:rsid w:val="016707FB"/>
    <w:rsid w:val="01AF5332"/>
    <w:rsid w:val="020C008E"/>
    <w:rsid w:val="02103F96"/>
    <w:rsid w:val="02654FC5"/>
    <w:rsid w:val="029C6FEE"/>
    <w:rsid w:val="02A140D5"/>
    <w:rsid w:val="02CF4E51"/>
    <w:rsid w:val="02EE603F"/>
    <w:rsid w:val="03114C59"/>
    <w:rsid w:val="0352701F"/>
    <w:rsid w:val="039A462A"/>
    <w:rsid w:val="039C5E96"/>
    <w:rsid w:val="03B349E7"/>
    <w:rsid w:val="04441D61"/>
    <w:rsid w:val="04447FB3"/>
    <w:rsid w:val="04470273"/>
    <w:rsid w:val="045F408F"/>
    <w:rsid w:val="046917C8"/>
    <w:rsid w:val="04F51EB3"/>
    <w:rsid w:val="050414F1"/>
    <w:rsid w:val="053E00D1"/>
    <w:rsid w:val="05414936"/>
    <w:rsid w:val="05437138"/>
    <w:rsid w:val="057E12A3"/>
    <w:rsid w:val="061A394A"/>
    <w:rsid w:val="065344DE"/>
    <w:rsid w:val="06610E87"/>
    <w:rsid w:val="06815CF5"/>
    <w:rsid w:val="06933D53"/>
    <w:rsid w:val="06D358B6"/>
    <w:rsid w:val="07177C01"/>
    <w:rsid w:val="07CD242F"/>
    <w:rsid w:val="08361D0A"/>
    <w:rsid w:val="08C4785C"/>
    <w:rsid w:val="08E30660"/>
    <w:rsid w:val="08E7715F"/>
    <w:rsid w:val="0949324D"/>
    <w:rsid w:val="0A3545BB"/>
    <w:rsid w:val="0A520D6F"/>
    <w:rsid w:val="0A6878BB"/>
    <w:rsid w:val="0A6B6841"/>
    <w:rsid w:val="0AA25A34"/>
    <w:rsid w:val="0AE0030A"/>
    <w:rsid w:val="0BA77FB4"/>
    <w:rsid w:val="0BC6030C"/>
    <w:rsid w:val="0BCA5242"/>
    <w:rsid w:val="0C8F1FE8"/>
    <w:rsid w:val="0CB3217A"/>
    <w:rsid w:val="0CC954FA"/>
    <w:rsid w:val="0CDE7AF1"/>
    <w:rsid w:val="0CE53B39"/>
    <w:rsid w:val="0D4921AC"/>
    <w:rsid w:val="0D542D79"/>
    <w:rsid w:val="0D6423CF"/>
    <w:rsid w:val="0D7F6A6F"/>
    <w:rsid w:val="0D955AA9"/>
    <w:rsid w:val="0DAA30C5"/>
    <w:rsid w:val="0DF1270A"/>
    <w:rsid w:val="0E667068"/>
    <w:rsid w:val="0E670FC5"/>
    <w:rsid w:val="0ED35A82"/>
    <w:rsid w:val="0F347199"/>
    <w:rsid w:val="0FA070C2"/>
    <w:rsid w:val="0FAC4946"/>
    <w:rsid w:val="10174681"/>
    <w:rsid w:val="1042663A"/>
    <w:rsid w:val="108160EB"/>
    <w:rsid w:val="10961B97"/>
    <w:rsid w:val="10E16B8A"/>
    <w:rsid w:val="10E87F18"/>
    <w:rsid w:val="1160128E"/>
    <w:rsid w:val="116369AF"/>
    <w:rsid w:val="119D51A7"/>
    <w:rsid w:val="11C42733"/>
    <w:rsid w:val="123C01CE"/>
    <w:rsid w:val="12E907D3"/>
    <w:rsid w:val="1301201D"/>
    <w:rsid w:val="13593156"/>
    <w:rsid w:val="135D36D1"/>
    <w:rsid w:val="13616720"/>
    <w:rsid w:val="136B6CE6"/>
    <w:rsid w:val="13A37EB8"/>
    <w:rsid w:val="13AF2344"/>
    <w:rsid w:val="13C27285"/>
    <w:rsid w:val="13F07810"/>
    <w:rsid w:val="14353777"/>
    <w:rsid w:val="14552EB1"/>
    <w:rsid w:val="14D26F15"/>
    <w:rsid w:val="14FD4AD1"/>
    <w:rsid w:val="15007F26"/>
    <w:rsid w:val="150B2427"/>
    <w:rsid w:val="151256EB"/>
    <w:rsid w:val="155147A7"/>
    <w:rsid w:val="157C59CB"/>
    <w:rsid w:val="1594502E"/>
    <w:rsid w:val="16021703"/>
    <w:rsid w:val="163559AE"/>
    <w:rsid w:val="1642631D"/>
    <w:rsid w:val="164976AB"/>
    <w:rsid w:val="16596192"/>
    <w:rsid w:val="16C76236"/>
    <w:rsid w:val="16EA1FB5"/>
    <w:rsid w:val="17263548"/>
    <w:rsid w:val="17306175"/>
    <w:rsid w:val="174C2E90"/>
    <w:rsid w:val="17773DA4"/>
    <w:rsid w:val="177D1B91"/>
    <w:rsid w:val="179B7A92"/>
    <w:rsid w:val="17BF5D4B"/>
    <w:rsid w:val="18047D2E"/>
    <w:rsid w:val="182145DD"/>
    <w:rsid w:val="18BB240C"/>
    <w:rsid w:val="19197809"/>
    <w:rsid w:val="196467E6"/>
    <w:rsid w:val="196F025F"/>
    <w:rsid w:val="19940C3D"/>
    <w:rsid w:val="19BA3A52"/>
    <w:rsid w:val="1A0B1C7C"/>
    <w:rsid w:val="1A78602F"/>
    <w:rsid w:val="1A8268CC"/>
    <w:rsid w:val="1AA17072"/>
    <w:rsid w:val="1AA43102"/>
    <w:rsid w:val="1AB83CE8"/>
    <w:rsid w:val="1B795B2D"/>
    <w:rsid w:val="1B8E3619"/>
    <w:rsid w:val="1B9238A2"/>
    <w:rsid w:val="1BA876E9"/>
    <w:rsid w:val="1BF14D03"/>
    <w:rsid w:val="1BF34DDD"/>
    <w:rsid w:val="1C34140F"/>
    <w:rsid w:val="1C494FE5"/>
    <w:rsid w:val="1C6B3FC2"/>
    <w:rsid w:val="1CD540C8"/>
    <w:rsid w:val="1CFB0616"/>
    <w:rsid w:val="1D175D9B"/>
    <w:rsid w:val="1D1D719C"/>
    <w:rsid w:val="1D324ADF"/>
    <w:rsid w:val="1D4F1224"/>
    <w:rsid w:val="1D5A5F73"/>
    <w:rsid w:val="1E045DCF"/>
    <w:rsid w:val="1E1249C9"/>
    <w:rsid w:val="1E177358"/>
    <w:rsid w:val="1E354AED"/>
    <w:rsid w:val="1E405DA8"/>
    <w:rsid w:val="1E7468FC"/>
    <w:rsid w:val="1EA57449"/>
    <w:rsid w:val="1ECE4BF1"/>
    <w:rsid w:val="1EEF01A7"/>
    <w:rsid w:val="1EEF4BF1"/>
    <w:rsid w:val="1EF93107"/>
    <w:rsid w:val="1F0028D1"/>
    <w:rsid w:val="1F4466F6"/>
    <w:rsid w:val="1FD0596B"/>
    <w:rsid w:val="2014725D"/>
    <w:rsid w:val="203B6136"/>
    <w:rsid w:val="204A73D9"/>
    <w:rsid w:val="20CE0ED9"/>
    <w:rsid w:val="213A4A96"/>
    <w:rsid w:val="219C4A90"/>
    <w:rsid w:val="21AB2FC8"/>
    <w:rsid w:val="21C41193"/>
    <w:rsid w:val="21EB1616"/>
    <w:rsid w:val="220963D3"/>
    <w:rsid w:val="22910611"/>
    <w:rsid w:val="232E5C5F"/>
    <w:rsid w:val="233D677D"/>
    <w:rsid w:val="23457164"/>
    <w:rsid w:val="23A34C34"/>
    <w:rsid w:val="23D74548"/>
    <w:rsid w:val="23E667CD"/>
    <w:rsid w:val="249A1A6B"/>
    <w:rsid w:val="24A87C93"/>
    <w:rsid w:val="24C96055"/>
    <w:rsid w:val="24D215AA"/>
    <w:rsid w:val="24D90838"/>
    <w:rsid w:val="25284930"/>
    <w:rsid w:val="258A0560"/>
    <w:rsid w:val="25BC3BB3"/>
    <w:rsid w:val="267D44F5"/>
    <w:rsid w:val="26913702"/>
    <w:rsid w:val="26D50C2E"/>
    <w:rsid w:val="27225F9B"/>
    <w:rsid w:val="279015BA"/>
    <w:rsid w:val="27B71408"/>
    <w:rsid w:val="27B801ED"/>
    <w:rsid w:val="27C671FD"/>
    <w:rsid w:val="28254AB5"/>
    <w:rsid w:val="287E7669"/>
    <w:rsid w:val="28A075FF"/>
    <w:rsid w:val="28C86429"/>
    <w:rsid w:val="28DC561F"/>
    <w:rsid w:val="296F0D7F"/>
    <w:rsid w:val="2977525D"/>
    <w:rsid w:val="297B7724"/>
    <w:rsid w:val="2A027E45"/>
    <w:rsid w:val="2A4144C9"/>
    <w:rsid w:val="2A8E7599"/>
    <w:rsid w:val="2A9860B3"/>
    <w:rsid w:val="2A9D68B2"/>
    <w:rsid w:val="2AC375D4"/>
    <w:rsid w:val="2B011EAB"/>
    <w:rsid w:val="2B22254D"/>
    <w:rsid w:val="2B3758CC"/>
    <w:rsid w:val="2B4E64E2"/>
    <w:rsid w:val="2B7924D3"/>
    <w:rsid w:val="2B7F4360"/>
    <w:rsid w:val="2B94134F"/>
    <w:rsid w:val="2BAB6749"/>
    <w:rsid w:val="2BC270C8"/>
    <w:rsid w:val="2BE94E19"/>
    <w:rsid w:val="2C1F2268"/>
    <w:rsid w:val="2C3562B0"/>
    <w:rsid w:val="2C420FD2"/>
    <w:rsid w:val="2C510C88"/>
    <w:rsid w:val="2C642F06"/>
    <w:rsid w:val="2C6A3225"/>
    <w:rsid w:val="2C9D5C03"/>
    <w:rsid w:val="2CB04DD9"/>
    <w:rsid w:val="2CB7594C"/>
    <w:rsid w:val="2CCE400E"/>
    <w:rsid w:val="2CFE66A2"/>
    <w:rsid w:val="2D241B62"/>
    <w:rsid w:val="2D323A1A"/>
    <w:rsid w:val="2D483E87"/>
    <w:rsid w:val="2D4C1B03"/>
    <w:rsid w:val="2DC12474"/>
    <w:rsid w:val="2DF81B7A"/>
    <w:rsid w:val="2DF83A39"/>
    <w:rsid w:val="2E3335C6"/>
    <w:rsid w:val="2E553029"/>
    <w:rsid w:val="2E6F53B4"/>
    <w:rsid w:val="2EA51FB3"/>
    <w:rsid w:val="2EA60095"/>
    <w:rsid w:val="2EDA2D44"/>
    <w:rsid w:val="2F202EB4"/>
    <w:rsid w:val="2F8E588B"/>
    <w:rsid w:val="2F9067D1"/>
    <w:rsid w:val="2F961789"/>
    <w:rsid w:val="2FBB5F3F"/>
    <w:rsid w:val="2FF344B8"/>
    <w:rsid w:val="301306B6"/>
    <w:rsid w:val="30146867"/>
    <w:rsid w:val="3014746B"/>
    <w:rsid w:val="30276510"/>
    <w:rsid w:val="302C5C1C"/>
    <w:rsid w:val="30416F06"/>
    <w:rsid w:val="30445D22"/>
    <w:rsid w:val="30D0017A"/>
    <w:rsid w:val="30FA0AE6"/>
    <w:rsid w:val="31365E24"/>
    <w:rsid w:val="318729DF"/>
    <w:rsid w:val="31BB1005"/>
    <w:rsid w:val="31E77D87"/>
    <w:rsid w:val="31F546AA"/>
    <w:rsid w:val="323759AB"/>
    <w:rsid w:val="323B24A6"/>
    <w:rsid w:val="3251196A"/>
    <w:rsid w:val="32B7644F"/>
    <w:rsid w:val="32BF4AEF"/>
    <w:rsid w:val="32E85058"/>
    <w:rsid w:val="32F63D64"/>
    <w:rsid w:val="331D68E6"/>
    <w:rsid w:val="332B7AB5"/>
    <w:rsid w:val="335F00B6"/>
    <w:rsid w:val="33721B98"/>
    <w:rsid w:val="33AD5E1F"/>
    <w:rsid w:val="342424B3"/>
    <w:rsid w:val="34456FC9"/>
    <w:rsid w:val="34634819"/>
    <w:rsid w:val="348522E3"/>
    <w:rsid w:val="34B363E5"/>
    <w:rsid w:val="35042CC3"/>
    <w:rsid w:val="351E33B1"/>
    <w:rsid w:val="354B26A0"/>
    <w:rsid w:val="355C0039"/>
    <w:rsid w:val="358D688D"/>
    <w:rsid w:val="35977BFB"/>
    <w:rsid w:val="361D5962"/>
    <w:rsid w:val="362D5046"/>
    <w:rsid w:val="368A369C"/>
    <w:rsid w:val="36962041"/>
    <w:rsid w:val="36FE5D50"/>
    <w:rsid w:val="37014010"/>
    <w:rsid w:val="371303E8"/>
    <w:rsid w:val="371A5B4C"/>
    <w:rsid w:val="372E5DD5"/>
    <w:rsid w:val="37635933"/>
    <w:rsid w:val="37864DBC"/>
    <w:rsid w:val="378818B3"/>
    <w:rsid w:val="38F419B2"/>
    <w:rsid w:val="39074CB7"/>
    <w:rsid w:val="390B43FF"/>
    <w:rsid w:val="392A01E9"/>
    <w:rsid w:val="394F102E"/>
    <w:rsid w:val="397622BB"/>
    <w:rsid w:val="39900FC9"/>
    <w:rsid w:val="39DA0497"/>
    <w:rsid w:val="3A5F6F42"/>
    <w:rsid w:val="3A762414"/>
    <w:rsid w:val="3A835D92"/>
    <w:rsid w:val="3A941A91"/>
    <w:rsid w:val="3AAC6B47"/>
    <w:rsid w:val="3AF92B9E"/>
    <w:rsid w:val="3AFC5FE5"/>
    <w:rsid w:val="3B1E43B3"/>
    <w:rsid w:val="3C35239A"/>
    <w:rsid w:val="3C7C0B4C"/>
    <w:rsid w:val="3C853429"/>
    <w:rsid w:val="3C915ADC"/>
    <w:rsid w:val="3CBC5990"/>
    <w:rsid w:val="3D0728D7"/>
    <w:rsid w:val="3D3659E4"/>
    <w:rsid w:val="3DB944D0"/>
    <w:rsid w:val="3E472DC5"/>
    <w:rsid w:val="3E4F1290"/>
    <w:rsid w:val="3E630A5B"/>
    <w:rsid w:val="3E745FA0"/>
    <w:rsid w:val="3E9F1815"/>
    <w:rsid w:val="3EAA44CE"/>
    <w:rsid w:val="3EB65A83"/>
    <w:rsid w:val="3ED2297F"/>
    <w:rsid w:val="3ED2798E"/>
    <w:rsid w:val="3EF23B8C"/>
    <w:rsid w:val="3F075526"/>
    <w:rsid w:val="3F1635AD"/>
    <w:rsid w:val="3F2C52F0"/>
    <w:rsid w:val="3F7F7B95"/>
    <w:rsid w:val="3F9F6F85"/>
    <w:rsid w:val="3FAA18AA"/>
    <w:rsid w:val="3FBF4D0C"/>
    <w:rsid w:val="402266F3"/>
    <w:rsid w:val="405A7C3B"/>
    <w:rsid w:val="407E0F2B"/>
    <w:rsid w:val="40C1415E"/>
    <w:rsid w:val="411C7B2A"/>
    <w:rsid w:val="412C5A7C"/>
    <w:rsid w:val="41383742"/>
    <w:rsid w:val="41681144"/>
    <w:rsid w:val="41B1591F"/>
    <w:rsid w:val="41B45A71"/>
    <w:rsid w:val="41FE3818"/>
    <w:rsid w:val="4223143F"/>
    <w:rsid w:val="42474B87"/>
    <w:rsid w:val="424A5BA7"/>
    <w:rsid w:val="42722B78"/>
    <w:rsid w:val="429A17BA"/>
    <w:rsid w:val="42DE4B54"/>
    <w:rsid w:val="42E61C5A"/>
    <w:rsid w:val="4305166D"/>
    <w:rsid w:val="432702BD"/>
    <w:rsid w:val="4390082F"/>
    <w:rsid w:val="43BE6733"/>
    <w:rsid w:val="43C33B34"/>
    <w:rsid w:val="43D57920"/>
    <w:rsid w:val="43DB1793"/>
    <w:rsid w:val="44025412"/>
    <w:rsid w:val="443239D6"/>
    <w:rsid w:val="443F0585"/>
    <w:rsid w:val="44A62274"/>
    <w:rsid w:val="44B813D4"/>
    <w:rsid w:val="44E9619C"/>
    <w:rsid w:val="44FC1E89"/>
    <w:rsid w:val="453273D9"/>
    <w:rsid w:val="454C4C9E"/>
    <w:rsid w:val="45ED4677"/>
    <w:rsid w:val="460348D1"/>
    <w:rsid w:val="461053AC"/>
    <w:rsid w:val="46777388"/>
    <w:rsid w:val="468953E0"/>
    <w:rsid w:val="46AE4F07"/>
    <w:rsid w:val="46BD2718"/>
    <w:rsid w:val="46C876D2"/>
    <w:rsid w:val="46D07E4A"/>
    <w:rsid w:val="46D30747"/>
    <w:rsid w:val="46DB1399"/>
    <w:rsid w:val="47354F5E"/>
    <w:rsid w:val="475B2F6A"/>
    <w:rsid w:val="4780267D"/>
    <w:rsid w:val="480B2AB6"/>
    <w:rsid w:val="480E5483"/>
    <w:rsid w:val="4812529F"/>
    <w:rsid w:val="487970CD"/>
    <w:rsid w:val="488241D3"/>
    <w:rsid w:val="488F6176"/>
    <w:rsid w:val="489F4D85"/>
    <w:rsid w:val="48D4417B"/>
    <w:rsid w:val="49153299"/>
    <w:rsid w:val="49556667"/>
    <w:rsid w:val="497A08D0"/>
    <w:rsid w:val="49B54134"/>
    <w:rsid w:val="4A136062"/>
    <w:rsid w:val="4AE47240"/>
    <w:rsid w:val="4AF869CF"/>
    <w:rsid w:val="4AFF7D5D"/>
    <w:rsid w:val="4B674E8A"/>
    <w:rsid w:val="4B9A4555"/>
    <w:rsid w:val="4BB06912"/>
    <w:rsid w:val="4BBA0FAC"/>
    <w:rsid w:val="4BDB773A"/>
    <w:rsid w:val="4C312198"/>
    <w:rsid w:val="4C6205A3"/>
    <w:rsid w:val="4C98598E"/>
    <w:rsid w:val="4C9A74E6"/>
    <w:rsid w:val="4CAC4C77"/>
    <w:rsid w:val="4CF378AC"/>
    <w:rsid w:val="4D3A0517"/>
    <w:rsid w:val="4D5C7DD6"/>
    <w:rsid w:val="4D9342CF"/>
    <w:rsid w:val="4DAC4E52"/>
    <w:rsid w:val="4DB839CC"/>
    <w:rsid w:val="4DE90850"/>
    <w:rsid w:val="4E24015A"/>
    <w:rsid w:val="4E467A51"/>
    <w:rsid w:val="4E7607F1"/>
    <w:rsid w:val="4E7E71EB"/>
    <w:rsid w:val="4EEB39F6"/>
    <w:rsid w:val="4EF23735"/>
    <w:rsid w:val="4F4171DF"/>
    <w:rsid w:val="4F556F4F"/>
    <w:rsid w:val="4F714FA1"/>
    <w:rsid w:val="4F9E32B9"/>
    <w:rsid w:val="4FC35BD9"/>
    <w:rsid w:val="4FD12C9A"/>
    <w:rsid w:val="500365D1"/>
    <w:rsid w:val="503169C8"/>
    <w:rsid w:val="50E05E34"/>
    <w:rsid w:val="50E13A61"/>
    <w:rsid w:val="512A0DE8"/>
    <w:rsid w:val="51505A6E"/>
    <w:rsid w:val="515801C7"/>
    <w:rsid w:val="51911167"/>
    <w:rsid w:val="5252412C"/>
    <w:rsid w:val="52A347DC"/>
    <w:rsid w:val="52FA2EAC"/>
    <w:rsid w:val="53182A19"/>
    <w:rsid w:val="536524C3"/>
    <w:rsid w:val="5367649F"/>
    <w:rsid w:val="5373753A"/>
    <w:rsid w:val="53755DED"/>
    <w:rsid w:val="53982AFD"/>
    <w:rsid w:val="53DC2107"/>
    <w:rsid w:val="540463E4"/>
    <w:rsid w:val="54181455"/>
    <w:rsid w:val="5425419B"/>
    <w:rsid w:val="54305A26"/>
    <w:rsid w:val="544733AF"/>
    <w:rsid w:val="54660E4D"/>
    <w:rsid w:val="54C35630"/>
    <w:rsid w:val="556B5270"/>
    <w:rsid w:val="5573177F"/>
    <w:rsid w:val="55797D86"/>
    <w:rsid w:val="557A2C18"/>
    <w:rsid w:val="558D41B7"/>
    <w:rsid w:val="55A1640D"/>
    <w:rsid w:val="5666727E"/>
    <w:rsid w:val="56A424BF"/>
    <w:rsid w:val="56D025AE"/>
    <w:rsid w:val="57016C0B"/>
    <w:rsid w:val="571B2E5A"/>
    <w:rsid w:val="57474179"/>
    <w:rsid w:val="574E0E5F"/>
    <w:rsid w:val="578B522D"/>
    <w:rsid w:val="57CC0FC7"/>
    <w:rsid w:val="57F225A7"/>
    <w:rsid w:val="58036202"/>
    <w:rsid w:val="58135D80"/>
    <w:rsid w:val="58A6207E"/>
    <w:rsid w:val="590C478F"/>
    <w:rsid w:val="593453DA"/>
    <w:rsid w:val="595F58A3"/>
    <w:rsid w:val="5A3A0259"/>
    <w:rsid w:val="5AB87F28"/>
    <w:rsid w:val="5ACD48CC"/>
    <w:rsid w:val="5B3A093D"/>
    <w:rsid w:val="5B6F6839"/>
    <w:rsid w:val="5B90055D"/>
    <w:rsid w:val="5B940DE6"/>
    <w:rsid w:val="5B9C33A6"/>
    <w:rsid w:val="5BB10BFF"/>
    <w:rsid w:val="5BE24B0A"/>
    <w:rsid w:val="5C1B22D7"/>
    <w:rsid w:val="5C4D0240"/>
    <w:rsid w:val="5C667B98"/>
    <w:rsid w:val="5C772626"/>
    <w:rsid w:val="5CB343C4"/>
    <w:rsid w:val="5CBB1351"/>
    <w:rsid w:val="5CC8723F"/>
    <w:rsid w:val="5CFA6311"/>
    <w:rsid w:val="5D603E5F"/>
    <w:rsid w:val="5D806DA9"/>
    <w:rsid w:val="5D8331B0"/>
    <w:rsid w:val="5DCF79FE"/>
    <w:rsid w:val="5DD76917"/>
    <w:rsid w:val="5E0771FD"/>
    <w:rsid w:val="5E294DBD"/>
    <w:rsid w:val="5EA93E10"/>
    <w:rsid w:val="5EAA4B19"/>
    <w:rsid w:val="5EB405CE"/>
    <w:rsid w:val="5EB42E03"/>
    <w:rsid w:val="5EDD358B"/>
    <w:rsid w:val="5F70492E"/>
    <w:rsid w:val="5F781A34"/>
    <w:rsid w:val="5FB32DC0"/>
    <w:rsid w:val="604F2F3E"/>
    <w:rsid w:val="60582E6A"/>
    <w:rsid w:val="60822B6A"/>
    <w:rsid w:val="608C5797"/>
    <w:rsid w:val="60BB1D63"/>
    <w:rsid w:val="60C83CF3"/>
    <w:rsid w:val="61642FAA"/>
    <w:rsid w:val="61801C21"/>
    <w:rsid w:val="623074BA"/>
    <w:rsid w:val="623E0D13"/>
    <w:rsid w:val="62462BD1"/>
    <w:rsid w:val="625F6A4A"/>
    <w:rsid w:val="62634C1E"/>
    <w:rsid w:val="62701C77"/>
    <w:rsid w:val="62E0626E"/>
    <w:rsid w:val="630F22AF"/>
    <w:rsid w:val="637013A0"/>
    <w:rsid w:val="637B00A6"/>
    <w:rsid w:val="647875E8"/>
    <w:rsid w:val="647E7A88"/>
    <w:rsid w:val="65197815"/>
    <w:rsid w:val="65533F90"/>
    <w:rsid w:val="65B01973"/>
    <w:rsid w:val="65BF4C46"/>
    <w:rsid w:val="65DA57CB"/>
    <w:rsid w:val="661C6437"/>
    <w:rsid w:val="66744448"/>
    <w:rsid w:val="66B5531C"/>
    <w:rsid w:val="67F8095C"/>
    <w:rsid w:val="683C4E79"/>
    <w:rsid w:val="69272F5E"/>
    <w:rsid w:val="692C5448"/>
    <w:rsid w:val="69512CD8"/>
    <w:rsid w:val="698F3E3F"/>
    <w:rsid w:val="69BF762F"/>
    <w:rsid w:val="69C44E8B"/>
    <w:rsid w:val="69D5399A"/>
    <w:rsid w:val="69F446AA"/>
    <w:rsid w:val="6A350C4E"/>
    <w:rsid w:val="6A486790"/>
    <w:rsid w:val="6A530707"/>
    <w:rsid w:val="6A8219B9"/>
    <w:rsid w:val="6A90057A"/>
    <w:rsid w:val="6AA0342E"/>
    <w:rsid w:val="6ADC141C"/>
    <w:rsid w:val="6B64707D"/>
    <w:rsid w:val="6B9F4796"/>
    <w:rsid w:val="6C884442"/>
    <w:rsid w:val="6CC56981"/>
    <w:rsid w:val="6CED0D3F"/>
    <w:rsid w:val="6D430476"/>
    <w:rsid w:val="6D700850"/>
    <w:rsid w:val="6DBC33D5"/>
    <w:rsid w:val="6DC21C84"/>
    <w:rsid w:val="6DC9002B"/>
    <w:rsid w:val="6DD11EE7"/>
    <w:rsid w:val="6DDD6420"/>
    <w:rsid w:val="6DFE72FE"/>
    <w:rsid w:val="6E1F3BD2"/>
    <w:rsid w:val="6E2E4332"/>
    <w:rsid w:val="6E97109C"/>
    <w:rsid w:val="6E9E6C81"/>
    <w:rsid w:val="6EA03C18"/>
    <w:rsid w:val="6EBE715E"/>
    <w:rsid w:val="6EC57815"/>
    <w:rsid w:val="6F0155A2"/>
    <w:rsid w:val="6F7C10CD"/>
    <w:rsid w:val="6F9249AF"/>
    <w:rsid w:val="6FC8136C"/>
    <w:rsid w:val="6FC9267D"/>
    <w:rsid w:val="6FCA2D8F"/>
    <w:rsid w:val="6FE075B7"/>
    <w:rsid w:val="6FF45107"/>
    <w:rsid w:val="70505DA3"/>
    <w:rsid w:val="709662FD"/>
    <w:rsid w:val="71705E05"/>
    <w:rsid w:val="71862B21"/>
    <w:rsid w:val="718F5D0B"/>
    <w:rsid w:val="71933DFC"/>
    <w:rsid w:val="71EB08C4"/>
    <w:rsid w:val="72C76A5A"/>
    <w:rsid w:val="73100325"/>
    <w:rsid w:val="73560A24"/>
    <w:rsid w:val="736933F8"/>
    <w:rsid w:val="736A5E0C"/>
    <w:rsid w:val="73A40BF2"/>
    <w:rsid w:val="73B54BAD"/>
    <w:rsid w:val="73EC6126"/>
    <w:rsid w:val="73F7130E"/>
    <w:rsid w:val="740948DA"/>
    <w:rsid w:val="7451463C"/>
    <w:rsid w:val="74567D0F"/>
    <w:rsid w:val="747F5CDF"/>
    <w:rsid w:val="74C12273"/>
    <w:rsid w:val="750676BF"/>
    <w:rsid w:val="751853F4"/>
    <w:rsid w:val="751F6782"/>
    <w:rsid w:val="75331318"/>
    <w:rsid w:val="7534613A"/>
    <w:rsid w:val="75C9030E"/>
    <w:rsid w:val="75E023B5"/>
    <w:rsid w:val="75E32189"/>
    <w:rsid w:val="764A3DBD"/>
    <w:rsid w:val="76CA0AE8"/>
    <w:rsid w:val="76D17F50"/>
    <w:rsid w:val="76FB6D7B"/>
    <w:rsid w:val="771A07B8"/>
    <w:rsid w:val="771C1F43"/>
    <w:rsid w:val="77A22F71"/>
    <w:rsid w:val="77AA4702"/>
    <w:rsid w:val="77BF5F26"/>
    <w:rsid w:val="77CE671C"/>
    <w:rsid w:val="77E2273D"/>
    <w:rsid w:val="77EB4BA3"/>
    <w:rsid w:val="780B16D1"/>
    <w:rsid w:val="78E87A04"/>
    <w:rsid w:val="78F6215E"/>
    <w:rsid w:val="79BC5254"/>
    <w:rsid w:val="79E34E21"/>
    <w:rsid w:val="79F95BAF"/>
    <w:rsid w:val="7A1C56C1"/>
    <w:rsid w:val="7A2474F0"/>
    <w:rsid w:val="7A736803"/>
    <w:rsid w:val="7A942949"/>
    <w:rsid w:val="7AF34D94"/>
    <w:rsid w:val="7AF353BA"/>
    <w:rsid w:val="7B024B7C"/>
    <w:rsid w:val="7B0C6938"/>
    <w:rsid w:val="7B8E6410"/>
    <w:rsid w:val="7C574A54"/>
    <w:rsid w:val="7CDB0C43"/>
    <w:rsid w:val="7CEA59AF"/>
    <w:rsid w:val="7D366731"/>
    <w:rsid w:val="7D4B1315"/>
    <w:rsid w:val="7D540E01"/>
    <w:rsid w:val="7D81289F"/>
    <w:rsid w:val="7D9540A2"/>
    <w:rsid w:val="7DFF35F5"/>
    <w:rsid w:val="7E6273CD"/>
    <w:rsid w:val="7E6F57C8"/>
    <w:rsid w:val="7E7C69F3"/>
    <w:rsid w:val="7E8D4CAE"/>
    <w:rsid w:val="7E925499"/>
    <w:rsid w:val="7EEB264B"/>
    <w:rsid w:val="7F034DD9"/>
    <w:rsid w:val="7F8E2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keepNext/>
      <w:keepLines/>
      <w:spacing w:line="415" w:lineRule="auto"/>
      <w:outlineLvl w:val="1"/>
    </w:pPr>
    <w:rPr>
      <w:rFonts w:ascii="Arial" w:hAnsi="Arial" w:eastAsia="黑体" w:cs="Times New Roman"/>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rFonts w:ascii="Times New Roman" w:hAnsi="Times New Roman" w:eastAsia="宋体" w:cs="Times New Roman"/>
      <w:szCs w:val="20"/>
    </w:rPr>
  </w:style>
  <w:style w:type="paragraph" w:styleId="4">
    <w:name w:val="Body Text"/>
    <w:basedOn w:val="1"/>
    <w:next w:val="1"/>
    <w:qFormat/>
    <w:uiPriority w:val="0"/>
    <w:pPr>
      <w:widowControl w:val="0"/>
      <w:spacing w:after="120"/>
      <w:jc w:val="both"/>
    </w:pPr>
    <w:rPr>
      <w:kern w:val="2"/>
      <w:sz w:val="21"/>
      <w:szCs w:val="24"/>
    </w:rPr>
  </w:style>
  <w:style w:type="paragraph" w:styleId="5">
    <w:name w:val="Body Text Indent"/>
    <w:basedOn w:val="1"/>
    <w:unhideWhenUsed/>
    <w:qFormat/>
    <w:uiPriority w:val="99"/>
    <w:pPr>
      <w:spacing w:after="120"/>
      <w:ind w:left="420" w:leftChars="200"/>
    </w:pPr>
  </w:style>
  <w:style w:type="paragraph" w:styleId="6">
    <w:name w:val="Plain Text"/>
    <w:basedOn w:val="1"/>
    <w:unhideWhenUsed/>
    <w:qFormat/>
    <w:uiPriority w:val="0"/>
    <w:rPr>
      <w:rFonts w:hint="eastAsia" w:ascii="宋体" w:hAnsi="Courier New"/>
      <w:sz w:val="21"/>
      <w:szCs w:val="21"/>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envelope return"/>
    <w:basedOn w:val="1"/>
    <w:unhideWhenUsed/>
    <w:qFormat/>
    <w:uiPriority w:val="99"/>
    <w:pPr>
      <w:snapToGrid w:val="0"/>
    </w:pPr>
    <w:rPr>
      <w:rFonts w:ascii="等线 Light" w:hAnsi="等线 Light" w:eastAsia="等线 Light" w:cs="Times New Roman"/>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widowControl w:val="0"/>
      <w:jc w:val="both"/>
    </w:pPr>
    <w:rPr>
      <w:kern w:val="2"/>
      <w:sz w:val="21"/>
      <w:szCs w:val="24"/>
    </w:rPr>
  </w:style>
  <w:style w:type="paragraph" w:styleId="11">
    <w:name w:val="Body Text 2"/>
    <w:basedOn w:val="1"/>
    <w:qFormat/>
    <w:uiPriority w:val="0"/>
    <w:pPr>
      <w:spacing w:after="120" w:line="480" w:lineRule="auto"/>
      <w:ind w:firstLine="560" w:firstLineChars="200"/>
    </w:pPr>
    <w:rPr>
      <w:rFonts w:ascii="Calibri" w:hAnsi="Calibri" w:eastAsia="仿宋_GB2312"/>
      <w:sz w:val="28"/>
      <w:szCs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4"/>
    <w:unhideWhenUsed/>
    <w:qFormat/>
    <w:uiPriority w:val="99"/>
    <w:pPr>
      <w:ind w:firstLine="420"/>
    </w:pPr>
    <w:rPr>
      <w:rFonts w:eastAsia="楷体_GB2312"/>
      <w:sz w:val="20"/>
      <w:szCs w:val="20"/>
    </w:rPr>
  </w:style>
  <w:style w:type="paragraph" w:styleId="14">
    <w:name w:val="Body Text First Indent 2"/>
    <w:basedOn w:val="5"/>
    <w:unhideWhenUsed/>
    <w:qFormat/>
    <w:uiPriority w:val="99"/>
    <w:pPr>
      <w:ind w:firstLine="420" w:firstLineChars="200"/>
    </w:p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Default"/>
    <w:next w:val="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style4"/>
    <w:basedOn w:val="1"/>
    <w:next w:val="22"/>
    <w:qFormat/>
    <w:uiPriority w:val="99"/>
    <w:pPr>
      <w:widowControl/>
      <w:spacing w:before="280" w:after="280"/>
    </w:pPr>
    <w:rPr>
      <w:rFonts w:ascii="宋体" w:hAnsi="Times New Roman" w:eastAsia="宋体" w:cs="Times New Roman"/>
      <w:sz w:val="18"/>
    </w:rPr>
  </w:style>
  <w:style w:type="paragraph" w:customStyle="1" w:styleId="22">
    <w:name w:val="2"/>
    <w:next w:val="1"/>
    <w:qFormat/>
    <w:uiPriority w:val="0"/>
    <w:pPr>
      <w:widowControl w:val="0"/>
      <w:jc w:val="both"/>
    </w:pPr>
    <w:rPr>
      <w:rFonts w:hint="default" w:ascii="Times New Roman" w:hAnsi="Times New Roman" w:eastAsia="宋体" w:cs="Times New Roman"/>
      <w:sz w:val="21"/>
      <w:szCs w:val="22"/>
    </w:rPr>
  </w:style>
  <w:style w:type="table" w:customStyle="1" w:styleId="23">
    <w:name w:val="网格型2"/>
    <w:basedOn w:val="15"/>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4">
    <w:name w:val="Table Paragraph"/>
    <w:basedOn w:val="1"/>
    <w:qFormat/>
    <w:uiPriority w:val="1"/>
    <w:pPr>
      <w:jc w:val="left"/>
    </w:pPr>
    <w:rPr>
      <w:rFonts w:ascii="Calibri" w:hAnsi="Calibri" w:eastAsia="Calibri" w:cs="宋体"/>
      <w:kern w:val="0"/>
      <w:sz w:val="22"/>
      <w:lang w:eastAsia="en-US"/>
    </w:rPr>
  </w:style>
  <w:style w:type="paragraph" w:styleId="25">
    <w:name w:val="List Paragraph"/>
    <w:basedOn w:val="1"/>
    <w:qFormat/>
    <w:uiPriority w:val="34"/>
    <w:pPr>
      <w:ind w:firstLine="420" w:firstLineChars="200"/>
    </w:pPr>
  </w:style>
  <w:style w:type="paragraph" w:customStyle="1" w:styleId="26">
    <w:name w:val="无间隔1"/>
    <w:basedOn w:val="1"/>
    <w:qFormat/>
    <w:uiPriority w:val="1"/>
    <w:pPr>
      <w:spacing w:line="400" w:lineRule="exact"/>
    </w:pPr>
    <w:rPr>
      <w:sz w:val="24"/>
    </w:rPr>
  </w:style>
  <w:style w:type="character" w:customStyle="1" w:styleId="27">
    <w:name w:val="正文 A Char"/>
    <w:link w:val="28"/>
    <w:qFormat/>
    <w:uiPriority w:val="0"/>
    <w:rPr>
      <w:rFonts w:ascii="Times New Roman" w:hAnsi="Arial Unicode MS" w:eastAsia="Arial Unicode MS" w:cs="Arial Unicode MS"/>
      <w:color w:val="000000"/>
      <w:kern w:val="2"/>
      <w:sz w:val="24"/>
      <w:szCs w:val="24"/>
      <w:lang w:val="en-US" w:eastAsia="zh-CN" w:bidi="ar-SA"/>
    </w:rPr>
  </w:style>
  <w:style w:type="paragraph" w:customStyle="1" w:styleId="28">
    <w:name w:val="正文 A"/>
    <w:link w:val="27"/>
    <w:qFormat/>
    <w:uiPriority w:val="0"/>
    <w:pPr>
      <w:widowControl w:val="0"/>
      <w:spacing w:line="480" w:lineRule="auto"/>
      <w:ind w:firstLine="260"/>
      <w:jc w:val="both"/>
    </w:pPr>
    <w:rPr>
      <w:rFonts w:ascii="Times New Roman" w:hAnsi="Arial Unicode MS" w:eastAsia="Arial Unicode MS" w:cs="Arial Unicode MS"/>
      <w:color w:val="000000"/>
      <w:kern w:val="2"/>
      <w:sz w:val="24"/>
      <w:szCs w:val="24"/>
      <w:lang w:val="en-US" w:eastAsia="zh-CN" w:bidi="ar-SA"/>
    </w:rPr>
  </w:style>
  <w:style w:type="paragraph" w:customStyle="1" w:styleId="29">
    <w:name w:val="Table Text"/>
    <w:basedOn w:val="1"/>
    <w:semiHidden/>
    <w:qFormat/>
    <w:uiPriority w:val="0"/>
    <w:rPr>
      <w:rFonts w:ascii="宋体" w:hAnsi="宋体" w:eastAsia="宋体" w:cs="宋体"/>
      <w:sz w:val="21"/>
      <w:szCs w:val="21"/>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我的正文"/>
    <w:basedOn w:val="5"/>
    <w:qFormat/>
    <w:uiPriority w:val="0"/>
    <w:pPr>
      <w:ind w:firstLine="480" w:firstLineChars="200"/>
    </w:pPr>
  </w:style>
  <w:style w:type="paragraph" w:customStyle="1" w:styleId="32">
    <w:name w:val="页脚1"/>
    <w:basedOn w:val="1"/>
    <w:next w:val="7"/>
    <w:unhideWhenUsed/>
    <w:qFormat/>
    <w:uiPriority w:val="0"/>
    <w:pPr>
      <w:tabs>
        <w:tab w:val="center" w:pos="4153"/>
        <w:tab w:val="right" w:pos="8306"/>
      </w:tabs>
      <w:snapToGrid w:val="0"/>
      <w:jc w:val="left"/>
    </w:pPr>
    <w:rPr>
      <w:rFonts w:ascii="宋体" w:hAnsi="Calibri"/>
      <w:bCs/>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12698</Words>
  <Characters>14305</Characters>
  <Lines>0</Lines>
  <Paragraphs>0</Paragraphs>
  <TotalTime>38</TotalTime>
  <ScaleCrop>false</ScaleCrop>
  <LinksUpToDate>false</LinksUpToDate>
  <CharactersWithSpaces>14924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2026-05-12T01:51:00Z</dcterms:created>
  <dc:creator>admin</dc:creator>
  <cp:lastModifiedBy>admin</cp:lastModifiedBy>
  <cp:lastPrinted>2026-07-03T11:13:00Z</cp:lastPrinted>
  <dcterms:modified xsi:type="dcterms:W3CDTF">2026-07-03T11:32:08Z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6EF0134B75F741DB8C53932444372CC6_13</vt:lpwstr>
  </property>
  <property fmtid="{D5CDD505-2E9C-101B-9397-08002B2CF9AE}" pid="4" name="KSOTemplateDocerSaveRecord">
    <vt:lpwstr>eyJoZGlkIjoiNGE2Y2RmMjNlYzBmYzU2MjUyOTFjOWMzN2QyMWU0MjUiLCJ1c2VySWQiOiI0Mzg1NTgxMzgifQ==</vt:lpwstr>
  </property>
</Properties>
</file>