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pPr>
    </w:p>
    <w:p>
      <w:pPr>
        <w:pStyle w:val="10"/>
        <w:ind w:firstLine="0" w:firstLineChars="0"/>
        <w:rPr>
          <w:rFonts w:ascii="宋体" w:hAnsi="宋体" w:eastAsia="宋体"/>
          <w:b/>
          <w:sz w:val="48"/>
          <w:szCs w:val="48"/>
        </w:rPr>
      </w:pPr>
      <w:r>
        <w:rPr>
          <w:rFonts w:hint="eastAsia" w:ascii="宋体" w:hAnsi="宋体" w:eastAsia="宋体"/>
          <w:b/>
          <w:sz w:val="48"/>
          <w:szCs w:val="48"/>
        </w:rPr>
        <w:t>三门峡市灵宝市入河排污口规范化建设项目</w:t>
      </w:r>
    </w:p>
    <w:p>
      <w:pPr>
        <w:jc w:val="center"/>
        <w:rPr>
          <w:rFonts w:ascii="宋体" w:hAnsi="宋体" w:cs="宋体"/>
          <w:b/>
          <w:sz w:val="52"/>
          <w:szCs w:val="52"/>
        </w:rPr>
      </w:pPr>
    </w:p>
    <w:p>
      <w:pPr>
        <w:rPr>
          <w:rFonts w:ascii="宋体" w:hAnsi="宋体" w:cs="宋体"/>
          <w:b/>
          <w:sz w:val="52"/>
          <w:szCs w:val="52"/>
        </w:rPr>
      </w:pPr>
    </w:p>
    <w:p>
      <w:pPr>
        <w:jc w:val="center"/>
        <w:rPr>
          <w:rFonts w:ascii="宋体" w:hAnsi="宋体" w:cs="宋体"/>
          <w:b/>
          <w:sz w:val="52"/>
          <w:szCs w:val="52"/>
        </w:rPr>
      </w:pPr>
    </w:p>
    <w:p>
      <w:pPr>
        <w:jc w:val="center"/>
        <w:rPr>
          <w:rFonts w:ascii="宋体" w:hAnsi="宋体" w:cs="宋体"/>
          <w:b/>
          <w:sz w:val="72"/>
          <w:szCs w:val="72"/>
        </w:rPr>
      </w:pPr>
      <w:r>
        <w:rPr>
          <w:rFonts w:hint="eastAsia" w:ascii="宋体" w:hAnsi="宋体" w:cs="宋体"/>
          <w:b/>
          <w:sz w:val="72"/>
          <w:szCs w:val="72"/>
        </w:rPr>
        <w:t>招 标 文 件</w:t>
      </w:r>
    </w:p>
    <w:p>
      <w:pPr>
        <w:rPr>
          <w:rFonts w:ascii="宋体" w:hAnsi="宋体" w:cs="宋体"/>
        </w:rPr>
      </w:pPr>
    </w:p>
    <w:p>
      <w:pPr>
        <w:rPr>
          <w:rFonts w:ascii="宋体" w:hAnsi="宋体" w:cs="宋体"/>
        </w:rPr>
      </w:pPr>
    </w:p>
    <w:p>
      <w:pPr>
        <w:spacing w:line="360" w:lineRule="auto"/>
        <w:jc w:val="center"/>
        <w:rPr>
          <w:rFonts w:ascii="宋体" w:hAnsi="宋体" w:cs="宋体"/>
          <w:b/>
          <w:sz w:val="84"/>
          <w:szCs w:val="84"/>
          <w:highlight w:val="none"/>
        </w:rPr>
      </w:pPr>
      <w:r>
        <w:rPr>
          <w:rFonts w:hint="eastAsia" w:ascii="宋体" w:hAnsi="宋体"/>
          <w:b/>
          <w:bCs/>
          <w:sz w:val="28"/>
          <w:szCs w:val="28"/>
        </w:rPr>
        <w:t>采购项目编号</w:t>
      </w:r>
      <w:r>
        <w:rPr>
          <w:rFonts w:hint="eastAsia" w:ascii="宋体" w:hAnsi="宋体"/>
          <w:b/>
          <w:bCs/>
          <w:sz w:val="28"/>
          <w:szCs w:val="28"/>
          <w:highlight w:val="none"/>
        </w:rPr>
        <w:t>：LBGZ[2026]134-ZC098</w:t>
      </w:r>
      <w:r>
        <w:rPr>
          <w:rFonts w:hint="eastAsia" w:ascii="宋体" w:hAnsi="宋体"/>
          <w:b/>
          <w:bCs/>
          <w:sz w:val="28"/>
          <w:szCs w:val="28"/>
          <w:highlight w:val="none"/>
        </w:rPr>
        <w:drawing>
          <wp:anchor distT="0" distB="0" distL="114300" distR="114300" simplePos="0" relativeHeight="251660288" behindDoc="0" locked="0" layoutInCell="1" allowOverlap="1">
            <wp:simplePos x="0" y="0"/>
            <wp:positionH relativeFrom="column">
              <wp:posOffset>2327910</wp:posOffset>
            </wp:positionH>
            <wp:positionV relativeFrom="paragraph">
              <wp:posOffset>633730</wp:posOffset>
            </wp:positionV>
            <wp:extent cx="1600835" cy="1488440"/>
            <wp:effectExtent l="0" t="0" r="7620" b="1270"/>
            <wp:wrapNone/>
            <wp:docPr id="1" name="图片 2" descr="新正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新正为"/>
                    <pic:cNvPicPr>
                      <a:picLocks noChangeAspect="1"/>
                    </pic:cNvPicPr>
                  </pic:nvPicPr>
                  <pic:blipFill>
                    <a:blip r:embed="rId28"/>
                    <a:stretch>
                      <a:fillRect/>
                    </a:stretch>
                  </pic:blipFill>
                  <pic:spPr>
                    <a:xfrm>
                      <a:off x="0" y="0"/>
                      <a:ext cx="1600835" cy="1488440"/>
                    </a:xfrm>
                    <a:prstGeom prst="rect">
                      <a:avLst/>
                    </a:prstGeom>
                    <a:noFill/>
                    <a:ln>
                      <a:noFill/>
                    </a:ln>
                  </pic:spPr>
                </pic:pic>
              </a:graphicData>
            </a:graphic>
          </wp:anchor>
        </w:drawing>
      </w:r>
      <w:r>
        <w:rPr>
          <w:rFonts w:hint="eastAsia" w:ascii="宋体" w:hAnsi="宋体"/>
          <w:b/>
          <w:bCs/>
          <w:sz w:val="28"/>
          <w:szCs w:val="28"/>
          <w:highlight w:val="none"/>
        </w:rPr>
        <w:t>；灵宝公开采购-2026-25</w:t>
      </w:r>
    </w:p>
    <w:p>
      <w:pPr>
        <w:spacing w:line="360" w:lineRule="auto"/>
        <w:jc w:val="center"/>
        <w:rPr>
          <w:rFonts w:ascii="宋体" w:hAnsi="宋体" w:cs="宋体"/>
          <w:b/>
          <w:sz w:val="84"/>
          <w:szCs w:val="84"/>
        </w:rPr>
      </w:pPr>
    </w:p>
    <w:p>
      <w:pPr>
        <w:spacing w:line="360" w:lineRule="auto"/>
        <w:jc w:val="center"/>
        <w:rPr>
          <w:rFonts w:ascii="宋体" w:hAnsi="宋体" w:cs="宋体"/>
          <w:b/>
        </w:rPr>
      </w:pPr>
    </w:p>
    <w:p>
      <w:pPr>
        <w:spacing w:line="360" w:lineRule="auto"/>
        <w:rPr>
          <w:rFonts w:ascii="宋体" w:hAnsi="宋体" w:cs="宋体"/>
          <w:b/>
          <w:sz w:val="32"/>
          <w:szCs w:val="32"/>
        </w:rPr>
      </w:pPr>
    </w:p>
    <w:p>
      <w:pPr>
        <w:spacing w:line="360" w:lineRule="auto"/>
        <w:rPr>
          <w:rFonts w:ascii="宋体" w:hAnsi="宋体" w:cs="宋体"/>
          <w:b/>
          <w:sz w:val="32"/>
          <w:szCs w:val="32"/>
        </w:rPr>
      </w:pPr>
    </w:p>
    <w:p>
      <w:pPr>
        <w:spacing w:line="360" w:lineRule="auto"/>
        <w:rPr>
          <w:rFonts w:ascii="宋体" w:hAnsi="宋体" w:cs="宋体"/>
          <w:b/>
          <w:sz w:val="32"/>
          <w:szCs w:val="32"/>
        </w:rPr>
      </w:pPr>
    </w:p>
    <w:p>
      <w:pPr>
        <w:spacing w:line="360" w:lineRule="auto"/>
        <w:jc w:val="center"/>
        <w:rPr>
          <w:rFonts w:ascii="宋体" w:hAnsi="宋体" w:cs="宋体"/>
          <w:b/>
          <w:sz w:val="32"/>
          <w:szCs w:val="32"/>
        </w:rPr>
      </w:pPr>
    </w:p>
    <w:p>
      <w:pPr>
        <w:spacing w:line="360" w:lineRule="auto"/>
        <w:jc w:val="center"/>
        <w:rPr>
          <w:rFonts w:ascii="宋体" w:hAnsi="宋体" w:cs="宋体"/>
          <w:b/>
          <w:sz w:val="32"/>
          <w:szCs w:val="32"/>
        </w:rPr>
      </w:pPr>
      <w:r>
        <w:rPr>
          <w:rFonts w:hint="eastAsia" w:ascii="宋体" w:hAnsi="宋体" w:cs="宋体"/>
          <w:b/>
          <w:sz w:val="32"/>
          <w:szCs w:val="32"/>
        </w:rPr>
        <w:t>招标单位：三门峡市生态环境局灵宝分局</w:t>
      </w:r>
    </w:p>
    <w:p>
      <w:pPr>
        <w:spacing w:line="360" w:lineRule="auto"/>
        <w:jc w:val="center"/>
        <w:rPr>
          <w:rFonts w:ascii="宋体" w:hAnsi="宋体" w:cs="宋体"/>
          <w:b/>
          <w:sz w:val="32"/>
          <w:szCs w:val="32"/>
        </w:rPr>
      </w:pPr>
      <w:r>
        <w:rPr>
          <w:rFonts w:hint="eastAsia" w:ascii="宋体" w:hAnsi="宋体" w:cs="宋体"/>
          <w:b/>
          <w:sz w:val="32"/>
          <w:szCs w:val="32"/>
        </w:rPr>
        <w:t>采购代理机构：</w:t>
      </w:r>
      <w:r>
        <w:rPr>
          <w:rFonts w:hint="eastAsia" w:ascii="宋体" w:hAnsi="宋体" w:cs="宋体"/>
          <w:b/>
          <w:bCs/>
          <w:sz w:val="32"/>
          <w:szCs w:val="32"/>
        </w:rPr>
        <w:t>正为技术有限公司</w:t>
      </w:r>
    </w:p>
    <w:p>
      <w:pPr>
        <w:spacing w:line="360" w:lineRule="auto"/>
        <w:jc w:val="center"/>
        <w:rPr>
          <w:rFonts w:ascii="宋体" w:hAnsi="宋体" w:cs="宋体"/>
          <w:b/>
          <w:sz w:val="32"/>
          <w:szCs w:val="32"/>
        </w:rPr>
        <w:sectPr>
          <w:headerReference r:id="rId3" w:type="first"/>
          <w:footerReference r:id="rId4" w:type="first"/>
          <w:pgSz w:w="11900" w:h="16838"/>
          <w:pgMar w:top="1440" w:right="1080" w:bottom="1440" w:left="1080" w:header="720" w:footer="0" w:gutter="0"/>
          <w:pgNumType w:start="1"/>
          <w:cols w:space="0" w:num="1"/>
          <w:titlePg/>
          <w:docGrid w:type="lines" w:linePitch="368" w:charSpace="0"/>
        </w:sectPr>
      </w:pPr>
      <w:r>
        <w:rPr>
          <w:rFonts w:hint="eastAsia" w:ascii="宋体" w:hAnsi="宋体" w:cs="宋体"/>
          <w:b/>
          <w:sz w:val="32"/>
          <w:szCs w:val="32"/>
        </w:rPr>
        <w:t>招 标 日 期：二〇二六年</w:t>
      </w:r>
      <w:r>
        <w:rPr>
          <w:rFonts w:hint="eastAsia" w:ascii="宋体" w:hAnsi="宋体" w:cs="宋体"/>
          <w:b/>
          <w:sz w:val="32"/>
          <w:szCs w:val="32"/>
          <w:lang w:val="en-US" w:eastAsia="zh-CN"/>
        </w:rPr>
        <w:t>七</w:t>
      </w:r>
      <w:r>
        <w:rPr>
          <w:rFonts w:hint="eastAsia" w:ascii="宋体" w:hAnsi="宋体" w:cs="宋体"/>
          <w:b/>
          <w:sz w:val="32"/>
          <w:szCs w:val="32"/>
        </w:rPr>
        <w:t>月</w:t>
      </w:r>
    </w:p>
    <w:p>
      <w:pPr>
        <w:pStyle w:val="10"/>
        <w:ind w:firstLine="0" w:firstLineChars="0"/>
        <w:rPr>
          <w:rStyle w:val="27"/>
          <w:rFonts w:ascii="宋体" w:hAnsi="宋体" w:eastAsia="宋体"/>
          <w:b/>
          <w:color w:val="auto"/>
          <w:sz w:val="44"/>
          <w:szCs w:val="44"/>
        </w:rPr>
      </w:pPr>
    </w:p>
    <w:p>
      <w:pPr>
        <w:pStyle w:val="10"/>
        <w:ind w:firstLine="0" w:firstLineChars="0"/>
        <w:rPr>
          <w:rStyle w:val="27"/>
          <w:rFonts w:ascii="宋体" w:hAnsi="宋体" w:eastAsia="宋体"/>
          <w:b/>
          <w:bCs/>
          <w:caps/>
          <w:color w:val="auto"/>
          <w:sz w:val="44"/>
          <w:szCs w:val="44"/>
        </w:rPr>
      </w:pPr>
      <w:r>
        <w:rPr>
          <w:rStyle w:val="27"/>
          <w:rFonts w:hint="eastAsia" w:ascii="宋体" w:hAnsi="宋体" w:eastAsia="宋体"/>
          <w:b/>
          <w:color w:val="auto"/>
          <w:sz w:val="44"/>
          <w:szCs w:val="44"/>
        </w:rPr>
        <w:t>目   录</w:t>
      </w:r>
    </w:p>
    <w:sdt>
      <w:sdtPr>
        <w:rPr>
          <w:rFonts w:ascii="宋体" w:hAnsi="宋体"/>
          <w:b/>
          <w:bCs/>
          <w:kern w:val="44"/>
          <w:sz w:val="44"/>
          <w:szCs w:val="44"/>
        </w:rPr>
        <w:id w:val="147471133"/>
        <w:docPartObj>
          <w:docPartGallery w:val="Table of Contents"/>
          <w:docPartUnique/>
        </w:docPartObj>
      </w:sdtPr>
      <w:sdtEndPr>
        <w:rPr>
          <w:rFonts w:hint="eastAsia" w:ascii="宋体" w:hAnsi="宋体" w:cs="宋体"/>
          <w:b/>
          <w:bCs/>
          <w:kern w:val="44"/>
          <w:sz w:val="44"/>
          <w:szCs w:val="36"/>
        </w:rPr>
      </w:sdtEndPr>
      <w:sdtContent>
        <w:p>
          <w:pPr>
            <w:jc w:val="center"/>
          </w:pPr>
          <w:bookmarkStart w:id="0" w:name="_Toc26551"/>
        </w:p>
        <w:p>
          <w:pPr>
            <w:pStyle w:val="16"/>
            <w:tabs>
              <w:tab w:val="right" w:leader="dot" w:pos="9071"/>
            </w:tabs>
            <w:spacing w:line="480" w:lineRule="auto"/>
            <w:rPr>
              <w:color w:val="auto"/>
            </w:rPr>
          </w:pPr>
          <w:r>
            <w:rPr>
              <w:rFonts w:hint="eastAsia"/>
              <w:color w:val="auto"/>
              <w:sz w:val="36"/>
              <w:szCs w:val="36"/>
            </w:rPr>
            <w:fldChar w:fldCharType="begin"/>
          </w:r>
          <w:r>
            <w:rPr>
              <w:rFonts w:hint="eastAsia"/>
              <w:color w:val="auto"/>
              <w:sz w:val="36"/>
              <w:szCs w:val="36"/>
            </w:rPr>
            <w:instrText xml:space="preserve">TOC \o "1-1" \h \u </w:instrText>
          </w:r>
          <w:r>
            <w:rPr>
              <w:rFonts w:hint="eastAsia"/>
              <w:color w:val="auto"/>
              <w:sz w:val="36"/>
              <w:szCs w:val="36"/>
            </w:rPr>
            <w:fldChar w:fldCharType="separate"/>
          </w:r>
          <w:r>
            <w:fldChar w:fldCharType="begin"/>
          </w:r>
          <w:r>
            <w:instrText xml:space="preserve"> HYPERLINK \l "_Toc18403" </w:instrText>
          </w:r>
          <w:r>
            <w:fldChar w:fldCharType="separate"/>
          </w:r>
          <w:r>
            <w:rPr>
              <w:rFonts w:hint="eastAsia"/>
              <w:color w:val="auto"/>
              <w:szCs w:val="36"/>
            </w:rPr>
            <w:t>第一章 招标公告</w:t>
          </w:r>
          <w:r>
            <w:rPr>
              <w:color w:val="auto"/>
            </w:rPr>
            <w:tab/>
          </w:r>
          <w:r>
            <w:rPr>
              <w:color w:val="auto"/>
            </w:rPr>
            <w:fldChar w:fldCharType="begin"/>
          </w:r>
          <w:r>
            <w:rPr>
              <w:color w:val="auto"/>
            </w:rPr>
            <w:instrText xml:space="preserve"> PAGEREF _Toc18403 \h </w:instrText>
          </w:r>
          <w:r>
            <w:rPr>
              <w:color w:val="auto"/>
            </w:rPr>
            <w:fldChar w:fldCharType="separate"/>
          </w:r>
          <w:r>
            <w:rPr>
              <w:color w:val="auto"/>
            </w:rPr>
            <w:t>2</w:t>
          </w:r>
          <w:r>
            <w:rPr>
              <w:color w:val="auto"/>
            </w:rPr>
            <w:fldChar w:fldCharType="end"/>
          </w:r>
          <w:r>
            <w:rPr>
              <w:color w:val="auto"/>
            </w:rPr>
            <w:fldChar w:fldCharType="end"/>
          </w:r>
        </w:p>
        <w:p>
          <w:pPr>
            <w:pStyle w:val="16"/>
            <w:tabs>
              <w:tab w:val="right" w:leader="dot" w:pos="9071"/>
            </w:tabs>
            <w:spacing w:line="480" w:lineRule="auto"/>
            <w:rPr>
              <w:color w:val="auto"/>
            </w:rPr>
          </w:pPr>
          <w:r>
            <w:fldChar w:fldCharType="begin"/>
          </w:r>
          <w:r>
            <w:instrText xml:space="preserve"> HYPERLINK \l "_Toc5841" </w:instrText>
          </w:r>
          <w:r>
            <w:fldChar w:fldCharType="separate"/>
          </w:r>
          <w:r>
            <w:rPr>
              <w:rFonts w:hint="eastAsia"/>
              <w:color w:val="auto"/>
              <w:szCs w:val="36"/>
            </w:rPr>
            <w:t>第二章 供应商须知</w:t>
          </w:r>
          <w:r>
            <w:rPr>
              <w:color w:val="auto"/>
            </w:rPr>
            <w:tab/>
          </w:r>
          <w:r>
            <w:rPr>
              <w:color w:val="auto"/>
            </w:rPr>
            <w:fldChar w:fldCharType="begin"/>
          </w:r>
          <w:r>
            <w:rPr>
              <w:color w:val="auto"/>
            </w:rPr>
            <w:instrText xml:space="preserve"> PAGEREF _Toc5841 \h </w:instrText>
          </w:r>
          <w:r>
            <w:rPr>
              <w:color w:val="auto"/>
            </w:rPr>
            <w:fldChar w:fldCharType="separate"/>
          </w:r>
          <w:r>
            <w:rPr>
              <w:color w:val="auto"/>
            </w:rPr>
            <w:t>7</w:t>
          </w:r>
          <w:r>
            <w:rPr>
              <w:color w:val="auto"/>
            </w:rPr>
            <w:fldChar w:fldCharType="end"/>
          </w:r>
          <w:r>
            <w:rPr>
              <w:color w:val="auto"/>
            </w:rPr>
            <w:fldChar w:fldCharType="end"/>
          </w:r>
        </w:p>
        <w:p>
          <w:pPr>
            <w:pStyle w:val="16"/>
            <w:tabs>
              <w:tab w:val="right" w:leader="dot" w:pos="9071"/>
            </w:tabs>
            <w:spacing w:line="480" w:lineRule="auto"/>
            <w:rPr>
              <w:color w:val="auto"/>
            </w:rPr>
          </w:pPr>
          <w:r>
            <w:fldChar w:fldCharType="begin"/>
          </w:r>
          <w:r>
            <w:instrText xml:space="preserve"> HYPERLINK \l "_Toc21705" </w:instrText>
          </w:r>
          <w:r>
            <w:fldChar w:fldCharType="separate"/>
          </w:r>
          <w:r>
            <w:rPr>
              <w:rFonts w:hint="eastAsia"/>
              <w:color w:val="auto"/>
              <w:szCs w:val="36"/>
            </w:rPr>
            <w:t>第三章 评标办法</w:t>
          </w:r>
          <w:r>
            <w:rPr>
              <w:color w:val="auto"/>
            </w:rPr>
            <w:tab/>
          </w:r>
          <w:r>
            <w:rPr>
              <w:color w:val="auto"/>
            </w:rPr>
            <w:fldChar w:fldCharType="begin"/>
          </w:r>
          <w:r>
            <w:rPr>
              <w:color w:val="auto"/>
            </w:rPr>
            <w:instrText xml:space="preserve"> PAGEREF _Toc21705 \h </w:instrText>
          </w:r>
          <w:r>
            <w:rPr>
              <w:color w:val="auto"/>
            </w:rPr>
            <w:fldChar w:fldCharType="separate"/>
          </w:r>
          <w:r>
            <w:rPr>
              <w:color w:val="auto"/>
            </w:rPr>
            <w:t>26</w:t>
          </w:r>
          <w:r>
            <w:rPr>
              <w:color w:val="auto"/>
            </w:rPr>
            <w:fldChar w:fldCharType="end"/>
          </w:r>
          <w:r>
            <w:rPr>
              <w:color w:val="auto"/>
            </w:rPr>
            <w:fldChar w:fldCharType="end"/>
          </w:r>
        </w:p>
        <w:p>
          <w:pPr>
            <w:pStyle w:val="16"/>
            <w:tabs>
              <w:tab w:val="right" w:leader="dot" w:pos="9071"/>
            </w:tabs>
            <w:spacing w:line="480" w:lineRule="auto"/>
            <w:rPr>
              <w:color w:val="auto"/>
            </w:rPr>
          </w:pPr>
          <w:r>
            <w:fldChar w:fldCharType="begin"/>
          </w:r>
          <w:r>
            <w:instrText xml:space="preserve"> HYPERLINK \l "_Toc28236" </w:instrText>
          </w:r>
          <w:r>
            <w:fldChar w:fldCharType="separate"/>
          </w:r>
          <w:r>
            <w:rPr>
              <w:rFonts w:hint="eastAsia"/>
              <w:bCs w:val="0"/>
              <w:color w:val="auto"/>
              <w:kern w:val="0"/>
              <w:szCs w:val="24"/>
            </w:rPr>
            <w:t>第四章  合同条款及格式</w:t>
          </w:r>
          <w:r>
            <w:rPr>
              <w:color w:val="auto"/>
            </w:rPr>
            <w:tab/>
          </w:r>
          <w:r>
            <w:rPr>
              <w:color w:val="auto"/>
            </w:rPr>
            <w:fldChar w:fldCharType="begin"/>
          </w:r>
          <w:r>
            <w:rPr>
              <w:color w:val="auto"/>
            </w:rPr>
            <w:instrText xml:space="preserve"> PAGEREF _Toc28236 \h </w:instrText>
          </w:r>
          <w:r>
            <w:rPr>
              <w:color w:val="auto"/>
            </w:rPr>
            <w:fldChar w:fldCharType="separate"/>
          </w:r>
          <w:r>
            <w:rPr>
              <w:color w:val="auto"/>
            </w:rPr>
            <w:t>3</w:t>
          </w:r>
          <w:r>
            <w:rPr>
              <w:rFonts w:hint="eastAsia"/>
              <w:color w:val="auto"/>
              <w:lang w:val="en-US" w:eastAsia="zh-CN"/>
            </w:rPr>
            <w:t>5</w:t>
          </w:r>
          <w:r>
            <w:rPr>
              <w:color w:val="auto"/>
            </w:rPr>
            <w:fldChar w:fldCharType="end"/>
          </w:r>
          <w:r>
            <w:rPr>
              <w:color w:val="auto"/>
            </w:rPr>
            <w:fldChar w:fldCharType="end"/>
          </w:r>
        </w:p>
        <w:p>
          <w:pPr>
            <w:pStyle w:val="16"/>
            <w:tabs>
              <w:tab w:val="right" w:leader="dot" w:pos="9071"/>
            </w:tabs>
            <w:spacing w:line="480" w:lineRule="auto"/>
            <w:rPr>
              <w:color w:val="auto"/>
            </w:rPr>
          </w:pPr>
          <w:r>
            <w:fldChar w:fldCharType="begin"/>
          </w:r>
          <w:r>
            <w:instrText xml:space="preserve"> HYPERLINK \l "_Toc27758" </w:instrText>
          </w:r>
          <w:r>
            <w:fldChar w:fldCharType="separate"/>
          </w:r>
          <w:r>
            <w:rPr>
              <w:rFonts w:hint="eastAsia"/>
              <w:bCs w:val="0"/>
              <w:color w:val="auto"/>
              <w:kern w:val="0"/>
              <w:szCs w:val="32"/>
            </w:rPr>
            <w:t>第五章 采购</w:t>
          </w:r>
          <w:r>
            <w:rPr>
              <w:rFonts w:hint="eastAsia"/>
              <w:bCs w:val="0"/>
              <w:color w:val="auto"/>
              <w:kern w:val="0"/>
              <w:szCs w:val="32"/>
              <w:lang w:val="en-US" w:eastAsia="zh-CN"/>
            </w:rPr>
            <w:t>清单</w:t>
          </w:r>
          <w:r>
            <w:rPr>
              <w:rFonts w:hint="eastAsia"/>
              <w:bCs w:val="0"/>
              <w:color w:val="auto"/>
              <w:kern w:val="0"/>
              <w:szCs w:val="32"/>
            </w:rPr>
            <w:t>及技术要求</w:t>
          </w:r>
          <w:r>
            <w:rPr>
              <w:color w:val="auto"/>
            </w:rPr>
            <w:tab/>
          </w:r>
          <w:r>
            <w:rPr>
              <w:color w:val="auto"/>
            </w:rPr>
            <w:fldChar w:fldCharType="begin"/>
          </w:r>
          <w:r>
            <w:rPr>
              <w:color w:val="auto"/>
            </w:rPr>
            <w:instrText xml:space="preserve"> PAGEREF _Toc27758 \h </w:instrText>
          </w:r>
          <w:r>
            <w:rPr>
              <w:color w:val="auto"/>
            </w:rPr>
            <w:fldChar w:fldCharType="separate"/>
          </w:r>
          <w:r>
            <w:rPr>
              <w:color w:val="auto"/>
            </w:rPr>
            <w:t>3</w:t>
          </w:r>
          <w:r>
            <w:rPr>
              <w:rFonts w:hint="eastAsia"/>
              <w:color w:val="auto"/>
              <w:lang w:val="en-US" w:eastAsia="zh-CN"/>
            </w:rPr>
            <w:t>6</w:t>
          </w:r>
          <w:r>
            <w:rPr>
              <w:color w:val="auto"/>
            </w:rPr>
            <w:fldChar w:fldCharType="end"/>
          </w:r>
          <w:r>
            <w:rPr>
              <w:color w:val="auto"/>
            </w:rPr>
            <w:fldChar w:fldCharType="end"/>
          </w:r>
        </w:p>
        <w:p>
          <w:pPr>
            <w:pStyle w:val="16"/>
            <w:tabs>
              <w:tab w:val="right" w:leader="dot" w:pos="9071"/>
            </w:tabs>
            <w:spacing w:line="480" w:lineRule="auto"/>
            <w:rPr>
              <w:color w:val="auto"/>
            </w:rPr>
          </w:pPr>
          <w:r>
            <w:fldChar w:fldCharType="begin"/>
          </w:r>
          <w:r>
            <w:instrText xml:space="preserve"> HYPERLINK \l "_Toc823" </w:instrText>
          </w:r>
          <w:r>
            <w:fldChar w:fldCharType="separate"/>
          </w:r>
          <w:r>
            <w:rPr>
              <w:rFonts w:hint="eastAsia"/>
              <w:color w:val="auto"/>
            </w:rPr>
            <w:t>第六章 投标文件格式</w:t>
          </w:r>
          <w:r>
            <w:rPr>
              <w:color w:val="auto"/>
            </w:rPr>
            <w:tab/>
          </w:r>
          <w:r>
            <w:rPr>
              <w:color w:val="auto"/>
            </w:rPr>
            <w:fldChar w:fldCharType="begin"/>
          </w:r>
          <w:r>
            <w:rPr>
              <w:color w:val="auto"/>
            </w:rPr>
            <w:instrText xml:space="preserve"> PAGEREF _Toc823 \h </w:instrText>
          </w:r>
          <w:r>
            <w:rPr>
              <w:color w:val="auto"/>
            </w:rPr>
            <w:fldChar w:fldCharType="separate"/>
          </w:r>
          <w:r>
            <w:rPr>
              <w:color w:val="auto"/>
            </w:rPr>
            <w:t>68</w:t>
          </w:r>
          <w:r>
            <w:rPr>
              <w:color w:val="auto"/>
            </w:rPr>
            <w:fldChar w:fldCharType="end"/>
          </w:r>
          <w:r>
            <w:rPr>
              <w:color w:val="auto"/>
            </w:rPr>
            <w:fldChar w:fldCharType="end"/>
          </w:r>
        </w:p>
        <w:p>
          <w:pPr>
            <w:pStyle w:val="2"/>
            <w:spacing w:before="120" w:after="120" w:line="480" w:lineRule="auto"/>
            <w:jc w:val="center"/>
            <w:rPr>
              <w:rFonts w:ascii="宋体" w:hAnsi="宋体" w:cs="宋体"/>
              <w:szCs w:val="36"/>
            </w:rPr>
          </w:pPr>
          <w:r>
            <w:rPr>
              <w:rFonts w:hint="eastAsia" w:ascii="宋体" w:hAnsi="宋体" w:cs="宋体"/>
              <w:szCs w:val="36"/>
            </w:rPr>
            <w:fldChar w:fldCharType="end"/>
          </w:r>
        </w:p>
      </w:sdtContent>
    </w:sdt>
    <w:p>
      <w:pPr>
        <w:spacing w:line="480" w:lineRule="auto"/>
        <w:sectPr>
          <w:headerReference r:id="rId5" w:type="default"/>
          <w:footerReference r:id="rId6" w:type="default"/>
          <w:pgSz w:w="11900" w:h="16838"/>
          <w:pgMar w:top="1134" w:right="1270" w:bottom="992" w:left="1559" w:header="964" w:footer="0" w:gutter="0"/>
          <w:pgNumType w:start="1"/>
          <w:cols w:space="0" w:num="1"/>
          <w:docGrid w:type="lines" w:linePitch="368" w:charSpace="0"/>
        </w:sectPr>
      </w:pPr>
    </w:p>
    <w:p>
      <w:pPr>
        <w:pStyle w:val="2"/>
        <w:spacing w:before="120" w:after="120" w:line="400" w:lineRule="exact"/>
        <w:jc w:val="center"/>
        <w:rPr>
          <w:rFonts w:ascii="宋体" w:hAnsi="宋体" w:cs="宋体"/>
          <w:sz w:val="36"/>
          <w:szCs w:val="36"/>
        </w:rPr>
      </w:pPr>
      <w:bookmarkStart w:id="1" w:name="_Toc18403"/>
      <w:bookmarkStart w:id="2" w:name="_Toc22201"/>
      <w:bookmarkStart w:id="3" w:name="_Toc8090"/>
      <w:r>
        <w:rPr>
          <w:rFonts w:hint="eastAsia" w:ascii="宋体" w:hAnsi="宋体" w:cs="宋体"/>
          <w:sz w:val="36"/>
          <w:szCs w:val="36"/>
        </w:rPr>
        <w:t>第一章 招标公告</w:t>
      </w:r>
      <w:bookmarkEnd w:id="0"/>
      <w:bookmarkEnd w:id="1"/>
      <w:bookmarkEnd w:id="2"/>
      <w:bookmarkEnd w:id="3"/>
    </w:p>
    <w:p>
      <w:pPr>
        <w:spacing w:line="520" w:lineRule="exact"/>
        <w:ind w:firstLine="480" w:firstLineChars="200"/>
        <w:rPr>
          <w:rFonts w:ascii="宋体" w:hAnsi="宋体" w:cs="宋体"/>
          <w:sz w:val="24"/>
          <w:szCs w:val="24"/>
        </w:rPr>
      </w:pPr>
      <w:bookmarkStart w:id="4" w:name="_Toc28372"/>
      <w:bookmarkStart w:id="5" w:name="_Toc410126998"/>
      <w:bookmarkStart w:id="6" w:name="_Toc28449"/>
      <w:bookmarkStart w:id="7" w:name="_Toc270604573"/>
      <w:bookmarkStart w:id="8" w:name="_Toc12317"/>
      <w:r>
        <w:rPr>
          <w:rFonts w:hint="eastAsia" w:ascii="宋体" w:hAnsi="宋体" w:cs="宋体"/>
          <w:sz w:val="24"/>
          <w:szCs w:val="24"/>
        </w:rPr>
        <w:t>三门峡市灵宝市入河排污口规范化建设项目的潜在投标人应在三门峡市公共资源交易中心（</w:t>
      </w:r>
      <w:r>
        <w:rPr>
          <w:sz w:val="24"/>
          <w:szCs w:val="24"/>
          <w:highlight w:val="none"/>
        </w:rPr>
        <w:fldChar w:fldCharType="begin"/>
      </w:r>
      <w:r>
        <w:rPr>
          <w:sz w:val="24"/>
          <w:szCs w:val="24"/>
          <w:highlight w:val="none"/>
        </w:rPr>
        <w:instrText xml:space="preserve"> HYPERLINK "http://gzjy.smx.gov.cn/）获取招标文件，并于" </w:instrText>
      </w:r>
      <w:r>
        <w:rPr>
          <w:sz w:val="24"/>
          <w:szCs w:val="24"/>
          <w:highlight w:val="none"/>
        </w:rPr>
        <w:fldChar w:fldCharType="separate"/>
      </w:r>
      <w:r>
        <w:rPr>
          <w:rStyle w:val="27"/>
          <w:rFonts w:hint="eastAsia" w:ascii="宋体" w:hAnsi="宋体" w:cs="宋体"/>
          <w:color w:val="auto"/>
          <w:sz w:val="24"/>
          <w:szCs w:val="24"/>
          <w:highlight w:val="none"/>
        </w:rPr>
        <w:t>http://gzjy.smx.gov.cn/）获取招标文件，并于</w:t>
      </w:r>
      <w:r>
        <w:rPr>
          <w:rStyle w:val="27"/>
          <w:rFonts w:hint="eastAsia" w:ascii="宋体" w:hAnsi="宋体" w:cs="宋体"/>
          <w:color w:val="auto"/>
          <w:sz w:val="24"/>
          <w:szCs w:val="24"/>
          <w:highlight w:val="none"/>
        </w:rPr>
        <w:fldChar w:fldCharType="end"/>
      </w:r>
      <w:r>
        <w:rPr>
          <w:rStyle w:val="27"/>
          <w:rFonts w:hint="eastAsia" w:ascii="宋体" w:hAnsi="宋体" w:cs="宋体"/>
          <w:color w:val="auto"/>
          <w:sz w:val="24"/>
          <w:szCs w:val="24"/>
          <w:highlight w:val="none"/>
        </w:rPr>
        <w:t>2026年</w:t>
      </w:r>
      <w:r>
        <w:rPr>
          <w:rStyle w:val="27"/>
          <w:rFonts w:hint="eastAsia" w:ascii="宋体" w:hAnsi="宋体" w:cs="宋体"/>
          <w:color w:val="auto"/>
          <w:sz w:val="24"/>
          <w:szCs w:val="24"/>
          <w:highlight w:val="none"/>
          <w:lang w:val="en-US" w:eastAsia="zh-CN"/>
        </w:rPr>
        <w:t>07</w:t>
      </w:r>
      <w:r>
        <w:rPr>
          <w:rStyle w:val="27"/>
          <w:rFonts w:hint="eastAsia" w:ascii="宋体" w:hAnsi="宋体" w:cs="宋体"/>
          <w:color w:val="auto"/>
          <w:sz w:val="24"/>
          <w:szCs w:val="24"/>
          <w:highlight w:val="none"/>
        </w:rPr>
        <w:t>月</w:t>
      </w:r>
      <w:r>
        <w:rPr>
          <w:rStyle w:val="27"/>
          <w:rFonts w:hint="eastAsia" w:ascii="宋体" w:hAnsi="宋体" w:cs="宋体"/>
          <w:color w:val="auto"/>
          <w:sz w:val="24"/>
          <w:szCs w:val="24"/>
          <w:highlight w:val="none"/>
          <w:lang w:val="en-US" w:eastAsia="zh-CN"/>
        </w:rPr>
        <w:t>31</w:t>
      </w:r>
      <w:r>
        <w:rPr>
          <w:rStyle w:val="27"/>
          <w:rFonts w:hint="eastAsia" w:ascii="宋体" w:hAnsi="宋体" w:cs="宋体"/>
          <w:color w:val="auto"/>
          <w:sz w:val="24"/>
          <w:szCs w:val="24"/>
          <w:highlight w:val="none"/>
        </w:rPr>
        <w:t>日08时30分</w:t>
      </w:r>
      <w:r>
        <w:rPr>
          <w:rFonts w:hint="eastAsia" w:ascii="宋体" w:hAnsi="宋体" w:cs="宋体"/>
          <w:sz w:val="24"/>
          <w:szCs w:val="24"/>
          <w:highlight w:val="none"/>
        </w:rPr>
        <w:t>（北京</w:t>
      </w:r>
      <w:r>
        <w:rPr>
          <w:rFonts w:hint="eastAsia" w:ascii="宋体" w:hAnsi="宋体" w:cs="宋体"/>
          <w:sz w:val="24"/>
          <w:szCs w:val="24"/>
        </w:rPr>
        <w:t>时间）前递交响应文件。</w:t>
      </w:r>
    </w:p>
    <w:p>
      <w:pPr>
        <w:spacing w:line="520" w:lineRule="exact"/>
        <w:ind w:firstLine="482" w:firstLineChars="200"/>
        <w:rPr>
          <w:rFonts w:ascii="宋体" w:hAnsi="宋体" w:cs="宋体"/>
          <w:sz w:val="24"/>
          <w:szCs w:val="24"/>
        </w:rPr>
      </w:pPr>
      <w:r>
        <w:rPr>
          <w:rFonts w:hint="eastAsia" w:ascii="宋体" w:hAnsi="宋体" w:cs="宋体"/>
          <w:b/>
          <w:bCs/>
          <w:sz w:val="24"/>
          <w:szCs w:val="24"/>
        </w:rPr>
        <w:t>一、项目基本情况</w:t>
      </w:r>
    </w:p>
    <w:p>
      <w:pPr>
        <w:spacing w:line="520" w:lineRule="exact"/>
        <w:ind w:firstLine="480" w:firstLineChars="200"/>
        <w:rPr>
          <w:rFonts w:ascii="宋体" w:hAnsi="宋体" w:cs="宋体"/>
          <w:sz w:val="24"/>
          <w:szCs w:val="24"/>
          <w:highlight w:val="none"/>
        </w:rPr>
      </w:pPr>
      <w:r>
        <w:rPr>
          <w:rFonts w:hint="eastAsia" w:ascii="宋体" w:hAnsi="宋体" w:cs="宋体"/>
          <w:sz w:val="24"/>
          <w:szCs w:val="24"/>
        </w:rPr>
        <w:t>1、</w:t>
      </w:r>
      <w:r>
        <w:rPr>
          <w:rFonts w:hint="eastAsia" w:ascii="宋体" w:hAnsi="宋体" w:cs="宋体"/>
          <w:sz w:val="24"/>
          <w:szCs w:val="24"/>
          <w:highlight w:val="none"/>
        </w:rPr>
        <w:t>项目编号：LBGZ[2026]134-ZC098；灵宝公开采购-2026-25</w:t>
      </w:r>
    </w:p>
    <w:p>
      <w:pPr>
        <w:spacing w:line="520" w:lineRule="exact"/>
        <w:ind w:firstLine="480" w:firstLineChars="200"/>
        <w:rPr>
          <w:rFonts w:ascii="宋体" w:hAnsi="宋体" w:cs="宋体"/>
          <w:sz w:val="24"/>
          <w:szCs w:val="24"/>
        </w:rPr>
      </w:pPr>
      <w:r>
        <w:rPr>
          <w:rFonts w:hint="eastAsia" w:ascii="宋体" w:hAnsi="宋体" w:cs="宋体"/>
          <w:sz w:val="24"/>
          <w:szCs w:val="24"/>
        </w:rPr>
        <w:t>2、项目名称：</w:t>
      </w:r>
      <w:r>
        <w:rPr>
          <w:rFonts w:hint="eastAsia" w:ascii="宋体" w:hAnsi="宋体" w:cs="宋体"/>
          <w:kern w:val="0"/>
          <w:sz w:val="24"/>
          <w:szCs w:val="24"/>
        </w:rPr>
        <w:t>三门峡市灵宝市入河排污口规范化建设项目</w:t>
      </w:r>
    </w:p>
    <w:p>
      <w:pPr>
        <w:spacing w:line="520" w:lineRule="exact"/>
        <w:ind w:firstLine="480" w:firstLineChars="200"/>
        <w:rPr>
          <w:rFonts w:ascii="宋体" w:hAnsi="宋体" w:cs="宋体"/>
          <w:sz w:val="24"/>
          <w:szCs w:val="24"/>
          <w:lang w:val="zh-TW"/>
        </w:rPr>
      </w:pPr>
      <w:r>
        <w:rPr>
          <w:rFonts w:hint="eastAsia" w:ascii="宋体" w:hAnsi="宋体" w:cs="宋体"/>
          <w:sz w:val="24"/>
          <w:szCs w:val="24"/>
          <w:lang w:val="zh-TW"/>
        </w:rPr>
        <w:t>3、采购方式：公开招标</w:t>
      </w:r>
    </w:p>
    <w:p>
      <w:pPr>
        <w:spacing w:line="520" w:lineRule="exact"/>
        <w:ind w:firstLine="480" w:firstLineChars="200"/>
        <w:rPr>
          <w:rFonts w:ascii="宋体" w:hAnsi="宋体" w:cs="宋体"/>
          <w:sz w:val="24"/>
          <w:szCs w:val="24"/>
        </w:rPr>
      </w:pPr>
      <w:r>
        <w:rPr>
          <w:rFonts w:hint="eastAsia" w:ascii="宋体" w:hAnsi="宋体" w:cs="宋体"/>
          <w:sz w:val="24"/>
          <w:szCs w:val="24"/>
          <w:lang w:val="zh-TW"/>
        </w:rPr>
        <w:t>4、</w:t>
      </w:r>
      <w:r>
        <w:rPr>
          <w:rFonts w:hint="eastAsia" w:ascii="宋体" w:hAnsi="宋体" w:cs="宋体"/>
          <w:sz w:val="24"/>
          <w:szCs w:val="24"/>
        </w:rPr>
        <w:t>预算金额：</w:t>
      </w:r>
      <w:r>
        <w:rPr>
          <w:rFonts w:hint="eastAsia" w:ascii="宋体" w:hAnsi="宋体" w:cs="宋体"/>
          <w:sz w:val="24"/>
          <w:szCs w:val="24"/>
          <w:lang w:eastAsia="zh-CN"/>
        </w:rPr>
        <w:t>1057.553293</w:t>
      </w:r>
      <w:r>
        <w:rPr>
          <w:rFonts w:hint="eastAsia" w:ascii="宋体" w:hAnsi="宋体" w:cs="宋体"/>
          <w:sz w:val="24"/>
          <w:szCs w:val="24"/>
        </w:rPr>
        <w:t>万元</w:t>
      </w:r>
      <w:r>
        <w:rPr>
          <w:rFonts w:hint="eastAsia" w:ascii="宋体" w:hAnsi="宋体" w:cs="宋体"/>
          <w:sz w:val="24"/>
          <w:szCs w:val="24"/>
        </w:rPr>
        <w:tab/>
      </w:r>
    </w:p>
    <w:p>
      <w:pPr>
        <w:pStyle w:val="29"/>
        <w:spacing w:line="520" w:lineRule="exact"/>
        <w:ind w:firstLine="840" w:firstLineChars="350"/>
        <w:rPr>
          <w:rFonts w:ascii="宋体" w:hAnsi="宋体" w:cs="宋体"/>
          <w:sz w:val="24"/>
          <w:szCs w:val="24"/>
        </w:rPr>
      </w:pPr>
      <w:r>
        <w:rPr>
          <w:rFonts w:hint="eastAsia" w:ascii="宋体" w:hAnsi="宋体" w:cs="宋体"/>
          <w:sz w:val="24"/>
          <w:szCs w:val="24"/>
        </w:rPr>
        <w:t>最高限价：</w:t>
      </w:r>
      <w:r>
        <w:rPr>
          <w:rFonts w:hint="eastAsia" w:ascii="宋体" w:hAnsi="宋体" w:cs="宋体"/>
          <w:sz w:val="24"/>
          <w:szCs w:val="24"/>
          <w:lang w:eastAsia="zh-CN"/>
        </w:rPr>
        <w:t>1057.553293</w:t>
      </w:r>
      <w:r>
        <w:rPr>
          <w:rFonts w:hint="eastAsia" w:ascii="宋体" w:hAnsi="宋体" w:cs="宋体"/>
          <w:sz w:val="24"/>
          <w:szCs w:val="24"/>
        </w:rPr>
        <w:t>万元</w:t>
      </w:r>
    </w:p>
    <w:tbl>
      <w:tblPr>
        <w:tblStyle w:val="23"/>
        <w:tblW w:w="9923" w:type="dxa"/>
        <w:tblInd w:w="-4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87"/>
        <w:gridCol w:w="2616"/>
        <w:gridCol w:w="3008"/>
        <w:gridCol w:w="1936"/>
        <w:gridCol w:w="16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1" w:hRule="atLeast"/>
        </w:trPr>
        <w:tc>
          <w:tcPr>
            <w:tcW w:w="687" w:type="dxa"/>
            <w:vAlign w:val="center"/>
          </w:tcPr>
          <w:p>
            <w:pPr>
              <w:spacing w:line="520" w:lineRule="exact"/>
              <w:jc w:val="center"/>
              <w:rPr>
                <w:rFonts w:ascii="宋体" w:hAnsi="宋体" w:cs="宋体"/>
                <w:sz w:val="24"/>
                <w:szCs w:val="24"/>
              </w:rPr>
            </w:pPr>
            <w:r>
              <w:rPr>
                <w:rFonts w:hint="eastAsia" w:ascii="宋体" w:hAnsi="宋体" w:cs="宋体"/>
                <w:sz w:val="24"/>
                <w:szCs w:val="24"/>
              </w:rPr>
              <w:t>序号</w:t>
            </w:r>
          </w:p>
        </w:tc>
        <w:tc>
          <w:tcPr>
            <w:tcW w:w="2616" w:type="dxa"/>
            <w:vAlign w:val="center"/>
          </w:tcPr>
          <w:p>
            <w:pPr>
              <w:spacing w:line="520" w:lineRule="exact"/>
              <w:jc w:val="center"/>
              <w:rPr>
                <w:rFonts w:ascii="宋体" w:hAnsi="宋体" w:cs="宋体"/>
                <w:sz w:val="24"/>
                <w:szCs w:val="24"/>
              </w:rPr>
            </w:pPr>
            <w:r>
              <w:rPr>
                <w:rFonts w:hint="eastAsia" w:ascii="宋体" w:hAnsi="宋体" w:cs="宋体"/>
                <w:sz w:val="24"/>
                <w:szCs w:val="24"/>
              </w:rPr>
              <w:t>包号</w:t>
            </w:r>
          </w:p>
        </w:tc>
        <w:tc>
          <w:tcPr>
            <w:tcW w:w="3008" w:type="dxa"/>
            <w:vAlign w:val="center"/>
          </w:tcPr>
          <w:p>
            <w:pPr>
              <w:spacing w:line="520" w:lineRule="exact"/>
              <w:jc w:val="center"/>
              <w:rPr>
                <w:rFonts w:ascii="宋体" w:hAnsi="宋体" w:cs="宋体"/>
                <w:sz w:val="24"/>
                <w:szCs w:val="24"/>
              </w:rPr>
            </w:pPr>
            <w:r>
              <w:rPr>
                <w:rFonts w:hint="eastAsia" w:ascii="宋体" w:hAnsi="宋体" w:cs="宋体"/>
                <w:sz w:val="24"/>
                <w:szCs w:val="24"/>
              </w:rPr>
              <w:t>包名称</w:t>
            </w:r>
          </w:p>
        </w:tc>
        <w:tc>
          <w:tcPr>
            <w:tcW w:w="1936" w:type="dxa"/>
            <w:vAlign w:val="center"/>
          </w:tcPr>
          <w:p>
            <w:pPr>
              <w:spacing w:line="520" w:lineRule="exact"/>
              <w:jc w:val="center"/>
              <w:rPr>
                <w:rFonts w:hint="eastAsia" w:ascii="宋体" w:hAnsi="宋体" w:cs="宋体"/>
                <w:sz w:val="24"/>
                <w:szCs w:val="24"/>
              </w:rPr>
            </w:pPr>
            <w:r>
              <w:rPr>
                <w:rFonts w:hint="eastAsia" w:ascii="宋体" w:hAnsi="宋体" w:cs="宋体"/>
                <w:sz w:val="24"/>
                <w:szCs w:val="24"/>
              </w:rPr>
              <w:t xml:space="preserve">包预算   </w:t>
            </w:r>
          </w:p>
          <w:p>
            <w:pPr>
              <w:spacing w:line="520" w:lineRule="exact"/>
              <w:jc w:val="center"/>
              <w:rPr>
                <w:rFonts w:ascii="宋体" w:hAnsi="宋体" w:cs="宋体"/>
                <w:sz w:val="24"/>
                <w:szCs w:val="24"/>
              </w:rPr>
            </w:pPr>
            <w:r>
              <w:rPr>
                <w:rFonts w:hint="eastAsia" w:ascii="宋体" w:hAnsi="宋体" w:cs="宋体"/>
                <w:sz w:val="24"/>
                <w:szCs w:val="24"/>
              </w:rPr>
              <w:t>(万元)</w:t>
            </w:r>
          </w:p>
        </w:tc>
        <w:tc>
          <w:tcPr>
            <w:tcW w:w="1676" w:type="dxa"/>
            <w:vAlign w:val="center"/>
          </w:tcPr>
          <w:p>
            <w:pPr>
              <w:spacing w:line="520" w:lineRule="exact"/>
              <w:jc w:val="center"/>
              <w:rPr>
                <w:rFonts w:ascii="宋体" w:hAnsi="宋体" w:cs="宋体"/>
                <w:sz w:val="24"/>
                <w:szCs w:val="24"/>
              </w:rPr>
            </w:pPr>
            <w:r>
              <w:rPr>
                <w:rFonts w:hint="eastAsia" w:ascii="宋体" w:hAnsi="宋体" w:cs="宋体"/>
                <w:sz w:val="24"/>
                <w:szCs w:val="24"/>
              </w:rPr>
              <w:t>包最高限价（万元）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1" w:hRule="atLeast"/>
        </w:trPr>
        <w:tc>
          <w:tcPr>
            <w:tcW w:w="687" w:type="dxa"/>
            <w:vAlign w:val="center"/>
          </w:tcPr>
          <w:p>
            <w:pPr>
              <w:spacing w:line="520" w:lineRule="exact"/>
              <w:jc w:val="center"/>
              <w:rPr>
                <w:rFonts w:ascii="宋体" w:hAnsi="宋体" w:cs="宋体"/>
                <w:sz w:val="24"/>
                <w:szCs w:val="24"/>
              </w:rPr>
            </w:pPr>
            <w:r>
              <w:rPr>
                <w:rFonts w:hint="eastAsia" w:ascii="宋体" w:hAnsi="宋体" w:cs="宋体"/>
                <w:sz w:val="24"/>
                <w:szCs w:val="24"/>
              </w:rPr>
              <w:t>1</w:t>
            </w:r>
          </w:p>
        </w:tc>
        <w:tc>
          <w:tcPr>
            <w:tcW w:w="2616" w:type="dxa"/>
            <w:vAlign w:val="center"/>
          </w:tcPr>
          <w:p>
            <w:pPr>
              <w:spacing w:line="520" w:lineRule="exact"/>
              <w:jc w:val="center"/>
              <w:rPr>
                <w:rFonts w:ascii="宋体" w:hAnsi="宋体" w:cs="宋体"/>
                <w:sz w:val="24"/>
                <w:szCs w:val="24"/>
              </w:rPr>
            </w:pPr>
            <w:r>
              <w:rPr>
                <w:rFonts w:hint="eastAsia" w:ascii="宋体" w:hAnsi="宋体" w:cs="宋体"/>
                <w:sz w:val="24"/>
                <w:szCs w:val="24"/>
              </w:rPr>
              <w:t>LBGZ[2026]134-ZC098</w:t>
            </w:r>
          </w:p>
        </w:tc>
        <w:tc>
          <w:tcPr>
            <w:tcW w:w="3008" w:type="dxa"/>
            <w:vAlign w:val="center"/>
          </w:tcPr>
          <w:p>
            <w:pPr>
              <w:spacing w:line="520" w:lineRule="exact"/>
              <w:jc w:val="center"/>
              <w:rPr>
                <w:rFonts w:ascii="宋体" w:hAnsi="宋体" w:cs="宋体"/>
                <w:sz w:val="24"/>
                <w:szCs w:val="24"/>
              </w:rPr>
            </w:pPr>
            <w:r>
              <w:rPr>
                <w:rFonts w:hint="eastAsia" w:ascii="宋体" w:hAnsi="宋体" w:cs="宋体"/>
                <w:sz w:val="24"/>
                <w:szCs w:val="24"/>
              </w:rPr>
              <w:t>三门峡市灵宝市入河排污口规范化建设项目</w:t>
            </w:r>
          </w:p>
        </w:tc>
        <w:tc>
          <w:tcPr>
            <w:tcW w:w="1936" w:type="dxa"/>
            <w:vAlign w:val="center"/>
          </w:tcPr>
          <w:p>
            <w:pPr>
              <w:spacing w:line="520" w:lineRule="exact"/>
              <w:jc w:val="center"/>
              <w:rPr>
                <w:rFonts w:hint="eastAsia" w:ascii="宋体" w:hAnsi="宋体" w:eastAsia="宋体" w:cs="宋体"/>
                <w:sz w:val="24"/>
                <w:szCs w:val="24"/>
                <w:lang w:eastAsia="zh-CN"/>
              </w:rPr>
            </w:pPr>
            <w:r>
              <w:rPr>
                <w:rFonts w:hint="eastAsia" w:ascii="宋体" w:hAnsi="宋体" w:cs="宋体"/>
                <w:sz w:val="24"/>
                <w:szCs w:val="24"/>
                <w:lang w:eastAsia="zh-CN"/>
              </w:rPr>
              <w:t>1057.553293</w:t>
            </w:r>
          </w:p>
        </w:tc>
        <w:tc>
          <w:tcPr>
            <w:tcW w:w="1676" w:type="dxa"/>
            <w:vAlign w:val="center"/>
          </w:tcPr>
          <w:p>
            <w:pPr>
              <w:spacing w:line="520" w:lineRule="exact"/>
              <w:jc w:val="center"/>
              <w:rPr>
                <w:rFonts w:hint="eastAsia" w:ascii="宋体" w:hAnsi="宋体" w:eastAsia="宋体" w:cs="宋体"/>
                <w:sz w:val="24"/>
                <w:szCs w:val="24"/>
                <w:lang w:eastAsia="zh-CN"/>
              </w:rPr>
            </w:pPr>
            <w:r>
              <w:rPr>
                <w:rFonts w:hint="eastAsia" w:ascii="宋体" w:hAnsi="宋体" w:cs="宋体"/>
                <w:sz w:val="24"/>
                <w:szCs w:val="24"/>
                <w:lang w:eastAsia="zh-CN"/>
              </w:rPr>
              <w:t>1057.553293</w:t>
            </w:r>
          </w:p>
        </w:tc>
      </w:tr>
    </w:tbl>
    <w:p>
      <w:pPr>
        <w:spacing w:line="520" w:lineRule="exact"/>
        <w:ind w:firstLine="480" w:firstLineChars="200"/>
        <w:rPr>
          <w:rFonts w:ascii="宋体" w:hAnsi="宋体" w:cs="宋体"/>
          <w:sz w:val="24"/>
          <w:szCs w:val="24"/>
        </w:rPr>
      </w:pPr>
      <w:r>
        <w:rPr>
          <w:rFonts w:hint="eastAsia" w:ascii="宋体" w:hAnsi="宋体" w:cs="宋体"/>
          <w:sz w:val="24"/>
          <w:szCs w:val="24"/>
          <w:lang w:val="zh-TW"/>
        </w:rPr>
        <w:t>5、</w:t>
      </w:r>
      <w:r>
        <w:rPr>
          <w:rFonts w:hint="eastAsia" w:ascii="宋体" w:hAnsi="宋体" w:cs="宋体"/>
          <w:sz w:val="24"/>
          <w:szCs w:val="24"/>
        </w:rPr>
        <w:t>采购需求(包括但不限于标的的名称、数量、简要技术需求或服务要求等)：</w:t>
      </w:r>
    </w:p>
    <w:p>
      <w:pPr>
        <w:spacing w:line="520" w:lineRule="exact"/>
        <w:ind w:firstLine="480" w:firstLineChars="200"/>
        <w:rPr>
          <w:rFonts w:ascii="宋体" w:hAnsi="宋体" w:cs="宋体"/>
          <w:sz w:val="24"/>
          <w:szCs w:val="24"/>
          <w:highlight w:val="yellow"/>
        </w:rPr>
      </w:pPr>
      <w:r>
        <w:rPr>
          <w:rFonts w:hint="eastAsia" w:ascii="宋体" w:hAnsi="宋体" w:cs="宋体"/>
          <w:sz w:val="24"/>
          <w:szCs w:val="24"/>
          <w:lang w:val="zh-TW"/>
        </w:rPr>
        <w:t>5.1采购</w:t>
      </w:r>
      <w:r>
        <w:rPr>
          <w:rFonts w:hint="eastAsia" w:ascii="宋体" w:hAnsi="宋体" w:cs="宋体"/>
          <w:sz w:val="24"/>
          <w:szCs w:val="24"/>
        </w:rPr>
        <w:t>内容</w:t>
      </w:r>
      <w:r>
        <w:rPr>
          <w:rFonts w:hint="eastAsia" w:ascii="宋体" w:hAnsi="宋体" w:cs="宋体"/>
          <w:sz w:val="24"/>
          <w:szCs w:val="24"/>
          <w:lang w:val="zh-TW"/>
        </w:rPr>
        <w:t>：</w:t>
      </w:r>
      <w:r>
        <w:rPr>
          <w:rFonts w:hint="eastAsia" w:ascii="宋体" w:hAnsi="宋体" w:cs="宋体"/>
          <w:sz w:val="24"/>
          <w:szCs w:val="24"/>
        </w:rPr>
        <w:t>本项目为</w:t>
      </w:r>
      <w:r>
        <w:rPr>
          <w:rFonts w:hint="eastAsia" w:ascii="宋体" w:hAnsi="宋体" w:cs="宋体"/>
          <w:sz w:val="24"/>
          <w:szCs w:val="24"/>
          <w:lang w:val="zh-TW"/>
        </w:rPr>
        <w:t>三门峡市灵宝市入河排污口规范化建设项目</w:t>
      </w:r>
      <w:r>
        <w:rPr>
          <w:rFonts w:hint="eastAsia" w:ascii="宋体" w:hAnsi="宋体" w:cs="宋体"/>
          <w:sz w:val="24"/>
          <w:szCs w:val="24"/>
          <w:highlight w:val="none"/>
          <w:lang w:val="zh-TW"/>
        </w:rPr>
        <w:t>采购</w:t>
      </w:r>
      <w:r>
        <w:rPr>
          <w:rFonts w:hint="eastAsia" w:ascii="宋体" w:hAnsi="宋体" w:cs="宋体"/>
          <w:sz w:val="24"/>
          <w:szCs w:val="24"/>
          <w:highlight w:val="none"/>
          <w:lang w:val="zh-TW"/>
        </w:rPr>
        <w:t>排污口</w:t>
      </w:r>
      <w:r>
        <w:rPr>
          <w:rFonts w:hint="eastAsia" w:ascii="宋体" w:hAnsi="宋体" w:cs="宋体"/>
          <w:sz w:val="24"/>
          <w:szCs w:val="24"/>
          <w:lang w:val="zh-TW"/>
        </w:rPr>
        <w:t>档案建设22个，设立入河排污口标识牌20个，安装水质自动监测系统9套，安装视频监控设备9套，安装流量监测设备9套，并对22个入河排污口进行更新维护。建设一套排污口智慧监管平台，实现对水质水量实时监测，为入河排污口智慧管理提供保障。</w:t>
      </w:r>
    </w:p>
    <w:p>
      <w:pPr>
        <w:pStyle w:val="11"/>
        <w:spacing w:line="520" w:lineRule="exact"/>
        <w:ind w:left="0" w:firstLine="480" w:firstLineChars="200"/>
        <w:rPr>
          <w:rFonts w:hint="eastAsia" w:ascii="宋体" w:hAnsi="宋体" w:cs="宋体"/>
          <w:sz w:val="24"/>
          <w:szCs w:val="24"/>
        </w:rPr>
      </w:pPr>
      <w:r>
        <w:rPr>
          <w:rFonts w:hint="eastAsia" w:ascii="宋体" w:hAnsi="宋体" w:cs="宋体"/>
          <w:sz w:val="24"/>
          <w:szCs w:val="24"/>
        </w:rPr>
        <w:t>5.2资金来源：财政资金，已落实</w:t>
      </w:r>
    </w:p>
    <w:p>
      <w:pPr>
        <w:spacing w:line="520" w:lineRule="exact"/>
        <w:ind w:firstLine="480" w:firstLineChars="200"/>
        <w:rPr>
          <w:rFonts w:hint="eastAsia" w:ascii="宋体" w:hAnsi="宋体" w:eastAsia="宋体" w:cs="宋体"/>
          <w:sz w:val="24"/>
          <w:szCs w:val="24"/>
          <w:highlight w:val="none"/>
          <w:lang w:eastAsia="zh-CN"/>
        </w:rPr>
      </w:pPr>
      <w:r>
        <w:rPr>
          <w:rFonts w:hint="eastAsia" w:ascii="宋体" w:hAnsi="宋体" w:cs="宋体"/>
          <w:sz w:val="24"/>
          <w:szCs w:val="24"/>
          <w:highlight w:val="none"/>
        </w:rPr>
        <w:t>5.3质量要求：</w:t>
      </w:r>
      <w:r>
        <w:rPr>
          <w:rFonts w:hint="eastAsia" w:ascii="宋体" w:hAnsi="宋体" w:cs="宋体"/>
          <w:sz w:val="24"/>
          <w:szCs w:val="24"/>
          <w:highlight w:val="none"/>
          <w:lang w:eastAsia="zh-CN"/>
        </w:rPr>
        <w:t>符合国家、省、市现行相关行业标准要求并符合采购人要求</w:t>
      </w:r>
    </w:p>
    <w:p>
      <w:pPr>
        <w:spacing w:line="520" w:lineRule="exact"/>
        <w:ind w:firstLine="480" w:firstLineChars="200"/>
        <w:rPr>
          <w:rFonts w:hint="eastAsia" w:ascii="宋体" w:hAnsi="宋体" w:cs="宋体"/>
          <w:sz w:val="24"/>
          <w:szCs w:val="24"/>
          <w:highlight w:val="none"/>
          <w:lang w:val="zh-TW" w:eastAsia="zh-CN"/>
        </w:rPr>
      </w:pPr>
      <w:r>
        <w:rPr>
          <w:rFonts w:hint="eastAsia" w:ascii="宋体" w:hAnsi="宋体" w:cs="宋体"/>
          <w:sz w:val="24"/>
          <w:szCs w:val="24"/>
          <w:highlight w:val="none"/>
        </w:rPr>
        <w:t>5.4</w:t>
      </w:r>
      <w:r>
        <w:rPr>
          <w:rFonts w:hint="eastAsia" w:ascii="宋体" w:hAnsi="宋体" w:cs="宋体"/>
          <w:sz w:val="24"/>
          <w:szCs w:val="24"/>
          <w:highlight w:val="none"/>
          <w:lang w:val="en-US" w:eastAsia="zh-CN"/>
        </w:rPr>
        <w:t>供货</w:t>
      </w:r>
      <w:r>
        <w:rPr>
          <w:rFonts w:hint="eastAsia" w:ascii="宋体" w:hAnsi="宋体" w:cs="宋体"/>
          <w:sz w:val="24"/>
          <w:szCs w:val="24"/>
          <w:highlight w:val="none"/>
        </w:rPr>
        <w:t>期：</w:t>
      </w:r>
      <w:r>
        <w:rPr>
          <w:rFonts w:hint="eastAsia" w:ascii="宋体" w:hAnsi="宋体" w:cs="宋体"/>
          <w:sz w:val="24"/>
          <w:szCs w:val="24"/>
          <w:highlight w:val="none"/>
          <w:lang w:val="zh-TW" w:eastAsia="zh-CN"/>
        </w:rPr>
        <w:t>自合同签订之日起</w:t>
      </w:r>
      <w:r>
        <w:rPr>
          <w:rFonts w:hint="eastAsia" w:ascii="宋体" w:hAnsi="宋体" w:cs="宋体"/>
          <w:sz w:val="24"/>
          <w:szCs w:val="24"/>
          <w:highlight w:val="none"/>
          <w:lang w:val="en-US" w:eastAsia="zh-CN"/>
        </w:rPr>
        <w:t>12个月内</w:t>
      </w:r>
      <w:r>
        <w:rPr>
          <w:rFonts w:hint="eastAsia" w:ascii="宋体" w:hAnsi="宋体" w:cs="宋体"/>
          <w:sz w:val="24"/>
          <w:szCs w:val="24"/>
          <w:highlight w:val="none"/>
          <w:lang w:val="zh-TW" w:eastAsia="zh-CN"/>
        </w:rPr>
        <w:t>完成全部货物交付、安装、系统调试、平台上线运行，并通过采购人组织的验收。</w:t>
      </w:r>
    </w:p>
    <w:p>
      <w:pPr>
        <w:spacing w:line="520" w:lineRule="exact"/>
        <w:ind w:firstLine="480" w:firstLineChars="200"/>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5.5运维服务期：自项目通过验收之日起24个月</w:t>
      </w:r>
    </w:p>
    <w:p>
      <w:pPr>
        <w:spacing w:line="520" w:lineRule="exact"/>
        <w:ind w:firstLine="480" w:firstLineChars="200"/>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5.6质保期：自验收合格使用之日起质保一年</w:t>
      </w:r>
    </w:p>
    <w:p>
      <w:pPr>
        <w:numPr>
          <w:ilvl w:val="0"/>
          <w:numId w:val="0"/>
        </w:numPr>
        <w:spacing w:line="520" w:lineRule="exact"/>
        <w:ind w:firstLine="480" w:firstLineChars="200"/>
        <w:rPr>
          <w:rFonts w:hint="eastAsia" w:ascii="宋体" w:hAnsi="宋体" w:cs="宋体"/>
          <w:sz w:val="24"/>
          <w:szCs w:val="24"/>
        </w:rPr>
      </w:pPr>
      <w:r>
        <w:rPr>
          <w:rFonts w:hint="eastAsia" w:ascii="宋体" w:hAnsi="宋体" w:cs="宋体"/>
          <w:sz w:val="24"/>
          <w:szCs w:val="24"/>
        </w:rPr>
        <w:t>6、合同履行期限：按合同约定执行</w:t>
      </w:r>
    </w:p>
    <w:p>
      <w:pPr>
        <w:spacing w:line="520" w:lineRule="exact"/>
        <w:ind w:firstLine="480" w:firstLineChars="200"/>
        <w:rPr>
          <w:rFonts w:ascii="宋体" w:hAnsi="宋体" w:cs="宋体"/>
          <w:sz w:val="24"/>
          <w:szCs w:val="24"/>
        </w:rPr>
      </w:pPr>
      <w:r>
        <w:rPr>
          <w:rFonts w:hint="eastAsia" w:ascii="宋体" w:hAnsi="宋体" w:cs="宋体"/>
          <w:sz w:val="24"/>
          <w:szCs w:val="24"/>
        </w:rPr>
        <w:t>7、本项目是否接受联合体投标：否</w:t>
      </w:r>
    </w:p>
    <w:p>
      <w:pPr>
        <w:spacing w:line="520" w:lineRule="exact"/>
        <w:ind w:firstLine="480" w:firstLineChars="200"/>
        <w:rPr>
          <w:rFonts w:ascii="宋体" w:hAnsi="宋体" w:cs="宋体"/>
          <w:sz w:val="24"/>
          <w:szCs w:val="24"/>
        </w:rPr>
      </w:pPr>
      <w:r>
        <w:rPr>
          <w:rFonts w:hint="eastAsia" w:ascii="宋体" w:hAnsi="宋体" w:cs="宋体"/>
          <w:sz w:val="24"/>
          <w:szCs w:val="24"/>
        </w:rPr>
        <w:t>8、是否接受进口产品：否</w:t>
      </w:r>
    </w:p>
    <w:p>
      <w:pPr>
        <w:spacing w:line="520" w:lineRule="exact"/>
        <w:ind w:firstLine="480" w:firstLineChars="200"/>
        <w:rPr>
          <w:rFonts w:ascii="宋体" w:hAnsi="宋体" w:cs="宋体"/>
          <w:sz w:val="24"/>
          <w:szCs w:val="24"/>
        </w:rPr>
      </w:pPr>
      <w:r>
        <w:rPr>
          <w:rFonts w:hint="eastAsia" w:ascii="宋体" w:hAnsi="宋体" w:cs="宋体"/>
          <w:sz w:val="24"/>
          <w:szCs w:val="24"/>
        </w:rPr>
        <w:t>9、是</w:t>
      </w:r>
      <w:r>
        <w:rPr>
          <w:rFonts w:hint="eastAsia" w:ascii="宋体" w:hAnsi="宋体" w:cs="宋体"/>
          <w:sz w:val="24"/>
          <w:szCs w:val="24"/>
          <w:highlight w:val="none"/>
        </w:rPr>
        <w:t>否专门面向中小企业：否</w:t>
      </w:r>
    </w:p>
    <w:p>
      <w:pPr>
        <w:spacing w:line="520" w:lineRule="exact"/>
        <w:ind w:firstLine="482" w:firstLineChars="200"/>
        <w:rPr>
          <w:rFonts w:ascii="宋体" w:hAnsi="宋体" w:cs="宋体"/>
          <w:sz w:val="24"/>
          <w:szCs w:val="24"/>
        </w:rPr>
      </w:pPr>
      <w:r>
        <w:rPr>
          <w:rFonts w:hint="eastAsia" w:ascii="宋体" w:hAnsi="宋体" w:cs="宋体"/>
          <w:b/>
          <w:bCs/>
          <w:sz w:val="24"/>
          <w:szCs w:val="24"/>
        </w:rPr>
        <w:t>二、申请人资格要求</w:t>
      </w:r>
    </w:p>
    <w:p>
      <w:pPr>
        <w:spacing w:line="520" w:lineRule="exact"/>
        <w:ind w:firstLine="480" w:firstLineChars="200"/>
        <w:rPr>
          <w:rFonts w:ascii="宋体" w:hAnsi="宋体" w:cs="宋体"/>
          <w:sz w:val="24"/>
          <w:szCs w:val="24"/>
          <w:lang w:val="zh-TW"/>
        </w:rPr>
      </w:pPr>
      <w:r>
        <w:rPr>
          <w:rFonts w:hint="eastAsia" w:ascii="宋体" w:hAnsi="宋体" w:cs="宋体"/>
          <w:sz w:val="24"/>
          <w:szCs w:val="24"/>
        </w:rPr>
        <w:t>1、</w:t>
      </w:r>
      <w:r>
        <w:rPr>
          <w:rFonts w:hint="eastAsia" w:ascii="宋体" w:hAnsi="宋体" w:cs="宋体"/>
          <w:sz w:val="24"/>
          <w:szCs w:val="24"/>
          <w:lang w:val="zh-TW"/>
        </w:rPr>
        <w:t>供应商须符合《中华人民共和国政府采购法》第二十二条的规定；</w:t>
      </w:r>
    </w:p>
    <w:p>
      <w:pPr>
        <w:spacing w:line="520" w:lineRule="exact"/>
        <w:ind w:firstLine="480" w:firstLineChars="200"/>
        <w:rPr>
          <w:rFonts w:ascii="宋体" w:hAnsi="宋体" w:cs="宋体"/>
          <w:sz w:val="24"/>
          <w:szCs w:val="24"/>
        </w:rPr>
      </w:pPr>
      <w:r>
        <w:rPr>
          <w:rFonts w:hint="eastAsia" w:ascii="宋体" w:hAnsi="宋体" w:cs="宋体"/>
          <w:sz w:val="24"/>
          <w:szCs w:val="24"/>
        </w:rPr>
        <w:t>2、落实相关采购政策</w:t>
      </w:r>
      <w:r>
        <w:rPr>
          <w:rFonts w:hint="eastAsia" w:ascii="宋体" w:hAnsi="宋体" w:cs="宋体"/>
          <w:sz w:val="24"/>
          <w:szCs w:val="24"/>
          <w:lang w:bidi="en-US"/>
        </w:rPr>
        <w:t>满足的资格要求</w:t>
      </w:r>
      <w:r>
        <w:rPr>
          <w:rFonts w:hint="eastAsia" w:ascii="宋体" w:hAnsi="宋体" w:cs="宋体"/>
          <w:sz w:val="24"/>
          <w:szCs w:val="24"/>
        </w:rPr>
        <w:t>：本项目促进中小企业和监狱企业发展扶持政策、政府强制采购节能产品及环境标志产品优先采购。</w:t>
      </w:r>
    </w:p>
    <w:p>
      <w:pPr>
        <w:spacing w:line="520" w:lineRule="exact"/>
        <w:ind w:firstLine="480" w:firstLineChars="200"/>
        <w:rPr>
          <w:rFonts w:ascii="宋体" w:hAnsi="宋体" w:cs="宋体"/>
          <w:sz w:val="24"/>
          <w:szCs w:val="24"/>
        </w:rPr>
      </w:pPr>
      <w:r>
        <w:rPr>
          <w:rFonts w:hint="eastAsia" w:ascii="宋体" w:hAnsi="宋体" w:cs="宋体"/>
          <w:sz w:val="24"/>
          <w:szCs w:val="24"/>
        </w:rPr>
        <w:t>3、本项目特定资格要求</w:t>
      </w:r>
    </w:p>
    <w:p>
      <w:pPr>
        <w:spacing w:line="520" w:lineRule="exact"/>
        <w:ind w:firstLine="480" w:firstLineChars="200"/>
        <w:rPr>
          <w:rFonts w:ascii="宋体" w:hAnsi="宋体" w:cs="宋体"/>
          <w:sz w:val="24"/>
          <w:szCs w:val="24"/>
          <w:lang w:val="zh-TW"/>
        </w:rPr>
      </w:pPr>
      <w:r>
        <w:rPr>
          <w:rFonts w:hint="eastAsia" w:ascii="宋体" w:hAnsi="宋体" w:cs="宋体"/>
          <w:sz w:val="24"/>
          <w:szCs w:val="24"/>
          <w:lang w:val="zh-TW"/>
        </w:rPr>
        <w:t>3.</w:t>
      </w:r>
      <w:r>
        <w:rPr>
          <w:rFonts w:hint="eastAsia" w:ascii="宋体" w:hAnsi="宋体" w:cs="宋体"/>
          <w:sz w:val="24"/>
          <w:szCs w:val="24"/>
        </w:rPr>
        <w:t>1</w:t>
      </w:r>
      <w:r>
        <w:rPr>
          <w:rFonts w:hint="eastAsia" w:ascii="宋体" w:hAnsi="宋体" w:cs="宋体"/>
          <w:color w:val="333333"/>
          <w:kern w:val="0"/>
          <w:sz w:val="24"/>
          <w:szCs w:val="24"/>
        </w:rPr>
        <w:t>供应商具有独立法人资格，具有合法有效的营业执照、税务登记证、组织机构代码证（三证合一的仅提供营业执照、事业单位需提供事业单位法人证书）</w:t>
      </w:r>
      <w:r>
        <w:rPr>
          <w:rFonts w:hint="eastAsia" w:ascii="宋体" w:hAnsi="宋体" w:cs="宋体"/>
          <w:sz w:val="24"/>
          <w:szCs w:val="24"/>
          <w:lang w:val="zh-TW"/>
        </w:rPr>
        <w:t>。</w:t>
      </w:r>
    </w:p>
    <w:p>
      <w:pPr>
        <w:spacing w:line="520" w:lineRule="exact"/>
        <w:ind w:firstLine="480" w:firstLineChars="200"/>
        <w:rPr>
          <w:rFonts w:ascii="宋体" w:hAnsi="宋体" w:cs="宋体"/>
          <w:sz w:val="24"/>
          <w:szCs w:val="24"/>
        </w:rPr>
      </w:pPr>
      <w:r>
        <w:rPr>
          <w:rFonts w:hint="eastAsia" w:ascii="宋体" w:hAnsi="宋体" w:cs="宋体"/>
          <w:sz w:val="24"/>
          <w:szCs w:val="24"/>
          <w:lang w:val="zh-TW"/>
        </w:rPr>
        <w:t>3.</w:t>
      </w:r>
      <w:r>
        <w:rPr>
          <w:rFonts w:hint="eastAsia" w:ascii="宋体" w:hAnsi="宋体" w:cs="宋体"/>
          <w:sz w:val="24"/>
          <w:szCs w:val="24"/>
        </w:rPr>
        <w:t>2具有有效的安全生产许可证，且同时具备环保工程专业承包三级及以上资质或</w:t>
      </w:r>
      <w:bookmarkStart w:id="9" w:name="OLE_LINK9"/>
      <w:bookmarkStart w:id="10" w:name="OLE_LINK8"/>
      <w:r>
        <w:rPr>
          <w:rFonts w:hint="eastAsia" w:ascii="宋体" w:hAnsi="宋体" w:cs="宋体"/>
          <w:sz w:val="24"/>
          <w:szCs w:val="24"/>
        </w:rPr>
        <w:t>环境污染治理能力评价证书乙级及以上（业务范围须涵盖环境生态修复工程设计、施工）或国土整治和生态修复机构服务能力评价证书（勘查、设计、施工乙级及以上）</w:t>
      </w:r>
      <w:bookmarkEnd w:id="9"/>
      <w:bookmarkEnd w:id="10"/>
      <w:r>
        <w:rPr>
          <w:rFonts w:hint="eastAsia" w:ascii="宋体" w:hAnsi="宋体" w:cs="宋体"/>
          <w:sz w:val="24"/>
          <w:szCs w:val="24"/>
        </w:rPr>
        <w:t>。</w:t>
      </w:r>
    </w:p>
    <w:p>
      <w:pPr>
        <w:spacing w:line="520" w:lineRule="exact"/>
        <w:ind w:firstLine="480" w:firstLineChars="200"/>
        <w:rPr>
          <w:rFonts w:ascii="宋体" w:hAnsi="宋体" w:cs="宋体"/>
          <w:sz w:val="24"/>
          <w:szCs w:val="24"/>
        </w:rPr>
      </w:pPr>
      <w:r>
        <w:rPr>
          <w:rFonts w:hint="eastAsia" w:ascii="宋体" w:hAnsi="宋体" w:cs="宋体"/>
          <w:sz w:val="24"/>
          <w:szCs w:val="24"/>
        </w:rPr>
        <w:t>3.3具有依法缴纳税收和社会保障资金的良好记录（提供近六个月中任意一个月缴纳税收和社会保障资金的证明材料；依法免税企业，应提供相关证明文件。</w:t>
      </w:r>
    </w:p>
    <w:p>
      <w:pPr>
        <w:spacing w:line="520" w:lineRule="exact"/>
        <w:ind w:firstLine="480" w:firstLineChars="200"/>
        <w:rPr>
          <w:rFonts w:ascii="宋体" w:hAnsi="宋体" w:cs="宋体"/>
          <w:sz w:val="24"/>
          <w:szCs w:val="24"/>
        </w:rPr>
      </w:pPr>
      <w:r>
        <w:rPr>
          <w:rFonts w:hint="eastAsia" w:ascii="宋体" w:hAnsi="宋体" w:cs="宋体"/>
          <w:sz w:val="24"/>
          <w:szCs w:val="24"/>
        </w:rPr>
        <w:t>3.4提供近三年（2023年、2024年、2025年）经会计师事务所或审计机构审计的年度财务审计报告（企业成立不足3年的按已有年份提供）。</w:t>
      </w:r>
    </w:p>
    <w:p>
      <w:pPr>
        <w:spacing w:line="520" w:lineRule="exact"/>
        <w:ind w:firstLine="480" w:firstLineChars="200"/>
        <w:rPr>
          <w:rFonts w:ascii="宋体" w:hAnsi="宋体" w:cs="宋体"/>
          <w:sz w:val="24"/>
          <w:szCs w:val="24"/>
          <w:lang w:val="zh-TW"/>
        </w:rPr>
      </w:pPr>
      <w:r>
        <w:rPr>
          <w:rFonts w:hint="eastAsia" w:ascii="宋体" w:hAnsi="宋体" w:cs="宋体"/>
          <w:sz w:val="24"/>
          <w:szCs w:val="24"/>
        </w:rPr>
        <w:t>3.5</w:t>
      </w:r>
      <w:r>
        <w:rPr>
          <w:rFonts w:hint="eastAsia" w:ascii="宋体" w:hAnsi="宋体" w:cs="宋体"/>
          <w:sz w:val="24"/>
          <w:szCs w:val="24"/>
          <w:lang w:val="zh-TW"/>
        </w:rPr>
        <w:t>具有履行合同所必需的设备和专业技术能力(提供承诺书，格式自拟)。</w:t>
      </w:r>
    </w:p>
    <w:p>
      <w:pPr>
        <w:spacing w:line="520" w:lineRule="exact"/>
        <w:ind w:firstLine="480" w:firstLineChars="200"/>
        <w:rPr>
          <w:rFonts w:ascii="宋体" w:hAnsi="宋体" w:cs="宋体"/>
          <w:sz w:val="24"/>
          <w:szCs w:val="24"/>
          <w:lang w:val="zh-TW"/>
        </w:rPr>
      </w:pPr>
      <w:r>
        <w:rPr>
          <w:rFonts w:hint="eastAsia" w:ascii="宋体" w:hAnsi="宋体" w:cs="宋体"/>
          <w:sz w:val="24"/>
          <w:szCs w:val="24"/>
          <w:lang w:val="zh-TW"/>
        </w:rPr>
        <w:t>3.</w:t>
      </w:r>
      <w:r>
        <w:rPr>
          <w:rFonts w:hint="eastAsia" w:ascii="宋体" w:hAnsi="宋体" w:cs="宋体"/>
          <w:sz w:val="24"/>
          <w:szCs w:val="24"/>
        </w:rPr>
        <w:t>6</w:t>
      </w:r>
      <w:r>
        <w:rPr>
          <w:rFonts w:hint="eastAsia" w:ascii="宋体" w:hAnsi="宋体" w:cs="宋体"/>
          <w:sz w:val="24"/>
          <w:szCs w:val="24"/>
          <w:lang w:val="zh-TW"/>
        </w:rPr>
        <w:t>供应商参加政府采购活动前三年内在经营活动中没有重大违法、违纪行为(提供加盖公章的书面声明，格式自拟)。</w:t>
      </w:r>
    </w:p>
    <w:p>
      <w:pPr>
        <w:spacing w:line="520" w:lineRule="exact"/>
        <w:ind w:firstLine="480" w:firstLineChars="200"/>
        <w:rPr>
          <w:rFonts w:ascii="宋体" w:hAnsi="宋体" w:cs="宋体"/>
          <w:sz w:val="24"/>
          <w:szCs w:val="24"/>
          <w:lang w:val="zh-TW"/>
        </w:rPr>
      </w:pPr>
      <w:r>
        <w:rPr>
          <w:rFonts w:hint="eastAsia" w:ascii="宋体" w:hAnsi="宋体" w:cs="宋体"/>
          <w:sz w:val="24"/>
          <w:szCs w:val="24"/>
        </w:rPr>
        <w:t>3.7</w:t>
      </w:r>
      <w:r>
        <w:rPr>
          <w:rFonts w:hint="eastAsia" w:ascii="宋体" w:hAnsi="宋体" w:cs="宋体"/>
          <w:sz w:val="24"/>
          <w:szCs w:val="24"/>
          <w:lang w:val="zh-TW"/>
        </w:rPr>
        <w:t>供应商自行出具本企业无商业贿赂和</w:t>
      </w:r>
      <w:r>
        <w:rPr>
          <w:rFonts w:hint="eastAsia" w:ascii="宋体" w:hAnsi="宋体" w:cs="宋体"/>
          <w:sz w:val="24"/>
          <w:szCs w:val="24"/>
          <w:lang w:val="en-US" w:eastAsia="zh-CN"/>
        </w:rPr>
        <w:t>无</w:t>
      </w:r>
      <w:r>
        <w:rPr>
          <w:rFonts w:hint="eastAsia" w:ascii="宋体" w:hAnsi="宋体" w:cs="宋体"/>
          <w:sz w:val="24"/>
          <w:szCs w:val="24"/>
          <w:lang w:val="zh-TW"/>
        </w:rPr>
        <w:t>不正当竞争行为承诺书。</w:t>
      </w:r>
    </w:p>
    <w:p>
      <w:pPr>
        <w:wordWrap w:val="0"/>
        <w:spacing w:line="520" w:lineRule="exact"/>
        <w:ind w:firstLine="480" w:firstLineChars="200"/>
        <w:rPr>
          <w:rFonts w:ascii="宋体" w:hAnsi="宋体" w:cs="宋体"/>
          <w:sz w:val="24"/>
          <w:szCs w:val="24"/>
          <w:lang w:val="zh-TW"/>
        </w:rPr>
      </w:pPr>
      <w:r>
        <w:rPr>
          <w:rFonts w:hint="eastAsia" w:ascii="宋体" w:hAnsi="宋体" w:cs="宋体"/>
          <w:sz w:val="24"/>
          <w:szCs w:val="24"/>
          <w:lang w:val="zh-TW" w:eastAsia="zh-TW"/>
        </w:rPr>
        <w:t>3.</w:t>
      </w:r>
      <w:r>
        <w:rPr>
          <w:rFonts w:hint="eastAsia" w:ascii="宋体" w:hAnsi="宋体" w:cs="宋体"/>
          <w:sz w:val="24"/>
          <w:szCs w:val="24"/>
          <w:lang w:eastAsia="zh-TW"/>
        </w:rPr>
        <w:t>8</w:t>
      </w:r>
      <w:r>
        <w:rPr>
          <w:rFonts w:hint="eastAsia" w:ascii="宋体" w:hAnsi="宋体" w:cs="宋体"/>
          <w:kern w:val="0"/>
          <w:sz w:val="24"/>
          <w:szCs w:val="24"/>
          <w:lang w:eastAsia="zh-TW"/>
        </w:rPr>
        <w:t>根据《关于在政府采购活动中查询及使用信用记录有关问题的通知》(财库[2016]125号)和豫财购【2016】15号的规定，对列入失信被执行人、重大税收违法失信主体、政府采购严重违法失信行为记录名单的投标人，拒绝参与本项目采购活动；查询渠道：①中国执行信息公开网（</w:t>
      </w:r>
      <w:bookmarkStart w:id="11" w:name="OLE_LINK4"/>
      <w:r>
        <w:rPr>
          <w:rFonts w:hint="eastAsia" w:ascii="宋体" w:hAnsi="宋体" w:cs="宋体"/>
          <w:kern w:val="0"/>
          <w:sz w:val="24"/>
          <w:szCs w:val="24"/>
          <w:lang w:eastAsia="zh-TW"/>
        </w:rPr>
        <w:t>https://zxgk.court.gov.cn/shixin</w:t>
      </w:r>
      <w:bookmarkEnd w:id="11"/>
      <w:r>
        <w:rPr>
          <w:rFonts w:hint="eastAsia" w:ascii="宋体" w:hAnsi="宋体" w:cs="宋体"/>
          <w:kern w:val="0"/>
          <w:sz w:val="24"/>
          <w:szCs w:val="24"/>
          <w:lang w:eastAsia="zh-TW"/>
        </w:rPr>
        <w:t>）查询内容：失信被执行人；②“信用中国”网站（</w:t>
      </w:r>
      <w:bookmarkStart w:id="12" w:name="OLE_LINK5"/>
      <w:r>
        <w:rPr>
          <w:rFonts w:hint="eastAsia" w:ascii="宋体" w:hAnsi="宋体" w:cs="宋体"/>
          <w:kern w:val="0"/>
          <w:sz w:val="24"/>
          <w:szCs w:val="24"/>
          <w:lang w:eastAsia="zh-TW"/>
        </w:rPr>
        <w:t>https://www.creditchina.gov.cn/zhuanxiangchaxun/</w:t>
      </w:r>
      <w:bookmarkEnd w:id="12"/>
      <w:r>
        <w:rPr>
          <w:rFonts w:hint="eastAsia" w:ascii="宋体" w:hAnsi="宋体" w:cs="宋体"/>
          <w:kern w:val="0"/>
          <w:sz w:val="24"/>
          <w:szCs w:val="24"/>
          <w:lang w:eastAsia="zh-TW"/>
        </w:rPr>
        <w:t>），查询内容：重大税收违法失信主体；③中国政府采购网（</w:t>
      </w:r>
      <w:bookmarkStart w:id="13" w:name="OLE_LINK6"/>
      <w:bookmarkStart w:id="14" w:name="OLE_LINK7"/>
      <w:r>
        <w:rPr>
          <w:rFonts w:hint="eastAsia" w:ascii="宋体" w:hAnsi="宋体" w:cs="宋体"/>
          <w:kern w:val="0"/>
          <w:sz w:val="24"/>
          <w:szCs w:val="24"/>
          <w:lang w:eastAsia="zh-TW"/>
        </w:rPr>
        <w:t>www.ccgp.gov.cn</w:t>
      </w:r>
      <w:bookmarkEnd w:id="13"/>
      <w:bookmarkEnd w:id="14"/>
      <w:r>
        <w:rPr>
          <w:rFonts w:hint="eastAsia" w:ascii="宋体" w:hAnsi="宋体" w:cs="宋体"/>
          <w:kern w:val="0"/>
          <w:sz w:val="24"/>
          <w:szCs w:val="24"/>
          <w:lang w:eastAsia="zh-TW"/>
        </w:rPr>
        <w:t>）查询内容：政府采购严重违法失信行为记录名单。</w:t>
      </w:r>
      <w:r>
        <w:rPr>
          <w:rFonts w:hint="eastAsia" w:ascii="宋体" w:hAnsi="宋体" w:cs="宋体"/>
          <w:kern w:val="0"/>
          <w:sz w:val="24"/>
          <w:szCs w:val="24"/>
        </w:rPr>
        <w:t>投标人须提供中国执行信息公开网查询页、信用中国查询页、中国政府采购网查询页的查询结果截图，查询日期为本公告发布之日起，网站截图应含有日期且显示查询结果。</w:t>
      </w:r>
    </w:p>
    <w:p>
      <w:pPr>
        <w:wordWrap w:val="0"/>
        <w:spacing w:line="520" w:lineRule="exact"/>
        <w:ind w:firstLine="480" w:firstLineChars="200"/>
        <w:rPr>
          <w:rFonts w:ascii="宋体" w:hAnsi="宋体" w:cs="宋体"/>
          <w:sz w:val="24"/>
          <w:szCs w:val="24"/>
          <w:lang w:val="zh-TW"/>
        </w:rPr>
      </w:pPr>
      <w:r>
        <w:rPr>
          <w:rFonts w:hint="eastAsia" w:ascii="宋体" w:hAnsi="宋体" w:cs="宋体"/>
          <w:sz w:val="24"/>
          <w:szCs w:val="24"/>
          <w:lang w:val="zh-TW"/>
        </w:rPr>
        <w:t>3.</w:t>
      </w:r>
      <w:r>
        <w:rPr>
          <w:rFonts w:hint="eastAsia" w:ascii="宋体" w:hAnsi="宋体" w:cs="宋体"/>
          <w:sz w:val="24"/>
          <w:szCs w:val="24"/>
        </w:rPr>
        <w:t>9</w:t>
      </w:r>
      <w:r>
        <w:rPr>
          <w:rFonts w:hint="eastAsia" w:ascii="宋体" w:hAnsi="宋体" w:cs="宋体"/>
          <w:sz w:val="24"/>
          <w:szCs w:val="24"/>
          <w:lang w:val="zh-TW"/>
        </w:rPr>
        <w:t>单位负责人为同一人或者存在直接控股、管理关系的不同供应商，不得参加同一合同项下的政府采购活动。提供国家企业信用信息公示系统的企业信用信息公示报告或承诺书(格式自拟)。</w:t>
      </w:r>
    </w:p>
    <w:p>
      <w:pPr>
        <w:spacing w:line="520" w:lineRule="exact"/>
        <w:ind w:firstLine="480" w:firstLineChars="200"/>
        <w:rPr>
          <w:rFonts w:ascii="宋体" w:hAnsi="宋体" w:cs="宋体"/>
          <w:sz w:val="24"/>
          <w:szCs w:val="24"/>
          <w:lang w:val="zh-TW"/>
        </w:rPr>
      </w:pPr>
      <w:r>
        <w:rPr>
          <w:rFonts w:hint="eastAsia" w:ascii="宋体" w:hAnsi="宋体" w:cs="宋体"/>
          <w:sz w:val="24"/>
          <w:szCs w:val="24"/>
          <w:lang w:val="zh-TW"/>
        </w:rPr>
        <w:t>3.</w:t>
      </w:r>
      <w:r>
        <w:rPr>
          <w:rFonts w:hint="eastAsia" w:ascii="宋体" w:hAnsi="宋体" w:cs="宋体"/>
          <w:sz w:val="24"/>
          <w:szCs w:val="24"/>
        </w:rPr>
        <w:t>10</w:t>
      </w:r>
      <w:r>
        <w:rPr>
          <w:rFonts w:hint="eastAsia" w:ascii="宋体" w:hAnsi="宋体" w:cs="宋体"/>
          <w:sz w:val="24"/>
          <w:szCs w:val="24"/>
          <w:lang w:val="zh-TW"/>
        </w:rPr>
        <w:t>本项目不接受联合体投标。</w:t>
      </w:r>
    </w:p>
    <w:p>
      <w:pPr>
        <w:spacing w:line="520" w:lineRule="exact"/>
        <w:ind w:firstLine="482" w:firstLineChars="200"/>
        <w:rPr>
          <w:rFonts w:ascii="宋体" w:hAnsi="宋体" w:cs="宋体"/>
          <w:b/>
          <w:bCs/>
          <w:sz w:val="24"/>
          <w:szCs w:val="24"/>
          <w:lang w:val="zh-TW"/>
        </w:rPr>
      </w:pPr>
      <w:r>
        <w:rPr>
          <w:rFonts w:hint="eastAsia" w:ascii="宋体" w:hAnsi="宋体" w:cs="宋体"/>
          <w:b/>
          <w:bCs/>
          <w:sz w:val="24"/>
          <w:szCs w:val="24"/>
          <w:lang w:val="zh-TW"/>
        </w:rPr>
        <w:t>三、获取招标文件</w:t>
      </w:r>
    </w:p>
    <w:p>
      <w:pPr>
        <w:spacing w:line="520" w:lineRule="exact"/>
        <w:ind w:firstLine="480" w:firstLineChars="200"/>
        <w:rPr>
          <w:rFonts w:ascii="宋体" w:hAnsi="宋体" w:cs="宋体"/>
          <w:color w:val="0000FF"/>
          <w:sz w:val="24"/>
          <w:szCs w:val="24"/>
          <w:highlight w:val="none"/>
        </w:rPr>
      </w:pPr>
      <w:r>
        <w:rPr>
          <w:rFonts w:hint="eastAsia" w:ascii="宋体" w:hAnsi="宋体" w:cs="宋体"/>
          <w:sz w:val="24"/>
          <w:szCs w:val="24"/>
        </w:rPr>
        <w:t>1.</w:t>
      </w:r>
      <w:r>
        <w:rPr>
          <w:rFonts w:hint="eastAsia" w:ascii="宋体" w:hAnsi="宋体" w:cs="宋体"/>
          <w:sz w:val="24"/>
          <w:szCs w:val="24"/>
          <w:highlight w:val="none"/>
        </w:rPr>
        <w:t>时间：2026年</w:t>
      </w:r>
      <w:r>
        <w:rPr>
          <w:rFonts w:hint="eastAsia" w:ascii="宋体" w:hAnsi="宋体" w:cs="宋体"/>
          <w:sz w:val="24"/>
          <w:szCs w:val="24"/>
          <w:highlight w:val="none"/>
          <w:lang w:val="en-US" w:eastAsia="zh-CN"/>
        </w:rPr>
        <w:t>07</w:t>
      </w:r>
      <w:r>
        <w:rPr>
          <w:rFonts w:hint="eastAsia" w:ascii="宋体" w:hAnsi="宋体" w:cs="宋体"/>
          <w:sz w:val="24"/>
          <w:szCs w:val="24"/>
          <w:highlight w:val="none"/>
        </w:rPr>
        <w:t>月</w:t>
      </w:r>
      <w:r>
        <w:rPr>
          <w:rFonts w:hint="eastAsia" w:ascii="宋体" w:hAnsi="宋体" w:cs="宋体"/>
          <w:sz w:val="24"/>
          <w:szCs w:val="24"/>
          <w:highlight w:val="none"/>
          <w:lang w:val="en-US" w:eastAsia="zh-CN"/>
        </w:rPr>
        <w:t>11</w:t>
      </w:r>
      <w:r>
        <w:rPr>
          <w:rFonts w:hint="eastAsia" w:ascii="宋体" w:hAnsi="宋体" w:cs="宋体"/>
          <w:sz w:val="24"/>
          <w:szCs w:val="24"/>
          <w:highlight w:val="none"/>
        </w:rPr>
        <w:t>日至2026年</w:t>
      </w:r>
      <w:r>
        <w:rPr>
          <w:rFonts w:hint="eastAsia" w:ascii="宋体" w:hAnsi="宋体" w:cs="宋体"/>
          <w:sz w:val="24"/>
          <w:szCs w:val="24"/>
          <w:highlight w:val="none"/>
          <w:lang w:val="en-US" w:eastAsia="zh-CN"/>
        </w:rPr>
        <w:t>07</w:t>
      </w:r>
      <w:r>
        <w:rPr>
          <w:rFonts w:hint="eastAsia" w:ascii="宋体" w:hAnsi="宋体" w:cs="宋体"/>
          <w:sz w:val="24"/>
          <w:szCs w:val="24"/>
          <w:highlight w:val="none"/>
        </w:rPr>
        <w:t>月</w:t>
      </w:r>
      <w:r>
        <w:rPr>
          <w:rFonts w:hint="eastAsia" w:ascii="宋体" w:hAnsi="宋体" w:cs="宋体"/>
          <w:sz w:val="24"/>
          <w:szCs w:val="24"/>
          <w:highlight w:val="none"/>
          <w:lang w:val="en-US" w:eastAsia="zh-CN"/>
        </w:rPr>
        <w:t>31</w:t>
      </w:r>
      <w:r>
        <w:rPr>
          <w:rFonts w:hint="eastAsia" w:ascii="宋体" w:hAnsi="宋体" w:cs="宋体"/>
          <w:sz w:val="24"/>
          <w:szCs w:val="24"/>
          <w:highlight w:val="none"/>
        </w:rPr>
        <w:t>日08时30分</w:t>
      </w:r>
    </w:p>
    <w:p>
      <w:pPr>
        <w:spacing w:line="520" w:lineRule="exact"/>
        <w:ind w:firstLine="480" w:firstLineChars="200"/>
        <w:jc w:val="left"/>
        <w:rPr>
          <w:rFonts w:ascii="宋体" w:hAnsi="宋体" w:cs="宋体"/>
          <w:sz w:val="24"/>
          <w:szCs w:val="24"/>
        </w:rPr>
      </w:pPr>
      <w:r>
        <w:rPr>
          <w:rFonts w:hint="eastAsia" w:ascii="宋体" w:hAnsi="宋体" w:cs="宋体"/>
          <w:sz w:val="24"/>
          <w:szCs w:val="24"/>
        </w:rPr>
        <w:t>2.地点：三门峡市公共资源交易中心网（网址：http://gzjy.smx.gov.cn/）</w:t>
      </w:r>
    </w:p>
    <w:p>
      <w:pPr>
        <w:spacing w:line="520" w:lineRule="exact"/>
        <w:ind w:firstLine="480" w:firstLineChars="200"/>
        <w:rPr>
          <w:rFonts w:ascii="宋体" w:hAnsi="宋体" w:cs="宋体"/>
          <w:sz w:val="24"/>
          <w:szCs w:val="24"/>
        </w:rPr>
      </w:pPr>
      <w:r>
        <w:rPr>
          <w:rFonts w:hint="eastAsia" w:ascii="宋体" w:hAnsi="宋体" w:cs="宋体"/>
          <w:sz w:val="24"/>
          <w:szCs w:val="24"/>
        </w:rPr>
        <w:t>3.方式：</w:t>
      </w:r>
      <w:r>
        <w:rPr>
          <w:rFonts w:hint="eastAsia" w:ascii="宋体" w:hAnsi="宋体" w:cs="宋体"/>
          <w:sz w:val="24"/>
          <w:szCs w:val="24"/>
          <w:lang w:val="zh-TW"/>
        </w:rPr>
        <w:t>本项目没有报名环节，供应商凭CA数字证书通过三门峡市公共资源交易中心网（网址：</w:t>
      </w:r>
      <w:r>
        <w:rPr>
          <w:sz w:val="24"/>
          <w:szCs w:val="24"/>
        </w:rPr>
        <w:fldChar w:fldCharType="begin"/>
      </w:r>
      <w:r>
        <w:rPr>
          <w:sz w:val="24"/>
          <w:szCs w:val="24"/>
        </w:rPr>
        <w:instrText xml:space="preserve"> HYPERLINK "http://gzjy.smx.gov.cn/SMX/Home/index.do），点击交易平台选择" </w:instrText>
      </w:r>
      <w:r>
        <w:rPr>
          <w:sz w:val="24"/>
          <w:szCs w:val="24"/>
        </w:rPr>
        <w:fldChar w:fldCharType="separate"/>
      </w:r>
      <w:r>
        <w:rPr>
          <w:rFonts w:hint="eastAsia" w:ascii="宋体" w:hAnsi="宋体" w:cs="宋体"/>
          <w:sz w:val="24"/>
          <w:szCs w:val="24"/>
          <w:lang w:val="zh-TW"/>
        </w:rPr>
        <w:t>http://gzjy.smx.gov.cn/），点击交易平台选择“市场主体登录”，在所参与项目右侧点击参与投标，即可直接下载本项目招标文件。</w:t>
      </w:r>
      <w:r>
        <w:rPr>
          <w:rFonts w:hint="eastAsia" w:ascii="宋体" w:hAnsi="宋体" w:cs="宋体"/>
          <w:sz w:val="24"/>
          <w:szCs w:val="24"/>
          <w:lang w:val="zh-TW"/>
        </w:rPr>
        <w:fldChar w:fldCharType="end"/>
      </w:r>
    </w:p>
    <w:p>
      <w:pPr>
        <w:spacing w:line="520" w:lineRule="exact"/>
        <w:ind w:firstLine="480" w:firstLineChars="200"/>
        <w:jc w:val="left"/>
        <w:rPr>
          <w:rFonts w:ascii="宋体" w:hAnsi="宋体" w:cs="宋体"/>
          <w:sz w:val="24"/>
          <w:szCs w:val="24"/>
          <w:lang w:val="zh-TW"/>
        </w:rPr>
      </w:pPr>
      <w:r>
        <w:rPr>
          <w:rFonts w:hint="eastAsia" w:ascii="宋体" w:hAnsi="宋体" w:cs="宋体"/>
          <w:sz w:val="24"/>
          <w:szCs w:val="24"/>
        </w:rPr>
        <w:t>办理CA证书：http://gzjy.smx.gov.cn/bzzx/008001/20231102/4defc9b5-408e-47f2-9e9f-1f376a06ee1f.html</w:t>
      </w:r>
    </w:p>
    <w:p>
      <w:pPr>
        <w:spacing w:line="520" w:lineRule="exact"/>
        <w:ind w:firstLine="480" w:firstLineChars="200"/>
        <w:rPr>
          <w:rFonts w:ascii="宋体" w:hAnsi="宋体" w:cs="宋体"/>
          <w:sz w:val="24"/>
          <w:szCs w:val="24"/>
          <w:lang w:val="zh-TW"/>
        </w:rPr>
      </w:pPr>
      <w:r>
        <w:rPr>
          <w:rFonts w:hint="eastAsia" w:ascii="宋体" w:hAnsi="宋体" w:cs="宋体"/>
          <w:sz w:val="24"/>
          <w:szCs w:val="24"/>
          <w:lang w:val="zh-TW"/>
        </w:rPr>
        <w:t>4.售价：0元</w:t>
      </w:r>
    </w:p>
    <w:p>
      <w:pPr>
        <w:spacing w:line="520" w:lineRule="exact"/>
        <w:ind w:firstLine="569" w:firstLineChars="236"/>
        <w:rPr>
          <w:rFonts w:ascii="宋体" w:hAnsi="宋体" w:cs="宋体"/>
          <w:b/>
          <w:bCs/>
          <w:sz w:val="24"/>
          <w:szCs w:val="24"/>
        </w:rPr>
      </w:pPr>
      <w:r>
        <w:rPr>
          <w:rFonts w:hint="eastAsia" w:ascii="宋体" w:hAnsi="宋体" w:cs="宋体"/>
          <w:b/>
          <w:bCs/>
          <w:sz w:val="24"/>
          <w:szCs w:val="24"/>
        </w:rPr>
        <w:t>四、投标截止时间及地点</w:t>
      </w:r>
    </w:p>
    <w:p>
      <w:pPr>
        <w:spacing w:line="520" w:lineRule="exact"/>
        <w:ind w:firstLine="566" w:firstLineChars="236"/>
        <w:rPr>
          <w:rFonts w:ascii="宋体" w:hAnsi="宋体" w:cs="宋体"/>
          <w:sz w:val="24"/>
          <w:szCs w:val="24"/>
          <w:highlight w:val="none"/>
        </w:rPr>
      </w:pPr>
      <w:r>
        <w:rPr>
          <w:rFonts w:hint="eastAsia" w:ascii="宋体" w:hAnsi="宋体" w:cs="宋体"/>
          <w:sz w:val="24"/>
          <w:szCs w:val="24"/>
        </w:rPr>
        <w:t>1.时间：</w:t>
      </w:r>
      <w:r>
        <w:rPr>
          <w:rFonts w:hint="eastAsia" w:ascii="宋体" w:hAnsi="宋体" w:cs="宋体"/>
          <w:sz w:val="24"/>
          <w:szCs w:val="24"/>
          <w:highlight w:val="none"/>
        </w:rPr>
        <w:t>2026年</w:t>
      </w:r>
      <w:r>
        <w:rPr>
          <w:rFonts w:hint="eastAsia" w:ascii="宋体" w:hAnsi="宋体" w:cs="宋体"/>
          <w:sz w:val="24"/>
          <w:szCs w:val="24"/>
          <w:highlight w:val="none"/>
          <w:lang w:val="en-US" w:eastAsia="zh-CN"/>
        </w:rPr>
        <w:t>07</w:t>
      </w:r>
      <w:r>
        <w:rPr>
          <w:rFonts w:hint="eastAsia" w:ascii="宋体" w:hAnsi="宋体" w:cs="宋体"/>
          <w:sz w:val="24"/>
          <w:szCs w:val="24"/>
          <w:highlight w:val="none"/>
        </w:rPr>
        <w:t>月</w:t>
      </w:r>
      <w:r>
        <w:rPr>
          <w:rFonts w:hint="eastAsia" w:ascii="宋体" w:hAnsi="宋体" w:cs="宋体"/>
          <w:sz w:val="24"/>
          <w:szCs w:val="24"/>
          <w:highlight w:val="none"/>
          <w:lang w:val="en-US" w:eastAsia="zh-CN"/>
        </w:rPr>
        <w:t>31</w:t>
      </w:r>
      <w:r>
        <w:rPr>
          <w:rFonts w:hint="eastAsia" w:ascii="宋体" w:hAnsi="宋体" w:cs="宋体"/>
          <w:sz w:val="24"/>
          <w:szCs w:val="24"/>
          <w:highlight w:val="none"/>
        </w:rPr>
        <w:t>日08时30分（北京时间）</w:t>
      </w:r>
    </w:p>
    <w:p>
      <w:pPr>
        <w:spacing w:line="520" w:lineRule="exact"/>
        <w:ind w:firstLine="566" w:firstLineChars="236"/>
        <w:rPr>
          <w:rFonts w:ascii="宋体" w:hAnsi="宋体" w:cs="宋体"/>
          <w:sz w:val="24"/>
          <w:szCs w:val="24"/>
        </w:rPr>
      </w:pPr>
      <w:r>
        <w:rPr>
          <w:rFonts w:hint="eastAsia" w:ascii="宋体" w:hAnsi="宋体" w:cs="宋体"/>
          <w:sz w:val="24"/>
          <w:szCs w:val="24"/>
        </w:rPr>
        <w:t>2.地点：加密电子投标文件须在投标截止时间前通过三门峡市公共资源交易中心电子交易平台加密上传。</w:t>
      </w:r>
    </w:p>
    <w:p>
      <w:pPr>
        <w:spacing w:line="520" w:lineRule="exact"/>
        <w:ind w:firstLine="569" w:firstLineChars="236"/>
        <w:rPr>
          <w:rFonts w:ascii="宋体" w:hAnsi="宋体" w:cs="宋体"/>
          <w:b/>
          <w:bCs/>
          <w:sz w:val="24"/>
          <w:szCs w:val="24"/>
        </w:rPr>
      </w:pPr>
      <w:r>
        <w:rPr>
          <w:rFonts w:hint="eastAsia" w:ascii="宋体" w:hAnsi="宋体" w:cs="宋体"/>
          <w:b/>
          <w:bCs/>
          <w:sz w:val="24"/>
          <w:szCs w:val="24"/>
        </w:rPr>
        <w:t>五、开标时间及地点</w:t>
      </w:r>
    </w:p>
    <w:p>
      <w:pPr>
        <w:spacing w:line="520" w:lineRule="exact"/>
        <w:ind w:firstLine="566" w:firstLineChars="236"/>
        <w:rPr>
          <w:rFonts w:ascii="宋体" w:hAnsi="宋体" w:cs="宋体"/>
          <w:sz w:val="24"/>
          <w:szCs w:val="24"/>
          <w:highlight w:val="yellow"/>
        </w:rPr>
      </w:pPr>
      <w:r>
        <w:rPr>
          <w:rFonts w:hint="eastAsia" w:ascii="宋体" w:hAnsi="宋体" w:cs="宋体"/>
          <w:sz w:val="24"/>
          <w:szCs w:val="24"/>
        </w:rPr>
        <w:t>1.时间：2</w:t>
      </w:r>
      <w:r>
        <w:rPr>
          <w:rFonts w:hint="eastAsia" w:ascii="宋体" w:hAnsi="宋体" w:cs="宋体"/>
          <w:sz w:val="24"/>
          <w:szCs w:val="24"/>
          <w:highlight w:val="none"/>
        </w:rPr>
        <w:t>026年</w:t>
      </w:r>
      <w:r>
        <w:rPr>
          <w:rFonts w:hint="eastAsia" w:ascii="宋体" w:hAnsi="宋体" w:cs="宋体"/>
          <w:sz w:val="24"/>
          <w:szCs w:val="24"/>
          <w:highlight w:val="none"/>
          <w:lang w:val="en-US" w:eastAsia="zh-CN"/>
        </w:rPr>
        <w:t>07</w:t>
      </w:r>
      <w:r>
        <w:rPr>
          <w:rFonts w:hint="eastAsia" w:ascii="宋体" w:hAnsi="宋体" w:cs="宋体"/>
          <w:sz w:val="24"/>
          <w:szCs w:val="24"/>
          <w:highlight w:val="none"/>
        </w:rPr>
        <w:t>月</w:t>
      </w:r>
      <w:r>
        <w:rPr>
          <w:rFonts w:hint="eastAsia" w:ascii="宋体" w:hAnsi="宋体" w:cs="宋体"/>
          <w:sz w:val="24"/>
          <w:szCs w:val="24"/>
          <w:highlight w:val="none"/>
          <w:lang w:val="en-US" w:eastAsia="zh-CN"/>
        </w:rPr>
        <w:t>31</w:t>
      </w:r>
      <w:r>
        <w:rPr>
          <w:rFonts w:hint="eastAsia" w:ascii="宋体" w:hAnsi="宋体" w:cs="宋体"/>
          <w:sz w:val="24"/>
          <w:szCs w:val="24"/>
          <w:highlight w:val="none"/>
        </w:rPr>
        <w:t>日08时30分（北京时间）</w:t>
      </w:r>
    </w:p>
    <w:p>
      <w:pPr>
        <w:spacing w:line="520" w:lineRule="exact"/>
        <w:ind w:firstLine="566" w:firstLineChars="236"/>
        <w:rPr>
          <w:rFonts w:ascii="宋体" w:hAnsi="宋体" w:cs="宋体"/>
          <w:sz w:val="24"/>
          <w:szCs w:val="24"/>
        </w:rPr>
      </w:pPr>
      <w:r>
        <w:rPr>
          <w:rFonts w:hint="eastAsia" w:ascii="宋体" w:hAnsi="宋体" w:cs="宋体"/>
          <w:sz w:val="24"/>
          <w:szCs w:val="24"/>
        </w:rPr>
        <w:t>2.地点：灵宝市公共资源交易中心</w:t>
      </w:r>
      <w:r>
        <w:rPr>
          <w:rFonts w:hint="eastAsia" w:ascii="宋体" w:hAnsi="宋体" w:cs="宋体"/>
          <w:sz w:val="24"/>
          <w:szCs w:val="24"/>
          <w:highlight w:val="none"/>
        </w:rPr>
        <w:t>开标二室、评标二室</w:t>
      </w:r>
      <w:r>
        <w:rPr>
          <w:rFonts w:hint="eastAsia" w:ascii="宋体" w:hAnsi="宋体" w:cs="宋体"/>
          <w:sz w:val="24"/>
          <w:szCs w:val="24"/>
        </w:rPr>
        <w:t>（灵宝市金城大道农村信用联社12楼）</w:t>
      </w:r>
    </w:p>
    <w:p>
      <w:pPr>
        <w:wordWrap w:val="0"/>
        <w:spacing w:line="520" w:lineRule="exact"/>
        <w:ind w:firstLine="480" w:firstLineChars="200"/>
        <w:jc w:val="left"/>
        <w:rPr>
          <w:rFonts w:ascii="宋体" w:hAnsi="宋体" w:cs="宋体"/>
          <w:sz w:val="24"/>
          <w:szCs w:val="24"/>
        </w:rPr>
      </w:pPr>
      <w:r>
        <w:rPr>
          <w:rFonts w:hint="eastAsia" w:ascii="宋体" w:hAnsi="宋体" w:cs="宋体"/>
          <w:sz w:val="24"/>
          <w:szCs w:val="24"/>
        </w:rPr>
        <w:t>注：本项目为不见面开标项目，开标当日，供应商无需到开标现场参加开标会议，供应商应当在投标截止时间前，登陆不见面开标大厅选择登陆三门峡市公共资源电子招投标系统进行登陆（网址为http://120.194.249.36:10094/BidOpening/bidopeninghallaction/hall/login）,在线准时参加开标活动并进行投标文件解密等。每位供应商的解密时间为开标时间起30分钟内完成。因供应商原因未能解密、解密失败或解密超时的将被拒绝。</w:t>
      </w:r>
    </w:p>
    <w:p>
      <w:pPr>
        <w:spacing w:line="520" w:lineRule="exact"/>
        <w:ind w:firstLine="569" w:firstLineChars="236"/>
        <w:rPr>
          <w:rFonts w:ascii="宋体" w:hAnsi="宋体" w:cs="宋体"/>
          <w:b/>
          <w:bCs/>
          <w:sz w:val="24"/>
          <w:szCs w:val="24"/>
        </w:rPr>
      </w:pPr>
      <w:r>
        <w:rPr>
          <w:rFonts w:hint="eastAsia" w:ascii="宋体" w:hAnsi="宋体" w:cs="宋体"/>
          <w:b/>
          <w:bCs/>
          <w:sz w:val="24"/>
          <w:szCs w:val="24"/>
        </w:rPr>
        <w:t>六、发布公告的媒介</w:t>
      </w:r>
    </w:p>
    <w:p>
      <w:pPr>
        <w:spacing w:line="520" w:lineRule="exact"/>
        <w:ind w:firstLine="484" w:firstLineChars="202"/>
        <w:rPr>
          <w:rFonts w:ascii="宋体" w:hAnsi="宋体" w:cs="宋体"/>
          <w:sz w:val="24"/>
          <w:szCs w:val="24"/>
        </w:rPr>
      </w:pPr>
      <w:r>
        <w:rPr>
          <w:rFonts w:hint="eastAsia" w:ascii="宋体" w:hAnsi="宋体" w:cs="宋体"/>
          <w:sz w:val="24"/>
          <w:szCs w:val="24"/>
        </w:rPr>
        <w:t>本次公告在《河南省政府采购网》、《中国采购与招标网》、《三门峡市公共资源交易中心网》上发布。招标公告期限为五个工作日。</w:t>
      </w:r>
    </w:p>
    <w:p>
      <w:pPr>
        <w:spacing w:line="520" w:lineRule="exact"/>
        <w:ind w:firstLine="482" w:firstLineChars="200"/>
        <w:rPr>
          <w:rFonts w:ascii="宋体" w:hAnsi="宋体" w:cs="宋体"/>
          <w:b/>
          <w:bCs/>
          <w:sz w:val="24"/>
          <w:szCs w:val="24"/>
        </w:rPr>
      </w:pPr>
      <w:r>
        <w:rPr>
          <w:rFonts w:hint="eastAsia" w:ascii="宋体" w:hAnsi="宋体" w:cs="宋体"/>
          <w:b/>
          <w:bCs/>
          <w:sz w:val="24"/>
          <w:szCs w:val="24"/>
        </w:rPr>
        <w:t>七、其他事项</w:t>
      </w:r>
    </w:p>
    <w:p>
      <w:pPr>
        <w:spacing w:line="520" w:lineRule="exact"/>
        <w:ind w:firstLine="484" w:firstLineChars="202"/>
        <w:rPr>
          <w:rFonts w:ascii="宋体" w:hAnsi="宋体" w:cs="宋体"/>
          <w:sz w:val="24"/>
          <w:szCs w:val="24"/>
        </w:rPr>
      </w:pPr>
      <w:r>
        <w:rPr>
          <w:rFonts w:hint="eastAsia" w:ascii="宋体" w:hAnsi="宋体" w:cs="宋体"/>
          <w:sz w:val="24"/>
          <w:szCs w:val="24"/>
        </w:rPr>
        <w:t>1、供应商应仔细阅读操作手册，在本公告中要求的截止时间前完成投标工作，因投标人操作不当等问题造成的无法投标等一切后果，由供应商自行承担。</w:t>
      </w:r>
    </w:p>
    <w:p>
      <w:pPr>
        <w:spacing w:line="520" w:lineRule="exact"/>
        <w:ind w:firstLine="484" w:firstLineChars="202"/>
        <w:rPr>
          <w:rFonts w:ascii="宋体" w:hAnsi="宋体" w:cs="宋体"/>
          <w:sz w:val="24"/>
          <w:szCs w:val="24"/>
        </w:rPr>
      </w:pPr>
      <w:r>
        <w:rPr>
          <w:rFonts w:hint="eastAsia" w:ascii="宋体" w:hAnsi="宋体" w:cs="宋体"/>
          <w:sz w:val="24"/>
          <w:szCs w:val="24"/>
        </w:rPr>
        <w:t>2、本项目资格评审和业绩以投标文件为准，投标人可使用电子营业执照。</w:t>
      </w:r>
    </w:p>
    <w:p>
      <w:pPr>
        <w:spacing w:line="520" w:lineRule="exact"/>
        <w:ind w:firstLine="484" w:firstLineChars="202"/>
        <w:rPr>
          <w:rFonts w:ascii="宋体" w:hAnsi="宋体" w:cs="宋体"/>
          <w:sz w:val="24"/>
          <w:szCs w:val="24"/>
        </w:rPr>
      </w:pPr>
      <w:r>
        <w:rPr>
          <w:rFonts w:hint="eastAsia" w:ascii="宋体" w:hAnsi="宋体" w:cs="宋体"/>
          <w:sz w:val="24"/>
          <w:szCs w:val="24"/>
        </w:rPr>
        <w:t>（1）资格评（预）审部分：资格评（预）审以投标文件为准，其上传资料真实性由投标人自行承担，同时，投标人应在开标前自行完善主体库信息。</w:t>
      </w:r>
    </w:p>
    <w:p>
      <w:pPr>
        <w:spacing w:line="520" w:lineRule="exact"/>
        <w:ind w:firstLine="484" w:firstLineChars="202"/>
        <w:rPr>
          <w:rFonts w:ascii="宋体" w:hAnsi="宋体" w:cs="宋体"/>
          <w:sz w:val="24"/>
          <w:szCs w:val="24"/>
        </w:rPr>
      </w:pPr>
      <w:r>
        <w:rPr>
          <w:rFonts w:hint="eastAsia" w:ascii="宋体" w:hAnsi="宋体" w:cs="宋体"/>
          <w:sz w:val="24"/>
          <w:szCs w:val="24"/>
        </w:rPr>
        <w:t>（2）评标打分部分：评标打分部分按照100分制原则进行，涉及到资格审查、企业荣誉、人员业绩、企业业绩等计分部分时，以投标单位自行上传到投标文件中的各类相应内容为准。</w:t>
      </w:r>
    </w:p>
    <w:p>
      <w:pPr>
        <w:spacing w:line="520" w:lineRule="exact"/>
        <w:ind w:firstLine="484" w:firstLineChars="202"/>
        <w:rPr>
          <w:rFonts w:ascii="宋体" w:hAnsi="宋体" w:cs="宋体"/>
          <w:sz w:val="24"/>
          <w:szCs w:val="24"/>
        </w:rPr>
      </w:pPr>
      <w:r>
        <w:rPr>
          <w:rFonts w:hint="eastAsia" w:ascii="宋体" w:hAnsi="宋体" w:cs="宋体"/>
          <w:sz w:val="24"/>
          <w:szCs w:val="24"/>
        </w:rPr>
        <w:t>（3）投标文件编制部分：在招标文件中要求投标人按照投标文件格式进行投标文件编制，在投标文件编制时，应明确将投标单位企业基本情况、资质情况、人员情况、财务情况、业绩情况编入投标文件，便于进行资格审查及评标打分。</w:t>
      </w:r>
    </w:p>
    <w:p>
      <w:pPr>
        <w:spacing w:line="520" w:lineRule="exact"/>
        <w:ind w:firstLine="484" w:firstLineChars="202"/>
        <w:rPr>
          <w:rFonts w:ascii="宋体" w:hAnsi="宋体" w:cs="宋体"/>
          <w:sz w:val="24"/>
          <w:szCs w:val="24"/>
        </w:rPr>
      </w:pPr>
      <w:r>
        <w:rPr>
          <w:rFonts w:hint="eastAsia" w:ascii="宋体" w:hAnsi="宋体" w:cs="宋体"/>
          <w:sz w:val="24"/>
          <w:szCs w:val="24"/>
        </w:rPr>
        <w:t>3、根据《河南省财政厅关于优化政府采购营商环境有关问题的通知》（豫财购【2019】4号）第6条的规定，投标保证金不再收取。</w:t>
      </w:r>
    </w:p>
    <w:p>
      <w:pPr>
        <w:spacing w:line="520" w:lineRule="exact"/>
        <w:ind w:firstLine="484" w:firstLineChars="202"/>
        <w:rPr>
          <w:rFonts w:ascii="宋体" w:hAnsi="宋体" w:cs="宋体"/>
          <w:sz w:val="24"/>
          <w:szCs w:val="24"/>
        </w:rPr>
      </w:pPr>
      <w:r>
        <w:rPr>
          <w:rFonts w:hint="eastAsia" w:ascii="宋体" w:hAnsi="宋体" w:cs="宋体"/>
          <w:sz w:val="24"/>
          <w:szCs w:val="24"/>
        </w:rPr>
        <w:t>温馨提示：本项目为电子化、无纸化交易项目，开标时不再接受任何纸质资料，为保证您能投标成功，请需仔细阅读招标文件和三门峡市公共资源交易中心官网业务办理指南。</w:t>
      </w:r>
    </w:p>
    <w:p>
      <w:pPr>
        <w:spacing w:line="520" w:lineRule="exact"/>
        <w:ind w:firstLine="482" w:firstLineChars="200"/>
        <w:rPr>
          <w:rFonts w:ascii="宋体" w:hAnsi="宋体" w:cs="宋体"/>
          <w:b/>
          <w:bCs/>
          <w:sz w:val="24"/>
          <w:szCs w:val="24"/>
        </w:rPr>
      </w:pPr>
      <w:r>
        <w:rPr>
          <w:rFonts w:hint="eastAsia" w:ascii="宋体" w:hAnsi="宋体" w:cs="宋体"/>
          <w:b/>
          <w:bCs/>
          <w:sz w:val="24"/>
          <w:szCs w:val="24"/>
        </w:rPr>
        <w:t>八、联系方式</w:t>
      </w:r>
    </w:p>
    <w:p>
      <w:pPr>
        <w:spacing w:line="520" w:lineRule="exact"/>
        <w:ind w:firstLine="484" w:firstLineChars="202"/>
        <w:rPr>
          <w:rFonts w:ascii="宋体" w:hAnsi="宋体" w:cs="宋体"/>
          <w:sz w:val="24"/>
          <w:szCs w:val="24"/>
        </w:rPr>
      </w:pPr>
      <w:r>
        <w:rPr>
          <w:rFonts w:hint="eastAsia" w:ascii="宋体" w:hAnsi="宋体" w:cs="宋体"/>
          <w:sz w:val="24"/>
          <w:szCs w:val="24"/>
        </w:rPr>
        <w:t xml:space="preserve">1.采购人：三门峡市生态环境局灵宝分局 </w:t>
      </w:r>
    </w:p>
    <w:p>
      <w:pPr>
        <w:spacing w:line="520" w:lineRule="exact"/>
        <w:ind w:firstLine="484" w:firstLineChars="202"/>
        <w:rPr>
          <w:rFonts w:ascii="宋体" w:hAnsi="宋体" w:cs="宋体"/>
          <w:sz w:val="24"/>
          <w:szCs w:val="24"/>
        </w:rPr>
      </w:pPr>
      <w:r>
        <w:rPr>
          <w:rFonts w:hint="eastAsia" w:ascii="宋体" w:hAnsi="宋体" w:cs="宋体"/>
          <w:sz w:val="24"/>
          <w:szCs w:val="24"/>
        </w:rPr>
        <w:t>地址：灵宝市金城大道12号</w:t>
      </w:r>
    </w:p>
    <w:p>
      <w:pPr>
        <w:spacing w:line="520" w:lineRule="exact"/>
        <w:ind w:firstLine="484" w:firstLineChars="202"/>
        <w:rPr>
          <w:rFonts w:ascii="宋体" w:hAnsi="宋体" w:cs="宋体"/>
          <w:sz w:val="24"/>
          <w:szCs w:val="24"/>
          <w:highlight w:val="none"/>
        </w:rPr>
      </w:pPr>
      <w:r>
        <w:rPr>
          <w:rFonts w:hint="eastAsia" w:ascii="宋体" w:hAnsi="宋体" w:cs="宋体"/>
          <w:sz w:val="24"/>
          <w:szCs w:val="24"/>
          <w:highlight w:val="none"/>
        </w:rPr>
        <w:t>联系人：张先生</w:t>
      </w:r>
    </w:p>
    <w:p>
      <w:pPr>
        <w:spacing w:line="520" w:lineRule="exact"/>
        <w:ind w:firstLine="484" w:firstLineChars="202"/>
        <w:rPr>
          <w:rFonts w:ascii="宋体" w:hAnsi="宋体" w:cs="宋体"/>
          <w:sz w:val="24"/>
          <w:szCs w:val="24"/>
          <w:highlight w:val="none"/>
        </w:rPr>
      </w:pPr>
      <w:r>
        <w:rPr>
          <w:rFonts w:hint="eastAsia" w:ascii="宋体" w:hAnsi="宋体" w:cs="宋体"/>
          <w:sz w:val="24"/>
          <w:szCs w:val="24"/>
          <w:highlight w:val="none"/>
        </w:rPr>
        <w:t>联系方式：18839889239</w:t>
      </w:r>
    </w:p>
    <w:p>
      <w:pPr>
        <w:spacing w:line="520" w:lineRule="exact"/>
        <w:ind w:firstLine="484" w:firstLineChars="202"/>
        <w:rPr>
          <w:rFonts w:ascii="宋体" w:hAnsi="宋体" w:cs="宋体"/>
          <w:sz w:val="24"/>
          <w:szCs w:val="24"/>
        </w:rPr>
      </w:pPr>
      <w:r>
        <w:rPr>
          <w:rFonts w:hint="eastAsia" w:ascii="宋体" w:hAnsi="宋体" w:cs="宋体"/>
          <w:sz w:val="24"/>
          <w:szCs w:val="24"/>
        </w:rPr>
        <w:t>2.代理机构：正为技术有限公司</w:t>
      </w:r>
    </w:p>
    <w:p>
      <w:pPr>
        <w:spacing w:line="520" w:lineRule="exact"/>
        <w:ind w:firstLine="484" w:firstLineChars="202"/>
        <w:rPr>
          <w:rFonts w:ascii="宋体" w:hAnsi="宋体" w:cs="宋体"/>
          <w:sz w:val="24"/>
          <w:szCs w:val="24"/>
        </w:rPr>
      </w:pPr>
      <w:r>
        <w:rPr>
          <w:rFonts w:hint="eastAsia" w:ascii="宋体" w:hAnsi="宋体" w:cs="宋体"/>
          <w:sz w:val="24"/>
          <w:szCs w:val="24"/>
        </w:rPr>
        <w:t>地址：河南省郑州市金水区索凌路庙李商务大厦3单元10层1001室</w:t>
      </w:r>
    </w:p>
    <w:p>
      <w:pPr>
        <w:spacing w:line="520" w:lineRule="exact"/>
        <w:ind w:firstLine="484" w:firstLineChars="202"/>
        <w:rPr>
          <w:rFonts w:ascii="宋体" w:hAnsi="宋体" w:cs="宋体"/>
          <w:sz w:val="24"/>
          <w:szCs w:val="24"/>
        </w:rPr>
      </w:pPr>
      <w:r>
        <w:rPr>
          <w:rFonts w:hint="eastAsia" w:ascii="宋体" w:hAnsi="宋体" w:cs="宋体"/>
          <w:sz w:val="24"/>
          <w:szCs w:val="24"/>
        </w:rPr>
        <w:t>联系人：莫先生</w:t>
      </w:r>
    </w:p>
    <w:p>
      <w:pPr>
        <w:spacing w:line="520" w:lineRule="exact"/>
        <w:ind w:firstLine="484" w:firstLineChars="202"/>
        <w:rPr>
          <w:rFonts w:ascii="宋体" w:hAnsi="宋体" w:cs="宋体"/>
          <w:sz w:val="24"/>
          <w:szCs w:val="24"/>
        </w:rPr>
      </w:pPr>
      <w:r>
        <w:rPr>
          <w:rFonts w:hint="eastAsia" w:ascii="宋体" w:hAnsi="宋体" w:cs="宋体"/>
          <w:sz w:val="24"/>
          <w:szCs w:val="24"/>
        </w:rPr>
        <w:t>联系电话：17719083579</w:t>
      </w:r>
    </w:p>
    <w:p>
      <w:pPr>
        <w:spacing w:line="520" w:lineRule="exact"/>
        <w:ind w:firstLine="484" w:firstLineChars="202"/>
        <w:rPr>
          <w:rFonts w:ascii="宋体" w:hAnsi="宋体" w:cs="宋体"/>
          <w:sz w:val="24"/>
          <w:szCs w:val="24"/>
        </w:rPr>
      </w:pPr>
      <w:r>
        <w:rPr>
          <w:rFonts w:hint="eastAsia" w:ascii="宋体" w:hAnsi="宋体" w:cs="宋体"/>
          <w:sz w:val="24"/>
          <w:szCs w:val="24"/>
        </w:rPr>
        <w:t>3.监督单位：中共三门峡市生态环境局灵宝分局党组</w:t>
      </w:r>
    </w:p>
    <w:p>
      <w:pPr>
        <w:spacing w:line="520" w:lineRule="exact"/>
        <w:ind w:firstLine="484" w:firstLineChars="202"/>
        <w:rPr>
          <w:rFonts w:ascii="宋体" w:hAnsi="宋体" w:cs="宋体"/>
          <w:sz w:val="24"/>
          <w:szCs w:val="24"/>
        </w:rPr>
      </w:pPr>
      <w:r>
        <w:rPr>
          <w:rFonts w:hint="eastAsia" w:ascii="宋体" w:hAnsi="宋体" w:cs="宋体"/>
          <w:sz w:val="24"/>
          <w:szCs w:val="24"/>
        </w:rPr>
        <w:t>联系方式：0398-3091818</w:t>
      </w:r>
    </w:p>
    <w:p>
      <w:pPr>
        <w:spacing w:line="520" w:lineRule="exact"/>
        <w:ind w:firstLine="484" w:firstLineChars="202"/>
        <w:rPr>
          <w:rFonts w:ascii="宋体" w:hAnsi="宋体" w:cs="宋体"/>
          <w:sz w:val="24"/>
          <w:szCs w:val="24"/>
        </w:rPr>
      </w:pPr>
      <w:r>
        <w:rPr>
          <w:rFonts w:hint="eastAsia" w:ascii="宋体" w:hAnsi="宋体" w:cs="宋体"/>
          <w:sz w:val="24"/>
          <w:szCs w:val="24"/>
        </w:rPr>
        <w:t>监督单位：灵宝市财政局政府采购监督管理科</w:t>
      </w:r>
    </w:p>
    <w:p>
      <w:pPr>
        <w:spacing w:line="520" w:lineRule="exact"/>
        <w:ind w:firstLine="484" w:firstLineChars="202"/>
        <w:rPr>
          <w:rFonts w:ascii="宋体" w:hAnsi="宋体" w:cs="宋体"/>
          <w:sz w:val="24"/>
          <w:szCs w:val="24"/>
        </w:rPr>
      </w:pPr>
      <w:r>
        <w:rPr>
          <w:rFonts w:hint="eastAsia" w:ascii="宋体" w:hAnsi="宋体" w:cs="宋体"/>
          <w:sz w:val="24"/>
          <w:szCs w:val="24"/>
        </w:rPr>
        <w:t>联系电话：0398-8852670</w:t>
      </w:r>
    </w:p>
    <w:p>
      <w:pPr>
        <w:pStyle w:val="22"/>
        <w:ind w:firstLine="440"/>
      </w:pPr>
    </w:p>
    <w:p>
      <w:pPr>
        <w:rPr>
          <w:rFonts w:ascii="宋体" w:hAnsi="宋体" w:cs="宋体"/>
          <w:sz w:val="36"/>
          <w:szCs w:val="36"/>
        </w:rPr>
      </w:pPr>
      <w:r>
        <w:rPr>
          <w:rFonts w:hint="eastAsia" w:ascii="宋体" w:hAnsi="宋体" w:cs="宋体"/>
          <w:sz w:val="36"/>
          <w:szCs w:val="36"/>
        </w:rPr>
        <w:br w:type="page"/>
      </w:r>
    </w:p>
    <w:p>
      <w:pPr>
        <w:pStyle w:val="2"/>
        <w:keepNext w:val="0"/>
        <w:keepLines w:val="0"/>
        <w:pageBreakBefore/>
        <w:spacing w:before="120" w:after="120" w:line="400" w:lineRule="exact"/>
        <w:jc w:val="center"/>
        <w:rPr>
          <w:rFonts w:ascii="宋体" w:hAnsi="宋体" w:cs="宋体"/>
          <w:sz w:val="36"/>
          <w:szCs w:val="36"/>
        </w:rPr>
      </w:pPr>
      <w:bookmarkStart w:id="15" w:name="_Toc5841"/>
      <w:r>
        <w:rPr>
          <w:rFonts w:hint="eastAsia" w:ascii="宋体" w:hAnsi="宋体" w:cs="宋体"/>
          <w:sz w:val="36"/>
          <w:szCs w:val="36"/>
        </w:rPr>
        <w:t>第二章 供应商须知</w:t>
      </w:r>
      <w:bookmarkEnd w:id="4"/>
      <w:bookmarkEnd w:id="5"/>
      <w:bookmarkEnd w:id="6"/>
      <w:bookmarkEnd w:id="7"/>
      <w:bookmarkEnd w:id="8"/>
      <w:bookmarkEnd w:id="15"/>
      <w:bookmarkStart w:id="16" w:name="_Toc503112329"/>
      <w:bookmarkStart w:id="17" w:name="_Toc503886922"/>
      <w:bookmarkStart w:id="18" w:name="_Toc15504"/>
      <w:bookmarkStart w:id="19" w:name="_Toc505073888"/>
      <w:bookmarkStart w:id="20" w:name="_Toc504055106"/>
      <w:bookmarkStart w:id="21" w:name="_Toc4962"/>
      <w:bookmarkStart w:id="22" w:name="_Toc270604574"/>
      <w:bookmarkStart w:id="23" w:name="_Toc503885586"/>
      <w:bookmarkStart w:id="24" w:name="_Toc31918"/>
      <w:bookmarkStart w:id="25" w:name="_Toc269470293"/>
    </w:p>
    <w:p>
      <w:pPr>
        <w:spacing w:line="360" w:lineRule="auto"/>
        <w:jc w:val="center"/>
        <w:rPr>
          <w:rFonts w:ascii="宋体" w:hAnsi="宋体" w:cs="宋体"/>
          <w:sz w:val="24"/>
          <w:szCs w:val="24"/>
        </w:rPr>
      </w:pPr>
      <w:bookmarkStart w:id="26" w:name="_Toc31332"/>
      <w:bookmarkStart w:id="27" w:name="_Toc6916"/>
      <w:r>
        <w:rPr>
          <w:rFonts w:hint="eastAsia" w:ascii="宋体" w:hAnsi="宋体" w:cs="宋体"/>
          <w:b/>
          <w:sz w:val="24"/>
          <w:szCs w:val="20"/>
        </w:rPr>
        <w:t>供应商须知前附表</w:t>
      </w:r>
      <w:bookmarkEnd w:id="16"/>
      <w:bookmarkEnd w:id="17"/>
      <w:bookmarkEnd w:id="18"/>
      <w:bookmarkEnd w:id="19"/>
      <w:bookmarkEnd w:id="20"/>
      <w:bookmarkEnd w:id="21"/>
      <w:bookmarkEnd w:id="22"/>
      <w:bookmarkEnd w:id="23"/>
      <w:bookmarkEnd w:id="24"/>
      <w:bookmarkEnd w:id="25"/>
      <w:bookmarkEnd w:id="26"/>
      <w:bookmarkEnd w:id="27"/>
    </w:p>
    <w:tbl>
      <w:tblPr>
        <w:tblStyle w:val="23"/>
        <w:tblW w:w="963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843"/>
        <w:gridCol w:w="68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sz w:val="24"/>
                <w:szCs w:val="24"/>
              </w:rPr>
            </w:pPr>
            <w:r>
              <w:rPr>
                <w:rFonts w:hint="eastAsia" w:ascii="宋体" w:hAnsi="宋体" w:cs="宋体"/>
                <w:b/>
                <w:bCs/>
                <w:sz w:val="24"/>
                <w:szCs w:val="24"/>
              </w:rPr>
              <w:t>条款号</w:t>
            </w:r>
          </w:p>
        </w:tc>
        <w:tc>
          <w:tcPr>
            <w:tcW w:w="1843"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b/>
                <w:bCs/>
                <w:sz w:val="24"/>
                <w:szCs w:val="24"/>
              </w:rPr>
            </w:pPr>
            <w:r>
              <w:rPr>
                <w:rFonts w:hint="eastAsia" w:ascii="宋体" w:hAnsi="宋体" w:cs="宋体"/>
                <w:b/>
                <w:bCs/>
                <w:sz w:val="24"/>
                <w:szCs w:val="24"/>
              </w:rPr>
              <w:t>条款名称</w:t>
            </w:r>
          </w:p>
        </w:tc>
        <w:tc>
          <w:tcPr>
            <w:tcW w:w="6803"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b/>
                <w:bCs/>
                <w:sz w:val="24"/>
                <w:szCs w:val="24"/>
              </w:rPr>
            </w:pPr>
            <w:r>
              <w:rPr>
                <w:rFonts w:hint="eastAsia" w:ascii="宋体" w:hAnsi="宋体" w:cs="宋体"/>
                <w:b/>
                <w:bCs/>
                <w:sz w:val="24"/>
                <w:szCs w:val="24"/>
              </w:rPr>
              <w:t>编  列  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keepLines/>
              <w:numPr>
                <w:ilvl w:val="0"/>
                <w:numId w:val="1"/>
              </w:numPr>
              <w:spacing w:line="360" w:lineRule="auto"/>
              <w:jc w:val="center"/>
              <w:rPr>
                <w:rFonts w:ascii="宋体" w:hAns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szCs w:val="24"/>
                <w:highlight w:val="none"/>
              </w:rPr>
            </w:pPr>
            <w:r>
              <w:rPr>
                <w:rFonts w:hint="eastAsia" w:ascii="宋体" w:hAnsi="宋体" w:cs="宋体"/>
                <w:sz w:val="24"/>
                <w:szCs w:val="24"/>
                <w:highlight w:val="none"/>
              </w:rPr>
              <w:t>采购人</w:t>
            </w:r>
          </w:p>
        </w:tc>
        <w:tc>
          <w:tcPr>
            <w:tcW w:w="6803" w:type="dxa"/>
            <w:tcBorders>
              <w:top w:val="single" w:color="auto" w:sz="4" w:space="0"/>
              <w:left w:val="nil"/>
              <w:bottom w:val="single" w:color="auto" w:sz="4" w:space="0"/>
              <w:right w:val="single" w:color="auto" w:sz="4" w:space="0"/>
            </w:tcBorders>
            <w:vAlign w:val="center"/>
          </w:tcPr>
          <w:p>
            <w:pPr>
              <w:spacing w:line="360" w:lineRule="auto"/>
              <w:rPr>
                <w:rFonts w:ascii="宋体" w:hAnsi="宋体" w:cs="宋体"/>
                <w:sz w:val="24"/>
                <w:szCs w:val="24"/>
                <w:highlight w:val="none"/>
              </w:rPr>
            </w:pPr>
            <w:r>
              <w:rPr>
                <w:rFonts w:hint="eastAsia" w:ascii="宋体" w:hAnsi="宋体" w:cs="宋体"/>
                <w:sz w:val="24"/>
                <w:szCs w:val="24"/>
                <w:highlight w:val="none"/>
              </w:rPr>
              <w:t xml:space="preserve">采购人：三门峡市生态环境局灵宝分局 </w:t>
            </w:r>
          </w:p>
          <w:p>
            <w:pPr>
              <w:spacing w:line="360" w:lineRule="auto"/>
              <w:rPr>
                <w:rFonts w:ascii="宋体" w:hAnsi="宋体" w:cs="宋体"/>
                <w:sz w:val="24"/>
                <w:szCs w:val="24"/>
                <w:highlight w:val="none"/>
              </w:rPr>
            </w:pPr>
            <w:r>
              <w:rPr>
                <w:rFonts w:hint="eastAsia" w:ascii="宋体" w:hAnsi="宋体" w:cs="宋体"/>
                <w:sz w:val="24"/>
                <w:szCs w:val="24"/>
                <w:highlight w:val="none"/>
              </w:rPr>
              <w:t>地址：灵宝市金城大道12号</w:t>
            </w:r>
          </w:p>
          <w:p>
            <w:pPr>
              <w:spacing w:line="360" w:lineRule="auto"/>
              <w:rPr>
                <w:rFonts w:ascii="宋体" w:hAnsi="宋体" w:cs="宋体"/>
                <w:sz w:val="24"/>
                <w:szCs w:val="24"/>
                <w:highlight w:val="none"/>
              </w:rPr>
            </w:pPr>
            <w:r>
              <w:rPr>
                <w:rFonts w:hint="eastAsia" w:ascii="宋体" w:hAnsi="宋体" w:cs="宋体"/>
                <w:sz w:val="24"/>
                <w:szCs w:val="24"/>
                <w:highlight w:val="none"/>
              </w:rPr>
              <w:t>联系人：张先生</w:t>
            </w:r>
          </w:p>
          <w:p>
            <w:pPr>
              <w:spacing w:line="360" w:lineRule="auto"/>
              <w:rPr>
                <w:rFonts w:ascii="宋体" w:hAnsi="宋体" w:cs="宋体"/>
                <w:sz w:val="24"/>
                <w:szCs w:val="24"/>
                <w:highlight w:val="none"/>
              </w:rPr>
            </w:pPr>
            <w:r>
              <w:rPr>
                <w:rFonts w:hint="eastAsia" w:ascii="宋体" w:hAnsi="宋体" w:cs="宋体"/>
                <w:sz w:val="24"/>
                <w:szCs w:val="24"/>
                <w:highlight w:val="none"/>
              </w:rPr>
              <w:t>联系方式：18839889239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widowControl/>
              <w:numPr>
                <w:ilvl w:val="0"/>
                <w:numId w:val="1"/>
              </w:numPr>
              <w:spacing w:line="360" w:lineRule="auto"/>
              <w:jc w:val="center"/>
              <w:rPr>
                <w:rFonts w:ascii="宋体" w:hAns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szCs w:val="24"/>
              </w:rPr>
            </w:pPr>
            <w:r>
              <w:rPr>
                <w:rFonts w:hint="eastAsia" w:ascii="宋体" w:hAnsi="宋体" w:cs="宋体"/>
                <w:sz w:val="24"/>
                <w:szCs w:val="24"/>
              </w:rPr>
              <w:t>采购代理</w:t>
            </w:r>
          </w:p>
          <w:p>
            <w:pPr>
              <w:spacing w:line="360" w:lineRule="auto"/>
              <w:jc w:val="center"/>
              <w:rPr>
                <w:rFonts w:ascii="宋体" w:hAnsi="宋体" w:cs="宋体"/>
                <w:sz w:val="24"/>
                <w:szCs w:val="24"/>
              </w:rPr>
            </w:pPr>
            <w:r>
              <w:rPr>
                <w:rFonts w:hint="eastAsia" w:ascii="宋体" w:hAnsi="宋体" w:cs="宋体"/>
                <w:sz w:val="24"/>
                <w:szCs w:val="24"/>
              </w:rPr>
              <w:t>机构</w:t>
            </w:r>
          </w:p>
        </w:tc>
        <w:tc>
          <w:tcPr>
            <w:tcW w:w="6803" w:type="dxa"/>
            <w:tcBorders>
              <w:top w:val="single" w:color="auto" w:sz="4" w:space="0"/>
              <w:left w:val="nil"/>
              <w:bottom w:val="single" w:color="auto" w:sz="4" w:space="0"/>
              <w:right w:val="single" w:color="auto" w:sz="4" w:space="0"/>
            </w:tcBorders>
            <w:vAlign w:val="center"/>
          </w:tcPr>
          <w:p>
            <w:pPr>
              <w:spacing w:line="360" w:lineRule="auto"/>
              <w:rPr>
                <w:rFonts w:ascii="宋体" w:hAnsi="宋体" w:cs="宋体"/>
                <w:sz w:val="24"/>
                <w:szCs w:val="24"/>
              </w:rPr>
            </w:pPr>
            <w:r>
              <w:rPr>
                <w:rFonts w:hint="eastAsia" w:ascii="宋体" w:hAnsi="宋体" w:cs="宋体"/>
                <w:sz w:val="24"/>
                <w:szCs w:val="24"/>
              </w:rPr>
              <w:t>代理机构：正为技术有限公司</w:t>
            </w:r>
          </w:p>
          <w:p>
            <w:pPr>
              <w:spacing w:line="360" w:lineRule="auto"/>
              <w:rPr>
                <w:rFonts w:ascii="宋体" w:hAnsi="宋体" w:cs="宋体"/>
                <w:sz w:val="24"/>
                <w:szCs w:val="24"/>
              </w:rPr>
            </w:pPr>
            <w:r>
              <w:rPr>
                <w:rFonts w:hint="eastAsia" w:ascii="宋体" w:hAnsi="宋体" w:cs="宋体"/>
                <w:sz w:val="24"/>
                <w:szCs w:val="24"/>
              </w:rPr>
              <w:t>地址：河南省郑州市金水区索凌路庙李商务大厦3单元10层1001室</w:t>
            </w:r>
          </w:p>
          <w:p>
            <w:pPr>
              <w:spacing w:line="360" w:lineRule="auto"/>
              <w:rPr>
                <w:rFonts w:ascii="宋体" w:hAnsi="宋体" w:cs="宋体"/>
                <w:sz w:val="24"/>
                <w:szCs w:val="24"/>
              </w:rPr>
            </w:pPr>
            <w:r>
              <w:rPr>
                <w:rFonts w:hint="eastAsia" w:ascii="宋体" w:hAnsi="宋体" w:cs="宋体"/>
                <w:sz w:val="24"/>
                <w:szCs w:val="24"/>
              </w:rPr>
              <w:t>联系人：莫先生</w:t>
            </w:r>
          </w:p>
          <w:p>
            <w:pPr>
              <w:spacing w:line="360" w:lineRule="auto"/>
              <w:rPr>
                <w:rFonts w:ascii="宋体" w:hAnsi="宋体" w:cs="宋体"/>
                <w:sz w:val="24"/>
                <w:szCs w:val="24"/>
              </w:rPr>
            </w:pPr>
            <w:r>
              <w:rPr>
                <w:rFonts w:hint="eastAsia" w:ascii="宋体" w:hAnsi="宋体" w:cs="宋体"/>
                <w:sz w:val="24"/>
                <w:szCs w:val="24"/>
              </w:rPr>
              <w:t>联系电话：17719083579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keepLines/>
              <w:numPr>
                <w:ilvl w:val="0"/>
                <w:numId w:val="1"/>
              </w:numPr>
              <w:spacing w:line="360" w:lineRule="auto"/>
              <w:jc w:val="center"/>
              <w:rPr>
                <w:rFonts w:ascii="宋体" w:hAns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szCs w:val="24"/>
              </w:rPr>
            </w:pPr>
            <w:r>
              <w:rPr>
                <w:rFonts w:hint="eastAsia" w:ascii="宋体" w:hAnsi="宋体" w:cs="宋体"/>
                <w:sz w:val="24"/>
                <w:szCs w:val="24"/>
              </w:rPr>
              <w:t>项目名称</w:t>
            </w:r>
          </w:p>
        </w:tc>
        <w:tc>
          <w:tcPr>
            <w:tcW w:w="6803" w:type="dxa"/>
            <w:tcBorders>
              <w:top w:val="single" w:color="auto" w:sz="4" w:space="0"/>
              <w:left w:val="nil"/>
              <w:bottom w:val="single" w:color="auto" w:sz="4" w:space="0"/>
              <w:right w:val="single" w:color="auto" w:sz="4" w:space="0"/>
            </w:tcBorders>
            <w:vAlign w:val="center"/>
          </w:tcPr>
          <w:p>
            <w:pPr>
              <w:spacing w:line="360" w:lineRule="auto"/>
              <w:rPr>
                <w:rFonts w:ascii="宋体" w:hAnsi="宋体" w:cs="宋体"/>
                <w:sz w:val="24"/>
                <w:szCs w:val="24"/>
              </w:rPr>
            </w:pPr>
            <w:r>
              <w:rPr>
                <w:rFonts w:hint="eastAsia" w:ascii="宋体" w:hAnsi="宋体" w:cs="宋体"/>
                <w:kern w:val="0"/>
                <w:sz w:val="24"/>
                <w:szCs w:val="24"/>
              </w:rPr>
              <w:t>三门峡市灵宝市入河排污口规范化建设项目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widowControl/>
              <w:numPr>
                <w:ilvl w:val="0"/>
                <w:numId w:val="1"/>
              </w:numPr>
              <w:spacing w:line="360" w:lineRule="auto"/>
              <w:jc w:val="center"/>
              <w:rPr>
                <w:rFonts w:ascii="宋体" w:hAns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szCs w:val="24"/>
              </w:rPr>
            </w:pPr>
            <w:r>
              <w:rPr>
                <w:rFonts w:hint="eastAsia" w:ascii="宋体" w:hAnsi="宋体" w:cs="宋体"/>
                <w:kern w:val="0"/>
                <w:sz w:val="24"/>
                <w:szCs w:val="24"/>
              </w:rPr>
              <w:t>最高限价(预算金额)</w:t>
            </w:r>
          </w:p>
        </w:tc>
        <w:tc>
          <w:tcPr>
            <w:tcW w:w="6803" w:type="dxa"/>
            <w:tcBorders>
              <w:top w:val="single" w:color="auto" w:sz="4" w:space="0"/>
              <w:left w:val="nil"/>
              <w:bottom w:val="single" w:color="auto" w:sz="4" w:space="0"/>
              <w:right w:val="single" w:color="auto" w:sz="4" w:space="0"/>
            </w:tcBorders>
            <w:vAlign w:val="center"/>
          </w:tcPr>
          <w:p>
            <w:pPr>
              <w:spacing w:line="360" w:lineRule="auto"/>
              <w:rPr>
                <w:rFonts w:ascii="宋体" w:hAnsi="宋体" w:cs="宋体"/>
                <w:sz w:val="24"/>
                <w:szCs w:val="24"/>
              </w:rPr>
            </w:pPr>
            <w:r>
              <w:rPr>
                <w:rFonts w:hint="eastAsia" w:ascii="宋体" w:hAnsi="宋体" w:cs="宋体"/>
                <w:sz w:val="24"/>
                <w:szCs w:val="24"/>
                <w:lang w:eastAsia="zh-CN"/>
              </w:rPr>
              <w:t>1057.553293</w:t>
            </w:r>
            <w:r>
              <w:rPr>
                <w:rFonts w:hint="eastAsia" w:ascii="宋体" w:hAnsi="宋体" w:cs="宋体"/>
                <w:sz w:val="24"/>
                <w:szCs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keepLines/>
              <w:numPr>
                <w:ilvl w:val="0"/>
                <w:numId w:val="1"/>
              </w:numPr>
              <w:spacing w:line="360" w:lineRule="auto"/>
              <w:jc w:val="center"/>
              <w:rPr>
                <w:rFonts w:ascii="宋体" w:hAns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pStyle w:val="29"/>
              <w:spacing w:line="360" w:lineRule="auto"/>
              <w:jc w:val="center"/>
              <w:rPr>
                <w:rFonts w:ascii="宋体" w:hAnsi="宋体" w:cs="宋体"/>
                <w:szCs w:val="24"/>
              </w:rPr>
            </w:pPr>
            <w:r>
              <w:rPr>
                <w:rFonts w:hint="eastAsia" w:ascii="宋体" w:hAnsi="宋体" w:cs="宋体"/>
                <w:szCs w:val="24"/>
              </w:rPr>
              <w:t>资金来源</w:t>
            </w:r>
          </w:p>
        </w:tc>
        <w:tc>
          <w:tcPr>
            <w:tcW w:w="6803" w:type="dxa"/>
            <w:tcBorders>
              <w:top w:val="single" w:color="auto" w:sz="4" w:space="0"/>
              <w:left w:val="nil"/>
              <w:bottom w:val="single" w:color="auto" w:sz="4" w:space="0"/>
              <w:right w:val="single" w:color="auto" w:sz="4" w:space="0"/>
            </w:tcBorders>
            <w:vAlign w:val="center"/>
          </w:tcPr>
          <w:p>
            <w:pPr>
              <w:pStyle w:val="29"/>
              <w:spacing w:line="360" w:lineRule="auto"/>
              <w:rPr>
                <w:rFonts w:ascii="宋体" w:hAnsi="宋体" w:cs="宋体"/>
                <w:szCs w:val="24"/>
              </w:rPr>
            </w:pPr>
            <w:r>
              <w:rPr>
                <w:rFonts w:hint="eastAsia" w:ascii="宋体" w:hAnsi="宋体" w:cs="宋体"/>
                <w:szCs w:val="24"/>
              </w:rPr>
              <w:t>财政资金，已落实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trPr>
        <w:tc>
          <w:tcPr>
            <w:tcW w:w="993" w:type="dxa"/>
            <w:tcBorders>
              <w:top w:val="single" w:color="auto" w:sz="4" w:space="0"/>
              <w:left w:val="single" w:color="auto" w:sz="4" w:space="0"/>
              <w:bottom w:val="single" w:color="auto" w:sz="4" w:space="0"/>
              <w:right w:val="single" w:color="auto" w:sz="4" w:space="0"/>
            </w:tcBorders>
            <w:vAlign w:val="center"/>
          </w:tcPr>
          <w:p>
            <w:pPr>
              <w:keepLines/>
              <w:numPr>
                <w:ilvl w:val="0"/>
                <w:numId w:val="1"/>
              </w:numPr>
              <w:spacing w:line="360" w:lineRule="auto"/>
              <w:jc w:val="center"/>
              <w:rPr>
                <w:rFonts w:ascii="宋体" w:hAns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kern w:val="0"/>
                <w:sz w:val="24"/>
                <w:szCs w:val="24"/>
              </w:rPr>
            </w:pPr>
            <w:r>
              <w:rPr>
                <w:rFonts w:hint="eastAsia" w:ascii="宋体" w:hAnsi="宋体" w:cs="宋体"/>
                <w:kern w:val="0"/>
                <w:sz w:val="24"/>
                <w:szCs w:val="24"/>
                <w:lang w:val="zh-TW"/>
              </w:rPr>
              <w:t>采购</w:t>
            </w:r>
            <w:r>
              <w:rPr>
                <w:rFonts w:hint="eastAsia" w:ascii="宋体" w:hAnsi="宋体" w:cs="宋体"/>
                <w:kern w:val="0"/>
                <w:sz w:val="24"/>
                <w:szCs w:val="24"/>
              </w:rPr>
              <w:t>内容</w:t>
            </w:r>
          </w:p>
        </w:tc>
        <w:tc>
          <w:tcPr>
            <w:tcW w:w="6803" w:type="dxa"/>
            <w:tcBorders>
              <w:top w:val="single" w:color="auto" w:sz="4" w:space="0"/>
              <w:left w:val="nil"/>
              <w:bottom w:val="single" w:color="auto" w:sz="4" w:space="0"/>
              <w:right w:val="single" w:color="auto" w:sz="4" w:space="0"/>
            </w:tcBorders>
            <w:vAlign w:val="center"/>
          </w:tcPr>
          <w:p>
            <w:pPr>
              <w:spacing w:line="360" w:lineRule="auto"/>
              <w:rPr>
                <w:rFonts w:ascii="宋体" w:hAnsi="宋体" w:cs="宋体"/>
                <w:kern w:val="0"/>
                <w:sz w:val="24"/>
                <w:szCs w:val="24"/>
              </w:rPr>
            </w:pPr>
            <w:r>
              <w:rPr>
                <w:rFonts w:hint="eastAsia" w:ascii="宋体" w:hAnsi="宋体" w:cs="宋体"/>
                <w:kern w:val="0"/>
                <w:sz w:val="24"/>
                <w:szCs w:val="24"/>
              </w:rPr>
              <w:t>本项目为三门峡市灵宝市入河排污口规范化建设项目</w:t>
            </w:r>
            <w:r>
              <w:rPr>
                <w:rFonts w:hint="eastAsia" w:ascii="宋体" w:hAnsi="宋体" w:cs="宋体"/>
                <w:kern w:val="0"/>
                <w:sz w:val="24"/>
                <w:szCs w:val="24"/>
                <w:highlight w:val="none"/>
              </w:rPr>
              <w:t>采购排</w:t>
            </w:r>
            <w:r>
              <w:rPr>
                <w:rFonts w:hint="eastAsia" w:ascii="宋体" w:hAnsi="宋体" w:cs="宋体"/>
                <w:kern w:val="0"/>
                <w:sz w:val="24"/>
                <w:szCs w:val="24"/>
              </w:rPr>
              <w:t>污口档案建设22个，设立入河排污口标识牌20个，安装水质自动监测系统9套，安装视频监控设备9套，安装流量监测设备9套，并对22个入河排污口进行更新维护。建设一套排污口智慧监管平台，实现对水质水量实时监测，为入河排污口智慧管理提供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keepLines/>
              <w:numPr>
                <w:ilvl w:val="0"/>
                <w:numId w:val="1"/>
              </w:numPr>
              <w:spacing w:line="360" w:lineRule="auto"/>
              <w:jc w:val="center"/>
              <w:rPr>
                <w:rFonts w:ascii="宋体" w:hAns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pStyle w:val="29"/>
              <w:spacing w:line="360" w:lineRule="auto"/>
              <w:jc w:val="center"/>
              <w:rPr>
                <w:rFonts w:ascii="宋体" w:hAnsi="宋体" w:cs="宋体"/>
                <w:kern w:val="0"/>
                <w:szCs w:val="24"/>
                <w:highlight w:val="none"/>
              </w:rPr>
            </w:pPr>
            <w:r>
              <w:rPr>
                <w:rFonts w:hint="eastAsia" w:ascii="宋体" w:hAnsi="宋体" w:cs="宋体"/>
                <w:kern w:val="0"/>
                <w:szCs w:val="24"/>
                <w:highlight w:val="none"/>
                <w:lang w:val="en-US" w:eastAsia="zh-CN"/>
              </w:rPr>
              <w:t>供货</w:t>
            </w:r>
            <w:r>
              <w:rPr>
                <w:rFonts w:hint="eastAsia" w:ascii="宋体" w:hAnsi="宋体" w:cs="宋体"/>
                <w:kern w:val="0"/>
                <w:szCs w:val="24"/>
                <w:highlight w:val="none"/>
              </w:rPr>
              <w:t>期</w:t>
            </w:r>
          </w:p>
        </w:tc>
        <w:tc>
          <w:tcPr>
            <w:tcW w:w="6803" w:type="dxa"/>
            <w:tcBorders>
              <w:top w:val="single" w:color="auto" w:sz="4" w:space="0"/>
              <w:left w:val="nil"/>
              <w:bottom w:val="single" w:color="auto" w:sz="4" w:space="0"/>
              <w:right w:val="single" w:color="auto" w:sz="4" w:space="0"/>
            </w:tcBorders>
            <w:vAlign w:val="center"/>
          </w:tcPr>
          <w:p>
            <w:pPr>
              <w:pStyle w:val="29"/>
              <w:spacing w:line="360" w:lineRule="auto"/>
              <w:rPr>
                <w:rFonts w:ascii="宋体" w:hAnsi="宋体" w:cs="宋体"/>
                <w:kern w:val="0"/>
                <w:szCs w:val="24"/>
                <w:highlight w:val="none"/>
              </w:rPr>
            </w:pPr>
            <w:r>
              <w:rPr>
                <w:rFonts w:hint="eastAsia" w:ascii="宋体" w:hAnsi="宋体" w:cs="宋体"/>
                <w:kern w:val="0"/>
                <w:szCs w:val="24"/>
                <w:highlight w:val="none"/>
                <w:lang w:val="zh-TW" w:eastAsia="zh-CN"/>
              </w:rPr>
              <w:t>自合同签订之日起</w:t>
            </w:r>
            <w:r>
              <w:rPr>
                <w:rFonts w:hint="eastAsia" w:ascii="宋体" w:hAnsi="宋体" w:cs="宋体"/>
                <w:kern w:val="0"/>
                <w:szCs w:val="24"/>
                <w:highlight w:val="none"/>
                <w:lang w:val="en-US" w:eastAsia="zh-CN"/>
              </w:rPr>
              <w:t>12个月内</w:t>
            </w:r>
            <w:r>
              <w:rPr>
                <w:rFonts w:hint="eastAsia" w:ascii="宋体" w:hAnsi="宋体" w:cs="宋体"/>
                <w:kern w:val="0"/>
                <w:szCs w:val="24"/>
                <w:highlight w:val="none"/>
                <w:lang w:val="zh-TW" w:eastAsia="zh-CN"/>
              </w:rPr>
              <w:t>完成全部货物交付、安装、系统调试、平台上线运行，并通过采购人组织的验收。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keepLines/>
              <w:numPr>
                <w:ilvl w:val="0"/>
                <w:numId w:val="1"/>
              </w:numPr>
              <w:spacing w:line="360" w:lineRule="auto"/>
              <w:jc w:val="center"/>
              <w:rPr>
                <w:rFonts w:ascii="宋体" w:hAns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pStyle w:val="29"/>
              <w:spacing w:line="360" w:lineRule="auto"/>
              <w:jc w:val="center"/>
              <w:rPr>
                <w:rFonts w:ascii="宋体" w:hAnsi="宋体" w:cs="宋体"/>
                <w:kern w:val="0"/>
                <w:szCs w:val="24"/>
                <w:highlight w:val="none"/>
              </w:rPr>
            </w:pPr>
            <w:r>
              <w:rPr>
                <w:rFonts w:hint="eastAsia" w:ascii="宋体" w:hAnsi="宋体" w:cs="宋体"/>
                <w:sz w:val="24"/>
                <w:szCs w:val="24"/>
                <w:highlight w:val="none"/>
                <w:lang w:val="en-US" w:eastAsia="zh-CN"/>
              </w:rPr>
              <w:t>运维服务期</w:t>
            </w:r>
          </w:p>
        </w:tc>
        <w:tc>
          <w:tcPr>
            <w:tcW w:w="6803" w:type="dxa"/>
            <w:tcBorders>
              <w:top w:val="single" w:color="auto" w:sz="4" w:space="0"/>
              <w:left w:val="nil"/>
              <w:bottom w:val="single" w:color="auto" w:sz="4" w:space="0"/>
              <w:right w:val="single" w:color="auto" w:sz="4" w:space="0"/>
            </w:tcBorders>
            <w:vAlign w:val="center"/>
          </w:tcPr>
          <w:p>
            <w:pPr>
              <w:spacing w:line="520" w:lineRule="exact"/>
              <w:jc w:val="center"/>
              <w:rPr>
                <w:rFonts w:ascii="宋体" w:hAnsi="宋体" w:cs="宋体"/>
                <w:kern w:val="0"/>
                <w:szCs w:val="24"/>
                <w:highlight w:val="none"/>
              </w:rPr>
            </w:pPr>
            <w:r>
              <w:rPr>
                <w:rFonts w:hint="eastAsia" w:ascii="宋体" w:hAnsi="宋体" w:cs="宋体"/>
                <w:sz w:val="24"/>
                <w:szCs w:val="24"/>
                <w:highlight w:val="none"/>
                <w:lang w:val="en-US" w:eastAsia="zh-CN"/>
              </w:rPr>
              <w:t>自项目通过验收之日起24个月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keepLines/>
              <w:numPr>
                <w:ilvl w:val="0"/>
                <w:numId w:val="1"/>
              </w:numPr>
              <w:spacing w:line="360" w:lineRule="auto"/>
              <w:jc w:val="center"/>
              <w:rPr>
                <w:rFonts w:ascii="宋体" w:hAns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质量要求</w:t>
            </w:r>
          </w:p>
        </w:tc>
        <w:tc>
          <w:tcPr>
            <w:tcW w:w="6803"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lang w:eastAsia="zh-CN"/>
              </w:rPr>
              <w:t>符合国家、省、市现行相关行业标准要求并符合采购人要求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993" w:type="dxa"/>
            <w:tcBorders>
              <w:top w:val="single" w:color="auto" w:sz="4" w:space="0"/>
              <w:left w:val="single" w:color="auto" w:sz="4" w:space="0"/>
              <w:bottom w:val="single" w:color="auto" w:sz="4" w:space="0"/>
              <w:right w:val="single" w:color="auto" w:sz="4" w:space="0"/>
            </w:tcBorders>
            <w:vAlign w:val="center"/>
          </w:tcPr>
          <w:p>
            <w:pPr>
              <w:numPr>
                <w:ilvl w:val="0"/>
                <w:numId w:val="1"/>
              </w:numPr>
              <w:spacing w:line="360" w:lineRule="auto"/>
              <w:jc w:val="center"/>
              <w:rPr>
                <w:rFonts w:ascii="宋体" w:hAnsi="宋体" w:cs="宋体"/>
                <w:sz w:val="24"/>
                <w:szCs w:val="24"/>
              </w:rPr>
            </w:pPr>
          </w:p>
        </w:tc>
        <w:tc>
          <w:tcPr>
            <w:tcW w:w="1843"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szCs w:val="24"/>
              </w:rPr>
            </w:pPr>
            <w:r>
              <w:rPr>
                <w:rFonts w:hint="eastAsia" w:ascii="宋体" w:hAnsi="宋体" w:cs="宋体"/>
                <w:sz w:val="24"/>
                <w:szCs w:val="24"/>
              </w:rPr>
              <w:t>供应商资质</w:t>
            </w:r>
          </w:p>
          <w:p>
            <w:pPr>
              <w:spacing w:line="360" w:lineRule="auto"/>
              <w:jc w:val="center"/>
              <w:rPr>
                <w:rFonts w:ascii="宋体" w:hAnsi="宋体" w:cs="宋体"/>
                <w:sz w:val="24"/>
                <w:szCs w:val="24"/>
              </w:rPr>
            </w:pPr>
            <w:r>
              <w:rPr>
                <w:rFonts w:hint="eastAsia" w:ascii="宋体" w:hAnsi="宋体" w:cs="宋体"/>
                <w:sz w:val="24"/>
                <w:szCs w:val="24"/>
              </w:rPr>
              <w:t>条件、能力</w:t>
            </w:r>
          </w:p>
          <w:p>
            <w:pPr>
              <w:spacing w:line="360" w:lineRule="auto"/>
              <w:jc w:val="center"/>
              <w:rPr>
                <w:rFonts w:ascii="宋体" w:hAnsi="宋体" w:cs="宋体"/>
                <w:sz w:val="24"/>
                <w:szCs w:val="24"/>
              </w:rPr>
            </w:pPr>
            <w:r>
              <w:rPr>
                <w:rFonts w:hint="eastAsia" w:ascii="宋体" w:hAnsi="宋体" w:cs="宋体"/>
                <w:sz w:val="24"/>
                <w:szCs w:val="24"/>
              </w:rPr>
              <w:t>和信誉</w:t>
            </w:r>
          </w:p>
        </w:tc>
        <w:tc>
          <w:tcPr>
            <w:tcW w:w="6803" w:type="dxa"/>
            <w:tcBorders>
              <w:top w:val="single" w:color="auto" w:sz="4" w:space="0"/>
              <w:left w:val="nil"/>
              <w:bottom w:val="single" w:color="auto" w:sz="4" w:space="0"/>
              <w:right w:val="single" w:color="auto" w:sz="4" w:space="0"/>
            </w:tcBorders>
            <w:vAlign w:val="center"/>
          </w:tcPr>
          <w:p>
            <w:pPr>
              <w:spacing w:line="360" w:lineRule="auto"/>
              <w:rPr>
                <w:rFonts w:ascii="宋体" w:hAnsi="宋体" w:cs="宋体"/>
                <w:sz w:val="24"/>
                <w:szCs w:val="24"/>
              </w:rPr>
            </w:pPr>
            <w:r>
              <w:rPr>
                <w:rFonts w:hint="eastAsia" w:ascii="宋体" w:hAnsi="宋体" w:cs="宋体"/>
                <w:sz w:val="24"/>
              </w:rPr>
              <w:t>见第一章“招标公告”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keepLines/>
              <w:numPr>
                <w:ilvl w:val="0"/>
                <w:numId w:val="1"/>
              </w:numPr>
              <w:spacing w:line="360" w:lineRule="auto"/>
              <w:jc w:val="center"/>
              <w:rPr>
                <w:rFonts w:ascii="宋体" w:hAns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szCs w:val="24"/>
              </w:rPr>
            </w:pPr>
            <w:r>
              <w:rPr>
                <w:rFonts w:hint="eastAsia" w:ascii="宋体" w:hAnsi="宋体" w:cs="宋体"/>
                <w:sz w:val="24"/>
                <w:szCs w:val="24"/>
              </w:rPr>
              <w:t>是否接受联合体</w:t>
            </w:r>
          </w:p>
        </w:tc>
        <w:tc>
          <w:tcPr>
            <w:tcW w:w="6803" w:type="dxa"/>
            <w:tcBorders>
              <w:top w:val="single" w:color="auto" w:sz="4" w:space="0"/>
              <w:left w:val="nil"/>
              <w:bottom w:val="single" w:color="auto" w:sz="4" w:space="0"/>
              <w:right w:val="single" w:color="auto" w:sz="4" w:space="0"/>
            </w:tcBorders>
            <w:vAlign w:val="center"/>
          </w:tcPr>
          <w:p>
            <w:pPr>
              <w:spacing w:line="360" w:lineRule="auto"/>
              <w:rPr>
                <w:rFonts w:ascii="宋体" w:hAnsi="宋体" w:cs="宋体"/>
                <w:sz w:val="24"/>
                <w:szCs w:val="24"/>
              </w:rPr>
            </w:pPr>
            <w:r>
              <w:rPr>
                <w:rFonts w:hint="eastAsia" w:ascii="宋体" w:hAnsi="宋体" w:cs="宋体"/>
                <w:sz w:val="24"/>
                <w:szCs w:val="24"/>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keepLines/>
              <w:numPr>
                <w:ilvl w:val="0"/>
                <w:numId w:val="1"/>
              </w:numPr>
              <w:spacing w:line="360" w:lineRule="auto"/>
              <w:jc w:val="center"/>
              <w:rPr>
                <w:rFonts w:ascii="宋体" w:hAns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spacing w:line="360" w:lineRule="auto"/>
              <w:ind w:firstLine="240" w:firstLineChars="100"/>
              <w:rPr>
                <w:rFonts w:ascii="宋体" w:hAnsi="宋体" w:cs="宋体"/>
                <w:sz w:val="24"/>
                <w:szCs w:val="24"/>
              </w:rPr>
            </w:pPr>
            <w:r>
              <w:rPr>
                <w:rFonts w:hint="eastAsia" w:ascii="宋体" w:hAnsi="宋体" w:cs="宋体"/>
                <w:sz w:val="24"/>
                <w:szCs w:val="24"/>
              </w:rPr>
              <w:t>踏勘现场</w:t>
            </w:r>
          </w:p>
        </w:tc>
        <w:tc>
          <w:tcPr>
            <w:tcW w:w="6803" w:type="dxa"/>
            <w:tcBorders>
              <w:top w:val="single" w:color="auto" w:sz="4" w:space="0"/>
              <w:left w:val="nil"/>
              <w:bottom w:val="single" w:color="auto" w:sz="4" w:space="0"/>
              <w:right w:val="single" w:color="auto" w:sz="4" w:space="0"/>
            </w:tcBorders>
            <w:vAlign w:val="center"/>
          </w:tcPr>
          <w:p>
            <w:pPr>
              <w:spacing w:line="360" w:lineRule="auto"/>
              <w:rPr>
                <w:rFonts w:ascii="宋体" w:hAnsi="宋体" w:cs="宋体"/>
                <w:sz w:val="24"/>
                <w:szCs w:val="24"/>
              </w:rPr>
            </w:pPr>
            <w:r>
              <w:rPr>
                <w:rFonts w:hint="eastAsia" w:ascii="宋体" w:hAnsi="宋体" w:cs="宋体"/>
                <w:sz w:val="24"/>
                <w:szCs w:val="24"/>
              </w:rPr>
              <w:t>■不组织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keepLines/>
              <w:numPr>
                <w:ilvl w:val="0"/>
                <w:numId w:val="1"/>
              </w:numPr>
              <w:spacing w:line="360" w:lineRule="auto"/>
              <w:jc w:val="center"/>
              <w:rPr>
                <w:rFonts w:ascii="宋体" w:hAns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szCs w:val="24"/>
              </w:rPr>
            </w:pPr>
            <w:r>
              <w:rPr>
                <w:rFonts w:hint="eastAsia" w:ascii="宋体" w:hAnsi="宋体" w:cs="宋体"/>
                <w:sz w:val="24"/>
                <w:szCs w:val="24"/>
              </w:rPr>
              <w:t>招标预备会</w:t>
            </w:r>
          </w:p>
        </w:tc>
        <w:tc>
          <w:tcPr>
            <w:tcW w:w="6803" w:type="dxa"/>
            <w:tcBorders>
              <w:top w:val="single" w:color="auto" w:sz="4" w:space="0"/>
              <w:left w:val="nil"/>
              <w:bottom w:val="single" w:color="auto" w:sz="4" w:space="0"/>
              <w:right w:val="single" w:color="auto" w:sz="4" w:space="0"/>
            </w:tcBorders>
            <w:vAlign w:val="center"/>
          </w:tcPr>
          <w:p>
            <w:pPr>
              <w:spacing w:line="360" w:lineRule="auto"/>
              <w:rPr>
                <w:rFonts w:ascii="宋体" w:hAnsi="宋体" w:cs="宋体"/>
                <w:sz w:val="24"/>
                <w:szCs w:val="24"/>
              </w:rPr>
            </w:pPr>
            <w:r>
              <w:rPr>
                <w:rFonts w:hint="eastAsia" w:ascii="宋体" w:hAnsi="宋体" w:cs="宋体"/>
                <w:sz w:val="24"/>
                <w:szCs w:val="24"/>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keepLines/>
              <w:numPr>
                <w:ilvl w:val="0"/>
                <w:numId w:val="1"/>
              </w:numPr>
              <w:spacing w:line="360" w:lineRule="auto"/>
              <w:jc w:val="center"/>
              <w:rPr>
                <w:rFonts w:ascii="宋体" w:hAns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szCs w:val="24"/>
              </w:rPr>
            </w:pPr>
            <w:r>
              <w:rPr>
                <w:rFonts w:hint="eastAsia" w:ascii="宋体" w:hAnsi="宋体" w:cs="宋体"/>
                <w:sz w:val="24"/>
                <w:szCs w:val="24"/>
              </w:rPr>
              <w:t>分  包</w:t>
            </w:r>
          </w:p>
        </w:tc>
        <w:tc>
          <w:tcPr>
            <w:tcW w:w="6803" w:type="dxa"/>
            <w:tcBorders>
              <w:top w:val="single" w:color="auto" w:sz="4" w:space="0"/>
              <w:left w:val="nil"/>
              <w:bottom w:val="single" w:color="auto" w:sz="4" w:space="0"/>
              <w:right w:val="single" w:color="auto" w:sz="4" w:space="0"/>
            </w:tcBorders>
            <w:vAlign w:val="center"/>
          </w:tcPr>
          <w:p>
            <w:pPr>
              <w:spacing w:line="360" w:lineRule="auto"/>
              <w:rPr>
                <w:rFonts w:ascii="宋体" w:hAnsi="宋体" w:cs="宋体"/>
                <w:sz w:val="24"/>
                <w:szCs w:val="24"/>
              </w:rPr>
            </w:pPr>
            <w:r>
              <w:rPr>
                <w:rFonts w:hint="eastAsia" w:ascii="宋体" w:hAnsi="宋体" w:cs="宋体"/>
                <w:sz w:val="24"/>
                <w:szCs w:val="24"/>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keepLines/>
              <w:numPr>
                <w:ilvl w:val="0"/>
                <w:numId w:val="1"/>
              </w:numPr>
              <w:spacing w:line="360" w:lineRule="auto"/>
              <w:jc w:val="center"/>
              <w:rPr>
                <w:rFonts w:ascii="宋体" w:hAns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szCs w:val="24"/>
              </w:rPr>
            </w:pPr>
            <w:r>
              <w:rPr>
                <w:rFonts w:hint="eastAsia" w:ascii="宋体" w:hAnsi="宋体" w:cs="宋体"/>
                <w:sz w:val="24"/>
                <w:szCs w:val="24"/>
              </w:rPr>
              <w:t>构成招标文件的其他材料</w:t>
            </w:r>
          </w:p>
        </w:tc>
        <w:tc>
          <w:tcPr>
            <w:tcW w:w="6803" w:type="dxa"/>
            <w:tcBorders>
              <w:top w:val="single" w:color="auto" w:sz="4" w:space="0"/>
              <w:left w:val="nil"/>
              <w:bottom w:val="single" w:color="auto" w:sz="4" w:space="0"/>
              <w:right w:val="single" w:color="auto" w:sz="4" w:space="0"/>
            </w:tcBorders>
            <w:vAlign w:val="center"/>
          </w:tcPr>
          <w:p>
            <w:pPr>
              <w:spacing w:line="360" w:lineRule="auto"/>
              <w:rPr>
                <w:rFonts w:ascii="宋体" w:hAnsi="宋体" w:cs="宋体"/>
                <w:sz w:val="24"/>
                <w:szCs w:val="24"/>
              </w:rPr>
            </w:pPr>
            <w:r>
              <w:rPr>
                <w:rFonts w:hint="eastAsia" w:ascii="宋体" w:hAnsi="宋体" w:cs="宋体"/>
                <w:sz w:val="24"/>
                <w:szCs w:val="24"/>
              </w:rPr>
              <w:t>对招标文件所作的澄清（含答疑）、修改，补充构成招标文件的组成部分。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keepLines/>
              <w:numPr>
                <w:ilvl w:val="0"/>
                <w:numId w:val="1"/>
              </w:numPr>
              <w:spacing w:line="360" w:lineRule="auto"/>
              <w:jc w:val="center"/>
              <w:rPr>
                <w:rFonts w:ascii="宋体" w:hAns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szCs w:val="24"/>
              </w:rPr>
            </w:pPr>
            <w:r>
              <w:rPr>
                <w:rFonts w:hint="eastAsia" w:ascii="宋体" w:hAnsi="宋体" w:cs="宋体"/>
                <w:sz w:val="24"/>
                <w:szCs w:val="24"/>
              </w:rPr>
              <w:t>供应商要求澄清招标文件的截止时间</w:t>
            </w:r>
          </w:p>
        </w:tc>
        <w:tc>
          <w:tcPr>
            <w:tcW w:w="6803" w:type="dxa"/>
            <w:tcBorders>
              <w:top w:val="single" w:color="auto" w:sz="4" w:space="0"/>
              <w:left w:val="nil"/>
              <w:bottom w:val="single" w:color="auto" w:sz="4" w:space="0"/>
              <w:right w:val="single" w:color="auto" w:sz="4" w:space="0"/>
            </w:tcBorders>
            <w:vAlign w:val="center"/>
          </w:tcPr>
          <w:p>
            <w:pPr>
              <w:spacing w:line="360" w:lineRule="auto"/>
              <w:rPr>
                <w:rFonts w:ascii="宋体" w:hAnsi="宋体" w:cs="宋体"/>
                <w:sz w:val="24"/>
                <w:szCs w:val="24"/>
              </w:rPr>
            </w:pPr>
            <w:r>
              <w:rPr>
                <w:rFonts w:hint="eastAsia" w:ascii="宋体" w:hAnsi="宋体" w:cs="宋体"/>
                <w:sz w:val="24"/>
                <w:szCs w:val="24"/>
              </w:rPr>
              <w:t>投标文件递交截止时间15日前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993" w:type="dxa"/>
            <w:tcBorders>
              <w:top w:val="single" w:color="auto" w:sz="4" w:space="0"/>
              <w:left w:val="single" w:color="auto" w:sz="4" w:space="0"/>
              <w:bottom w:val="single" w:color="auto" w:sz="4" w:space="0"/>
              <w:right w:val="single" w:color="auto" w:sz="4" w:space="0"/>
            </w:tcBorders>
            <w:vAlign w:val="center"/>
          </w:tcPr>
          <w:p>
            <w:pPr>
              <w:keepLines/>
              <w:numPr>
                <w:ilvl w:val="0"/>
                <w:numId w:val="1"/>
              </w:numPr>
              <w:spacing w:line="360" w:lineRule="auto"/>
              <w:jc w:val="center"/>
              <w:rPr>
                <w:rFonts w:ascii="宋体" w:hAns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spacing w:line="360" w:lineRule="auto"/>
              <w:ind w:left="240" w:hanging="240" w:hangingChars="100"/>
              <w:jc w:val="center"/>
              <w:rPr>
                <w:rFonts w:ascii="宋体" w:hAnsi="宋体" w:cs="宋体"/>
                <w:sz w:val="24"/>
                <w:szCs w:val="24"/>
              </w:rPr>
            </w:pPr>
            <w:r>
              <w:rPr>
                <w:rFonts w:hint="eastAsia" w:ascii="宋体" w:hAnsi="宋体" w:cs="宋体"/>
                <w:sz w:val="24"/>
                <w:szCs w:val="24"/>
              </w:rPr>
              <w:t>投标文件递</w:t>
            </w:r>
          </w:p>
          <w:p>
            <w:pPr>
              <w:spacing w:line="360" w:lineRule="auto"/>
              <w:ind w:left="240" w:hanging="240" w:hangingChars="100"/>
              <w:jc w:val="center"/>
              <w:rPr>
                <w:rFonts w:ascii="宋体" w:hAnsi="宋体" w:cs="宋体"/>
                <w:sz w:val="24"/>
                <w:szCs w:val="24"/>
              </w:rPr>
            </w:pPr>
            <w:r>
              <w:rPr>
                <w:rFonts w:hint="eastAsia" w:ascii="宋体" w:hAnsi="宋体" w:cs="宋体"/>
                <w:sz w:val="24"/>
                <w:szCs w:val="24"/>
              </w:rPr>
              <w:t>交截止时间</w:t>
            </w:r>
          </w:p>
        </w:tc>
        <w:tc>
          <w:tcPr>
            <w:tcW w:w="6803" w:type="dxa"/>
            <w:tcBorders>
              <w:top w:val="single" w:color="auto" w:sz="4" w:space="0"/>
              <w:left w:val="nil"/>
              <w:bottom w:val="single" w:color="auto" w:sz="4" w:space="0"/>
              <w:right w:val="single" w:color="auto" w:sz="4" w:space="0"/>
            </w:tcBorders>
            <w:vAlign w:val="center"/>
          </w:tcPr>
          <w:p>
            <w:pPr>
              <w:spacing w:line="360" w:lineRule="auto"/>
              <w:rPr>
                <w:rFonts w:ascii="宋体" w:hAnsi="宋体" w:cs="宋体"/>
                <w:sz w:val="24"/>
                <w:szCs w:val="24"/>
              </w:rPr>
            </w:pPr>
            <w:r>
              <w:rPr>
                <w:rFonts w:hint="eastAsia" w:ascii="宋体" w:hAnsi="宋体" w:cs="宋体"/>
                <w:sz w:val="24"/>
                <w:szCs w:val="24"/>
              </w:rPr>
              <w:t>同开标时间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trPr>
        <w:tc>
          <w:tcPr>
            <w:tcW w:w="993" w:type="dxa"/>
            <w:tcBorders>
              <w:top w:val="single" w:color="auto" w:sz="4" w:space="0"/>
              <w:left w:val="single" w:color="auto" w:sz="4" w:space="0"/>
              <w:bottom w:val="single" w:color="auto" w:sz="4" w:space="0"/>
              <w:right w:val="single" w:color="auto" w:sz="4" w:space="0"/>
            </w:tcBorders>
            <w:vAlign w:val="center"/>
          </w:tcPr>
          <w:p>
            <w:pPr>
              <w:keepLines/>
              <w:numPr>
                <w:ilvl w:val="0"/>
                <w:numId w:val="1"/>
              </w:numPr>
              <w:spacing w:line="360" w:lineRule="auto"/>
              <w:jc w:val="center"/>
              <w:rPr>
                <w:rFonts w:ascii="宋体" w:hAns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szCs w:val="24"/>
              </w:rPr>
            </w:pPr>
            <w:r>
              <w:rPr>
                <w:rFonts w:hint="eastAsia" w:ascii="宋体" w:hAnsi="宋体" w:cs="宋体"/>
                <w:sz w:val="24"/>
                <w:szCs w:val="24"/>
              </w:rPr>
              <w:t>供应商确认收到招标文件澄清的时间</w:t>
            </w:r>
          </w:p>
        </w:tc>
        <w:tc>
          <w:tcPr>
            <w:tcW w:w="6803" w:type="dxa"/>
            <w:tcBorders>
              <w:top w:val="single" w:color="auto" w:sz="4" w:space="0"/>
              <w:left w:val="nil"/>
              <w:bottom w:val="single" w:color="auto" w:sz="4" w:space="0"/>
              <w:right w:val="single" w:color="auto" w:sz="4" w:space="0"/>
            </w:tcBorders>
            <w:vAlign w:val="center"/>
          </w:tcPr>
          <w:p>
            <w:pPr>
              <w:spacing w:line="360" w:lineRule="auto"/>
              <w:rPr>
                <w:rFonts w:ascii="宋体" w:hAnsi="宋体" w:cs="宋体"/>
                <w:sz w:val="24"/>
                <w:szCs w:val="24"/>
                <w:u w:val="single"/>
              </w:rPr>
            </w:pPr>
            <w:r>
              <w:rPr>
                <w:rFonts w:hint="eastAsia" w:ascii="宋体" w:hAnsi="宋体" w:cs="宋体"/>
                <w:sz w:val="24"/>
                <w:szCs w:val="24"/>
              </w:rPr>
              <w:t>在收到相应澄清文件后</w:t>
            </w:r>
            <w:r>
              <w:rPr>
                <w:rFonts w:hint="eastAsia" w:ascii="宋体" w:hAnsi="宋体" w:cs="宋体"/>
                <w:sz w:val="24"/>
                <w:szCs w:val="24"/>
                <w:u w:val="single"/>
              </w:rPr>
              <w:t xml:space="preserve"> 24 </w:t>
            </w:r>
            <w:r>
              <w:rPr>
                <w:rFonts w:hint="eastAsia" w:ascii="宋体" w:hAnsi="宋体" w:cs="宋体"/>
                <w:sz w:val="24"/>
                <w:szCs w:val="24"/>
              </w:rPr>
              <w:t>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keepLines/>
              <w:numPr>
                <w:ilvl w:val="0"/>
                <w:numId w:val="1"/>
              </w:numPr>
              <w:spacing w:line="360" w:lineRule="auto"/>
              <w:jc w:val="center"/>
              <w:rPr>
                <w:rFonts w:ascii="宋体" w:hAns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szCs w:val="24"/>
              </w:rPr>
            </w:pPr>
            <w:r>
              <w:rPr>
                <w:rFonts w:hint="eastAsia" w:ascii="宋体" w:hAnsi="宋体" w:cs="宋体"/>
                <w:sz w:val="24"/>
                <w:szCs w:val="24"/>
              </w:rPr>
              <w:t>供应商确认收到招标文件修改的时间</w:t>
            </w:r>
          </w:p>
        </w:tc>
        <w:tc>
          <w:tcPr>
            <w:tcW w:w="6803" w:type="dxa"/>
            <w:tcBorders>
              <w:top w:val="single" w:color="auto" w:sz="4" w:space="0"/>
              <w:left w:val="nil"/>
              <w:bottom w:val="single" w:color="auto" w:sz="4" w:space="0"/>
              <w:right w:val="single" w:color="auto" w:sz="4" w:space="0"/>
            </w:tcBorders>
            <w:vAlign w:val="center"/>
          </w:tcPr>
          <w:p>
            <w:pPr>
              <w:spacing w:line="360" w:lineRule="auto"/>
              <w:rPr>
                <w:rFonts w:ascii="宋体" w:hAnsi="宋体" w:cs="宋体"/>
                <w:sz w:val="24"/>
                <w:szCs w:val="24"/>
              </w:rPr>
            </w:pPr>
            <w:r>
              <w:rPr>
                <w:rFonts w:hint="eastAsia" w:ascii="宋体" w:hAnsi="宋体" w:cs="宋体"/>
                <w:sz w:val="24"/>
                <w:szCs w:val="24"/>
              </w:rPr>
              <w:t>在收到相应修改文件后</w:t>
            </w:r>
            <w:r>
              <w:rPr>
                <w:rFonts w:hint="eastAsia" w:ascii="宋体" w:hAnsi="宋体" w:cs="宋体"/>
                <w:sz w:val="24"/>
                <w:szCs w:val="24"/>
                <w:u w:val="single"/>
              </w:rPr>
              <w:t xml:space="preserve"> 24</w:t>
            </w:r>
            <w:r>
              <w:rPr>
                <w:rFonts w:hint="eastAsia" w:ascii="宋体" w:hAnsi="宋体" w:cs="宋体"/>
                <w:sz w:val="24"/>
                <w:szCs w:val="24"/>
              </w:rPr>
              <w:t>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keepLines/>
              <w:numPr>
                <w:ilvl w:val="0"/>
                <w:numId w:val="1"/>
              </w:numPr>
              <w:spacing w:line="360" w:lineRule="auto"/>
              <w:jc w:val="center"/>
              <w:rPr>
                <w:rFonts w:ascii="宋体" w:hAns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szCs w:val="24"/>
              </w:rPr>
            </w:pPr>
            <w:r>
              <w:rPr>
                <w:rFonts w:hint="eastAsia" w:ascii="宋体" w:hAnsi="宋体" w:cs="宋体"/>
                <w:sz w:val="24"/>
                <w:szCs w:val="24"/>
              </w:rPr>
              <w:t>构成投标文件的其他材料</w:t>
            </w:r>
          </w:p>
        </w:tc>
        <w:tc>
          <w:tcPr>
            <w:tcW w:w="6803" w:type="dxa"/>
            <w:tcBorders>
              <w:top w:val="single" w:color="auto" w:sz="4" w:space="0"/>
              <w:left w:val="nil"/>
              <w:bottom w:val="single" w:color="auto" w:sz="4" w:space="0"/>
              <w:right w:val="single" w:color="auto" w:sz="4" w:space="0"/>
            </w:tcBorders>
            <w:vAlign w:val="center"/>
          </w:tcPr>
          <w:p>
            <w:pPr>
              <w:spacing w:line="360" w:lineRule="auto"/>
              <w:rPr>
                <w:rFonts w:ascii="宋体" w:hAnsi="宋体" w:cs="宋体"/>
                <w:b/>
                <w:bCs/>
                <w:sz w:val="24"/>
                <w:szCs w:val="24"/>
              </w:rPr>
            </w:pPr>
            <w:r>
              <w:rPr>
                <w:rFonts w:hint="eastAsia" w:ascii="宋体" w:hAnsi="宋体" w:cs="宋体"/>
                <w:sz w:val="24"/>
                <w:szCs w:val="24"/>
              </w:rPr>
              <w:t>供应商认为与本投标可能有关的其他资料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keepLines/>
              <w:numPr>
                <w:ilvl w:val="0"/>
                <w:numId w:val="1"/>
              </w:numPr>
              <w:spacing w:line="360" w:lineRule="auto"/>
              <w:jc w:val="center"/>
              <w:rPr>
                <w:rFonts w:ascii="宋体" w:hAns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szCs w:val="24"/>
              </w:rPr>
            </w:pPr>
            <w:r>
              <w:rPr>
                <w:rFonts w:hint="eastAsia" w:ascii="宋体" w:hAnsi="宋体" w:cs="宋体"/>
                <w:sz w:val="24"/>
                <w:szCs w:val="24"/>
              </w:rPr>
              <w:t>投标有效期</w:t>
            </w:r>
          </w:p>
        </w:tc>
        <w:tc>
          <w:tcPr>
            <w:tcW w:w="6803" w:type="dxa"/>
            <w:tcBorders>
              <w:top w:val="single" w:color="auto" w:sz="4" w:space="0"/>
              <w:left w:val="nil"/>
              <w:bottom w:val="single" w:color="auto" w:sz="4" w:space="0"/>
              <w:right w:val="single" w:color="auto" w:sz="4" w:space="0"/>
            </w:tcBorders>
            <w:vAlign w:val="center"/>
          </w:tcPr>
          <w:p>
            <w:pPr>
              <w:spacing w:line="360" w:lineRule="auto"/>
              <w:rPr>
                <w:rFonts w:ascii="宋体" w:hAnsi="宋体" w:cs="宋体"/>
                <w:sz w:val="24"/>
                <w:szCs w:val="24"/>
              </w:rPr>
            </w:pPr>
            <w:r>
              <w:rPr>
                <w:rFonts w:hint="eastAsia" w:ascii="宋体" w:hAnsi="宋体" w:cs="宋体"/>
                <w:sz w:val="24"/>
                <w:szCs w:val="24"/>
              </w:rPr>
              <w:t>自投标文件递交截止之日起90日历天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keepLines/>
              <w:numPr>
                <w:ilvl w:val="0"/>
                <w:numId w:val="1"/>
              </w:numPr>
              <w:spacing w:line="360" w:lineRule="auto"/>
              <w:jc w:val="center"/>
              <w:rPr>
                <w:rFonts w:ascii="宋体" w:hAnsi="宋体" w:cs="宋体"/>
                <w:sz w:val="24"/>
                <w:szCs w:val="24"/>
              </w:rPr>
            </w:pPr>
          </w:p>
        </w:tc>
        <w:tc>
          <w:tcPr>
            <w:tcW w:w="1843"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szCs w:val="24"/>
              </w:rPr>
            </w:pPr>
            <w:r>
              <w:rPr>
                <w:rFonts w:hint="eastAsia" w:ascii="宋体" w:hAnsi="宋体" w:cs="宋体"/>
                <w:sz w:val="24"/>
                <w:szCs w:val="24"/>
              </w:rPr>
              <w:t>近年完成的类似项目的年份要求</w:t>
            </w:r>
          </w:p>
        </w:tc>
        <w:tc>
          <w:tcPr>
            <w:tcW w:w="6803" w:type="dxa"/>
            <w:tcBorders>
              <w:top w:val="single" w:color="auto" w:sz="4" w:space="0"/>
              <w:left w:val="nil"/>
              <w:bottom w:val="single" w:color="auto" w:sz="4" w:space="0"/>
              <w:right w:val="single" w:color="auto" w:sz="4" w:space="0"/>
            </w:tcBorders>
            <w:vAlign w:val="center"/>
          </w:tcPr>
          <w:p>
            <w:pPr>
              <w:spacing w:line="360" w:lineRule="auto"/>
              <w:rPr>
                <w:rFonts w:ascii="宋体" w:hAnsi="宋体" w:cs="宋体"/>
                <w:sz w:val="24"/>
                <w:szCs w:val="24"/>
                <w:u w:val="single"/>
              </w:rPr>
            </w:pPr>
            <w:r>
              <w:rPr>
                <w:rFonts w:hint="eastAsia" w:ascii="宋体" w:hAnsi="宋体" w:cs="宋体"/>
                <w:sz w:val="24"/>
                <w:szCs w:val="24"/>
              </w:rPr>
              <w:t>近年，指</w:t>
            </w:r>
            <w:r>
              <w:rPr>
                <w:rFonts w:hint="eastAsia" w:ascii="宋体" w:hAnsi="宋体" w:cs="宋体"/>
                <w:sz w:val="24"/>
                <w:szCs w:val="24"/>
                <w:u w:val="single"/>
              </w:rPr>
              <w:t>2023</w:t>
            </w:r>
            <w:r>
              <w:rPr>
                <w:rFonts w:hint="eastAsia" w:ascii="宋体" w:hAnsi="宋体" w:cs="宋体"/>
                <w:sz w:val="24"/>
                <w:szCs w:val="24"/>
              </w:rPr>
              <w:t>年</w:t>
            </w:r>
            <w:r>
              <w:rPr>
                <w:rFonts w:hint="eastAsia" w:ascii="宋体" w:hAnsi="宋体" w:cs="宋体"/>
                <w:sz w:val="24"/>
                <w:szCs w:val="24"/>
                <w:u w:val="single"/>
              </w:rPr>
              <w:t>01</w:t>
            </w:r>
            <w:r>
              <w:rPr>
                <w:rFonts w:hint="eastAsia" w:ascii="宋体" w:hAnsi="宋体" w:cs="宋体"/>
                <w:sz w:val="24"/>
                <w:szCs w:val="24"/>
              </w:rPr>
              <w:t>月</w:t>
            </w:r>
            <w:r>
              <w:rPr>
                <w:rFonts w:hint="eastAsia" w:ascii="宋体" w:hAnsi="宋体" w:cs="宋体"/>
                <w:sz w:val="24"/>
                <w:szCs w:val="24"/>
                <w:u w:val="single"/>
              </w:rPr>
              <w:t>01</w:t>
            </w:r>
            <w:r>
              <w:rPr>
                <w:rFonts w:hint="eastAsia" w:ascii="宋体" w:hAnsi="宋体" w:cs="宋体"/>
                <w:sz w:val="24"/>
                <w:szCs w:val="24"/>
              </w:rPr>
              <w:t>日以来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keepLines/>
              <w:numPr>
                <w:ilvl w:val="0"/>
                <w:numId w:val="1"/>
              </w:numPr>
              <w:spacing w:line="360" w:lineRule="auto"/>
              <w:jc w:val="center"/>
              <w:rPr>
                <w:rFonts w:ascii="宋体" w:hAnsi="宋体" w:cs="宋体"/>
                <w:sz w:val="24"/>
                <w:szCs w:val="24"/>
              </w:rPr>
            </w:pPr>
          </w:p>
        </w:tc>
        <w:tc>
          <w:tcPr>
            <w:tcW w:w="1843" w:type="dxa"/>
            <w:tcBorders>
              <w:top w:val="single" w:color="auto" w:sz="4" w:space="0"/>
              <w:left w:val="nil"/>
              <w:bottom w:val="single" w:color="auto" w:sz="4" w:space="0"/>
              <w:right w:val="single" w:color="auto" w:sz="4" w:space="0"/>
            </w:tcBorders>
          </w:tcPr>
          <w:p>
            <w:pPr>
              <w:spacing w:line="360" w:lineRule="auto"/>
              <w:rPr>
                <w:rFonts w:ascii="宋体" w:hAnsi="宋体" w:cs="宋体"/>
                <w:sz w:val="24"/>
                <w:szCs w:val="24"/>
              </w:rPr>
            </w:pPr>
            <w:r>
              <w:rPr>
                <w:rFonts w:hint="eastAsia" w:ascii="宋体" w:hAnsi="宋体" w:cs="宋体"/>
                <w:sz w:val="24"/>
                <w:szCs w:val="24"/>
              </w:rPr>
              <w:t>近年财务状况的年份要求</w:t>
            </w:r>
          </w:p>
        </w:tc>
        <w:tc>
          <w:tcPr>
            <w:tcW w:w="6803" w:type="dxa"/>
            <w:tcBorders>
              <w:top w:val="single" w:color="auto" w:sz="4" w:space="0"/>
              <w:left w:val="nil"/>
              <w:bottom w:val="single" w:color="auto" w:sz="4" w:space="0"/>
              <w:right w:val="single" w:color="auto" w:sz="4" w:space="0"/>
            </w:tcBorders>
            <w:vAlign w:val="center"/>
          </w:tcPr>
          <w:p>
            <w:pPr>
              <w:spacing w:line="360" w:lineRule="auto"/>
              <w:rPr>
                <w:rFonts w:ascii="宋体" w:hAnsi="宋体" w:cs="宋体"/>
                <w:sz w:val="24"/>
                <w:szCs w:val="24"/>
              </w:rPr>
            </w:pPr>
            <w:r>
              <w:rPr>
                <w:rFonts w:hint="eastAsia" w:ascii="宋体" w:hAnsi="宋体" w:cs="宋体"/>
                <w:sz w:val="24"/>
                <w:szCs w:val="24"/>
              </w:rPr>
              <w:t>提供近三年（2023年、2024年、2025年）经会计师事务所或审计机构审计的年度财务审计报告（企业成立不足3年的按已有年份提供。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numPr>
                <w:ilvl w:val="0"/>
                <w:numId w:val="1"/>
              </w:numPr>
              <w:spacing w:line="360" w:lineRule="auto"/>
              <w:jc w:val="center"/>
              <w:rPr>
                <w:rFonts w:ascii="宋体" w:hAnsi="宋体" w:cs="宋体"/>
                <w:sz w:val="24"/>
                <w:szCs w:val="24"/>
              </w:rPr>
            </w:pPr>
          </w:p>
        </w:tc>
        <w:tc>
          <w:tcPr>
            <w:tcW w:w="1843"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szCs w:val="24"/>
              </w:rPr>
            </w:pPr>
            <w:r>
              <w:rPr>
                <w:rFonts w:hint="eastAsia" w:ascii="宋体" w:hAnsi="宋体" w:cs="宋体"/>
                <w:sz w:val="24"/>
                <w:szCs w:val="24"/>
              </w:rPr>
              <w:t>签字和（或）盖章要求</w:t>
            </w:r>
          </w:p>
        </w:tc>
        <w:tc>
          <w:tcPr>
            <w:tcW w:w="6803" w:type="dxa"/>
            <w:tcBorders>
              <w:top w:val="single" w:color="auto" w:sz="4" w:space="0"/>
              <w:left w:val="nil"/>
              <w:bottom w:val="single" w:color="auto" w:sz="4" w:space="0"/>
              <w:right w:val="single" w:color="auto" w:sz="4" w:space="0"/>
            </w:tcBorders>
            <w:vAlign w:val="center"/>
          </w:tcPr>
          <w:p>
            <w:pPr>
              <w:spacing w:line="360" w:lineRule="auto"/>
              <w:rPr>
                <w:rFonts w:ascii="宋体" w:hAnsi="宋体" w:cs="宋体"/>
                <w:sz w:val="24"/>
                <w:szCs w:val="24"/>
              </w:rPr>
            </w:pPr>
            <w:r>
              <w:rPr>
                <w:rFonts w:hint="eastAsia" w:ascii="宋体" w:hAnsi="宋体" w:cs="宋体"/>
                <w:sz w:val="24"/>
                <w:szCs w:val="24"/>
              </w:rPr>
              <w:t>电子化投标文件的签章：</w:t>
            </w:r>
          </w:p>
          <w:p>
            <w:pPr>
              <w:spacing w:line="360" w:lineRule="auto"/>
              <w:rPr>
                <w:rFonts w:ascii="宋体" w:hAnsi="宋体" w:cs="宋体"/>
                <w:sz w:val="24"/>
                <w:szCs w:val="24"/>
              </w:rPr>
            </w:pPr>
            <w:r>
              <w:rPr>
                <w:rFonts w:hint="eastAsia" w:ascii="宋体" w:hAnsi="宋体" w:cs="宋体"/>
                <w:sz w:val="24"/>
                <w:szCs w:val="24"/>
              </w:rPr>
              <w:t>1、供应商在生成电子化投标文件后，应对电子化投标文件进行签章，未对电子化文件进行签章的视为无效投标。</w:t>
            </w:r>
          </w:p>
          <w:p>
            <w:pPr>
              <w:autoSpaceDE w:val="0"/>
              <w:autoSpaceDN w:val="0"/>
              <w:adjustRightInd w:val="0"/>
              <w:spacing w:line="360" w:lineRule="auto"/>
              <w:jc w:val="left"/>
              <w:rPr>
                <w:rFonts w:ascii="宋体" w:hAnsi="宋体" w:cs="宋体"/>
                <w:sz w:val="24"/>
                <w:szCs w:val="24"/>
              </w:rPr>
            </w:pPr>
            <w:r>
              <w:rPr>
                <w:rFonts w:hint="eastAsia" w:ascii="宋体" w:hAnsi="宋体" w:cs="宋体"/>
                <w:sz w:val="24"/>
                <w:szCs w:val="24"/>
              </w:rPr>
              <w:t>2、招标文件中要求</w:t>
            </w:r>
            <w:r>
              <w:rPr>
                <w:rFonts w:hint="eastAsia" w:ascii="宋体" w:hAnsi="宋体" w:cs="宋体"/>
                <w:bCs/>
                <w:sz w:val="24"/>
                <w:szCs w:val="24"/>
              </w:rPr>
              <w:t>法定代表人签字或盖章的，</w:t>
            </w:r>
            <w:r>
              <w:rPr>
                <w:rFonts w:hint="eastAsia" w:ascii="宋体" w:hAnsi="宋体" w:cs="宋体"/>
                <w:sz w:val="24"/>
                <w:szCs w:val="24"/>
              </w:rPr>
              <w:t>供应商在进行</w:t>
            </w:r>
            <w:r>
              <w:rPr>
                <w:rFonts w:hint="eastAsia" w:ascii="宋体" w:hAnsi="宋体" w:cs="宋体"/>
                <w:bCs/>
                <w:sz w:val="24"/>
                <w:szCs w:val="24"/>
              </w:rPr>
              <w:t>电子化投标文件签章时，以签盖法定代表人签章为准</w:t>
            </w:r>
            <w:r>
              <w:rPr>
                <w:rFonts w:hint="eastAsia" w:ascii="宋体" w:hAnsi="宋体" w:cs="宋体"/>
                <w:sz w:val="24"/>
                <w:szCs w:val="24"/>
              </w:rPr>
              <w:t>。</w:t>
            </w:r>
          </w:p>
          <w:p>
            <w:pPr>
              <w:autoSpaceDE w:val="0"/>
              <w:autoSpaceDN w:val="0"/>
              <w:adjustRightInd w:val="0"/>
              <w:spacing w:line="360" w:lineRule="auto"/>
              <w:jc w:val="left"/>
              <w:rPr>
                <w:rFonts w:ascii="宋体" w:hAnsi="宋体" w:cs="宋体"/>
                <w:sz w:val="24"/>
                <w:szCs w:val="24"/>
              </w:rPr>
            </w:pPr>
            <w:r>
              <w:rPr>
                <w:rFonts w:hint="eastAsia" w:ascii="宋体" w:hAnsi="宋体" w:cs="宋体"/>
                <w:sz w:val="24"/>
                <w:szCs w:val="24"/>
              </w:rPr>
              <w:t>电子化投标文件具体制作文件请点击：https://download.bqpoint.com/download/downloaddetail.html?SourceFrom=Ztb&amp;ZtbSoftXiaQuCode=1506&amp;ZtbSoftType=tballinclusive进行下载。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numPr>
                <w:ilvl w:val="0"/>
                <w:numId w:val="1"/>
              </w:numPr>
              <w:spacing w:line="360" w:lineRule="auto"/>
              <w:jc w:val="center"/>
              <w:rPr>
                <w:rFonts w:ascii="宋体" w:hAnsi="宋体" w:cs="宋体"/>
                <w:sz w:val="24"/>
                <w:szCs w:val="24"/>
              </w:rPr>
            </w:pPr>
          </w:p>
        </w:tc>
        <w:tc>
          <w:tcPr>
            <w:tcW w:w="1843" w:type="dxa"/>
            <w:tcBorders>
              <w:top w:val="single" w:color="auto" w:sz="4" w:space="0"/>
              <w:left w:val="nil"/>
              <w:bottom w:val="single" w:color="auto" w:sz="4" w:space="0"/>
              <w:right w:val="single" w:color="auto" w:sz="4" w:space="0"/>
            </w:tcBorders>
            <w:vAlign w:val="center"/>
          </w:tcPr>
          <w:p>
            <w:pPr>
              <w:pStyle w:val="36"/>
              <w:spacing w:before="1"/>
              <w:ind w:left="107"/>
              <w:jc w:val="center"/>
              <w:rPr>
                <w:sz w:val="24"/>
                <w:szCs w:val="24"/>
              </w:rPr>
            </w:pPr>
            <w:r>
              <w:rPr>
                <w:rFonts w:hint="eastAsia"/>
                <w:sz w:val="24"/>
              </w:rPr>
              <w:t>投标文件其他要求</w:t>
            </w:r>
          </w:p>
        </w:tc>
        <w:tc>
          <w:tcPr>
            <w:tcW w:w="6803" w:type="dxa"/>
            <w:tcBorders>
              <w:top w:val="single" w:color="auto" w:sz="4" w:space="0"/>
              <w:left w:val="nil"/>
              <w:bottom w:val="single" w:color="auto" w:sz="4" w:space="0"/>
              <w:right w:val="single" w:color="auto" w:sz="4" w:space="0"/>
            </w:tcBorders>
          </w:tcPr>
          <w:p>
            <w:pPr>
              <w:pStyle w:val="37"/>
              <w:spacing w:before="0" w:beforeAutospacing="0" w:after="0" w:afterAutospacing="0" w:line="500" w:lineRule="exact"/>
              <w:rPr>
                <w:szCs w:val="24"/>
              </w:rPr>
            </w:pPr>
            <w:r>
              <w:rPr>
                <w:rFonts w:hint="eastAsia"/>
              </w:rPr>
              <w:t>本项目为电子化、无纸化交易项目，开标时不再递交纸质投标文件，中标单位签订合同前需向采购人递交叁份与电子化投标文件相同的纸质投标文件（一正两副），投标文件应按以下要求装订：胶装（不得采用活页装订），应有目录</w:t>
            </w:r>
            <w:r>
              <w:rPr>
                <w:rFonts w:hint="eastAsia"/>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9" w:hRule="atLeast"/>
        </w:trPr>
        <w:tc>
          <w:tcPr>
            <w:tcW w:w="993" w:type="dxa"/>
            <w:tcBorders>
              <w:top w:val="single" w:color="auto" w:sz="4" w:space="0"/>
              <w:left w:val="single" w:color="auto" w:sz="4" w:space="0"/>
              <w:bottom w:val="single" w:color="auto" w:sz="4" w:space="0"/>
              <w:right w:val="single" w:color="auto" w:sz="4" w:space="0"/>
            </w:tcBorders>
            <w:vAlign w:val="center"/>
          </w:tcPr>
          <w:p>
            <w:pPr>
              <w:keepLines/>
              <w:numPr>
                <w:ilvl w:val="0"/>
                <w:numId w:val="1"/>
              </w:numPr>
              <w:spacing w:line="360" w:lineRule="auto"/>
              <w:jc w:val="center"/>
              <w:rPr>
                <w:rFonts w:ascii="宋体" w:hAns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keepLines/>
              <w:spacing w:line="360" w:lineRule="auto"/>
              <w:jc w:val="center"/>
              <w:rPr>
                <w:rFonts w:ascii="宋体" w:hAnsi="宋体" w:cs="宋体"/>
                <w:kern w:val="0"/>
                <w:sz w:val="24"/>
                <w:szCs w:val="24"/>
              </w:rPr>
            </w:pPr>
            <w:r>
              <w:rPr>
                <w:rFonts w:hint="eastAsia" w:ascii="宋体" w:hAnsi="宋体" w:cs="宋体"/>
                <w:kern w:val="0"/>
                <w:sz w:val="24"/>
                <w:szCs w:val="24"/>
              </w:rPr>
              <w:t>电子化投标文件上传</w:t>
            </w:r>
          </w:p>
        </w:tc>
        <w:tc>
          <w:tcPr>
            <w:tcW w:w="6803" w:type="dxa"/>
            <w:tcBorders>
              <w:top w:val="single" w:color="auto" w:sz="4" w:space="0"/>
              <w:left w:val="nil"/>
              <w:bottom w:val="single" w:color="auto" w:sz="4" w:space="0"/>
              <w:right w:val="single" w:color="auto" w:sz="4" w:space="0"/>
            </w:tcBorders>
            <w:vAlign w:val="center"/>
          </w:tcPr>
          <w:p>
            <w:pPr>
              <w:snapToGrid w:val="0"/>
              <w:spacing w:line="360" w:lineRule="auto"/>
              <w:rPr>
                <w:rFonts w:ascii="宋体" w:hAnsi="宋体" w:cs="宋体"/>
                <w:sz w:val="24"/>
                <w:szCs w:val="24"/>
              </w:rPr>
            </w:pPr>
            <w:r>
              <w:rPr>
                <w:rFonts w:hint="eastAsia" w:ascii="宋体" w:hAnsi="宋体" w:cs="宋体"/>
                <w:sz w:val="24"/>
                <w:szCs w:val="24"/>
              </w:rPr>
              <w:t>1.投标供应商所上传的电子化投标文件，应是通过中心投标文件制作系统制作的（投标文件制作工具下载地址：https://download.bqpoint.com/download/downloaddetail.html?SourceFrom=Ztb&amp;ZtbSoftXiaQuCode=1506&amp;ZtbSoftType=tballinclusive），经过签章和加密后生成的电子版投标文件。其中包含用于投标文件上传的主文件（后缀为.smxtf）和用于应急补救的投标文件备份文件（后缀为.nsmxtf）。</w:t>
            </w:r>
          </w:p>
          <w:p>
            <w:pPr>
              <w:snapToGrid w:val="0"/>
              <w:spacing w:line="360" w:lineRule="auto"/>
              <w:rPr>
                <w:rFonts w:ascii="宋体" w:hAnsi="宋体" w:cs="宋体"/>
                <w:sz w:val="24"/>
                <w:szCs w:val="24"/>
              </w:rPr>
            </w:pPr>
            <w:r>
              <w:rPr>
                <w:rFonts w:hint="eastAsia" w:ascii="宋体" w:hAnsi="宋体" w:cs="宋体"/>
                <w:sz w:val="24"/>
                <w:szCs w:val="24"/>
              </w:rPr>
              <w:t>2.电子化投标文件应在投标截止时间前成功上传至三门峡市公共资源电子化交易系统。至投标截止时间止，仍未上传成功的电子化投标文件将不予接收。</w:t>
            </w:r>
          </w:p>
          <w:p>
            <w:pPr>
              <w:keepLines/>
              <w:spacing w:line="360" w:lineRule="auto"/>
              <w:jc w:val="left"/>
              <w:rPr>
                <w:rFonts w:ascii="宋体" w:hAnsi="宋体" w:cs="宋体"/>
                <w:sz w:val="24"/>
                <w:szCs w:val="24"/>
              </w:rPr>
            </w:pPr>
            <w:r>
              <w:rPr>
                <w:rFonts w:hint="eastAsia" w:ascii="宋体" w:hAnsi="宋体" w:cs="宋体"/>
                <w:sz w:val="24"/>
                <w:szCs w:val="24"/>
              </w:rPr>
              <w:t>注：如按照电子化投标操作教材制作完成的电子化投标文件无法上传的，投标供应商应在投标截止时间前尽早的联系中心技术人员，以便有充分的时间进行处理。投标供应商应充分考虑到处理技术问题和上传数据等工作所需的时间问题，投标文件未在投标截止时间前成功上传的，其投标文件不予接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keepLines/>
              <w:numPr>
                <w:ilvl w:val="0"/>
                <w:numId w:val="1"/>
              </w:numPr>
              <w:spacing w:line="360" w:lineRule="auto"/>
              <w:jc w:val="center"/>
              <w:rPr>
                <w:rFonts w:ascii="宋体" w:hAns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keepLines/>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开标时间和</w:t>
            </w:r>
          </w:p>
          <w:p>
            <w:pPr>
              <w:keepLines/>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地点</w:t>
            </w:r>
          </w:p>
        </w:tc>
        <w:tc>
          <w:tcPr>
            <w:tcW w:w="6803" w:type="dxa"/>
            <w:tcBorders>
              <w:top w:val="single" w:color="auto" w:sz="4" w:space="0"/>
              <w:left w:val="nil"/>
              <w:bottom w:val="single" w:color="auto" w:sz="4" w:space="0"/>
              <w:right w:val="single" w:color="auto" w:sz="4" w:space="0"/>
            </w:tcBorders>
            <w:vAlign w:val="center"/>
          </w:tcPr>
          <w:p>
            <w:pPr>
              <w:keepLines/>
              <w:spacing w:line="360" w:lineRule="auto"/>
              <w:jc w:val="left"/>
              <w:rPr>
                <w:rFonts w:ascii="宋体" w:hAnsi="宋体" w:cs="宋体"/>
                <w:sz w:val="24"/>
                <w:szCs w:val="24"/>
                <w:highlight w:val="none"/>
              </w:rPr>
            </w:pPr>
            <w:r>
              <w:rPr>
                <w:rFonts w:hint="eastAsia" w:ascii="宋体" w:hAnsi="宋体" w:cs="宋体"/>
                <w:sz w:val="24"/>
                <w:szCs w:val="24"/>
                <w:highlight w:val="none"/>
              </w:rPr>
              <w:t>时间：2026年</w:t>
            </w:r>
            <w:r>
              <w:rPr>
                <w:rFonts w:hint="eastAsia" w:ascii="宋体" w:hAnsi="宋体" w:cs="宋体"/>
                <w:sz w:val="24"/>
                <w:szCs w:val="24"/>
                <w:highlight w:val="none"/>
                <w:lang w:val="en-US" w:eastAsia="zh-CN"/>
              </w:rPr>
              <w:t>07</w:t>
            </w:r>
            <w:r>
              <w:rPr>
                <w:rFonts w:hint="eastAsia" w:ascii="宋体" w:hAnsi="宋体" w:cs="宋体"/>
                <w:sz w:val="24"/>
                <w:szCs w:val="24"/>
                <w:highlight w:val="none"/>
              </w:rPr>
              <w:t>月</w:t>
            </w:r>
            <w:r>
              <w:rPr>
                <w:rFonts w:hint="eastAsia" w:ascii="宋体" w:hAnsi="宋体" w:cs="宋体"/>
                <w:sz w:val="24"/>
                <w:szCs w:val="24"/>
                <w:highlight w:val="none"/>
                <w:lang w:val="en-US" w:eastAsia="zh-CN"/>
              </w:rPr>
              <w:t>31</w:t>
            </w:r>
            <w:r>
              <w:rPr>
                <w:rFonts w:hint="eastAsia" w:ascii="宋体" w:hAnsi="宋体" w:cs="宋体"/>
                <w:sz w:val="24"/>
                <w:szCs w:val="24"/>
                <w:highlight w:val="none"/>
              </w:rPr>
              <w:t>日08时30分（北京时间）</w:t>
            </w:r>
          </w:p>
          <w:p>
            <w:pPr>
              <w:keepLines/>
              <w:spacing w:line="360" w:lineRule="auto"/>
              <w:jc w:val="left"/>
              <w:rPr>
                <w:rFonts w:ascii="宋体" w:hAnsi="宋体" w:cs="宋体"/>
                <w:kern w:val="0"/>
                <w:sz w:val="24"/>
                <w:szCs w:val="24"/>
                <w:highlight w:val="none"/>
              </w:rPr>
            </w:pPr>
            <w:r>
              <w:rPr>
                <w:rFonts w:hint="eastAsia" w:ascii="宋体" w:hAnsi="宋体" w:cs="宋体"/>
                <w:sz w:val="24"/>
                <w:szCs w:val="24"/>
                <w:highlight w:val="none"/>
              </w:rPr>
              <w:t>地点：灵宝市公共资源交易中心</w:t>
            </w:r>
            <w:r>
              <w:rPr>
                <w:rFonts w:hint="eastAsia" w:ascii="宋体" w:hAnsi="宋体" w:cs="宋体"/>
                <w:sz w:val="24"/>
                <w:szCs w:val="24"/>
                <w:highlight w:val="none"/>
              </w:rPr>
              <w:t>开标二室、评标二室（灵宝市金城大道农村信用联社12楼）。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keepLines/>
              <w:numPr>
                <w:ilvl w:val="0"/>
                <w:numId w:val="1"/>
              </w:numPr>
              <w:spacing w:line="360" w:lineRule="auto"/>
              <w:jc w:val="center"/>
              <w:rPr>
                <w:rFonts w:ascii="宋体" w:hAns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keepLines/>
              <w:spacing w:line="360" w:lineRule="auto"/>
              <w:jc w:val="center"/>
              <w:rPr>
                <w:rFonts w:ascii="宋体" w:hAnsi="宋体" w:cs="宋体"/>
                <w:kern w:val="0"/>
                <w:sz w:val="24"/>
                <w:szCs w:val="24"/>
              </w:rPr>
            </w:pPr>
            <w:r>
              <w:rPr>
                <w:rFonts w:hint="eastAsia" w:ascii="宋体" w:hAnsi="宋体" w:cs="宋体"/>
                <w:kern w:val="0"/>
                <w:sz w:val="24"/>
                <w:szCs w:val="24"/>
              </w:rPr>
              <w:t>开标程序</w:t>
            </w:r>
          </w:p>
        </w:tc>
        <w:tc>
          <w:tcPr>
            <w:tcW w:w="6803" w:type="dxa"/>
            <w:tcBorders>
              <w:top w:val="single" w:color="auto" w:sz="4" w:space="0"/>
              <w:left w:val="nil"/>
              <w:bottom w:val="single" w:color="auto" w:sz="4" w:space="0"/>
              <w:right w:val="single" w:color="auto" w:sz="4" w:space="0"/>
            </w:tcBorders>
            <w:vAlign w:val="center"/>
          </w:tcPr>
          <w:p>
            <w:pPr>
              <w:spacing w:line="400" w:lineRule="exact"/>
              <w:jc w:val="left"/>
              <w:rPr>
                <w:sz w:val="24"/>
                <w:szCs w:val="24"/>
                <w:shd w:val="clear" w:color="auto" w:fill="FFFFFF"/>
                <w:lang w:bidi="ar"/>
              </w:rPr>
            </w:pPr>
            <w:r>
              <w:rPr>
                <w:sz w:val="24"/>
                <w:szCs w:val="24"/>
                <w:shd w:val="clear" w:color="auto" w:fill="FFFFFF"/>
                <w:lang w:bidi="ar"/>
              </w:rPr>
              <w:t>1</w:t>
            </w:r>
            <w:r>
              <w:rPr>
                <w:rFonts w:hint="eastAsia"/>
                <w:sz w:val="24"/>
                <w:szCs w:val="24"/>
                <w:shd w:val="clear" w:color="auto" w:fill="FFFFFF"/>
                <w:lang w:bidi="ar"/>
              </w:rPr>
              <w:t>、本项目采用电子开评标系统，投标人应当在开标时间前，登录到三门峡市公共资源电子招投标交易平台→点击进入“不见面开标大厅”→找到相应的项目→在线准时参加开标活动。</w:t>
            </w:r>
          </w:p>
          <w:p>
            <w:pPr>
              <w:spacing w:line="400" w:lineRule="exact"/>
              <w:jc w:val="left"/>
              <w:rPr>
                <w:sz w:val="24"/>
                <w:szCs w:val="24"/>
                <w:shd w:val="clear" w:color="auto" w:fill="FFFFFF"/>
                <w:lang w:bidi="ar"/>
              </w:rPr>
            </w:pPr>
            <w:r>
              <w:rPr>
                <w:sz w:val="24"/>
                <w:szCs w:val="24"/>
                <w:shd w:val="clear" w:color="auto" w:fill="FFFFFF"/>
                <w:lang w:bidi="ar"/>
              </w:rPr>
              <w:t>2</w:t>
            </w:r>
            <w:r>
              <w:rPr>
                <w:rFonts w:hint="eastAsia"/>
                <w:sz w:val="24"/>
                <w:szCs w:val="24"/>
                <w:shd w:val="clear" w:color="auto" w:fill="FFFFFF"/>
                <w:lang w:bidi="ar"/>
              </w:rPr>
              <w:t>、公布在投标截止时间前提交投标文件的供应商名单；</w:t>
            </w:r>
          </w:p>
          <w:p>
            <w:pPr>
              <w:spacing w:line="400" w:lineRule="exact"/>
              <w:jc w:val="left"/>
              <w:rPr>
                <w:sz w:val="24"/>
                <w:szCs w:val="24"/>
                <w:shd w:val="clear" w:color="auto" w:fill="FFFFFF"/>
                <w:lang w:bidi="ar"/>
              </w:rPr>
            </w:pPr>
            <w:r>
              <w:rPr>
                <w:sz w:val="24"/>
                <w:szCs w:val="24"/>
                <w:shd w:val="clear" w:color="auto" w:fill="FFFFFF"/>
                <w:lang w:bidi="ar"/>
              </w:rPr>
              <w:t>3</w:t>
            </w:r>
            <w:r>
              <w:rPr>
                <w:rFonts w:hint="eastAsia"/>
                <w:sz w:val="24"/>
                <w:szCs w:val="24"/>
                <w:shd w:val="clear" w:color="auto" w:fill="FFFFFF"/>
                <w:lang w:bidi="ar"/>
              </w:rPr>
              <w:t>、投标人通过电子招标投标交易平台对已递交的电子投标文件进行解密；</w:t>
            </w:r>
          </w:p>
          <w:p>
            <w:pPr>
              <w:spacing w:line="400" w:lineRule="exact"/>
              <w:jc w:val="left"/>
              <w:rPr>
                <w:sz w:val="24"/>
                <w:szCs w:val="24"/>
                <w:shd w:val="clear" w:color="auto" w:fill="FFFFFF"/>
                <w:lang w:bidi="ar"/>
              </w:rPr>
            </w:pPr>
            <w:r>
              <w:rPr>
                <w:sz w:val="24"/>
                <w:szCs w:val="24"/>
                <w:shd w:val="clear" w:color="auto" w:fill="FFFFFF"/>
                <w:lang w:bidi="ar"/>
              </w:rPr>
              <w:t>4</w:t>
            </w:r>
            <w:r>
              <w:rPr>
                <w:rFonts w:hint="eastAsia"/>
                <w:sz w:val="24"/>
                <w:szCs w:val="24"/>
                <w:shd w:val="clear" w:color="auto" w:fill="FFFFFF"/>
                <w:lang w:bidi="ar"/>
              </w:rPr>
              <w:t>、系统导入电子投标文件；</w:t>
            </w:r>
          </w:p>
          <w:p>
            <w:pPr>
              <w:spacing w:line="400" w:lineRule="exact"/>
              <w:jc w:val="left"/>
              <w:rPr>
                <w:sz w:val="24"/>
                <w:szCs w:val="24"/>
                <w:shd w:val="clear" w:color="auto" w:fill="FFFFFF"/>
                <w:lang w:bidi="ar"/>
              </w:rPr>
            </w:pPr>
            <w:r>
              <w:rPr>
                <w:sz w:val="24"/>
                <w:szCs w:val="24"/>
                <w:shd w:val="clear" w:color="auto" w:fill="FFFFFF"/>
                <w:lang w:bidi="ar"/>
              </w:rPr>
              <w:t>5</w:t>
            </w:r>
            <w:r>
              <w:rPr>
                <w:rFonts w:hint="eastAsia"/>
                <w:sz w:val="24"/>
                <w:szCs w:val="24"/>
                <w:shd w:val="clear" w:color="auto" w:fill="FFFFFF"/>
                <w:lang w:bidi="ar"/>
              </w:rPr>
              <w:t>、采购人或采购代理机构将通过“电子开标系统”按照顺序公布供应商名称、投标报价和招标文件规定的需要公布的其他内容；</w:t>
            </w:r>
          </w:p>
          <w:p>
            <w:pPr>
              <w:spacing w:line="400" w:lineRule="exact"/>
              <w:jc w:val="left"/>
              <w:rPr>
                <w:sz w:val="24"/>
                <w:szCs w:val="24"/>
                <w:shd w:val="clear" w:color="auto" w:fill="FFFFFF"/>
                <w:lang w:bidi="ar"/>
              </w:rPr>
            </w:pPr>
            <w:r>
              <w:rPr>
                <w:sz w:val="24"/>
                <w:szCs w:val="24"/>
                <w:shd w:val="clear" w:color="auto" w:fill="FFFFFF"/>
                <w:lang w:bidi="ar"/>
              </w:rPr>
              <w:t>6</w:t>
            </w:r>
            <w:r>
              <w:rPr>
                <w:rFonts w:hint="eastAsia"/>
                <w:sz w:val="24"/>
                <w:szCs w:val="24"/>
                <w:shd w:val="clear" w:color="auto" w:fill="FFFFFF"/>
                <w:lang w:bidi="ar"/>
              </w:rPr>
              <w:t>、投标人代表对开标过程和开标记录有无异议：投标人如有异议，须按要求在规定时间内通过系统提出，由监督人代表现场核查并及时处理；否则视为该投标人认可开标过程及开标记录；投标人未参加开标的，视为认可开标结果。</w:t>
            </w:r>
          </w:p>
          <w:p>
            <w:pPr>
              <w:spacing w:line="400" w:lineRule="exact"/>
              <w:jc w:val="left"/>
              <w:rPr>
                <w:sz w:val="24"/>
                <w:szCs w:val="24"/>
                <w:shd w:val="clear" w:color="auto" w:fill="FFFFFF"/>
                <w:lang w:bidi="ar"/>
              </w:rPr>
            </w:pPr>
            <w:r>
              <w:rPr>
                <w:sz w:val="24"/>
                <w:szCs w:val="24"/>
                <w:shd w:val="clear" w:color="auto" w:fill="FFFFFF"/>
                <w:lang w:bidi="ar"/>
              </w:rPr>
              <w:t>7</w:t>
            </w:r>
            <w:r>
              <w:rPr>
                <w:rFonts w:hint="eastAsia"/>
                <w:sz w:val="24"/>
                <w:szCs w:val="24"/>
                <w:shd w:val="clear" w:color="auto" w:fill="FFFFFF"/>
                <w:lang w:bidi="ar"/>
              </w:rPr>
              <w:t>、开标结束。</w:t>
            </w:r>
          </w:p>
          <w:p>
            <w:pPr>
              <w:spacing w:line="400" w:lineRule="exact"/>
              <w:jc w:val="left"/>
              <w:rPr>
                <w:b/>
                <w:bCs/>
                <w:sz w:val="24"/>
                <w:szCs w:val="24"/>
                <w:shd w:val="clear" w:color="auto" w:fill="FFFFFF"/>
                <w:lang w:bidi="ar"/>
              </w:rPr>
            </w:pPr>
            <w:r>
              <w:rPr>
                <w:rFonts w:hint="eastAsia"/>
                <w:b/>
                <w:bCs/>
                <w:sz w:val="24"/>
                <w:szCs w:val="24"/>
                <w:shd w:val="clear" w:color="auto" w:fill="FFFFFF"/>
                <w:lang w:bidi="ar"/>
              </w:rPr>
              <w:t>注：</w:t>
            </w:r>
            <w:r>
              <w:rPr>
                <w:b/>
                <w:bCs/>
                <w:sz w:val="24"/>
                <w:szCs w:val="24"/>
                <w:shd w:val="clear" w:color="auto" w:fill="FFFFFF"/>
                <w:lang w:bidi="ar"/>
              </w:rPr>
              <w:t>1.</w:t>
            </w:r>
            <w:r>
              <w:rPr>
                <w:rFonts w:hint="eastAsia"/>
                <w:b/>
                <w:bCs/>
                <w:sz w:val="24"/>
                <w:szCs w:val="24"/>
                <w:shd w:val="clear" w:color="auto" w:fill="FFFFFF"/>
                <w:lang w:bidi="ar"/>
              </w:rPr>
              <w:t>本项目采用电子化、无纸化进行招标，开标当日，投标供应商无需到开标现场参加开标会议，投标供应商应当在投标截止时间前，登录三门峡市公共资源交易中心电子交易平台，</w:t>
            </w:r>
            <w:r>
              <w:rPr>
                <w:rFonts w:hint="eastAsia"/>
                <w:b/>
                <w:sz w:val="24"/>
              </w:rPr>
              <w:t>点击【不见面开标大厅】按钮进入，在线准时参加开标活动并进行投标文件解密等。或者直接</w:t>
            </w:r>
            <w:r>
              <w:rPr>
                <w:rFonts w:hint="eastAsia"/>
                <w:b/>
                <w:bCs/>
                <w:sz w:val="24"/>
                <w:szCs w:val="24"/>
                <w:shd w:val="clear" w:color="auto" w:fill="FFFFFF"/>
                <w:lang w:bidi="ar"/>
              </w:rPr>
              <w:t>登陆不见面开标大厅选择登陆三门峡市公共资源电子招投标系统进行登陆（网址为</w:t>
            </w:r>
            <w:r>
              <w:rPr>
                <w:b/>
                <w:bCs/>
                <w:sz w:val="24"/>
                <w:szCs w:val="24"/>
                <w:shd w:val="clear" w:color="auto" w:fill="FFFFFF"/>
                <w:lang w:bidi="ar"/>
              </w:rPr>
              <w:t>http</w:t>
            </w:r>
            <w:r>
              <w:rPr>
                <w:rFonts w:hint="eastAsia"/>
                <w:b/>
                <w:bCs/>
                <w:sz w:val="24"/>
                <w:szCs w:val="24"/>
                <w:shd w:val="clear" w:color="auto" w:fill="FFFFFF"/>
                <w:lang w:bidi="ar"/>
              </w:rPr>
              <w:t>:</w:t>
            </w:r>
            <w:r>
              <w:rPr>
                <w:b/>
                <w:bCs/>
                <w:sz w:val="24"/>
                <w:szCs w:val="24"/>
                <w:shd w:val="clear" w:color="auto" w:fill="FFFFFF"/>
                <w:lang w:bidi="ar"/>
              </w:rPr>
              <w:t>//120.194.249.36</w:t>
            </w:r>
            <w:r>
              <w:rPr>
                <w:rFonts w:hint="eastAsia"/>
                <w:b/>
                <w:bCs/>
                <w:sz w:val="24"/>
                <w:szCs w:val="24"/>
                <w:shd w:val="clear" w:color="auto" w:fill="FFFFFF"/>
                <w:lang w:bidi="ar"/>
              </w:rPr>
              <w:t>:</w:t>
            </w:r>
            <w:r>
              <w:rPr>
                <w:b/>
                <w:bCs/>
                <w:sz w:val="24"/>
                <w:szCs w:val="24"/>
                <w:shd w:val="clear" w:color="auto" w:fill="FFFFFF"/>
                <w:lang w:bidi="ar"/>
              </w:rPr>
              <w:t>10094/BidOpening/bidopeninghallaction/hall/login</w:t>
            </w:r>
            <w:r>
              <w:rPr>
                <w:rFonts w:hint="eastAsia"/>
                <w:b/>
                <w:bCs/>
                <w:sz w:val="24"/>
                <w:szCs w:val="24"/>
                <w:shd w:val="clear" w:color="auto" w:fill="FFFFFF"/>
                <w:lang w:bidi="ar"/>
              </w:rPr>
              <w:t>）</w:t>
            </w:r>
            <w:r>
              <w:rPr>
                <w:b/>
                <w:bCs/>
                <w:sz w:val="24"/>
                <w:szCs w:val="24"/>
                <w:shd w:val="clear" w:color="auto" w:fill="FFFFFF"/>
                <w:lang w:bidi="ar"/>
              </w:rPr>
              <w:t>,</w:t>
            </w:r>
            <w:r>
              <w:rPr>
                <w:rFonts w:hint="eastAsia"/>
                <w:b/>
                <w:bCs/>
                <w:sz w:val="24"/>
                <w:szCs w:val="24"/>
                <w:shd w:val="clear" w:color="auto" w:fill="FFFFFF"/>
                <w:lang w:bidi="ar"/>
              </w:rPr>
              <w:t>在线准时参加开标活动并进行投标文件解密等。</w:t>
            </w:r>
          </w:p>
          <w:p>
            <w:pPr>
              <w:keepLines/>
              <w:spacing w:line="400" w:lineRule="exact"/>
              <w:jc w:val="left"/>
              <w:rPr>
                <w:rFonts w:ascii="宋体" w:hAnsi="宋体" w:cs="宋体"/>
                <w:kern w:val="0"/>
                <w:sz w:val="24"/>
                <w:szCs w:val="24"/>
              </w:rPr>
            </w:pPr>
            <w:r>
              <w:rPr>
                <w:b/>
                <w:bCs/>
                <w:sz w:val="24"/>
                <w:szCs w:val="24"/>
                <w:shd w:val="clear" w:color="auto" w:fill="FFFFFF"/>
                <w:lang w:bidi="ar"/>
              </w:rPr>
              <w:t>2.</w:t>
            </w:r>
            <w:r>
              <w:rPr>
                <w:rFonts w:hint="eastAsia"/>
                <w:b/>
                <w:bCs/>
                <w:sz w:val="24"/>
                <w:szCs w:val="24"/>
                <w:shd w:val="clear" w:color="auto" w:fill="FFFFFF"/>
                <w:lang w:bidi="ar"/>
              </w:rPr>
              <w:t>投标文件采用一次加密方式。开标时，由投标供应商使用</w:t>
            </w:r>
            <w:r>
              <w:rPr>
                <w:b/>
                <w:bCs/>
                <w:sz w:val="24"/>
                <w:szCs w:val="24"/>
                <w:shd w:val="clear" w:color="auto" w:fill="FFFFFF"/>
                <w:lang w:bidi="ar"/>
              </w:rPr>
              <w:t>CA</w:t>
            </w:r>
            <w:r>
              <w:rPr>
                <w:rFonts w:hint="eastAsia"/>
                <w:b/>
                <w:bCs/>
                <w:sz w:val="24"/>
                <w:szCs w:val="24"/>
                <w:shd w:val="clear" w:color="auto" w:fill="FFFFFF"/>
                <w:lang w:bidi="ar"/>
              </w:rPr>
              <w:t>证书，在规定时间内对其电子化投标文件进行解密。每位投标供应商的解密时间为开标时间起</w:t>
            </w:r>
            <w:r>
              <w:rPr>
                <w:b/>
                <w:bCs/>
                <w:sz w:val="24"/>
                <w:szCs w:val="24"/>
                <w:shd w:val="clear" w:color="auto" w:fill="FFFFFF"/>
                <w:lang w:bidi="ar"/>
              </w:rPr>
              <w:t>30</w:t>
            </w:r>
            <w:r>
              <w:rPr>
                <w:rFonts w:hint="eastAsia"/>
                <w:b/>
                <w:bCs/>
                <w:sz w:val="24"/>
                <w:szCs w:val="24"/>
                <w:shd w:val="clear" w:color="auto" w:fill="FFFFFF"/>
                <w:lang w:bidi="ar"/>
              </w:rPr>
              <w:t>分钟内，如在规定时间内未完成解密的，其投标文件不予开标、唱标。每位投标人的解密时间为开标时间起</w:t>
            </w:r>
            <w:r>
              <w:rPr>
                <w:b/>
                <w:bCs/>
                <w:sz w:val="24"/>
                <w:szCs w:val="24"/>
                <w:shd w:val="clear" w:color="auto" w:fill="FFFFFF"/>
                <w:lang w:bidi="ar"/>
              </w:rPr>
              <w:t>30</w:t>
            </w:r>
            <w:r>
              <w:rPr>
                <w:rFonts w:hint="eastAsia"/>
                <w:b/>
                <w:bCs/>
                <w:sz w:val="24"/>
                <w:szCs w:val="24"/>
                <w:shd w:val="clear" w:color="auto" w:fill="FFFFFF"/>
                <w:lang w:bidi="ar"/>
              </w:rPr>
              <w:t>分钟内完成。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keepLines/>
              <w:numPr>
                <w:ilvl w:val="0"/>
                <w:numId w:val="1"/>
              </w:numPr>
              <w:spacing w:line="360" w:lineRule="auto"/>
              <w:jc w:val="center"/>
              <w:rPr>
                <w:rFonts w:ascii="宋体" w:hAns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keepLines/>
              <w:spacing w:line="360" w:lineRule="auto"/>
              <w:jc w:val="center"/>
              <w:rPr>
                <w:rFonts w:ascii="宋体" w:hAnsi="宋体" w:cs="宋体"/>
                <w:kern w:val="0"/>
                <w:sz w:val="24"/>
                <w:szCs w:val="24"/>
              </w:rPr>
            </w:pPr>
            <w:r>
              <w:rPr>
                <w:rFonts w:hint="eastAsia" w:ascii="宋体" w:hAnsi="宋体" w:cs="宋体"/>
                <w:kern w:val="0"/>
                <w:sz w:val="24"/>
                <w:szCs w:val="24"/>
              </w:rPr>
              <w:t>偏离</w:t>
            </w:r>
          </w:p>
        </w:tc>
        <w:tc>
          <w:tcPr>
            <w:tcW w:w="6803" w:type="dxa"/>
            <w:tcBorders>
              <w:top w:val="single" w:color="auto" w:sz="4" w:space="0"/>
              <w:left w:val="nil"/>
              <w:bottom w:val="single" w:color="auto" w:sz="4" w:space="0"/>
              <w:right w:val="single" w:color="auto" w:sz="4" w:space="0"/>
            </w:tcBorders>
            <w:vAlign w:val="center"/>
          </w:tcPr>
          <w:p>
            <w:pPr>
              <w:keepLines/>
              <w:spacing w:line="360" w:lineRule="auto"/>
              <w:jc w:val="left"/>
              <w:rPr>
                <w:rFonts w:ascii="宋体" w:hAnsi="宋体" w:cs="宋体"/>
                <w:kern w:val="0"/>
                <w:sz w:val="24"/>
                <w:szCs w:val="24"/>
              </w:rPr>
            </w:pPr>
            <w:r>
              <w:rPr>
                <w:rFonts w:hint="eastAsia" w:ascii="宋体" w:hAnsi="宋体" w:cs="宋体"/>
                <w:kern w:val="0"/>
                <w:sz w:val="24"/>
                <w:szCs w:val="24"/>
              </w:rPr>
              <w:t>允许（重大负偏离除外）。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trPr>
        <w:tc>
          <w:tcPr>
            <w:tcW w:w="993" w:type="dxa"/>
            <w:tcBorders>
              <w:top w:val="single" w:color="auto" w:sz="4" w:space="0"/>
              <w:left w:val="single" w:color="auto" w:sz="4" w:space="0"/>
              <w:bottom w:val="single" w:color="auto" w:sz="4" w:space="0"/>
              <w:right w:val="single" w:color="auto" w:sz="4" w:space="0"/>
            </w:tcBorders>
            <w:vAlign w:val="center"/>
          </w:tcPr>
          <w:p>
            <w:pPr>
              <w:keepLines/>
              <w:numPr>
                <w:ilvl w:val="0"/>
                <w:numId w:val="1"/>
              </w:numPr>
              <w:spacing w:line="360" w:lineRule="auto"/>
              <w:jc w:val="center"/>
              <w:rPr>
                <w:rFonts w:ascii="宋体" w:hAns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keepLines/>
              <w:spacing w:line="360" w:lineRule="auto"/>
              <w:jc w:val="center"/>
              <w:rPr>
                <w:rFonts w:ascii="宋体" w:hAnsi="宋体" w:cs="宋体"/>
                <w:kern w:val="0"/>
                <w:sz w:val="24"/>
                <w:szCs w:val="24"/>
              </w:rPr>
            </w:pPr>
            <w:r>
              <w:rPr>
                <w:rFonts w:hint="eastAsia" w:ascii="宋体" w:hAnsi="宋体" w:cs="宋体"/>
                <w:kern w:val="0"/>
                <w:sz w:val="24"/>
                <w:szCs w:val="24"/>
              </w:rPr>
              <w:t>评标委员会</w:t>
            </w:r>
          </w:p>
          <w:p>
            <w:pPr>
              <w:keepLines/>
              <w:spacing w:line="360" w:lineRule="auto"/>
              <w:jc w:val="center"/>
              <w:rPr>
                <w:rFonts w:ascii="宋体" w:hAnsi="宋体" w:cs="宋体"/>
                <w:kern w:val="0"/>
                <w:sz w:val="24"/>
                <w:szCs w:val="24"/>
              </w:rPr>
            </w:pPr>
            <w:r>
              <w:rPr>
                <w:rFonts w:hint="eastAsia" w:ascii="宋体" w:hAnsi="宋体" w:cs="宋体"/>
                <w:kern w:val="0"/>
                <w:sz w:val="24"/>
                <w:szCs w:val="24"/>
              </w:rPr>
              <w:t>的组建</w:t>
            </w:r>
          </w:p>
        </w:tc>
        <w:tc>
          <w:tcPr>
            <w:tcW w:w="6803" w:type="dxa"/>
            <w:tcBorders>
              <w:top w:val="single" w:color="auto" w:sz="4" w:space="0"/>
              <w:left w:val="nil"/>
              <w:bottom w:val="single" w:color="auto" w:sz="4" w:space="0"/>
              <w:right w:val="single" w:color="auto" w:sz="4" w:space="0"/>
            </w:tcBorders>
            <w:vAlign w:val="center"/>
          </w:tcPr>
          <w:p>
            <w:pPr>
              <w:spacing w:line="360" w:lineRule="auto"/>
              <w:rPr>
                <w:rFonts w:ascii="宋体" w:hAnsi="宋体" w:cs="宋体"/>
                <w:sz w:val="24"/>
                <w:szCs w:val="24"/>
              </w:rPr>
            </w:pPr>
            <w:r>
              <w:rPr>
                <w:rFonts w:hint="eastAsia" w:ascii="宋体" w:hAnsi="宋体" w:cs="宋体"/>
                <w:sz w:val="24"/>
                <w:szCs w:val="24"/>
              </w:rPr>
              <w:t>评标委员会构成：7人，其中采购人代表2人，专家5人；</w:t>
            </w:r>
          </w:p>
          <w:p>
            <w:pPr>
              <w:spacing w:line="360" w:lineRule="auto"/>
              <w:rPr>
                <w:rFonts w:ascii="宋体" w:hAnsi="宋体" w:cs="宋体"/>
                <w:sz w:val="24"/>
                <w:szCs w:val="24"/>
              </w:rPr>
            </w:pPr>
            <w:r>
              <w:rPr>
                <w:rFonts w:hint="eastAsia" w:ascii="宋体" w:hAnsi="宋体" w:cs="宋体"/>
                <w:sz w:val="24"/>
                <w:szCs w:val="24"/>
              </w:rPr>
              <w:t>评标专家确定方式：从河南省政府采购评审专家库中随机抽取。</w:t>
            </w:r>
          </w:p>
          <w:p>
            <w:pPr>
              <w:spacing w:line="360" w:lineRule="auto"/>
              <w:rPr>
                <w:rFonts w:ascii="宋体" w:hAnsi="宋体" w:cs="宋体"/>
                <w:sz w:val="24"/>
                <w:szCs w:val="24"/>
              </w:rPr>
            </w:pPr>
            <w:r>
              <w:rPr>
                <w:rFonts w:hint="eastAsia" w:ascii="宋体" w:hAnsi="宋体" w:cs="宋体"/>
                <w:sz w:val="24"/>
              </w:rPr>
              <w:t>根据省政府关于评标专家的有关管理规定，业主评委无评标劳务费。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993" w:type="dxa"/>
            <w:tcBorders>
              <w:top w:val="single" w:color="auto" w:sz="4" w:space="0"/>
              <w:left w:val="single" w:color="auto" w:sz="4" w:space="0"/>
              <w:bottom w:val="single" w:color="auto" w:sz="4" w:space="0"/>
              <w:right w:val="single" w:color="auto" w:sz="4" w:space="0"/>
            </w:tcBorders>
            <w:vAlign w:val="center"/>
          </w:tcPr>
          <w:p>
            <w:pPr>
              <w:keepLines/>
              <w:numPr>
                <w:ilvl w:val="0"/>
                <w:numId w:val="1"/>
              </w:numPr>
              <w:spacing w:line="360" w:lineRule="auto"/>
              <w:jc w:val="center"/>
              <w:rPr>
                <w:rFonts w:ascii="宋体" w:hAns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keepLines/>
              <w:spacing w:line="360" w:lineRule="auto"/>
              <w:jc w:val="center"/>
              <w:rPr>
                <w:rFonts w:ascii="宋体" w:hAnsi="宋体" w:cs="宋体"/>
                <w:kern w:val="0"/>
                <w:sz w:val="24"/>
                <w:szCs w:val="24"/>
              </w:rPr>
            </w:pPr>
            <w:r>
              <w:rPr>
                <w:rFonts w:hint="eastAsia" w:ascii="宋体" w:hAnsi="宋体" w:cs="宋体"/>
                <w:kern w:val="0"/>
                <w:sz w:val="24"/>
                <w:szCs w:val="24"/>
              </w:rPr>
              <w:t>是否授权评标委员会确定中标供应商</w:t>
            </w:r>
          </w:p>
        </w:tc>
        <w:tc>
          <w:tcPr>
            <w:tcW w:w="6803" w:type="dxa"/>
            <w:tcBorders>
              <w:top w:val="single" w:color="auto" w:sz="4" w:space="0"/>
              <w:left w:val="nil"/>
              <w:bottom w:val="single" w:color="auto" w:sz="4" w:space="0"/>
              <w:right w:val="single" w:color="auto" w:sz="4" w:space="0"/>
            </w:tcBorders>
            <w:vAlign w:val="center"/>
          </w:tcPr>
          <w:p>
            <w:pPr>
              <w:spacing w:line="360" w:lineRule="auto"/>
              <w:rPr>
                <w:rFonts w:ascii="宋体" w:hAnsi="宋体" w:cs="宋体"/>
                <w:sz w:val="24"/>
                <w:szCs w:val="24"/>
              </w:rPr>
            </w:pPr>
            <w:r>
              <w:rPr>
                <w:rFonts w:hint="eastAsia" w:ascii="宋体" w:hAnsi="宋体" w:cs="宋体"/>
                <w:sz w:val="24"/>
                <w:szCs w:val="24"/>
              </w:rPr>
              <w:t>否，评标委员会原则上推荐3名中标候选人并排序；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993" w:type="dxa"/>
            <w:tcBorders>
              <w:top w:val="single" w:color="auto" w:sz="4" w:space="0"/>
              <w:left w:val="single" w:color="auto" w:sz="4" w:space="0"/>
              <w:bottom w:val="single" w:color="auto" w:sz="4" w:space="0"/>
              <w:right w:val="single" w:color="auto" w:sz="4" w:space="0"/>
            </w:tcBorders>
            <w:vAlign w:val="center"/>
          </w:tcPr>
          <w:p>
            <w:pPr>
              <w:keepLines/>
              <w:numPr>
                <w:ilvl w:val="0"/>
                <w:numId w:val="1"/>
              </w:numPr>
              <w:spacing w:line="360" w:lineRule="auto"/>
              <w:jc w:val="center"/>
              <w:rPr>
                <w:rFonts w:ascii="宋体" w:hAns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autoSpaceDE w:val="0"/>
              <w:autoSpaceDN w:val="0"/>
              <w:adjustRightInd w:val="0"/>
              <w:spacing w:line="360" w:lineRule="auto"/>
              <w:jc w:val="center"/>
              <w:rPr>
                <w:rFonts w:ascii="宋体" w:hAnsi="宋体" w:cs="宋体"/>
                <w:kern w:val="0"/>
                <w:sz w:val="24"/>
                <w:szCs w:val="24"/>
              </w:rPr>
            </w:pPr>
            <w:r>
              <w:rPr>
                <w:rFonts w:hint="eastAsia" w:ascii="宋体" w:hAnsi="宋体" w:cs="宋体"/>
                <w:sz w:val="24"/>
              </w:rPr>
              <w:t>中标公示媒介及期限</w:t>
            </w:r>
          </w:p>
        </w:tc>
        <w:tc>
          <w:tcPr>
            <w:tcW w:w="6803" w:type="dxa"/>
            <w:tcBorders>
              <w:top w:val="single" w:color="auto" w:sz="4" w:space="0"/>
              <w:left w:val="nil"/>
              <w:bottom w:val="single" w:color="auto" w:sz="4" w:space="0"/>
              <w:right w:val="single" w:color="auto" w:sz="4" w:space="0"/>
            </w:tcBorders>
            <w:vAlign w:val="center"/>
          </w:tcPr>
          <w:p>
            <w:pPr>
              <w:autoSpaceDE w:val="0"/>
              <w:autoSpaceDN w:val="0"/>
              <w:adjustRightInd w:val="0"/>
              <w:spacing w:line="360" w:lineRule="auto"/>
              <w:rPr>
                <w:rFonts w:ascii="宋体" w:hAnsi="宋体" w:cs="宋体"/>
                <w:sz w:val="24"/>
              </w:rPr>
            </w:pPr>
            <w:r>
              <w:rPr>
                <w:rFonts w:hint="eastAsia" w:ascii="宋体" w:hAnsi="宋体" w:cs="宋体"/>
                <w:sz w:val="24"/>
              </w:rPr>
              <w:t>公示媒介：同招标公告发布媒介</w:t>
            </w:r>
          </w:p>
          <w:p>
            <w:pPr>
              <w:autoSpaceDE w:val="0"/>
              <w:autoSpaceDN w:val="0"/>
              <w:adjustRightInd w:val="0"/>
              <w:spacing w:line="360" w:lineRule="auto"/>
              <w:rPr>
                <w:rFonts w:ascii="宋体" w:hAnsi="宋体" w:cs="宋体"/>
                <w:sz w:val="24"/>
                <w:szCs w:val="24"/>
              </w:rPr>
            </w:pPr>
            <w:r>
              <w:rPr>
                <w:rFonts w:hint="eastAsia" w:ascii="宋体" w:hAnsi="宋体" w:cs="宋体"/>
                <w:sz w:val="24"/>
              </w:rPr>
              <w:t>公示期限：</w:t>
            </w:r>
            <w:r>
              <w:rPr>
                <w:rFonts w:hint="eastAsia" w:ascii="宋体" w:hAnsi="宋体" w:cs="宋体"/>
                <w:sz w:val="24"/>
                <w:u w:val="single"/>
              </w:rPr>
              <w:t xml:space="preserve"> 1  </w:t>
            </w:r>
            <w:r>
              <w:rPr>
                <w:rFonts w:hint="eastAsia" w:ascii="宋体" w:hAnsi="宋体" w:cs="宋体"/>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keepLines/>
              <w:numPr>
                <w:ilvl w:val="0"/>
                <w:numId w:val="1"/>
              </w:numPr>
              <w:spacing w:line="360" w:lineRule="auto"/>
              <w:jc w:val="center"/>
              <w:rPr>
                <w:rFonts w:ascii="宋体" w:hAns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keepLines/>
              <w:spacing w:line="360" w:lineRule="auto"/>
              <w:jc w:val="center"/>
              <w:rPr>
                <w:rFonts w:ascii="宋体" w:hAnsi="宋体" w:cs="宋体"/>
                <w:kern w:val="0"/>
                <w:sz w:val="24"/>
                <w:szCs w:val="24"/>
              </w:rPr>
            </w:pPr>
            <w:r>
              <w:rPr>
                <w:rFonts w:hint="eastAsia" w:ascii="宋体" w:hAnsi="宋体" w:cs="宋体"/>
                <w:kern w:val="0"/>
                <w:sz w:val="24"/>
                <w:szCs w:val="24"/>
              </w:rPr>
              <w:t>履约保证金</w:t>
            </w:r>
          </w:p>
        </w:tc>
        <w:tc>
          <w:tcPr>
            <w:tcW w:w="6803" w:type="dxa"/>
            <w:tcBorders>
              <w:top w:val="single" w:color="auto" w:sz="4" w:space="0"/>
              <w:left w:val="nil"/>
              <w:bottom w:val="single" w:color="auto" w:sz="4" w:space="0"/>
              <w:right w:val="single" w:color="auto" w:sz="4" w:space="0"/>
            </w:tcBorders>
            <w:vAlign w:val="center"/>
          </w:tcPr>
          <w:p>
            <w:pPr>
              <w:keepLines/>
              <w:spacing w:line="360" w:lineRule="auto"/>
              <w:rPr>
                <w:rFonts w:ascii="宋体" w:hAnsi="宋体" w:cs="宋体"/>
                <w:sz w:val="24"/>
                <w:szCs w:val="24"/>
              </w:rPr>
            </w:pPr>
            <w:r>
              <w:rPr>
                <w:rFonts w:hint="eastAsia" w:ascii="宋体" w:hAnsi="宋体" w:cs="宋体"/>
                <w:sz w:val="24"/>
                <w:szCs w:val="24"/>
              </w:rPr>
              <w:t>本项目不收取履约保证金。如供应商违反政府采购合同约定给采购人造成损失的,采购人按照合同约定,要求供应商承担赔偿责任。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993" w:type="dxa"/>
            <w:tcBorders>
              <w:top w:val="single" w:color="auto" w:sz="4" w:space="0"/>
              <w:left w:val="single" w:color="auto" w:sz="4" w:space="0"/>
              <w:bottom w:val="single" w:color="auto" w:sz="4" w:space="0"/>
              <w:right w:val="single" w:color="auto" w:sz="4" w:space="0"/>
            </w:tcBorders>
            <w:vAlign w:val="center"/>
          </w:tcPr>
          <w:p>
            <w:pPr>
              <w:keepLines/>
              <w:numPr>
                <w:ilvl w:val="0"/>
                <w:numId w:val="1"/>
              </w:numPr>
              <w:spacing w:line="360" w:lineRule="auto"/>
              <w:jc w:val="center"/>
              <w:rPr>
                <w:rFonts w:ascii="宋体" w:hAns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keepLines/>
              <w:spacing w:line="360" w:lineRule="auto"/>
              <w:jc w:val="center"/>
              <w:rPr>
                <w:rFonts w:ascii="宋体" w:hAnsi="宋体" w:cs="宋体"/>
                <w:sz w:val="24"/>
                <w:szCs w:val="24"/>
              </w:rPr>
            </w:pPr>
            <w:r>
              <w:rPr>
                <w:rFonts w:hint="eastAsia" w:ascii="宋体" w:hAnsi="宋体" w:cs="宋体"/>
                <w:sz w:val="24"/>
                <w:szCs w:val="24"/>
              </w:rPr>
              <w:t>无效标条件</w:t>
            </w:r>
          </w:p>
        </w:tc>
        <w:tc>
          <w:tcPr>
            <w:tcW w:w="6803" w:type="dxa"/>
            <w:tcBorders>
              <w:top w:val="single" w:color="auto" w:sz="4" w:space="0"/>
              <w:left w:val="nil"/>
              <w:bottom w:val="single" w:color="auto" w:sz="4" w:space="0"/>
              <w:right w:val="single" w:color="auto" w:sz="4" w:space="0"/>
            </w:tcBorders>
            <w:vAlign w:val="center"/>
          </w:tcPr>
          <w:p>
            <w:pPr>
              <w:spacing w:line="360" w:lineRule="auto"/>
              <w:rPr>
                <w:rFonts w:ascii="宋体" w:hAnsi="宋体" w:cs="宋体"/>
                <w:sz w:val="24"/>
                <w:szCs w:val="24"/>
              </w:rPr>
            </w:pPr>
            <w:r>
              <w:rPr>
                <w:rFonts w:hint="eastAsia" w:ascii="宋体" w:hAnsi="宋体" w:cs="宋体"/>
                <w:sz w:val="24"/>
                <w:szCs w:val="24"/>
              </w:rPr>
              <w:t>1.电子化投标文件附有采购人不能接受的条件的；</w:t>
            </w:r>
          </w:p>
          <w:p>
            <w:pPr>
              <w:spacing w:line="360" w:lineRule="auto"/>
              <w:rPr>
                <w:rFonts w:ascii="宋体" w:hAnsi="宋体" w:cs="宋体"/>
                <w:sz w:val="24"/>
                <w:szCs w:val="24"/>
              </w:rPr>
            </w:pPr>
            <w:r>
              <w:rPr>
                <w:rFonts w:hint="eastAsia" w:ascii="宋体" w:hAnsi="宋体" w:cs="宋体"/>
                <w:sz w:val="24"/>
                <w:szCs w:val="24"/>
              </w:rPr>
              <w:t>2.投标报价高于招标文件中投标最高限价的；</w:t>
            </w:r>
          </w:p>
          <w:p>
            <w:pPr>
              <w:spacing w:line="360" w:lineRule="auto"/>
              <w:rPr>
                <w:rFonts w:ascii="宋体" w:hAnsi="宋体" w:cs="宋体"/>
                <w:sz w:val="24"/>
                <w:szCs w:val="24"/>
              </w:rPr>
            </w:pPr>
            <w:r>
              <w:rPr>
                <w:rFonts w:hint="eastAsia" w:ascii="宋体" w:hAnsi="宋体" w:cs="宋体"/>
                <w:sz w:val="24"/>
                <w:szCs w:val="24"/>
              </w:rPr>
              <w:t>3.以他人的名义投标、串通投标、以行贿手段谋取中标或者以其他弄虚作假方式投标的；</w:t>
            </w:r>
          </w:p>
          <w:p>
            <w:pPr>
              <w:spacing w:line="360" w:lineRule="auto"/>
              <w:rPr>
                <w:rFonts w:ascii="宋体" w:hAnsi="宋体" w:cs="宋体"/>
                <w:sz w:val="24"/>
                <w:szCs w:val="24"/>
              </w:rPr>
            </w:pPr>
            <w:r>
              <w:rPr>
                <w:rFonts w:hint="eastAsia" w:ascii="宋体" w:hAnsi="宋体" w:cs="宋体"/>
                <w:sz w:val="24"/>
                <w:szCs w:val="24"/>
              </w:rPr>
              <w:t>4.采取不正当手段谋取中标的。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993" w:type="dxa"/>
            <w:tcBorders>
              <w:top w:val="single" w:color="auto" w:sz="4" w:space="0"/>
              <w:left w:val="single" w:color="auto" w:sz="4" w:space="0"/>
              <w:bottom w:val="single" w:color="auto" w:sz="4" w:space="0"/>
              <w:right w:val="single" w:color="auto" w:sz="4" w:space="0"/>
            </w:tcBorders>
            <w:vAlign w:val="center"/>
          </w:tcPr>
          <w:p>
            <w:pPr>
              <w:keepLines/>
              <w:numPr>
                <w:ilvl w:val="0"/>
                <w:numId w:val="1"/>
              </w:numPr>
              <w:spacing w:line="360" w:lineRule="auto"/>
              <w:jc w:val="center"/>
              <w:rPr>
                <w:rFonts w:ascii="宋体" w:hAns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keepLines/>
              <w:spacing w:line="360" w:lineRule="auto"/>
              <w:jc w:val="center"/>
              <w:rPr>
                <w:rFonts w:ascii="宋体" w:hAnsi="宋体" w:cs="宋体"/>
                <w:sz w:val="24"/>
                <w:szCs w:val="24"/>
              </w:rPr>
            </w:pPr>
            <w:r>
              <w:rPr>
                <w:rFonts w:hint="eastAsia" w:ascii="宋体" w:hAnsi="宋体" w:cs="宋体"/>
                <w:kern w:val="0"/>
                <w:sz w:val="24"/>
                <w:szCs w:val="24"/>
              </w:rPr>
              <w:t>投标最高限价</w:t>
            </w:r>
          </w:p>
        </w:tc>
        <w:tc>
          <w:tcPr>
            <w:tcW w:w="6803" w:type="dxa"/>
            <w:tcBorders>
              <w:top w:val="single" w:color="auto" w:sz="4" w:space="0"/>
              <w:left w:val="nil"/>
              <w:bottom w:val="single" w:color="auto" w:sz="4" w:space="0"/>
              <w:right w:val="single" w:color="auto" w:sz="4" w:space="0"/>
            </w:tcBorders>
            <w:vAlign w:val="center"/>
          </w:tcPr>
          <w:p>
            <w:pPr>
              <w:spacing w:line="360" w:lineRule="auto"/>
              <w:rPr>
                <w:rFonts w:ascii="宋体" w:hAnsi="宋体" w:cs="宋体"/>
                <w:sz w:val="24"/>
                <w:szCs w:val="24"/>
              </w:rPr>
            </w:pPr>
            <w:r>
              <w:rPr>
                <w:rFonts w:hint="eastAsia" w:ascii="宋体" w:hAnsi="宋体" w:cs="宋体"/>
                <w:sz w:val="24"/>
                <w:szCs w:val="24"/>
              </w:rPr>
              <w:t>本项目投标最高限价：</w:t>
            </w:r>
            <w:r>
              <w:rPr>
                <w:rFonts w:hint="eastAsia" w:ascii="宋体" w:hAnsi="宋体" w:cs="宋体"/>
                <w:sz w:val="24"/>
                <w:szCs w:val="24"/>
                <w:lang w:eastAsia="zh-CN"/>
              </w:rPr>
              <w:t>1057.553293</w:t>
            </w:r>
            <w:r>
              <w:rPr>
                <w:rFonts w:hint="eastAsia" w:ascii="宋体" w:hAnsi="宋体" w:cs="宋体"/>
                <w:sz w:val="24"/>
                <w:szCs w:val="24"/>
              </w:rPr>
              <w:t>万元；</w:t>
            </w:r>
          </w:p>
          <w:p>
            <w:pPr>
              <w:spacing w:line="360" w:lineRule="auto"/>
              <w:rPr>
                <w:rFonts w:ascii="宋体" w:hAnsi="宋体" w:cs="宋体"/>
                <w:sz w:val="24"/>
                <w:szCs w:val="24"/>
              </w:rPr>
            </w:pPr>
            <w:r>
              <w:rPr>
                <w:rFonts w:hint="eastAsia" w:ascii="宋体" w:hAnsi="宋体" w:cs="宋体"/>
                <w:sz w:val="24"/>
                <w:szCs w:val="24"/>
              </w:rPr>
              <w:t>凡投标供应商投标报价超出“投标最高限价”的，该投标供应商的电子化投标文件应作无效标处理。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keepLines/>
              <w:numPr>
                <w:ilvl w:val="0"/>
                <w:numId w:val="1"/>
              </w:numPr>
              <w:spacing w:line="360" w:lineRule="auto"/>
              <w:jc w:val="center"/>
              <w:rPr>
                <w:rFonts w:ascii="宋体" w:hAnsi="宋体" w:cs="宋体"/>
                <w:kern w:val="0"/>
                <w:sz w:val="24"/>
                <w:szCs w:val="24"/>
              </w:rPr>
            </w:pPr>
          </w:p>
        </w:tc>
        <w:tc>
          <w:tcPr>
            <w:tcW w:w="1843" w:type="dxa"/>
            <w:tcBorders>
              <w:top w:val="single" w:color="auto" w:sz="4" w:space="0"/>
              <w:left w:val="single" w:color="auto" w:sz="4" w:space="0"/>
              <w:bottom w:val="single" w:color="auto" w:sz="4" w:space="0"/>
              <w:right w:val="single" w:color="auto" w:sz="4" w:space="0"/>
            </w:tcBorders>
            <w:vAlign w:val="center"/>
          </w:tcPr>
          <w:p>
            <w:pPr>
              <w:keepLines/>
              <w:spacing w:line="360" w:lineRule="auto"/>
              <w:jc w:val="center"/>
              <w:rPr>
                <w:rFonts w:ascii="宋体" w:hAnsi="宋体" w:cs="宋体"/>
                <w:kern w:val="0"/>
                <w:sz w:val="24"/>
                <w:szCs w:val="24"/>
              </w:rPr>
            </w:pPr>
            <w:r>
              <w:rPr>
                <w:rFonts w:hint="eastAsia" w:ascii="宋体" w:hAnsi="宋体" w:cs="宋体"/>
                <w:kern w:val="0"/>
                <w:sz w:val="24"/>
                <w:szCs w:val="24"/>
              </w:rPr>
              <w:t>报价及费用</w:t>
            </w:r>
          </w:p>
        </w:tc>
        <w:tc>
          <w:tcPr>
            <w:tcW w:w="6803" w:type="dxa"/>
            <w:tcBorders>
              <w:top w:val="single" w:color="auto" w:sz="4" w:space="0"/>
              <w:left w:val="single" w:color="auto" w:sz="4" w:space="0"/>
              <w:bottom w:val="single" w:color="auto" w:sz="4" w:space="0"/>
              <w:right w:val="single" w:color="auto" w:sz="4" w:space="0"/>
            </w:tcBorders>
            <w:vAlign w:val="center"/>
          </w:tcPr>
          <w:p>
            <w:pPr>
              <w:keepLines/>
              <w:spacing w:line="360" w:lineRule="auto"/>
            </w:pPr>
            <w:r>
              <w:rPr>
                <w:rFonts w:hint="eastAsia" w:ascii="宋体" w:hAnsi="宋体" w:cs="宋体"/>
                <w:sz w:val="24"/>
                <w:szCs w:val="24"/>
              </w:rPr>
              <w:t>本项目应以人民币报价，供应商应就该项目完整投标（报价、服务、税费、售后服务等综合费用），采购人不另外支付其他任何费用；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993" w:type="dxa"/>
            <w:tcBorders>
              <w:top w:val="single" w:color="auto" w:sz="4" w:space="0"/>
              <w:left w:val="single" w:color="auto" w:sz="4" w:space="0"/>
              <w:bottom w:val="single" w:color="auto" w:sz="4" w:space="0"/>
              <w:right w:val="single" w:color="auto" w:sz="4" w:space="0"/>
            </w:tcBorders>
            <w:vAlign w:val="center"/>
          </w:tcPr>
          <w:p>
            <w:pPr>
              <w:keepLines/>
              <w:numPr>
                <w:ilvl w:val="0"/>
                <w:numId w:val="1"/>
              </w:numPr>
              <w:spacing w:line="360" w:lineRule="auto"/>
              <w:jc w:val="center"/>
              <w:rPr>
                <w:rFonts w:ascii="宋体" w:hAns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keepLines/>
              <w:spacing w:line="360" w:lineRule="auto"/>
              <w:jc w:val="center"/>
              <w:rPr>
                <w:rFonts w:ascii="宋体" w:hAnsi="宋体" w:cs="宋体"/>
                <w:kern w:val="0"/>
                <w:sz w:val="24"/>
                <w:szCs w:val="24"/>
              </w:rPr>
            </w:pPr>
            <w:r>
              <w:rPr>
                <w:rFonts w:hint="eastAsia" w:ascii="宋体" w:hAnsi="宋体" w:cs="宋体"/>
                <w:kern w:val="0"/>
                <w:sz w:val="24"/>
                <w:szCs w:val="24"/>
              </w:rPr>
              <w:t>质疑和投诉</w:t>
            </w:r>
          </w:p>
        </w:tc>
        <w:tc>
          <w:tcPr>
            <w:tcW w:w="6803" w:type="dxa"/>
            <w:tcBorders>
              <w:top w:val="single" w:color="auto" w:sz="4" w:space="0"/>
              <w:left w:val="nil"/>
              <w:bottom w:val="single" w:color="auto" w:sz="4" w:space="0"/>
              <w:right w:val="single" w:color="auto" w:sz="4" w:space="0"/>
            </w:tcBorders>
            <w:vAlign w:val="center"/>
          </w:tcPr>
          <w:p>
            <w:pPr>
              <w:keepLines/>
              <w:spacing w:line="360" w:lineRule="auto"/>
              <w:rPr>
                <w:rFonts w:ascii="宋体" w:hAnsi="宋体" w:cs="宋体"/>
                <w:sz w:val="24"/>
                <w:szCs w:val="24"/>
              </w:rPr>
            </w:pPr>
            <w:r>
              <w:rPr>
                <w:rFonts w:hint="eastAsia" w:ascii="宋体" w:hAnsi="宋体" w:cs="宋体"/>
                <w:sz w:val="24"/>
                <w:szCs w:val="24"/>
              </w:rPr>
              <w:t>1.供应商认为采购文件、采购过程和中标或者成交结果使自己的权益受到损害的，可以在知道或者应知其权益受到损害之日起7个工作日内，以书面形式向采购人、采购代理机构提出质疑。</w:t>
            </w:r>
          </w:p>
          <w:p>
            <w:pPr>
              <w:keepLines/>
              <w:spacing w:line="360" w:lineRule="auto"/>
              <w:rPr>
                <w:rFonts w:ascii="宋体" w:hAnsi="宋体" w:cs="宋体"/>
                <w:sz w:val="24"/>
                <w:szCs w:val="24"/>
              </w:rPr>
            </w:pPr>
            <w:r>
              <w:rPr>
                <w:rFonts w:hint="eastAsia" w:ascii="宋体" w:hAnsi="宋体" w:cs="宋体"/>
                <w:sz w:val="24"/>
                <w:szCs w:val="24"/>
              </w:rPr>
              <w:t>2.提出质疑的供应商应按照财政部门制定的《政府采购质疑函范本》格式（详见中国政府采购网）和《政府采购质疑和投诉办法》的要求，在法定质疑期内以书面形式提出质疑，针对同一采购程序环节的质疑应一次性提出。</w:t>
            </w:r>
          </w:p>
          <w:p>
            <w:pPr>
              <w:keepLines/>
              <w:spacing w:line="360" w:lineRule="auto"/>
              <w:rPr>
                <w:rFonts w:ascii="宋体" w:hAnsi="宋体" w:cs="宋体"/>
                <w:sz w:val="24"/>
                <w:szCs w:val="24"/>
              </w:rPr>
            </w:pPr>
            <w:r>
              <w:rPr>
                <w:rFonts w:hint="eastAsia" w:ascii="宋体" w:hAnsi="宋体" w:cs="宋体"/>
                <w:sz w:val="24"/>
                <w:szCs w:val="24"/>
              </w:rPr>
              <w:t>超出法定质疑期的、重复提出的、分次提出的或内容、形式不符合《政府采购质疑和投诉办法》的，提出质疑的供应商将依法承担不利后果。</w:t>
            </w:r>
          </w:p>
          <w:p>
            <w:pPr>
              <w:keepLines/>
              <w:spacing w:line="360" w:lineRule="auto"/>
              <w:rPr>
                <w:rFonts w:ascii="宋体" w:hAnsi="宋体" w:cs="宋体"/>
                <w:sz w:val="24"/>
                <w:szCs w:val="24"/>
              </w:rPr>
            </w:pPr>
            <w:r>
              <w:rPr>
                <w:rFonts w:hint="eastAsia" w:ascii="宋体" w:hAnsi="宋体" w:cs="宋体"/>
                <w:sz w:val="24"/>
                <w:szCs w:val="24"/>
              </w:rPr>
              <w:t>3.质疑函接收部门、联系电话和通讯地址,见供应商须知前附表</w:t>
            </w:r>
          </w:p>
          <w:p>
            <w:pPr>
              <w:keepLines/>
              <w:spacing w:line="360" w:lineRule="auto"/>
              <w:rPr>
                <w:rFonts w:ascii="宋体" w:hAnsi="宋体" w:cs="宋体"/>
                <w:sz w:val="24"/>
                <w:szCs w:val="24"/>
              </w:rPr>
            </w:pPr>
            <w:r>
              <w:rPr>
                <w:rFonts w:hint="eastAsia" w:ascii="宋体" w:hAnsi="宋体" w:cs="宋体"/>
                <w:sz w:val="24"/>
                <w:szCs w:val="24"/>
              </w:rPr>
              <w:t>4.质疑供应商对采购人、采购代理机构的答复不满意，或者采购人、采购代理机构未在规定时间内作出答复的，可以在答复期满后15个工作日内向财政部门提起投诉。</w:t>
            </w:r>
          </w:p>
          <w:p>
            <w:pPr>
              <w:keepLines/>
              <w:spacing w:line="360" w:lineRule="auto"/>
              <w:rPr>
                <w:rFonts w:ascii="宋体" w:hAnsi="宋体" w:cs="宋体"/>
                <w:sz w:val="24"/>
                <w:szCs w:val="24"/>
              </w:rPr>
            </w:pPr>
            <w:r>
              <w:rPr>
                <w:rFonts w:hint="eastAsia" w:ascii="宋体" w:hAnsi="宋体" w:cs="宋体"/>
                <w:sz w:val="24"/>
                <w:szCs w:val="24"/>
              </w:rPr>
              <w:t>5.投诉人投诉时,应当提交投诉书和必要的证明材料，并按照被投诉采购人、采购代理机构（以下简称被投诉人）和与投诉事项有关的供应商数量提供投诉书的副本。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keepLines/>
              <w:numPr>
                <w:ilvl w:val="0"/>
                <w:numId w:val="1"/>
              </w:numPr>
              <w:spacing w:line="360" w:lineRule="auto"/>
              <w:jc w:val="center"/>
              <w:rPr>
                <w:rFonts w:ascii="宋体" w:hAns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keepLines/>
              <w:spacing w:line="360" w:lineRule="auto"/>
              <w:jc w:val="center"/>
              <w:rPr>
                <w:rFonts w:ascii="宋体" w:hAnsi="宋体" w:cs="宋体"/>
                <w:kern w:val="0"/>
                <w:sz w:val="24"/>
                <w:szCs w:val="24"/>
              </w:rPr>
            </w:pPr>
            <w:r>
              <w:rPr>
                <w:rFonts w:hint="eastAsia" w:ascii="宋体" w:hAnsi="宋体" w:cs="宋体"/>
                <w:kern w:val="0"/>
                <w:sz w:val="24"/>
                <w:szCs w:val="24"/>
              </w:rPr>
              <w:t>招标文件解释</w:t>
            </w:r>
          </w:p>
        </w:tc>
        <w:tc>
          <w:tcPr>
            <w:tcW w:w="6803" w:type="dxa"/>
            <w:tcBorders>
              <w:top w:val="single" w:color="auto" w:sz="4" w:space="0"/>
              <w:left w:val="nil"/>
              <w:bottom w:val="single" w:color="auto" w:sz="4" w:space="0"/>
              <w:right w:val="single" w:color="auto" w:sz="4" w:space="0"/>
            </w:tcBorders>
            <w:vAlign w:val="center"/>
          </w:tcPr>
          <w:p>
            <w:pPr>
              <w:keepLines/>
              <w:spacing w:line="360" w:lineRule="auto"/>
              <w:rPr>
                <w:rFonts w:ascii="宋体" w:hAnsi="宋体" w:cs="宋体"/>
                <w:sz w:val="24"/>
                <w:szCs w:val="24"/>
              </w:rPr>
            </w:pPr>
            <w:r>
              <w:rPr>
                <w:rFonts w:hint="eastAsia" w:ascii="宋体" w:hAnsi="宋体" w:cs="宋体"/>
                <w:sz w:val="24"/>
                <w:szCs w:val="24"/>
              </w:rPr>
              <w:t>构成本招标文件的各个组成文件应互为解释，互为说明；如有不明确或不一致，构成合同文件组成内容的，以合同文件约定内容为准，除招标文件中有特别规定外，仅适用于采购阶段的规定，按招标公告、供应商须知、评分方法、响应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keepLines/>
              <w:numPr>
                <w:ilvl w:val="0"/>
                <w:numId w:val="1"/>
              </w:numPr>
              <w:spacing w:line="360" w:lineRule="auto"/>
              <w:jc w:val="center"/>
              <w:rPr>
                <w:rFonts w:ascii="宋体" w:hAns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szCs w:val="24"/>
              </w:rPr>
            </w:pPr>
            <w:r>
              <w:rPr>
                <w:rFonts w:hint="eastAsia" w:ascii="宋体" w:hAnsi="宋体" w:cs="宋体"/>
                <w:sz w:val="24"/>
                <w:szCs w:val="24"/>
              </w:rPr>
              <w:t>中标结果</w:t>
            </w:r>
          </w:p>
        </w:tc>
        <w:tc>
          <w:tcPr>
            <w:tcW w:w="6803" w:type="dxa"/>
            <w:tcBorders>
              <w:top w:val="single" w:color="auto" w:sz="4" w:space="0"/>
              <w:left w:val="nil"/>
              <w:bottom w:val="single" w:color="auto" w:sz="4" w:space="0"/>
              <w:right w:val="single" w:color="auto" w:sz="4" w:space="0"/>
            </w:tcBorders>
            <w:vAlign w:val="center"/>
          </w:tcPr>
          <w:p>
            <w:pPr>
              <w:spacing w:line="360" w:lineRule="auto"/>
              <w:rPr>
                <w:rFonts w:ascii="宋体" w:hAnsi="宋体" w:cs="宋体"/>
                <w:sz w:val="24"/>
                <w:szCs w:val="24"/>
              </w:rPr>
            </w:pPr>
            <w:r>
              <w:rPr>
                <w:rFonts w:hint="eastAsia" w:ascii="宋体" w:hAnsi="宋体" w:cs="宋体"/>
                <w:sz w:val="24"/>
                <w:szCs w:val="24"/>
              </w:rPr>
              <w:t>在《河南省政府采购网》、《中国采购与招标网》、《三门峡市公共资源交易中心网》三个网站同步中标结果公告。</w:t>
            </w:r>
          </w:p>
          <w:p>
            <w:pPr>
              <w:spacing w:line="360" w:lineRule="auto"/>
              <w:rPr>
                <w:rFonts w:ascii="宋体" w:hAnsi="宋体" w:cs="宋体"/>
                <w:sz w:val="24"/>
                <w:szCs w:val="24"/>
              </w:rPr>
            </w:pPr>
            <w:r>
              <w:rPr>
                <w:rFonts w:hint="eastAsia" w:ascii="宋体" w:hAnsi="宋体" w:cs="宋体"/>
                <w:sz w:val="24"/>
                <w:szCs w:val="24"/>
              </w:rPr>
              <w:t>采购人以书面形式向中标人发出中标通知书。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keepLines/>
              <w:numPr>
                <w:ilvl w:val="0"/>
                <w:numId w:val="1"/>
              </w:numPr>
              <w:spacing w:line="360" w:lineRule="auto"/>
              <w:jc w:val="center"/>
              <w:rPr>
                <w:rFonts w:ascii="宋体" w:hAns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szCs w:val="24"/>
              </w:rPr>
            </w:pPr>
            <w:r>
              <w:rPr>
                <w:rFonts w:hint="eastAsia" w:ascii="宋体" w:hAnsi="宋体" w:cs="宋体"/>
                <w:sz w:val="24"/>
                <w:szCs w:val="24"/>
              </w:rPr>
              <w:t>重新招标的其他情形</w:t>
            </w:r>
          </w:p>
        </w:tc>
        <w:tc>
          <w:tcPr>
            <w:tcW w:w="6803" w:type="dxa"/>
            <w:tcBorders>
              <w:top w:val="single" w:color="auto" w:sz="4" w:space="0"/>
              <w:left w:val="nil"/>
              <w:bottom w:val="single" w:color="auto" w:sz="4" w:space="0"/>
              <w:right w:val="single" w:color="auto" w:sz="4" w:space="0"/>
            </w:tcBorders>
            <w:vAlign w:val="center"/>
          </w:tcPr>
          <w:p>
            <w:pPr>
              <w:spacing w:line="360" w:lineRule="auto"/>
              <w:rPr>
                <w:rFonts w:ascii="宋体" w:hAnsi="宋体" w:cs="宋体"/>
                <w:sz w:val="24"/>
                <w:szCs w:val="24"/>
              </w:rPr>
            </w:pPr>
            <w:r>
              <w:rPr>
                <w:rFonts w:hint="eastAsia" w:ascii="宋体" w:hAnsi="宋体" w:cs="宋体"/>
                <w:sz w:val="24"/>
                <w:szCs w:val="24"/>
              </w:rPr>
              <w:t>除供应商须知规定的情形外，除非已经产生中标候选人，在投标有效期内同意延长投标有效期的供应商少于三个的，采购人应当依法重新招标。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keepLines/>
              <w:numPr>
                <w:ilvl w:val="0"/>
                <w:numId w:val="1"/>
              </w:numPr>
              <w:spacing w:line="360" w:lineRule="auto"/>
              <w:jc w:val="center"/>
              <w:rPr>
                <w:rFonts w:ascii="宋体" w:hAns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szCs w:val="24"/>
              </w:rPr>
            </w:pPr>
            <w:r>
              <w:rPr>
                <w:rFonts w:hint="eastAsia" w:ascii="宋体" w:hAnsi="宋体" w:cs="宋体"/>
                <w:sz w:val="24"/>
                <w:szCs w:val="24"/>
              </w:rPr>
              <w:t>监督</w:t>
            </w:r>
          </w:p>
        </w:tc>
        <w:tc>
          <w:tcPr>
            <w:tcW w:w="6803" w:type="dxa"/>
            <w:tcBorders>
              <w:top w:val="single" w:color="auto" w:sz="4" w:space="0"/>
              <w:left w:val="nil"/>
              <w:bottom w:val="single" w:color="auto" w:sz="4" w:space="0"/>
              <w:right w:val="single" w:color="auto" w:sz="4" w:space="0"/>
            </w:tcBorders>
            <w:vAlign w:val="center"/>
          </w:tcPr>
          <w:p>
            <w:pPr>
              <w:spacing w:line="360" w:lineRule="auto"/>
              <w:rPr>
                <w:rFonts w:ascii="宋体" w:hAnsi="宋体" w:cs="宋体"/>
                <w:sz w:val="24"/>
                <w:szCs w:val="24"/>
              </w:rPr>
            </w:pPr>
            <w:r>
              <w:rPr>
                <w:rFonts w:hint="eastAsia" w:ascii="宋体" w:hAnsi="宋体" w:cs="宋体"/>
                <w:sz w:val="24"/>
                <w:szCs w:val="24"/>
              </w:rPr>
              <w:t>本项目的招标投标活动及其相关当事人应当接受有管辖权的行政监督部门依法实施的监督。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keepLines/>
              <w:numPr>
                <w:ilvl w:val="0"/>
                <w:numId w:val="1"/>
              </w:numPr>
              <w:spacing w:line="360" w:lineRule="auto"/>
              <w:jc w:val="center"/>
              <w:rPr>
                <w:rFonts w:ascii="宋体" w:hAns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keepLines/>
              <w:spacing w:line="360" w:lineRule="auto"/>
              <w:jc w:val="center"/>
              <w:rPr>
                <w:rFonts w:ascii="宋体" w:hAnsi="宋体" w:cs="宋体"/>
                <w:kern w:val="0"/>
                <w:sz w:val="24"/>
                <w:szCs w:val="24"/>
              </w:rPr>
            </w:pPr>
            <w:r>
              <w:rPr>
                <w:rFonts w:hint="eastAsia" w:ascii="宋体" w:hAnsi="宋体" w:cs="宋体"/>
                <w:kern w:val="0"/>
                <w:sz w:val="24"/>
                <w:szCs w:val="24"/>
              </w:rPr>
              <w:t>其他</w:t>
            </w:r>
          </w:p>
        </w:tc>
        <w:tc>
          <w:tcPr>
            <w:tcW w:w="6803" w:type="dxa"/>
            <w:tcBorders>
              <w:top w:val="single" w:color="auto" w:sz="4" w:space="0"/>
              <w:left w:val="nil"/>
              <w:bottom w:val="single" w:color="auto" w:sz="4" w:space="0"/>
              <w:right w:val="single" w:color="auto" w:sz="4" w:space="0"/>
            </w:tcBorders>
            <w:vAlign w:val="center"/>
          </w:tcPr>
          <w:p>
            <w:pPr>
              <w:keepLines/>
              <w:spacing w:line="360" w:lineRule="auto"/>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bidi="en-US"/>
              </w:rPr>
              <w:t xml:space="preserve"> 本次招标实行资格后审，审查内容以投标截止时间前在三门峡市公共资源交易平台“投标文件”上传的信息为准。规定时间外上传或更改的信息不作为评标依据。投标文件中上传的信息真实有效，扫描件清晰可辨。否则，由此造成应得分而未得分或资格审查不合格等情况的，由供应商承担责任。</w:t>
            </w:r>
          </w:p>
          <w:p>
            <w:pPr>
              <w:keepLines/>
              <w:spacing w:line="360" w:lineRule="auto"/>
              <w:rPr>
                <w:rFonts w:ascii="宋体" w:hAnsi="宋体" w:cs="宋体"/>
                <w:sz w:val="24"/>
                <w:szCs w:val="24"/>
              </w:rPr>
            </w:pPr>
            <w:r>
              <w:rPr>
                <w:rFonts w:hint="eastAsia" w:ascii="宋体" w:hAnsi="宋体" w:cs="宋体"/>
                <w:sz w:val="24"/>
                <w:szCs w:val="24"/>
              </w:rPr>
              <w:t>2.评标打分部分：评标打分部分仍按照100分制原则进行，涉及到资格审查、企业荣誉、企业业绩等计分部分时，以投标单位自行上传到投标文件中的相应内容为准。</w:t>
            </w:r>
          </w:p>
          <w:p>
            <w:pPr>
              <w:keepLines/>
              <w:spacing w:line="360" w:lineRule="auto"/>
              <w:rPr>
                <w:rFonts w:ascii="宋体" w:hAnsi="宋体" w:cs="宋体"/>
                <w:sz w:val="24"/>
                <w:szCs w:val="24"/>
              </w:rPr>
            </w:pPr>
            <w:r>
              <w:rPr>
                <w:rFonts w:hint="eastAsia" w:ascii="宋体" w:hAnsi="宋体" w:cs="宋体"/>
                <w:sz w:val="24"/>
                <w:szCs w:val="24"/>
              </w:rPr>
              <w:t>3.在招标文件中要求供应商按照投标文件格式进行投标文件编制，在投标文件编制时，应明确将供应商企业基本情况、人员情况、财务情况、业绩情况编入投标文件，便于进行资格审查及评标打分。</w:t>
            </w:r>
          </w:p>
          <w:p>
            <w:pPr>
              <w:keepLines/>
              <w:spacing w:line="360" w:lineRule="auto"/>
              <w:rPr>
                <w:rFonts w:ascii="宋体" w:hAnsi="宋体" w:cs="宋体"/>
                <w:sz w:val="24"/>
                <w:szCs w:val="24"/>
              </w:rPr>
            </w:pPr>
            <w:r>
              <w:rPr>
                <w:rFonts w:hint="eastAsia" w:ascii="宋体" w:hAnsi="宋体" w:cs="宋体"/>
                <w:sz w:val="24"/>
                <w:szCs w:val="24"/>
              </w:rPr>
              <w:t>4.我单位（采购人）严格按三财购【2021】9号文要求的时限发布中标结果公告，发出中标通知书，签订采购合同，上传采购合同。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keepLines/>
              <w:numPr>
                <w:ilvl w:val="0"/>
                <w:numId w:val="1"/>
              </w:numPr>
              <w:spacing w:line="360" w:lineRule="auto"/>
              <w:jc w:val="center"/>
              <w:rPr>
                <w:rFonts w:ascii="宋体" w:hAns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keepLines/>
              <w:spacing w:line="360" w:lineRule="auto"/>
              <w:jc w:val="center"/>
              <w:rPr>
                <w:rFonts w:ascii="宋体" w:hAnsi="宋体" w:cs="宋体"/>
                <w:kern w:val="0"/>
                <w:sz w:val="24"/>
                <w:szCs w:val="24"/>
              </w:rPr>
            </w:pPr>
            <w:r>
              <w:rPr>
                <w:rFonts w:hint="eastAsia" w:ascii="宋体" w:hAnsi="宋体" w:cs="宋体"/>
                <w:kern w:val="0"/>
                <w:sz w:val="24"/>
                <w:szCs w:val="24"/>
              </w:rPr>
              <w:t>电子化交易</w:t>
            </w:r>
          </w:p>
          <w:p>
            <w:pPr>
              <w:keepLines/>
              <w:spacing w:line="360" w:lineRule="auto"/>
              <w:jc w:val="center"/>
              <w:rPr>
                <w:rFonts w:ascii="宋体" w:hAnsi="宋体" w:cs="宋体"/>
                <w:kern w:val="0"/>
                <w:sz w:val="24"/>
                <w:szCs w:val="24"/>
              </w:rPr>
            </w:pPr>
            <w:r>
              <w:rPr>
                <w:rFonts w:hint="eastAsia" w:ascii="宋体" w:hAnsi="宋体" w:cs="宋体"/>
                <w:kern w:val="0"/>
                <w:sz w:val="24"/>
                <w:szCs w:val="24"/>
              </w:rPr>
              <w:t>注意事项</w:t>
            </w:r>
          </w:p>
        </w:tc>
        <w:tc>
          <w:tcPr>
            <w:tcW w:w="6803" w:type="dxa"/>
            <w:tcBorders>
              <w:top w:val="single" w:color="auto" w:sz="4" w:space="0"/>
              <w:left w:val="nil"/>
              <w:bottom w:val="single" w:color="auto" w:sz="4" w:space="0"/>
              <w:right w:val="single" w:color="auto" w:sz="4" w:space="0"/>
            </w:tcBorders>
            <w:vAlign w:val="center"/>
          </w:tcPr>
          <w:p>
            <w:pPr>
              <w:spacing w:line="360" w:lineRule="auto"/>
              <w:rPr>
                <w:rFonts w:ascii="宋体" w:hAnsi="宋体" w:cs="宋体"/>
                <w:sz w:val="24"/>
                <w:szCs w:val="24"/>
              </w:rPr>
            </w:pPr>
            <w:r>
              <w:rPr>
                <w:rFonts w:hint="eastAsia" w:ascii="宋体" w:hAnsi="宋体" w:cs="宋体"/>
                <w:sz w:val="24"/>
                <w:szCs w:val="24"/>
              </w:rPr>
              <w:t>具体要求：本项目为电子化、无纸化交易项目，投标文件是投标供应商、供应商（以下简称“投标供应商”）通过中心投标文件制作系统制作，并经过签章和加密后生成的电子版投标文件。</w:t>
            </w:r>
          </w:p>
          <w:p>
            <w:pPr>
              <w:spacing w:line="360" w:lineRule="auto"/>
              <w:rPr>
                <w:rFonts w:ascii="宋体" w:hAnsi="宋体" w:cs="宋体"/>
                <w:sz w:val="24"/>
                <w:szCs w:val="24"/>
              </w:rPr>
            </w:pPr>
            <w:r>
              <w:rPr>
                <w:rFonts w:hint="eastAsia" w:ascii="宋体" w:hAnsi="宋体" w:cs="宋体"/>
                <w:b/>
                <w:sz w:val="24"/>
                <w:szCs w:val="24"/>
              </w:rPr>
              <w:t>温馨提示：本项目为电子化、无纸化交易项目，为保证您能投标成功，请需仔细阅读以下条款。</w:t>
            </w:r>
          </w:p>
          <w:p>
            <w:pPr>
              <w:spacing w:line="360" w:lineRule="auto"/>
              <w:rPr>
                <w:rFonts w:ascii="宋体" w:hAnsi="宋体" w:cs="宋体"/>
                <w:b/>
                <w:sz w:val="24"/>
                <w:szCs w:val="24"/>
              </w:rPr>
            </w:pPr>
            <w:r>
              <w:rPr>
                <w:rFonts w:hint="eastAsia" w:ascii="宋体" w:hAnsi="宋体" w:cs="宋体"/>
                <w:b/>
                <w:sz w:val="24"/>
                <w:szCs w:val="24"/>
              </w:rPr>
              <w:t>一、电子化投标</w:t>
            </w:r>
          </w:p>
          <w:p>
            <w:pPr>
              <w:spacing w:line="360" w:lineRule="auto"/>
              <w:rPr>
                <w:rFonts w:ascii="宋体" w:hAnsi="宋体" w:cs="宋体"/>
                <w:sz w:val="24"/>
                <w:szCs w:val="24"/>
              </w:rPr>
            </w:pPr>
            <w:r>
              <w:rPr>
                <w:rFonts w:hint="eastAsia" w:ascii="宋体" w:hAnsi="宋体" w:cs="宋体"/>
                <w:sz w:val="24"/>
                <w:szCs w:val="24"/>
              </w:rPr>
              <w:t>（一）网上投标保证金的缴纳</w:t>
            </w:r>
          </w:p>
          <w:p>
            <w:pPr>
              <w:spacing w:line="360" w:lineRule="auto"/>
              <w:rPr>
                <w:rFonts w:ascii="宋体" w:hAnsi="宋体" w:cs="宋体"/>
                <w:sz w:val="24"/>
                <w:szCs w:val="24"/>
              </w:rPr>
            </w:pPr>
            <w:r>
              <w:rPr>
                <w:rFonts w:hint="eastAsia" w:ascii="宋体" w:hAnsi="宋体" w:cs="宋体"/>
                <w:sz w:val="24"/>
                <w:szCs w:val="24"/>
              </w:rPr>
              <w:t>根据《河南省财政厅关于优化政府采购营商环境有关问题的通知》（豫财购【2019】4号）第6条的规定，投标保证金不再收取。</w:t>
            </w:r>
          </w:p>
          <w:p>
            <w:pPr>
              <w:spacing w:line="360" w:lineRule="auto"/>
              <w:rPr>
                <w:rFonts w:ascii="宋体" w:hAnsi="宋体" w:cs="宋体"/>
                <w:sz w:val="24"/>
                <w:szCs w:val="24"/>
              </w:rPr>
            </w:pPr>
            <w:r>
              <w:rPr>
                <w:rFonts w:hint="eastAsia" w:ascii="宋体" w:hAnsi="宋体" w:cs="宋体"/>
                <w:sz w:val="24"/>
                <w:szCs w:val="24"/>
              </w:rPr>
              <w:t>（二）电子化投标文件的签章</w:t>
            </w:r>
          </w:p>
          <w:p>
            <w:pPr>
              <w:spacing w:line="360" w:lineRule="auto"/>
              <w:rPr>
                <w:rFonts w:ascii="宋体" w:hAnsi="宋体" w:cs="宋体"/>
                <w:sz w:val="24"/>
                <w:szCs w:val="24"/>
              </w:rPr>
            </w:pPr>
            <w:r>
              <w:rPr>
                <w:rFonts w:hint="eastAsia" w:ascii="宋体" w:hAnsi="宋体" w:cs="宋体"/>
                <w:sz w:val="24"/>
                <w:szCs w:val="24"/>
              </w:rPr>
              <w:t>1.投标供应商在生成电子化投标文件后，应对电子化投标文件进行签章，未进行签章的视为无效投标。</w:t>
            </w:r>
          </w:p>
          <w:p>
            <w:pPr>
              <w:spacing w:line="360" w:lineRule="auto"/>
              <w:rPr>
                <w:rFonts w:ascii="宋体" w:hAnsi="宋体" w:cs="宋体"/>
                <w:sz w:val="24"/>
                <w:szCs w:val="24"/>
              </w:rPr>
            </w:pPr>
            <w:r>
              <w:rPr>
                <w:rFonts w:hint="eastAsia" w:ascii="宋体" w:hAnsi="宋体" w:cs="宋体"/>
                <w:sz w:val="24"/>
                <w:szCs w:val="24"/>
              </w:rPr>
              <w:t>2.</w:t>
            </w:r>
            <w:r>
              <w:rPr>
                <w:rFonts w:hint="eastAsia" w:ascii="宋体" w:hAnsi="宋体" w:cs="宋体"/>
                <w:b/>
                <w:sz w:val="24"/>
                <w:szCs w:val="24"/>
              </w:rPr>
              <w:t>招标文件中要求投标供应商盖章的，以签盖单位章为准；要求法定代表人签章的，以签盖法定代表人签章为准。</w:t>
            </w:r>
          </w:p>
          <w:p>
            <w:pPr>
              <w:spacing w:line="360" w:lineRule="auto"/>
              <w:rPr>
                <w:rFonts w:ascii="宋体" w:hAnsi="宋体" w:cs="宋体"/>
                <w:b/>
                <w:sz w:val="24"/>
                <w:szCs w:val="24"/>
              </w:rPr>
            </w:pPr>
            <w:r>
              <w:rPr>
                <w:rFonts w:hint="eastAsia" w:ascii="宋体" w:hAnsi="宋体" w:cs="宋体"/>
                <w:sz w:val="24"/>
                <w:szCs w:val="24"/>
              </w:rPr>
              <w:t>（三）电子化投标文件的格式及上传投标</w:t>
            </w:r>
          </w:p>
          <w:p>
            <w:pPr>
              <w:spacing w:line="360" w:lineRule="auto"/>
              <w:jc w:val="left"/>
              <w:rPr>
                <w:rFonts w:ascii="宋体" w:hAnsi="宋体" w:cs="宋体"/>
                <w:sz w:val="24"/>
                <w:szCs w:val="24"/>
              </w:rPr>
            </w:pPr>
            <w:r>
              <w:rPr>
                <w:rFonts w:hint="eastAsia" w:ascii="宋体" w:hAnsi="宋体" w:cs="宋体"/>
                <w:sz w:val="24"/>
                <w:szCs w:val="24"/>
              </w:rPr>
              <w:t>1.投标供应商所上传的电子化投标文件，应是通过中心投标文件制作系统制作的（投标文件制作工具下载地址：https://download.bqpoint.com/download/downloaddetail.html?SourceFrom=Ztb&amp;ZtbSoftXiaQuCode=1506&amp;ZtbSoftType=tballinclusive），经过签章和加密后生成的电子版投标文件。其中包含用于投标文件上传的主文件（后缀为.smxtf）和用于应急补救的投标文件备份文件（后缀为.nsmxtf）。</w:t>
            </w:r>
          </w:p>
          <w:p>
            <w:pPr>
              <w:spacing w:line="360" w:lineRule="auto"/>
              <w:rPr>
                <w:rFonts w:ascii="宋体" w:hAnsi="宋体" w:cs="宋体"/>
                <w:sz w:val="24"/>
                <w:szCs w:val="24"/>
              </w:rPr>
            </w:pPr>
            <w:r>
              <w:rPr>
                <w:rFonts w:hint="eastAsia" w:ascii="宋体" w:hAnsi="宋体" w:cs="宋体"/>
                <w:sz w:val="24"/>
                <w:szCs w:val="24"/>
              </w:rPr>
              <w:t>2.电子化投标文件应在投标截止时间前成功上传至三门峡市公共资源电子化交易系统。至投标截止时间止，仍未上传成功的电子化投标文件将不予接收。</w:t>
            </w:r>
          </w:p>
          <w:p>
            <w:pPr>
              <w:spacing w:line="360" w:lineRule="auto"/>
              <w:rPr>
                <w:rFonts w:ascii="宋体" w:hAnsi="宋体" w:cs="宋体"/>
                <w:b/>
                <w:sz w:val="24"/>
                <w:szCs w:val="24"/>
              </w:rPr>
            </w:pPr>
            <w:r>
              <w:rPr>
                <w:rFonts w:hint="eastAsia" w:ascii="宋体" w:hAnsi="宋体" w:cs="宋体"/>
                <w:b/>
                <w:sz w:val="24"/>
                <w:szCs w:val="24"/>
              </w:rPr>
              <w:t>注：</w:t>
            </w:r>
            <w:r>
              <w:rPr>
                <w:rFonts w:hint="eastAsia" w:ascii="宋体" w:hAnsi="宋体" w:cs="宋体"/>
                <w:sz w:val="24"/>
                <w:szCs w:val="24"/>
              </w:rPr>
              <w:t>如按照电子化投标操作教材制作完成的电子化投标文件无法上传的，投标供应商应在</w:t>
            </w:r>
            <w:r>
              <w:rPr>
                <w:rFonts w:hint="eastAsia" w:ascii="宋体" w:hAnsi="宋体" w:cs="宋体"/>
                <w:b/>
                <w:sz w:val="24"/>
                <w:szCs w:val="24"/>
              </w:rPr>
              <w:t>投标截止时间前尽早的</w:t>
            </w:r>
            <w:r>
              <w:rPr>
                <w:rFonts w:hint="eastAsia" w:ascii="宋体" w:hAnsi="宋体" w:cs="宋体"/>
                <w:sz w:val="24"/>
                <w:szCs w:val="24"/>
              </w:rPr>
              <w:t>联系中心技术人员，以便有充分的时间进行处理。</w:t>
            </w:r>
            <w:r>
              <w:rPr>
                <w:rFonts w:hint="eastAsia" w:ascii="宋体" w:hAnsi="宋体" w:cs="宋体"/>
                <w:b/>
                <w:sz w:val="24"/>
                <w:szCs w:val="24"/>
              </w:rPr>
              <w:t>投标供应商应充分考虑到处理技术问题和上传数据等工作所需的时间问题，投标文件未在投标截止时间前成功上传的，其投标文件不予接收。</w:t>
            </w:r>
          </w:p>
          <w:p>
            <w:pPr>
              <w:spacing w:line="360" w:lineRule="auto"/>
              <w:rPr>
                <w:rFonts w:ascii="宋体" w:hAnsi="宋体" w:cs="宋体"/>
                <w:sz w:val="24"/>
                <w:szCs w:val="24"/>
              </w:rPr>
            </w:pPr>
            <w:r>
              <w:rPr>
                <w:rFonts w:hint="eastAsia" w:ascii="宋体" w:hAnsi="宋体" w:cs="宋体"/>
                <w:sz w:val="24"/>
                <w:szCs w:val="24"/>
              </w:rPr>
              <w:t>新点客服电话:4009980000</w:t>
            </w:r>
          </w:p>
          <w:p>
            <w:pPr>
              <w:spacing w:line="360" w:lineRule="auto"/>
              <w:rPr>
                <w:rFonts w:ascii="宋体" w:hAnsi="宋体" w:cs="宋体"/>
                <w:sz w:val="24"/>
                <w:szCs w:val="24"/>
              </w:rPr>
            </w:pPr>
            <w:r>
              <w:rPr>
                <w:rFonts w:hint="eastAsia" w:ascii="宋体" w:hAnsi="宋体" w:cs="宋体"/>
                <w:sz w:val="24"/>
                <w:szCs w:val="24"/>
              </w:rPr>
              <w:t>（四）电子化项目开标、解密、唱标、评标</w:t>
            </w:r>
          </w:p>
          <w:p>
            <w:pPr>
              <w:spacing w:line="360" w:lineRule="auto"/>
              <w:rPr>
                <w:rFonts w:ascii="宋体" w:hAnsi="宋体" w:cs="宋体"/>
                <w:sz w:val="24"/>
                <w:szCs w:val="24"/>
              </w:rPr>
            </w:pPr>
            <w:r>
              <w:rPr>
                <w:rFonts w:hint="eastAsia" w:ascii="宋体" w:hAnsi="宋体" w:cs="宋体"/>
                <w:sz w:val="24"/>
                <w:szCs w:val="24"/>
              </w:rPr>
              <w:t>1.本项目采用</w:t>
            </w:r>
            <w:r>
              <w:rPr>
                <w:rFonts w:hint="eastAsia" w:ascii="宋体" w:hAnsi="宋体" w:cs="宋体"/>
                <w:b/>
                <w:sz w:val="24"/>
                <w:szCs w:val="24"/>
              </w:rPr>
              <w:t>电子化、无纸化</w:t>
            </w:r>
            <w:r>
              <w:rPr>
                <w:rFonts w:hint="eastAsia" w:ascii="宋体" w:hAnsi="宋体" w:cs="宋体"/>
                <w:sz w:val="24"/>
                <w:szCs w:val="24"/>
              </w:rPr>
              <w:t>进行招标，开标当日，投标供应商无需到开标现场参加开标会议，投标供应商应当在投标截止时间前，登陆不见面开标大厅选择登陆三门峡市公共资源电子招投标系统进行登陆（网址为http://120.194.249.36:10094/BidOpening/bidopeninghallaction/hall/login）,在线准时参加开标活动并进行投标文件解密等</w:t>
            </w:r>
          </w:p>
          <w:p>
            <w:pPr>
              <w:spacing w:line="360" w:lineRule="auto"/>
              <w:rPr>
                <w:rFonts w:ascii="宋体" w:hAnsi="宋体" w:cs="宋体"/>
                <w:sz w:val="24"/>
                <w:szCs w:val="24"/>
              </w:rPr>
            </w:pPr>
            <w:r>
              <w:rPr>
                <w:rFonts w:hint="eastAsia" w:ascii="宋体" w:hAnsi="宋体" w:cs="宋体"/>
                <w:sz w:val="24"/>
                <w:szCs w:val="24"/>
              </w:rPr>
              <w:t>2.电子化投标文件采用一次加密方式。开标时，由投标供应商使用CA 证书，在规定时间内对其电子化投标文件进行解密。每位投标供应商的解密时间为开标时间起30 分钟内，如在规定时间内未完成解密的，其投标文件不予开标、唱标。</w:t>
            </w:r>
          </w:p>
          <w:p>
            <w:pPr>
              <w:spacing w:line="360" w:lineRule="auto"/>
              <w:rPr>
                <w:rFonts w:ascii="宋体" w:hAnsi="宋体" w:cs="宋体"/>
                <w:b/>
                <w:sz w:val="24"/>
                <w:szCs w:val="24"/>
              </w:rPr>
            </w:pPr>
            <w:r>
              <w:rPr>
                <w:rFonts w:hint="eastAsia" w:ascii="宋体" w:hAnsi="宋体" w:cs="宋体"/>
                <w:sz w:val="24"/>
                <w:szCs w:val="24"/>
              </w:rPr>
              <w:t>3.电子化投标文件解密异常的处理</w:t>
            </w:r>
          </w:p>
          <w:p>
            <w:pPr>
              <w:spacing w:line="360" w:lineRule="auto"/>
              <w:rPr>
                <w:rFonts w:ascii="宋体" w:hAnsi="宋体" w:cs="宋体"/>
                <w:sz w:val="24"/>
                <w:szCs w:val="24"/>
              </w:rPr>
            </w:pPr>
            <w:r>
              <w:rPr>
                <w:rFonts w:hint="eastAsia" w:ascii="宋体" w:hAnsi="宋体" w:cs="宋体"/>
                <w:sz w:val="24"/>
                <w:szCs w:val="24"/>
              </w:rPr>
              <w:t>如出现投标供应商的电子投标文件无法解密等异常情况，投标供应商应及时致电中介服务机构说明。投标文件异常，按以下步骤进行处理：</w:t>
            </w:r>
          </w:p>
          <w:p>
            <w:pPr>
              <w:spacing w:line="360" w:lineRule="auto"/>
              <w:rPr>
                <w:rFonts w:ascii="宋体" w:hAnsi="宋体" w:cs="宋体"/>
                <w:sz w:val="24"/>
                <w:szCs w:val="24"/>
              </w:rPr>
            </w:pPr>
            <w:r>
              <w:rPr>
                <w:rFonts w:hint="eastAsia" w:ascii="宋体" w:hAnsi="宋体" w:cs="宋体"/>
                <w:sz w:val="24"/>
                <w:szCs w:val="24"/>
              </w:rPr>
              <w:t>（1）首先由技术人员进行问题排查。</w:t>
            </w:r>
          </w:p>
          <w:p>
            <w:pPr>
              <w:spacing w:line="360" w:lineRule="auto"/>
              <w:rPr>
                <w:rFonts w:ascii="宋体" w:hAnsi="宋体" w:cs="宋体"/>
                <w:sz w:val="24"/>
                <w:szCs w:val="24"/>
              </w:rPr>
            </w:pPr>
            <w:r>
              <w:rPr>
                <w:rFonts w:hint="eastAsia" w:ascii="宋体" w:hAnsi="宋体" w:cs="宋体"/>
                <w:sz w:val="24"/>
                <w:szCs w:val="24"/>
              </w:rPr>
              <w:t>（2）经技术人员排查后，是投标供应商文件自身问题导致投标文件无法解密的，该投标文件将不予接收、解密和唱标。开标会议继续进行。</w:t>
            </w:r>
          </w:p>
          <w:p>
            <w:pPr>
              <w:spacing w:line="360" w:lineRule="auto"/>
              <w:rPr>
                <w:rFonts w:ascii="宋体" w:hAnsi="宋体" w:cs="宋体"/>
                <w:sz w:val="24"/>
                <w:szCs w:val="24"/>
              </w:rPr>
            </w:pPr>
            <w:r>
              <w:rPr>
                <w:rFonts w:hint="eastAsia" w:ascii="宋体" w:hAnsi="宋体" w:cs="宋体"/>
                <w:sz w:val="24"/>
                <w:szCs w:val="24"/>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pPr>
              <w:spacing w:line="360" w:lineRule="auto"/>
              <w:rPr>
                <w:rFonts w:ascii="宋体" w:hAnsi="宋体" w:cs="宋体"/>
                <w:sz w:val="24"/>
                <w:szCs w:val="24"/>
              </w:rPr>
            </w:pPr>
            <w:r>
              <w:rPr>
                <w:rFonts w:hint="eastAsia" w:ascii="宋体" w:hAnsi="宋体" w:cs="宋体"/>
                <w:sz w:val="24"/>
                <w:szCs w:val="24"/>
              </w:rPr>
              <w:t>4.待所有投标供应商投标文件解密完成后，由中介服务机构操作，对所有已解密投标文件进行唱标。</w:t>
            </w:r>
          </w:p>
          <w:p>
            <w:pPr>
              <w:spacing w:line="360" w:lineRule="auto"/>
              <w:rPr>
                <w:rFonts w:ascii="宋体" w:hAnsi="宋体" w:cs="宋体"/>
                <w:sz w:val="24"/>
                <w:szCs w:val="24"/>
              </w:rPr>
            </w:pPr>
            <w:r>
              <w:rPr>
                <w:rFonts w:hint="eastAsia" w:ascii="宋体" w:hAnsi="宋体" w:cs="宋体"/>
                <w:b/>
                <w:sz w:val="24"/>
                <w:szCs w:val="24"/>
              </w:rPr>
              <w:t>投标供应商应保证在开标期间电话、电脑、网络能够正常工作，投标供应商因停电、电脑病毒、网络堵塞等原因，未在规定的解密时间内对投标文件进行解密的，其投标文件不予接收、唱标。</w:t>
            </w:r>
          </w:p>
          <w:p>
            <w:pPr>
              <w:spacing w:line="360" w:lineRule="auto"/>
              <w:rPr>
                <w:rFonts w:ascii="宋体" w:hAnsi="宋体" w:cs="宋体"/>
                <w:sz w:val="24"/>
                <w:szCs w:val="24"/>
              </w:rPr>
            </w:pPr>
            <w:r>
              <w:rPr>
                <w:rFonts w:hint="eastAsia" w:ascii="宋体" w:hAnsi="宋体" w:cs="宋体"/>
                <w:sz w:val="24"/>
                <w:szCs w:val="24"/>
              </w:rPr>
              <w:t>5.开标时投标供应商可登录到交易系统中在开标解密栏中点击报价一览表查看自己的投标报价。如对自己的唱标内容有异议的，应在投标供应商解密成功后10分钟内向中介服务机构电话质疑。中介服务机构应在监督人员的监督下进行免提通话接受投标供应商的质疑并做好书面记录。投标供应商未在规定时间内提出质疑的，视为认可唱标内容。</w:t>
            </w:r>
          </w:p>
          <w:p>
            <w:pPr>
              <w:spacing w:line="360" w:lineRule="auto"/>
              <w:rPr>
                <w:rFonts w:ascii="宋体" w:hAnsi="宋体" w:cs="宋体"/>
                <w:sz w:val="24"/>
                <w:szCs w:val="24"/>
              </w:rPr>
            </w:pPr>
            <w:r>
              <w:rPr>
                <w:rFonts w:hint="eastAsia" w:ascii="宋体" w:hAnsi="宋体" w:cs="宋体"/>
                <w:sz w:val="24"/>
                <w:szCs w:val="24"/>
              </w:rPr>
              <w:t>6.评标时，评标委员会对电子化投标文件有质疑的，将通过电子化交易系统对投标供应商发起质疑，并在监督人员的监督下，用免提模式致电需要答复的投标供应商对质疑进行回复。投标供应商的回复文件必须以经过投标供应商和其法定代表人签章的PDF格式文件为准，并通过电子化交易系统提交至评标委员会。</w:t>
            </w:r>
          </w:p>
          <w:p>
            <w:pPr>
              <w:spacing w:line="360" w:lineRule="auto"/>
              <w:rPr>
                <w:rFonts w:ascii="宋体" w:hAnsi="宋体" w:cs="宋体"/>
                <w:sz w:val="24"/>
                <w:szCs w:val="24"/>
              </w:rPr>
            </w:pPr>
            <w:r>
              <w:rPr>
                <w:rFonts w:hint="eastAsia" w:ascii="宋体" w:hAnsi="宋体" w:cs="宋体"/>
                <w:sz w:val="24"/>
                <w:szCs w:val="24"/>
              </w:rPr>
              <w:t>7.如评标委员会对需要回复的投标供应商连续三次致电未接通的，视为投标供应商放弃回复，评标委员会将自行对需要回复的内容进行认定。</w:t>
            </w:r>
          </w:p>
          <w:p>
            <w:pPr>
              <w:keepLines/>
              <w:snapToGrid w:val="0"/>
              <w:spacing w:line="360" w:lineRule="auto"/>
              <w:rPr>
                <w:rFonts w:ascii="宋体" w:hAnsi="宋体" w:cs="宋体"/>
                <w:sz w:val="24"/>
                <w:szCs w:val="24"/>
              </w:rPr>
            </w:pPr>
            <w:r>
              <w:rPr>
                <w:rFonts w:hint="eastAsia" w:ascii="宋体" w:hAnsi="宋体" w:cs="宋体"/>
                <w:b/>
                <w:sz w:val="24"/>
                <w:szCs w:val="24"/>
              </w:rPr>
              <w:t>提示：本项目为电子化、无纸化交易项目，为保证您能投标成功，请需仔细阅读以上条款。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keepLines/>
              <w:numPr>
                <w:ilvl w:val="0"/>
                <w:numId w:val="1"/>
              </w:numPr>
              <w:spacing w:line="360" w:lineRule="auto"/>
              <w:jc w:val="center"/>
              <w:rPr>
                <w:rFonts w:ascii="宋体" w:hAnsi="宋体" w:cs="宋体"/>
                <w:kern w:val="0"/>
                <w:sz w:val="24"/>
                <w:szCs w:val="24"/>
              </w:rPr>
            </w:pPr>
            <w:bookmarkStart w:id="28" w:name="_Toc28251186"/>
            <w:bookmarkStart w:id="29" w:name="_Toc16690619"/>
            <w:bookmarkStart w:id="30" w:name="_Toc38013513"/>
          </w:p>
        </w:tc>
        <w:tc>
          <w:tcPr>
            <w:tcW w:w="1843" w:type="dxa"/>
            <w:tcBorders>
              <w:top w:val="single" w:color="auto" w:sz="4" w:space="0"/>
              <w:left w:val="nil"/>
              <w:bottom w:val="single" w:color="auto" w:sz="4" w:space="0"/>
              <w:right w:val="single" w:color="auto" w:sz="4" w:space="0"/>
            </w:tcBorders>
            <w:vAlign w:val="center"/>
          </w:tcPr>
          <w:p>
            <w:pPr>
              <w:keepLines/>
              <w:snapToGrid w:val="0"/>
              <w:spacing w:line="360" w:lineRule="auto"/>
              <w:jc w:val="center"/>
              <w:rPr>
                <w:rFonts w:ascii="宋体" w:hAnsi="宋体" w:cs="宋体"/>
                <w:bCs/>
                <w:sz w:val="24"/>
                <w:szCs w:val="24"/>
              </w:rPr>
            </w:pPr>
            <w:r>
              <w:rPr>
                <w:rFonts w:hint="eastAsia" w:ascii="宋体" w:hAnsi="宋体" w:cs="宋体"/>
                <w:bCs/>
                <w:sz w:val="24"/>
                <w:szCs w:val="24"/>
              </w:rPr>
              <w:t>付款方式</w:t>
            </w:r>
          </w:p>
        </w:tc>
        <w:tc>
          <w:tcPr>
            <w:tcW w:w="6803" w:type="dxa"/>
            <w:tcBorders>
              <w:top w:val="single" w:color="auto" w:sz="4" w:space="0"/>
              <w:left w:val="nil"/>
              <w:bottom w:val="single" w:color="auto" w:sz="4" w:space="0"/>
              <w:right w:val="single" w:color="auto" w:sz="4" w:space="0"/>
            </w:tcBorders>
            <w:vAlign w:val="center"/>
          </w:tcPr>
          <w:p>
            <w:pPr>
              <w:keepLines/>
              <w:snapToGrid w:val="0"/>
              <w:spacing w:line="360" w:lineRule="auto"/>
              <w:rPr>
                <w:rFonts w:ascii="宋体" w:hAnsi="宋体" w:cs="宋体"/>
                <w:bCs/>
                <w:sz w:val="24"/>
                <w:szCs w:val="24"/>
              </w:rPr>
            </w:pPr>
            <w:r>
              <w:rPr>
                <w:rFonts w:hint="eastAsia" w:ascii="宋体" w:hAnsi="宋体" w:cs="宋体"/>
                <w:bCs/>
                <w:sz w:val="24"/>
                <w:szCs w:val="24"/>
                <w:highlight w:val="none"/>
              </w:rPr>
              <w:t>中标后合同中约定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keepLines/>
              <w:numPr>
                <w:ilvl w:val="0"/>
                <w:numId w:val="1"/>
              </w:numPr>
              <w:spacing w:line="360" w:lineRule="auto"/>
              <w:jc w:val="center"/>
              <w:rPr>
                <w:rFonts w:ascii="宋体" w:hAns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szCs w:val="24"/>
              </w:rPr>
            </w:pPr>
            <w:r>
              <w:rPr>
                <w:rFonts w:hint="eastAsia" w:ascii="宋体" w:hAnsi="宋体" w:cs="宋体"/>
                <w:sz w:val="24"/>
                <w:szCs w:val="24"/>
              </w:rPr>
              <w:t>招标代理服务费</w:t>
            </w:r>
          </w:p>
        </w:tc>
        <w:tc>
          <w:tcPr>
            <w:tcW w:w="6803" w:type="dxa"/>
            <w:tcBorders>
              <w:top w:val="single" w:color="auto" w:sz="4" w:space="0"/>
              <w:left w:val="nil"/>
              <w:bottom w:val="single" w:color="auto" w:sz="4" w:space="0"/>
              <w:right w:val="single" w:color="auto" w:sz="4" w:space="0"/>
            </w:tcBorders>
            <w:vAlign w:val="center"/>
          </w:tcPr>
          <w:p>
            <w:pPr>
              <w:spacing w:line="360" w:lineRule="auto"/>
              <w:rPr>
                <w:rFonts w:hint="eastAsia" w:ascii="宋体" w:hAnsi="宋体" w:cs="宋体"/>
                <w:sz w:val="24"/>
                <w:szCs w:val="24"/>
              </w:rPr>
            </w:pPr>
            <w:r>
              <w:rPr>
                <w:rFonts w:hint="eastAsia" w:ascii="宋体" w:hAnsi="宋体" w:cs="宋体"/>
                <w:sz w:val="24"/>
                <w:szCs w:val="24"/>
              </w:rPr>
              <w:t>招标代理服务费以中标单位的中标金额为基数，参照《河南省招标代理服务收费指导意见（豫招协【2023】002号）》文件中招标代理服务收费标准进行计取，由中标人承担中标服务费。</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收取方式:转账</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单位名称:正为技术有限公司</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开户行:广发银行股份有限公司郑州自贸区支行</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账号:9550881310161350097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keepLines/>
              <w:numPr>
                <w:ilvl w:val="0"/>
                <w:numId w:val="1"/>
              </w:numPr>
              <w:spacing w:line="360" w:lineRule="auto"/>
              <w:jc w:val="center"/>
              <w:rPr>
                <w:rFonts w:ascii="宋体" w:hAns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sz w:val="24"/>
                <w:szCs w:val="24"/>
              </w:rPr>
            </w:pPr>
            <w:r>
              <w:rPr>
                <w:rFonts w:hint="eastAsia" w:ascii="宋体" w:hAnsi="宋体"/>
                <w:color w:val="000000"/>
                <w:kern w:val="0"/>
                <w:sz w:val="24"/>
                <w:lang w:val="zh-CN"/>
              </w:rPr>
              <w:t>其他事项</w:t>
            </w:r>
          </w:p>
        </w:tc>
        <w:tc>
          <w:tcPr>
            <w:tcW w:w="6803" w:type="dxa"/>
            <w:tcBorders>
              <w:top w:val="single" w:color="auto" w:sz="4" w:space="0"/>
              <w:left w:val="nil"/>
              <w:bottom w:val="single" w:color="auto" w:sz="4" w:space="0"/>
              <w:right w:val="single" w:color="auto" w:sz="4" w:space="0"/>
            </w:tcBorders>
            <w:vAlign w:val="center"/>
          </w:tcPr>
          <w:p>
            <w:pPr>
              <w:numPr>
                <w:ilvl w:val="0"/>
                <w:numId w:val="0"/>
              </w:numPr>
              <w:spacing w:line="360" w:lineRule="auto"/>
              <w:jc w:val="left"/>
              <w:rPr>
                <w:rFonts w:hint="eastAsia" w:ascii="宋体" w:hAnsi="宋体"/>
                <w:color w:val="000000"/>
                <w:kern w:val="0"/>
                <w:sz w:val="24"/>
                <w:lang w:val="zh-CN"/>
              </w:rPr>
            </w:pPr>
            <w:r>
              <w:rPr>
                <w:rFonts w:hint="eastAsia" w:ascii="宋体" w:hAnsi="宋体" w:cstheme="minorBidi"/>
                <w:color w:val="000000"/>
                <w:kern w:val="0"/>
                <w:sz w:val="24"/>
                <w:szCs w:val="24"/>
                <w:lang w:val="en-US" w:eastAsia="zh-CN" w:bidi="ar-SA"/>
              </w:rPr>
              <w:t>1</w:t>
            </w:r>
            <w:r>
              <w:rPr>
                <w:rFonts w:hint="eastAsia" w:ascii="宋体" w:hAnsi="宋体" w:eastAsiaTheme="minorEastAsia" w:cstheme="minorBidi"/>
                <w:color w:val="000000"/>
                <w:kern w:val="0"/>
                <w:sz w:val="24"/>
                <w:szCs w:val="24"/>
                <w:lang w:val="zh-CN" w:eastAsia="zh-CN" w:bidi="ar-SA"/>
              </w:rPr>
              <w:t>、</w:t>
            </w:r>
            <w:r>
              <w:rPr>
                <w:rFonts w:hint="eastAsia" w:ascii="宋体" w:hAnsi="宋体"/>
                <w:color w:val="000000"/>
                <w:kern w:val="0"/>
                <w:sz w:val="24"/>
                <w:lang w:val="zh-CN"/>
              </w:rPr>
              <w:t>因本项目支持中小企业（监狱、残疾人福利性单位），若供应商提供《中小企业声明函》或《残疾人福利性单位声明函》或《监狱企业证明文件》时，价格评审采用比例扣除。</w:t>
            </w:r>
          </w:p>
          <w:p>
            <w:pPr>
              <w:spacing w:line="360" w:lineRule="auto"/>
              <w:rPr>
                <w:rFonts w:hint="eastAsia" w:ascii="宋体" w:hAnsi="宋体" w:cs="宋体"/>
                <w:sz w:val="24"/>
                <w:szCs w:val="24"/>
              </w:rPr>
            </w:pPr>
            <w:r>
              <w:rPr>
                <w:rFonts w:hint="eastAsia" w:ascii="宋体" w:hAnsi="宋体" w:cstheme="minorBidi"/>
                <w:color w:val="000000"/>
                <w:kern w:val="0"/>
                <w:sz w:val="24"/>
                <w:szCs w:val="24"/>
                <w:lang w:val="en-US" w:eastAsia="zh-CN" w:bidi="ar-SA"/>
              </w:rPr>
              <w:t>2</w:t>
            </w:r>
            <w:r>
              <w:rPr>
                <w:rFonts w:hint="eastAsia" w:ascii="宋体" w:hAnsi="宋体" w:eastAsiaTheme="minorEastAsia" w:cstheme="minorBidi"/>
                <w:color w:val="000000"/>
                <w:kern w:val="0"/>
                <w:sz w:val="24"/>
                <w:szCs w:val="24"/>
                <w:lang w:val="zh-CN" w:eastAsia="zh-CN" w:bidi="ar-SA"/>
              </w:rPr>
              <w:t>、</w:t>
            </w:r>
            <w:r>
              <w:rPr>
                <w:rFonts w:hint="eastAsia" w:ascii="宋体" w:hAnsi="宋体"/>
                <w:color w:val="000000"/>
                <w:kern w:val="0"/>
                <w:sz w:val="24"/>
                <w:lang w:val="zh-CN"/>
              </w:rPr>
              <w:t>若供应商提供</w:t>
            </w:r>
            <w:r>
              <w:rPr>
                <w:rFonts w:hint="eastAsia" w:ascii="宋体" w:hAnsi="宋体"/>
                <w:color w:val="000000"/>
                <w:kern w:val="0"/>
                <w:sz w:val="24"/>
                <w:lang w:val="en-US" w:eastAsia="zh-CN"/>
              </w:rPr>
              <w:t>《关于符合本国产品标准的声明函》或有关证明文件，</w:t>
            </w:r>
            <w:r>
              <w:rPr>
                <w:rFonts w:hint="eastAsia" w:ascii="宋体" w:hAnsi="宋体"/>
                <w:color w:val="000000"/>
                <w:kern w:val="0"/>
                <w:sz w:val="24"/>
                <w:lang w:val="zh-CN"/>
              </w:rPr>
              <w:t>价格评审采用比例扣除。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keepLines/>
              <w:numPr>
                <w:ilvl w:val="0"/>
                <w:numId w:val="1"/>
              </w:numPr>
              <w:spacing w:line="360" w:lineRule="auto"/>
              <w:jc w:val="center"/>
              <w:rPr>
                <w:rFonts w:ascii="宋体" w:hAns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szCs w:val="24"/>
                <w:highlight w:val="none"/>
              </w:rPr>
            </w:pPr>
            <w:r>
              <w:rPr>
                <w:rFonts w:hint="eastAsia" w:ascii="宋体" w:hAnsi="宋体" w:cs="宋体"/>
                <w:sz w:val="24"/>
                <w:szCs w:val="24"/>
                <w:highlight w:val="none"/>
              </w:rPr>
              <w:t>本项目对应的中小企业划分标准所属行业</w:t>
            </w:r>
          </w:p>
        </w:tc>
        <w:tc>
          <w:tcPr>
            <w:tcW w:w="6803" w:type="dxa"/>
            <w:tcBorders>
              <w:top w:val="single" w:color="auto" w:sz="4" w:space="0"/>
              <w:left w:val="nil"/>
              <w:bottom w:val="single" w:color="auto" w:sz="4" w:space="0"/>
              <w:right w:val="single" w:color="auto" w:sz="4" w:space="0"/>
            </w:tcBorders>
            <w:vAlign w:val="center"/>
          </w:tcPr>
          <w:p>
            <w:pPr>
              <w:spacing w:line="360" w:lineRule="auto"/>
              <w:rPr>
                <w:rFonts w:ascii="宋体" w:hAnsi="宋体" w:cs="宋体"/>
                <w:sz w:val="24"/>
                <w:szCs w:val="24"/>
                <w:highlight w:val="none"/>
              </w:rPr>
            </w:pPr>
            <w:r>
              <w:rPr>
                <w:rFonts w:hint="eastAsia" w:ascii="宋体" w:hAnsi="宋体" w:cs="宋体"/>
                <w:sz w:val="24"/>
                <w:szCs w:val="24"/>
                <w:highlight w:val="none"/>
              </w:rPr>
              <w:t>其他未列明行业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pPr>
              <w:keepLines/>
              <w:numPr>
                <w:ilvl w:val="0"/>
                <w:numId w:val="1"/>
              </w:numPr>
              <w:spacing w:line="360" w:lineRule="auto"/>
              <w:jc w:val="center"/>
              <w:rPr>
                <w:rFonts w:ascii="宋体" w:hAns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sz w:val="24"/>
                <w:szCs w:val="24"/>
                <w:highlight w:val="none"/>
              </w:rPr>
            </w:pPr>
            <w:r>
              <w:rPr>
                <w:rFonts w:ascii="宋体" w:hAnsi="宋体" w:cs="Courier New"/>
                <w:color w:val="000000"/>
                <w:kern w:val="0"/>
                <w:sz w:val="24"/>
                <w:highlight w:val="none"/>
              </w:rPr>
              <w:t>其它需要说明的内容</w:t>
            </w:r>
          </w:p>
        </w:tc>
        <w:tc>
          <w:tcPr>
            <w:tcW w:w="6803" w:type="dxa"/>
            <w:tcBorders>
              <w:top w:val="single" w:color="auto" w:sz="4" w:space="0"/>
              <w:left w:val="nil"/>
              <w:bottom w:val="single" w:color="auto" w:sz="4" w:space="0"/>
              <w:right w:val="single" w:color="auto" w:sz="4" w:space="0"/>
            </w:tcBorders>
            <w:vAlign w:val="center"/>
          </w:tcPr>
          <w:p>
            <w:pPr>
              <w:spacing w:line="276" w:lineRule="auto"/>
              <w:rPr>
                <w:rFonts w:ascii="宋体" w:hAnsi="宋体" w:eastAsia="宋体" w:cs="宋体"/>
                <w:sz w:val="24"/>
                <w:highlight w:val="none"/>
              </w:rPr>
            </w:pPr>
            <w:r>
              <w:rPr>
                <w:rFonts w:hint="eastAsia" w:ascii="宋体" w:hAnsi="宋体" w:eastAsia="宋体" w:cs="宋体"/>
                <w:sz w:val="24"/>
                <w:highlight w:val="none"/>
              </w:rPr>
              <w:t>1、投标人在供货期间必须采取相应措施以保证供货安全；</w:t>
            </w:r>
          </w:p>
          <w:p>
            <w:pPr>
              <w:spacing w:line="276" w:lineRule="auto"/>
              <w:rPr>
                <w:rFonts w:ascii="宋体" w:hAnsi="宋体" w:eastAsia="宋体" w:cs="宋体"/>
                <w:sz w:val="24"/>
                <w:highlight w:val="none"/>
              </w:rPr>
            </w:pPr>
            <w:r>
              <w:rPr>
                <w:rFonts w:hint="eastAsia" w:ascii="宋体" w:hAnsi="宋体" w:eastAsia="宋体" w:cs="宋体"/>
                <w:sz w:val="24"/>
                <w:highlight w:val="none"/>
              </w:rPr>
              <w:t>2、中标通知书发出后，中标人必须及时与采购人签订采购合同；</w:t>
            </w:r>
          </w:p>
          <w:p>
            <w:pPr>
              <w:numPr>
                <w:ilvl w:val="0"/>
                <w:numId w:val="2"/>
              </w:numPr>
              <w:spacing w:line="276" w:lineRule="auto"/>
              <w:ind w:left="360" w:leftChars="0" w:hanging="360" w:firstLineChars="0"/>
              <w:rPr>
                <w:rFonts w:hint="eastAsia" w:ascii="宋体" w:hAnsi="宋体" w:cs="宋体"/>
                <w:sz w:val="24"/>
                <w:szCs w:val="24"/>
                <w:highlight w:val="none"/>
              </w:rPr>
            </w:pPr>
            <w:r>
              <w:rPr>
                <w:rFonts w:hint="eastAsia" w:ascii="宋体" w:hAnsi="宋体" w:eastAsia="宋体" w:cs="宋体"/>
                <w:sz w:val="24"/>
                <w:highlight w:val="none"/>
              </w:rPr>
              <w:t>本招标文件未尽事宜，执行国家、省、市相关规定。</w:t>
            </w:r>
          </w:p>
        </w:tc>
      </w:tr>
    </w:tbl>
    <w:p>
      <w:pPr>
        <w:rPr>
          <w:rFonts w:ascii="宋体" w:hAnsi="宋体" w:cs="宋体"/>
        </w:rPr>
      </w:pPr>
    </w:p>
    <w:bookmarkEnd w:id="28"/>
    <w:bookmarkEnd w:id="29"/>
    <w:bookmarkEnd w:id="30"/>
    <w:p>
      <w:pPr>
        <w:rPr>
          <w:rFonts w:ascii="宋体" w:hAnsi="宋体" w:cs="宋体"/>
          <w:sz w:val="24"/>
          <w:szCs w:val="24"/>
        </w:rPr>
      </w:pPr>
      <w:bookmarkStart w:id="31" w:name="_Toc28251187"/>
      <w:bookmarkStart w:id="32" w:name="_Toc38013514"/>
      <w:r>
        <w:rPr>
          <w:rFonts w:hint="eastAsia" w:ascii="宋体" w:hAnsi="宋体" w:cs="宋体"/>
          <w:sz w:val="24"/>
          <w:szCs w:val="24"/>
        </w:rPr>
        <w:br w:type="page"/>
      </w:r>
    </w:p>
    <w:p>
      <w:pPr>
        <w:pStyle w:val="30"/>
        <w:spacing w:line="360" w:lineRule="auto"/>
        <w:rPr>
          <w:rFonts w:ascii="宋体" w:hAnsi="宋体" w:cs="宋体"/>
          <w:sz w:val="24"/>
          <w:szCs w:val="24"/>
        </w:rPr>
      </w:pPr>
      <w:r>
        <w:rPr>
          <w:rFonts w:hint="eastAsia" w:ascii="宋体" w:hAnsi="宋体" w:cs="宋体"/>
          <w:sz w:val="24"/>
          <w:szCs w:val="24"/>
        </w:rPr>
        <w:t>一、总则</w:t>
      </w:r>
    </w:p>
    <w:bookmarkEnd w:id="31"/>
    <w:bookmarkEnd w:id="32"/>
    <w:p>
      <w:pPr>
        <w:shd w:val="clear" w:color="auto" w:fill="FFFFFF"/>
        <w:snapToGrid w:val="0"/>
        <w:spacing w:line="360" w:lineRule="auto"/>
        <w:ind w:right="105" w:rightChars="50" w:firstLine="482" w:firstLineChars="200"/>
        <w:rPr>
          <w:rFonts w:ascii="宋体" w:hAnsi="宋体" w:cs="宋体"/>
          <w:sz w:val="24"/>
          <w:szCs w:val="24"/>
        </w:rPr>
      </w:pPr>
      <w:bookmarkStart w:id="33" w:name="_Toc466566784"/>
      <w:bookmarkEnd w:id="33"/>
      <w:bookmarkStart w:id="34" w:name="_Toc256519755"/>
      <w:bookmarkStart w:id="35" w:name="_Toc270604617"/>
      <w:bookmarkStart w:id="36" w:name="_Toc254788523"/>
      <w:bookmarkStart w:id="37" w:name="_Toc5478"/>
      <w:bookmarkStart w:id="38" w:name="_Toc271556721"/>
      <w:r>
        <w:rPr>
          <w:rFonts w:hint="eastAsia" w:ascii="宋体" w:hAnsi="宋体" w:cs="宋体"/>
          <w:b/>
          <w:bCs/>
          <w:sz w:val="24"/>
          <w:szCs w:val="24"/>
        </w:rPr>
        <w:t>1、</w:t>
      </w:r>
      <w:r>
        <w:rPr>
          <w:rFonts w:hint="eastAsia" w:ascii="宋体" w:hAnsi="宋体" w:cs="宋体"/>
          <w:sz w:val="24"/>
          <w:szCs w:val="24"/>
        </w:rPr>
        <w:t>项目概况</w:t>
      </w:r>
    </w:p>
    <w:p>
      <w:pPr>
        <w:spacing w:line="360" w:lineRule="auto"/>
        <w:ind w:firstLine="480" w:firstLineChars="200"/>
        <w:rPr>
          <w:rFonts w:ascii="宋体" w:hAnsi="宋体" w:cs="宋体"/>
          <w:sz w:val="24"/>
          <w:szCs w:val="24"/>
        </w:rPr>
      </w:pPr>
      <w:r>
        <w:rPr>
          <w:rFonts w:hint="eastAsia" w:ascii="宋体" w:hAnsi="宋体" w:cs="宋体"/>
          <w:sz w:val="24"/>
          <w:szCs w:val="24"/>
        </w:rPr>
        <w:t>1.1采购内容：</w:t>
      </w:r>
      <w:r>
        <w:rPr>
          <w:rFonts w:hint="eastAsia" w:ascii="宋体" w:hAnsi="宋体" w:cs="宋体"/>
          <w:kern w:val="0"/>
          <w:sz w:val="24"/>
          <w:szCs w:val="24"/>
        </w:rPr>
        <w:t>详见公告。</w:t>
      </w:r>
    </w:p>
    <w:p>
      <w:pPr>
        <w:spacing w:line="360" w:lineRule="auto"/>
        <w:ind w:firstLine="480" w:firstLineChars="200"/>
        <w:rPr>
          <w:rFonts w:ascii="宋体" w:hAnsi="宋体" w:cs="宋体"/>
          <w:sz w:val="24"/>
        </w:rPr>
      </w:pPr>
      <w:r>
        <w:rPr>
          <w:rFonts w:hint="eastAsia" w:ascii="宋体" w:hAnsi="宋体" w:cs="宋体"/>
          <w:sz w:val="24"/>
        </w:rPr>
        <w:t>1.2资金来源：财政资金，已落实。</w:t>
      </w:r>
    </w:p>
    <w:p>
      <w:pPr>
        <w:shd w:val="clear" w:color="auto" w:fill="FFFFFF"/>
        <w:snapToGrid w:val="0"/>
        <w:spacing w:line="360" w:lineRule="auto"/>
        <w:ind w:right="105" w:rightChars="50" w:firstLine="480" w:firstLineChars="200"/>
        <w:rPr>
          <w:rFonts w:hint="eastAsia" w:ascii="宋体" w:hAnsi="宋体" w:cs="宋体"/>
          <w:sz w:val="24"/>
          <w:lang w:eastAsia="zh-CN"/>
        </w:rPr>
      </w:pPr>
      <w:r>
        <w:rPr>
          <w:rFonts w:hint="eastAsia" w:ascii="宋体" w:hAnsi="宋体" w:cs="宋体"/>
          <w:sz w:val="24"/>
        </w:rPr>
        <w:t>1.3质量要求：</w:t>
      </w:r>
      <w:r>
        <w:rPr>
          <w:rFonts w:hint="eastAsia" w:ascii="宋体" w:hAnsi="宋体" w:cs="宋体"/>
          <w:sz w:val="24"/>
          <w:lang w:eastAsia="zh-CN"/>
        </w:rPr>
        <w:t>符合国家、省、市现行相关行业标准要求并符合采购人要求</w:t>
      </w:r>
    </w:p>
    <w:p>
      <w:pPr>
        <w:shd w:val="clear" w:color="auto" w:fill="FFFFFF"/>
        <w:snapToGrid w:val="0"/>
        <w:spacing w:line="360" w:lineRule="auto"/>
        <w:ind w:right="105" w:rightChars="50" w:firstLine="482" w:firstLineChars="200"/>
        <w:rPr>
          <w:rFonts w:ascii="宋体" w:hAnsi="宋体" w:cs="宋体"/>
          <w:sz w:val="24"/>
          <w:szCs w:val="24"/>
        </w:rPr>
      </w:pPr>
      <w:r>
        <w:rPr>
          <w:rFonts w:hint="eastAsia" w:ascii="宋体" w:hAnsi="宋体" w:cs="宋体"/>
          <w:b/>
          <w:bCs/>
          <w:sz w:val="24"/>
          <w:szCs w:val="24"/>
        </w:rPr>
        <w:t>2、投标费用</w:t>
      </w:r>
    </w:p>
    <w:p>
      <w:pPr>
        <w:shd w:val="clear" w:color="auto" w:fill="FFFFFF"/>
        <w:snapToGrid w:val="0"/>
        <w:spacing w:line="360" w:lineRule="auto"/>
        <w:ind w:right="105" w:rightChars="50" w:firstLine="361" w:firstLineChars="150"/>
        <w:rPr>
          <w:rFonts w:ascii="宋体" w:hAnsi="宋体" w:cs="宋体"/>
          <w:sz w:val="24"/>
          <w:szCs w:val="24"/>
        </w:rPr>
      </w:pPr>
      <w:r>
        <w:rPr>
          <w:rFonts w:hint="eastAsia" w:ascii="宋体" w:hAnsi="宋体" w:cs="宋体"/>
          <w:b/>
          <w:bCs/>
          <w:sz w:val="24"/>
          <w:szCs w:val="24"/>
        </w:rPr>
        <w:t xml:space="preserve"> 2.1</w:t>
      </w:r>
      <w:r>
        <w:rPr>
          <w:rFonts w:hint="eastAsia" w:ascii="宋体" w:hAnsi="宋体" w:cs="宋体"/>
          <w:sz w:val="24"/>
          <w:szCs w:val="24"/>
        </w:rPr>
        <w:t>投标供应商承担其投标文件编制与递交所涉及的一切费用。在任何情况下采购人和采购代理机构对上述费用均不承担任何责任。</w:t>
      </w:r>
    </w:p>
    <w:p>
      <w:pPr>
        <w:shd w:val="clear" w:color="auto" w:fill="FFFFFF"/>
        <w:snapToGrid w:val="0"/>
        <w:spacing w:line="360" w:lineRule="auto"/>
        <w:ind w:right="105" w:rightChars="50" w:firstLine="118" w:firstLineChars="49"/>
        <w:rPr>
          <w:rFonts w:ascii="宋体" w:hAnsi="宋体" w:cs="宋体"/>
          <w:sz w:val="24"/>
          <w:szCs w:val="24"/>
        </w:rPr>
      </w:pPr>
      <w:r>
        <w:rPr>
          <w:rFonts w:hint="eastAsia" w:ascii="宋体" w:hAnsi="宋体" w:cs="宋体"/>
          <w:b/>
          <w:bCs/>
          <w:sz w:val="24"/>
          <w:szCs w:val="24"/>
        </w:rPr>
        <w:t xml:space="preserve">   3、定义及解释</w:t>
      </w:r>
    </w:p>
    <w:p>
      <w:pPr>
        <w:spacing w:line="360" w:lineRule="auto"/>
        <w:ind w:right="105" w:rightChars="50" w:firstLine="352" w:firstLineChars="146"/>
        <w:rPr>
          <w:rFonts w:ascii="宋体" w:hAnsi="宋体" w:cs="宋体"/>
          <w:sz w:val="24"/>
          <w:szCs w:val="24"/>
        </w:rPr>
      </w:pPr>
      <w:r>
        <w:rPr>
          <w:rFonts w:hint="eastAsia" w:ascii="宋体" w:hAnsi="宋体" w:cs="宋体"/>
          <w:b/>
          <w:bCs/>
          <w:sz w:val="24"/>
          <w:szCs w:val="24"/>
        </w:rPr>
        <w:t xml:space="preserve"> 3.1</w:t>
      </w:r>
      <w:r>
        <w:rPr>
          <w:rFonts w:hint="eastAsia" w:ascii="宋体" w:hAnsi="宋体" w:cs="宋体"/>
          <w:sz w:val="24"/>
          <w:szCs w:val="24"/>
        </w:rPr>
        <w:t>采购人：三门峡市生态环境局灵宝分局</w:t>
      </w:r>
    </w:p>
    <w:p>
      <w:pPr>
        <w:spacing w:line="360" w:lineRule="auto"/>
        <w:ind w:right="105" w:rightChars="50" w:firstLine="352" w:firstLineChars="146"/>
        <w:rPr>
          <w:rFonts w:ascii="宋体" w:hAnsi="宋体" w:cs="宋体"/>
          <w:sz w:val="24"/>
          <w:szCs w:val="24"/>
        </w:rPr>
      </w:pPr>
      <w:r>
        <w:rPr>
          <w:rFonts w:hint="eastAsia" w:ascii="宋体" w:hAnsi="宋体" w:cs="宋体"/>
          <w:b/>
          <w:bCs/>
          <w:sz w:val="24"/>
          <w:szCs w:val="24"/>
        </w:rPr>
        <w:t xml:space="preserve"> 3.2</w:t>
      </w:r>
      <w:r>
        <w:rPr>
          <w:rFonts w:hint="eastAsia" w:ascii="宋体" w:hAnsi="宋体" w:cs="宋体"/>
          <w:sz w:val="24"/>
          <w:szCs w:val="24"/>
        </w:rPr>
        <w:t>投标供应商：是指响应招标、参加投标竞争的法人或者其他组织。</w:t>
      </w:r>
    </w:p>
    <w:p>
      <w:pPr>
        <w:spacing w:line="360" w:lineRule="auto"/>
        <w:ind w:right="105" w:rightChars="50" w:firstLine="236" w:firstLineChars="98"/>
        <w:rPr>
          <w:rFonts w:ascii="宋体" w:hAnsi="宋体" w:cs="宋体"/>
          <w:b/>
          <w:bCs/>
          <w:sz w:val="24"/>
          <w:szCs w:val="24"/>
        </w:rPr>
      </w:pPr>
      <w:r>
        <w:rPr>
          <w:rFonts w:hint="eastAsia" w:ascii="宋体" w:hAnsi="宋体" w:cs="宋体"/>
          <w:b/>
          <w:bCs/>
          <w:sz w:val="24"/>
          <w:szCs w:val="24"/>
        </w:rPr>
        <w:t xml:space="preserve">  3.3</w:t>
      </w:r>
      <w:r>
        <w:rPr>
          <w:rFonts w:hint="eastAsia" w:ascii="宋体" w:hAnsi="宋体" w:cs="宋体"/>
          <w:sz w:val="24"/>
          <w:szCs w:val="24"/>
        </w:rPr>
        <w:t>采购代理机构：正为技术有限公司</w:t>
      </w:r>
    </w:p>
    <w:p>
      <w:pPr>
        <w:spacing w:line="360" w:lineRule="auto"/>
        <w:ind w:right="105" w:rightChars="50" w:firstLine="482" w:firstLineChars="200"/>
        <w:rPr>
          <w:rFonts w:ascii="宋体" w:hAnsi="宋体" w:cs="宋体"/>
          <w:b/>
          <w:bCs/>
          <w:sz w:val="24"/>
          <w:szCs w:val="24"/>
        </w:rPr>
      </w:pPr>
      <w:r>
        <w:rPr>
          <w:rFonts w:hint="eastAsia" w:ascii="宋体" w:hAnsi="宋体" w:cs="宋体"/>
          <w:b/>
          <w:bCs/>
          <w:sz w:val="24"/>
          <w:szCs w:val="24"/>
        </w:rPr>
        <w:t>3.4</w:t>
      </w:r>
      <w:r>
        <w:rPr>
          <w:rFonts w:hint="eastAsia" w:ascii="宋体" w:hAnsi="宋体" w:cs="宋体"/>
          <w:sz w:val="24"/>
          <w:szCs w:val="24"/>
        </w:rPr>
        <w:t>评标委员会：是指按照《中华人民共和国政府采购法》和《评标委员会和评标方法暂行规定》的规定组建的专门负责本次招标的评标工作的临时机构。</w:t>
      </w:r>
    </w:p>
    <w:p>
      <w:pPr>
        <w:spacing w:line="360" w:lineRule="auto"/>
        <w:ind w:right="105" w:rightChars="50"/>
        <w:rPr>
          <w:rFonts w:ascii="宋体" w:hAnsi="宋体" w:cs="宋体"/>
          <w:sz w:val="24"/>
          <w:szCs w:val="24"/>
        </w:rPr>
      </w:pPr>
      <w:r>
        <w:rPr>
          <w:rFonts w:hint="eastAsia" w:ascii="宋体" w:hAnsi="宋体" w:cs="宋体"/>
          <w:b/>
          <w:bCs/>
          <w:sz w:val="24"/>
          <w:szCs w:val="24"/>
        </w:rPr>
        <w:t xml:space="preserve">    3.5</w:t>
      </w:r>
      <w:r>
        <w:rPr>
          <w:rFonts w:hint="eastAsia" w:ascii="宋体" w:hAnsi="宋体" w:cs="宋体"/>
          <w:sz w:val="24"/>
          <w:szCs w:val="24"/>
        </w:rPr>
        <w:t>日期、天数、时间：无特别说明时是指公历日及北京时间。</w:t>
      </w:r>
    </w:p>
    <w:p>
      <w:pPr>
        <w:spacing w:line="360" w:lineRule="auto"/>
        <w:ind w:right="105" w:rightChars="50" w:firstLine="118" w:firstLineChars="49"/>
        <w:rPr>
          <w:rFonts w:ascii="宋体" w:hAnsi="宋体" w:cs="宋体"/>
          <w:b/>
          <w:bCs/>
          <w:sz w:val="24"/>
          <w:szCs w:val="24"/>
        </w:rPr>
      </w:pPr>
      <w:r>
        <w:rPr>
          <w:rFonts w:hint="eastAsia" w:ascii="宋体" w:hAnsi="宋体" w:cs="宋体"/>
          <w:b/>
          <w:bCs/>
          <w:sz w:val="24"/>
          <w:szCs w:val="24"/>
        </w:rPr>
        <w:t xml:space="preserve">   3.6</w:t>
      </w:r>
      <w:r>
        <w:rPr>
          <w:rFonts w:hint="eastAsia" w:ascii="宋体" w:hAnsi="宋体" w:cs="宋体"/>
          <w:sz w:val="24"/>
          <w:szCs w:val="24"/>
        </w:rPr>
        <w:t>招标文件中所规定的“书面形式”，是指任何手写的、打印或印刷的通讯，不包括传真发送。</w:t>
      </w:r>
    </w:p>
    <w:p>
      <w:pPr>
        <w:shd w:val="clear" w:color="auto" w:fill="FFFFFF"/>
        <w:snapToGrid w:val="0"/>
        <w:spacing w:line="360" w:lineRule="auto"/>
        <w:ind w:right="105" w:rightChars="50" w:firstLine="482" w:firstLineChars="200"/>
        <w:rPr>
          <w:rFonts w:ascii="宋体" w:hAnsi="宋体" w:cs="宋体"/>
          <w:b/>
          <w:bCs/>
          <w:sz w:val="24"/>
          <w:szCs w:val="24"/>
        </w:rPr>
      </w:pPr>
      <w:r>
        <w:rPr>
          <w:rFonts w:hint="eastAsia" w:ascii="宋体" w:hAnsi="宋体" w:cs="宋体"/>
          <w:b/>
          <w:bCs/>
          <w:sz w:val="24"/>
          <w:szCs w:val="24"/>
        </w:rPr>
        <w:t>4、合格的投标供应商</w:t>
      </w:r>
    </w:p>
    <w:p>
      <w:pPr>
        <w:pStyle w:val="21"/>
        <w:ind w:left="420" w:leftChars="200" w:firstLine="0" w:firstLineChars="0"/>
        <w:rPr>
          <w:rFonts w:ascii="宋体" w:hAnsi="宋体" w:eastAsia="宋体" w:cs="宋体"/>
          <w:lang w:eastAsia="zh-CN"/>
        </w:rPr>
      </w:pPr>
      <w:r>
        <w:rPr>
          <w:rFonts w:hint="eastAsia" w:ascii="宋体" w:hAnsi="宋体" w:eastAsia="宋体" w:cs="宋体"/>
          <w:lang w:eastAsia="zh-CN"/>
        </w:rPr>
        <w:t>详见供应商须知前附表规定</w:t>
      </w:r>
    </w:p>
    <w:p>
      <w:pPr>
        <w:shd w:val="clear" w:color="auto" w:fill="FFFFFF"/>
        <w:snapToGrid w:val="0"/>
        <w:spacing w:line="360" w:lineRule="auto"/>
        <w:ind w:right="105" w:rightChars="50" w:firstLine="472" w:firstLineChars="196"/>
        <w:rPr>
          <w:rFonts w:ascii="宋体" w:hAnsi="宋体" w:cs="宋体"/>
          <w:b/>
          <w:bCs/>
          <w:sz w:val="24"/>
          <w:szCs w:val="24"/>
        </w:rPr>
      </w:pPr>
      <w:r>
        <w:rPr>
          <w:rFonts w:hint="eastAsia" w:ascii="宋体" w:hAnsi="宋体" w:cs="宋体"/>
          <w:b/>
          <w:bCs/>
          <w:sz w:val="24"/>
          <w:szCs w:val="24"/>
        </w:rPr>
        <w:t>5、保证</w:t>
      </w:r>
    </w:p>
    <w:p>
      <w:pPr>
        <w:shd w:val="clear" w:color="auto" w:fill="FFFFFF"/>
        <w:snapToGrid w:val="0"/>
        <w:spacing w:line="360" w:lineRule="auto"/>
        <w:ind w:right="105" w:rightChars="50" w:firstLine="482" w:firstLineChars="200"/>
        <w:rPr>
          <w:rFonts w:ascii="宋体" w:hAnsi="宋体" w:cs="宋体"/>
          <w:sz w:val="24"/>
          <w:szCs w:val="24"/>
        </w:rPr>
      </w:pPr>
      <w:r>
        <w:rPr>
          <w:rFonts w:hint="eastAsia" w:ascii="宋体" w:hAnsi="宋体" w:cs="宋体"/>
          <w:b/>
          <w:bCs/>
          <w:sz w:val="24"/>
          <w:szCs w:val="24"/>
        </w:rPr>
        <w:t>5.1</w:t>
      </w:r>
      <w:r>
        <w:rPr>
          <w:rFonts w:hint="eastAsia" w:ascii="宋体" w:hAnsi="宋体" w:cs="宋体"/>
          <w:sz w:val="24"/>
          <w:szCs w:val="24"/>
        </w:rPr>
        <w:t>投标供应商应保证在投标文件中所提交的资料和数据是真实的。</w:t>
      </w:r>
    </w:p>
    <w:p>
      <w:pPr>
        <w:pStyle w:val="30"/>
        <w:spacing w:line="360" w:lineRule="auto"/>
        <w:rPr>
          <w:rFonts w:ascii="宋体" w:hAnsi="宋体" w:cs="宋体"/>
          <w:sz w:val="24"/>
          <w:szCs w:val="24"/>
        </w:rPr>
      </w:pPr>
      <w:r>
        <w:rPr>
          <w:rFonts w:hint="eastAsia" w:ascii="宋体" w:hAnsi="宋体" w:cs="宋体"/>
          <w:sz w:val="24"/>
          <w:szCs w:val="24"/>
        </w:rPr>
        <w:t>二、招标文件</w:t>
      </w:r>
    </w:p>
    <w:p>
      <w:pPr>
        <w:shd w:val="clear" w:color="auto" w:fill="FFFFFF"/>
        <w:snapToGrid w:val="0"/>
        <w:spacing w:line="360" w:lineRule="auto"/>
        <w:ind w:firstLine="241" w:firstLineChars="100"/>
        <w:rPr>
          <w:rFonts w:ascii="宋体" w:hAnsi="宋体" w:cs="宋体"/>
          <w:sz w:val="24"/>
          <w:szCs w:val="24"/>
        </w:rPr>
      </w:pPr>
      <w:r>
        <w:rPr>
          <w:rFonts w:hint="eastAsia" w:ascii="宋体" w:hAnsi="宋体" w:cs="宋体"/>
          <w:b/>
          <w:bCs/>
          <w:sz w:val="24"/>
          <w:szCs w:val="24"/>
        </w:rPr>
        <w:t>6、招标文件的组成</w:t>
      </w:r>
    </w:p>
    <w:p>
      <w:pPr>
        <w:shd w:val="clear" w:color="auto" w:fill="FFFFFF"/>
        <w:snapToGrid w:val="0"/>
        <w:spacing w:line="360" w:lineRule="auto"/>
        <w:ind w:firstLine="482" w:firstLineChars="200"/>
        <w:rPr>
          <w:rFonts w:ascii="宋体" w:hAnsi="宋体" w:cs="宋体"/>
          <w:sz w:val="24"/>
          <w:szCs w:val="24"/>
        </w:rPr>
      </w:pPr>
      <w:r>
        <w:rPr>
          <w:rFonts w:hint="eastAsia" w:ascii="宋体" w:hAnsi="宋体" w:cs="宋体"/>
          <w:b/>
          <w:bCs/>
          <w:sz w:val="24"/>
          <w:szCs w:val="24"/>
        </w:rPr>
        <w:t>6.1</w:t>
      </w:r>
      <w:r>
        <w:rPr>
          <w:rFonts w:hint="eastAsia" w:ascii="宋体" w:hAnsi="宋体" w:cs="宋体"/>
          <w:sz w:val="24"/>
          <w:szCs w:val="24"/>
        </w:rPr>
        <w:t>招标文件包括下列内容及按投标供应商须知第7条款内容发出的答疑文件和第8条款内容发出的补充文件。</w:t>
      </w:r>
    </w:p>
    <w:p>
      <w:pPr>
        <w:shd w:val="clear" w:color="auto" w:fill="FFFFFF"/>
        <w:snapToGrid w:val="0"/>
        <w:spacing w:line="360" w:lineRule="auto"/>
        <w:ind w:firstLine="480" w:firstLineChars="200"/>
        <w:rPr>
          <w:rFonts w:ascii="宋体" w:hAnsi="宋体" w:cs="宋体"/>
          <w:sz w:val="24"/>
          <w:szCs w:val="24"/>
        </w:rPr>
      </w:pPr>
      <w:r>
        <w:rPr>
          <w:rFonts w:hint="eastAsia" w:ascii="宋体" w:hAnsi="宋体" w:cs="宋体"/>
          <w:sz w:val="24"/>
          <w:szCs w:val="24"/>
        </w:rPr>
        <w:t>第一章 招标公告</w:t>
      </w:r>
    </w:p>
    <w:p>
      <w:pPr>
        <w:shd w:val="clear" w:color="auto" w:fill="FFFFFF"/>
        <w:snapToGrid w:val="0"/>
        <w:spacing w:line="360" w:lineRule="auto"/>
        <w:ind w:firstLine="480" w:firstLineChars="200"/>
        <w:rPr>
          <w:rFonts w:ascii="宋体" w:hAnsi="宋体" w:cs="宋体"/>
          <w:sz w:val="24"/>
          <w:szCs w:val="24"/>
        </w:rPr>
      </w:pPr>
      <w:r>
        <w:rPr>
          <w:rFonts w:hint="eastAsia" w:ascii="宋体" w:hAnsi="宋体" w:cs="宋体"/>
          <w:sz w:val="24"/>
          <w:szCs w:val="24"/>
        </w:rPr>
        <w:t>第二章 供应商须知</w:t>
      </w:r>
    </w:p>
    <w:p>
      <w:pPr>
        <w:shd w:val="clear" w:color="auto" w:fill="FFFFFF"/>
        <w:snapToGrid w:val="0"/>
        <w:spacing w:line="360" w:lineRule="auto"/>
        <w:ind w:firstLine="480" w:firstLineChars="200"/>
        <w:rPr>
          <w:rFonts w:ascii="宋体" w:hAnsi="宋体" w:cs="宋体"/>
          <w:sz w:val="24"/>
          <w:szCs w:val="24"/>
        </w:rPr>
      </w:pPr>
      <w:r>
        <w:rPr>
          <w:rFonts w:hint="eastAsia" w:ascii="宋体" w:hAnsi="宋体" w:cs="宋体"/>
          <w:sz w:val="24"/>
          <w:szCs w:val="24"/>
        </w:rPr>
        <w:t>第三章 评标办法</w:t>
      </w:r>
    </w:p>
    <w:p>
      <w:pPr>
        <w:shd w:val="clear" w:color="auto" w:fill="FFFFFF"/>
        <w:snapToGrid w:val="0"/>
        <w:spacing w:line="360" w:lineRule="auto"/>
        <w:ind w:firstLine="480" w:firstLineChars="200"/>
        <w:rPr>
          <w:rFonts w:ascii="宋体" w:hAnsi="宋体" w:cs="宋体"/>
          <w:sz w:val="24"/>
          <w:szCs w:val="24"/>
        </w:rPr>
      </w:pPr>
      <w:r>
        <w:rPr>
          <w:rFonts w:hint="eastAsia" w:ascii="宋体" w:hAnsi="宋体" w:cs="宋体"/>
          <w:sz w:val="24"/>
          <w:szCs w:val="24"/>
        </w:rPr>
        <w:t>第四章 合同条款及格式</w:t>
      </w:r>
    </w:p>
    <w:p>
      <w:pPr>
        <w:shd w:val="clear" w:color="auto" w:fill="FFFFFF"/>
        <w:snapToGrid w:val="0"/>
        <w:spacing w:line="360" w:lineRule="auto"/>
        <w:ind w:firstLine="480" w:firstLineChars="200"/>
        <w:rPr>
          <w:rFonts w:ascii="宋体" w:hAnsi="宋体" w:cs="宋体"/>
          <w:sz w:val="24"/>
          <w:szCs w:val="24"/>
        </w:rPr>
      </w:pPr>
      <w:r>
        <w:rPr>
          <w:rFonts w:hint="eastAsia"/>
          <w:sz w:val="24"/>
          <w:szCs w:val="24"/>
        </w:rPr>
        <w:t>第五章 服务内容及要求</w:t>
      </w:r>
    </w:p>
    <w:p>
      <w:pPr>
        <w:shd w:val="clear" w:color="auto" w:fill="FFFFFF"/>
        <w:snapToGrid w:val="0"/>
        <w:spacing w:line="360" w:lineRule="auto"/>
        <w:ind w:firstLine="480" w:firstLineChars="200"/>
        <w:rPr>
          <w:rFonts w:ascii="宋体" w:hAnsi="宋体" w:cs="宋体"/>
          <w:sz w:val="24"/>
          <w:szCs w:val="24"/>
        </w:rPr>
      </w:pPr>
      <w:r>
        <w:rPr>
          <w:rFonts w:hint="eastAsia" w:ascii="宋体" w:hAnsi="宋体" w:cs="宋体"/>
          <w:sz w:val="24"/>
          <w:szCs w:val="24"/>
        </w:rPr>
        <w:t>第六章 投标文件格式</w:t>
      </w:r>
    </w:p>
    <w:p>
      <w:pPr>
        <w:shd w:val="clear" w:color="auto" w:fill="FFFFFF"/>
        <w:snapToGrid w:val="0"/>
        <w:spacing w:line="360" w:lineRule="auto"/>
        <w:ind w:firstLine="482" w:firstLineChars="200"/>
        <w:rPr>
          <w:rFonts w:ascii="宋体" w:hAnsi="宋体" w:cs="宋体"/>
          <w:sz w:val="24"/>
          <w:szCs w:val="24"/>
        </w:rPr>
      </w:pPr>
      <w:r>
        <w:rPr>
          <w:rFonts w:hint="eastAsia" w:ascii="宋体" w:hAnsi="宋体" w:cs="宋体"/>
          <w:b/>
          <w:bCs/>
          <w:sz w:val="24"/>
          <w:szCs w:val="24"/>
        </w:rPr>
        <w:t>6.2</w:t>
      </w:r>
      <w:r>
        <w:rPr>
          <w:rFonts w:hint="eastAsia" w:ascii="宋体" w:hAnsi="宋体" w:cs="宋体"/>
          <w:sz w:val="24"/>
          <w:szCs w:val="24"/>
        </w:rPr>
        <w:t>投标供应商应详细阅读招标文件中的所有条款内容、格式、表格和所涉及的相关规范。如果投标供应商不按招标文件的要求提交投标文件和资料的，或者投标文件没有对招标文件提出的实质性要求和条件作出响应，将导致投标文件不被接受，其后果由投标供应商自己负责。</w:t>
      </w:r>
    </w:p>
    <w:p>
      <w:pPr>
        <w:shd w:val="clear" w:color="auto" w:fill="FFFFFF"/>
        <w:snapToGrid w:val="0"/>
        <w:spacing w:line="360" w:lineRule="auto"/>
        <w:ind w:firstLine="482" w:firstLineChars="200"/>
        <w:rPr>
          <w:rFonts w:ascii="宋体" w:hAnsi="宋体" w:cs="宋体"/>
          <w:sz w:val="24"/>
          <w:szCs w:val="24"/>
        </w:rPr>
      </w:pPr>
      <w:r>
        <w:rPr>
          <w:rFonts w:hint="eastAsia" w:ascii="宋体" w:hAnsi="宋体" w:cs="宋体"/>
          <w:b/>
          <w:bCs/>
          <w:sz w:val="24"/>
          <w:szCs w:val="24"/>
        </w:rPr>
        <w:t>7、招标文件的澄清</w:t>
      </w:r>
    </w:p>
    <w:p>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7.1投标人应仔细阅读和检查招标文件的全部内容。如发现缺页或附件不全，应及时向采购人提出，以便补齐。如有疑问，应在投标截止时间10日前登录三门峡市公共资源交易中心网（http://gzjy.smx.gov.cn），在网上向采购人提出澄清要求，要求采购人对招标文件予以澄清。</w:t>
      </w:r>
    </w:p>
    <w:p>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7.2采购人的澄清将在投标截止时间15日前，在三门峡市公共资源交易中心网（http://gzjy.smx.gov.cn）以答疑澄清形式通知所有下载招标文件的投标人，但不指明澄清问题的来源。</w:t>
      </w:r>
    </w:p>
    <w:p>
      <w:pPr>
        <w:autoSpaceDE w:val="0"/>
        <w:autoSpaceDN w:val="0"/>
        <w:adjustRightInd w:val="0"/>
        <w:spacing w:line="360" w:lineRule="auto"/>
        <w:ind w:firstLine="480" w:firstLineChars="200"/>
        <w:jc w:val="left"/>
        <w:rPr>
          <w:rFonts w:ascii="宋体" w:hAnsi="宋体" w:cs="宋体"/>
          <w:sz w:val="24"/>
          <w:szCs w:val="24"/>
        </w:rPr>
      </w:pPr>
      <w:r>
        <w:rPr>
          <w:rFonts w:hint="eastAsia" w:ascii="宋体" w:hAnsi="宋体" w:cs="宋体"/>
          <w:kern w:val="0"/>
          <w:sz w:val="24"/>
          <w:szCs w:val="24"/>
        </w:rPr>
        <w:t>7.3投标人应注意及时浏览网上发布的澄清和修改通知并下载，因投标人原因未及时获知澄清、修改内容而导致的任何后果，概由投标人自己承担。</w:t>
      </w:r>
    </w:p>
    <w:p>
      <w:pPr>
        <w:shd w:val="clear" w:color="auto" w:fill="FFFFFF"/>
        <w:snapToGrid w:val="0"/>
        <w:spacing w:line="360" w:lineRule="auto"/>
        <w:ind w:firstLine="482" w:firstLineChars="200"/>
        <w:rPr>
          <w:rFonts w:ascii="宋体" w:hAnsi="宋体" w:cs="宋体"/>
          <w:sz w:val="24"/>
          <w:szCs w:val="24"/>
        </w:rPr>
      </w:pPr>
      <w:r>
        <w:rPr>
          <w:rFonts w:hint="eastAsia" w:ascii="宋体" w:hAnsi="宋体" w:cs="宋体"/>
          <w:b/>
          <w:bCs/>
          <w:sz w:val="24"/>
          <w:szCs w:val="24"/>
        </w:rPr>
        <w:t>8、招标文件的修正</w:t>
      </w:r>
    </w:p>
    <w:p>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8.1在投标截止时间15日前，采购人可以在三门峡市公共资源交易中心网以网上答疑形式修改招标文件，并以网上公告形式通知所有已下载招标文件的投标人。如果修改招标文件的时间距投标截止时间不足15天，相应延长投标截止时间。</w:t>
      </w:r>
    </w:p>
    <w:p>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8.2招标文件的澄清、修改、补充等内容均以采购人答疑形式明确的内容为准。当招标文件的澄清、修改、补充等在同一内容的表述上不一致时，以最后发出的答疑为准。</w:t>
      </w:r>
    </w:p>
    <w:p>
      <w:pPr>
        <w:pStyle w:val="30"/>
        <w:spacing w:line="360" w:lineRule="auto"/>
        <w:rPr>
          <w:rFonts w:ascii="宋体" w:hAnsi="宋体" w:cs="宋体"/>
          <w:sz w:val="24"/>
          <w:szCs w:val="24"/>
        </w:rPr>
      </w:pPr>
      <w:r>
        <w:rPr>
          <w:rFonts w:hint="eastAsia" w:ascii="宋体" w:hAnsi="宋体" w:cs="宋体"/>
          <w:sz w:val="24"/>
          <w:szCs w:val="24"/>
        </w:rPr>
        <w:t>三、投标文件的编制</w:t>
      </w:r>
    </w:p>
    <w:p>
      <w:pPr>
        <w:shd w:val="clear" w:color="auto" w:fill="FFFFFF"/>
        <w:snapToGrid w:val="0"/>
        <w:spacing w:line="360" w:lineRule="auto"/>
        <w:ind w:firstLine="241" w:firstLineChars="100"/>
        <w:rPr>
          <w:rFonts w:ascii="宋体" w:hAnsi="宋体" w:cs="宋体"/>
          <w:sz w:val="24"/>
          <w:szCs w:val="24"/>
        </w:rPr>
      </w:pPr>
      <w:r>
        <w:rPr>
          <w:rFonts w:hint="eastAsia" w:ascii="宋体" w:hAnsi="宋体" w:cs="宋体"/>
          <w:b/>
          <w:bCs/>
          <w:sz w:val="24"/>
          <w:szCs w:val="24"/>
        </w:rPr>
        <w:t>9、特别说明</w:t>
      </w:r>
    </w:p>
    <w:p>
      <w:pPr>
        <w:shd w:val="clear" w:color="auto" w:fill="FFFFFF"/>
        <w:snapToGrid w:val="0"/>
        <w:spacing w:line="360" w:lineRule="auto"/>
        <w:ind w:firstLine="482" w:firstLineChars="200"/>
        <w:rPr>
          <w:rFonts w:ascii="宋体" w:hAnsi="宋体" w:cs="宋体"/>
          <w:sz w:val="24"/>
          <w:szCs w:val="24"/>
        </w:rPr>
      </w:pPr>
      <w:r>
        <w:rPr>
          <w:rFonts w:hint="eastAsia" w:ascii="宋体" w:hAnsi="宋体" w:cs="宋体"/>
          <w:b/>
          <w:bCs/>
          <w:sz w:val="24"/>
          <w:szCs w:val="24"/>
        </w:rPr>
        <w:t>9.1</w:t>
      </w:r>
      <w:r>
        <w:rPr>
          <w:rFonts w:hint="eastAsia" w:ascii="宋体" w:hAnsi="宋体" w:cs="宋体"/>
          <w:sz w:val="24"/>
          <w:szCs w:val="24"/>
        </w:rPr>
        <w:t>投标语言</w:t>
      </w:r>
    </w:p>
    <w:p>
      <w:pPr>
        <w:shd w:val="clear" w:color="auto" w:fill="FFFFFF"/>
        <w:snapToGrid w:val="0"/>
        <w:spacing w:line="360" w:lineRule="auto"/>
        <w:ind w:firstLine="480" w:firstLineChars="200"/>
        <w:rPr>
          <w:rFonts w:ascii="宋体" w:hAnsi="宋体" w:cs="宋体"/>
          <w:sz w:val="24"/>
          <w:szCs w:val="24"/>
        </w:rPr>
      </w:pPr>
      <w:r>
        <w:rPr>
          <w:rFonts w:hint="eastAsia" w:ascii="宋体" w:hAnsi="宋体" w:cs="宋体"/>
          <w:sz w:val="24"/>
          <w:szCs w:val="24"/>
        </w:rPr>
        <w:t>投标供应商提交的投标文件以及投标供应商与采购代理机构就有关投标的所有往来函电均应使用中文。投标供应商提供的文件可以用英文，但相应内容应附有中文翻译本，在解释时以中文翻译本为准。</w:t>
      </w:r>
    </w:p>
    <w:p>
      <w:pPr>
        <w:shd w:val="clear" w:color="auto" w:fill="FFFFFF"/>
        <w:snapToGrid w:val="0"/>
        <w:spacing w:line="360" w:lineRule="auto"/>
        <w:ind w:firstLine="482" w:firstLineChars="200"/>
        <w:rPr>
          <w:rFonts w:ascii="宋体" w:hAnsi="宋体" w:cs="宋体"/>
          <w:sz w:val="24"/>
          <w:szCs w:val="24"/>
        </w:rPr>
      </w:pPr>
      <w:r>
        <w:rPr>
          <w:rFonts w:hint="eastAsia" w:ascii="宋体" w:hAnsi="宋体" w:cs="宋体"/>
          <w:b/>
          <w:bCs/>
          <w:sz w:val="24"/>
          <w:szCs w:val="24"/>
        </w:rPr>
        <w:t>9.2</w:t>
      </w:r>
      <w:r>
        <w:rPr>
          <w:rFonts w:hint="eastAsia" w:ascii="宋体" w:hAnsi="宋体" w:cs="宋体"/>
          <w:sz w:val="24"/>
          <w:szCs w:val="24"/>
        </w:rPr>
        <w:t>计量</w:t>
      </w:r>
    </w:p>
    <w:p>
      <w:pPr>
        <w:shd w:val="clear" w:color="auto" w:fill="FFFFFF"/>
        <w:snapToGrid w:val="0"/>
        <w:spacing w:line="360" w:lineRule="auto"/>
        <w:ind w:firstLine="480" w:firstLineChars="200"/>
        <w:rPr>
          <w:rFonts w:ascii="宋体" w:hAnsi="宋体" w:cs="宋体"/>
          <w:sz w:val="24"/>
          <w:szCs w:val="24"/>
        </w:rPr>
      </w:pPr>
      <w:r>
        <w:rPr>
          <w:rFonts w:hint="eastAsia" w:ascii="宋体" w:hAnsi="宋体" w:cs="宋体"/>
          <w:sz w:val="24"/>
          <w:szCs w:val="24"/>
        </w:rPr>
        <w:t>在投标文件所有计量单位均采用中华人民共和国法定计量单位。</w:t>
      </w:r>
    </w:p>
    <w:p>
      <w:pPr>
        <w:shd w:val="clear" w:color="auto" w:fill="FFFFFF"/>
        <w:snapToGrid w:val="0"/>
        <w:spacing w:line="360" w:lineRule="auto"/>
        <w:ind w:firstLine="482" w:firstLineChars="200"/>
        <w:rPr>
          <w:rFonts w:ascii="宋体" w:hAnsi="宋体" w:cs="宋体"/>
          <w:sz w:val="24"/>
          <w:szCs w:val="24"/>
        </w:rPr>
      </w:pPr>
      <w:r>
        <w:rPr>
          <w:rFonts w:hint="eastAsia" w:ascii="宋体" w:hAnsi="宋体" w:cs="宋体"/>
          <w:b/>
          <w:bCs/>
          <w:sz w:val="24"/>
          <w:szCs w:val="24"/>
        </w:rPr>
        <w:t>9.3</w:t>
      </w:r>
      <w:r>
        <w:rPr>
          <w:rFonts w:hint="eastAsia" w:ascii="宋体" w:hAnsi="宋体" w:cs="宋体"/>
          <w:sz w:val="24"/>
          <w:szCs w:val="24"/>
        </w:rPr>
        <w:t>投标供应商在投标文件中所提交的所有资料和文件均应是真实的和有效的，如有作假，则将该投标供应商的投标作无效标处理，若中标后被发现有上述行为的，则采购人有权取消其中标资格，并且该投标供应商应承担由此而造成的一切损失（包括经济损失和法律责任）。</w:t>
      </w:r>
    </w:p>
    <w:p>
      <w:pPr>
        <w:shd w:val="clear" w:color="auto" w:fill="FFFFFF"/>
        <w:snapToGrid w:val="0"/>
        <w:spacing w:line="360" w:lineRule="auto"/>
        <w:ind w:firstLine="482" w:firstLineChars="200"/>
        <w:rPr>
          <w:rFonts w:ascii="宋体" w:hAnsi="宋体" w:cs="宋体"/>
          <w:sz w:val="24"/>
          <w:szCs w:val="24"/>
        </w:rPr>
      </w:pPr>
      <w:r>
        <w:rPr>
          <w:rFonts w:hint="eastAsia" w:ascii="宋体" w:hAnsi="宋体" w:cs="宋体"/>
          <w:b/>
          <w:bCs/>
          <w:sz w:val="24"/>
          <w:szCs w:val="24"/>
        </w:rPr>
        <w:t>9.4</w:t>
      </w:r>
      <w:r>
        <w:rPr>
          <w:rFonts w:hint="eastAsia" w:ascii="宋体" w:hAnsi="宋体" w:cs="宋体"/>
          <w:sz w:val="24"/>
          <w:szCs w:val="24"/>
        </w:rPr>
        <w:t>投标供应商应当按照招标文件和电子招标投标交易平台的要求编制并加密投标文件。投标供应商未按规定加密的投标文件，电子招标投标交易平台将拒收并提示。</w:t>
      </w:r>
    </w:p>
    <w:p>
      <w:pPr>
        <w:shd w:val="clear" w:color="auto" w:fill="FFFFFF"/>
        <w:snapToGrid w:val="0"/>
        <w:spacing w:line="360" w:lineRule="auto"/>
        <w:ind w:firstLine="482" w:firstLineChars="200"/>
        <w:rPr>
          <w:rFonts w:ascii="宋体" w:hAnsi="宋体" w:cs="宋体"/>
          <w:b/>
          <w:bCs/>
          <w:sz w:val="24"/>
          <w:szCs w:val="24"/>
        </w:rPr>
      </w:pPr>
      <w:r>
        <w:rPr>
          <w:rFonts w:hint="eastAsia" w:ascii="宋体" w:hAnsi="宋体" w:cs="宋体"/>
          <w:b/>
          <w:bCs/>
          <w:sz w:val="24"/>
          <w:szCs w:val="24"/>
        </w:rPr>
        <w:t>9.5温馨提示：本项目为电子化、无纸化交易项目，开标时不接受任何纸质资料，为保证您能投标成功，请需仔细阅读投标供应商须知前附表第4.6条。</w:t>
      </w:r>
    </w:p>
    <w:p>
      <w:pPr>
        <w:shd w:val="clear" w:color="auto" w:fill="FFFFFF"/>
        <w:snapToGrid w:val="0"/>
        <w:spacing w:line="360" w:lineRule="auto"/>
        <w:ind w:firstLine="482" w:firstLineChars="200"/>
        <w:rPr>
          <w:rFonts w:ascii="宋体" w:hAnsi="宋体" w:cs="宋体"/>
          <w:b/>
          <w:bCs/>
          <w:sz w:val="24"/>
          <w:szCs w:val="24"/>
        </w:rPr>
      </w:pPr>
      <w:r>
        <w:rPr>
          <w:rFonts w:hint="eastAsia" w:ascii="宋体" w:hAnsi="宋体" w:cs="宋体"/>
          <w:b/>
          <w:bCs/>
          <w:sz w:val="24"/>
          <w:szCs w:val="24"/>
        </w:rPr>
        <w:t>10、报价</w:t>
      </w:r>
    </w:p>
    <w:p>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10.1 投标报价中应包含以下内容。</w:t>
      </w:r>
    </w:p>
    <w:p>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10.1.1 投标供应商的投标报价根据市场环境和生产要素价格变化情况及企业自身情况自主报价，投标供应商应就该项目完整投标（报价、服务、税费、售后服务等综合费用）。且投标供应商只能提出一个不变价格，采购人不接受任何选择报价。</w:t>
      </w:r>
    </w:p>
    <w:p>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10.1.2 该项目类别及取费标准按照国家相关规定执行。</w:t>
      </w:r>
    </w:p>
    <w:p>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10.1.3 电子化投标文件的投标报价，应是完成本文件所列招标范围的全部内容。</w:t>
      </w:r>
    </w:p>
    <w:p>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10.1.4 如投标报价表中的大写金额和小写金额不一致的，以大写金额为准；总价金额与单价金额不一致的，以单价金额为准，但单价金额小数点有明显错误的除外；对不同文字文本电子化投标文件的解释发生异议的，以中文文本为准。</w:t>
      </w:r>
    </w:p>
    <w:p>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10.1.5 全部报价均应以人民币为计量币种，并以人民币进行结算。</w:t>
      </w:r>
    </w:p>
    <w:p>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10.1.6 采购人对投标供应商提供的货物有权利到生产厂家进行考察和交货前验货，投标供应商应提供便利条件。</w:t>
      </w:r>
    </w:p>
    <w:p>
      <w:pPr>
        <w:shd w:val="clear" w:color="auto" w:fill="FFFFFF"/>
        <w:snapToGrid w:val="0"/>
        <w:spacing w:line="360" w:lineRule="auto"/>
        <w:ind w:firstLine="482" w:firstLineChars="200"/>
        <w:rPr>
          <w:rFonts w:ascii="宋体" w:hAnsi="宋体" w:cs="宋体"/>
          <w:b/>
          <w:bCs/>
          <w:sz w:val="24"/>
          <w:szCs w:val="24"/>
        </w:rPr>
      </w:pPr>
      <w:r>
        <w:rPr>
          <w:rFonts w:hint="eastAsia" w:ascii="宋体" w:hAnsi="宋体" w:cs="宋体"/>
          <w:b/>
          <w:bCs/>
          <w:sz w:val="24"/>
          <w:szCs w:val="24"/>
        </w:rPr>
        <w:t>11、投标保证金</w:t>
      </w:r>
    </w:p>
    <w:p>
      <w:pPr>
        <w:spacing w:line="360" w:lineRule="auto"/>
        <w:ind w:firstLine="480" w:firstLineChars="200"/>
        <w:rPr>
          <w:rFonts w:ascii="宋体" w:hAnsi="宋体" w:cs="宋体"/>
          <w:kern w:val="0"/>
          <w:sz w:val="24"/>
          <w:szCs w:val="24"/>
        </w:rPr>
      </w:pPr>
      <w:r>
        <w:rPr>
          <w:rFonts w:hint="eastAsia" w:ascii="宋体" w:hAnsi="宋体" w:cs="宋体"/>
          <w:kern w:val="0"/>
          <w:sz w:val="24"/>
          <w:szCs w:val="24"/>
        </w:rPr>
        <w:t>根据《河南省财政厅关于优化政府采购营商环境有关问题的通知》（豫财购【2019】4号）第6条的规定，投标保证金不再收取。</w:t>
      </w:r>
    </w:p>
    <w:p>
      <w:pPr>
        <w:shd w:val="clear" w:color="auto" w:fill="FFFFFF"/>
        <w:snapToGrid w:val="0"/>
        <w:spacing w:line="360" w:lineRule="auto"/>
        <w:ind w:firstLine="482" w:firstLineChars="200"/>
        <w:rPr>
          <w:rFonts w:ascii="宋体" w:hAnsi="宋体" w:cs="宋体"/>
          <w:sz w:val="24"/>
          <w:szCs w:val="24"/>
        </w:rPr>
      </w:pPr>
      <w:r>
        <w:rPr>
          <w:rFonts w:hint="eastAsia" w:ascii="宋体" w:hAnsi="宋体" w:cs="宋体"/>
          <w:b/>
          <w:bCs/>
          <w:sz w:val="24"/>
          <w:szCs w:val="24"/>
        </w:rPr>
        <w:t>12、投标有效期</w:t>
      </w:r>
    </w:p>
    <w:p>
      <w:pPr>
        <w:shd w:val="clear" w:color="auto" w:fill="FFFFFF"/>
        <w:snapToGrid w:val="0"/>
        <w:spacing w:line="360" w:lineRule="auto"/>
        <w:ind w:firstLine="482" w:firstLineChars="200"/>
        <w:rPr>
          <w:rFonts w:ascii="宋体" w:hAnsi="宋体" w:cs="宋体"/>
          <w:sz w:val="24"/>
          <w:szCs w:val="24"/>
        </w:rPr>
      </w:pPr>
      <w:r>
        <w:rPr>
          <w:rFonts w:hint="eastAsia" w:ascii="宋体" w:hAnsi="宋体" w:cs="宋体"/>
          <w:b/>
          <w:bCs/>
          <w:sz w:val="24"/>
          <w:szCs w:val="24"/>
        </w:rPr>
        <w:t>12.1</w:t>
      </w:r>
      <w:r>
        <w:rPr>
          <w:rFonts w:hint="eastAsia" w:ascii="宋体" w:hAnsi="宋体" w:cs="宋体"/>
          <w:sz w:val="24"/>
          <w:szCs w:val="24"/>
        </w:rPr>
        <w:t>投标文件从开标之时起开始生效，投标有效期从投标截止之日起90日历天。</w:t>
      </w:r>
    </w:p>
    <w:p>
      <w:pPr>
        <w:shd w:val="clear" w:color="auto" w:fill="FFFFFF"/>
        <w:snapToGrid w:val="0"/>
        <w:spacing w:line="360" w:lineRule="auto"/>
        <w:ind w:firstLine="482" w:firstLineChars="200"/>
        <w:rPr>
          <w:rFonts w:ascii="宋体" w:hAnsi="宋体" w:cs="宋体"/>
          <w:sz w:val="24"/>
          <w:szCs w:val="24"/>
        </w:rPr>
      </w:pPr>
      <w:r>
        <w:rPr>
          <w:rFonts w:hint="eastAsia" w:ascii="宋体" w:hAnsi="宋体" w:cs="宋体"/>
          <w:b/>
          <w:bCs/>
          <w:sz w:val="24"/>
          <w:szCs w:val="24"/>
        </w:rPr>
        <w:t>12.2</w:t>
      </w:r>
      <w:r>
        <w:rPr>
          <w:rFonts w:hint="eastAsia" w:ascii="宋体" w:hAnsi="宋体" w:cs="宋体"/>
          <w:sz w:val="24"/>
          <w:szCs w:val="24"/>
        </w:rPr>
        <w:t>在特殊情况下，采购人可征求投标供应商同意延长投标有效期，这种要求和答复均应以网上形式提交。同意延长投标有效期的投标供应商不需要也不允许修改其电子化投标文件。</w:t>
      </w:r>
    </w:p>
    <w:p>
      <w:pPr>
        <w:shd w:val="clear" w:color="auto" w:fill="FFFFFF"/>
        <w:snapToGrid w:val="0"/>
        <w:spacing w:line="360" w:lineRule="auto"/>
        <w:ind w:firstLine="482" w:firstLineChars="200"/>
        <w:rPr>
          <w:rFonts w:ascii="宋体" w:hAnsi="宋体" w:cs="宋体"/>
          <w:b/>
          <w:bCs/>
          <w:sz w:val="24"/>
          <w:szCs w:val="24"/>
        </w:rPr>
      </w:pPr>
      <w:r>
        <w:rPr>
          <w:rFonts w:hint="eastAsia" w:ascii="宋体" w:hAnsi="宋体" w:cs="宋体"/>
          <w:b/>
          <w:bCs/>
          <w:sz w:val="24"/>
          <w:szCs w:val="24"/>
        </w:rPr>
        <w:t>13、电子化投标文件的组成</w:t>
      </w:r>
    </w:p>
    <w:p>
      <w:pPr>
        <w:pStyle w:val="17"/>
        <w:tabs>
          <w:tab w:val="right" w:leader="dot" w:pos="9072"/>
        </w:tabs>
        <w:jc w:val="left"/>
      </w:pPr>
      <w:r>
        <w:fldChar w:fldCharType="begin"/>
      </w:r>
      <w:r>
        <w:instrText xml:space="preserve"> HYPERLINK \l "_Toc2456" </w:instrText>
      </w:r>
      <w:r>
        <w:fldChar w:fldCharType="separate"/>
      </w:r>
      <w:r>
        <w:rPr>
          <w:rFonts w:hint="eastAsia"/>
        </w:rPr>
        <w:t>1</w:t>
      </w:r>
      <w:r>
        <w:t>、投标函及投标函附录</w:t>
      </w:r>
      <w:r>
        <w:fldChar w:fldCharType="end"/>
      </w:r>
    </w:p>
    <w:p>
      <w:pPr>
        <w:pStyle w:val="17"/>
        <w:tabs>
          <w:tab w:val="right" w:leader="dot" w:pos="9072"/>
        </w:tabs>
        <w:jc w:val="left"/>
      </w:pPr>
      <w:r>
        <w:fldChar w:fldCharType="begin"/>
      </w:r>
      <w:r>
        <w:instrText xml:space="preserve"> HYPERLINK \l "_Toc31694" </w:instrText>
      </w:r>
      <w:r>
        <w:fldChar w:fldCharType="separate"/>
      </w:r>
      <w:r>
        <w:rPr>
          <w:rFonts w:hint="eastAsia"/>
        </w:rPr>
        <w:t>2</w:t>
      </w:r>
      <w:r>
        <w:t>、法定代表人身份证明</w:t>
      </w:r>
      <w:r>
        <w:fldChar w:fldCharType="end"/>
      </w:r>
    </w:p>
    <w:p>
      <w:pPr>
        <w:pStyle w:val="17"/>
        <w:tabs>
          <w:tab w:val="right" w:leader="dot" w:pos="9072"/>
        </w:tabs>
        <w:jc w:val="left"/>
      </w:pPr>
      <w:r>
        <w:fldChar w:fldCharType="begin"/>
      </w:r>
      <w:r>
        <w:instrText xml:space="preserve"> HYPERLINK \l "_Toc24090" </w:instrText>
      </w:r>
      <w:r>
        <w:fldChar w:fldCharType="separate"/>
      </w:r>
      <w:r>
        <w:rPr>
          <w:rFonts w:hint="eastAsia"/>
        </w:rPr>
        <w:t>3</w:t>
      </w:r>
      <w:r>
        <w:t>、</w:t>
      </w:r>
      <w:r>
        <w:rPr>
          <w:rFonts w:hint="eastAsia"/>
        </w:rPr>
        <w:t>法定代表人</w:t>
      </w:r>
      <w:r>
        <w:t>授权委托书</w:t>
      </w:r>
      <w:r>
        <w:fldChar w:fldCharType="end"/>
      </w:r>
    </w:p>
    <w:p>
      <w:pPr>
        <w:pStyle w:val="17"/>
        <w:tabs>
          <w:tab w:val="right" w:leader="dot" w:pos="9072"/>
        </w:tabs>
        <w:jc w:val="left"/>
      </w:pPr>
      <w:r>
        <w:fldChar w:fldCharType="begin"/>
      </w:r>
      <w:r>
        <w:instrText xml:space="preserve"> HYPERLINK \l "_Toc1439" </w:instrText>
      </w:r>
      <w:r>
        <w:fldChar w:fldCharType="separate"/>
      </w:r>
      <w:r>
        <w:rPr>
          <w:rFonts w:hint="eastAsia"/>
        </w:rPr>
        <w:t>4</w:t>
      </w:r>
      <w:r>
        <w:t>、投标承诺函</w:t>
      </w:r>
      <w:r>
        <w:fldChar w:fldCharType="end"/>
      </w:r>
      <w:bookmarkStart w:id="193" w:name="_GoBack"/>
      <w:bookmarkEnd w:id="193"/>
    </w:p>
    <w:p>
      <w:pPr>
        <w:pStyle w:val="17"/>
        <w:tabs>
          <w:tab w:val="right" w:leader="dot" w:pos="9072"/>
        </w:tabs>
        <w:jc w:val="left"/>
      </w:pPr>
      <w:r>
        <w:fldChar w:fldCharType="begin"/>
      </w:r>
      <w:r>
        <w:instrText xml:space="preserve"> HYPERLINK \l "_Toc30785" </w:instrText>
      </w:r>
      <w:r>
        <w:fldChar w:fldCharType="separate"/>
      </w:r>
      <w:r>
        <w:rPr>
          <w:rFonts w:hint="eastAsia"/>
        </w:rPr>
        <w:t>5</w:t>
      </w:r>
      <w:r>
        <w:t>、资格审查资料</w:t>
      </w:r>
      <w:r>
        <w:fldChar w:fldCharType="end"/>
      </w:r>
    </w:p>
    <w:p>
      <w:pPr>
        <w:autoSpaceDE w:val="0"/>
        <w:autoSpaceDN w:val="0"/>
        <w:adjustRightInd w:val="0"/>
        <w:spacing w:line="360" w:lineRule="auto"/>
        <w:ind w:firstLine="210" w:firstLineChars="100"/>
        <w:jc w:val="left"/>
        <w:rPr>
          <w:rFonts w:hint="eastAsia"/>
        </w:rPr>
      </w:pPr>
      <w:r>
        <w:rPr>
          <w:rFonts w:hint="eastAsia"/>
        </w:rPr>
        <w:t>6、项目实施方案</w:t>
      </w:r>
    </w:p>
    <w:p>
      <w:pPr>
        <w:autoSpaceDE w:val="0"/>
        <w:autoSpaceDN w:val="0"/>
        <w:adjustRightInd w:val="0"/>
        <w:spacing w:line="360" w:lineRule="auto"/>
        <w:ind w:firstLine="210" w:firstLineChars="100"/>
        <w:jc w:val="left"/>
        <w:rPr>
          <w:rFonts w:hint="eastAsia"/>
        </w:rPr>
      </w:pPr>
      <w:r>
        <w:rPr>
          <w:rFonts w:hint="eastAsia"/>
        </w:rPr>
        <w:t>7、售后服务方案</w:t>
      </w:r>
    </w:p>
    <w:p>
      <w:pPr>
        <w:autoSpaceDE w:val="0"/>
        <w:autoSpaceDN w:val="0"/>
        <w:adjustRightInd w:val="0"/>
        <w:spacing w:line="360" w:lineRule="auto"/>
        <w:ind w:firstLine="210" w:firstLineChars="100"/>
        <w:jc w:val="left"/>
      </w:pPr>
      <w:r>
        <w:rPr>
          <w:rFonts w:hint="eastAsia"/>
        </w:rPr>
        <w:t>8、其它材料</w:t>
      </w:r>
    </w:p>
    <w:p>
      <w:pPr>
        <w:autoSpaceDE w:val="0"/>
        <w:autoSpaceDN w:val="0"/>
        <w:adjustRightInd w:val="0"/>
        <w:spacing w:line="360" w:lineRule="auto"/>
        <w:ind w:firstLine="241" w:firstLineChars="100"/>
        <w:jc w:val="left"/>
        <w:rPr>
          <w:rFonts w:ascii="宋体" w:hAnsi="宋体" w:cs="宋体"/>
          <w:b/>
          <w:bCs/>
          <w:sz w:val="24"/>
          <w:szCs w:val="24"/>
        </w:rPr>
      </w:pPr>
      <w:r>
        <w:rPr>
          <w:rFonts w:hint="eastAsia" w:ascii="宋体" w:hAnsi="宋体" w:cs="宋体"/>
          <w:b/>
          <w:bCs/>
          <w:sz w:val="24"/>
          <w:szCs w:val="24"/>
        </w:rPr>
        <w:t>14、电子化投标文件的格式</w:t>
      </w:r>
    </w:p>
    <w:p>
      <w:pPr>
        <w:spacing w:line="360" w:lineRule="auto"/>
        <w:ind w:firstLine="480" w:firstLineChars="200"/>
        <w:rPr>
          <w:rFonts w:ascii="宋体" w:hAnsi="宋体" w:cs="宋体"/>
          <w:sz w:val="24"/>
          <w:szCs w:val="24"/>
        </w:rPr>
      </w:pPr>
      <w:r>
        <w:rPr>
          <w:rFonts w:hint="eastAsia" w:ascii="宋体" w:hAnsi="宋体" w:cs="宋体"/>
          <w:sz w:val="24"/>
          <w:szCs w:val="24"/>
        </w:rPr>
        <w:t>14.1投标人所上传的电子化投标文件，应是通过中心投标文件制作系统制作的（电子化投标文件工具请在三门峡市公共资源交易中心网首页“帮助中心”下载），经过签章和加密后生成的电子版投标文件。生成的电子版投标文件包含用于投标文件上传的主文件（后缀为.smxtf）和用于应急补救的投标文件备份文件（后缀为.nsmxtf），备份文件主要用于电子化开标出现技术问题后的补救，请投标人随身携带。</w:t>
      </w:r>
    </w:p>
    <w:p>
      <w:pPr>
        <w:autoSpaceDE w:val="0"/>
        <w:autoSpaceDN w:val="0"/>
        <w:adjustRightInd w:val="0"/>
        <w:spacing w:line="360" w:lineRule="auto"/>
        <w:ind w:firstLine="241" w:firstLineChars="100"/>
        <w:jc w:val="left"/>
        <w:rPr>
          <w:rFonts w:ascii="宋体" w:hAnsi="宋体" w:cs="宋体"/>
          <w:b/>
          <w:bCs/>
          <w:kern w:val="0"/>
          <w:sz w:val="24"/>
          <w:szCs w:val="24"/>
        </w:rPr>
      </w:pPr>
      <w:r>
        <w:rPr>
          <w:rFonts w:hint="eastAsia" w:ascii="宋体" w:hAnsi="宋体" w:cs="宋体"/>
          <w:b/>
          <w:bCs/>
          <w:kern w:val="0"/>
          <w:sz w:val="24"/>
          <w:szCs w:val="24"/>
        </w:rPr>
        <w:t>15、电子化投标文件的签章</w:t>
      </w:r>
    </w:p>
    <w:p>
      <w:pPr>
        <w:spacing w:line="360" w:lineRule="auto"/>
        <w:ind w:firstLine="480" w:firstLineChars="200"/>
        <w:rPr>
          <w:rFonts w:ascii="宋体" w:hAnsi="宋体" w:cs="宋体"/>
          <w:sz w:val="24"/>
          <w:szCs w:val="24"/>
        </w:rPr>
      </w:pPr>
      <w:r>
        <w:rPr>
          <w:rFonts w:hint="eastAsia" w:ascii="宋体" w:hAnsi="宋体" w:cs="宋体"/>
          <w:sz w:val="24"/>
          <w:szCs w:val="24"/>
        </w:rPr>
        <w:t>15.1投标人在生成电子化投标文件后，应对电子化投标文件进行逐页签章，未进行签章的视为无效投标。</w:t>
      </w:r>
    </w:p>
    <w:p>
      <w:pPr>
        <w:spacing w:line="360" w:lineRule="auto"/>
        <w:ind w:firstLine="480" w:firstLineChars="200"/>
        <w:rPr>
          <w:rFonts w:ascii="宋体" w:hAnsi="宋体" w:cs="宋体"/>
          <w:sz w:val="24"/>
          <w:szCs w:val="24"/>
        </w:rPr>
      </w:pPr>
      <w:r>
        <w:rPr>
          <w:rFonts w:hint="eastAsia" w:ascii="宋体" w:hAnsi="宋体" w:cs="宋体"/>
          <w:sz w:val="24"/>
          <w:szCs w:val="24"/>
        </w:rPr>
        <w:t>15.2投标文件中要求法定代表人或授权委托人签字盖章的，投标人在进行电子化投标文件签章时，以签盖法定代表人签章为准。电子化投标文件具体制作教材请投标人通过CA证书登录三门峡市公共资源电子化交易系统在右上角“交易智库”中查看。电子化投标文件工具请在三门峡市公共资源交易中心网首页“帮助中心”下载。</w:t>
      </w:r>
    </w:p>
    <w:p>
      <w:pPr>
        <w:pStyle w:val="30"/>
        <w:spacing w:line="360" w:lineRule="auto"/>
        <w:rPr>
          <w:rFonts w:ascii="宋体" w:hAnsi="宋体" w:cs="宋体"/>
          <w:sz w:val="24"/>
          <w:szCs w:val="24"/>
        </w:rPr>
      </w:pPr>
      <w:r>
        <w:rPr>
          <w:rFonts w:hint="eastAsia" w:ascii="宋体" w:hAnsi="宋体" w:cs="宋体"/>
          <w:sz w:val="24"/>
          <w:szCs w:val="24"/>
        </w:rPr>
        <w:t>四、投标文件的上传</w:t>
      </w:r>
    </w:p>
    <w:p>
      <w:pPr>
        <w:shd w:val="clear" w:color="auto" w:fill="FFFFFF"/>
        <w:snapToGrid w:val="0"/>
        <w:spacing w:line="360" w:lineRule="auto"/>
        <w:ind w:firstLine="241" w:firstLineChars="100"/>
        <w:rPr>
          <w:rFonts w:ascii="宋体" w:hAnsi="宋体" w:cs="宋体"/>
          <w:b/>
          <w:bCs/>
          <w:sz w:val="24"/>
          <w:szCs w:val="24"/>
        </w:rPr>
      </w:pPr>
      <w:r>
        <w:rPr>
          <w:rFonts w:hint="eastAsia" w:ascii="宋体" w:hAnsi="宋体" w:cs="宋体"/>
          <w:b/>
          <w:bCs/>
          <w:sz w:val="24"/>
          <w:szCs w:val="24"/>
        </w:rPr>
        <w:t>16、投标文件上传</w:t>
      </w:r>
    </w:p>
    <w:p>
      <w:pPr>
        <w:spacing w:line="360" w:lineRule="auto"/>
        <w:ind w:firstLine="480" w:firstLineChars="200"/>
        <w:rPr>
          <w:rFonts w:ascii="宋体" w:hAnsi="宋体" w:cs="宋体"/>
          <w:kern w:val="0"/>
          <w:sz w:val="24"/>
          <w:szCs w:val="24"/>
        </w:rPr>
      </w:pPr>
      <w:r>
        <w:rPr>
          <w:rFonts w:hint="eastAsia" w:ascii="宋体" w:hAnsi="宋体" w:cs="宋体"/>
          <w:kern w:val="0"/>
          <w:sz w:val="24"/>
          <w:szCs w:val="24"/>
        </w:rPr>
        <w:t>16.1电子化投标文件应在投标截止时间前成功上传至三门峡市公共资源电子化交易系统。至投标截止时间止，仍未上传成功的电子化投标文件将不予接收。</w:t>
      </w:r>
    </w:p>
    <w:p>
      <w:pPr>
        <w:spacing w:line="360" w:lineRule="auto"/>
        <w:ind w:firstLine="480" w:firstLineChars="200"/>
        <w:rPr>
          <w:rFonts w:ascii="宋体" w:hAnsi="宋体" w:cs="宋体"/>
          <w:kern w:val="0"/>
          <w:sz w:val="24"/>
          <w:szCs w:val="24"/>
        </w:rPr>
      </w:pPr>
      <w:r>
        <w:rPr>
          <w:rFonts w:hint="eastAsia" w:ascii="宋体" w:hAnsi="宋体" w:cs="宋体"/>
          <w:kern w:val="0"/>
          <w:sz w:val="24"/>
          <w:szCs w:val="24"/>
        </w:rPr>
        <w:t>注：如按照电子化投标操作教材制作完成的电子化投标文件无法上传的，投标人应在投标截止时间前尽早的联系中心技术人员，以便有充分的时间进行处理。投标人应充分考虑到处理技术问题和上传数据等工作所需的时间问题，投标文件未在投标截止时间前成功上传的，其投标文件不予接收。</w:t>
      </w:r>
    </w:p>
    <w:p>
      <w:pPr>
        <w:shd w:val="clear" w:color="auto" w:fill="FFFFFF"/>
        <w:snapToGrid w:val="0"/>
        <w:spacing w:line="360" w:lineRule="auto"/>
        <w:ind w:firstLine="241" w:firstLineChars="100"/>
        <w:rPr>
          <w:rFonts w:ascii="宋体" w:hAnsi="宋体" w:cs="宋体"/>
          <w:sz w:val="24"/>
          <w:szCs w:val="24"/>
        </w:rPr>
      </w:pPr>
      <w:r>
        <w:rPr>
          <w:rFonts w:hint="eastAsia" w:ascii="宋体" w:hAnsi="宋体" w:cs="宋体"/>
          <w:b/>
          <w:bCs/>
          <w:sz w:val="24"/>
          <w:szCs w:val="24"/>
        </w:rPr>
        <w:t>17.投标截止时间</w:t>
      </w:r>
    </w:p>
    <w:p>
      <w:pPr>
        <w:shd w:val="clear" w:color="auto" w:fill="FFFFFF"/>
        <w:snapToGrid w:val="0"/>
        <w:spacing w:line="360" w:lineRule="auto"/>
        <w:ind w:firstLine="482" w:firstLineChars="200"/>
        <w:rPr>
          <w:rFonts w:ascii="宋体" w:hAnsi="宋体" w:cs="宋体"/>
          <w:sz w:val="24"/>
          <w:szCs w:val="24"/>
        </w:rPr>
      </w:pPr>
      <w:r>
        <w:rPr>
          <w:rFonts w:hint="eastAsia" w:ascii="宋体" w:hAnsi="宋体" w:cs="宋体"/>
          <w:b/>
          <w:bCs/>
          <w:sz w:val="24"/>
          <w:szCs w:val="24"/>
        </w:rPr>
        <w:t>17.1</w:t>
      </w:r>
      <w:r>
        <w:rPr>
          <w:rFonts w:hint="eastAsia" w:ascii="宋体" w:hAnsi="宋体" w:cs="宋体"/>
          <w:sz w:val="24"/>
          <w:szCs w:val="24"/>
        </w:rPr>
        <w:t>投标文件的截止时间见本须知前附表规定。</w:t>
      </w:r>
    </w:p>
    <w:p>
      <w:pPr>
        <w:shd w:val="clear" w:color="auto" w:fill="FFFFFF"/>
        <w:snapToGrid w:val="0"/>
        <w:spacing w:line="360" w:lineRule="auto"/>
        <w:ind w:firstLine="482" w:firstLineChars="200"/>
        <w:rPr>
          <w:rFonts w:ascii="宋体" w:hAnsi="宋体" w:cs="宋体"/>
          <w:sz w:val="24"/>
          <w:szCs w:val="24"/>
        </w:rPr>
      </w:pPr>
      <w:r>
        <w:rPr>
          <w:rFonts w:hint="eastAsia" w:ascii="宋体" w:hAnsi="宋体" w:cs="宋体"/>
          <w:b/>
          <w:bCs/>
          <w:sz w:val="24"/>
          <w:szCs w:val="24"/>
        </w:rPr>
        <w:t>17.2</w:t>
      </w:r>
      <w:r>
        <w:rPr>
          <w:rFonts w:hint="eastAsia" w:ascii="宋体" w:hAnsi="宋体" w:cs="宋体"/>
          <w:sz w:val="24"/>
          <w:szCs w:val="24"/>
        </w:rPr>
        <w:t>到投标截止时间止，采购人收到的投标文件少于3个的，采购人将依法重新组织招标。</w:t>
      </w:r>
    </w:p>
    <w:p>
      <w:pPr>
        <w:shd w:val="clear" w:color="auto" w:fill="FFFFFF"/>
        <w:snapToGrid w:val="0"/>
        <w:spacing w:line="360" w:lineRule="auto"/>
        <w:ind w:firstLine="480" w:firstLineChars="200"/>
        <w:rPr>
          <w:rFonts w:ascii="宋体" w:hAnsi="宋体" w:cs="宋体"/>
          <w:sz w:val="24"/>
          <w:szCs w:val="24"/>
        </w:rPr>
      </w:pPr>
      <w:r>
        <w:rPr>
          <w:rFonts w:hint="eastAsia" w:ascii="宋体" w:hAnsi="宋体" w:cs="宋体"/>
          <w:kern w:val="0"/>
          <w:sz w:val="24"/>
          <w:szCs w:val="24"/>
        </w:rPr>
        <w:t>17.3电子化投标文件的补充、修改与撤回</w:t>
      </w:r>
    </w:p>
    <w:p>
      <w:pPr>
        <w:shd w:val="clear" w:color="auto" w:fill="FFFFFF"/>
        <w:snapToGrid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17.3.1在投标截止时间之后，投标供应商不得补充、修改电子化投标文件。</w:t>
      </w:r>
    </w:p>
    <w:p>
      <w:pPr>
        <w:pStyle w:val="30"/>
        <w:spacing w:line="360" w:lineRule="auto"/>
        <w:rPr>
          <w:rFonts w:ascii="宋体" w:hAnsi="宋体" w:cs="宋体"/>
          <w:sz w:val="24"/>
          <w:szCs w:val="24"/>
        </w:rPr>
      </w:pPr>
      <w:r>
        <w:rPr>
          <w:rFonts w:hint="eastAsia" w:ascii="宋体" w:hAnsi="宋体" w:cs="宋体"/>
          <w:sz w:val="24"/>
          <w:szCs w:val="24"/>
        </w:rPr>
        <w:t>五、开标</w:t>
      </w:r>
    </w:p>
    <w:p>
      <w:pPr>
        <w:shd w:val="clear" w:color="auto" w:fill="FFFFFF"/>
        <w:snapToGrid w:val="0"/>
        <w:spacing w:line="360" w:lineRule="auto"/>
        <w:ind w:firstLine="241" w:firstLineChars="100"/>
        <w:rPr>
          <w:rFonts w:ascii="宋体" w:hAnsi="宋体" w:cs="宋体"/>
          <w:sz w:val="24"/>
          <w:szCs w:val="24"/>
        </w:rPr>
      </w:pPr>
      <w:r>
        <w:rPr>
          <w:rFonts w:hint="eastAsia" w:ascii="宋体" w:hAnsi="宋体" w:cs="宋体"/>
          <w:b/>
          <w:bCs/>
          <w:sz w:val="24"/>
          <w:szCs w:val="24"/>
        </w:rPr>
        <w:t>18、开标</w:t>
      </w:r>
    </w:p>
    <w:p>
      <w:pPr>
        <w:shd w:val="clear" w:color="auto" w:fill="FFFFFF"/>
        <w:snapToGrid w:val="0"/>
        <w:spacing w:line="360" w:lineRule="auto"/>
        <w:ind w:firstLine="482" w:firstLineChars="200"/>
        <w:rPr>
          <w:rFonts w:ascii="宋体" w:hAnsi="宋体" w:cs="宋体"/>
          <w:sz w:val="24"/>
          <w:szCs w:val="24"/>
        </w:rPr>
      </w:pPr>
      <w:r>
        <w:rPr>
          <w:rFonts w:hint="eastAsia" w:ascii="宋体" w:hAnsi="宋体" w:cs="宋体"/>
          <w:b/>
          <w:sz w:val="24"/>
          <w:szCs w:val="24"/>
        </w:rPr>
        <w:t>18.1</w:t>
      </w:r>
      <w:r>
        <w:rPr>
          <w:rFonts w:hint="eastAsia" w:ascii="宋体" w:hAnsi="宋体" w:cs="宋体"/>
          <w:sz w:val="24"/>
          <w:szCs w:val="24"/>
        </w:rPr>
        <w:t>采购人按本须知前附表所规定的时间和地点公开开标，开标会议由采购代理机构主持，在有关部门监督下进行。</w:t>
      </w:r>
    </w:p>
    <w:p>
      <w:pPr>
        <w:shd w:val="clear" w:color="auto" w:fill="FFFFFF"/>
        <w:snapToGrid w:val="0"/>
        <w:spacing w:line="360" w:lineRule="auto"/>
        <w:ind w:firstLine="482" w:firstLineChars="200"/>
        <w:rPr>
          <w:rFonts w:ascii="宋体" w:hAnsi="宋体" w:cs="宋体"/>
          <w:sz w:val="24"/>
          <w:szCs w:val="24"/>
        </w:rPr>
      </w:pPr>
      <w:r>
        <w:rPr>
          <w:rFonts w:hint="eastAsia" w:ascii="宋体" w:hAnsi="宋体" w:cs="宋体"/>
          <w:b/>
          <w:bCs/>
          <w:sz w:val="24"/>
          <w:szCs w:val="24"/>
        </w:rPr>
        <w:t>18.2开标程序：</w:t>
      </w:r>
    </w:p>
    <w:p>
      <w:pPr>
        <w:shd w:val="clear" w:color="auto" w:fill="FFFFFF"/>
        <w:snapToGrid w:val="0"/>
        <w:spacing w:line="360" w:lineRule="auto"/>
        <w:ind w:firstLine="482" w:firstLineChars="200"/>
        <w:rPr>
          <w:rFonts w:ascii="宋体" w:hAnsi="宋体" w:cs="宋体"/>
          <w:sz w:val="24"/>
          <w:szCs w:val="24"/>
        </w:rPr>
      </w:pPr>
      <w:r>
        <w:rPr>
          <w:rFonts w:hint="eastAsia" w:ascii="宋体" w:hAnsi="宋体" w:cs="宋体"/>
          <w:b/>
          <w:sz w:val="24"/>
          <w:szCs w:val="24"/>
        </w:rPr>
        <w:t>18.2.1</w:t>
      </w:r>
      <w:r>
        <w:rPr>
          <w:rFonts w:hint="eastAsia" w:ascii="宋体" w:hAnsi="宋体" w:cs="宋体"/>
          <w:sz w:val="24"/>
          <w:szCs w:val="24"/>
        </w:rPr>
        <w:t>开标由采购代理机构主持；</w:t>
      </w:r>
    </w:p>
    <w:p>
      <w:pPr>
        <w:shd w:val="clear" w:color="auto" w:fill="FFFFFF"/>
        <w:snapToGrid w:val="0"/>
        <w:spacing w:line="360" w:lineRule="auto"/>
        <w:ind w:firstLine="482" w:firstLineChars="200"/>
        <w:rPr>
          <w:rFonts w:ascii="宋体" w:hAnsi="宋体" w:cs="宋体"/>
          <w:sz w:val="24"/>
          <w:szCs w:val="24"/>
        </w:rPr>
      </w:pPr>
      <w:r>
        <w:rPr>
          <w:rFonts w:hint="eastAsia" w:ascii="宋体" w:hAnsi="宋体" w:cs="宋体"/>
          <w:b/>
          <w:sz w:val="24"/>
          <w:szCs w:val="24"/>
        </w:rPr>
        <w:t>18.2.2</w:t>
      </w:r>
      <w:r>
        <w:rPr>
          <w:rFonts w:hint="eastAsia" w:ascii="宋体" w:hAnsi="宋体" w:cs="宋体"/>
          <w:sz w:val="24"/>
          <w:szCs w:val="24"/>
        </w:rPr>
        <w:t>介绍本项目的情况；</w:t>
      </w:r>
    </w:p>
    <w:p>
      <w:pPr>
        <w:shd w:val="clear" w:color="auto" w:fill="FFFFFF"/>
        <w:snapToGrid w:val="0"/>
        <w:spacing w:line="360" w:lineRule="auto"/>
        <w:ind w:firstLine="482" w:firstLineChars="200"/>
        <w:rPr>
          <w:rFonts w:ascii="宋体" w:hAnsi="宋体" w:cs="宋体"/>
          <w:sz w:val="24"/>
          <w:szCs w:val="24"/>
        </w:rPr>
      </w:pPr>
      <w:r>
        <w:rPr>
          <w:rFonts w:hint="eastAsia" w:ascii="宋体" w:hAnsi="宋体" w:cs="宋体"/>
          <w:b/>
          <w:sz w:val="24"/>
          <w:szCs w:val="24"/>
        </w:rPr>
        <w:t>18.2.3</w:t>
      </w:r>
      <w:r>
        <w:rPr>
          <w:rFonts w:hint="eastAsia" w:ascii="宋体" w:hAnsi="宋体" w:cs="宋体"/>
          <w:sz w:val="24"/>
          <w:szCs w:val="24"/>
        </w:rPr>
        <w:t>宣布开标会议纪律；</w:t>
      </w:r>
    </w:p>
    <w:p>
      <w:pPr>
        <w:shd w:val="clear" w:color="auto" w:fill="FFFFFF"/>
        <w:tabs>
          <w:tab w:val="left" w:pos="383"/>
        </w:tabs>
        <w:snapToGrid w:val="0"/>
        <w:spacing w:line="360" w:lineRule="auto"/>
        <w:ind w:firstLine="482" w:firstLineChars="200"/>
        <w:rPr>
          <w:rFonts w:ascii="宋体" w:hAnsi="宋体" w:cs="宋体"/>
          <w:sz w:val="24"/>
          <w:szCs w:val="24"/>
        </w:rPr>
      </w:pPr>
      <w:r>
        <w:rPr>
          <w:rFonts w:hint="eastAsia" w:ascii="宋体" w:hAnsi="宋体" w:cs="宋体"/>
          <w:b/>
          <w:sz w:val="24"/>
          <w:szCs w:val="24"/>
        </w:rPr>
        <w:t>18.2.4</w:t>
      </w:r>
      <w:r>
        <w:rPr>
          <w:rFonts w:hint="eastAsia" w:ascii="宋体" w:hAnsi="宋体" w:cs="宋体"/>
          <w:sz w:val="24"/>
          <w:szCs w:val="24"/>
        </w:rPr>
        <w:t>介绍参会的采购人、监督人；</w:t>
      </w:r>
    </w:p>
    <w:p>
      <w:pPr>
        <w:shd w:val="clear" w:color="auto" w:fill="FFFFFF"/>
        <w:snapToGrid w:val="0"/>
        <w:spacing w:line="360" w:lineRule="auto"/>
        <w:ind w:firstLine="482" w:firstLineChars="200"/>
        <w:rPr>
          <w:rFonts w:ascii="宋体" w:hAnsi="宋体" w:cs="宋体"/>
          <w:sz w:val="24"/>
          <w:szCs w:val="24"/>
        </w:rPr>
      </w:pPr>
      <w:r>
        <w:rPr>
          <w:rFonts w:hint="eastAsia" w:ascii="宋体" w:hAnsi="宋体" w:cs="宋体"/>
          <w:b/>
          <w:sz w:val="24"/>
          <w:szCs w:val="24"/>
        </w:rPr>
        <w:t>18.2.5</w:t>
      </w:r>
      <w:r>
        <w:rPr>
          <w:rFonts w:hint="eastAsia" w:ascii="宋体" w:hAnsi="宋体" w:cs="宋体"/>
          <w:sz w:val="24"/>
          <w:szCs w:val="24"/>
        </w:rPr>
        <w:t>开标时，电子招标投标交易平台自动提取所有投标文件，按时在线解密。解密全部完成后，向所有投标供应商公布投标供应商名称、投标价格和招标文件规定的其他内容。</w:t>
      </w:r>
    </w:p>
    <w:p>
      <w:pPr>
        <w:shd w:val="clear" w:color="auto" w:fill="FFFFFF"/>
        <w:snapToGrid w:val="0"/>
        <w:spacing w:line="360" w:lineRule="auto"/>
        <w:ind w:firstLine="482" w:firstLineChars="200"/>
        <w:rPr>
          <w:rFonts w:ascii="宋体" w:hAnsi="宋体" w:cs="宋体"/>
          <w:sz w:val="24"/>
          <w:szCs w:val="24"/>
        </w:rPr>
      </w:pPr>
      <w:r>
        <w:rPr>
          <w:rFonts w:hint="eastAsia" w:ascii="宋体" w:hAnsi="宋体" w:cs="宋体"/>
          <w:b/>
          <w:sz w:val="24"/>
          <w:szCs w:val="24"/>
        </w:rPr>
        <w:t>18.3</w:t>
      </w:r>
      <w:r>
        <w:rPr>
          <w:rFonts w:hint="eastAsia" w:ascii="宋体" w:hAnsi="宋体" w:cs="宋体"/>
          <w:sz w:val="24"/>
          <w:szCs w:val="24"/>
        </w:rPr>
        <w:t>投标文件的有效性</w:t>
      </w:r>
    </w:p>
    <w:p>
      <w:pPr>
        <w:shd w:val="clear" w:color="auto" w:fill="FFFFFF"/>
        <w:snapToGrid w:val="0"/>
        <w:spacing w:line="360" w:lineRule="auto"/>
        <w:ind w:firstLine="482" w:firstLineChars="200"/>
        <w:rPr>
          <w:rFonts w:ascii="宋体" w:hAnsi="宋体" w:cs="宋体"/>
          <w:sz w:val="24"/>
          <w:szCs w:val="24"/>
        </w:rPr>
      </w:pPr>
      <w:r>
        <w:rPr>
          <w:rFonts w:hint="eastAsia" w:ascii="宋体" w:hAnsi="宋体" w:cs="宋体"/>
          <w:b/>
          <w:sz w:val="24"/>
          <w:szCs w:val="24"/>
        </w:rPr>
        <w:t>18.3.1</w:t>
      </w:r>
      <w:r>
        <w:rPr>
          <w:rFonts w:hint="eastAsia" w:ascii="宋体" w:hAnsi="宋体" w:cs="宋体"/>
          <w:sz w:val="24"/>
          <w:szCs w:val="24"/>
        </w:rPr>
        <w:t>投标文件有下列情形之一的为无效电子化投标文件，采购人不予受理：因投标供应商原因造成投标文件未解密的，视为撤销其投标文件；因投标供应商之外的原因造成投标文件未解密的，视为撤回其投标文件，投标供应商有权要求责任方赔偿因此遭受的直接损失。部分投标文件未解密的，其他投标文件的开标可以继续进行。</w:t>
      </w:r>
    </w:p>
    <w:p>
      <w:pPr>
        <w:shd w:val="clear" w:color="auto" w:fill="FFFFFF"/>
        <w:snapToGrid w:val="0"/>
        <w:spacing w:line="360" w:lineRule="auto"/>
        <w:ind w:firstLine="482" w:firstLineChars="200"/>
        <w:rPr>
          <w:rFonts w:ascii="宋体" w:hAnsi="宋体" w:cs="宋体"/>
          <w:sz w:val="24"/>
          <w:szCs w:val="24"/>
        </w:rPr>
      </w:pPr>
      <w:r>
        <w:rPr>
          <w:rFonts w:hint="eastAsia" w:ascii="宋体" w:hAnsi="宋体" w:cs="宋体"/>
          <w:b/>
          <w:sz w:val="24"/>
          <w:szCs w:val="24"/>
        </w:rPr>
        <w:t>18.3.2</w:t>
      </w:r>
      <w:r>
        <w:rPr>
          <w:rFonts w:hint="eastAsia" w:ascii="宋体" w:hAnsi="宋体" w:cs="宋体"/>
          <w:sz w:val="24"/>
          <w:szCs w:val="24"/>
        </w:rPr>
        <w:t>若投标文件解密后，有效电子投标文件不足三家的，本项目应予废标。</w:t>
      </w:r>
    </w:p>
    <w:p>
      <w:pPr>
        <w:pStyle w:val="30"/>
        <w:spacing w:line="360" w:lineRule="auto"/>
        <w:rPr>
          <w:rFonts w:ascii="宋体" w:hAnsi="宋体" w:cs="宋体"/>
          <w:sz w:val="24"/>
          <w:szCs w:val="24"/>
        </w:rPr>
      </w:pPr>
      <w:r>
        <w:rPr>
          <w:rFonts w:hint="eastAsia" w:ascii="宋体" w:hAnsi="宋体" w:cs="宋体"/>
          <w:sz w:val="24"/>
          <w:szCs w:val="24"/>
        </w:rPr>
        <w:t>六、评标与定标</w:t>
      </w:r>
    </w:p>
    <w:p>
      <w:pPr>
        <w:shd w:val="clear" w:color="auto" w:fill="FFFFFF"/>
        <w:snapToGrid w:val="0"/>
        <w:spacing w:line="360" w:lineRule="auto"/>
        <w:ind w:firstLine="241" w:firstLineChars="100"/>
        <w:rPr>
          <w:rFonts w:ascii="宋体" w:hAnsi="宋体" w:cs="宋体"/>
          <w:sz w:val="24"/>
          <w:szCs w:val="24"/>
        </w:rPr>
      </w:pPr>
      <w:r>
        <w:rPr>
          <w:rFonts w:hint="eastAsia" w:ascii="宋体" w:hAnsi="宋体" w:cs="宋体"/>
          <w:b/>
          <w:bCs/>
          <w:sz w:val="24"/>
          <w:szCs w:val="24"/>
        </w:rPr>
        <w:t>19、评标委员会</w:t>
      </w:r>
    </w:p>
    <w:p>
      <w:pPr>
        <w:shd w:val="clear" w:color="auto" w:fill="FFFFFF"/>
        <w:snapToGrid w:val="0"/>
        <w:spacing w:line="360" w:lineRule="auto"/>
        <w:ind w:firstLine="482" w:firstLineChars="200"/>
        <w:rPr>
          <w:rFonts w:ascii="宋体" w:hAnsi="宋体" w:cs="宋体"/>
          <w:sz w:val="24"/>
          <w:szCs w:val="24"/>
        </w:rPr>
      </w:pPr>
      <w:r>
        <w:rPr>
          <w:rFonts w:hint="eastAsia" w:ascii="宋体" w:hAnsi="宋体" w:cs="宋体"/>
          <w:b/>
          <w:bCs/>
          <w:sz w:val="24"/>
          <w:szCs w:val="24"/>
        </w:rPr>
        <w:t>19.1</w:t>
      </w:r>
      <w:r>
        <w:rPr>
          <w:rFonts w:hint="eastAsia" w:ascii="宋体" w:hAnsi="宋体" w:cs="宋体"/>
          <w:sz w:val="24"/>
          <w:szCs w:val="24"/>
        </w:rPr>
        <w:t>评标委员会由采购人依法组建，负责评标活动。</w:t>
      </w:r>
    </w:p>
    <w:p>
      <w:pPr>
        <w:shd w:val="clear" w:color="auto" w:fill="FFFFFF"/>
        <w:snapToGrid w:val="0"/>
        <w:spacing w:line="360" w:lineRule="auto"/>
        <w:ind w:firstLine="480" w:firstLineChars="200"/>
        <w:rPr>
          <w:rFonts w:ascii="宋体" w:hAnsi="宋体" w:cs="宋体"/>
          <w:sz w:val="24"/>
          <w:szCs w:val="24"/>
        </w:rPr>
      </w:pPr>
      <w:r>
        <w:rPr>
          <w:rFonts w:hint="eastAsia" w:ascii="宋体" w:hAnsi="宋体" w:cs="宋体"/>
          <w:sz w:val="24"/>
          <w:szCs w:val="24"/>
        </w:rPr>
        <w:t>19.2评标委员会构成：见供应商须知前附表</w:t>
      </w:r>
    </w:p>
    <w:p>
      <w:pPr>
        <w:shd w:val="clear" w:color="auto" w:fill="FFFFFF"/>
        <w:snapToGrid w:val="0"/>
        <w:spacing w:line="360" w:lineRule="auto"/>
        <w:ind w:right="105" w:rightChars="50" w:firstLine="480" w:firstLineChars="200"/>
        <w:rPr>
          <w:rFonts w:ascii="宋体" w:hAnsi="宋体" w:cs="宋体"/>
          <w:sz w:val="24"/>
          <w:szCs w:val="24"/>
        </w:rPr>
      </w:pPr>
      <w:r>
        <w:rPr>
          <w:rFonts w:hint="eastAsia" w:ascii="宋体" w:hAnsi="宋体" w:cs="宋体"/>
          <w:sz w:val="24"/>
          <w:szCs w:val="24"/>
        </w:rPr>
        <w:t>19.3参加评标的专家通过相关专家库随机抽取随机选定。与投标供应商有利害关系的人不得进入评标委员会。</w:t>
      </w:r>
    </w:p>
    <w:p>
      <w:pPr>
        <w:shd w:val="clear" w:color="auto" w:fill="FFFFFF"/>
        <w:snapToGrid w:val="0"/>
        <w:spacing w:line="360" w:lineRule="auto"/>
        <w:ind w:right="105" w:rightChars="50" w:firstLine="482" w:firstLineChars="200"/>
        <w:rPr>
          <w:rFonts w:ascii="宋体" w:hAnsi="宋体" w:cs="宋体"/>
          <w:sz w:val="24"/>
          <w:szCs w:val="24"/>
        </w:rPr>
      </w:pPr>
      <w:r>
        <w:rPr>
          <w:rFonts w:hint="eastAsia" w:ascii="宋体" w:hAnsi="宋体" w:cs="宋体"/>
          <w:b/>
          <w:bCs/>
          <w:sz w:val="24"/>
          <w:szCs w:val="24"/>
        </w:rPr>
        <w:t>19.4</w:t>
      </w:r>
      <w:r>
        <w:rPr>
          <w:rFonts w:hint="eastAsia" w:ascii="宋体" w:hAnsi="宋体" w:cs="宋体"/>
          <w:sz w:val="24"/>
          <w:szCs w:val="24"/>
        </w:rPr>
        <w:t>开标结束后，开始评标。评标工作在相关部门监督下，采用保密方式进行。</w:t>
      </w:r>
    </w:p>
    <w:p>
      <w:pPr>
        <w:shd w:val="clear" w:color="auto" w:fill="FFFFFF"/>
        <w:snapToGrid w:val="0"/>
        <w:spacing w:line="360" w:lineRule="auto"/>
        <w:ind w:right="105" w:rightChars="50" w:firstLine="241" w:firstLineChars="100"/>
        <w:rPr>
          <w:rFonts w:ascii="宋体" w:hAnsi="宋体" w:cs="宋体"/>
          <w:sz w:val="24"/>
          <w:szCs w:val="24"/>
        </w:rPr>
      </w:pPr>
      <w:r>
        <w:rPr>
          <w:rFonts w:hint="eastAsia" w:ascii="宋体" w:hAnsi="宋体" w:cs="宋体"/>
          <w:b/>
          <w:bCs/>
          <w:sz w:val="24"/>
          <w:szCs w:val="24"/>
        </w:rPr>
        <w:t>20、评标过程的保密</w:t>
      </w:r>
    </w:p>
    <w:p>
      <w:pPr>
        <w:shd w:val="clear" w:color="auto" w:fill="FFFFFF"/>
        <w:snapToGrid w:val="0"/>
        <w:spacing w:line="360" w:lineRule="auto"/>
        <w:ind w:right="105" w:rightChars="50" w:firstLine="482" w:firstLineChars="200"/>
        <w:rPr>
          <w:rFonts w:ascii="宋体" w:hAnsi="宋体" w:cs="宋体"/>
          <w:sz w:val="24"/>
          <w:szCs w:val="24"/>
        </w:rPr>
      </w:pPr>
      <w:r>
        <w:rPr>
          <w:rFonts w:hint="eastAsia" w:ascii="宋体" w:hAnsi="宋体" w:cs="宋体"/>
          <w:b/>
          <w:bCs/>
          <w:sz w:val="24"/>
          <w:szCs w:val="24"/>
        </w:rPr>
        <w:t>20.1</w:t>
      </w:r>
      <w:r>
        <w:rPr>
          <w:rFonts w:hint="eastAsia" w:ascii="宋体" w:hAnsi="宋体" w:cs="宋体"/>
          <w:sz w:val="24"/>
          <w:szCs w:val="24"/>
        </w:rPr>
        <w:t>开标后，直至授予中标供应商合同为止，凡属于对电子化投标文件的审查、澄清、评价和比较有关的资料，中标候选人的推荐情况，及其他任何与评标有关的情况均应严格保密。</w:t>
      </w:r>
    </w:p>
    <w:p>
      <w:pPr>
        <w:shd w:val="clear" w:color="auto" w:fill="FFFFFF"/>
        <w:snapToGrid w:val="0"/>
        <w:spacing w:line="360" w:lineRule="auto"/>
        <w:ind w:right="105" w:rightChars="50" w:firstLine="482" w:firstLineChars="200"/>
        <w:rPr>
          <w:rFonts w:ascii="宋体" w:hAnsi="宋体" w:cs="宋体"/>
          <w:sz w:val="24"/>
          <w:szCs w:val="24"/>
        </w:rPr>
      </w:pPr>
      <w:r>
        <w:rPr>
          <w:rFonts w:hint="eastAsia" w:ascii="宋体" w:hAnsi="宋体" w:cs="宋体"/>
          <w:b/>
          <w:bCs/>
          <w:sz w:val="24"/>
          <w:szCs w:val="24"/>
        </w:rPr>
        <w:t>20.2</w:t>
      </w:r>
      <w:r>
        <w:rPr>
          <w:rFonts w:hint="eastAsia" w:ascii="宋体" w:hAnsi="宋体" w:cs="宋体"/>
          <w:sz w:val="24"/>
          <w:szCs w:val="24"/>
        </w:rPr>
        <w:t>在电子化投标文件的评审和比较、中标候选人推荐以及授予合同的过程中，投标供应商向采购人和评标委员会施加影响的任何行为，都将会导致其投标被拒绝。</w:t>
      </w:r>
    </w:p>
    <w:p>
      <w:pPr>
        <w:shd w:val="clear" w:color="auto" w:fill="FFFFFF"/>
        <w:snapToGrid w:val="0"/>
        <w:spacing w:line="360" w:lineRule="auto"/>
        <w:ind w:right="105" w:rightChars="50" w:firstLine="482" w:firstLineChars="200"/>
        <w:rPr>
          <w:rFonts w:ascii="宋体" w:hAnsi="宋体" w:cs="宋体"/>
          <w:sz w:val="24"/>
          <w:szCs w:val="24"/>
        </w:rPr>
      </w:pPr>
      <w:r>
        <w:rPr>
          <w:rFonts w:hint="eastAsia" w:ascii="宋体" w:hAnsi="宋体" w:cs="宋体"/>
          <w:b/>
          <w:bCs/>
          <w:sz w:val="24"/>
          <w:szCs w:val="24"/>
        </w:rPr>
        <w:t>20.3</w:t>
      </w:r>
      <w:r>
        <w:rPr>
          <w:rFonts w:hint="eastAsia" w:ascii="宋体" w:hAnsi="宋体" w:cs="宋体"/>
          <w:sz w:val="24"/>
          <w:szCs w:val="24"/>
        </w:rPr>
        <w:t>中标供应商确定后，采购人不对未中标供应商就评标过程以及未能中标原因作出任何解释。未中标供应商不得向评标委员会组成人员或其他有关人员索问评标过程的情况和材料。</w:t>
      </w:r>
    </w:p>
    <w:p>
      <w:pPr>
        <w:shd w:val="clear" w:color="auto" w:fill="FFFFFF"/>
        <w:snapToGrid w:val="0"/>
        <w:spacing w:line="360" w:lineRule="auto"/>
        <w:ind w:right="105" w:rightChars="50" w:firstLine="241" w:firstLineChars="100"/>
        <w:rPr>
          <w:rFonts w:ascii="宋体" w:hAnsi="宋体" w:cs="宋体"/>
          <w:sz w:val="24"/>
          <w:szCs w:val="24"/>
        </w:rPr>
      </w:pPr>
      <w:r>
        <w:rPr>
          <w:rFonts w:hint="eastAsia" w:ascii="宋体" w:hAnsi="宋体" w:cs="宋体"/>
          <w:b/>
          <w:bCs/>
          <w:sz w:val="24"/>
          <w:szCs w:val="24"/>
        </w:rPr>
        <w:t>21、评标纪律</w:t>
      </w:r>
    </w:p>
    <w:p>
      <w:pPr>
        <w:shd w:val="clear" w:color="auto" w:fill="FFFFFF"/>
        <w:snapToGrid w:val="0"/>
        <w:spacing w:line="360" w:lineRule="auto"/>
        <w:ind w:right="105" w:rightChars="50" w:firstLine="482" w:firstLineChars="200"/>
        <w:rPr>
          <w:rFonts w:ascii="宋体" w:hAnsi="宋体" w:cs="宋体"/>
          <w:sz w:val="24"/>
          <w:szCs w:val="24"/>
        </w:rPr>
      </w:pPr>
      <w:r>
        <w:rPr>
          <w:rFonts w:hint="eastAsia" w:ascii="宋体" w:hAnsi="宋体" w:cs="宋体"/>
          <w:b/>
          <w:bCs/>
          <w:sz w:val="24"/>
          <w:szCs w:val="24"/>
        </w:rPr>
        <w:t>21.1</w:t>
      </w:r>
      <w:r>
        <w:rPr>
          <w:rFonts w:hint="eastAsia" w:ascii="宋体" w:hAnsi="宋体" w:cs="宋体"/>
          <w:sz w:val="24"/>
          <w:szCs w:val="24"/>
        </w:rPr>
        <w:t>评标委员会成员和参与评标工作的有关人员不得透露对电子化投标文件的评审和比较、中标候选人的推荐情况以及与评标有关的其它情况。</w:t>
      </w:r>
    </w:p>
    <w:p>
      <w:pPr>
        <w:shd w:val="clear" w:color="auto" w:fill="FFFFFF"/>
        <w:snapToGrid w:val="0"/>
        <w:spacing w:line="360" w:lineRule="auto"/>
        <w:ind w:right="105" w:rightChars="50" w:firstLine="482" w:firstLineChars="200"/>
        <w:rPr>
          <w:rFonts w:ascii="宋体" w:hAnsi="宋体" w:cs="宋体"/>
          <w:sz w:val="24"/>
          <w:szCs w:val="24"/>
        </w:rPr>
      </w:pPr>
      <w:r>
        <w:rPr>
          <w:rFonts w:hint="eastAsia" w:ascii="宋体" w:hAnsi="宋体" w:cs="宋体"/>
          <w:b/>
          <w:bCs/>
          <w:sz w:val="24"/>
          <w:szCs w:val="24"/>
        </w:rPr>
        <w:t>21.2</w:t>
      </w:r>
      <w:r>
        <w:rPr>
          <w:rFonts w:hint="eastAsia" w:ascii="宋体" w:hAnsi="宋体" w:cs="宋体"/>
          <w:sz w:val="24"/>
          <w:szCs w:val="24"/>
        </w:rPr>
        <w:t>除投标须知第28条款的规定以外，开标以后至授予中标通知书前，任何投标供应商均不得就与其投标文件有关的问题主动与采购人和采购代理机构发生联系。</w:t>
      </w:r>
    </w:p>
    <w:p>
      <w:pPr>
        <w:shd w:val="clear" w:color="auto" w:fill="FFFFFF"/>
        <w:snapToGrid w:val="0"/>
        <w:spacing w:line="360" w:lineRule="auto"/>
        <w:ind w:right="105" w:rightChars="50" w:firstLine="482" w:firstLineChars="200"/>
        <w:rPr>
          <w:rFonts w:ascii="宋体" w:hAnsi="宋体" w:cs="宋体"/>
          <w:sz w:val="24"/>
          <w:szCs w:val="24"/>
        </w:rPr>
      </w:pPr>
      <w:r>
        <w:rPr>
          <w:rFonts w:hint="eastAsia" w:ascii="宋体" w:hAnsi="宋体" w:cs="宋体"/>
          <w:b/>
          <w:bCs/>
          <w:sz w:val="24"/>
          <w:szCs w:val="24"/>
        </w:rPr>
        <w:t>21.3</w:t>
      </w:r>
      <w:r>
        <w:rPr>
          <w:rFonts w:hint="eastAsia" w:ascii="宋体" w:hAnsi="宋体" w:cs="宋体"/>
          <w:sz w:val="24"/>
          <w:szCs w:val="24"/>
        </w:rPr>
        <w:t>如果投标供应商试图对评标委员会的评标施加影响，则将导致该投标供应商的投标文件被拒绝。</w:t>
      </w:r>
    </w:p>
    <w:p>
      <w:pPr>
        <w:shd w:val="clear" w:color="auto" w:fill="FFFFFF"/>
        <w:snapToGrid w:val="0"/>
        <w:spacing w:line="360" w:lineRule="auto"/>
        <w:ind w:right="105" w:rightChars="50" w:firstLine="241" w:firstLineChars="100"/>
        <w:rPr>
          <w:rFonts w:ascii="宋体" w:hAnsi="宋体" w:cs="宋体"/>
          <w:sz w:val="24"/>
          <w:szCs w:val="24"/>
        </w:rPr>
      </w:pPr>
      <w:r>
        <w:rPr>
          <w:rFonts w:hint="eastAsia" w:ascii="宋体" w:hAnsi="宋体" w:cs="宋体"/>
          <w:b/>
          <w:bCs/>
          <w:sz w:val="24"/>
          <w:szCs w:val="24"/>
        </w:rPr>
        <w:t>22、投标文件的澄清</w:t>
      </w:r>
    </w:p>
    <w:p>
      <w:pPr>
        <w:shd w:val="clear" w:color="auto" w:fill="FFFFFF"/>
        <w:snapToGrid w:val="0"/>
        <w:spacing w:line="360" w:lineRule="auto"/>
        <w:ind w:right="105" w:rightChars="50" w:firstLine="482" w:firstLineChars="200"/>
        <w:rPr>
          <w:rFonts w:ascii="宋体" w:hAnsi="宋体" w:cs="宋体"/>
          <w:sz w:val="24"/>
          <w:szCs w:val="24"/>
        </w:rPr>
      </w:pPr>
      <w:r>
        <w:rPr>
          <w:rFonts w:hint="eastAsia" w:ascii="宋体" w:hAnsi="宋体" w:cs="宋体"/>
          <w:b/>
          <w:sz w:val="24"/>
          <w:szCs w:val="24"/>
        </w:rPr>
        <w:t>22.1</w:t>
      </w:r>
      <w:r>
        <w:rPr>
          <w:rFonts w:hint="eastAsia" w:ascii="宋体" w:hAnsi="宋体" w:cs="宋体"/>
          <w:sz w:val="24"/>
          <w:szCs w:val="24"/>
        </w:rPr>
        <w:t>为有助于投标文件的审查、评价和比较，评标委员会可以要求投标供应商对投标文件含义不明确的内容作必要的澄清或说明，投标供应商应进行澄清或说明，但不得超出投标文件的范围或改变投标文件的实质性内容。根据本须知规定，凡属于评标委员会在评标中发现的计算错误并进行核实的修改不在此列。</w:t>
      </w:r>
    </w:p>
    <w:p>
      <w:pPr>
        <w:shd w:val="clear" w:color="auto" w:fill="FFFFFF"/>
        <w:snapToGrid w:val="0"/>
        <w:spacing w:line="360" w:lineRule="auto"/>
        <w:ind w:right="105" w:rightChars="50" w:firstLine="241" w:firstLineChars="100"/>
        <w:rPr>
          <w:rFonts w:ascii="宋体" w:hAnsi="宋体" w:cs="宋体"/>
          <w:sz w:val="24"/>
          <w:szCs w:val="24"/>
        </w:rPr>
      </w:pPr>
      <w:r>
        <w:rPr>
          <w:rFonts w:hint="eastAsia" w:ascii="宋体" w:hAnsi="宋体" w:cs="宋体"/>
          <w:b/>
          <w:bCs/>
          <w:sz w:val="24"/>
          <w:szCs w:val="24"/>
        </w:rPr>
        <w:t>23、投标文件的初步评审</w:t>
      </w:r>
    </w:p>
    <w:p>
      <w:pPr>
        <w:shd w:val="clear" w:color="auto" w:fill="FFFFFF"/>
        <w:snapToGrid w:val="0"/>
        <w:spacing w:line="360" w:lineRule="auto"/>
        <w:ind w:right="105" w:rightChars="50" w:firstLine="482" w:firstLineChars="200"/>
        <w:rPr>
          <w:rFonts w:ascii="宋体" w:hAnsi="宋体" w:cs="宋体"/>
          <w:b/>
          <w:bCs/>
          <w:sz w:val="24"/>
          <w:szCs w:val="24"/>
        </w:rPr>
      </w:pPr>
      <w:r>
        <w:rPr>
          <w:rFonts w:hint="eastAsia" w:ascii="宋体" w:hAnsi="宋体" w:cs="宋体"/>
          <w:b/>
          <w:bCs/>
          <w:sz w:val="24"/>
          <w:szCs w:val="24"/>
        </w:rPr>
        <w:t>23.1投标文件资格审查：</w:t>
      </w:r>
    </w:p>
    <w:p>
      <w:pPr>
        <w:spacing w:line="360" w:lineRule="auto"/>
        <w:ind w:firstLine="480" w:firstLineChars="200"/>
        <w:rPr>
          <w:rFonts w:ascii="宋体" w:hAnsi="宋体" w:cs="宋体"/>
          <w:sz w:val="24"/>
          <w:szCs w:val="24"/>
        </w:rPr>
      </w:pPr>
      <w:r>
        <w:rPr>
          <w:rFonts w:hint="eastAsia" w:ascii="宋体" w:hAnsi="宋体" w:cs="宋体"/>
          <w:sz w:val="24"/>
          <w:szCs w:val="24"/>
        </w:rPr>
        <w:t>符合第二章供应商须知前附表规定</w:t>
      </w:r>
    </w:p>
    <w:p>
      <w:pPr>
        <w:spacing w:line="360" w:lineRule="auto"/>
        <w:ind w:firstLine="480" w:firstLineChars="200"/>
        <w:rPr>
          <w:rFonts w:ascii="宋体" w:hAnsi="宋体" w:cs="宋体"/>
          <w:sz w:val="24"/>
          <w:szCs w:val="24"/>
        </w:rPr>
      </w:pPr>
      <w:r>
        <w:rPr>
          <w:rFonts w:hint="eastAsia" w:ascii="宋体" w:hAnsi="宋体" w:cs="宋体"/>
          <w:sz w:val="24"/>
          <w:szCs w:val="24"/>
        </w:rPr>
        <w:t>23.2评标时，评标委员会将首先评定每份投标文件是否在实质上响应了招标文件的要求。所谓实质上响应，是指投标文件应与招标文件的所有实质性条款、条件和要求相符，无显著差异或保留，或者对合同中约定的采购人的权利和投标供应商的义务方面没有造成重大的限制，纠正这些差异或保留将不会对其他实质上响应招标文件要求的投标供应商的竞争地位产生不公正的影响。</w:t>
      </w:r>
    </w:p>
    <w:p>
      <w:pPr>
        <w:shd w:val="clear" w:color="auto" w:fill="FFFFFF"/>
        <w:snapToGrid w:val="0"/>
        <w:spacing w:line="360" w:lineRule="auto"/>
        <w:ind w:right="105" w:rightChars="50" w:firstLine="480" w:firstLineChars="200"/>
        <w:rPr>
          <w:rFonts w:ascii="宋体" w:hAnsi="宋体" w:cs="宋体"/>
          <w:sz w:val="24"/>
          <w:szCs w:val="24"/>
        </w:rPr>
      </w:pPr>
      <w:r>
        <w:rPr>
          <w:rFonts w:hint="eastAsia" w:ascii="宋体" w:hAnsi="宋体" w:cs="宋体"/>
          <w:sz w:val="24"/>
          <w:szCs w:val="24"/>
        </w:rPr>
        <w:t>23.3如果投标文件实质上不响应招标文件的各项要求，评标委员会将予以拒绝，并且不允许投标供应商通过修改或撤销其不符合要求的差异或保留，使之成为具有响应性的投标。</w:t>
      </w:r>
    </w:p>
    <w:p>
      <w:pPr>
        <w:shd w:val="clear" w:color="auto" w:fill="FFFFFF"/>
        <w:snapToGrid w:val="0"/>
        <w:spacing w:line="360" w:lineRule="auto"/>
        <w:ind w:right="105" w:rightChars="50" w:firstLine="480" w:firstLineChars="200"/>
        <w:rPr>
          <w:rFonts w:ascii="宋体" w:hAnsi="宋体" w:cs="宋体"/>
          <w:sz w:val="24"/>
          <w:szCs w:val="24"/>
        </w:rPr>
      </w:pPr>
      <w:r>
        <w:rPr>
          <w:rFonts w:hint="eastAsia" w:ascii="宋体" w:hAnsi="宋体" w:cs="宋体"/>
          <w:sz w:val="24"/>
          <w:szCs w:val="24"/>
        </w:rPr>
        <w:t>23.4投标文件有下列情形之一的，由评标委员会初审后按无效标处理：</w:t>
      </w:r>
    </w:p>
    <w:p>
      <w:pPr>
        <w:spacing w:line="360" w:lineRule="auto"/>
        <w:ind w:right="105" w:rightChars="50" w:firstLine="480" w:firstLineChars="200"/>
        <w:rPr>
          <w:rFonts w:ascii="宋体" w:hAnsi="宋体" w:cs="宋体"/>
          <w:sz w:val="24"/>
          <w:szCs w:val="24"/>
        </w:rPr>
      </w:pPr>
      <w:r>
        <w:rPr>
          <w:rFonts w:hint="eastAsia" w:ascii="宋体" w:hAnsi="宋体" w:cs="宋体"/>
          <w:sz w:val="24"/>
          <w:szCs w:val="24"/>
        </w:rPr>
        <w:t>（1）投标人在生成电子化投标文件后，应对电子化投标文件进行签章，未进行签章的视为无效投标。</w:t>
      </w:r>
    </w:p>
    <w:p>
      <w:pPr>
        <w:shd w:val="clear" w:color="auto" w:fill="FFFFFF"/>
        <w:snapToGrid w:val="0"/>
        <w:spacing w:line="360" w:lineRule="auto"/>
        <w:ind w:right="105" w:rightChars="50" w:firstLine="480" w:firstLineChars="200"/>
        <w:rPr>
          <w:rFonts w:ascii="宋体" w:hAnsi="宋体" w:cs="宋体"/>
          <w:sz w:val="24"/>
          <w:szCs w:val="24"/>
        </w:rPr>
      </w:pPr>
      <w:r>
        <w:rPr>
          <w:rFonts w:hint="eastAsia" w:ascii="宋体" w:hAnsi="宋体" w:cs="宋体"/>
          <w:sz w:val="24"/>
          <w:szCs w:val="24"/>
        </w:rPr>
        <w:t>（2）投标供应商资格条件不符合国家有关规定和招标文件要求的；</w:t>
      </w:r>
    </w:p>
    <w:p>
      <w:pPr>
        <w:shd w:val="clear" w:color="auto" w:fill="FFFFFF"/>
        <w:snapToGrid w:val="0"/>
        <w:spacing w:line="360" w:lineRule="auto"/>
        <w:ind w:right="105" w:rightChars="50" w:firstLine="480" w:firstLineChars="200"/>
        <w:rPr>
          <w:rFonts w:ascii="宋体" w:hAnsi="宋体" w:cs="宋体"/>
          <w:sz w:val="24"/>
          <w:szCs w:val="24"/>
        </w:rPr>
      </w:pPr>
      <w:r>
        <w:rPr>
          <w:rFonts w:hint="eastAsia" w:ascii="宋体" w:hAnsi="宋体" w:cs="宋体"/>
          <w:sz w:val="24"/>
          <w:szCs w:val="24"/>
        </w:rPr>
        <w:t>（3）</w:t>
      </w:r>
      <w:r>
        <w:rPr>
          <w:rFonts w:hint="eastAsia" w:ascii="宋体" w:hAnsi="宋体" w:cs="宋体"/>
          <w:kern w:val="0"/>
          <w:sz w:val="24"/>
          <w:szCs w:val="24"/>
        </w:rPr>
        <w:t>电子化投标文件附有采购人不能接受的条件的；</w:t>
      </w:r>
    </w:p>
    <w:p>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（4）投标报价超过招标文件规定的预算金额的；</w:t>
      </w:r>
    </w:p>
    <w:p>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（5）以他人的名义投标、串通投标、以行贿手段谋取中标或者以其他弄虚作假方式投标的；</w:t>
      </w:r>
    </w:p>
    <w:p>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（6）采取不正当手段谋取中标的。</w:t>
      </w:r>
    </w:p>
    <w:p>
      <w:pPr>
        <w:shd w:val="clear" w:color="auto" w:fill="FFFFFF"/>
        <w:snapToGrid w:val="0"/>
        <w:spacing w:line="360" w:lineRule="auto"/>
        <w:ind w:right="105" w:rightChars="50" w:firstLine="241" w:firstLineChars="100"/>
        <w:rPr>
          <w:rFonts w:ascii="宋体" w:hAnsi="宋体" w:cs="宋体"/>
          <w:sz w:val="24"/>
          <w:szCs w:val="24"/>
        </w:rPr>
      </w:pPr>
      <w:r>
        <w:rPr>
          <w:rFonts w:hint="eastAsia" w:ascii="宋体" w:hAnsi="宋体" w:cs="宋体"/>
          <w:b/>
          <w:bCs/>
          <w:sz w:val="24"/>
          <w:szCs w:val="24"/>
        </w:rPr>
        <w:t>24、投标文件计算错误的修正</w:t>
      </w:r>
    </w:p>
    <w:p>
      <w:pPr>
        <w:shd w:val="clear" w:color="auto" w:fill="FFFFFF"/>
        <w:snapToGrid w:val="0"/>
        <w:spacing w:line="360" w:lineRule="auto"/>
        <w:ind w:right="105" w:rightChars="50" w:firstLine="480" w:firstLineChars="200"/>
        <w:rPr>
          <w:rFonts w:ascii="宋体" w:hAnsi="宋体" w:cs="宋体"/>
          <w:sz w:val="24"/>
          <w:szCs w:val="24"/>
        </w:rPr>
      </w:pPr>
      <w:r>
        <w:rPr>
          <w:rFonts w:hint="eastAsia" w:ascii="宋体" w:hAnsi="宋体" w:cs="宋体"/>
          <w:sz w:val="24"/>
          <w:szCs w:val="24"/>
        </w:rPr>
        <w:t>24.1评标委员会将对确定为实质上响应招标文件要求的投标文件进行校核，看其是否有计算或表达上的错误，修正错误的原则如下：</w:t>
      </w:r>
    </w:p>
    <w:p>
      <w:pPr>
        <w:shd w:val="clear" w:color="auto" w:fill="FFFFFF"/>
        <w:snapToGrid w:val="0"/>
        <w:spacing w:line="360" w:lineRule="auto"/>
        <w:ind w:right="105" w:rightChars="50" w:firstLine="480" w:firstLineChars="200"/>
        <w:rPr>
          <w:rFonts w:ascii="宋体" w:hAnsi="宋体" w:cs="宋体"/>
          <w:sz w:val="24"/>
          <w:szCs w:val="24"/>
        </w:rPr>
      </w:pPr>
      <w:r>
        <w:rPr>
          <w:rFonts w:hint="eastAsia" w:ascii="宋体" w:hAnsi="宋体" w:cs="宋体"/>
          <w:sz w:val="24"/>
          <w:szCs w:val="24"/>
        </w:rPr>
        <w:t>24.1.1投标文件中的大写金额和小写金额不一致的，以大写金额为准；</w:t>
      </w:r>
    </w:p>
    <w:p>
      <w:pPr>
        <w:shd w:val="clear" w:color="auto" w:fill="FFFFFF"/>
        <w:snapToGrid w:val="0"/>
        <w:spacing w:line="360" w:lineRule="auto"/>
        <w:ind w:right="105" w:rightChars="50" w:firstLine="480" w:firstLineChars="200"/>
        <w:rPr>
          <w:rFonts w:ascii="宋体" w:hAnsi="宋体" w:cs="宋体"/>
          <w:sz w:val="24"/>
          <w:szCs w:val="24"/>
        </w:rPr>
      </w:pPr>
      <w:r>
        <w:rPr>
          <w:rFonts w:hint="eastAsia" w:ascii="宋体" w:hAnsi="宋体" w:cs="宋体"/>
          <w:sz w:val="24"/>
          <w:szCs w:val="24"/>
        </w:rPr>
        <w:t>24.1.2对不同文字文本投标文件的解释发生异议的，以中文文本为准。</w:t>
      </w:r>
    </w:p>
    <w:p>
      <w:pPr>
        <w:shd w:val="clear" w:color="auto" w:fill="FFFFFF"/>
        <w:snapToGrid w:val="0"/>
        <w:spacing w:line="360" w:lineRule="auto"/>
        <w:ind w:right="105" w:rightChars="50" w:firstLine="480" w:firstLineChars="200"/>
        <w:rPr>
          <w:rFonts w:ascii="宋体" w:hAnsi="宋体" w:cs="宋体"/>
          <w:sz w:val="24"/>
          <w:szCs w:val="24"/>
        </w:rPr>
      </w:pPr>
      <w:r>
        <w:rPr>
          <w:rFonts w:hint="eastAsia" w:ascii="宋体" w:hAnsi="宋体" w:cs="宋体"/>
          <w:sz w:val="24"/>
          <w:szCs w:val="24"/>
        </w:rPr>
        <w:t>24.2按上述修正错误的原则及方法调整或修正投标文件的投标报价，投标供应商同意后，调整后的投标报价对投标供应商起约束作用。</w:t>
      </w:r>
    </w:p>
    <w:p>
      <w:pPr>
        <w:shd w:val="clear" w:color="auto" w:fill="FFFFFF"/>
        <w:snapToGrid w:val="0"/>
        <w:spacing w:line="360" w:lineRule="auto"/>
        <w:ind w:right="105" w:rightChars="50" w:firstLine="241" w:firstLineChars="100"/>
        <w:rPr>
          <w:rFonts w:ascii="宋体" w:hAnsi="宋体" w:cs="宋体"/>
          <w:sz w:val="24"/>
          <w:szCs w:val="24"/>
        </w:rPr>
      </w:pPr>
      <w:r>
        <w:rPr>
          <w:rFonts w:hint="eastAsia" w:ascii="宋体" w:hAnsi="宋体" w:cs="宋体"/>
          <w:b/>
          <w:bCs/>
          <w:sz w:val="24"/>
          <w:szCs w:val="24"/>
        </w:rPr>
        <w:t>25、投标文件的评审、比较和否决</w:t>
      </w:r>
    </w:p>
    <w:p>
      <w:pPr>
        <w:shd w:val="clear" w:color="auto" w:fill="FFFFFF"/>
        <w:snapToGrid w:val="0"/>
        <w:spacing w:line="360" w:lineRule="auto"/>
        <w:ind w:right="105" w:rightChars="50" w:firstLine="480" w:firstLineChars="200"/>
        <w:rPr>
          <w:rFonts w:ascii="宋体" w:hAnsi="宋体" w:cs="宋体"/>
          <w:sz w:val="24"/>
          <w:szCs w:val="24"/>
        </w:rPr>
      </w:pPr>
      <w:r>
        <w:rPr>
          <w:rFonts w:hint="eastAsia" w:ascii="宋体" w:hAnsi="宋体" w:cs="宋体"/>
          <w:sz w:val="24"/>
          <w:szCs w:val="24"/>
        </w:rPr>
        <w:t>25.1评标委员会将按照招标文件的规定，仅对在实质上响应招标文件要求的上传投标文件进行评估和比较。</w:t>
      </w:r>
    </w:p>
    <w:p>
      <w:pPr>
        <w:shd w:val="clear" w:color="auto" w:fill="FFFFFF"/>
        <w:snapToGrid w:val="0"/>
        <w:spacing w:line="360" w:lineRule="auto"/>
        <w:ind w:right="105" w:rightChars="50" w:firstLine="480" w:firstLineChars="200"/>
        <w:rPr>
          <w:rFonts w:ascii="宋体" w:hAnsi="宋体" w:cs="宋体"/>
          <w:sz w:val="24"/>
          <w:szCs w:val="24"/>
        </w:rPr>
      </w:pPr>
      <w:r>
        <w:rPr>
          <w:rFonts w:hint="eastAsia" w:ascii="宋体" w:hAnsi="宋体" w:cs="宋体"/>
          <w:sz w:val="24"/>
          <w:szCs w:val="24"/>
        </w:rPr>
        <w:t>25.2根据相关法律法规及有关招投标文件规定，结合本项目具体情况，制定本次招标评标办法。并按照“公平、公正、科学、择优”的原则进行评标。采用综合评分法进行评比。</w:t>
      </w:r>
    </w:p>
    <w:p>
      <w:pPr>
        <w:shd w:val="clear" w:color="auto" w:fill="FFFFFF"/>
        <w:snapToGrid w:val="0"/>
        <w:spacing w:line="360" w:lineRule="auto"/>
        <w:ind w:right="105" w:rightChars="50" w:firstLine="480" w:firstLineChars="200"/>
        <w:rPr>
          <w:rFonts w:ascii="宋体" w:hAnsi="宋体" w:cs="宋体"/>
          <w:sz w:val="24"/>
          <w:szCs w:val="24"/>
        </w:rPr>
      </w:pPr>
      <w:r>
        <w:rPr>
          <w:rFonts w:hint="eastAsia" w:ascii="宋体" w:hAnsi="宋体" w:cs="宋体"/>
          <w:sz w:val="24"/>
          <w:szCs w:val="24"/>
        </w:rPr>
        <w:t>25.3在评审过程中，评标委员会可以要求投标供应商就投标文件中含义不明确的内容进行说明并提供相关材料。</w:t>
      </w:r>
    </w:p>
    <w:p>
      <w:pPr>
        <w:shd w:val="clear" w:color="auto" w:fill="FFFFFF"/>
        <w:snapToGrid w:val="0"/>
        <w:spacing w:line="360" w:lineRule="auto"/>
        <w:ind w:right="105" w:rightChars="50" w:firstLine="480" w:firstLineChars="200"/>
        <w:rPr>
          <w:rFonts w:ascii="宋体" w:hAnsi="宋体" w:cs="宋体"/>
          <w:sz w:val="24"/>
          <w:szCs w:val="24"/>
        </w:rPr>
      </w:pPr>
      <w:r>
        <w:rPr>
          <w:rFonts w:hint="eastAsia" w:ascii="宋体" w:hAnsi="宋体" w:cs="宋体"/>
          <w:sz w:val="24"/>
          <w:szCs w:val="24"/>
        </w:rPr>
        <w:t>25.4评标时，投标报价是评标的重要依据，但不是唯一依据，采购人不承诺将合同授予报价最低或最高的投标供应商。投标</w:t>
      </w:r>
      <w:r>
        <w:rPr>
          <w:rFonts w:hint="eastAsia" w:ascii="宋体" w:hAnsi="宋体" w:cs="宋体"/>
          <w:sz w:val="24"/>
          <w:szCs w:val="24"/>
          <w:shd w:val="clear" w:color="050000" w:fill="auto"/>
        </w:rPr>
        <w:t>报价明显低于其他报价，使得其报价可能低于其个别成本的，有可能影响货物质量或不能诚信履约的，评标委员会可要求供应商做出说明并提供相关证明材料。不能合理说明或不能提供相关证明材料的，其投标应文件有可能被拒绝。</w:t>
      </w:r>
    </w:p>
    <w:p>
      <w:pPr>
        <w:shd w:val="clear" w:color="auto" w:fill="FFFFFF"/>
        <w:snapToGrid w:val="0"/>
        <w:spacing w:line="360" w:lineRule="auto"/>
        <w:ind w:right="105" w:rightChars="50" w:firstLine="480" w:firstLineChars="200"/>
        <w:rPr>
          <w:rFonts w:ascii="宋体" w:hAnsi="宋体" w:cs="宋体"/>
          <w:sz w:val="24"/>
          <w:szCs w:val="24"/>
        </w:rPr>
      </w:pPr>
      <w:r>
        <w:rPr>
          <w:rFonts w:hint="eastAsia" w:ascii="宋体" w:hAnsi="宋体" w:cs="宋体"/>
          <w:sz w:val="24"/>
          <w:szCs w:val="24"/>
        </w:rPr>
        <w:t>25.5评标委员会依据本须知规定的评标标准和方法，对投标文件进行评审和比较，向采购人提出书面评标报告，并推荐合格的中标候选人。</w:t>
      </w:r>
    </w:p>
    <w:p>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sz w:val="24"/>
          <w:szCs w:val="24"/>
        </w:rPr>
        <w:t>25.6</w:t>
      </w:r>
      <w:r>
        <w:rPr>
          <w:rFonts w:hint="eastAsia" w:ascii="宋体" w:hAnsi="宋体" w:cs="宋体"/>
          <w:kern w:val="0"/>
          <w:sz w:val="24"/>
          <w:szCs w:val="24"/>
        </w:rPr>
        <w:t>本项目采用综合评分法，按评审后得分由高到低顺序排列。得分相同的，按投标报价由低到高的顺序排列。得分且投标报价相同的，按技术标得分由高到低的顺序排列。技术指标仍相同的，按商务标由高到低的顺序排列，以上各项都相同的，由评标委员会推荐中标供应商。</w:t>
      </w:r>
    </w:p>
    <w:p>
      <w:pPr>
        <w:autoSpaceDE w:val="0"/>
        <w:autoSpaceDN w:val="0"/>
        <w:adjustRightInd w:val="0"/>
        <w:spacing w:line="360" w:lineRule="auto"/>
        <w:jc w:val="center"/>
        <w:rPr>
          <w:rFonts w:ascii="宋体" w:hAnsi="宋体" w:cs="宋体"/>
          <w:b/>
          <w:bCs/>
          <w:sz w:val="24"/>
          <w:szCs w:val="24"/>
        </w:rPr>
      </w:pPr>
      <w:r>
        <w:rPr>
          <w:rFonts w:hint="eastAsia" w:ascii="宋体" w:hAnsi="宋体" w:cs="宋体"/>
          <w:b/>
          <w:bCs/>
          <w:sz w:val="24"/>
          <w:szCs w:val="24"/>
        </w:rPr>
        <w:t>七、授予合同</w:t>
      </w:r>
    </w:p>
    <w:p>
      <w:pPr>
        <w:shd w:val="clear" w:color="auto" w:fill="FFFFFF"/>
        <w:snapToGrid w:val="0"/>
        <w:spacing w:line="360" w:lineRule="auto"/>
        <w:ind w:firstLine="241" w:firstLineChars="100"/>
        <w:rPr>
          <w:rFonts w:ascii="宋体" w:hAnsi="宋体" w:cs="宋体"/>
          <w:sz w:val="24"/>
          <w:szCs w:val="24"/>
        </w:rPr>
      </w:pPr>
      <w:r>
        <w:rPr>
          <w:rFonts w:hint="eastAsia" w:ascii="宋体" w:hAnsi="宋体" w:cs="宋体"/>
          <w:b/>
          <w:bCs/>
          <w:sz w:val="24"/>
          <w:szCs w:val="24"/>
        </w:rPr>
        <w:t>26、授予合同标准</w:t>
      </w:r>
    </w:p>
    <w:p>
      <w:pPr>
        <w:shd w:val="clear" w:color="auto" w:fill="FFFFFF"/>
        <w:snapToGrid w:val="0"/>
        <w:spacing w:line="360" w:lineRule="auto"/>
        <w:ind w:firstLine="480" w:firstLineChars="200"/>
        <w:rPr>
          <w:rFonts w:ascii="宋体" w:hAnsi="宋体" w:cs="宋体"/>
          <w:sz w:val="24"/>
          <w:szCs w:val="24"/>
        </w:rPr>
      </w:pPr>
      <w:r>
        <w:rPr>
          <w:rFonts w:hint="eastAsia" w:ascii="宋体" w:hAnsi="宋体" w:cs="宋体"/>
          <w:bCs/>
          <w:sz w:val="24"/>
          <w:szCs w:val="24"/>
        </w:rPr>
        <w:t>26.1</w:t>
      </w:r>
      <w:r>
        <w:rPr>
          <w:rFonts w:hint="eastAsia" w:ascii="宋体" w:hAnsi="宋体" w:cs="宋体"/>
          <w:sz w:val="24"/>
          <w:szCs w:val="24"/>
        </w:rPr>
        <w:t>本招标项目的合同将授予按本评标办法确定的中标供应商。</w:t>
      </w:r>
    </w:p>
    <w:p>
      <w:pPr>
        <w:shd w:val="clear" w:color="auto" w:fill="FFFFFF"/>
        <w:snapToGrid w:val="0"/>
        <w:spacing w:line="360" w:lineRule="auto"/>
        <w:ind w:firstLine="480" w:firstLineChars="200"/>
        <w:rPr>
          <w:rFonts w:ascii="宋体" w:hAnsi="宋体" w:cs="宋体"/>
          <w:sz w:val="24"/>
          <w:szCs w:val="24"/>
        </w:rPr>
      </w:pPr>
      <w:r>
        <w:rPr>
          <w:rFonts w:hint="eastAsia" w:ascii="宋体" w:hAnsi="宋体" w:cs="宋体"/>
          <w:bCs/>
          <w:sz w:val="24"/>
          <w:szCs w:val="24"/>
        </w:rPr>
        <w:t>26.2</w:t>
      </w:r>
      <w:r>
        <w:rPr>
          <w:rFonts w:hint="eastAsia" w:ascii="宋体" w:hAnsi="宋体" w:cs="宋体"/>
          <w:sz w:val="24"/>
          <w:szCs w:val="24"/>
        </w:rPr>
        <w:t>评标委员会经采购人授权，确定排名第一的中标候选人为中标供应商。当确定中标的中标供应商候选人放弃中标、因不可抗力提出不能履行合同的，采购人可以按序确定排名第二的中标候选人为中标供应商，以此类推。</w:t>
      </w:r>
    </w:p>
    <w:p>
      <w:pPr>
        <w:autoSpaceDE w:val="0"/>
        <w:autoSpaceDN w:val="0"/>
        <w:adjustRightInd w:val="0"/>
        <w:spacing w:line="360" w:lineRule="auto"/>
        <w:ind w:firstLine="240" w:firstLineChars="100"/>
        <w:jc w:val="left"/>
        <w:rPr>
          <w:rFonts w:ascii="宋体" w:hAnsi="宋体" w:cs="宋体"/>
          <w:kern w:val="0"/>
          <w:sz w:val="24"/>
          <w:szCs w:val="24"/>
        </w:rPr>
      </w:pPr>
      <w:r>
        <w:rPr>
          <w:rFonts w:hint="eastAsia" w:ascii="宋体" w:hAnsi="宋体" w:cs="宋体"/>
          <w:kern w:val="0"/>
          <w:sz w:val="24"/>
          <w:szCs w:val="24"/>
        </w:rPr>
        <w:t>27、授予合同时变更数量的权利</w:t>
      </w:r>
    </w:p>
    <w:p>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27.1采购人在授予合同时，保留对货物数量予以适当增减的权利。供应商不得在此情况下对投标文件作出修改，如价格、服务期限、售后服务等。</w:t>
      </w:r>
    </w:p>
    <w:p>
      <w:pPr>
        <w:shd w:val="clear" w:color="auto" w:fill="FFFFFF"/>
        <w:snapToGrid w:val="0"/>
        <w:spacing w:line="360" w:lineRule="auto"/>
        <w:ind w:right="105" w:rightChars="50" w:firstLine="241" w:firstLineChars="100"/>
        <w:rPr>
          <w:rFonts w:ascii="宋体" w:hAnsi="宋体" w:cs="宋体"/>
          <w:sz w:val="24"/>
          <w:szCs w:val="24"/>
        </w:rPr>
      </w:pPr>
      <w:r>
        <w:rPr>
          <w:rFonts w:hint="eastAsia" w:ascii="宋体" w:hAnsi="宋体" w:cs="宋体"/>
          <w:b/>
          <w:bCs/>
          <w:sz w:val="24"/>
          <w:szCs w:val="24"/>
        </w:rPr>
        <w:t>28、采购人拒绝投标的权力</w:t>
      </w:r>
    </w:p>
    <w:p>
      <w:pPr>
        <w:shd w:val="clear" w:color="auto" w:fill="FFFFFF"/>
        <w:snapToGrid w:val="0"/>
        <w:spacing w:line="360" w:lineRule="auto"/>
        <w:ind w:right="105" w:rightChars="50" w:firstLine="480" w:firstLineChars="200"/>
        <w:rPr>
          <w:rFonts w:ascii="宋体" w:hAnsi="宋体" w:cs="宋体"/>
          <w:sz w:val="24"/>
          <w:szCs w:val="24"/>
        </w:rPr>
      </w:pPr>
      <w:r>
        <w:rPr>
          <w:rFonts w:hint="eastAsia" w:ascii="宋体" w:hAnsi="宋体" w:cs="宋体"/>
          <w:sz w:val="24"/>
          <w:szCs w:val="24"/>
        </w:rPr>
        <w:t>28.1采购人不承诺将合同授予报价最低的或最高的中标候选人。</w:t>
      </w:r>
    </w:p>
    <w:p>
      <w:pPr>
        <w:shd w:val="clear" w:color="auto" w:fill="FFFFFF"/>
        <w:snapToGrid w:val="0"/>
        <w:spacing w:line="360" w:lineRule="auto"/>
        <w:ind w:right="105" w:rightChars="50" w:firstLine="241" w:firstLineChars="100"/>
        <w:rPr>
          <w:rFonts w:ascii="宋体" w:hAnsi="宋体" w:cs="宋体"/>
          <w:sz w:val="24"/>
          <w:szCs w:val="24"/>
        </w:rPr>
      </w:pPr>
      <w:r>
        <w:rPr>
          <w:rFonts w:hint="eastAsia" w:ascii="宋体" w:hAnsi="宋体" w:cs="宋体"/>
          <w:b/>
          <w:bCs/>
          <w:sz w:val="24"/>
          <w:szCs w:val="24"/>
        </w:rPr>
        <w:t>29、中标通知</w:t>
      </w:r>
    </w:p>
    <w:p>
      <w:pPr>
        <w:shd w:val="clear" w:color="auto" w:fill="FFFFFF"/>
        <w:snapToGrid w:val="0"/>
        <w:spacing w:line="360" w:lineRule="auto"/>
        <w:ind w:right="105" w:rightChars="50" w:firstLine="480" w:firstLineChars="200"/>
        <w:rPr>
          <w:rFonts w:ascii="宋体" w:hAnsi="宋体" w:cs="宋体"/>
          <w:sz w:val="24"/>
          <w:szCs w:val="24"/>
        </w:rPr>
      </w:pPr>
      <w:r>
        <w:rPr>
          <w:rFonts w:hint="eastAsia" w:ascii="宋体" w:hAnsi="宋体" w:cs="宋体"/>
          <w:bCs/>
          <w:sz w:val="24"/>
          <w:szCs w:val="24"/>
        </w:rPr>
        <w:t>29.1</w:t>
      </w:r>
      <w:r>
        <w:rPr>
          <w:rFonts w:hint="eastAsia" w:ascii="宋体" w:hAnsi="宋体" w:cs="宋体"/>
          <w:sz w:val="24"/>
          <w:szCs w:val="24"/>
        </w:rPr>
        <w:t>中标供应商确定后，在发布本项目招标公告的媒介上发布中标公示。</w:t>
      </w:r>
    </w:p>
    <w:p>
      <w:pPr>
        <w:shd w:val="clear" w:color="auto" w:fill="FFFFFF"/>
        <w:snapToGrid w:val="0"/>
        <w:spacing w:line="360" w:lineRule="auto"/>
        <w:ind w:right="105" w:rightChars="50" w:firstLine="480" w:firstLineChars="200"/>
        <w:rPr>
          <w:rFonts w:ascii="宋体" w:hAnsi="宋体" w:cs="宋体"/>
          <w:sz w:val="24"/>
          <w:szCs w:val="24"/>
        </w:rPr>
      </w:pPr>
      <w:r>
        <w:rPr>
          <w:rFonts w:hint="eastAsia" w:ascii="宋体" w:hAnsi="宋体" w:cs="宋体"/>
          <w:bCs/>
          <w:sz w:val="24"/>
          <w:szCs w:val="24"/>
        </w:rPr>
        <w:t>29.2</w:t>
      </w:r>
      <w:r>
        <w:rPr>
          <w:rFonts w:hint="eastAsia" w:ascii="宋体" w:hAnsi="宋体" w:cs="宋体"/>
          <w:sz w:val="24"/>
          <w:szCs w:val="24"/>
        </w:rPr>
        <w:t>中标通知书是合同的组成部分。</w:t>
      </w:r>
    </w:p>
    <w:p>
      <w:pPr>
        <w:shd w:val="clear" w:color="auto" w:fill="FFFFFF"/>
        <w:snapToGrid w:val="0"/>
        <w:spacing w:line="360" w:lineRule="auto"/>
        <w:ind w:right="105" w:rightChars="50" w:firstLine="480" w:firstLineChars="200"/>
        <w:rPr>
          <w:rFonts w:ascii="宋体" w:hAnsi="宋体" w:cs="宋体"/>
          <w:sz w:val="24"/>
          <w:szCs w:val="24"/>
        </w:rPr>
      </w:pPr>
      <w:r>
        <w:rPr>
          <w:rFonts w:hint="eastAsia" w:ascii="宋体" w:hAnsi="宋体" w:cs="宋体"/>
          <w:bCs/>
          <w:sz w:val="24"/>
          <w:szCs w:val="24"/>
        </w:rPr>
        <w:t>29.3</w:t>
      </w:r>
      <w:r>
        <w:rPr>
          <w:rFonts w:hint="eastAsia" w:ascii="宋体" w:hAnsi="宋体" w:cs="宋体"/>
          <w:sz w:val="24"/>
          <w:szCs w:val="24"/>
        </w:rPr>
        <w:t>对未中标的投标供应商，不做任何未中标原因的解释。所有投标文件不予退还。</w:t>
      </w:r>
    </w:p>
    <w:p>
      <w:pPr>
        <w:shd w:val="clear" w:color="auto" w:fill="FFFFFF"/>
        <w:snapToGrid w:val="0"/>
        <w:spacing w:line="360" w:lineRule="auto"/>
        <w:ind w:right="105" w:rightChars="50" w:firstLine="241" w:firstLineChars="100"/>
        <w:rPr>
          <w:rFonts w:ascii="宋体" w:hAnsi="宋体" w:cs="宋体"/>
          <w:sz w:val="24"/>
          <w:szCs w:val="24"/>
        </w:rPr>
      </w:pPr>
      <w:r>
        <w:rPr>
          <w:rFonts w:hint="eastAsia" w:ascii="宋体" w:hAnsi="宋体" w:cs="宋体"/>
          <w:b/>
          <w:bCs/>
          <w:sz w:val="24"/>
          <w:szCs w:val="24"/>
        </w:rPr>
        <w:t>30、合同协议书的签署</w:t>
      </w:r>
    </w:p>
    <w:p>
      <w:pPr>
        <w:shd w:val="clear" w:color="auto" w:fill="FFFFFF"/>
        <w:snapToGrid w:val="0"/>
        <w:spacing w:line="360" w:lineRule="auto"/>
        <w:ind w:right="105" w:rightChars="50" w:firstLine="480" w:firstLineChars="200"/>
        <w:rPr>
          <w:rFonts w:ascii="宋体" w:hAnsi="宋体" w:cs="宋体"/>
          <w:sz w:val="24"/>
          <w:szCs w:val="24"/>
        </w:rPr>
      </w:pPr>
      <w:r>
        <w:rPr>
          <w:rFonts w:hint="eastAsia" w:ascii="宋体" w:hAnsi="宋体" w:cs="宋体"/>
          <w:sz w:val="24"/>
          <w:szCs w:val="24"/>
        </w:rPr>
        <w:t>30.1采购人与中标供应商将于中标通知书发出之日起2日内，按照招标文件及中标供应商的投标文件订立书面承包合同，采购人和中标供应商不得再行订立背离合同实质性内容的其他协议。</w:t>
      </w:r>
    </w:p>
    <w:p>
      <w:pPr>
        <w:shd w:val="clear" w:color="auto" w:fill="FFFFFF"/>
        <w:snapToGrid w:val="0"/>
        <w:spacing w:line="360" w:lineRule="auto"/>
        <w:ind w:right="105" w:rightChars="50" w:firstLine="480" w:firstLineChars="200"/>
        <w:rPr>
          <w:rFonts w:ascii="宋体" w:hAnsi="宋体" w:cs="宋体"/>
          <w:sz w:val="24"/>
          <w:szCs w:val="24"/>
        </w:rPr>
      </w:pPr>
      <w:r>
        <w:rPr>
          <w:rFonts w:hint="eastAsia" w:ascii="宋体" w:hAnsi="宋体" w:cs="宋体"/>
          <w:sz w:val="24"/>
          <w:szCs w:val="24"/>
        </w:rPr>
        <w:t>30.2中标供应商如不按本投标须知的规定与采购人订立合同，则采购人将废除授标，给采购人造成损失的，应当予以赔偿，同时依法承担相应法律责任。</w:t>
      </w:r>
    </w:p>
    <w:p>
      <w:pPr>
        <w:shd w:val="clear" w:color="auto" w:fill="FFFFFF"/>
        <w:snapToGrid w:val="0"/>
        <w:spacing w:line="360" w:lineRule="auto"/>
        <w:ind w:firstLine="241" w:firstLineChars="100"/>
        <w:rPr>
          <w:rFonts w:ascii="宋体" w:hAnsi="宋体" w:cs="宋体"/>
          <w:sz w:val="24"/>
          <w:szCs w:val="24"/>
        </w:rPr>
      </w:pPr>
      <w:r>
        <w:rPr>
          <w:rFonts w:hint="eastAsia" w:ascii="宋体" w:hAnsi="宋体" w:cs="宋体"/>
          <w:b/>
          <w:bCs/>
          <w:sz w:val="24"/>
          <w:szCs w:val="24"/>
        </w:rPr>
        <w:t>31、履约保证金</w:t>
      </w:r>
    </w:p>
    <w:p>
      <w:pPr>
        <w:shd w:val="clear" w:color="auto" w:fill="FFFFFF"/>
        <w:snapToGrid w:val="0"/>
        <w:spacing w:line="360" w:lineRule="auto"/>
        <w:ind w:firstLine="480" w:firstLineChars="200"/>
        <w:rPr>
          <w:rFonts w:ascii="宋体" w:hAnsi="宋体" w:cs="宋体"/>
          <w:sz w:val="24"/>
          <w:szCs w:val="24"/>
        </w:rPr>
      </w:pPr>
      <w:r>
        <w:rPr>
          <w:rFonts w:hint="eastAsia" w:ascii="宋体" w:hAnsi="宋体" w:cs="宋体"/>
          <w:bCs/>
          <w:sz w:val="24"/>
          <w:szCs w:val="24"/>
        </w:rPr>
        <w:t>31.1</w:t>
      </w:r>
      <w:r>
        <w:rPr>
          <w:rFonts w:hint="eastAsia" w:ascii="宋体" w:hAnsi="宋体" w:cs="宋体"/>
          <w:sz w:val="24"/>
          <w:szCs w:val="24"/>
        </w:rPr>
        <w:t>本项目不收取履约保证金。</w:t>
      </w:r>
    </w:p>
    <w:p>
      <w:pPr>
        <w:pStyle w:val="30"/>
        <w:spacing w:line="360" w:lineRule="auto"/>
        <w:rPr>
          <w:rFonts w:ascii="宋体" w:hAnsi="宋体" w:cs="宋体"/>
          <w:sz w:val="24"/>
          <w:szCs w:val="24"/>
        </w:rPr>
      </w:pPr>
      <w:r>
        <w:rPr>
          <w:rFonts w:hint="eastAsia" w:ascii="宋体" w:hAnsi="宋体" w:cs="宋体"/>
          <w:sz w:val="24"/>
          <w:szCs w:val="24"/>
        </w:rPr>
        <w:t>八、其他</w:t>
      </w:r>
    </w:p>
    <w:p>
      <w:pPr>
        <w:shd w:val="clear" w:color="auto" w:fill="FFFFFF"/>
        <w:snapToGrid w:val="0"/>
        <w:spacing w:line="360" w:lineRule="auto"/>
        <w:ind w:firstLine="241" w:firstLineChars="100"/>
        <w:rPr>
          <w:rFonts w:ascii="宋体" w:hAnsi="宋体" w:cs="宋体"/>
          <w:sz w:val="24"/>
          <w:szCs w:val="24"/>
        </w:rPr>
      </w:pPr>
      <w:r>
        <w:rPr>
          <w:rFonts w:hint="eastAsia" w:ascii="宋体" w:hAnsi="宋体" w:cs="宋体"/>
          <w:b/>
          <w:bCs/>
          <w:sz w:val="24"/>
          <w:szCs w:val="24"/>
        </w:rPr>
        <w:t>32、</w:t>
      </w:r>
      <w:r>
        <w:rPr>
          <w:rFonts w:hint="eastAsia" w:ascii="宋体" w:hAnsi="宋体" w:cs="宋体"/>
          <w:sz w:val="24"/>
          <w:szCs w:val="24"/>
        </w:rPr>
        <w:t>未尽事宜按国家有关规定执行。</w:t>
      </w:r>
    </w:p>
    <w:p>
      <w:pPr>
        <w:shd w:val="clear" w:color="auto" w:fill="FFFFFF"/>
        <w:snapToGrid w:val="0"/>
        <w:spacing w:line="360" w:lineRule="auto"/>
        <w:ind w:firstLine="241" w:firstLineChars="100"/>
        <w:rPr>
          <w:rFonts w:ascii="宋体" w:hAnsi="宋体" w:cs="宋体"/>
          <w:sz w:val="24"/>
          <w:szCs w:val="24"/>
        </w:rPr>
      </w:pPr>
      <w:r>
        <w:rPr>
          <w:rFonts w:hint="eastAsia" w:ascii="宋体" w:hAnsi="宋体" w:cs="宋体"/>
          <w:b/>
          <w:bCs/>
          <w:sz w:val="24"/>
          <w:szCs w:val="24"/>
        </w:rPr>
        <w:t>33、</w:t>
      </w:r>
      <w:r>
        <w:rPr>
          <w:rFonts w:hint="eastAsia" w:ascii="宋体" w:hAnsi="宋体" w:cs="宋体"/>
          <w:sz w:val="24"/>
          <w:szCs w:val="24"/>
        </w:rPr>
        <w:t>本招标文件最终解释权归采购人。</w:t>
      </w:r>
    </w:p>
    <w:p>
      <w:pPr>
        <w:pStyle w:val="2"/>
        <w:keepNext w:val="0"/>
        <w:keepLines w:val="0"/>
        <w:pageBreakBefore/>
        <w:spacing w:before="120" w:after="120" w:line="400" w:lineRule="exact"/>
        <w:jc w:val="center"/>
        <w:rPr>
          <w:rFonts w:ascii="宋体" w:hAnsi="宋体" w:cs="宋体"/>
          <w:b w:val="0"/>
          <w:bCs w:val="0"/>
          <w:kern w:val="0"/>
          <w:sz w:val="24"/>
          <w:szCs w:val="24"/>
        </w:rPr>
      </w:pPr>
      <w:bookmarkStart w:id="39" w:name="_Toc18952"/>
      <w:bookmarkStart w:id="40" w:name="_Toc21705"/>
      <w:bookmarkStart w:id="41" w:name="_Toc5200"/>
      <w:r>
        <w:rPr>
          <w:rFonts w:hint="eastAsia" w:ascii="宋体" w:hAnsi="宋体" w:cs="宋体"/>
          <w:sz w:val="36"/>
          <w:szCs w:val="36"/>
        </w:rPr>
        <w:t>第三章 评标办法</w:t>
      </w:r>
      <w:bookmarkEnd w:id="39"/>
      <w:bookmarkEnd w:id="40"/>
      <w:bookmarkEnd w:id="41"/>
    </w:p>
    <w:p>
      <w:pPr>
        <w:pStyle w:val="32"/>
        <w:tabs>
          <w:tab w:val="left" w:pos="540"/>
        </w:tabs>
        <w:spacing w:before="0" w:line="360" w:lineRule="auto"/>
        <w:jc w:val="left"/>
        <w:rPr>
          <w:rFonts w:ascii="宋体" w:hAnsi="宋体" w:eastAsia="宋体"/>
          <w:sz w:val="24"/>
          <w:szCs w:val="24"/>
        </w:rPr>
      </w:pPr>
      <w:bookmarkStart w:id="42" w:name="_Toc11528"/>
      <w:bookmarkStart w:id="43" w:name="_Toc13844"/>
      <w:bookmarkStart w:id="44" w:name="_Toc28251232"/>
      <w:bookmarkStart w:id="45" w:name="_Toc38013557"/>
      <w:r>
        <w:rPr>
          <w:rFonts w:hint="eastAsia" w:ascii="宋体" w:hAnsi="宋体" w:eastAsia="宋体"/>
          <w:sz w:val="24"/>
          <w:szCs w:val="24"/>
        </w:rPr>
        <w:t>1.评标方法</w:t>
      </w:r>
      <w:bookmarkEnd w:id="42"/>
      <w:bookmarkEnd w:id="43"/>
      <w:bookmarkEnd w:id="44"/>
      <w:bookmarkEnd w:id="45"/>
    </w:p>
    <w:p>
      <w:pPr>
        <w:spacing w:line="360" w:lineRule="auto"/>
        <w:ind w:firstLine="480" w:firstLineChars="200"/>
        <w:rPr>
          <w:rFonts w:ascii="宋体" w:hAnsi="宋体" w:cs="宋体"/>
          <w:sz w:val="24"/>
          <w:szCs w:val="24"/>
        </w:rPr>
      </w:pPr>
      <w:r>
        <w:rPr>
          <w:rFonts w:hint="eastAsia" w:ascii="宋体" w:hAnsi="宋体" w:cs="宋体"/>
          <w:sz w:val="24"/>
          <w:szCs w:val="24"/>
        </w:rPr>
        <w:t>本次评标采用综合评分法。评标委员会对满足招标文件实质性要求的投标文件，按本章节规定的评分标准进行综合评分，并按得分由高到低顺序推荐3名中标候选人。综合评分相等时，由采购人根据相关规定自行确定。</w:t>
      </w:r>
    </w:p>
    <w:p>
      <w:pPr>
        <w:pStyle w:val="32"/>
        <w:tabs>
          <w:tab w:val="left" w:pos="540"/>
        </w:tabs>
        <w:spacing w:before="0" w:line="360" w:lineRule="auto"/>
        <w:jc w:val="left"/>
        <w:rPr>
          <w:rFonts w:ascii="宋体" w:hAnsi="宋体" w:eastAsia="宋体"/>
          <w:sz w:val="24"/>
          <w:szCs w:val="24"/>
        </w:rPr>
      </w:pPr>
      <w:bookmarkStart w:id="46" w:name="_Toc179632619"/>
      <w:bookmarkEnd w:id="46"/>
      <w:bookmarkStart w:id="47" w:name="_Toc28030"/>
      <w:bookmarkEnd w:id="47"/>
      <w:bookmarkStart w:id="48" w:name="_Toc19618"/>
      <w:bookmarkEnd w:id="48"/>
      <w:bookmarkStart w:id="49" w:name="_Toc28251233"/>
      <w:bookmarkStart w:id="50" w:name="_Toc3105"/>
      <w:bookmarkStart w:id="51" w:name="_Toc22883"/>
      <w:bookmarkStart w:id="52" w:name="_Toc29880"/>
      <w:bookmarkStart w:id="53" w:name="_Toc38013558"/>
      <w:r>
        <w:rPr>
          <w:rFonts w:hint="eastAsia" w:ascii="宋体" w:hAnsi="宋体" w:eastAsia="宋体"/>
          <w:sz w:val="24"/>
          <w:szCs w:val="24"/>
        </w:rPr>
        <w:t>2. 评审标准</w:t>
      </w:r>
      <w:bookmarkEnd w:id="49"/>
      <w:bookmarkEnd w:id="50"/>
      <w:bookmarkEnd w:id="51"/>
      <w:bookmarkEnd w:id="52"/>
      <w:bookmarkEnd w:id="53"/>
    </w:p>
    <w:p>
      <w:pPr>
        <w:pStyle w:val="33"/>
        <w:keepNext w:val="0"/>
        <w:keepLines w:val="0"/>
        <w:spacing w:line="360" w:lineRule="auto"/>
        <w:jc w:val="left"/>
        <w:rPr>
          <w:rFonts w:ascii="宋体" w:hAnsi="宋体" w:eastAsia="宋体"/>
        </w:rPr>
      </w:pPr>
      <w:bookmarkStart w:id="54" w:name="_Toc23196"/>
      <w:bookmarkEnd w:id="54"/>
      <w:bookmarkStart w:id="55" w:name="_Toc179632620"/>
      <w:bookmarkEnd w:id="55"/>
      <w:bookmarkStart w:id="56" w:name="_Toc12931"/>
      <w:bookmarkEnd w:id="56"/>
      <w:bookmarkStart w:id="57" w:name="_Toc31847"/>
      <w:bookmarkEnd w:id="57"/>
      <w:bookmarkStart w:id="58" w:name="_Toc16690667"/>
      <w:bookmarkStart w:id="59" w:name="_Toc38013559"/>
      <w:bookmarkStart w:id="60" w:name="_Toc8794"/>
      <w:bookmarkStart w:id="61" w:name="_Toc28251234"/>
      <w:bookmarkStart w:id="62" w:name="_Toc8346"/>
      <w:r>
        <w:rPr>
          <w:rFonts w:hint="eastAsia" w:ascii="宋体" w:hAnsi="宋体" w:eastAsia="宋体"/>
        </w:rPr>
        <w:t>2.1初步评审标准</w:t>
      </w:r>
      <w:bookmarkEnd w:id="58"/>
      <w:bookmarkEnd w:id="59"/>
      <w:bookmarkEnd w:id="60"/>
      <w:bookmarkEnd w:id="61"/>
      <w:bookmarkEnd w:id="62"/>
    </w:p>
    <w:p>
      <w:pPr>
        <w:spacing w:line="360" w:lineRule="auto"/>
        <w:ind w:firstLine="480" w:firstLineChars="200"/>
        <w:rPr>
          <w:rFonts w:ascii="宋体" w:hAnsi="宋体" w:cs="宋体"/>
          <w:sz w:val="24"/>
          <w:szCs w:val="24"/>
        </w:rPr>
      </w:pPr>
      <w:r>
        <w:rPr>
          <w:rFonts w:hint="eastAsia" w:ascii="宋体" w:hAnsi="宋体" w:cs="宋体"/>
          <w:sz w:val="24"/>
          <w:szCs w:val="24"/>
        </w:rPr>
        <w:t>2.1.1 形式评审标准：见评标办法前附表。</w:t>
      </w:r>
    </w:p>
    <w:p>
      <w:pPr>
        <w:spacing w:line="360" w:lineRule="auto"/>
        <w:ind w:firstLine="480" w:firstLineChars="200"/>
        <w:rPr>
          <w:rFonts w:ascii="宋体" w:hAnsi="宋体" w:cs="宋体"/>
          <w:sz w:val="24"/>
          <w:szCs w:val="24"/>
        </w:rPr>
      </w:pPr>
      <w:r>
        <w:rPr>
          <w:rFonts w:hint="eastAsia" w:ascii="宋体" w:hAnsi="宋体" w:cs="宋体"/>
          <w:sz w:val="24"/>
          <w:szCs w:val="24"/>
        </w:rPr>
        <w:t>2.1.2 资格评审标准：见评标办法前附表。</w:t>
      </w:r>
    </w:p>
    <w:p>
      <w:pPr>
        <w:spacing w:line="360" w:lineRule="auto"/>
        <w:ind w:firstLine="480" w:firstLineChars="200"/>
        <w:rPr>
          <w:rFonts w:ascii="宋体" w:hAnsi="宋体" w:cs="宋体"/>
          <w:sz w:val="24"/>
          <w:szCs w:val="24"/>
        </w:rPr>
      </w:pPr>
      <w:r>
        <w:rPr>
          <w:rFonts w:hint="eastAsia" w:ascii="宋体" w:hAnsi="宋体" w:cs="宋体"/>
          <w:sz w:val="24"/>
          <w:szCs w:val="24"/>
        </w:rPr>
        <w:t>2.1.3 响应性评审标准：见评标办法前附表。</w:t>
      </w:r>
    </w:p>
    <w:p>
      <w:pPr>
        <w:pStyle w:val="33"/>
        <w:keepNext w:val="0"/>
        <w:keepLines w:val="0"/>
        <w:spacing w:line="360" w:lineRule="auto"/>
        <w:jc w:val="left"/>
        <w:rPr>
          <w:rFonts w:ascii="宋体" w:hAnsi="宋体" w:eastAsia="宋体"/>
        </w:rPr>
      </w:pPr>
      <w:bookmarkStart w:id="63" w:name="_Toc16603"/>
      <w:bookmarkEnd w:id="63"/>
      <w:bookmarkStart w:id="64" w:name="_Toc11804"/>
      <w:bookmarkEnd w:id="64"/>
      <w:bookmarkStart w:id="65" w:name="_Toc179632621"/>
      <w:bookmarkEnd w:id="65"/>
      <w:bookmarkStart w:id="66" w:name="_Toc607"/>
      <w:bookmarkEnd w:id="66"/>
      <w:bookmarkStart w:id="67" w:name="_Toc17361"/>
      <w:bookmarkStart w:id="68" w:name="_Toc28251235"/>
      <w:bookmarkStart w:id="69" w:name="_Toc1342"/>
      <w:bookmarkStart w:id="70" w:name="_Toc16690668"/>
      <w:bookmarkStart w:id="71" w:name="_Toc38013560"/>
      <w:r>
        <w:rPr>
          <w:rFonts w:hint="eastAsia" w:ascii="宋体" w:hAnsi="宋体" w:eastAsia="宋体"/>
        </w:rPr>
        <w:t>2.2 分值构成与评分标准</w:t>
      </w:r>
      <w:bookmarkEnd w:id="67"/>
      <w:bookmarkEnd w:id="68"/>
      <w:bookmarkEnd w:id="69"/>
      <w:bookmarkEnd w:id="70"/>
      <w:bookmarkEnd w:id="71"/>
    </w:p>
    <w:p>
      <w:pPr>
        <w:spacing w:line="360" w:lineRule="auto"/>
        <w:ind w:firstLine="480" w:firstLineChars="200"/>
        <w:rPr>
          <w:rFonts w:ascii="宋体" w:hAnsi="宋体" w:cs="宋体"/>
          <w:sz w:val="24"/>
          <w:szCs w:val="24"/>
        </w:rPr>
      </w:pPr>
      <w:r>
        <w:rPr>
          <w:rFonts w:hint="eastAsia" w:ascii="宋体" w:hAnsi="宋体" w:cs="宋体"/>
          <w:sz w:val="24"/>
          <w:szCs w:val="24"/>
        </w:rPr>
        <w:t>2.2.1 分值构成：见详细评审表。</w:t>
      </w:r>
    </w:p>
    <w:p>
      <w:pPr>
        <w:spacing w:line="360" w:lineRule="auto"/>
        <w:ind w:firstLine="480" w:firstLineChars="200"/>
        <w:rPr>
          <w:rFonts w:ascii="宋体" w:hAnsi="宋体" w:cs="宋体"/>
          <w:sz w:val="24"/>
          <w:szCs w:val="24"/>
        </w:rPr>
      </w:pPr>
      <w:r>
        <w:rPr>
          <w:rFonts w:hint="eastAsia" w:ascii="宋体" w:hAnsi="宋体" w:cs="宋体"/>
          <w:sz w:val="24"/>
          <w:szCs w:val="24"/>
        </w:rPr>
        <w:t>2.2.2 评分标准：见详细评审表。</w:t>
      </w:r>
    </w:p>
    <w:p>
      <w:pPr>
        <w:pStyle w:val="32"/>
        <w:tabs>
          <w:tab w:val="left" w:pos="540"/>
        </w:tabs>
        <w:spacing w:before="0" w:line="360" w:lineRule="auto"/>
        <w:jc w:val="left"/>
        <w:rPr>
          <w:rFonts w:ascii="宋体" w:hAnsi="宋体" w:eastAsia="宋体"/>
          <w:sz w:val="24"/>
          <w:szCs w:val="24"/>
        </w:rPr>
      </w:pPr>
      <w:bookmarkStart w:id="72" w:name="_Toc11715"/>
      <w:bookmarkEnd w:id="72"/>
      <w:bookmarkStart w:id="73" w:name="_Toc152045604"/>
      <w:bookmarkEnd w:id="73"/>
      <w:bookmarkStart w:id="74" w:name="_Toc25534"/>
      <w:bookmarkEnd w:id="74"/>
      <w:bookmarkStart w:id="75" w:name="_Toc179632622"/>
      <w:bookmarkEnd w:id="75"/>
      <w:bookmarkStart w:id="76" w:name="_Toc144974571"/>
      <w:bookmarkEnd w:id="76"/>
      <w:bookmarkStart w:id="77" w:name="_Toc13158"/>
      <w:bookmarkEnd w:id="77"/>
      <w:bookmarkStart w:id="78" w:name="_Toc28251236"/>
      <w:bookmarkStart w:id="79" w:name="_Toc30473"/>
      <w:bookmarkStart w:id="80" w:name="_Toc38013561"/>
      <w:bookmarkStart w:id="81" w:name="_Toc152042381"/>
      <w:bookmarkStart w:id="82" w:name="_Toc32601"/>
      <w:r>
        <w:rPr>
          <w:rFonts w:hint="eastAsia" w:ascii="宋体" w:hAnsi="宋体" w:eastAsia="宋体"/>
          <w:sz w:val="24"/>
          <w:szCs w:val="24"/>
        </w:rPr>
        <w:t>3. 评标程序</w:t>
      </w:r>
      <w:bookmarkEnd w:id="78"/>
      <w:bookmarkEnd w:id="79"/>
      <w:bookmarkEnd w:id="80"/>
      <w:bookmarkEnd w:id="81"/>
      <w:bookmarkEnd w:id="82"/>
    </w:p>
    <w:p>
      <w:pPr>
        <w:pStyle w:val="33"/>
        <w:keepNext w:val="0"/>
        <w:keepLines w:val="0"/>
        <w:spacing w:line="360" w:lineRule="auto"/>
        <w:jc w:val="left"/>
        <w:rPr>
          <w:rFonts w:ascii="宋体" w:hAnsi="宋体" w:eastAsia="宋体"/>
          <w:b/>
        </w:rPr>
      </w:pPr>
      <w:bookmarkStart w:id="83" w:name="_Toc8644"/>
      <w:bookmarkEnd w:id="83"/>
      <w:bookmarkStart w:id="84" w:name="_Toc30372"/>
      <w:bookmarkEnd w:id="84"/>
      <w:bookmarkStart w:id="85" w:name="_Toc152042382"/>
      <w:bookmarkEnd w:id="85"/>
      <w:bookmarkStart w:id="86" w:name="_Toc144974572"/>
      <w:bookmarkEnd w:id="86"/>
      <w:bookmarkStart w:id="87" w:name="_Toc152045605"/>
      <w:bookmarkEnd w:id="87"/>
      <w:bookmarkStart w:id="88" w:name="_Toc31010"/>
      <w:bookmarkEnd w:id="88"/>
      <w:bookmarkStart w:id="89" w:name="_Toc179632623"/>
      <w:bookmarkStart w:id="90" w:name="_Toc38013562"/>
      <w:bookmarkStart w:id="91" w:name="_Toc11875"/>
      <w:bookmarkStart w:id="92" w:name="_Toc12409"/>
      <w:bookmarkStart w:id="93" w:name="_Toc28251237"/>
      <w:bookmarkStart w:id="94" w:name="_Toc16690670"/>
      <w:r>
        <w:rPr>
          <w:rFonts w:hint="eastAsia" w:ascii="宋体" w:hAnsi="宋体" w:eastAsia="宋体"/>
        </w:rPr>
        <w:t>3.1 初步评审</w:t>
      </w:r>
      <w:bookmarkEnd w:id="89"/>
      <w:bookmarkEnd w:id="90"/>
      <w:bookmarkEnd w:id="91"/>
      <w:bookmarkEnd w:id="92"/>
      <w:bookmarkEnd w:id="93"/>
      <w:bookmarkEnd w:id="94"/>
    </w:p>
    <w:p>
      <w:pPr>
        <w:spacing w:line="360" w:lineRule="auto"/>
        <w:ind w:firstLine="480" w:firstLineChars="200"/>
        <w:rPr>
          <w:rFonts w:ascii="宋体" w:hAnsi="宋体" w:cs="宋体"/>
          <w:sz w:val="24"/>
          <w:szCs w:val="24"/>
        </w:rPr>
      </w:pPr>
      <w:r>
        <w:rPr>
          <w:rFonts w:hint="eastAsia" w:ascii="宋体" w:hAnsi="宋体" w:cs="宋体"/>
          <w:sz w:val="24"/>
          <w:szCs w:val="24"/>
        </w:rPr>
        <w:t>3.1.1采购人根据本章规定得资格评审办法对投标人进行资格审查，资格审查资料以投标人投标文件中所附资料为准，进行核验。</w:t>
      </w:r>
      <w:r>
        <w:rPr>
          <w:rFonts w:hint="eastAsia" w:ascii="宋体" w:hAnsi="宋体" w:cs="宋体"/>
          <w:bCs/>
          <w:sz w:val="24"/>
          <w:szCs w:val="24"/>
        </w:rPr>
        <w:t>通过资格审查的投标人由</w:t>
      </w:r>
      <w:r>
        <w:rPr>
          <w:rFonts w:hint="eastAsia" w:ascii="宋体" w:hAnsi="宋体" w:cs="宋体"/>
          <w:sz w:val="24"/>
          <w:szCs w:val="24"/>
        </w:rPr>
        <w:t>评标委员会依据本章第2.1款规定的标准对投标文件进行</w:t>
      </w:r>
      <w:r>
        <w:rPr>
          <w:rFonts w:hint="eastAsia" w:ascii="宋体" w:hAnsi="宋体" w:cs="宋体"/>
          <w:bCs/>
          <w:sz w:val="24"/>
          <w:szCs w:val="24"/>
        </w:rPr>
        <w:t>形式评审、响应性评审</w:t>
      </w:r>
      <w:r>
        <w:rPr>
          <w:rFonts w:hint="eastAsia" w:ascii="宋体" w:hAnsi="宋体" w:cs="宋体"/>
          <w:sz w:val="24"/>
          <w:szCs w:val="24"/>
        </w:rPr>
        <w:t>。有一项不符合评审标准的，其投标将被否决。</w:t>
      </w:r>
    </w:p>
    <w:p>
      <w:pPr>
        <w:spacing w:line="360" w:lineRule="auto"/>
        <w:ind w:firstLine="480" w:firstLineChars="200"/>
        <w:rPr>
          <w:rFonts w:ascii="宋体" w:hAnsi="宋体" w:cs="宋体"/>
          <w:sz w:val="24"/>
          <w:szCs w:val="24"/>
        </w:rPr>
      </w:pPr>
      <w:r>
        <w:rPr>
          <w:rFonts w:hint="eastAsia" w:ascii="宋体" w:hAnsi="宋体" w:cs="宋体"/>
          <w:sz w:val="24"/>
          <w:szCs w:val="24"/>
        </w:rPr>
        <w:t>3.1.2供应商有以下情形之一的，其投标作无效标处理：</w:t>
      </w:r>
    </w:p>
    <w:p>
      <w:pPr>
        <w:spacing w:line="360" w:lineRule="auto"/>
        <w:ind w:firstLine="480" w:firstLineChars="200"/>
        <w:rPr>
          <w:rFonts w:ascii="宋体" w:hAnsi="宋体" w:cs="宋体"/>
          <w:sz w:val="24"/>
          <w:szCs w:val="24"/>
        </w:rPr>
      </w:pPr>
      <w:r>
        <w:rPr>
          <w:rFonts w:hint="eastAsia" w:ascii="宋体" w:hAnsi="宋体" w:cs="宋体"/>
          <w:sz w:val="24"/>
          <w:szCs w:val="24"/>
        </w:rPr>
        <w:t>（1）串通投标或弄虚作假或有其他违法行为的；</w:t>
      </w:r>
    </w:p>
    <w:p>
      <w:pPr>
        <w:spacing w:line="360" w:lineRule="auto"/>
        <w:ind w:firstLine="480" w:firstLineChars="200"/>
        <w:rPr>
          <w:rFonts w:ascii="宋体" w:hAnsi="宋体" w:cs="宋体"/>
          <w:sz w:val="24"/>
          <w:szCs w:val="24"/>
        </w:rPr>
      </w:pPr>
      <w:r>
        <w:rPr>
          <w:rFonts w:hint="eastAsia" w:ascii="宋体" w:hAnsi="宋体" w:cs="宋体"/>
          <w:sz w:val="24"/>
          <w:szCs w:val="24"/>
        </w:rPr>
        <w:t>（2）不按评标委员会要求澄清、说明或补正的。</w:t>
      </w:r>
    </w:p>
    <w:p>
      <w:pPr>
        <w:spacing w:line="360" w:lineRule="auto"/>
        <w:ind w:firstLine="480" w:firstLineChars="200"/>
        <w:rPr>
          <w:rFonts w:ascii="宋体" w:hAnsi="宋体" w:cs="宋体"/>
          <w:sz w:val="24"/>
          <w:szCs w:val="24"/>
        </w:rPr>
      </w:pPr>
      <w:r>
        <w:rPr>
          <w:rFonts w:hint="eastAsia" w:ascii="宋体" w:hAnsi="宋体" w:cs="宋体"/>
          <w:sz w:val="24"/>
          <w:szCs w:val="24"/>
        </w:rPr>
        <w:t>3.1.3投标报价有算术错误的，评标委员会按以下原则对投标报价进行修正，修正的价格经供应商书面确认后具有约束力。供应商不接受修正价格的，其投标将被否决。</w:t>
      </w:r>
    </w:p>
    <w:p>
      <w:pPr>
        <w:spacing w:line="360" w:lineRule="auto"/>
        <w:ind w:firstLine="480" w:firstLineChars="200"/>
        <w:rPr>
          <w:rFonts w:ascii="宋体" w:hAnsi="宋体" w:cs="宋体"/>
          <w:sz w:val="24"/>
          <w:szCs w:val="24"/>
        </w:rPr>
      </w:pPr>
      <w:bookmarkStart w:id="95" w:name="_Toc152042383"/>
      <w:bookmarkEnd w:id="95"/>
      <w:r>
        <w:rPr>
          <w:rFonts w:hint="eastAsia" w:ascii="宋体" w:hAnsi="宋体" w:cs="宋体"/>
          <w:sz w:val="24"/>
          <w:szCs w:val="24"/>
        </w:rPr>
        <w:t>（1）投标文件中的大写金额与小写金额不一致的，以大写金额为准；</w:t>
      </w:r>
    </w:p>
    <w:p>
      <w:pPr>
        <w:spacing w:line="360" w:lineRule="auto"/>
        <w:ind w:firstLine="480" w:firstLineChars="200"/>
        <w:rPr>
          <w:rFonts w:ascii="宋体" w:hAnsi="宋体" w:cs="宋体"/>
          <w:sz w:val="24"/>
          <w:szCs w:val="24"/>
        </w:rPr>
      </w:pPr>
      <w:r>
        <w:rPr>
          <w:rFonts w:hint="eastAsia" w:ascii="宋体" w:hAnsi="宋体" w:cs="宋体"/>
          <w:sz w:val="24"/>
          <w:szCs w:val="24"/>
        </w:rPr>
        <w:t>（2）总价金额与依据单价计算出的结果不一致的，以单价金额为准修正总价，但单价金额小数点有明显错误的除外。</w:t>
      </w:r>
    </w:p>
    <w:p>
      <w:pPr>
        <w:pStyle w:val="33"/>
        <w:keepNext w:val="0"/>
        <w:keepLines w:val="0"/>
        <w:spacing w:line="360" w:lineRule="auto"/>
        <w:jc w:val="left"/>
        <w:rPr>
          <w:rFonts w:ascii="宋体" w:hAnsi="宋体" w:eastAsia="宋体"/>
          <w:b/>
        </w:rPr>
      </w:pPr>
      <w:bookmarkStart w:id="96" w:name="_Toc152042384"/>
      <w:bookmarkEnd w:id="96"/>
      <w:bookmarkStart w:id="97" w:name="_Toc144974573"/>
      <w:bookmarkEnd w:id="97"/>
      <w:bookmarkStart w:id="98" w:name="_Toc179632624"/>
      <w:bookmarkEnd w:id="98"/>
      <w:bookmarkStart w:id="99" w:name="_Toc16690671"/>
      <w:bookmarkStart w:id="100" w:name="_Toc32019"/>
      <w:bookmarkStart w:id="101" w:name="_Toc28251238"/>
      <w:bookmarkStart w:id="102" w:name="_Toc152045606"/>
      <w:bookmarkStart w:id="103" w:name="_Toc38013563"/>
      <w:bookmarkStart w:id="104" w:name="_Toc18657"/>
      <w:r>
        <w:rPr>
          <w:rFonts w:hint="eastAsia" w:ascii="宋体" w:hAnsi="宋体" w:eastAsia="宋体"/>
        </w:rPr>
        <w:t>3.2详细评审</w:t>
      </w:r>
      <w:bookmarkEnd w:id="99"/>
      <w:bookmarkEnd w:id="100"/>
      <w:bookmarkEnd w:id="101"/>
      <w:bookmarkEnd w:id="102"/>
      <w:bookmarkEnd w:id="103"/>
      <w:bookmarkEnd w:id="104"/>
    </w:p>
    <w:p>
      <w:pPr>
        <w:spacing w:line="360" w:lineRule="auto"/>
        <w:ind w:firstLine="480" w:firstLineChars="200"/>
        <w:rPr>
          <w:rFonts w:ascii="宋体" w:hAnsi="宋体" w:cs="宋体"/>
          <w:sz w:val="24"/>
          <w:szCs w:val="24"/>
        </w:rPr>
      </w:pPr>
      <w:r>
        <w:rPr>
          <w:rFonts w:hint="eastAsia" w:ascii="宋体" w:hAnsi="宋体" w:cs="宋体"/>
          <w:sz w:val="24"/>
          <w:szCs w:val="24"/>
        </w:rPr>
        <w:t>3.2.1评标委员会按本章第2.2款规定的量化因素和分值进行打分，并计算出综合评估得分。</w:t>
      </w:r>
    </w:p>
    <w:p>
      <w:pPr>
        <w:spacing w:line="360" w:lineRule="auto"/>
        <w:ind w:firstLine="480" w:firstLineChars="200"/>
        <w:jc w:val="left"/>
        <w:rPr>
          <w:rFonts w:ascii="宋体" w:hAnsi="宋体" w:cs="宋体"/>
          <w:sz w:val="24"/>
        </w:rPr>
      </w:pPr>
      <w:r>
        <w:rPr>
          <w:rFonts w:hint="eastAsia" w:ascii="宋体" w:hAnsi="宋体" w:cs="宋体"/>
          <w:sz w:val="24"/>
          <w:szCs w:val="24"/>
        </w:rPr>
        <w:t>3.2.2</w:t>
      </w:r>
      <w:r>
        <w:rPr>
          <w:rFonts w:hint="eastAsia" w:ascii="宋体" w:hAnsi="宋体" w:cs="宋体"/>
          <w:sz w:val="24"/>
        </w:rPr>
        <w:t>按照《关于推动解决政府采购异常低价问题的通知》(财库〔2026〕2号)规定，政府采购评审中出现下列情形之一的，评审委员会应当启动异常低价投标（响应）审查程序。</w:t>
      </w:r>
    </w:p>
    <w:p>
      <w:pPr>
        <w:spacing w:line="360" w:lineRule="auto"/>
        <w:ind w:firstLine="480" w:firstLineChars="200"/>
        <w:jc w:val="left"/>
        <w:rPr>
          <w:rFonts w:ascii="宋体" w:hAnsi="宋体" w:cs="宋体"/>
          <w:sz w:val="24"/>
        </w:rPr>
      </w:pPr>
      <w:r>
        <w:rPr>
          <w:rFonts w:hint="eastAsia" w:ascii="宋体" w:hAnsi="宋体" w:cs="宋体"/>
          <w:sz w:val="24"/>
        </w:rPr>
        <w:t>（1） 投标（响应）报价低于全部通过符合性审查供应商投标（响应）报价平均值50%的，即投标（响应）报价&lt;全部通过符合性审查供应商投标（响应）报价平均值×50%；</w:t>
      </w:r>
    </w:p>
    <w:p>
      <w:pPr>
        <w:spacing w:line="360" w:lineRule="auto"/>
        <w:ind w:firstLine="480" w:firstLineChars="200"/>
        <w:jc w:val="left"/>
        <w:rPr>
          <w:rFonts w:ascii="宋体" w:hAnsi="宋体" w:cs="宋体"/>
          <w:sz w:val="24"/>
        </w:rPr>
      </w:pPr>
      <w:r>
        <w:rPr>
          <w:rFonts w:hint="eastAsia" w:ascii="宋体" w:hAnsi="宋体" w:cs="宋体"/>
          <w:sz w:val="24"/>
        </w:rPr>
        <w:t>（2） 投标（响应）报价低于通过符合性审查的次低报价供应商投标（响应）报价50%的，即投标（响应）报价&lt;通过符合性审查的次低报价供应商投标（响应）报价×50%；</w:t>
      </w:r>
    </w:p>
    <w:p>
      <w:pPr>
        <w:spacing w:line="360" w:lineRule="auto"/>
        <w:ind w:firstLine="480" w:firstLineChars="200"/>
        <w:jc w:val="left"/>
        <w:rPr>
          <w:rFonts w:ascii="宋体" w:hAnsi="宋体" w:cs="宋体"/>
          <w:sz w:val="24"/>
        </w:rPr>
      </w:pPr>
      <w:r>
        <w:rPr>
          <w:rFonts w:hint="eastAsia" w:ascii="宋体" w:hAnsi="宋体" w:cs="宋体"/>
          <w:sz w:val="24"/>
        </w:rPr>
        <w:t>（3） 投标（响应）报价低于采购项目最高限价45%的，即投标（响应）报价&lt;采购项目最高限价×45% ；</w:t>
      </w:r>
    </w:p>
    <w:p>
      <w:pPr>
        <w:spacing w:line="360" w:lineRule="auto"/>
        <w:ind w:firstLine="480" w:firstLineChars="200"/>
        <w:jc w:val="left"/>
        <w:rPr>
          <w:rFonts w:ascii="宋体" w:hAnsi="宋体" w:cs="宋体"/>
          <w:sz w:val="24"/>
        </w:rPr>
      </w:pPr>
      <w:r>
        <w:rPr>
          <w:rFonts w:hint="eastAsia" w:ascii="宋体" w:hAnsi="宋体" w:cs="宋体"/>
          <w:sz w:val="24"/>
        </w:rPr>
        <w:t>（4）评审委员会基于专业判断，认为供应商报价过低，有可能影响产品质量或者不能诚信履约的其他情形；</w:t>
      </w:r>
    </w:p>
    <w:p>
      <w:pPr>
        <w:spacing w:line="360" w:lineRule="auto"/>
        <w:ind w:firstLine="480" w:firstLineChars="200"/>
        <w:jc w:val="left"/>
        <w:rPr>
          <w:rFonts w:ascii="宋体" w:hAnsi="宋体" w:cs="宋体"/>
          <w:sz w:val="24"/>
        </w:rPr>
      </w:pPr>
      <w:r>
        <w:rPr>
          <w:rFonts w:hint="eastAsia" w:ascii="宋体" w:hAnsi="宋体" w:cs="宋体"/>
          <w:sz w:val="24"/>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spacing w:line="360" w:lineRule="auto"/>
        <w:ind w:firstLine="480" w:firstLineChars="200"/>
        <w:jc w:val="left"/>
        <w:rPr>
          <w:rFonts w:ascii="宋体" w:hAnsi="宋体" w:cs="宋体"/>
          <w:sz w:val="24"/>
        </w:rPr>
      </w:pPr>
      <w:r>
        <w:rPr>
          <w:rFonts w:hint="eastAsia" w:ascii="宋体" w:hAnsi="宋体" w:cs="宋体"/>
          <w:sz w:val="24"/>
        </w:rPr>
        <w:t xml:space="preserve">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pPr>
        <w:spacing w:line="360" w:lineRule="auto"/>
        <w:ind w:firstLine="480" w:firstLineChars="200"/>
        <w:jc w:val="left"/>
        <w:rPr>
          <w:rFonts w:ascii="宋体" w:hAnsi="宋体" w:cs="宋体"/>
          <w:sz w:val="24"/>
        </w:rPr>
      </w:pPr>
      <w:r>
        <w:rPr>
          <w:rFonts w:ascii="宋体" w:hAnsi="宋体" w:cs="宋体"/>
          <w:sz w:val="24"/>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spacing w:line="360" w:lineRule="auto"/>
        <w:ind w:firstLine="480" w:firstLineChars="200"/>
        <w:jc w:val="left"/>
        <w:rPr>
          <w:rFonts w:ascii="宋体" w:hAnsi="宋体" w:cs="宋体"/>
          <w:sz w:val="24"/>
        </w:rPr>
      </w:pPr>
      <w:r>
        <w:rPr>
          <w:rFonts w:ascii="宋体" w:hAnsi="宋体" w:cs="宋体"/>
          <w:sz w:val="24"/>
        </w:rPr>
        <w:t>异常低价投标审查的启动原因、审查意见和审查结果应当在评审报告中记录，并随供应商提供的相关书面说明及证明材料，以及评审委员会有关互联网浏览、查询历史一并归档。</w:t>
      </w:r>
    </w:p>
    <w:p>
      <w:pPr>
        <w:pStyle w:val="33"/>
        <w:keepNext w:val="0"/>
        <w:keepLines w:val="0"/>
        <w:spacing w:line="360" w:lineRule="auto"/>
        <w:jc w:val="left"/>
        <w:rPr>
          <w:rFonts w:ascii="宋体" w:hAnsi="宋体" w:eastAsia="宋体"/>
        </w:rPr>
      </w:pPr>
      <w:bookmarkStart w:id="105" w:name="_Toc423358132"/>
      <w:bookmarkEnd w:id="105"/>
      <w:bookmarkStart w:id="106" w:name="_Toc401926485"/>
      <w:bookmarkEnd w:id="106"/>
      <w:bookmarkStart w:id="107" w:name="_Toc387498748"/>
      <w:bookmarkEnd w:id="107"/>
      <w:bookmarkStart w:id="108" w:name="_Toc389384087"/>
      <w:bookmarkEnd w:id="108"/>
      <w:bookmarkStart w:id="109" w:name="_Toc179632625"/>
      <w:bookmarkEnd w:id="109"/>
      <w:bookmarkStart w:id="110" w:name="_Toc418605429"/>
      <w:bookmarkEnd w:id="110"/>
      <w:bookmarkStart w:id="111" w:name="_Toc466566800"/>
      <w:bookmarkEnd w:id="111"/>
      <w:bookmarkStart w:id="112" w:name="_Toc144974575"/>
      <w:bookmarkEnd w:id="112"/>
      <w:bookmarkStart w:id="113" w:name="_Toc466566711"/>
      <w:bookmarkEnd w:id="113"/>
      <w:bookmarkStart w:id="114" w:name="_Toc152042385"/>
      <w:bookmarkEnd w:id="114"/>
      <w:bookmarkStart w:id="115" w:name="_Toc421805017"/>
      <w:bookmarkEnd w:id="115"/>
      <w:bookmarkStart w:id="116" w:name="_Toc418608950"/>
      <w:bookmarkEnd w:id="116"/>
      <w:bookmarkStart w:id="117" w:name="_Toc421698384"/>
      <w:bookmarkEnd w:id="117"/>
      <w:bookmarkStart w:id="118" w:name="_Toc401512224"/>
      <w:bookmarkEnd w:id="118"/>
      <w:bookmarkStart w:id="119" w:name="_Toc152045607"/>
      <w:bookmarkStart w:id="120" w:name="_Toc38013564"/>
      <w:bookmarkStart w:id="121" w:name="_Toc28251239"/>
      <w:bookmarkStart w:id="122" w:name="_Toc16690672"/>
      <w:bookmarkStart w:id="123" w:name="_Toc17285"/>
      <w:bookmarkStart w:id="124" w:name="_Toc5619"/>
      <w:r>
        <w:rPr>
          <w:rFonts w:hint="eastAsia" w:ascii="宋体" w:hAnsi="宋体" w:eastAsia="宋体"/>
        </w:rPr>
        <w:t xml:space="preserve">3.3 </w:t>
      </w:r>
      <w:bookmarkEnd w:id="119"/>
      <w:r>
        <w:rPr>
          <w:rFonts w:hint="eastAsia" w:ascii="宋体" w:hAnsi="宋体" w:eastAsia="宋体"/>
        </w:rPr>
        <w:t>投标文件的澄清和补正</w:t>
      </w:r>
      <w:bookmarkEnd w:id="120"/>
      <w:bookmarkEnd w:id="121"/>
      <w:bookmarkEnd w:id="122"/>
      <w:bookmarkEnd w:id="123"/>
      <w:bookmarkEnd w:id="124"/>
    </w:p>
    <w:p>
      <w:pPr>
        <w:spacing w:line="360" w:lineRule="auto"/>
        <w:ind w:firstLine="480" w:firstLineChars="200"/>
        <w:rPr>
          <w:rFonts w:ascii="宋体" w:hAnsi="宋体" w:cs="宋体"/>
          <w:sz w:val="24"/>
          <w:szCs w:val="24"/>
        </w:rPr>
      </w:pPr>
      <w:r>
        <w:rPr>
          <w:rFonts w:hint="eastAsia" w:ascii="宋体" w:hAnsi="宋体" w:cs="宋体"/>
          <w:sz w:val="24"/>
          <w:szCs w:val="24"/>
        </w:rPr>
        <w:t>3.3.1评标委员会对电子化投标文件有质疑的，将通过电子化交易系统对投标人发起质疑，并在监督人员的监督下，用免提模式致电需要答复的投标人，对质疑进行回复。回复文件必须以经过投标人和其法定代表人签章的PDF格式文件为准，并通过电子化交易系统提交至评标委员会。如评标委员会对需要回复的投标人连续三次致电未接通的，视为投标人放弃回复，评标委员会将自行对需要回复的内容进行认定。评标委员会不接受供应商主动提出的澄清、说明或补正。</w:t>
      </w:r>
    </w:p>
    <w:p>
      <w:pPr>
        <w:spacing w:line="360" w:lineRule="auto"/>
        <w:ind w:firstLine="480" w:firstLineChars="200"/>
        <w:rPr>
          <w:rFonts w:ascii="宋体" w:hAnsi="宋体" w:cs="宋体"/>
          <w:sz w:val="24"/>
          <w:szCs w:val="24"/>
        </w:rPr>
      </w:pPr>
      <w:r>
        <w:rPr>
          <w:rFonts w:hint="eastAsia" w:ascii="宋体" w:hAnsi="宋体" w:cs="宋体"/>
          <w:sz w:val="24"/>
          <w:szCs w:val="24"/>
        </w:rPr>
        <w:t>3.3.2 澄清、说明和补正不得改变投标文件的实质性内容（算术性错误修正的除外）。供应商的书面澄清、说明和补正属于投标文件的组成部分。</w:t>
      </w:r>
    </w:p>
    <w:p>
      <w:pPr>
        <w:spacing w:line="360" w:lineRule="auto"/>
        <w:ind w:firstLine="480" w:firstLineChars="200"/>
        <w:rPr>
          <w:rFonts w:ascii="宋体" w:hAnsi="宋体" w:cs="宋体"/>
          <w:sz w:val="24"/>
          <w:szCs w:val="24"/>
        </w:rPr>
      </w:pPr>
      <w:r>
        <w:rPr>
          <w:rFonts w:hint="eastAsia" w:ascii="宋体" w:hAnsi="宋体" w:cs="宋体"/>
          <w:sz w:val="24"/>
          <w:szCs w:val="24"/>
        </w:rPr>
        <w:t>3.3.3 评标委员会对供应商提交的澄清、说明或补正有疑问的，可以要求供应商进一步澄清、说明或补正，直至满足评标委员会的要求。</w:t>
      </w:r>
    </w:p>
    <w:p>
      <w:pPr>
        <w:pStyle w:val="33"/>
        <w:keepNext w:val="0"/>
        <w:keepLines w:val="0"/>
        <w:spacing w:line="360" w:lineRule="auto"/>
        <w:jc w:val="left"/>
        <w:rPr>
          <w:rFonts w:ascii="宋体" w:hAnsi="宋体" w:eastAsia="宋体"/>
          <w:b/>
        </w:rPr>
      </w:pPr>
      <w:bookmarkStart w:id="125" w:name="_Toc152045608"/>
      <w:bookmarkEnd w:id="125"/>
      <w:bookmarkStart w:id="126" w:name="_Toc401926486"/>
      <w:bookmarkEnd w:id="126"/>
      <w:bookmarkStart w:id="127" w:name="_Toc466566801"/>
      <w:bookmarkEnd w:id="127"/>
      <w:bookmarkStart w:id="128" w:name="_Toc179632626"/>
      <w:bookmarkEnd w:id="128"/>
      <w:bookmarkStart w:id="129" w:name="_Toc418608951"/>
      <w:bookmarkEnd w:id="129"/>
      <w:bookmarkStart w:id="130" w:name="_Toc421698385"/>
      <w:bookmarkEnd w:id="130"/>
      <w:bookmarkStart w:id="131" w:name="_Toc389384088"/>
      <w:bookmarkEnd w:id="131"/>
      <w:bookmarkStart w:id="132" w:name="_Toc423358133"/>
      <w:bookmarkEnd w:id="132"/>
      <w:bookmarkStart w:id="133" w:name="_Toc418605430"/>
      <w:bookmarkEnd w:id="133"/>
      <w:bookmarkStart w:id="134" w:name="_Toc401512225"/>
      <w:bookmarkEnd w:id="134"/>
      <w:bookmarkStart w:id="135" w:name="_Toc466566712"/>
      <w:bookmarkEnd w:id="135"/>
      <w:bookmarkStart w:id="136" w:name="_Toc144974576"/>
      <w:bookmarkEnd w:id="136"/>
      <w:bookmarkStart w:id="137" w:name="_Toc152042386"/>
      <w:bookmarkEnd w:id="137"/>
      <w:bookmarkStart w:id="138" w:name="_Toc421805018"/>
      <w:bookmarkEnd w:id="138"/>
      <w:bookmarkStart w:id="139" w:name="_Toc29297"/>
      <w:bookmarkStart w:id="140" w:name="_Toc387498749"/>
      <w:bookmarkStart w:id="141" w:name="_Toc21242"/>
      <w:bookmarkStart w:id="142" w:name="_Toc38013565"/>
      <w:bookmarkStart w:id="143" w:name="_Toc28251240"/>
      <w:bookmarkStart w:id="144" w:name="_Toc16690673"/>
      <w:r>
        <w:rPr>
          <w:rFonts w:hint="eastAsia" w:ascii="宋体" w:hAnsi="宋体" w:eastAsia="宋体"/>
        </w:rPr>
        <w:t>3.4供应商的总得分</w:t>
      </w:r>
      <w:bookmarkEnd w:id="139"/>
      <w:bookmarkEnd w:id="140"/>
      <w:bookmarkEnd w:id="141"/>
      <w:bookmarkEnd w:id="142"/>
      <w:bookmarkEnd w:id="143"/>
      <w:bookmarkEnd w:id="144"/>
    </w:p>
    <w:p>
      <w:pPr>
        <w:spacing w:line="360" w:lineRule="auto"/>
        <w:ind w:firstLine="480" w:firstLineChars="200"/>
        <w:rPr>
          <w:rFonts w:ascii="宋体" w:hAnsi="宋体" w:cs="宋体"/>
          <w:sz w:val="24"/>
          <w:szCs w:val="24"/>
        </w:rPr>
      </w:pPr>
      <w:r>
        <w:rPr>
          <w:rFonts w:hint="eastAsia" w:ascii="宋体" w:hAnsi="宋体" w:cs="宋体"/>
          <w:sz w:val="24"/>
          <w:szCs w:val="24"/>
        </w:rPr>
        <w:t>（1）评标委员会完成对技术标、投标报价和商务标得分的汇总后，取平均值作为该供应商的最终得分。</w:t>
      </w:r>
    </w:p>
    <w:p>
      <w:pPr>
        <w:spacing w:line="360" w:lineRule="auto"/>
        <w:ind w:firstLine="480" w:firstLineChars="200"/>
        <w:rPr>
          <w:rFonts w:ascii="宋体" w:hAnsi="宋体" w:cs="宋体"/>
          <w:sz w:val="24"/>
          <w:szCs w:val="24"/>
        </w:rPr>
      </w:pPr>
      <w:r>
        <w:rPr>
          <w:rFonts w:hint="eastAsia" w:ascii="宋体" w:hAnsi="宋体" w:cs="宋体"/>
          <w:sz w:val="24"/>
          <w:szCs w:val="24"/>
        </w:rPr>
        <w:t>（2）计算分值均保留两位小数。结果按四舍五入保留两位小数，小数点后第三位“四舍五入”。</w:t>
      </w:r>
    </w:p>
    <w:p>
      <w:pPr>
        <w:pStyle w:val="33"/>
        <w:keepNext w:val="0"/>
        <w:keepLines w:val="0"/>
        <w:spacing w:line="360" w:lineRule="auto"/>
        <w:jc w:val="left"/>
        <w:rPr>
          <w:rFonts w:ascii="宋体" w:hAnsi="宋体" w:eastAsia="宋体"/>
          <w:b/>
        </w:rPr>
      </w:pPr>
      <w:bookmarkStart w:id="145" w:name="_Toc16690674"/>
      <w:bookmarkStart w:id="146" w:name="_Toc38013566"/>
      <w:bookmarkStart w:id="147" w:name="_Toc28251241"/>
      <w:bookmarkStart w:id="148" w:name="_Toc14812"/>
      <w:bookmarkStart w:id="149" w:name="_Toc20886"/>
      <w:r>
        <w:rPr>
          <w:rFonts w:hint="eastAsia" w:ascii="宋体" w:hAnsi="宋体" w:eastAsia="宋体"/>
        </w:rPr>
        <w:t>3.5评标结果</w:t>
      </w:r>
      <w:bookmarkEnd w:id="145"/>
      <w:bookmarkEnd w:id="146"/>
      <w:bookmarkEnd w:id="147"/>
      <w:bookmarkEnd w:id="148"/>
      <w:bookmarkEnd w:id="149"/>
    </w:p>
    <w:p>
      <w:pPr>
        <w:spacing w:line="360" w:lineRule="auto"/>
        <w:ind w:firstLine="480" w:firstLineChars="200"/>
        <w:rPr>
          <w:rFonts w:ascii="宋体" w:hAnsi="宋体" w:cs="宋体"/>
          <w:sz w:val="24"/>
          <w:szCs w:val="24"/>
        </w:rPr>
      </w:pPr>
      <w:r>
        <w:rPr>
          <w:rFonts w:hint="eastAsia" w:ascii="宋体" w:hAnsi="宋体" w:cs="宋体"/>
          <w:sz w:val="24"/>
          <w:szCs w:val="24"/>
        </w:rPr>
        <w:t>3.5.1评标委员会按照得分由高到低的顺序推荐3名中标候选人。综合评分相等时，按照投标报价得分由高到低的顺序推荐；投标报价得分也相等的，则以项目实施方案得分由高到低的顺序推荐中标候选人以上全部相同的，通过随机抽取产生。</w:t>
      </w:r>
    </w:p>
    <w:p>
      <w:pPr>
        <w:spacing w:line="360" w:lineRule="auto"/>
        <w:ind w:firstLine="480" w:firstLineChars="200"/>
        <w:rPr>
          <w:rFonts w:ascii="宋体" w:hAnsi="宋体" w:cs="宋体"/>
          <w:sz w:val="24"/>
          <w:szCs w:val="24"/>
        </w:rPr>
      </w:pPr>
    </w:p>
    <w:p>
      <w:pPr>
        <w:spacing w:line="360" w:lineRule="auto"/>
        <w:ind w:firstLine="480" w:firstLineChars="200"/>
        <w:rPr>
          <w:rFonts w:ascii="宋体" w:hAnsi="宋体" w:cs="宋体"/>
          <w:sz w:val="24"/>
          <w:szCs w:val="24"/>
        </w:rPr>
      </w:pPr>
      <w:r>
        <w:rPr>
          <w:rFonts w:hint="eastAsia" w:ascii="宋体" w:hAnsi="宋体" w:cs="宋体"/>
          <w:sz w:val="24"/>
          <w:szCs w:val="24"/>
        </w:rPr>
        <w:t>3.5.2评标委员会完成评标后，应当向采购人提交书面评标报告。</w:t>
      </w:r>
    </w:p>
    <w:p>
      <w:pPr>
        <w:rPr>
          <w:rFonts w:ascii="宋体" w:hAnsi="宋体" w:cs="宋体"/>
          <w:b/>
          <w:bCs/>
          <w:sz w:val="28"/>
          <w:szCs w:val="28"/>
        </w:rPr>
      </w:pPr>
      <w:bookmarkStart w:id="150" w:name="_Toc12959920"/>
      <w:bookmarkStart w:id="151" w:name="_Toc12961085"/>
      <w:r>
        <w:rPr>
          <w:rFonts w:hint="eastAsia" w:ascii="宋体" w:hAnsi="宋体" w:cs="宋体"/>
          <w:b/>
          <w:bCs/>
          <w:sz w:val="28"/>
          <w:szCs w:val="28"/>
        </w:rPr>
        <w:br w:type="page"/>
      </w:r>
    </w:p>
    <w:p>
      <w:pPr>
        <w:spacing w:line="276" w:lineRule="auto"/>
        <w:jc w:val="center"/>
        <w:rPr>
          <w:rFonts w:ascii="宋体" w:hAnsi="宋体" w:cs="宋体"/>
          <w:b/>
          <w:sz w:val="28"/>
          <w:szCs w:val="28"/>
        </w:rPr>
      </w:pPr>
      <w:r>
        <w:rPr>
          <w:rFonts w:hint="eastAsia" w:ascii="宋体" w:hAnsi="宋体" w:cs="宋体"/>
          <w:b/>
          <w:bCs/>
          <w:sz w:val="28"/>
          <w:szCs w:val="28"/>
        </w:rPr>
        <w:t>初步评审表</w:t>
      </w:r>
    </w:p>
    <w:tbl>
      <w:tblPr>
        <w:tblStyle w:val="23"/>
        <w:tblW w:w="9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1"/>
        <w:gridCol w:w="745"/>
        <w:gridCol w:w="3034"/>
        <w:gridCol w:w="43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1686"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sz w:val="24"/>
                <w:szCs w:val="24"/>
              </w:rPr>
            </w:pPr>
            <w:r>
              <w:rPr>
                <w:rFonts w:hint="eastAsia" w:ascii="宋体" w:hAnsi="宋体" w:cs="宋体"/>
                <w:b/>
                <w:bCs/>
                <w:sz w:val="24"/>
                <w:szCs w:val="24"/>
              </w:rPr>
              <w:t>条款号</w:t>
            </w:r>
          </w:p>
        </w:tc>
        <w:tc>
          <w:tcPr>
            <w:tcW w:w="3034"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b/>
                <w:bCs/>
                <w:sz w:val="24"/>
                <w:szCs w:val="24"/>
              </w:rPr>
            </w:pPr>
            <w:r>
              <w:rPr>
                <w:rFonts w:hint="eastAsia" w:ascii="宋体" w:hAnsi="宋体" w:cs="宋体"/>
                <w:b/>
                <w:bCs/>
                <w:sz w:val="24"/>
                <w:szCs w:val="24"/>
              </w:rPr>
              <w:t>评审因素</w:t>
            </w:r>
          </w:p>
        </w:tc>
        <w:tc>
          <w:tcPr>
            <w:tcW w:w="4378"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b/>
                <w:bCs/>
                <w:sz w:val="24"/>
                <w:szCs w:val="24"/>
              </w:rPr>
            </w:pPr>
            <w:r>
              <w:rPr>
                <w:rFonts w:hint="eastAsia" w:ascii="宋体" w:hAnsi="宋体" w:cs="宋体"/>
                <w:b/>
                <w:bCs/>
                <w:sz w:val="24"/>
                <w:szCs w:val="24"/>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41" w:type="dxa"/>
            <w:vMerge w:val="restart"/>
            <w:tcBorders>
              <w:top w:val="nil"/>
              <w:left w:val="single" w:color="auto" w:sz="4" w:space="0"/>
              <w:bottom w:val="single" w:color="auto" w:sz="4" w:space="0"/>
              <w:right w:val="single" w:color="auto" w:sz="4" w:space="0"/>
            </w:tcBorders>
            <w:vAlign w:val="center"/>
          </w:tcPr>
          <w:p>
            <w:pPr>
              <w:spacing w:line="360" w:lineRule="auto"/>
              <w:jc w:val="center"/>
              <w:rPr>
                <w:rFonts w:ascii="宋体" w:hAnsi="宋体" w:cs="宋体"/>
                <w:sz w:val="24"/>
                <w:szCs w:val="24"/>
              </w:rPr>
            </w:pPr>
            <w:r>
              <w:rPr>
                <w:rFonts w:hint="eastAsia" w:ascii="宋体" w:hAnsi="宋体" w:cs="宋体"/>
                <w:sz w:val="24"/>
                <w:szCs w:val="24"/>
              </w:rPr>
              <w:t>2.1.1</w:t>
            </w:r>
          </w:p>
        </w:tc>
        <w:tc>
          <w:tcPr>
            <w:tcW w:w="745" w:type="dxa"/>
            <w:vMerge w:val="restart"/>
            <w:tcBorders>
              <w:top w:val="nil"/>
              <w:left w:val="nil"/>
              <w:bottom w:val="single" w:color="auto" w:sz="4" w:space="0"/>
              <w:right w:val="single" w:color="auto" w:sz="4" w:space="0"/>
            </w:tcBorders>
            <w:vAlign w:val="center"/>
          </w:tcPr>
          <w:p>
            <w:pPr>
              <w:spacing w:line="360" w:lineRule="auto"/>
              <w:jc w:val="center"/>
              <w:rPr>
                <w:rFonts w:ascii="宋体" w:hAnsi="宋体" w:cs="宋体"/>
                <w:sz w:val="24"/>
                <w:szCs w:val="24"/>
              </w:rPr>
            </w:pPr>
            <w:r>
              <w:rPr>
                <w:rFonts w:hint="eastAsia" w:ascii="宋体" w:hAnsi="宋体" w:cs="宋体"/>
                <w:sz w:val="24"/>
                <w:szCs w:val="24"/>
              </w:rPr>
              <w:t>形式 评审 标准</w:t>
            </w:r>
          </w:p>
        </w:tc>
        <w:tc>
          <w:tcPr>
            <w:tcW w:w="3034" w:type="dxa"/>
            <w:tcBorders>
              <w:top w:val="single" w:color="auto" w:sz="4" w:space="0"/>
              <w:left w:val="nil"/>
              <w:bottom w:val="single" w:color="auto" w:sz="4" w:space="0"/>
              <w:right w:val="single" w:color="auto" w:sz="4" w:space="0"/>
            </w:tcBorders>
            <w:vAlign w:val="center"/>
          </w:tcPr>
          <w:p>
            <w:pPr>
              <w:widowControl/>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供应商名称</w:t>
            </w:r>
          </w:p>
        </w:tc>
        <w:tc>
          <w:tcPr>
            <w:tcW w:w="4378" w:type="dxa"/>
            <w:tcBorders>
              <w:top w:val="single" w:color="auto" w:sz="4" w:space="0"/>
              <w:left w:val="nil"/>
              <w:bottom w:val="single" w:color="auto" w:sz="4" w:space="0"/>
              <w:right w:val="single" w:color="auto" w:sz="4" w:space="0"/>
            </w:tcBorders>
            <w:vAlign w:val="center"/>
          </w:tcPr>
          <w:p>
            <w:pPr>
              <w:widowControl/>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与营业执照一致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41" w:type="dxa"/>
            <w:vMerge w:val="continue"/>
            <w:tcBorders>
              <w:top w:val="nil"/>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sz w:val="24"/>
                <w:szCs w:val="24"/>
              </w:rPr>
            </w:pPr>
          </w:p>
        </w:tc>
        <w:tc>
          <w:tcPr>
            <w:tcW w:w="745" w:type="dxa"/>
            <w:vMerge w:val="continue"/>
            <w:tcBorders>
              <w:top w:val="nil"/>
              <w:left w:val="nil"/>
              <w:bottom w:val="single" w:color="auto" w:sz="4" w:space="0"/>
              <w:right w:val="single" w:color="auto" w:sz="4" w:space="0"/>
            </w:tcBorders>
            <w:vAlign w:val="center"/>
          </w:tcPr>
          <w:p>
            <w:pPr>
              <w:widowControl/>
              <w:spacing w:line="360" w:lineRule="auto"/>
              <w:jc w:val="left"/>
              <w:rPr>
                <w:rFonts w:ascii="宋体" w:hAnsi="宋体" w:cs="宋体"/>
                <w:sz w:val="24"/>
                <w:szCs w:val="24"/>
              </w:rPr>
            </w:pPr>
          </w:p>
        </w:tc>
        <w:tc>
          <w:tcPr>
            <w:tcW w:w="3034" w:type="dxa"/>
            <w:tcBorders>
              <w:top w:val="single" w:color="auto" w:sz="4" w:space="0"/>
              <w:left w:val="nil"/>
              <w:bottom w:val="single" w:color="auto" w:sz="4" w:space="0"/>
              <w:right w:val="single" w:color="auto" w:sz="4" w:space="0"/>
            </w:tcBorders>
            <w:vAlign w:val="center"/>
          </w:tcPr>
          <w:p>
            <w:pPr>
              <w:widowControl/>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投标文件签字盖章</w:t>
            </w:r>
          </w:p>
        </w:tc>
        <w:tc>
          <w:tcPr>
            <w:tcW w:w="4378" w:type="dxa"/>
            <w:tcBorders>
              <w:top w:val="single" w:color="auto" w:sz="4" w:space="0"/>
              <w:left w:val="nil"/>
              <w:bottom w:val="single" w:color="auto" w:sz="4" w:space="0"/>
              <w:right w:val="single" w:color="auto" w:sz="4" w:space="0"/>
            </w:tcBorders>
            <w:vAlign w:val="center"/>
          </w:tcPr>
          <w:p>
            <w:pPr>
              <w:widowControl/>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符合招标文件要求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941" w:type="dxa"/>
            <w:vMerge w:val="continue"/>
            <w:tcBorders>
              <w:top w:val="nil"/>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sz w:val="24"/>
                <w:szCs w:val="24"/>
              </w:rPr>
            </w:pPr>
          </w:p>
        </w:tc>
        <w:tc>
          <w:tcPr>
            <w:tcW w:w="745" w:type="dxa"/>
            <w:vMerge w:val="continue"/>
            <w:tcBorders>
              <w:top w:val="nil"/>
              <w:left w:val="nil"/>
              <w:bottom w:val="single" w:color="auto" w:sz="4" w:space="0"/>
              <w:right w:val="single" w:color="auto" w:sz="4" w:space="0"/>
            </w:tcBorders>
            <w:vAlign w:val="center"/>
          </w:tcPr>
          <w:p>
            <w:pPr>
              <w:widowControl/>
              <w:spacing w:line="360" w:lineRule="auto"/>
              <w:jc w:val="left"/>
              <w:rPr>
                <w:rFonts w:ascii="宋体" w:hAnsi="宋体" w:cs="宋体"/>
                <w:sz w:val="24"/>
                <w:szCs w:val="24"/>
              </w:rPr>
            </w:pPr>
          </w:p>
        </w:tc>
        <w:tc>
          <w:tcPr>
            <w:tcW w:w="3034" w:type="dxa"/>
            <w:tcBorders>
              <w:top w:val="single" w:color="auto" w:sz="4" w:space="0"/>
              <w:left w:val="nil"/>
              <w:bottom w:val="single" w:color="auto" w:sz="4" w:space="0"/>
              <w:right w:val="single" w:color="auto" w:sz="4" w:space="0"/>
            </w:tcBorders>
            <w:vAlign w:val="center"/>
          </w:tcPr>
          <w:p>
            <w:pPr>
              <w:widowControl/>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报价唯一</w:t>
            </w:r>
          </w:p>
        </w:tc>
        <w:tc>
          <w:tcPr>
            <w:tcW w:w="4378" w:type="dxa"/>
            <w:tcBorders>
              <w:top w:val="single" w:color="auto" w:sz="4" w:space="0"/>
              <w:left w:val="nil"/>
              <w:bottom w:val="single" w:color="auto" w:sz="4" w:space="0"/>
              <w:right w:val="single" w:color="auto" w:sz="4" w:space="0"/>
            </w:tcBorders>
            <w:vAlign w:val="center"/>
          </w:tcPr>
          <w:p>
            <w:pPr>
              <w:widowControl/>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只能有一个有效投标报价，且不超过最高限价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941" w:type="dxa"/>
            <w:vMerge w:val="restart"/>
            <w:tcBorders>
              <w:top w:val="nil"/>
              <w:left w:val="single" w:color="auto" w:sz="4" w:space="0"/>
              <w:right w:val="single" w:color="auto" w:sz="4" w:space="0"/>
            </w:tcBorders>
            <w:vAlign w:val="center"/>
          </w:tcPr>
          <w:p>
            <w:pPr>
              <w:spacing w:line="360" w:lineRule="auto"/>
              <w:jc w:val="center"/>
              <w:rPr>
                <w:rFonts w:ascii="宋体" w:hAnsi="宋体" w:cs="宋体"/>
                <w:sz w:val="24"/>
                <w:szCs w:val="24"/>
              </w:rPr>
            </w:pPr>
            <w:r>
              <w:rPr>
                <w:rFonts w:hint="eastAsia" w:ascii="宋体" w:hAnsi="宋体" w:cs="宋体"/>
                <w:sz w:val="24"/>
                <w:szCs w:val="24"/>
              </w:rPr>
              <w:t>2.1.2</w:t>
            </w:r>
          </w:p>
        </w:tc>
        <w:tc>
          <w:tcPr>
            <w:tcW w:w="745" w:type="dxa"/>
            <w:vMerge w:val="restart"/>
            <w:tcBorders>
              <w:top w:val="nil"/>
              <w:left w:val="nil"/>
              <w:right w:val="single" w:color="auto" w:sz="4" w:space="0"/>
            </w:tcBorders>
            <w:vAlign w:val="center"/>
          </w:tcPr>
          <w:p>
            <w:pPr>
              <w:spacing w:line="360" w:lineRule="auto"/>
              <w:jc w:val="center"/>
              <w:rPr>
                <w:rFonts w:ascii="宋体" w:hAnsi="宋体" w:cs="宋体"/>
                <w:sz w:val="24"/>
                <w:szCs w:val="24"/>
              </w:rPr>
            </w:pPr>
            <w:r>
              <w:rPr>
                <w:rFonts w:hint="eastAsia" w:ascii="宋体" w:hAnsi="宋体" w:cs="宋体"/>
                <w:sz w:val="24"/>
                <w:szCs w:val="24"/>
              </w:rPr>
              <w:t>资格 评审</w:t>
            </w:r>
          </w:p>
          <w:p>
            <w:pPr>
              <w:spacing w:line="360" w:lineRule="auto"/>
              <w:jc w:val="center"/>
              <w:rPr>
                <w:rFonts w:ascii="宋体" w:hAnsi="宋体" w:cs="宋体"/>
                <w:sz w:val="24"/>
                <w:szCs w:val="24"/>
              </w:rPr>
            </w:pPr>
            <w:r>
              <w:rPr>
                <w:rFonts w:hint="eastAsia" w:ascii="宋体" w:hAnsi="宋体" w:cs="宋体"/>
                <w:sz w:val="24"/>
                <w:szCs w:val="24"/>
              </w:rPr>
              <w:t>标准</w:t>
            </w:r>
          </w:p>
        </w:tc>
        <w:tc>
          <w:tcPr>
            <w:tcW w:w="3034" w:type="dxa"/>
            <w:tcBorders>
              <w:top w:val="single" w:color="auto" w:sz="4" w:space="0"/>
              <w:left w:val="nil"/>
              <w:bottom w:val="single" w:color="auto" w:sz="4" w:space="0"/>
              <w:right w:val="single" w:color="auto" w:sz="4" w:space="0"/>
            </w:tcBorders>
            <w:vAlign w:val="center"/>
          </w:tcPr>
          <w:p>
            <w:pPr>
              <w:widowControl/>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满足《中华人民共和国政府采购法》第二十二条规定</w:t>
            </w:r>
          </w:p>
        </w:tc>
        <w:tc>
          <w:tcPr>
            <w:tcW w:w="4378" w:type="dxa"/>
            <w:tcBorders>
              <w:top w:val="single" w:color="auto" w:sz="4" w:space="0"/>
              <w:left w:val="nil"/>
              <w:bottom w:val="single" w:color="auto" w:sz="4" w:space="0"/>
              <w:right w:val="single" w:color="auto" w:sz="4" w:space="0"/>
            </w:tcBorders>
            <w:vAlign w:val="center"/>
          </w:tcPr>
          <w:p>
            <w:pPr>
              <w:widowControl/>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lang w:val="zh-TW"/>
              </w:rPr>
              <w:t>供应商须符合《中华人民共和国政府采购法》第二十二条的规定</w:t>
            </w:r>
            <w:r>
              <w:rPr>
                <w:rFonts w:hint="eastAsia" w:ascii="宋体" w:hAnsi="宋体" w:cs="宋体"/>
                <w:sz w:val="24"/>
                <w:szCs w:val="24"/>
              </w:rPr>
              <w:t>（提供承诺书）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941" w:type="dxa"/>
            <w:vMerge w:val="continue"/>
            <w:tcBorders>
              <w:left w:val="single" w:color="auto" w:sz="4" w:space="0"/>
              <w:right w:val="single" w:color="auto" w:sz="4" w:space="0"/>
            </w:tcBorders>
            <w:vAlign w:val="center"/>
          </w:tcPr>
          <w:p>
            <w:pPr>
              <w:spacing w:line="360" w:lineRule="auto"/>
              <w:jc w:val="center"/>
              <w:rPr>
                <w:rFonts w:ascii="宋体" w:hAnsi="宋体" w:cs="宋体"/>
                <w:sz w:val="24"/>
                <w:szCs w:val="24"/>
              </w:rPr>
            </w:pPr>
          </w:p>
        </w:tc>
        <w:tc>
          <w:tcPr>
            <w:tcW w:w="745" w:type="dxa"/>
            <w:vMerge w:val="continue"/>
            <w:tcBorders>
              <w:left w:val="nil"/>
              <w:right w:val="single" w:color="auto" w:sz="4" w:space="0"/>
            </w:tcBorders>
            <w:vAlign w:val="center"/>
          </w:tcPr>
          <w:p>
            <w:pPr>
              <w:spacing w:line="360" w:lineRule="auto"/>
              <w:jc w:val="center"/>
              <w:rPr>
                <w:rFonts w:ascii="宋体" w:hAnsi="宋体" w:cs="宋体"/>
                <w:sz w:val="24"/>
                <w:szCs w:val="24"/>
              </w:rPr>
            </w:pPr>
          </w:p>
        </w:tc>
        <w:tc>
          <w:tcPr>
            <w:tcW w:w="3034" w:type="dxa"/>
            <w:tcBorders>
              <w:top w:val="single" w:color="auto" w:sz="4" w:space="0"/>
              <w:left w:val="nil"/>
              <w:bottom w:val="single" w:color="auto" w:sz="4" w:space="0"/>
              <w:right w:val="single" w:color="auto" w:sz="4" w:space="0"/>
            </w:tcBorders>
            <w:vAlign w:val="center"/>
          </w:tcPr>
          <w:p>
            <w:pPr>
              <w:widowControl/>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lang w:val="zh-TW"/>
              </w:rPr>
              <w:t>具有独立承担民事责任的能力</w:t>
            </w:r>
          </w:p>
        </w:tc>
        <w:tc>
          <w:tcPr>
            <w:tcW w:w="4378" w:type="dxa"/>
            <w:tcBorders>
              <w:top w:val="single" w:color="auto" w:sz="4" w:space="0"/>
              <w:left w:val="nil"/>
              <w:bottom w:val="single" w:color="auto" w:sz="4" w:space="0"/>
              <w:right w:val="single" w:color="auto" w:sz="4" w:space="0"/>
            </w:tcBorders>
            <w:vAlign w:val="center"/>
          </w:tcPr>
          <w:p>
            <w:pPr>
              <w:widowControl/>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lang w:val="zh-TW"/>
              </w:rPr>
              <w:t>供应商具有独立法人资格，具有合法有效的营业执照、税务登记证、组织机构代码证（三证合一的仅提供营业执照、事业单位需提供事业单位法人证书）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941" w:type="dxa"/>
            <w:vMerge w:val="continue"/>
            <w:tcBorders>
              <w:left w:val="single" w:color="auto" w:sz="4" w:space="0"/>
              <w:right w:val="single" w:color="auto" w:sz="4" w:space="0"/>
            </w:tcBorders>
            <w:vAlign w:val="center"/>
          </w:tcPr>
          <w:p>
            <w:pPr>
              <w:spacing w:line="360" w:lineRule="auto"/>
              <w:jc w:val="center"/>
              <w:rPr>
                <w:rFonts w:ascii="宋体" w:hAnsi="宋体" w:cs="宋体"/>
                <w:sz w:val="24"/>
                <w:szCs w:val="24"/>
              </w:rPr>
            </w:pPr>
          </w:p>
        </w:tc>
        <w:tc>
          <w:tcPr>
            <w:tcW w:w="745" w:type="dxa"/>
            <w:vMerge w:val="continue"/>
            <w:tcBorders>
              <w:left w:val="nil"/>
              <w:right w:val="single" w:color="auto" w:sz="4" w:space="0"/>
            </w:tcBorders>
            <w:vAlign w:val="center"/>
          </w:tcPr>
          <w:p>
            <w:pPr>
              <w:spacing w:line="360" w:lineRule="auto"/>
              <w:jc w:val="center"/>
              <w:rPr>
                <w:rFonts w:ascii="宋体" w:hAnsi="宋体" w:cs="宋体"/>
                <w:sz w:val="24"/>
                <w:szCs w:val="24"/>
              </w:rPr>
            </w:pPr>
          </w:p>
        </w:tc>
        <w:tc>
          <w:tcPr>
            <w:tcW w:w="3034" w:type="dxa"/>
            <w:tcBorders>
              <w:top w:val="single" w:color="auto" w:sz="4" w:space="0"/>
              <w:left w:val="nil"/>
              <w:bottom w:val="single" w:color="auto" w:sz="4" w:space="0"/>
              <w:right w:val="single" w:color="auto" w:sz="4" w:space="0"/>
            </w:tcBorders>
            <w:vAlign w:val="center"/>
          </w:tcPr>
          <w:p>
            <w:pPr>
              <w:widowControl/>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资质要求</w:t>
            </w:r>
          </w:p>
        </w:tc>
        <w:tc>
          <w:tcPr>
            <w:tcW w:w="4378" w:type="dxa"/>
            <w:tcBorders>
              <w:top w:val="single" w:color="auto" w:sz="4" w:space="0"/>
              <w:left w:val="nil"/>
              <w:bottom w:val="single" w:color="auto" w:sz="4" w:space="0"/>
              <w:right w:val="single" w:color="auto" w:sz="4" w:space="0"/>
            </w:tcBorders>
            <w:vAlign w:val="center"/>
          </w:tcPr>
          <w:p>
            <w:pPr>
              <w:widowControl/>
              <w:autoSpaceDE w:val="0"/>
              <w:autoSpaceDN w:val="0"/>
              <w:adjustRightInd w:val="0"/>
              <w:spacing w:line="360" w:lineRule="auto"/>
              <w:jc w:val="center"/>
              <w:rPr>
                <w:rFonts w:ascii="宋体" w:hAnsi="宋体" w:cs="宋体"/>
                <w:sz w:val="24"/>
                <w:szCs w:val="24"/>
                <w:lang w:val="zh-TW"/>
              </w:rPr>
            </w:pPr>
            <w:r>
              <w:rPr>
                <w:rFonts w:hint="eastAsia" w:ascii="宋体" w:hAnsi="宋体" w:cs="宋体"/>
                <w:sz w:val="24"/>
                <w:szCs w:val="24"/>
                <w:lang w:val="zh-TW"/>
              </w:rPr>
              <w:t>具有有效的安全生产许可证，且同时具备环保工程专业承包三级及以上资质或环境污染治理能力评价证书乙级及以上（业务范围须涵盖环境生态修复工程设计、施工）或国土整治和生态修复机构服务能力评价证书（勘查、设计、施工乙级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941" w:type="dxa"/>
            <w:vMerge w:val="continue"/>
            <w:tcBorders>
              <w:left w:val="single" w:color="auto" w:sz="4" w:space="0"/>
              <w:right w:val="single" w:color="auto" w:sz="4" w:space="0"/>
            </w:tcBorders>
            <w:vAlign w:val="center"/>
          </w:tcPr>
          <w:p>
            <w:pPr>
              <w:spacing w:line="360" w:lineRule="auto"/>
              <w:jc w:val="center"/>
              <w:rPr>
                <w:rFonts w:ascii="宋体" w:hAnsi="宋体" w:cs="宋体"/>
                <w:sz w:val="24"/>
                <w:szCs w:val="24"/>
              </w:rPr>
            </w:pPr>
          </w:p>
        </w:tc>
        <w:tc>
          <w:tcPr>
            <w:tcW w:w="745" w:type="dxa"/>
            <w:vMerge w:val="continue"/>
            <w:tcBorders>
              <w:left w:val="nil"/>
              <w:right w:val="single" w:color="auto" w:sz="4" w:space="0"/>
            </w:tcBorders>
            <w:vAlign w:val="center"/>
          </w:tcPr>
          <w:p>
            <w:pPr>
              <w:spacing w:line="360" w:lineRule="auto"/>
              <w:jc w:val="center"/>
              <w:rPr>
                <w:rFonts w:ascii="宋体" w:hAnsi="宋体" w:cs="宋体"/>
                <w:sz w:val="24"/>
                <w:szCs w:val="24"/>
              </w:rPr>
            </w:pPr>
          </w:p>
        </w:tc>
        <w:tc>
          <w:tcPr>
            <w:tcW w:w="3034" w:type="dxa"/>
            <w:tcBorders>
              <w:top w:val="single" w:color="auto" w:sz="4" w:space="0"/>
              <w:left w:val="nil"/>
              <w:bottom w:val="single" w:color="auto" w:sz="4" w:space="0"/>
              <w:right w:val="single" w:color="auto" w:sz="4" w:space="0"/>
            </w:tcBorders>
            <w:vAlign w:val="center"/>
          </w:tcPr>
          <w:p>
            <w:pPr>
              <w:widowControl/>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lang w:val="zh-TW"/>
              </w:rPr>
              <w:t>具有依法缴纳税收和社会保障资金的良好记录</w:t>
            </w:r>
          </w:p>
        </w:tc>
        <w:tc>
          <w:tcPr>
            <w:tcW w:w="4378" w:type="dxa"/>
            <w:tcBorders>
              <w:top w:val="single" w:color="auto" w:sz="4" w:space="0"/>
              <w:left w:val="nil"/>
              <w:bottom w:val="single" w:color="auto" w:sz="4" w:space="0"/>
              <w:right w:val="single" w:color="auto" w:sz="4" w:space="0"/>
            </w:tcBorders>
            <w:vAlign w:val="center"/>
          </w:tcPr>
          <w:p>
            <w:pPr>
              <w:widowControl/>
              <w:autoSpaceDE w:val="0"/>
              <w:autoSpaceDN w:val="0"/>
              <w:adjustRightInd w:val="0"/>
              <w:spacing w:line="360" w:lineRule="auto"/>
              <w:jc w:val="left"/>
              <w:rPr>
                <w:rFonts w:ascii="宋体" w:hAnsi="宋体" w:cs="宋体"/>
                <w:sz w:val="24"/>
                <w:szCs w:val="24"/>
                <w:lang w:val="zh-TW"/>
              </w:rPr>
            </w:pPr>
            <w:r>
              <w:rPr>
                <w:rFonts w:hint="eastAsia" w:ascii="宋体" w:hAnsi="宋体" w:cs="宋体"/>
                <w:sz w:val="24"/>
                <w:szCs w:val="24"/>
                <w:lang w:val="zh-TW"/>
              </w:rPr>
              <w:t>具有依法缴纳税收和社会保障资金的良好记录（提供近六个月中任意一个月缴纳税收和社会保障资金的证明材料；依法免税企业，应提供相关证明文件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941" w:type="dxa"/>
            <w:vMerge w:val="continue"/>
            <w:tcBorders>
              <w:left w:val="single" w:color="auto" w:sz="4" w:space="0"/>
              <w:right w:val="single" w:color="auto" w:sz="4" w:space="0"/>
            </w:tcBorders>
            <w:vAlign w:val="center"/>
          </w:tcPr>
          <w:p>
            <w:pPr>
              <w:spacing w:line="360" w:lineRule="auto"/>
              <w:jc w:val="center"/>
              <w:rPr>
                <w:rFonts w:ascii="宋体" w:hAnsi="宋体" w:cs="宋体"/>
                <w:sz w:val="24"/>
                <w:szCs w:val="24"/>
              </w:rPr>
            </w:pPr>
          </w:p>
        </w:tc>
        <w:tc>
          <w:tcPr>
            <w:tcW w:w="745" w:type="dxa"/>
            <w:vMerge w:val="continue"/>
            <w:tcBorders>
              <w:left w:val="nil"/>
              <w:right w:val="single" w:color="auto" w:sz="4" w:space="0"/>
            </w:tcBorders>
            <w:vAlign w:val="center"/>
          </w:tcPr>
          <w:p>
            <w:pPr>
              <w:spacing w:line="360" w:lineRule="auto"/>
              <w:jc w:val="center"/>
              <w:rPr>
                <w:rFonts w:ascii="宋体" w:hAnsi="宋体" w:cs="宋体"/>
                <w:sz w:val="24"/>
                <w:szCs w:val="24"/>
              </w:rPr>
            </w:pPr>
          </w:p>
        </w:tc>
        <w:tc>
          <w:tcPr>
            <w:tcW w:w="3034" w:type="dxa"/>
            <w:tcBorders>
              <w:top w:val="single" w:color="auto" w:sz="4" w:space="0"/>
              <w:left w:val="nil"/>
              <w:bottom w:val="single" w:color="auto" w:sz="4" w:space="0"/>
              <w:right w:val="single" w:color="auto" w:sz="4" w:space="0"/>
            </w:tcBorders>
            <w:vAlign w:val="center"/>
          </w:tcPr>
          <w:p>
            <w:pPr>
              <w:widowControl/>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财务状况</w:t>
            </w:r>
          </w:p>
        </w:tc>
        <w:tc>
          <w:tcPr>
            <w:tcW w:w="4378" w:type="dxa"/>
            <w:tcBorders>
              <w:top w:val="single" w:color="auto" w:sz="4" w:space="0"/>
              <w:left w:val="nil"/>
              <w:bottom w:val="single" w:color="auto" w:sz="4" w:space="0"/>
              <w:right w:val="single" w:color="auto" w:sz="4" w:space="0"/>
            </w:tcBorders>
            <w:vAlign w:val="center"/>
          </w:tcPr>
          <w:p>
            <w:pPr>
              <w:widowControl/>
              <w:autoSpaceDE w:val="0"/>
              <w:autoSpaceDN w:val="0"/>
              <w:adjustRightInd w:val="0"/>
              <w:spacing w:line="360" w:lineRule="auto"/>
              <w:jc w:val="left"/>
              <w:rPr>
                <w:rFonts w:ascii="宋体" w:hAnsi="宋体" w:cs="宋体"/>
                <w:sz w:val="24"/>
                <w:szCs w:val="24"/>
                <w:lang w:val="zh-TW"/>
              </w:rPr>
            </w:pPr>
            <w:r>
              <w:rPr>
                <w:rFonts w:hint="eastAsia" w:ascii="宋体" w:hAnsi="宋体" w:cs="宋体"/>
                <w:sz w:val="24"/>
                <w:szCs w:val="24"/>
                <w:lang w:val="zh-TW"/>
              </w:rPr>
              <w:t>提供近三年（2023年、2024年、2025年）经会计师事务所或审计机构审计的年度财务审计报告（企业成立不足3年的按已有年份提供。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941" w:type="dxa"/>
            <w:vMerge w:val="continue"/>
            <w:tcBorders>
              <w:left w:val="single" w:color="auto" w:sz="4" w:space="0"/>
              <w:right w:val="single" w:color="auto" w:sz="4" w:space="0"/>
            </w:tcBorders>
            <w:vAlign w:val="center"/>
          </w:tcPr>
          <w:p>
            <w:pPr>
              <w:spacing w:line="360" w:lineRule="auto"/>
              <w:jc w:val="center"/>
              <w:rPr>
                <w:rFonts w:ascii="宋体" w:hAnsi="宋体" w:cs="宋体"/>
                <w:sz w:val="24"/>
                <w:szCs w:val="24"/>
              </w:rPr>
            </w:pPr>
          </w:p>
        </w:tc>
        <w:tc>
          <w:tcPr>
            <w:tcW w:w="745" w:type="dxa"/>
            <w:vMerge w:val="continue"/>
            <w:tcBorders>
              <w:left w:val="nil"/>
              <w:right w:val="single" w:color="auto" w:sz="4" w:space="0"/>
            </w:tcBorders>
            <w:vAlign w:val="center"/>
          </w:tcPr>
          <w:p>
            <w:pPr>
              <w:spacing w:line="360" w:lineRule="auto"/>
              <w:jc w:val="center"/>
              <w:rPr>
                <w:rFonts w:ascii="宋体" w:hAnsi="宋体" w:cs="宋体"/>
                <w:sz w:val="24"/>
                <w:szCs w:val="24"/>
              </w:rPr>
            </w:pPr>
          </w:p>
        </w:tc>
        <w:tc>
          <w:tcPr>
            <w:tcW w:w="3034" w:type="dxa"/>
            <w:tcBorders>
              <w:top w:val="single" w:color="auto" w:sz="4" w:space="0"/>
              <w:left w:val="nil"/>
              <w:bottom w:val="single" w:color="auto" w:sz="4" w:space="0"/>
              <w:right w:val="single" w:color="auto" w:sz="4" w:space="0"/>
            </w:tcBorders>
            <w:vAlign w:val="center"/>
          </w:tcPr>
          <w:p>
            <w:pPr>
              <w:widowControl/>
              <w:autoSpaceDE w:val="0"/>
              <w:autoSpaceDN w:val="0"/>
              <w:adjustRightInd w:val="0"/>
              <w:spacing w:line="360" w:lineRule="auto"/>
              <w:jc w:val="center"/>
              <w:rPr>
                <w:rFonts w:ascii="宋体" w:hAnsi="宋体" w:cs="宋体"/>
                <w:sz w:val="24"/>
                <w:szCs w:val="24"/>
                <w:lang w:val="zh-TW"/>
              </w:rPr>
            </w:pPr>
            <w:r>
              <w:rPr>
                <w:rFonts w:hint="eastAsia" w:ascii="宋体" w:hAnsi="宋体" w:cs="宋体"/>
                <w:sz w:val="24"/>
                <w:szCs w:val="24"/>
                <w:lang w:val="zh-TW"/>
              </w:rPr>
              <w:t>具有履行合同所必需的设备和专业技术能力</w:t>
            </w:r>
          </w:p>
        </w:tc>
        <w:tc>
          <w:tcPr>
            <w:tcW w:w="4378" w:type="dxa"/>
            <w:tcBorders>
              <w:top w:val="single" w:color="auto" w:sz="4" w:space="0"/>
              <w:left w:val="nil"/>
              <w:bottom w:val="single" w:color="auto" w:sz="4" w:space="0"/>
              <w:right w:val="single" w:color="auto" w:sz="4" w:space="0"/>
            </w:tcBorders>
            <w:vAlign w:val="center"/>
          </w:tcPr>
          <w:p>
            <w:pPr>
              <w:widowControl/>
              <w:autoSpaceDE w:val="0"/>
              <w:autoSpaceDN w:val="0"/>
              <w:adjustRightInd w:val="0"/>
              <w:spacing w:line="360" w:lineRule="auto"/>
              <w:jc w:val="center"/>
              <w:rPr>
                <w:rFonts w:ascii="宋体" w:hAnsi="宋体" w:cs="宋体"/>
                <w:sz w:val="24"/>
                <w:szCs w:val="24"/>
                <w:lang w:val="zh-TW"/>
              </w:rPr>
            </w:pPr>
            <w:r>
              <w:rPr>
                <w:rFonts w:hint="eastAsia" w:ascii="宋体" w:hAnsi="宋体" w:cs="宋体"/>
                <w:sz w:val="24"/>
                <w:szCs w:val="24"/>
                <w:lang w:val="zh-TW"/>
              </w:rPr>
              <w:t>提供承诺书，格式自拟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941" w:type="dxa"/>
            <w:vMerge w:val="continue"/>
            <w:tcBorders>
              <w:left w:val="single" w:color="auto" w:sz="4" w:space="0"/>
              <w:right w:val="single" w:color="auto" w:sz="4" w:space="0"/>
            </w:tcBorders>
            <w:vAlign w:val="center"/>
          </w:tcPr>
          <w:p>
            <w:pPr>
              <w:spacing w:line="360" w:lineRule="auto"/>
              <w:jc w:val="center"/>
              <w:rPr>
                <w:rFonts w:ascii="宋体" w:hAnsi="宋体" w:cs="宋体"/>
                <w:sz w:val="24"/>
                <w:szCs w:val="24"/>
              </w:rPr>
            </w:pPr>
          </w:p>
        </w:tc>
        <w:tc>
          <w:tcPr>
            <w:tcW w:w="745" w:type="dxa"/>
            <w:vMerge w:val="continue"/>
            <w:tcBorders>
              <w:left w:val="nil"/>
              <w:right w:val="single" w:color="auto" w:sz="4" w:space="0"/>
            </w:tcBorders>
            <w:vAlign w:val="center"/>
          </w:tcPr>
          <w:p>
            <w:pPr>
              <w:spacing w:line="360" w:lineRule="auto"/>
              <w:jc w:val="center"/>
              <w:rPr>
                <w:rFonts w:ascii="宋体" w:hAnsi="宋体" w:cs="宋体"/>
                <w:sz w:val="24"/>
                <w:szCs w:val="24"/>
              </w:rPr>
            </w:pPr>
          </w:p>
        </w:tc>
        <w:tc>
          <w:tcPr>
            <w:tcW w:w="3034" w:type="dxa"/>
            <w:tcBorders>
              <w:top w:val="single" w:color="auto" w:sz="4" w:space="0"/>
              <w:left w:val="nil"/>
              <w:bottom w:val="single" w:color="auto" w:sz="4" w:space="0"/>
              <w:right w:val="single" w:color="auto" w:sz="4" w:space="0"/>
            </w:tcBorders>
            <w:vAlign w:val="center"/>
          </w:tcPr>
          <w:p>
            <w:pPr>
              <w:widowControl/>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lang w:val="zh-TW"/>
              </w:rPr>
              <w:t>供应商参加政府采购活动前三年内在经营活动中没有重大违法、违纪行为</w:t>
            </w:r>
          </w:p>
        </w:tc>
        <w:tc>
          <w:tcPr>
            <w:tcW w:w="4378" w:type="dxa"/>
            <w:tcBorders>
              <w:top w:val="single" w:color="auto" w:sz="4" w:space="0"/>
              <w:left w:val="nil"/>
              <w:bottom w:val="single" w:color="auto" w:sz="4" w:space="0"/>
              <w:right w:val="single" w:color="auto" w:sz="4" w:space="0"/>
            </w:tcBorders>
            <w:vAlign w:val="center"/>
          </w:tcPr>
          <w:p>
            <w:pPr>
              <w:widowControl/>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lang w:val="zh-TW"/>
              </w:rPr>
              <w:t>提供加盖公章的书面声明，格式自拟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41" w:type="dxa"/>
            <w:vMerge w:val="continue"/>
            <w:tcBorders>
              <w:left w:val="single" w:color="auto" w:sz="4" w:space="0"/>
              <w:right w:val="single" w:color="auto" w:sz="4" w:space="0"/>
            </w:tcBorders>
            <w:vAlign w:val="center"/>
          </w:tcPr>
          <w:p>
            <w:pPr>
              <w:spacing w:line="360" w:lineRule="auto"/>
              <w:jc w:val="center"/>
              <w:rPr>
                <w:rFonts w:ascii="宋体" w:hAnsi="宋体" w:cs="宋体"/>
                <w:sz w:val="24"/>
                <w:szCs w:val="24"/>
              </w:rPr>
            </w:pPr>
          </w:p>
        </w:tc>
        <w:tc>
          <w:tcPr>
            <w:tcW w:w="745" w:type="dxa"/>
            <w:vMerge w:val="continue"/>
            <w:tcBorders>
              <w:left w:val="nil"/>
              <w:right w:val="single" w:color="auto" w:sz="4" w:space="0"/>
            </w:tcBorders>
            <w:vAlign w:val="center"/>
          </w:tcPr>
          <w:p>
            <w:pPr>
              <w:spacing w:line="360" w:lineRule="auto"/>
              <w:jc w:val="center"/>
              <w:rPr>
                <w:rFonts w:ascii="宋体" w:hAnsi="宋体" w:cs="宋体"/>
                <w:sz w:val="24"/>
                <w:szCs w:val="24"/>
              </w:rPr>
            </w:pPr>
          </w:p>
        </w:tc>
        <w:tc>
          <w:tcPr>
            <w:tcW w:w="3034" w:type="dxa"/>
            <w:tcBorders>
              <w:top w:val="single" w:color="auto" w:sz="4" w:space="0"/>
              <w:left w:val="nil"/>
              <w:bottom w:val="single" w:color="auto" w:sz="4" w:space="0"/>
              <w:right w:val="single" w:color="auto" w:sz="4" w:space="0"/>
            </w:tcBorders>
            <w:vAlign w:val="center"/>
          </w:tcPr>
          <w:p>
            <w:pPr>
              <w:widowControl/>
              <w:autoSpaceDE w:val="0"/>
              <w:autoSpaceDN w:val="0"/>
              <w:adjustRightInd w:val="0"/>
              <w:spacing w:line="360" w:lineRule="auto"/>
              <w:jc w:val="center"/>
              <w:rPr>
                <w:rFonts w:ascii="宋体" w:hAnsi="宋体" w:cs="宋体"/>
                <w:sz w:val="24"/>
                <w:szCs w:val="24"/>
                <w:lang w:val="zh-TW"/>
              </w:rPr>
            </w:pPr>
            <w:r>
              <w:rPr>
                <w:rFonts w:hint="eastAsia" w:ascii="宋体" w:hAnsi="宋体" w:cs="宋体"/>
                <w:sz w:val="24"/>
                <w:szCs w:val="24"/>
                <w:lang w:val="zh-TW"/>
              </w:rPr>
              <w:t>本企业无商业贿赂和</w:t>
            </w:r>
            <w:r>
              <w:rPr>
                <w:rFonts w:hint="eastAsia" w:ascii="宋体" w:hAnsi="宋体" w:cs="宋体"/>
                <w:sz w:val="24"/>
                <w:szCs w:val="24"/>
                <w:lang w:val="en-US" w:eastAsia="zh-CN"/>
              </w:rPr>
              <w:t>无</w:t>
            </w:r>
            <w:r>
              <w:rPr>
                <w:rFonts w:hint="eastAsia" w:ascii="宋体" w:hAnsi="宋体" w:cs="宋体"/>
                <w:sz w:val="24"/>
                <w:szCs w:val="24"/>
                <w:lang w:val="zh-TW"/>
              </w:rPr>
              <w:t>不正当竞争行为</w:t>
            </w:r>
          </w:p>
        </w:tc>
        <w:tc>
          <w:tcPr>
            <w:tcW w:w="4378" w:type="dxa"/>
            <w:tcBorders>
              <w:top w:val="single" w:color="auto" w:sz="4" w:space="0"/>
              <w:left w:val="nil"/>
              <w:bottom w:val="single" w:color="auto" w:sz="4" w:space="0"/>
              <w:right w:val="single" w:color="auto" w:sz="4" w:space="0"/>
            </w:tcBorders>
            <w:vAlign w:val="center"/>
          </w:tcPr>
          <w:p>
            <w:pPr>
              <w:widowControl/>
              <w:autoSpaceDE w:val="0"/>
              <w:autoSpaceDN w:val="0"/>
              <w:adjustRightInd w:val="0"/>
              <w:spacing w:line="360" w:lineRule="auto"/>
              <w:jc w:val="center"/>
              <w:rPr>
                <w:rFonts w:ascii="宋体" w:hAnsi="宋体" w:cs="宋体"/>
                <w:sz w:val="24"/>
                <w:szCs w:val="24"/>
                <w:lang w:val="zh-TW"/>
              </w:rPr>
            </w:pPr>
            <w:r>
              <w:rPr>
                <w:rFonts w:hint="eastAsia" w:ascii="宋体" w:hAnsi="宋体" w:cs="宋体"/>
                <w:sz w:val="24"/>
                <w:szCs w:val="24"/>
                <w:lang w:val="zh-TW"/>
              </w:rPr>
              <w:t>提供承诺书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941" w:type="dxa"/>
            <w:vMerge w:val="continue"/>
            <w:tcBorders>
              <w:left w:val="single" w:color="auto" w:sz="4" w:space="0"/>
              <w:right w:val="single" w:color="auto" w:sz="4" w:space="0"/>
            </w:tcBorders>
            <w:vAlign w:val="center"/>
          </w:tcPr>
          <w:p>
            <w:pPr>
              <w:spacing w:line="360" w:lineRule="auto"/>
              <w:jc w:val="center"/>
              <w:rPr>
                <w:rFonts w:ascii="宋体" w:hAnsi="宋体" w:cs="宋体"/>
                <w:sz w:val="24"/>
                <w:szCs w:val="24"/>
              </w:rPr>
            </w:pPr>
          </w:p>
        </w:tc>
        <w:tc>
          <w:tcPr>
            <w:tcW w:w="745" w:type="dxa"/>
            <w:vMerge w:val="continue"/>
            <w:tcBorders>
              <w:left w:val="nil"/>
              <w:right w:val="single" w:color="auto" w:sz="4" w:space="0"/>
            </w:tcBorders>
            <w:vAlign w:val="center"/>
          </w:tcPr>
          <w:p>
            <w:pPr>
              <w:spacing w:line="360" w:lineRule="auto"/>
              <w:jc w:val="center"/>
              <w:rPr>
                <w:rFonts w:ascii="宋体" w:hAnsi="宋体" w:cs="宋体"/>
                <w:sz w:val="24"/>
                <w:szCs w:val="24"/>
              </w:rPr>
            </w:pPr>
          </w:p>
        </w:tc>
        <w:tc>
          <w:tcPr>
            <w:tcW w:w="3034" w:type="dxa"/>
            <w:tcBorders>
              <w:top w:val="single" w:color="auto" w:sz="4" w:space="0"/>
              <w:left w:val="nil"/>
              <w:bottom w:val="single" w:color="auto" w:sz="4" w:space="0"/>
              <w:right w:val="single" w:color="auto" w:sz="4" w:space="0"/>
            </w:tcBorders>
            <w:vAlign w:val="center"/>
          </w:tcPr>
          <w:p>
            <w:pPr>
              <w:widowControl/>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信用查询</w:t>
            </w:r>
          </w:p>
        </w:tc>
        <w:tc>
          <w:tcPr>
            <w:tcW w:w="4378" w:type="dxa"/>
            <w:tcBorders>
              <w:top w:val="single" w:color="auto" w:sz="4" w:space="0"/>
              <w:left w:val="nil"/>
              <w:bottom w:val="single" w:color="auto" w:sz="4" w:space="0"/>
              <w:right w:val="single" w:color="auto" w:sz="4" w:space="0"/>
            </w:tcBorders>
            <w:vAlign w:val="center"/>
          </w:tcPr>
          <w:p>
            <w:pPr>
              <w:widowControl/>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8" w:hRule="atLeast"/>
        </w:trPr>
        <w:tc>
          <w:tcPr>
            <w:tcW w:w="941" w:type="dxa"/>
            <w:vMerge w:val="continue"/>
            <w:tcBorders>
              <w:left w:val="single" w:color="auto" w:sz="4" w:space="0"/>
              <w:right w:val="single" w:color="auto" w:sz="4" w:space="0"/>
            </w:tcBorders>
            <w:vAlign w:val="center"/>
          </w:tcPr>
          <w:p>
            <w:pPr>
              <w:spacing w:line="360" w:lineRule="auto"/>
              <w:jc w:val="center"/>
              <w:rPr>
                <w:rFonts w:ascii="宋体" w:hAnsi="宋体" w:cs="宋体"/>
                <w:sz w:val="24"/>
                <w:szCs w:val="24"/>
              </w:rPr>
            </w:pPr>
          </w:p>
        </w:tc>
        <w:tc>
          <w:tcPr>
            <w:tcW w:w="745" w:type="dxa"/>
            <w:vMerge w:val="continue"/>
            <w:tcBorders>
              <w:left w:val="nil"/>
              <w:right w:val="single" w:color="auto" w:sz="4" w:space="0"/>
            </w:tcBorders>
            <w:vAlign w:val="center"/>
          </w:tcPr>
          <w:p>
            <w:pPr>
              <w:spacing w:line="360" w:lineRule="auto"/>
              <w:jc w:val="center"/>
              <w:rPr>
                <w:rFonts w:ascii="宋体" w:hAnsi="宋体" w:cs="宋体"/>
                <w:sz w:val="24"/>
                <w:szCs w:val="24"/>
              </w:rPr>
            </w:pPr>
          </w:p>
        </w:tc>
        <w:tc>
          <w:tcPr>
            <w:tcW w:w="3034"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szCs w:val="24"/>
              </w:rPr>
            </w:pPr>
            <w:r>
              <w:rPr>
                <w:rFonts w:hint="eastAsia" w:ascii="宋体" w:hAnsi="宋体" w:cs="宋体"/>
                <w:sz w:val="24"/>
                <w:szCs w:val="24"/>
                <w:lang w:val="zh-TW"/>
              </w:rPr>
              <w:t>供应商的单位负责人为同一人或者存在控股、管理关系的不同单位，不得参加同一项目投标</w:t>
            </w:r>
          </w:p>
        </w:tc>
        <w:tc>
          <w:tcPr>
            <w:tcW w:w="4378" w:type="dxa"/>
            <w:tcBorders>
              <w:top w:val="single" w:color="auto" w:sz="4" w:space="0"/>
              <w:left w:val="nil"/>
              <w:bottom w:val="single" w:color="auto" w:sz="4" w:space="0"/>
              <w:right w:val="single" w:color="auto" w:sz="4" w:space="0"/>
            </w:tcBorders>
            <w:vAlign w:val="center"/>
          </w:tcPr>
          <w:p>
            <w:pPr>
              <w:spacing w:line="360" w:lineRule="auto"/>
              <w:rPr>
                <w:rFonts w:ascii="宋体" w:hAnsi="宋体" w:cs="宋体"/>
                <w:sz w:val="24"/>
                <w:szCs w:val="24"/>
              </w:rPr>
            </w:pPr>
            <w:r>
              <w:rPr>
                <w:rFonts w:hint="eastAsia" w:ascii="宋体" w:hAnsi="宋体" w:cs="宋体"/>
                <w:sz w:val="24"/>
                <w:szCs w:val="24"/>
                <w:lang w:val="zh-TW"/>
              </w:rPr>
              <w:t>单位负责人为同一人或者存在直接控股、管理关系的不同供应商，不得参加同一合同项下的政府采购活动。提供国家企业信用信息公示系统的企业信用信息公示报告或承诺书(格式自拟)。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941" w:type="dxa"/>
            <w:vMerge w:val="continue"/>
            <w:tcBorders>
              <w:left w:val="single" w:color="auto" w:sz="4" w:space="0"/>
              <w:right w:val="single" w:color="auto" w:sz="4" w:space="0"/>
            </w:tcBorders>
            <w:vAlign w:val="center"/>
          </w:tcPr>
          <w:p>
            <w:pPr>
              <w:spacing w:line="360" w:lineRule="auto"/>
              <w:jc w:val="center"/>
              <w:rPr>
                <w:rFonts w:ascii="宋体" w:hAnsi="宋体" w:cs="宋体"/>
                <w:sz w:val="24"/>
                <w:szCs w:val="24"/>
              </w:rPr>
            </w:pPr>
          </w:p>
        </w:tc>
        <w:tc>
          <w:tcPr>
            <w:tcW w:w="745" w:type="dxa"/>
            <w:vMerge w:val="continue"/>
            <w:tcBorders>
              <w:left w:val="nil"/>
              <w:right w:val="single" w:color="auto" w:sz="4" w:space="0"/>
            </w:tcBorders>
            <w:vAlign w:val="center"/>
          </w:tcPr>
          <w:p>
            <w:pPr>
              <w:spacing w:line="360" w:lineRule="auto"/>
              <w:jc w:val="center"/>
              <w:rPr>
                <w:rFonts w:ascii="宋体" w:hAnsi="宋体" w:cs="宋体"/>
                <w:sz w:val="24"/>
                <w:szCs w:val="24"/>
              </w:rPr>
            </w:pPr>
          </w:p>
        </w:tc>
        <w:tc>
          <w:tcPr>
            <w:tcW w:w="3034"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szCs w:val="24"/>
                <w:lang w:val="zh-TW"/>
              </w:rPr>
            </w:pPr>
            <w:r>
              <w:rPr>
                <w:rFonts w:hint="eastAsia" w:ascii="宋体" w:hAnsi="宋体" w:cs="宋体"/>
                <w:sz w:val="24"/>
                <w:szCs w:val="24"/>
                <w:lang w:val="zh-TW"/>
              </w:rPr>
              <w:t>本项目不接受联合体投标</w:t>
            </w:r>
          </w:p>
        </w:tc>
        <w:tc>
          <w:tcPr>
            <w:tcW w:w="4378"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sz w:val="24"/>
                <w:szCs w:val="24"/>
              </w:rPr>
            </w:pPr>
            <w:r>
              <w:rPr>
                <w:rFonts w:hint="eastAsia" w:ascii="宋体" w:hAnsi="宋体" w:cs="宋体"/>
                <w:sz w:val="24"/>
                <w:szCs w:val="24"/>
              </w:rPr>
              <w:t>提供非</w:t>
            </w:r>
            <w:r>
              <w:rPr>
                <w:rFonts w:hint="eastAsia" w:ascii="宋体" w:hAnsi="宋体" w:cs="宋体"/>
                <w:sz w:val="24"/>
                <w:szCs w:val="24"/>
                <w:lang w:val="zh-TW"/>
              </w:rPr>
              <w:t>联合体投标</w:t>
            </w:r>
            <w:r>
              <w:rPr>
                <w:rFonts w:hint="eastAsia" w:ascii="宋体" w:hAnsi="宋体" w:cs="宋体"/>
                <w:sz w:val="24"/>
                <w:szCs w:val="24"/>
              </w:rPr>
              <w:t>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941" w:type="dxa"/>
            <w:vMerge w:val="restart"/>
            <w:tcBorders>
              <w:top w:val="nil"/>
              <w:left w:val="single" w:color="auto" w:sz="4" w:space="0"/>
              <w:right w:val="single" w:color="auto" w:sz="4" w:space="0"/>
            </w:tcBorders>
            <w:vAlign w:val="center"/>
          </w:tcPr>
          <w:p>
            <w:pPr>
              <w:spacing w:line="360" w:lineRule="auto"/>
              <w:rPr>
                <w:rFonts w:ascii="宋体" w:hAnsi="宋体" w:cs="宋体"/>
                <w:sz w:val="24"/>
                <w:szCs w:val="24"/>
              </w:rPr>
            </w:pPr>
            <w:r>
              <w:rPr>
                <w:rFonts w:hint="eastAsia" w:ascii="宋体" w:hAnsi="宋体" w:cs="宋体"/>
                <w:sz w:val="24"/>
                <w:szCs w:val="24"/>
              </w:rPr>
              <w:t>2.1.3</w:t>
            </w:r>
          </w:p>
        </w:tc>
        <w:tc>
          <w:tcPr>
            <w:tcW w:w="745" w:type="dxa"/>
            <w:vMerge w:val="restart"/>
            <w:tcBorders>
              <w:top w:val="single" w:color="auto" w:sz="4" w:space="0"/>
              <w:left w:val="nil"/>
              <w:right w:val="single" w:color="auto" w:sz="4" w:space="0"/>
            </w:tcBorders>
            <w:vAlign w:val="center"/>
          </w:tcPr>
          <w:p>
            <w:pPr>
              <w:spacing w:line="360" w:lineRule="auto"/>
              <w:jc w:val="center"/>
              <w:rPr>
                <w:rFonts w:ascii="宋体" w:hAnsi="宋体" w:cs="宋体"/>
                <w:sz w:val="24"/>
                <w:szCs w:val="24"/>
              </w:rPr>
            </w:pPr>
            <w:r>
              <w:rPr>
                <w:rFonts w:hint="eastAsia" w:ascii="宋体" w:hAnsi="宋体" w:cs="宋体"/>
                <w:sz w:val="24"/>
                <w:szCs w:val="24"/>
              </w:rPr>
              <w:t>响</w:t>
            </w:r>
          </w:p>
          <w:p>
            <w:pPr>
              <w:spacing w:line="360" w:lineRule="auto"/>
              <w:jc w:val="center"/>
              <w:rPr>
                <w:rFonts w:ascii="宋体" w:hAnsi="宋体" w:cs="宋体"/>
                <w:sz w:val="24"/>
                <w:szCs w:val="24"/>
              </w:rPr>
            </w:pPr>
            <w:r>
              <w:rPr>
                <w:rFonts w:hint="eastAsia" w:ascii="宋体" w:hAnsi="宋体" w:cs="宋体"/>
                <w:sz w:val="24"/>
                <w:szCs w:val="24"/>
              </w:rPr>
              <w:t>应</w:t>
            </w:r>
          </w:p>
          <w:p>
            <w:pPr>
              <w:spacing w:line="360" w:lineRule="auto"/>
              <w:jc w:val="center"/>
              <w:rPr>
                <w:rFonts w:ascii="宋体" w:hAnsi="宋体" w:cs="宋体"/>
                <w:sz w:val="24"/>
                <w:szCs w:val="24"/>
              </w:rPr>
            </w:pPr>
            <w:r>
              <w:rPr>
                <w:rFonts w:hint="eastAsia" w:ascii="宋体" w:hAnsi="宋体" w:cs="宋体"/>
                <w:sz w:val="24"/>
                <w:szCs w:val="24"/>
              </w:rPr>
              <w:t>性</w:t>
            </w:r>
          </w:p>
          <w:p>
            <w:pPr>
              <w:spacing w:line="360" w:lineRule="auto"/>
              <w:jc w:val="center"/>
              <w:rPr>
                <w:rFonts w:ascii="宋体" w:hAnsi="宋体" w:cs="宋体"/>
                <w:sz w:val="24"/>
                <w:szCs w:val="24"/>
              </w:rPr>
            </w:pPr>
            <w:r>
              <w:rPr>
                <w:rFonts w:hint="eastAsia" w:ascii="宋体" w:hAnsi="宋体" w:cs="宋体"/>
                <w:sz w:val="24"/>
                <w:szCs w:val="24"/>
              </w:rPr>
              <w:t>评</w:t>
            </w:r>
          </w:p>
          <w:p>
            <w:pPr>
              <w:spacing w:line="360" w:lineRule="auto"/>
              <w:jc w:val="center"/>
              <w:rPr>
                <w:rFonts w:ascii="宋体" w:hAnsi="宋体" w:cs="宋体"/>
                <w:sz w:val="24"/>
                <w:szCs w:val="24"/>
              </w:rPr>
            </w:pPr>
            <w:r>
              <w:rPr>
                <w:rFonts w:hint="eastAsia" w:ascii="宋体" w:hAnsi="宋体" w:cs="宋体"/>
                <w:sz w:val="24"/>
                <w:szCs w:val="24"/>
              </w:rPr>
              <w:t>审</w:t>
            </w:r>
          </w:p>
        </w:tc>
        <w:tc>
          <w:tcPr>
            <w:tcW w:w="3034" w:type="dxa"/>
            <w:tcBorders>
              <w:top w:val="single" w:color="auto" w:sz="4" w:space="0"/>
              <w:left w:val="nil"/>
              <w:bottom w:val="single" w:color="auto" w:sz="4" w:space="0"/>
              <w:right w:val="single" w:color="auto" w:sz="4" w:space="0"/>
            </w:tcBorders>
            <w:vAlign w:val="center"/>
          </w:tcPr>
          <w:p>
            <w:pPr>
              <w:widowControl/>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投标有效期</w:t>
            </w:r>
          </w:p>
        </w:tc>
        <w:tc>
          <w:tcPr>
            <w:tcW w:w="4378" w:type="dxa"/>
            <w:tcBorders>
              <w:top w:val="single" w:color="auto" w:sz="4" w:space="0"/>
              <w:left w:val="nil"/>
              <w:bottom w:val="single" w:color="auto" w:sz="4" w:space="0"/>
              <w:right w:val="single" w:color="auto" w:sz="4" w:space="0"/>
            </w:tcBorders>
            <w:vAlign w:val="center"/>
          </w:tcPr>
          <w:p>
            <w:pPr>
              <w:widowControl/>
              <w:snapToGrid w:val="0"/>
              <w:spacing w:line="360" w:lineRule="auto"/>
              <w:jc w:val="center"/>
              <w:textAlignment w:val="baseline"/>
              <w:rPr>
                <w:rFonts w:ascii="宋体" w:hAnsi="宋体" w:cs="宋体"/>
                <w:sz w:val="24"/>
                <w:szCs w:val="24"/>
              </w:rPr>
            </w:pPr>
            <w:r>
              <w:rPr>
                <w:rFonts w:hint="eastAsia" w:ascii="宋体" w:hAnsi="宋体" w:cs="宋体"/>
                <w:sz w:val="24"/>
                <w:szCs w:val="24"/>
              </w:rPr>
              <w:t>投标截止之日起90日历天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941" w:type="dxa"/>
            <w:vMerge w:val="continue"/>
            <w:tcBorders>
              <w:left w:val="single" w:color="auto" w:sz="4" w:space="0"/>
              <w:right w:val="single" w:color="auto" w:sz="4" w:space="0"/>
            </w:tcBorders>
            <w:vAlign w:val="center"/>
          </w:tcPr>
          <w:p>
            <w:pPr>
              <w:spacing w:line="360" w:lineRule="auto"/>
              <w:rPr>
                <w:rFonts w:ascii="宋体" w:hAnsi="宋体" w:cs="宋体"/>
                <w:sz w:val="24"/>
                <w:szCs w:val="24"/>
              </w:rPr>
            </w:pPr>
          </w:p>
        </w:tc>
        <w:tc>
          <w:tcPr>
            <w:tcW w:w="745" w:type="dxa"/>
            <w:vMerge w:val="continue"/>
            <w:tcBorders>
              <w:left w:val="nil"/>
              <w:right w:val="single" w:color="auto" w:sz="4" w:space="0"/>
            </w:tcBorders>
            <w:vAlign w:val="center"/>
          </w:tcPr>
          <w:p>
            <w:pPr>
              <w:spacing w:line="360" w:lineRule="auto"/>
              <w:jc w:val="center"/>
              <w:rPr>
                <w:rFonts w:ascii="宋体" w:hAnsi="宋体" w:cs="宋体"/>
                <w:sz w:val="24"/>
                <w:szCs w:val="24"/>
              </w:rPr>
            </w:pPr>
          </w:p>
        </w:tc>
        <w:tc>
          <w:tcPr>
            <w:tcW w:w="3034" w:type="dxa"/>
            <w:tcBorders>
              <w:top w:val="single" w:color="auto" w:sz="4" w:space="0"/>
              <w:left w:val="nil"/>
              <w:bottom w:val="single" w:color="auto" w:sz="4" w:space="0"/>
              <w:right w:val="single" w:color="auto" w:sz="4" w:space="0"/>
            </w:tcBorders>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投标内容</w:t>
            </w:r>
          </w:p>
        </w:tc>
        <w:tc>
          <w:tcPr>
            <w:tcW w:w="4378" w:type="dxa"/>
            <w:tcBorders>
              <w:top w:val="single" w:color="auto" w:sz="4" w:space="0"/>
              <w:left w:val="nil"/>
              <w:bottom w:val="single" w:color="auto" w:sz="4" w:space="0"/>
              <w:right w:val="single" w:color="auto" w:sz="4" w:space="0"/>
            </w:tcBorders>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941" w:type="dxa"/>
            <w:vMerge w:val="continue"/>
            <w:tcBorders>
              <w:left w:val="single" w:color="auto" w:sz="4" w:space="0"/>
              <w:right w:val="single" w:color="auto" w:sz="4" w:space="0"/>
            </w:tcBorders>
            <w:vAlign w:val="center"/>
          </w:tcPr>
          <w:p>
            <w:pPr>
              <w:spacing w:line="360" w:lineRule="auto"/>
              <w:rPr>
                <w:rFonts w:ascii="宋体" w:hAnsi="宋体" w:cs="宋体"/>
                <w:sz w:val="24"/>
                <w:szCs w:val="24"/>
              </w:rPr>
            </w:pPr>
          </w:p>
        </w:tc>
        <w:tc>
          <w:tcPr>
            <w:tcW w:w="745" w:type="dxa"/>
            <w:vMerge w:val="continue"/>
            <w:tcBorders>
              <w:left w:val="nil"/>
              <w:right w:val="single" w:color="auto" w:sz="4" w:space="0"/>
            </w:tcBorders>
            <w:vAlign w:val="center"/>
          </w:tcPr>
          <w:p>
            <w:pPr>
              <w:spacing w:line="360" w:lineRule="auto"/>
              <w:jc w:val="center"/>
              <w:rPr>
                <w:rFonts w:ascii="宋体" w:hAnsi="宋体" w:cs="宋体"/>
                <w:sz w:val="24"/>
                <w:szCs w:val="24"/>
              </w:rPr>
            </w:pPr>
          </w:p>
        </w:tc>
        <w:tc>
          <w:tcPr>
            <w:tcW w:w="3034" w:type="dxa"/>
            <w:tcBorders>
              <w:top w:val="single" w:color="auto" w:sz="4" w:space="0"/>
              <w:left w:val="nil"/>
              <w:bottom w:val="single" w:color="auto" w:sz="4" w:space="0"/>
              <w:right w:val="single" w:color="auto" w:sz="4" w:space="0"/>
            </w:tcBorders>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投标报价</w:t>
            </w:r>
          </w:p>
        </w:tc>
        <w:tc>
          <w:tcPr>
            <w:tcW w:w="4378" w:type="dxa"/>
            <w:tcBorders>
              <w:top w:val="single" w:color="auto" w:sz="4" w:space="0"/>
              <w:left w:val="nil"/>
              <w:bottom w:val="single" w:color="auto" w:sz="4" w:space="0"/>
              <w:right w:val="single" w:color="auto" w:sz="4" w:space="0"/>
            </w:tcBorders>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不得高于采购人公布的采购控制价，否则其投标将被否决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941" w:type="dxa"/>
            <w:vMerge w:val="continue"/>
            <w:tcBorders>
              <w:left w:val="single" w:color="auto" w:sz="4" w:space="0"/>
              <w:right w:val="single" w:color="auto" w:sz="4" w:space="0"/>
            </w:tcBorders>
            <w:vAlign w:val="center"/>
          </w:tcPr>
          <w:p>
            <w:pPr>
              <w:widowControl/>
              <w:spacing w:line="360" w:lineRule="auto"/>
              <w:jc w:val="left"/>
              <w:rPr>
                <w:rFonts w:ascii="宋体" w:hAnsi="宋体" w:cs="宋体"/>
                <w:sz w:val="24"/>
                <w:szCs w:val="24"/>
              </w:rPr>
            </w:pPr>
          </w:p>
        </w:tc>
        <w:tc>
          <w:tcPr>
            <w:tcW w:w="745" w:type="dxa"/>
            <w:vMerge w:val="continue"/>
            <w:tcBorders>
              <w:left w:val="nil"/>
              <w:right w:val="single" w:color="auto" w:sz="4" w:space="0"/>
            </w:tcBorders>
            <w:vAlign w:val="center"/>
          </w:tcPr>
          <w:p>
            <w:pPr>
              <w:widowControl/>
              <w:spacing w:line="360" w:lineRule="auto"/>
              <w:jc w:val="left"/>
              <w:rPr>
                <w:rFonts w:ascii="宋体" w:hAnsi="宋体" w:cs="宋体"/>
                <w:sz w:val="24"/>
                <w:szCs w:val="24"/>
              </w:rPr>
            </w:pPr>
          </w:p>
        </w:tc>
        <w:tc>
          <w:tcPr>
            <w:tcW w:w="3034" w:type="dxa"/>
            <w:tcBorders>
              <w:top w:val="single" w:color="auto" w:sz="4" w:space="0"/>
              <w:left w:val="nil"/>
              <w:bottom w:val="single" w:color="auto" w:sz="4" w:space="0"/>
              <w:right w:val="single" w:color="auto" w:sz="4" w:space="0"/>
            </w:tcBorders>
            <w:vAlign w:val="center"/>
          </w:tcPr>
          <w:p>
            <w:pPr>
              <w:widowControl/>
              <w:autoSpaceDE w:val="0"/>
              <w:autoSpaceDN w:val="0"/>
              <w:adjustRightInd w:val="0"/>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供货期</w:t>
            </w:r>
          </w:p>
        </w:tc>
        <w:tc>
          <w:tcPr>
            <w:tcW w:w="4378" w:type="dxa"/>
            <w:tcBorders>
              <w:top w:val="single" w:color="auto" w:sz="4" w:space="0"/>
              <w:left w:val="nil"/>
              <w:bottom w:val="single" w:color="auto" w:sz="4" w:space="0"/>
              <w:right w:val="single" w:color="auto" w:sz="4" w:space="0"/>
            </w:tcBorders>
            <w:vAlign w:val="center"/>
          </w:tcPr>
          <w:p>
            <w:pPr>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符合供应商须知前附表规定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941" w:type="dxa"/>
            <w:vMerge w:val="continue"/>
            <w:tcBorders>
              <w:left w:val="single" w:color="auto" w:sz="4" w:space="0"/>
              <w:right w:val="single" w:color="auto" w:sz="4" w:space="0"/>
            </w:tcBorders>
            <w:vAlign w:val="center"/>
          </w:tcPr>
          <w:p>
            <w:pPr>
              <w:widowControl/>
              <w:spacing w:line="360" w:lineRule="auto"/>
              <w:jc w:val="left"/>
              <w:rPr>
                <w:rFonts w:ascii="宋体" w:hAnsi="宋体" w:cs="宋体"/>
                <w:sz w:val="24"/>
                <w:szCs w:val="24"/>
              </w:rPr>
            </w:pPr>
          </w:p>
        </w:tc>
        <w:tc>
          <w:tcPr>
            <w:tcW w:w="745" w:type="dxa"/>
            <w:vMerge w:val="continue"/>
            <w:tcBorders>
              <w:left w:val="nil"/>
              <w:right w:val="single" w:color="auto" w:sz="4" w:space="0"/>
            </w:tcBorders>
            <w:vAlign w:val="center"/>
          </w:tcPr>
          <w:p>
            <w:pPr>
              <w:widowControl/>
              <w:spacing w:line="360" w:lineRule="auto"/>
              <w:jc w:val="left"/>
              <w:rPr>
                <w:rFonts w:ascii="宋体" w:hAnsi="宋体" w:cs="宋体"/>
                <w:sz w:val="24"/>
                <w:szCs w:val="24"/>
              </w:rPr>
            </w:pPr>
          </w:p>
        </w:tc>
        <w:tc>
          <w:tcPr>
            <w:tcW w:w="3034" w:type="dxa"/>
            <w:tcBorders>
              <w:top w:val="single" w:color="auto" w:sz="4" w:space="0"/>
              <w:left w:val="nil"/>
              <w:bottom w:val="single" w:color="auto" w:sz="4" w:space="0"/>
              <w:right w:val="single" w:color="auto" w:sz="4" w:space="0"/>
            </w:tcBorders>
            <w:vAlign w:val="center"/>
          </w:tcPr>
          <w:p>
            <w:pPr>
              <w:widowControl/>
              <w:autoSpaceDE w:val="0"/>
              <w:autoSpaceDN w:val="0"/>
              <w:adjustRightInd w:val="0"/>
              <w:spacing w:line="360" w:lineRule="auto"/>
              <w:jc w:val="center"/>
              <w:rPr>
                <w:rFonts w:ascii="宋体" w:hAnsi="宋体" w:cs="宋体"/>
                <w:sz w:val="24"/>
                <w:szCs w:val="24"/>
              </w:rPr>
            </w:pPr>
            <w:r>
              <w:rPr>
                <w:rFonts w:hint="eastAsia" w:ascii="宋体" w:hAnsi="宋体" w:cs="宋体"/>
                <w:sz w:val="24"/>
                <w:szCs w:val="24"/>
              </w:rPr>
              <w:t>质量要求</w:t>
            </w:r>
          </w:p>
        </w:tc>
        <w:tc>
          <w:tcPr>
            <w:tcW w:w="4378" w:type="dxa"/>
            <w:tcBorders>
              <w:top w:val="single" w:color="auto" w:sz="4" w:space="0"/>
              <w:left w:val="nil"/>
              <w:bottom w:val="single" w:color="auto" w:sz="4" w:space="0"/>
              <w:right w:val="single" w:color="auto" w:sz="4" w:space="0"/>
            </w:tcBorders>
            <w:vAlign w:val="center"/>
          </w:tcPr>
          <w:p>
            <w:pPr>
              <w:widowControl/>
              <w:snapToGrid w:val="0"/>
              <w:spacing w:line="360" w:lineRule="auto"/>
              <w:jc w:val="center"/>
              <w:textAlignment w:val="baseline"/>
              <w:rPr>
                <w:rFonts w:hint="eastAsia" w:ascii="宋体" w:hAnsi="宋体" w:eastAsia="宋体" w:cs="宋体"/>
                <w:sz w:val="24"/>
                <w:szCs w:val="24"/>
                <w:lang w:eastAsia="zh-CN"/>
              </w:rPr>
            </w:pPr>
            <w:r>
              <w:rPr>
                <w:rFonts w:hint="eastAsia" w:ascii="宋体" w:hAnsi="宋体" w:cs="宋体"/>
                <w:sz w:val="24"/>
                <w:szCs w:val="24"/>
                <w:lang w:eastAsia="zh-CN"/>
              </w:rPr>
              <w:t>符合国家、省、市现行相关行业标准要求并符合采购人要求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941" w:type="dxa"/>
            <w:vMerge w:val="continue"/>
            <w:tcBorders>
              <w:left w:val="single" w:color="auto" w:sz="4" w:space="0"/>
              <w:right w:val="single" w:color="auto" w:sz="4" w:space="0"/>
            </w:tcBorders>
            <w:vAlign w:val="center"/>
          </w:tcPr>
          <w:p>
            <w:pPr>
              <w:widowControl/>
              <w:spacing w:line="360" w:lineRule="auto"/>
              <w:jc w:val="left"/>
              <w:rPr>
                <w:rFonts w:ascii="宋体" w:hAnsi="宋体" w:cs="宋体"/>
                <w:sz w:val="24"/>
                <w:szCs w:val="24"/>
              </w:rPr>
            </w:pPr>
          </w:p>
        </w:tc>
        <w:tc>
          <w:tcPr>
            <w:tcW w:w="745" w:type="dxa"/>
            <w:vMerge w:val="continue"/>
            <w:tcBorders>
              <w:left w:val="nil"/>
              <w:right w:val="single" w:color="auto" w:sz="4" w:space="0"/>
            </w:tcBorders>
            <w:vAlign w:val="center"/>
          </w:tcPr>
          <w:p>
            <w:pPr>
              <w:widowControl/>
              <w:spacing w:line="360" w:lineRule="auto"/>
              <w:jc w:val="left"/>
              <w:rPr>
                <w:rFonts w:ascii="宋体" w:hAnsi="宋体" w:cs="宋体"/>
                <w:sz w:val="24"/>
                <w:szCs w:val="24"/>
              </w:rPr>
            </w:pPr>
          </w:p>
        </w:tc>
        <w:tc>
          <w:tcPr>
            <w:tcW w:w="3034" w:type="dxa"/>
            <w:tcBorders>
              <w:top w:val="single" w:color="auto" w:sz="4" w:space="0"/>
              <w:left w:val="nil"/>
              <w:bottom w:val="single" w:color="auto" w:sz="4" w:space="0"/>
              <w:right w:val="single" w:color="auto" w:sz="4" w:space="0"/>
            </w:tcBorders>
            <w:vAlign w:val="center"/>
          </w:tcPr>
          <w:p>
            <w:pPr>
              <w:autoSpaceDE w:val="0"/>
              <w:autoSpaceDN w:val="0"/>
              <w:adjustRightInd w:val="0"/>
              <w:spacing w:line="360" w:lineRule="auto"/>
              <w:jc w:val="center"/>
              <w:rPr>
                <w:rFonts w:hint="eastAsia" w:ascii="宋体" w:hAnsi="宋体" w:cs="宋体"/>
                <w:sz w:val="24"/>
                <w:szCs w:val="24"/>
              </w:rPr>
            </w:pPr>
            <w:r>
              <w:rPr>
                <w:rFonts w:hint="eastAsia" w:ascii="宋体" w:hAnsi="宋体" w:cs="宋体"/>
                <w:sz w:val="24"/>
                <w:szCs w:val="24"/>
                <w:lang w:val="en-US" w:eastAsia="zh-CN"/>
              </w:rPr>
              <w:t>运维服务期</w:t>
            </w:r>
          </w:p>
        </w:tc>
        <w:tc>
          <w:tcPr>
            <w:tcW w:w="4378" w:type="dxa"/>
            <w:tcBorders>
              <w:top w:val="single" w:color="auto" w:sz="4" w:space="0"/>
              <w:left w:val="nil"/>
              <w:bottom w:val="single" w:color="auto" w:sz="4" w:space="0"/>
              <w:right w:val="single" w:color="auto" w:sz="4" w:space="0"/>
            </w:tcBorders>
            <w:vAlign w:val="center"/>
          </w:tcPr>
          <w:p>
            <w:pPr>
              <w:widowControl/>
              <w:snapToGrid w:val="0"/>
              <w:spacing w:line="360" w:lineRule="auto"/>
              <w:jc w:val="center"/>
              <w:textAlignment w:val="baseline"/>
              <w:rPr>
                <w:rFonts w:hint="eastAsia" w:ascii="宋体" w:hAnsi="宋体" w:cs="宋体"/>
                <w:sz w:val="24"/>
                <w:szCs w:val="24"/>
                <w:lang w:eastAsia="zh-CN"/>
              </w:rPr>
            </w:pPr>
            <w:r>
              <w:rPr>
                <w:rFonts w:hint="eastAsia" w:ascii="宋体" w:hAnsi="宋体" w:cs="宋体"/>
                <w:sz w:val="24"/>
                <w:szCs w:val="24"/>
                <w:lang w:val="en-US" w:eastAsia="zh-CN"/>
              </w:rPr>
              <w:t>自项目通过验收之日起24个月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trPr>
        <w:tc>
          <w:tcPr>
            <w:tcW w:w="941" w:type="dxa"/>
            <w:vMerge w:val="continue"/>
            <w:tcBorders>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sz w:val="24"/>
                <w:szCs w:val="24"/>
              </w:rPr>
            </w:pPr>
          </w:p>
        </w:tc>
        <w:tc>
          <w:tcPr>
            <w:tcW w:w="745" w:type="dxa"/>
            <w:vMerge w:val="continue"/>
            <w:tcBorders>
              <w:left w:val="nil"/>
              <w:bottom w:val="single" w:color="auto" w:sz="4" w:space="0"/>
              <w:right w:val="single" w:color="auto" w:sz="4" w:space="0"/>
            </w:tcBorders>
            <w:vAlign w:val="center"/>
          </w:tcPr>
          <w:p>
            <w:pPr>
              <w:widowControl/>
              <w:spacing w:line="360" w:lineRule="auto"/>
              <w:jc w:val="left"/>
              <w:rPr>
                <w:rFonts w:ascii="宋体" w:hAnsi="宋体" w:cs="宋体"/>
                <w:sz w:val="24"/>
                <w:szCs w:val="24"/>
              </w:rPr>
            </w:pPr>
          </w:p>
        </w:tc>
        <w:tc>
          <w:tcPr>
            <w:tcW w:w="3034" w:type="dxa"/>
            <w:tcBorders>
              <w:top w:val="single" w:color="auto" w:sz="4" w:space="0"/>
              <w:left w:val="nil"/>
              <w:bottom w:val="single" w:color="auto" w:sz="4" w:space="0"/>
              <w:right w:val="single" w:color="auto" w:sz="4" w:space="0"/>
            </w:tcBorders>
            <w:vAlign w:val="center"/>
          </w:tcPr>
          <w:p>
            <w:pPr>
              <w:autoSpaceDE w:val="0"/>
              <w:autoSpaceDN w:val="0"/>
              <w:adjustRightInd w:val="0"/>
              <w:spacing w:line="360" w:lineRule="auto"/>
              <w:jc w:val="center"/>
              <w:rPr>
                <w:rFonts w:hint="default" w:ascii="宋体" w:hAnsi="宋体" w:cs="宋体"/>
                <w:sz w:val="24"/>
                <w:szCs w:val="24"/>
                <w:lang w:val="en-US" w:eastAsia="zh-CN"/>
              </w:rPr>
            </w:pPr>
            <w:r>
              <w:rPr>
                <w:rFonts w:hint="eastAsia" w:ascii="宋体" w:hAnsi="宋体" w:cs="宋体"/>
                <w:sz w:val="24"/>
                <w:szCs w:val="24"/>
                <w:lang w:val="en-US" w:eastAsia="zh-CN"/>
              </w:rPr>
              <w:t>质保期</w:t>
            </w:r>
          </w:p>
        </w:tc>
        <w:tc>
          <w:tcPr>
            <w:tcW w:w="4378" w:type="dxa"/>
            <w:tcBorders>
              <w:top w:val="single" w:color="auto" w:sz="4" w:space="0"/>
              <w:left w:val="nil"/>
              <w:bottom w:val="single" w:color="auto" w:sz="4" w:space="0"/>
              <w:right w:val="single" w:color="auto" w:sz="4" w:space="0"/>
            </w:tcBorders>
            <w:vAlign w:val="center"/>
          </w:tcPr>
          <w:p>
            <w:pPr>
              <w:widowControl/>
              <w:snapToGrid w:val="0"/>
              <w:spacing w:line="360" w:lineRule="auto"/>
              <w:jc w:val="center"/>
              <w:textAlignment w:val="baseline"/>
              <w:rPr>
                <w:rFonts w:hint="eastAsia" w:ascii="宋体" w:hAnsi="宋体" w:cs="宋体"/>
                <w:sz w:val="24"/>
                <w:szCs w:val="24"/>
                <w:lang w:val="en-US" w:eastAsia="zh-CN"/>
              </w:rPr>
            </w:pPr>
            <w:r>
              <w:rPr>
                <w:rFonts w:hint="eastAsia" w:ascii="宋体" w:hAnsi="宋体" w:cs="宋体"/>
                <w:sz w:val="24"/>
                <w:szCs w:val="24"/>
                <w:lang w:val="en-US" w:eastAsia="zh-CN"/>
              </w:rPr>
              <w:t>自验收合格使用之日起质保一年</w:t>
            </w:r>
          </w:p>
        </w:tc>
      </w:tr>
    </w:tbl>
    <w:p>
      <w:pPr>
        <w:spacing w:line="320" w:lineRule="exact"/>
        <w:rPr>
          <w:rFonts w:ascii="宋体" w:hAnsi="宋体" w:cs="宋体"/>
          <w:b/>
          <w:bCs/>
          <w:kern w:val="0"/>
          <w:sz w:val="24"/>
          <w:szCs w:val="24"/>
        </w:rPr>
      </w:pPr>
      <w:r>
        <w:rPr>
          <w:rFonts w:hint="eastAsia" w:ascii="宋体" w:hAnsi="宋体" w:cs="宋体"/>
          <w:b/>
          <w:bCs/>
          <w:sz w:val="28"/>
          <w:szCs w:val="28"/>
        </w:rPr>
        <w:t>注：</w:t>
      </w:r>
      <w:r>
        <w:rPr>
          <w:rFonts w:hint="eastAsia" w:ascii="宋体" w:hAnsi="宋体" w:cs="宋体"/>
          <w:b/>
          <w:bCs/>
          <w:kern w:val="0"/>
          <w:sz w:val="24"/>
          <w:szCs w:val="24"/>
        </w:rPr>
        <w:t>以上评审相关原件以投标文件中上传资料为准。开标结束后由采购人</w:t>
      </w:r>
      <w:r>
        <w:rPr>
          <w:rFonts w:hint="eastAsia" w:ascii="宋体" w:hAnsi="宋体" w:cs="宋体"/>
          <w:b/>
          <w:sz w:val="24"/>
          <w:szCs w:val="24"/>
        </w:rPr>
        <w:t>或者采购代理机构</w:t>
      </w:r>
      <w:r>
        <w:rPr>
          <w:rFonts w:hint="eastAsia" w:ascii="宋体" w:hAnsi="宋体" w:cs="宋体"/>
          <w:b/>
          <w:bCs/>
          <w:kern w:val="0"/>
          <w:sz w:val="24"/>
          <w:szCs w:val="24"/>
        </w:rPr>
        <w:t>对投标文件中所附资格资料进行核查；供应商未按要求上传资料的或上传的资料不符合招标文件要求的均视为资格审查不通过，资格审查不通过的供应商按无效投标处理，不再进行下一步的评审。</w:t>
      </w:r>
    </w:p>
    <w:p>
      <w:pPr>
        <w:rPr>
          <w:rFonts w:ascii="宋体" w:hAnsi="宋体" w:cs="宋体"/>
        </w:rPr>
      </w:pPr>
      <w:r>
        <w:rPr>
          <w:rFonts w:hint="eastAsia" w:ascii="宋体" w:hAnsi="宋体" w:cs="宋体"/>
        </w:rPr>
        <w:br w:type="page"/>
      </w:r>
    </w:p>
    <w:p>
      <w:pPr>
        <w:pStyle w:val="11"/>
        <w:ind w:left="0"/>
        <w:rPr>
          <w:rFonts w:ascii="宋体" w:hAnsi="宋体" w:cs="宋体"/>
        </w:rPr>
      </w:pPr>
      <w:r>
        <w:rPr>
          <w:rFonts w:hint="eastAsia" w:ascii="宋体" w:hAnsi="宋体" w:cs="宋体"/>
          <w:b/>
          <w:bCs/>
          <w:sz w:val="24"/>
          <w:szCs w:val="24"/>
        </w:rPr>
        <w:t>详细评审表：</w:t>
      </w:r>
    </w:p>
    <w:tbl>
      <w:tblPr>
        <w:tblStyle w:val="39"/>
        <w:tblW w:w="528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01"/>
        <w:gridCol w:w="854"/>
        <w:gridCol w:w="558"/>
        <w:gridCol w:w="7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jc w:val="center"/>
        </w:trPr>
        <w:tc>
          <w:tcPr>
            <w:tcW w:w="701" w:type="dxa"/>
            <w:vAlign w:val="center"/>
          </w:tcPr>
          <w:p>
            <w:pPr>
              <w:pStyle w:val="38"/>
              <w:jc w:val="center"/>
              <w:rPr>
                <w:sz w:val="24"/>
                <w:szCs w:val="24"/>
              </w:rPr>
            </w:pPr>
            <w:r>
              <w:rPr>
                <w:sz w:val="24"/>
                <w:szCs w:val="24"/>
              </w:rPr>
              <w:t>序号</w:t>
            </w:r>
          </w:p>
        </w:tc>
        <w:tc>
          <w:tcPr>
            <w:tcW w:w="853" w:type="dxa"/>
            <w:vAlign w:val="center"/>
          </w:tcPr>
          <w:p>
            <w:pPr>
              <w:pStyle w:val="38"/>
              <w:jc w:val="center"/>
              <w:rPr>
                <w:sz w:val="24"/>
                <w:szCs w:val="24"/>
              </w:rPr>
            </w:pPr>
            <w:r>
              <w:rPr>
                <w:rFonts w:hint="eastAsia"/>
                <w:sz w:val="24"/>
                <w:szCs w:val="24"/>
                <w:lang w:eastAsia="zh-CN"/>
              </w:rPr>
              <w:t>评</w:t>
            </w:r>
            <w:r>
              <w:rPr>
                <w:sz w:val="24"/>
                <w:szCs w:val="24"/>
              </w:rPr>
              <w:t>分项</w:t>
            </w:r>
          </w:p>
        </w:tc>
        <w:tc>
          <w:tcPr>
            <w:tcW w:w="557" w:type="dxa"/>
            <w:vAlign w:val="center"/>
          </w:tcPr>
          <w:p>
            <w:pPr>
              <w:pStyle w:val="38"/>
              <w:jc w:val="center"/>
              <w:rPr>
                <w:sz w:val="24"/>
                <w:szCs w:val="24"/>
              </w:rPr>
            </w:pPr>
            <w:r>
              <w:rPr>
                <w:sz w:val="24"/>
                <w:szCs w:val="24"/>
              </w:rPr>
              <w:t>分值</w:t>
            </w:r>
          </w:p>
        </w:tc>
        <w:tc>
          <w:tcPr>
            <w:tcW w:w="7472" w:type="dxa"/>
            <w:vAlign w:val="center"/>
          </w:tcPr>
          <w:p>
            <w:pPr>
              <w:jc w:val="center"/>
              <w:rPr>
                <w:rFonts w:ascii="Arial"/>
                <w:sz w:val="24"/>
                <w:szCs w:val="24"/>
              </w:rPr>
            </w:pPr>
            <w:r>
              <w:rPr>
                <w:sz w:val="24"/>
                <w:szCs w:val="24"/>
              </w:rPr>
              <w:t>评分指标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7" w:hRule="atLeast"/>
          <w:jc w:val="center"/>
        </w:trPr>
        <w:tc>
          <w:tcPr>
            <w:tcW w:w="9583" w:type="dxa"/>
            <w:gridSpan w:val="4"/>
            <w:vAlign w:val="center"/>
          </w:tcPr>
          <w:p>
            <w:pPr>
              <w:jc w:val="center"/>
              <w:rPr>
                <w:rFonts w:ascii="Arial"/>
                <w:sz w:val="24"/>
                <w:szCs w:val="24"/>
              </w:rPr>
            </w:pPr>
            <w:r>
              <w:rPr>
                <w:sz w:val="24"/>
                <w:szCs w:val="24"/>
                <w:lang w:eastAsia="zh-CN"/>
              </w:rPr>
              <w:t>一、价格部分（满分为30分）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01" w:type="dxa"/>
            <w:vAlign w:val="center"/>
          </w:tcPr>
          <w:p>
            <w:pPr>
              <w:pStyle w:val="38"/>
              <w:jc w:val="center"/>
              <w:rPr>
                <w:sz w:val="24"/>
                <w:szCs w:val="24"/>
              </w:rPr>
            </w:pPr>
            <w:r>
              <w:rPr>
                <w:sz w:val="24"/>
                <w:szCs w:val="24"/>
              </w:rPr>
              <w:t>1</w:t>
            </w:r>
          </w:p>
        </w:tc>
        <w:tc>
          <w:tcPr>
            <w:tcW w:w="853" w:type="dxa"/>
            <w:vAlign w:val="center"/>
          </w:tcPr>
          <w:p>
            <w:pPr>
              <w:pStyle w:val="38"/>
              <w:jc w:val="center"/>
              <w:rPr>
                <w:sz w:val="24"/>
                <w:szCs w:val="24"/>
              </w:rPr>
            </w:pPr>
            <w:r>
              <w:rPr>
                <w:sz w:val="24"/>
                <w:szCs w:val="24"/>
              </w:rPr>
              <w:t>报价分</w:t>
            </w:r>
          </w:p>
        </w:tc>
        <w:tc>
          <w:tcPr>
            <w:tcW w:w="557" w:type="dxa"/>
            <w:vAlign w:val="center"/>
          </w:tcPr>
          <w:p>
            <w:pPr>
              <w:pStyle w:val="38"/>
              <w:jc w:val="center"/>
              <w:rPr>
                <w:sz w:val="24"/>
                <w:szCs w:val="24"/>
              </w:rPr>
            </w:pPr>
            <w:r>
              <w:rPr>
                <w:sz w:val="24"/>
                <w:szCs w:val="24"/>
                <w:lang w:eastAsia="zh-CN"/>
              </w:rPr>
              <w:t>30分</w:t>
            </w:r>
          </w:p>
        </w:tc>
        <w:tc>
          <w:tcPr>
            <w:tcW w:w="7472" w:type="dxa"/>
            <w:vAlign w:val="center"/>
          </w:tcPr>
          <w:p>
            <w:pPr>
              <w:pStyle w:val="38"/>
              <w:rPr>
                <w:sz w:val="24"/>
                <w:szCs w:val="24"/>
                <w:lang w:eastAsia="zh-CN"/>
              </w:rPr>
            </w:pPr>
            <w:r>
              <w:rPr>
                <w:rFonts w:hint="eastAsia"/>
                <w:sz w:val="24"/>
                <w:szCs w:val="24"/>
                <w:lang w:eastAsia="zh-CN"/>
              </w:rPr>
              <w:t>1、</w:t>
            </w:r>
            <w:r>
              <w:rPr>
                <w:sz w:val="24"/>
                <w:szCs w:val="24"/>
                <w:lang w:eastAsia="zh-CN"/>
              </w:rPr>
              <w:t>评标基准价的计算方式为：对所有通过初步评审的投标人报价，去掉一个最高报价和一个最低报价后的算术平均值。若通过初步评审的投标人少于5家（不含5家），则直接取所有报价的算术平均值作为评标基准价。</w:t>
            </w:r>
          </w:p>
          <w:p>
            <w:pPr>
              <w:pStyle w:val="38"/>
              <w:rPr>
                <w:sz w:val="24"/>
                <w:szCs w:val="24"/>
                <w:lang w:eastAsia="zh-CN"/>
              </w:rPr>
            </w:pPr>
            <w:r>
              <w:rPr>
                <w:rFonts w:hint="eastAsia"/>
                <w:sz w:val="24"/>
                <w:szCs w:val="24"/>
                <w:lang w:eastAsia="zh-CN"/>
              </w:rPr>
              <w:t>2、当投标报价等于评标基准价时，得满分30分。</w:t>
            </w:r>
          </w:p>
          <w:p>
            <w:pPr>
              <w:pStyle w:val="38"/>
              <w:rPr>
                <w:sz w:val="24"/>
                <w:szCs w:val="24"/>
                <w:lang w:eastAsia="zh-CN"/>
              </w:rPr>
            </w:pPr>
            <w:r>
              <w:rPr>
                <w:rFonts w:hint="eastAsia"/>
                <w:sz w:val="24"/>
                <w:szCs w:val="24"/>
                <w:lang w:eastAsia="zh-CN"/>
              </w:rPr>
              <w:t>3、当投标报价高于评标基准价时，投标报价得分 = 30 - (投标报价 - 评标基准价)/评标基准价 × 100 × 0.5。（注：每高于基准价1%，扣0.5分）</w:t>
            </w:r>
          </w:p>
          <w:p>
            <w:pPr>
              <w:pStyle w:val="38"/>
              <w:rPr>
                <w:rFonts w:hint="eastAsia"/>
                <w:sz w:val="24"/>
                <w:szCs w:val="24"/>
                <w:lang w:eastAsia="zh-CN"/>
              </w:rPr>
            </w:pPr>
            <w:r>
              <w:rPr>
                <w:rFonts w:hint="eastAsia"/>
                <w:sz w:val="24"/>
                <w:szCs w:val="24"/>
                <w:lang w:eastAsia="zh-CN"/>
              </w:rPr>
              <w:t>4、当投标报价低于评标基准价时，投标报价得分 = 30 - (评标基准价 - 投标报价)/评标基准价 × 100 × 0.3。（注：每低于基准价1%，扣0.3分）</w:t>
            </w:r>
          </w:p>
          <w:p>
            <w:pPr>
              <w:spacing w:line="360" w:lineRule="auto"/>
              <w:jc w:val="left"/>
              <w:rPr>
                <w:rFonts w:ascii="宋体" w:hAnsi="宋体" w:cs="宋体"/>
                <w:sz w:val="24"/>
              </w:rPr>
            </w:pPr>
            <w:r>
              <w:rPr>
                <w:rFonts w:hint="eastAsia" w:ascii="宋体" w:hAnsi="宋体" w:cs="宋体"/>
                <w:sz w:val="24"/>
                <w:lang w:val="en-US" w:eastAsia="zh-CN"/>
              </w:rPr>
              <w:t xml:space="preserve">注：（1）评标委员会认为投标人的报价明显低于其他通过初步评审投标人的报价，有可能影响服务质量或者不能诚信履约的，应当要求其在合理的时间内提供书面说明，必要时提交相关证明材料；投标人不能证明其报价合理性的，评标委员会应当将其作为无效标处理。 </w:t>
            </w:r>
          </w:p>
          <w:p>
            <w:pPr>
              <w:spacing w:line="360" w:lineRule="auto"/>
              <w:jc w:val="left"/>
              <w:rPr>
                <w:rFonts w:ascii="宋体" w:hAnsi="宋体" w:cs="宋体"/>
                <w:sz w:val="24"/>
              </w:rPr>
            </w:pPr>
            <w:r>
              <w:rPr>
                <w:rFonts w:hint="eastAsia" w:ascii="宋体" w:hAnsi="宋体" w:cs="宋体"/>
                <w:sz w:val="24"/>
                <w:lang w:val="en-US" w:eastAsia="zh-CN"/>
              </w:rPr>
              <w:t xml:space="preserve">（2）根据《政府采购促进中小企业发展暂行办法》(财库[2020]46 </w:t>
            </w:r>
          </w:p>
          <w:p>
            <w:pPr>
              <w:spacing w:line="360" w:lineRule="auto"/>
              <w:jc w:val="left"/>
              <w:rPr>
                <w:rFonts w:ascii="宋体" w:hAnsi="宋体" w:cs="宋体"/>
                <w:sz w:val="24"/>
              </w:rPr>
            </w:pPr>
            <w:r>
              <w:rPr>
                <w:rFonts w:hint="eastAsia" w:ascii="宋体" w:hAnsi="宋体" w:cs="宋体"/>
                <w:sz w:val="24"/>
                <w:lang w:val="en-US" w:eastAsia="zh-CN"/>
              </w:rPr>
              <w:t>号)及《国务院关于印发扎实稳住经济一揽子政策措施的通知》的规定，对小微企业、监狱、残疾人福利性单位的价格给予 20%的扣除，用扣除后的价格参与评审。中小企业划型标准见《关于印发</w:t>
            </w:r>
            <w:r>
              <w:rPr>
                <w:rFonts w:ascii="宋体" w:hAnsi="宋体" w:cs="宋体"/>
                <w:sz w:val="24"/>
                <w:lang w:val="en-US" w:eastAsia="zh-CN"/>
              </w:rPr>
              <w:t>24</w:t>
            </w:r>
            <w:r>
              <w:rPr>
                <w:rFonts w:hint="eastAsia" w:ascii="宋体" w:hAnsi="宋体" w:cs="宋体"/>
                <w:sz w:val="24"/>
                <w:lang w:val="en-US" w:eastAsia="zh-CN"/>
              </w:rPr>
              <w:t xml:space="preserve">中小企业划型标规定的通知》（工信部联企业[2011]300 号）。 </w:t>
            </w:r>
          </w:p>
          <w:p>
            <w:pPr>
              <w:spacing w:line="360" w:lineRule="auto"/>
              <w:jc w:val="left"/>
              <w:rPr>
                <w:rFonts w:ascii="宋体" w:hAnsi="宋体" w:cs="宋体"/>
                <w:sz w:val="24"/>
              </w:rPr>
            </w:pPr>
            <w:r>
              <w:rPr>
                <w:rFonts w:hint="eastAsia" w:ascii="宋体" w:hAnsi="宋体" w:cs="宋体"/>
                <w:sz w:val="24"/>
                <w:lang w:val="en-US" w:eastAsia="zh-CN"/>
              </w:rPr>
              <w:t xml:space="preserve">符合价格扣除政策的投标人，须在投标文件中提供相应证明材料：小微企业提供《中小企业声明函》；监狱企业提供由省级以上监狱管理局、戒毒管理局（含新疆生产建设兵团）出具的属于监狱企业的证明文件；残疾人福利性单位提供《残疾人福利性单位声明函》及相关证明材料。 </w:t>
            </w:r>
          </w:p>
          <w:p>
            <w:pPr>
              <w:spacing w:line="360" w:lineRule="auto"/>
              <w:jc w:val="left"/>
              <w:rPr>
                <w:rFonts w:hint="eastAsia" w:ascii="宋体" w:hAnsi="宋体" w:cs="宋体"/>
                <w:sz w:val="24"/>
                <w:lang w:val="en-US" w:eastAsia="zh-CN"/>
              </w:rPr>
            </w:pPr>
            <w:r>
              <w:rPr>
                <w:rFonts w:hint="eastAsia" w:ascii="宋体" w:hAnsi="宋体" w:cs="宋体"/>
                <w:sz w:val="24"/>
                <w:lang w:val="en-US" w:eastAsia="zh-CN"/>
              </w:rPr>
              <w:t>没有提供有效证明材料的投标人，将被视为不接受投标总价的扣除，用原投标总价参与评审。</w:t>
            </w:r>
          </w:p>
          <w:p>
            <w:pPr>
              <w:numPr>
                <w:ilvl w:val="0"/>
                <w:numId w:val="0"/>
              </w:numPr>
              <w:spacing w:line="360" w:lineRule="auto"/>
              <w:ind w:leftChars="0"/>
              <w:jc w:val="left"/>
              <w:rPr>
                <w:rFonts w:hint="eastAsia" w:ascii="宋体" w:hAnsi="宋体" w:cs="宋体"/>
                <w:sz w:val="24"/>
                <w:lang w:val="en-US" w:eastAsia="zh-CN"/>
              </w:rPr>
            </w:pPr>
            <w:r>
              <w:rPr>
                <w:rFonts w:hint="eastAsia" w:ascii="宋体" w:hAnsi="宋体" w:cs="宋体"/>
                <w:sz w:val="24"/>
                <w:lang w:val="en-US" w:eastAsia="zh-CN"/>
              </w:rPr>
              <w:t>（3）既有本国产品又有非本国产品参与竞争的，依法对本国产品给予价格评审优惠，对本国产品的报价给予20%的价格扣除，用扣除后的价格参与评审。本采购项目含有多种产品，供应商为本采购项目提供的符合本国产品标准的产品成本之和占该供应商提供的全部产品成本之和的比例达到80%以上，且供应商在投标(响应)文件中对此作出承诺的，则依法对该供应商提供的全部产品给予价格评审优惠，即对该供应商提供的全部产品的总报价给予20%的价格扣除，用扣除后的价格参与评审。提供《关于符合本国产品标准的声明函》或有关证明文件，未提供声明函者不予认定。</w:t>
            </w:r>
          </w:p>
          <w:p>
            <w:pPr>
              <w:jc w:val="left"/>
              <w:rPr>
                <w:rFonts w:ascii="Arial"/>
                <w:sz w:val="24"/>
                <w:szCs w:val="24"/>
              </w:rPr>
            </w:pPr>
            <w:r>
              <w:rPr>
                <w:rFonts w:hint="eastAsia" w:ascii="宋体" w:hAnsi="宋体" w:cs="宋体" w:eastAsiaTheme="minorEastAsia"/>
                <w:b w:val="0"/>
                <w:bCs w:val="0"/>
                <w:kern w:val="2"/>
                <w:sz w:val="24"/>
                <w:szCs w:val="24"/>
                <w:lang w:val="en-US" w:eastAsia="zh-CN" w:bidi="ar-SA"/>
              </w:rPr>
              <w:t>注：两项报价扣除政策可累计计算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7" w:hRule="atLeast"/>
          <w:jc w:val="center"/>
        </w:trPr>
        <w:tc>
          <w:tcPr>
            <w:tcW w:w="9583" w:type="dxa"/>
            <w:gridSpan w:val="4"/>
            <w:vAlign w:val="center"/>
          </w:tcPr>
          <w:p>
            <w:pPr>
              <w:jc w:val="center"/>
              <w:rPr>
                <w:rFonts w:ascii="Arial"/>
                <w:sz w:val="24"/>
                <w:szCs w:val="24"/>
              </w:rPr>
            </w:pPr>
            <w:r>
              <w:rPr>
                <w:sz w:val="24"/>
                <w:szCs w:val="24"/>
                <w:lang w:eastAsia="zh-CN"/>
              </w:rPr>
              <w:t>二、技术部分（满分为4</w:t>
            </w:r>
            <w:r>
              <w:rPr>
                <w:rFonts w:hint="eastAsia"/>
                <w:sz w:val="24"/>
                <w:szCs w:val="24"/>
                <w:lang w:eastAsia="zh-CN"/>
              </w:rPr>
              <w:t>5</w:t>
            </w:r>
            <w:r>
              <w:rPr>
                <w:sz w:val="24"/>
                <w:szCs w:val="24"/>
                <w:lang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01" w:type="dxa"/>
            <w:vAlign w:val="center"/>
          </w:tcPr>
          <w:p>
            <w:pPr>
              <w:pStyle w:val="38"/>
              <w:jc w:val="center"/>
              <w:rPr>
                <w:sz w:val="24"/>
                <w:szCs w:val="24"/>
              </w:rPr>
            </w:pPr>
            <w:r>
              <w:rPr>
                <w:sz w:val="24"/>
                <w:szCs w:val="24"/>
              </w:rPr>
              <w:t>1</w:t>
            </w:r>
          </w:p>
        </w:tc>
        <w:tc>
          <w:tcPr>
            <w:tcW w:w="853" w:type="dxa"/>
            <w:vAlign w:val="center"/>
          </w:tcPr>
          <w:p>
            <w:pPr>
              <w:pStyle w:val="38"/>
              <w:jc w:val="center"/>
              <w:rPr>
                <w:sz w:val="24"/>
                <w:szCs w:val="24"/>
              </w:rPr>
            </w:pPr>
            <w:r>
              <w:rPr>
                <w:sz w:val="24"/>
                <w:szCs w:val="24"/>
              </w:rPr>
              <w:t>技术响应情况</w:t>
            </w:r>
          </w:p>
        </w:tc>
        <w:tc>
          <w:tcPr>
            <w:tcW w:w="557" w:type="dxa"/>
            <w:vAlign w:val="center"/>
          </w:tcPr>
          <w:p>
            <w:pPr>
              <w:pStyle w:val="38"/>
              <w:jc w:val="center"/>
              <w:rPr>
                <w:sz w:val="24"/>
                <w:szCs w:val="24"/>
              </w:rPr>
            </w:pPr>
            <w:r>
              <w:rPr>
                <w:rFonts w:hint="eastAsia"/>
                <w:sz w:val="24"/>
                <w:szCs w:val="24"/>
                <w:lang w:eastAsia="zh-CN"/>
              </w:rPr>
              <w:t>30</w:t>
            </w:r>
            <w:r>
              <w:rPr>
                <w:sz w:val="24"/>
                <w:szCs w:val="24"/>
              </w:rPr>
              <w:t>分</w:t>
            </w:r>
          </w:p>
        </w:tc>
        <w:tc>
          <w:tcPr>
            <w:tcW w:w="7472" w:type="dxa"/>
            <w:vAlign w:val="center"/>
          </w:tcPr>
          <w:p>
            <w:pPr>
              <w:jc w:val="left"/>
              <w:rPr>
                <w:rFonts w:ascii="Arial"/>
                <w:sz w:val="24"/>
                <w:szCs w:val="24"/>
              </w:rPr>
            </w:pPr>
            <w:r>
              <w:rPr>
                <w:rFonts w:hint="eastAsia"/>
                <w:sz w:val="24"/>
                <w:szCs w:val="24"/>
                <w:lang w:eastAsia="zh-CN"/>
              </w:rPr>
              <w:t>根据投标人提供的产品参数指标进行评审：参数指标完全满足招标文件要求得30分；“▲”条款有1项不满足扣2分，其他条款有1项不满足扣1分，扣完为止；若招标文件技术部分要求提供相对应佐证材料（或报告等），投标文件必须按照要求提供，否则对应技术条款将视为不满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4" w:hRule="atLeast"/>
          <w:jc w:val="center"/>
        </w:trPr>
        <w:tc>
          <w:tcPr>
            <w:tcW w:w="701" w:type="dxa"/>
            <w:vAlign w:val="center"/>
          </w:tcPr>
          <w:p>
            <w:pPr>
              <w:pStyle w:val="38"/>
              <w:jc w:val="center"/>
              <w:rPr>
                <w:sz w:val="24"/>
                <w:szCs w:val="24"/>
              </w:rPr>
            </w:pPr>
            <w:r>
              <w:rPr>
                <w:sz w:val="24"/>
                <w:szCs w:val="24"/>
              </w:rPr>
              <w:t>2</w:t>
            </w:r>
          </w:p>
        </w:tc>
        <w:tc>
          <w:tcPr>
            <w:tcW w:w="853" w:type="dxa"/>
            <w:vAlign w:val="center"/>
          </w:tcPr>
          <w:p>
            <w:pPr>
              <w:pStyle w:val="38"/>
              <w:jc w:val="center"/>
              <w:rPr>
                <w:sz w:val="24"/>
                <w:szCs w:val="24"/>
              </w:rPr>
            </w:pPr>
            <w:r>
              <w:rPr>
                <w:rFonts w:hint="eastAsia"/>
                <w:sz w:val="24"/>
                <w:szCs w:val="24"/>
              </w:rPr>
              <w:t>系统集成方案</w:t>
            </w:r>
          </w:p>
        </w:tc>
        <w:tc>
          <w:tcPr>
            <w:tcW w:w="557" w:type="dxa"/>
            <w:vAlign w:val="center"/>
          </w:tcPr>
          <w:p>
            <w:pPr>
              <w:pStyle w:val="38"/>
              <w:jc w:val="center"/>
              <w:rPr>
                <w:sz w:val="24"/>
                <w:szCs w:val="24"/>
              </w:rPr>
            </w:pPr>
            <w:r>
              <w:rPr>
                <w:rFonts w:hint="eastAsia"/>
                <w:sz w:val="24"/>
                <w:szCs w:val="24"/>
                <w:lang w:eastAsia="zh-CN"/>
              </w:rPr>
              <w:t>5</w:t>
            </w:r>
            <w:r>
              <w:rPr>
                <w:sz w:val="24"/>
                <w:szCs w:val="24"/>
              </w:rPr>
              <w:t>分</w:t>
            </w:r>
          </w:p>
        </w:tc>
        <w:tc>
          <w:tcPr>
            <w:tcW w:w="7472" w:type="dxa"/>
            <w:vAlign w:val="center"/>
          </w:tcPr>
          <w:p>
            <w:pPr>
              <w:jc w:val="left"/>
              <w:rPr>
                <w:rFonts w:ascii="Arial"/>
                <w:sz w:val="24"/>
                <w:szCs w:val="24"/>
              </w:rPr>
            </w:pPr>
            <w:r>
              <w:rPr>
                <w:rFonts w:hint="eastAsia"/>
                <w:sz w:val="24"/>
                <w:szCs w:val="24"/>
                <w:lang w:eastAsia="zh-CN"/>
              </w:rPr>
              <w:t>投标人提供完整的系统集成方案，包括水质自动监测系统中采水单元、配水及预处理单元、分析单元、控制单元、数据采集与传输和辅助单元等各单元完整、全面的集成方案。系统集成方案按照技术要求响应，科学合理并遵循先进、实用、专业、安全、经济等原则；对投标人进行综合比较，系统集成方案合理清晰，得5分；系统集成方案比较合理清晰，得3分；系统集成合理清晰程度一般，得2分；系统集成方案合理清晰程度较差，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70" w:hRule="atLeast"/>
          <w:jc w:val="center"/>
        </w:trPr>
        <w:tc>
          <w:tcPr>
            <w:tcW w:w="701" w:type="dxa"/>
            <w:vAlign w:val="center"/>
          </w:tcPr>
          <w:p>
            <w:pPr>
              <w:pStyle w:val="38"/>
              <w:jc w:val="center"/>
              <w:rPr>
                <w:sz w:val="24"/>
                <w:szCs w:val="24"/>
              </w:rPr>
            </w:pPr>
            <w:r>
              <w:rPr>
                <w:sz w:val="24"/>
                <w:szCs w:val="24"/>
              </w:rPr>
              <w:t>3</w:t>
            </w:r>
          </w:p>
        </w:tc>
        <w:tc>
          <w:tcPr>
            <w:tcW w:w="853" w:type="dxa"/>
            <w:vAlign w:val="center"/>
          </w:tcPr>
          <w:p>
            <w:pPr>
              <w:pStyle w:val="38"/>
              <w:jc w:val="center"/>
              <w:rPr>
                <w:sz w:val="24"/>
                <w:szCs w:val="24"/>
                <w:lang w:eastAsia="zh-CN"/>
              </w:rPr>
            </w:pPr>
            <w:r>
              <w:rPr>
                <w:rFonts w:hint="eastAsia"/>
                <w:sz w:val="24"/>
                <w:szCs w:val="24"/>
                <w:lang w:eastAsia="zh-CN"/>
              </w:rPr>
              <w:t>仪器设备安装调试和联网方案</w:t>
            </w:r>
          </w:p>
        </w:tc>
        <w:tc>
          <w:tcPr>
            <w:tcW w:w="557" w:type="dxa"/>
            <w:vAlign w:val="center"/>
          </w:tcPr>
          <w:p>
            <w:pPr>
              <w:pStyle w:val="38"/>
              <w:jc w:val="center"/>
              <w:rPr>
                <w:sz w:val="24"/>
                <w:szCs w:val="24"/>
              </w:rPr>
            </w:pPr>
            <w:r>
              <w:rPr>
                <w:rFonts w:hint="eastAsia"/>
                <w:sz w:val="24"/>
                <w:szCs w:val="24"/>
                <w:lang w:eastAsia="zh-CN"/>
              </w:rPr>
              <w:t>5</w:t>
            </w:r>
            <w:r>
              <w:rPr>
                <w:sz w:val="24"/>
                <w:szCs w:val="24"/>
              </w:rPr>
              <w:t>分</w:t>
            </w:r>
          </w:p>
        </w:tc>
        <w:tc>
          <w:tcPr>
            <w:tcW w:w="7472" w:type="dxa"/>
            <w:vAlign w:val="center"/>
          </w:tcPr>
          <w:p>
            <w:pPr>
              <w:pStyle w:val="38"/>
              <w:jc w:val="left"/>
              <w:rPr>
                <w:sz w:val="24"/>
                <w:szCs w:val="24"/>
                <w:lang w:eastAsia="zh-CN"/>
              </w:rPr>
            </w:pPr>
            <w:r>
              <w:rPr>
                <w:rFonts w:hint="eastAsia"/>
                <w:sz w:val="24"/>
                <w:szCs w:val="24"/>
                <w:lang w:eastAsia="zh-CN"/>
              </w:rPr>
              <w:t>投标人提供的仪器设备安装调试方案明确、细致、合理、技术路线清晰，时间进度安排明确；联网方案能实现数据顺利传输至采购人统一的数据管理平台，方案细致合理、完整、科学，得5分；方案较合理、安排较科学、具有一定的可操作性，得3分；方案不够合理、安排不够科学、可操作性差，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18" w:hRule="atLeast"/>
          <w:jc w:val="center"/>
        </w:trPr>
        <w:tc>
          <w:tcPr>
            <w:tcW w:w="701" w:type="dxa"/>
            <w:vAlign w:val="center"/>
          </w:tcPr>
          <w:p>
            <w:pPr>
              <w:pStyle w:val="38"/>
              <w:jc w:val="center"/>
              <w:rPr>
                <w:sz w:val="24"/>
                <w:szCs w:val="24"/>
              </w:rPr>
            </w:pPr>
            <w:r>
              <w:rPr>
                <w:sz w:val="24"/>
                <w:szCs w:val="24"/>
              </w:rPr>
              <w:t>4</w:t>
            </w:r>
          </w:p>
        </w:tc>
        <w:tc>
          <w:tcPr>
            <w:tcW w:w="853" w:type="dxa"/>
            <w:vAlign w:val="center"/>
          </w:tcPr>
          <w:p>
            <w:pPr>
              <w:pStyle w:val="38"/>
              <w:jc w:val="center"/>
              <w:rPr>
                <w:sz w:val="24"/>
                <w:szCs w:val="24"/>
              </w:rPr>
            </w:pPr>
            <w:r>
              <w:rPr>
                <w:sz w:val="24"/>
                <w:szCs w:val="24"/>
              </w:rPr>
              <w:t>项目实施方案</w:t>
            </w:r>
          </w:p>
        </w:tc>
        <w:tc>
          <w:tcPr>
            <w:tcW w:w="557" w:type="dxa"/>
            <w:vAlign w:val="center"/>
          </w:tcPr>
          <w:p>
            <w:pPr>
              <w:pStyle w:val="38"/>
              <w:jc w:val="center"/>
              <w:rPr>
                <w:sz w:val="24"/>
                <w:szCs w:val="24"/>
              </w:rPr>
            </w:pPr>
            <w:r>
              <w:rPr>
                <w:rFonts w:hint="eastAsia"/>
                <w:sz w:val="24"/>
                <w:szCs w:val="24"/>
                <w:lang w:eastAsia="zh-CN"/>
              </w:rPr>
              <w:t>5</w:t>
            </w:r>
            <w:r>
              <w:rPr>
                <w:sz w:val="24"/>
                <w:szCs w:val="24"/>
              </w:rPr>
              <w:t>分</w:t>
            </w:r>
          </w:p>
        </w:tc>
        <w:tc>
          <w:tcPr>
            <w:tcW w:w="7472" w:type="dxa"/>
            <w:vAlign w:val="center"/>
          </w:tcPr>
          <w:p>
            <w:pPr>
              <w:pStyle w:val="38"/>
              <w:jc w:val="left"/>
              <w:rPr>
                <w:sz w:val="24"/>
                <w:szCs w:val="24"/>
                <w:lang w:eastAsia="zh-CN"/>
              </w:rPr>
            </w:pPr>
            <w:r>
              <w:rPr>
                <w:sz w:val="24"/>
                <w:szCs w:val="24"/>
                <w:lang w:eastAsia="zh-CN"/>
              </w:rPr>
              <w:t>投标人针对本项目建设需求、任务目标及建设内容提供实施方案，包括：（1）总体实施框架及目标；（2）项目实施及交付范围；（3）实施团队组织机构及人员配备；（4）实施周期(进度）计划与保障措施；（5）项目实施流程与保证措施；（6)项目管理与保证措施；（7)项目风险分析及控制；（8）项目质量保证体系及措施；（9）项目验收方案；（10）项目交付文档。</w:t>
            </w:r>
            <w:r>
              <w:rPr>
                <w:rFonts w:hint="eastAsia"/>
                <w:sz w:val="24"/>
                <w:szCs w:val="24"/>
                <w:lang w:eastAsia="zh-CN"/>
              </w:rPr>
              <w:t>每项</w:t>
            </w:r>
            <w:r>
              <w:rPr>
                <w:sz w:val="24"/>
                <w:szCs w:val="24"/>
                <w:lang w:eastAsia="zh-CN"/>
              </w:rPr>
              <w:t>得</w:t>
            </w:r>
            <w:r>
              <w:rPr>
                <w:rFonts w:hint="eastAsia"/>
                <w:sz w:val="24"/>
                <w:szCs w:val="24"/>
                <w:lang w:eastAsia="zh-CN"/>
              </w:rPr>
              <w:t>0.5</w:t>
            </w:r>
            <w:r>
              <w:rPr>
                <w:sz w:val="24"/>
                <w:szCs w:val="24"/>
                <w:lang w:eastAsia="zh-CN"/>
              </w:rPr>
              <w:t>分，最高</w:t>
            </w:r>
            <w:r>
              <w:rPr>
                <w:rFonts w:hint="eastAsia"/>
                <w:sz w:val="24"/>
                <w:szCs w:val="24"/>
                <w:lang w:eastAsia="zh-CN"/>
              </w:rPr>
              <w:t>5</w:t>
            </w:r>
            <w:r>
              <w:rPr>
                <w:sz w:val="24"/>
                <w:szCs w:val="24"/>
                <w:lang w:eastAsia="zh-CN"/>
              </w:rPr>
              <w:t>分。</w:t>
            </w:r>
            <w:r>
              <w:rPr>
                <w:rFonts w:hint="eastAsia"/>
                <w:sz w:val="24"/>
                <w:szCs w:val="24"/>
                <w:lang w:eastAsia="zh-CN"/>
              </w:rPr>
              <w:t>每项</w:t>
            </w:r>
            <w:r>
              <w:rPr>
                <w:sz w:val="24"/>
                <w:szCs w:val="24"/>
                <w:lang w:eastAsia="zh-CN"/>
              </w:rPr>
              <w:t>内容存在缺陷或不足不得分。(注:缺陷是指内容不满足采购人采购需求,非专门针对本项目或不适用本项目特性的情形、内容不完整或缺少关键节点、套用其他项目方案、内容前后矛盾、涉及的规范及标准错误等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7" w:hRule="atLeast"/>
          <w:jc w:val="center"/>
        </w:trPr>
        <w:tc>
          <w:tcPr>
            <w:tcW w:w="9583" w:type="dxa"/>
            <w:gridSpan w:val="4"/>
            <w:vAlign w:val="center"/>
          </w:tcPr>
          <w:p>
            <w:pPr>
              <w:pStyle w:val="38"/>
              <w:ind w:firstLine="480"/>
              <w:jc w:val="center"/>
              <w:rPr>
                <w:sz w:val="24"/>
                <w:szCs w:val="24"/>
                <w:lang w:eastAsia="zh-CN"/>
              </w:rPr>
            </w:pPr>
            <w:r>
              <w:rPr>
                <w:sz w:val="24"/>
                <w:szCs w:val="24"/>
                <w:lang w:eastAsia="zh-CN"/>
              </w:rPr>
              <w:t>三、商务部分（满分为25分）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10" w:hRule="atLeast"/>
          <w:jc w:val="center"/>
        </w:trPr>
        <w:tc>
          <w:tcPr>
            <w:tcW w:w="701" w:type="dxa"/>
            <w:vAlign w:val="center"/>
          </w:tcPr>
          <w:p>
            <w:pPr>
              <w:pStyle w:val="38"/>
              <w:jc w:val="center"/>
              <w:rPr>
                <w:sz w:val="24"/>
                <w:szCs w:val="24"/>
              </w:rPr>
            </w:pPr>
            <w:r>
              <w:rPr>
                <w:sz w:val="24"/>
                <w:szCs w:val="24"/>
              </w:rPr>
              <w:t>1</w:t>
            </w:r>
          </w:p>
        </w:tc>
        <w:tc>
          <w:tcPr>
            <w:tcW w:w="853" w:type="dxa"/>
            <w:vAlign w:val="center"/>
          </w:tcPr>
          <w:p>
            <w:pPr>
              <w:pStyle w:val="38"/>
              <w:jc w:val="center"/>
              <w:rPr>
                <w:sz w:val="24"/>
                <w:szCs w:val="24"/>
              </w:rPr>
            </w:pPr>
            <w:r>
              <w:rPr>
                <w:sz w:val="24"/>
                <w:szCs w:val="24"/>
              </w:rPr>
              <w:t>项目实施团队</w:t>
            </w:r>
          </w:p>
        </w:tc>
        <w:tc>
          <w:tcPr>
            <w:tcW w:w="557" w:type="dxa"/>
            <w:vAlign w:val="center"/>
          </w:tcPr>
          <w:p>
            <w:pPr>
              <w:pStyle w:val="38"/>
              <w:jc w:val="center"/>
              <w:rPr>
                <w:sz w:val="24"/>
                <w:szCs w:val="24"/>
              </w:rPr>
            </w:pPr>
            <w:r>
              <w:rPr>
                <w:rFonts w:hint="eastAsia"/>
                <w:sz w:val="24"/>
                <w:szCs w:val="24"/>
                <w:lang w:eastAsia="zh-CN"/>
              </w:rPr>
              <w:t>8</w:t>
            </w:r>
            <w:r>
              <w:rPr>
                <w:sz w:val="24"/>
                <w:szCs w:val="24"/>
              </w:rPr>
              <w:t>分</w:t>
            </w:r>
          </w:p>
        </w:tc>
        <w:tc>
          <w:tcPr>
            <w:tcW w:w="7472" w:type="dxa"/>
            <w:vAlign w:val="center"/>
          </w:tcPr>
          <w:p>
            <w:pPr>
              <w:pStyle w:val="38"/>
              <w:jc w:val="left"/>
              <w:rPr>
                <w:sz w:val="24"/>
                <w:szCs w:val="24"/>
                <w:lang w:eastAsia="zh-CN"/>
              </w:rPr>
            </w:pPr>
            <w:r>
              <w:rPr>
                <w:sz w:val="24"/>
                <w:szCs w:val="24"/>
                <w:lang w:eastAsia="zh-CN"/>
              </w:rPr>
              <w:t xml:space="preserve">1. </w:t>
            </w:r>
            <w:r>
              <w:rPr>
                <w:b w:val="0"/>
                <w:bCs w:val="0"/>
                <w:sz w:val="24"/>
                <w:szCs w:val="24"/>
                <w:lang w:eastAsia="zh-CN"/>
              </w:rPr>
              <w:t>项目负责人</w:t>
            </w:r>
            <w:r>
              <w:rPr>
                <w:sz w:val="24"/>
                <w:szCs w:val="24"/>
                <w:lang w:eastAsia="zh-CN"/>
              </w:rPr>
              <w:t>（2分）</w:t>
            </w:r>
          </w:p>
          <w:p>
            <w:pPr>
              <w:pStyle w:val="38"/>
              <w:ind w:firstLine="480" w:firstLineChars="200"/>
              <w:jc w:val="left"/>
              <w:rPr>
                <w:b w:val="0"/>
                <w:bCs w:val="0"/>
                <w:sz w:val="24"/>
                <w:szCs w:val="24"/>
                <w:lang w:eastAsia="zh-CN"/>
              </w:rPr>
            </w:pPr>
            <w:r>
              <w:rPr>
                <w:b w:val="0"/>
                <w:bCs w:val="0"/>
                <w:sz w:val="24"/>
                <w:szCs w:val="24"/>
                <w:lang w:eastAsia="zh-CN"/>
              </w:rPr>
              <w:t>具有</w:t>
            </w:r>
            <w:r>
              <w:rPr>
                <w:rFonts w:hint="eastAsia"/>
                <w:b w:val="0"/>
                <w:bCs w:val="0"/>
                <w:sz w:val="24"/>
                <w:szCs w:val="24"/>
                <w:lang w:eastAsia="zh-CN"/>
              </w:rPr>
              <w:t>环境工程类或地质水工环类</w:t>
            </w:r>
            <w:r>
              <w:rPr>
                <w:b w:val="0"/>
                <w:bCs w:val="0"/>
                <w:sz w:val="24"/>
                <w:szCs w:val="24"/>
                <w:lang w:eastAsia="zh-CN"/>
              </w:rPr>
              <w:t>高级工程师及以上职称得2分，否则不得分。</w:t>
            </w:r>
          </w:p>
          <w:p>
            <w:pPr>
              <w:pStyle w:val="38"/>
              <w:ind w:left="480" w:hanging="480" w:hangingChars="200"/>
              <w:jc w:val="left"/>
              <w:rPr>
                <w:sz w:val="24"/>
                <w:szCs w:val="24"/>
                <w:lang w:eastAsia="zh-CN"/>
              </w:rPr>
            </w:pPr>
            <w:r>
              <w:rPr>
                <w:sz w:val="24"/>
                <w:szCs w:val="24"/>
                <w:lang w:eastAsia="zh-CN"/>
              </w:rPr>
              <w:t>2. 项目技术团队（6分）</w:t>
            </w:r>
          </w:p>
          <w:p>
            <w:pPr>
              <w:pStyle w:val="38"/>
              <w:ind w:firstLine="480" w:firstLineChars="200"/>
              <w:jc w:val="left"/>
              <w:rPr>
                <w:b w:val="0"/>
                <w:bCs w:val="0"/>
                <w:sz w:val="24"/>
                <w:szCs w:val="24"/>
                <w:lang w:eastAsia="zh-CN"/>
              </w:rPr>
            </w:pPr>
            <w:r>
              <w:rPr>
                <w:rFonts w:hint="eastAsia"/>
                <w:b w:val="0"/>
                <w:bCs w:val="0"/>
                <w:sz w:val="24"/>
                <w:szCs w:val="24"/>
                <w:lang w:eastAsia="zh-CN"/>
              </w:rPr>
              <w:t>①</w:t>
            </w:r>
            <w:r>
              <w:rPr>
                <w:b w:val="0"/>
                <w:bCs w:val="0"/>
                <w:sz w:val="24"/>
                <w:szCs w:val="24"/>
                <w:lang w:eastAsia="zh-CN"/>
              </w:rPr>
              <w:t xml:space="preserve"> 团队成员中具有工程管理、测绘中级及以上职称的，每项得</w:t>
            </w:r>
            <w:r>
              <w:rPr>
                <w:rFonts w:hint="eastAsia"/>
                <w:b w:val="0"/>
                <w:bCs w:val="0"/>
                <w:sz w:val="24"/>
                <w:szCs w:val="24"/>
                <w:lang w:eastAsia="zh-CN"/>
              </w:rPr>
              <w:t>1分，最多得2分；</w:t>
            </w:r>
          </w:p>
          <w:p>
            <w:pPr>
              <w:pStyle w:val="38"/>
              <w:ind w:firstLine="480" w:firstLineChars="200"/>
              <w:jc w:val="left"/>
              <w:rPr>
                <w:b w:val="0"/>
                <w:bCs w:val="0"/>
                <w:sz w:val="24"/>
                <w:szCs w:val="24"/>
                <w:lang w:eastAsia="zh-CN"/>
              </w:rPr>
            </w:pPr>
            <w:r>
              <w:rPr>
                <w:rFonts w:hint="eastAsia"/>
                <w:b w:val="0"/>
                <w:bCs w:val="0"/>
                <w:sz w:val="24"/>
                <w:szCs w:val="24"/>
                <w:lang w:eastAsia="zh-CN"/>
              </w:rPr>
              <w:t>②</w:t>
            </w:r>
            <w:r>
              <w:rPr>
                <w:b w:val="0"/>
                <w:bCs w:val="0"/>
                <w:sz w:val="24"/>
                <w:szCs w:val="24"/>
                <w:lang w:eastAsia="zh-CN"/>
              </w:rPr>
              <w:t xml:space="preserve"> 团队成员中具有计算机、软件工程专业本科及以上学历的，每项得1分，最多得2分；</w:t>
            </w:r>
          </w:p>
          <w:p>
            <w:pPr>
              <w:pStyle w:val="38"/>
              <w:ind w:firstLine="480" w:firstLineChars="200"/>
              <w:jc w:val="left"/>
              <w:rPr>
                <w:b w:val="0"/>
                <w:bCs w:val="0"/>
                <w:sz w:val="24"/>
                <w:szCs w:val="24"/>
                <w:lang w:eastAsia="zh-CN"/>
              </w:rPr>
            </w:pPr>
            <w:r>
              <w:rPr>
                <w:b w:val="0"/>
                <w:bCs w:val="0"/>
                <w:sz w:val="24"/>
                <w:szCs w:val="24"/>
                <w:lang w:eastAsia="zh-CN"/>
              </w:rPr>
              <w:t>③</w:t>
            </w:r>
            <w:r>
              <w:rPr>
                <w:rFonts w:hint="eastAsia"/>
                <w:b w:val="0"/>
                <w:bCs w:val="0"/>
                <w:sz w:val="24"/>
                <w:szCs w:val="24"/>
                <w:lang w:eastAsia="zh-CN"/>
              </w:rPr>
              <w:t xml:space="preserve"> </w:t>
            </w:r>
            <w:r>
              <w:rPr>
                <w:b w:val="0"/>
                <w:bCs w:val="0"/>
                <w:sz w:val="24"/>
                <w:szCs w:val="24"/>
                <w:lang w:eastAsia="zh-CN"/>
              </w:rPr>
              <w:t>团队成员中具有安全工程师、注册会计师专业技术人员的，每项得1分，最多得</w:t>
            </w:r>
            <w:r>
              <w:rPr>
                <w:rFonts w:hint="eastAsia"/>
                <w:b w:val="0"/>
                <w:bCs w:val="0"/>
                <w:sz w:val="24"/>
                <w:szCs w:val="24"/>
                <w:lang w:eastAsia="zh-CN"/>
              </w:rPr>
              <w:t>2</w:t>
            </w:r>
            <w:r>
              <w:rPr>
                <w:b w:val="0"/>
                <w:bCs w:val="0"/>
                <w:sz w:val="24"/>
                <w:szCs w:val="24"/>
                <w:lang w:eastAsia="zh-CN"/>
              </w:rPr>
              <w:t>分；</w:t>
            </w:r>
          </w:p>
          <w:p>
            <w:pPr>
              <w:jc w:val="center"/>
              <w:rPr>
                <w:rFonts w:ascii="Arial"/>
                <w:sz w:val="24"/>
                <w:szCs w:val="24"/>
              </w:rPr>
            </w:pPr>
            <w:r>
              <w:rPr>
                <w:sz w:val="24"/>
                <w:szCs w:val="24"/>
                <w:lang w:eastAsia="zh-CN"/>
              </w:rPr>
              <w:t>注：需提供以上人员的身份证、相关证书、投标截止日前半年内连续3个月投标人为其缴纳社会保险的证明材料复印件或扫描件，同一人证书不累计得分。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23" w:hRule="atLeast"/>
          <w:jc w:val="center"/>
        </w:trPr>
        <w:tc>
          <w:tcPr>
            <w:tcW w:w="701" w:type="dxa"/>
            <w:vAlign w:val="center"/>
          </w:tcPr>
          <w:p>
            <w:pPr>
              <w:pStyle w:val="38"/>
              <w:jc w:val="center"/>
              <w:rPr>
                <w:sz w:val="24"/>
                <w:szCs w:val="24"/>
              </w:rPr>
            </w:pPr>
            <w:r>
              <w:rPr>
                <w:sz w:val="24"/>
                <w:szCs w:val="24"/>
              </w:rPr>
              <w:t>2</w:t>
            </w:r>
          </w:p>
        </w:tc>
        <w:tc>
          <w:tcPr>
            <w:tcW w:w="853" w:type="dxa"/>
            <w:vAlign w:val="center"/>
          </w:tcPr>
          <w:p>
            <w:pPr>
              <w:pStyle w:val="38"/>
              <w:jc w:val="center"/>
              <w:rPr>
                <w:sz w:val="24"/>
                <w:szCs w:val="24"/>
              </w:rPr>
            </w:pPr>
            <w:r>
              <w:rPr>
                <w:sz w:val="24"/>
                <w:szCs w:val="24"/>
              </w:rPr>
              <w:t>企业</w:t>
            </w:r>
          </w:p>
          <w:p>
            <w:pPr>
              <w:pStyle w:val="38"/>
              <w:jc w:val="center"/>
              <w:rPr>
                <w:sz w:val="24"/>
                <w:szCs w:val="24"/>
              </w:rPr>
            </w:pPr>
            <w:r>
              <w:rPr>
                <w:sz w:val="24"/>
                <w:szCs w:val="24"/>
              </w:rPr>
              <w:t>业绩</w:t>
            </w:r>
          </w:p>
        </w:tc>
        <w:tc>
          <w:tcPr>
            <w:tcW w:w="557" w:type="dxa"/>
            <w:vAlign w:val="center"/>
          </w:tcPr>
          <w:p>
            <w:pPr>
              <w:pStyle w:val="38"/>
              <w:jc w:val="center"/>
              <w:rPr>
                <w:sz w:val="24"/>
                <w:szCs w:val="24"/>
              </w:rPr>
            </w:pPr>
            <w:r>
              <w:rPr>
                <w:rFonts w:hint="eastAsia"/>
                <w:sz w:val="24"/>
                <w:szCs w:val="24"/>
                <w:lang w:eastAsia="zh-CN"/>
              </w:rPr>
              <w:t>6</w:t>
            </w:r>
            <w:r>
              <w:rPr>
                <w:sz w:val="24"/>
                <w:szCs w:val="24"/>
              </w:rPr>
              <w:t>分</w:t>
            </w:r>
          </w:p>
        </w:tc>
        <w:tc>
          <w:tcPr>
            <w:tcW w:w="7472" w:type="dxa"/>
            <w:vAlign w:val="center"/>
          </w:tcPr>
          <w:p>
            <w:pPr>
              <w:pStyle w:val="38"/>
              <w:jc w:val="left"/>
              <w:rPr>
                <w:sz w:val="24"/>
                <w:szCs w:val="24"/>
                <w:lang w:eastAsia="zh-CN"/>
              </w:rPr>
            </w:pPr>
            <w:r>
              <w:rPr>
                <w:rFonts w:hint="eastAsia"/>
                <w:sz w:val="24"/>
                <w:szCs w:val="24"/>
                <w:lang w:eastAsia="zh-CN"/>
              </w:rPr>
              <w:t>类似项目业绩（6分）</w:t>
            </w:r>
          </w:p>
          <w:p>
            <w:pPr>
              <w:jc w:val="left"/>
              <w:rPr>
                <w:rFonts w:ascii="Arial"/>
                <w:sz w:val="24"/>
                <w:szCs w:val="24"/>
              </w:rPr>
            </w:pPr>
            <w:r>
              <w:rPr>
                <w:rFonts w:hint="eastAsia"/>
                <w:b w:val="0"/>
                <w:bCs w:val="0"/>
                <w:sz w:val="24"/>
                <w:szCs w:val="24"/>
                <w:lang w:eastAsia="zh-CN"/>
              </w:rPr>
              <w:t>投标人自2023年1月1日以来（以合同签订时间为准）承担过入河排污口规范化建设类或生态修复类项目，每提供1份有效业绩得3分，最多得6分。</w:t>
            </w:r>
            <w:r>
              <w:rPr>
                <w:rFonts w:hint="eastAsia"/>
                <w:sz w:val="24"/>
                <w:szCs w:val="24"/>
                <w:lang w:eastAsia="zh-CN"/>
              </w:rPr>
              <w:t>（提供合同扫描件，日期以合同签订时间为准）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5" w:hRule="atLeast"/>
          <w:jc w:val="center"/>
        </w:trPr>
        <w:tc>
          <w:tcPr>
            <w:tcW w:w="701" w:type="dxa"/>
            <w:vAlign w:val="center"/>
          </w:tcPr>
          <w:p>
            <w:pPr>
              <w:pStyle w:val="38"/>
              <w:jc w:val="center"/>
              <w:rPr>
                <w:sz w:val="24"/>
                <w:szCs w:val="24"/>
              </w:rPr>
            </w:pPr>
            <w:r>
              <w:rPr>
                <w:sz w:val="24"/>
                <w:szCs w:val="24"/>
              </w:rPr>
              <w:t>3</w:t>
            </w:r>
          </w:p>
        </w:tc>
        <w:tc>
          <w:tcPr>
            <w:tcW w:w="853" w:type="dxa"/>
            <w:vAlign w:val="center"/>
          </w:tcPr>
          <w:p>
            <w:pPr>
              <w:pStyle w:val="38"/>
              <w:jc w:val="center"/>
              <w:rPr>
                <w:sz w:val="24"/>
                <w:szCs w:val="24"/>
              </w:rPr>
            </w:pPr>
            <w:r>
              <w:rPr>
                <w:sz w:val="24"/>
                <w:szCs w:val="24"/>
              </w:rPr>
              <w:t>证书荣誉奖项</w:t>
            </w:r>
          </w:p>
        </w:tc>
        <w:tc>
          <w:tcPr>
            <w:tcW w:w="557" w:type="dxa"/>
            <w:vAlign w:val="center"/>
          </w:tcPr>
          <w:p>
            <w:pPr>
              <w:pStyle w:val="38"/>
              <w:jc w:val="center"/>
              <w:rPr>
                <w:sz w:val="24"/>
                <w:szCs w:val="24"/>
              </w:rPr>
            </w:pPr>
            <w:r>
              <w:rPr>
                <w:rFonts w:hint="eastAsia"/>
                <w:sz w:val="24"/>
                <w:szCs w:val="24"/>
                <w:lang w:eastAsia="zh-CN"/>
              </w:rPr>
              <w:t>6</w:t>
            </w:r>
            <w:r>
              <w:rPr>
                <w:sz w:val="24"/>
                <w:szCs w:val="24"/>
              </w:rPr>
              <w:t>分</w:t>
            </w:r>
          </w:p>
        </w:tc>
        <w:tc>
          <w:tcPr>
            <w:tcW w:w="7472" w:type="dxa"/>
            <w:vAlign w:val="center"/>
          </w:tcPr>
          <w:p>
            <w:pPr>
              <w:pStyle w:val="38"/>
              <w:rPr>
                <w:sz w:val="24"/>
                <w:szCs w:val="24"/>
                <w:lang w:eastAsia="zh-CN"/>
              </w:rPr>
            </w:pPr>
            <w:r>
              <w:rPr>
                <w:sz w:val="24"/>
                <w:szCs w:val="24"/>
                <w:lang w:eastAsia="zh-CN"/>
              </w:rPr>
              <w:t>1、投标人获得企业信用等级证书（AAA）得</w:t>
            </w:r>
            <w:r>
              <w:rPr>
                <w:rFonts w:hint="eastAsia"/>
                <w:sz w:val="24"/>
                <w:szCs w:val="24"/>
                <w:lang w:eastAsia="zh-CN"/>
              </w:rPr>
              <w:t>1</w:t>
            </w:r>
            <w:r>
              <w:rPr>
                <w:sz w:val="24"/>
                <w:szCs w:val="24"/>
                <w:lang w:eastAsia="zh-CN"/>
              </w:rPr>
              <w:t>分。</w:t>
            </w:r>
          </w:p>
          <w:p>
            <w:pPr>
              <w:pStyle w:val="38"/>
              <w:jc w:val="left"/>
              <w:rPr>
                <w:rFonts w:hint="eastAsia"/>
                <w:b w:val="0"/>
                <w:bCs w:val="0"/>
                <w:sz w:val="24"/>
                <w:szCs w:val="24"/>
                <w:lang w:eastAsia="zh-CN"/>
              </w:rPr>
            </w:pPr>
            <w:r>
              <w:rPr>
                <w:rFonts w:hint="eastAsia"/>
                <w:b w:val="0"/>
                <w:bCs w:val="0"/>
                <w:sz w:val="24"/>
                <w:szCs w:val="24"/>
                <w:lang w:eastAsia="zh-CN"/>
              </w:rPr>
              <w:t>2、投标人获得厅局级及以上科学技术奖或成果奖，提供一项得1分，不提供不得分，本项最多得5分。</w:t>
            </w:r>
          </w:p>
          <w:p>
            <w:pPr>
              <w:jc w:val="center"/>
              <w:rPr>
                <w:rFonts w:ascii="Arial"/>
                <w:sz w:val="24"/>
                <w:szCs w:val="24"/>
              </w:rPr>
            </w:pPr>
            <w:r>
              <w:rPr>
                <w:rFonts w:hint="eastAsia"/>
                <w:b w:val="0"/>
                <w:bCs w:val="0"/>
                <w:sz w:val="24"/>
                <w:szCs w:val="24"/>
                <w:lang w:eastAsia="zh-CN"/>
              </w:rPr>
              <w:t>注：需提供以上奖项或证书扫描件并加盖公章，不提供不得分。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2" w:hRule="atLeast"/>
          <w:jc w:val="center"/>
        </w:trPr>
        <w:tc>
          <w:tcPr>
            <w:tcW w:w="701" w:type="dxa"/>
            <w:vAlign w:val="center"/>
          </w:tcPr>
          <w:p>
            <w:pPr>
              <w:pStyle w:val="38"/>
              <w:jc w:val="center"/>
              <w:rPr>
                <w:sz w:val="24"/>
                <w:szCs w:val="24"/>
                <w:lang w:eastAsia="zh-CN"/>
              </w:rPr>
            </w:pPr>
            <w:r>
              <w:rPr>
                <w:rFonts w:hint="eastAsia"/>
                <w:sz w:val="24"/>
                <w:szCs w:val="24"/>
                <w:lang w:eastAsia="zh-CN"/>
              </w:rPr>
              <w:t>4</w:t>
            </w:r>
          </w:p>
        </w:tc>
        <w:tc>
          <w:tcPr>
            <w:tcW w:w="853" w:type="dxa"/>
            <w:vAlign w:val="center"/>
          </w:tcPr>
          <w:p>
            <w:pPr>
              <w:pStyle w:val="38"/>
              <w:jc w:val="center"/>
              <w:rPr>
                <w:sz w:val="24"/>
                <w:szCs w:val="24"/>
              </w:rPr>
            </w:pPr>
            <w:r>
              <w:rPr>
                <w:sz w:val="24"/>
                <w:szCs w:val="24"/>
              </w:rPr>
              <w:t>售后</w:t>
            </w:r>
          </w:p>
          <w:p>
            <w:pPr>
              <w:pStyle w:val="38"/>
              <w:jc w:val="center"/>
              <w:rPr>
                <w:sz w:val="24"/>
                <w:szCs w:val="24"/>
              </w:rPr>
            </w:pPr>
            <w:r>
              <w:rPr>
                <w:sz w:val="24"/>
                <w:szCs w:val="24"/>
              </w:rPr>
              <w:t>方案</w:t>
            </w:r>
          </w:p>
        </w:tc>
        <w:tc>
          <w:tcPr>
            <w:tcW w:w="557" w:type="dxa"/>
            <w:vAlign w:val="center"/>
          </w:tcPr>
          <w:p>
            <w:pPr>
              <w:pStyle w:val="38"/>
              <w:jc w:val="center"/>
              <w:rPr>
                <w:sz w:val="24"/>
                <w:szCs w:val="24"/>
              </w:rPr>
            </w:pPr>
            <w:r>
              <w:rPr>
                <w:rFonts w:hint="eastAsia"/>
                <w:sz w:val="24"/>
                <w:szCs w:val="24"/>
                <w:lang w:eastAsia="zh-CN"/>
              </w:rPr>
              <w:t>5</w:t>
            </w:r>
            <w:r>
              <w:rPr>
                <w:sz w:val="24"/>
                <w:szCs w:val="24"/>
              </w:rPr>
              <w:t>分</w:t>
            </w:r>
          </w:p>
        </w:tc>
        <w:tc>
          <w:tcPr>
            <w:tcW w:w="7472" w:type="dxa"/>
            <w:vAlign w:val="center"/>
          </w:tcPr>
          <w:p>
            <w:pPr>
              <w:pStyle w:val="38"/>
              <w:rPr>
                <w:sz w:val="24"/>
                <w:szCs w:val="24"/>
                <w:lang w:eastAsia="zh-CN"/>
              </w:rPr>
            </w:pPr>
            <w:r>
              <w:rPr>
                <w:sz w:val="24"/>
                <w:szCs w:val="24"/>
                <w:lang w:eastAsia="zh-CN"/>
              </w:rPr>
              <w:t>具有完善的售后方案，包括：售后组织科学合理、售后服务职责清晰、售后服务目标明确具体、售后服务保障措施可行；</w:t>
            </w:r>
            <w:r>
              <w:rPr>
                <w:rFonts w:hint="eastAsia"/>
                <w:sz w:val="24"/>
                <w:szCs w:val="24"/>
                <w:lang w:val="en-US" w:eastAsia="zh-CN"/>
              </w:rPr>
              <w:t>方案内容较详细得</w:t>
            </w:r>
            <w:r>
              <w:rPr>
                <w:rFonts w:hint="eastAsia"/>
                <w:sz w:val="24"/>
                <w:szCs w:val="24"/>
                <w:lang w:eastAsia="zh-CN"/>
              </w:rPr>
              <w:t>5</w:t>
            </w:r>
            <w:r>
              <w:rPr>
                <w:sz w:val="24"/>
                <w:szCs w:val="24"/>
                <w:lang w:eastAsia="zh-CN"/>
              </w:rPr>
              <w:t>分</w:t>
            </w:r>
            <w:r>
              <w:rPr>
                <w:rFonts w:hint="eastAsia"/>
                <w:sz w:val="24"/>
                <w:szCs w:val="24"/>
                <w:lang w:eastAsia="zh-CN"/>
              </w:rPr>
              <w:t>，</w:t>
            </w:r>
            <w:r>
              <w:rPr>
                <w:rFonts w:hint="eastAsia"/>
                <w:sz w:val="24"/>
                <w:szCs w:val="24"/>
                <w:lang w:val="en-US" w:eastAsia="zh-CN"/>
              </w:rPr>
              <w:t>方案内容不够详细一般得3分，</w:t>
            </w:r>
            <w:r>
              <w:rPr>
                <w:sz w:val="24"/>
                <w:szCs w:val="24"/>
                <w:lang w:eastAsia="zh-CN"/>
              </w:rPr>
              <w:t>未提供或存在内容前后不一致、不符合采购需求的任意一种情形的不得分。</w:t>
            </w:r>
          </w:p>
        </w:tc>
      </w:tr>
    </w:tbl>
    <w:p>
      <w:pPr>
        <w:rPr>
          <w:rFonts w:ascii="宋体" w:hAnsi="宋体" w:cs="宋体"/>
        </w:rPr>
      </w:pPr>
      <w:r>
        <w:rPr>
          <w:rFonts w:hint="eastAsia" w:ascii="宋体" w:hAnsi="宋体" w:cs="宋体"/>
        </w:rPr>
        <w:br w:type="page"/>
      </w:r>
    </w:p>
    <w:bookmarkEnd w:id="150"/>
    <w:bookmarkEnd w:id="151"/>
    <w:p>
      <w:pPr>
        <w:pStyle w:val="30"/>
        <w:rPr>
          <w:rStyle w:val="35"/>
          <w:rFonts w:ascii="宋体" w:hAnsi="宋体" w:cs="宋体"/>
          <w:b/>
          <w:bCs w:val="0"/>
          <w:kern w:val="0"/>
          <w:sz w:val="32"/>
          <w:szCs w:val="24"/>
        </w:rPr>
      </w:pPr>
      <w:bookmarkStart w:id="152" w:name="_Toc18036"/>
      <w:bookmarkStart w:id="153" w:name="_Toc22297"/>
      <w:bookmarkStart w:id="154" w:name="_Toc28236"/>
      <w:r>
        <w:rPr>
          <w:rStyle w:val="35"/>
          <w:rFonts w:hint="eastAsia" w:ascii="宋体" w:hAnsi="宋体" w:cs="宋体"/>
          <w:b/>
          <w:bCs w:val="0"/>
          <w:kern w:val="0"/>
          <w:sz w:val="32"/>
          <w:szCs w:val="24"/>
        </w:rPr>
        <w:t>第四章  合同条款及格式</w:t>
      </w:r>
    </w:p>
    <w:bookmarkEnd w:id="152"/>
    <w:bookmarkEnd w:id="153"/>
    <w:bookmarkEnd w:id="154"/>
    <w:p>
      <w:pPr>
        <w:pStyle w:val="30"/>
        <w:rPr>
          <w:rFonts w:ascii="宋体" w:hAnsi="宋体" w:cs="宋体"/>
        </w:rPr>
      </w:pPr>
    </w:p>
    <w:p>
      <w:pPr>
        <w:pStyle w:val="7"/>
        <w:ind w:firstLine="472"/>
        <w:rPr>
          <w:rFonts w:ascii="宋体" w:hAnsi="宋体" w:eastAsia="宋体" w:cs="宋体"/>
          <w:b w:val="0"/>
        </w:rPr>
      </w:pPr>
      <w:r>
        <w:rPr>
          <w:rFonts w:hint="eastAsia" w:ascii="宋体" w:hAnsi="宋体" w:eastAsia="宋体" w:cs="宋体"/>
          <w:b w:val="0"/>
        </w:rPr>
        <w:t>双方应根据招标文件、中标通知书、中标单位投标文件（包括澄清说明），以及与本项目相关的资料签订合同。所签订的合同不得背离招标文件的实质性内容要求和投标文件的承诺。</w:t>
      </w:r>
    </w:p>
    <w:p>
      <w:pPr>
        <w:pStyle w:val="7"/>
        <w:ind w:firstLine="472"/>
        <w:rPr>
          <w:rFonts w:ascii="宋体" w:hAnsi="宋体" w:eastAsia="宋体" w:cs="宋体"/>
          <w:b w:val="0"/>
        </w:rPr>
      </w:pPr>
      <w:r>
        <w:rPr>
          <w:rFonts w:hint="eastAsia" w:ascii="宋体" w:hAnsi="宋体" w:eastAsia="宋体" w:cs="宋体"/>
          <w:b w:val="0"/>
        </w:rPr>
        <w:t>按《三门峡市财政局关于市本级政府采购合同备案管理工作的通知》（三财购[2021]9号）文要求，自中标通知书发出之日起2个工作日内与中标（成交）供应商按照采购文件确定的事项与供应商签订政府采购合同。</w:t>
      </w:r>
    </w:p>
    <w:p>
      <w:pPr>
        <w:pStyle w:val="7"/>
        <w:rPr>
          <w:rFonts w:ascii="宋体" w:hAnsi="宋体" w:eastAsia="宋体" w:cs="宋体"/>
        </w:rPr>
      </w:pPr>
    </w:p>
    <w:p>
      <w:pPr>
        <w:pStyle w:val="7"/>
        <w:rPr>
          <w:rFonts w:ascii="宋体" w:hAnsi="宋体" w:eastAsia="宋体" w:cs="宋体"/>
        </w:rPr>
      </w:pPr>
    </w:p>
    <w:p>
      <w:pPr>
        <w:pStyle w:val="7"/>
        <w:rPr>
          <w:rFonts w:ascii="宋体" w:hAnsi="宋体" w:eastAsia="宋体" w:cs="宋体"/>
        </w:rPr>
      </w:pPr>
    </w:p>
    <w:p>
      <w:pPr>
        <w:rPr>
          <w:rFonts w:ascii="宋体" w:hAnsi="宋体" w:cs="宋体"/>
        </w:rPr>
      </w:pPr>
      <w:r>
        <w:rPr>
          <w:rFonts w:hint="eastAsia" w:ascii="宋体" w:hAnsi="宋体" w:cs="宋体"/>
        </w:rPr>
        <w:br w:type="page"/>
      </w:r>
    </w:p>
    <w:p>
      <w:pPr>
        <w:pStyle w:val="2"/>
        <w:spacing w:line="240" w:lineRule="auto"/>
        <w:jc w:val="center"/>
        <w:rPr>
          <w:rStyle w:val="35"/>
          <w:rFonts w:hint="eastAsia" w:ascii="宋体" w:hAnsi="宋体" w:cs="宋体"/>
          <w:b/>
          <w:bCs w:val="0"/>
          <w:kern w:val="0"/>
          <w:sz w:val="32"/>
          <w:szCs w:val="32"/>
          <w:highlight w:val="none"/>
        </w:rPr>
      </w:pPr>
      <w:bookmarkStart w:id="155" w:name="_Toc27758"/>
      <w:bookmarkStart w:id="156" w:name="_Toc11525"/>
      <w:bookmarkStart w:id="157" w:name="_Toc27051"/>
      <w:bookmarkStart w:id="158" w:name="_Toc514226064"/>
      <w:bookmarkStart w:id="159" w:name="_Toc12464209"/>
      <w:bookmarkStart w:id="160" w:name="_Toc377025612"/>
      <w:bookmarkStart w:id="161" w:name="_Toc632"/>
      <w:bookmarkStart w:id="162" w:name="_Toc512673808"/>
      <w:r>
        <w:rPr>
          <w:rStyle w:val="35"/>
          <w:rFonts w:hint="eastAsia" w:ascii="宋体" w:hAnsi="宋体" w:cs="宋体"/>
          <w:b/>
          <w:bCs w:val="0"/>
          <w:kern w:val="0"/>
          <w:sz w:val="32"/>
          <w:szCs w:val="32"/>
          <w:highlight w:val="none"/>
        </w:rPr>
        <w:t>第五章采购</w:t>
      </w:r>
      <w:r>
        <w:rPr>
          <w:rStyle w:val="35"/>
          <w:rFonts w:hint="eastAsia" w:ascii="宋体" w:hAnsi="宋体" w:cs="宋体"/>
          <w:b/>
          <w:bCs w:val="0"/>
          <w:kern w:val="0"/>
          <w:sz w:val="32"/>
          <w:szCs w:val="32"/>
          <w:highlight w:val="none"/>
          <w:lang w:val="en-US" w:eastAsia="zh-CN"/>
        </w:rPr>
        <w:t>清单</w:t>
      </w:r>
      <w:r>
        <w:rPr>
          <w:rStyle w:val="35"/>
          <w:rFonts w:hint="eastAsia" w:ascii="宋体" w:hAnsi="宋体" w:cs="宋体"/>
          <w:b/>
          <w:bCs w:val="0"/>
          <w:kern w:val="0"/>
          <w:sz w:val="32"/>
          <w:szCs w:val="32"/>
          <w:highlight w:val="none"/>
        </w:rPr>
        <w:t>及技术要求</w:t>
      </w:r>
      <w:bookmarkEnd w:id="155"/>
      <w:bookmarkEnd w:id="156"/>
    </w:p>
    <w:p>
      <w:pPr>
        <w:pStyle w:val="3"/>
        <w:spacing w:before="120" w:beforeLines="50" w:after="120" w:afterLines="50" w:line="360" w:lineRule="auto"/>
        <w:jc w:val="left"/>
        <w:rPr>
          <w:rFonts w:ascii="Times New Roman" w:hAnsi="Times New Roman" w:cs="Times New Roman"/>
          <w:b/>
          <w:bCs/>
        </w:rPr>
      </w:pPr>
      <w:r>
        <w:rPr>
          <w:rFonts w:ascii="Times New Roman" w:hAnsi="Times New Roman" w:cs="Times New Roman"/>
          <w:b/>
          <w:bCs/>
        </w:rPr>
        <w:t>一、项目概况</w:t>
      </w:r>
    </w:p>
    <w:p>
      <w:pPr>
        <w:spacing w:line="360" w:lineRule="auto"/>
        <w:ind w:firstLine="560" w:firstLineChars="200"/>
        <w:rPr>
          <w:sz w:val="28"/>
          <w:szCs w:val="28"/>
        </w:rPr>
      </w:pPr>
      <w:r>
        <w:rPr>
          <w:sz w:val="28"/>
          <w:szCs w:val="28"/>
        </w:rPr>
        <w:t>本项目主要是在灵宝市开展入河排污口规范化建设相关工程，开展排污口档案建设</w:t>
      </w:r>
      <w:r>
        <w:rPr>
          <w:rFonts w:hint="eastAsia"/>
          <w:sz w:val="28"/>
          <w:szCs w:val="28"/>
        </w:rPr>
        <w:t>22个</w:t>
      </w:r>
      <w:r>
        <w:rPr>
          <w:sz w:val="28"/>
          <w:szCs w:val="28"/>
        </w:rPr>
        <w:t>，设立入河排污口标识牌20个，安装水质自动监测系统9套，安装视频监控设备9套，安装流量监测设备9套，并对22个入河排污口进行更新维护等。同时，建设一套排污口智慧监管平台，实现对水质水量实时监测，为入河排污口智慧管理提供保障。</w:t>
      </w:r>
    </w:p>
    <w:p>
      <w:pPr>
        <w:pStyle w:val="3"/>
        <w:spacing w:before="120" w:beforeLines="50" w:after="120" w:afterLines="50" w:line="360" w:lineRule="auto"/>
        <w:jc w:val="left"/>
        <w:rPr>
          <w:rFonts w:ascii="Times New Roman" w:hAnsi="Times New Roman" w:cs="Times New Roman"/>
          <w:b/>
          <w:bCs/>
        </w:rPr>
      </w:pPr>
      <w:r>
        <w:rPr>
          <w:rFonts w:ascii="Times New Roman" w:hAnsi="Times New Roman" w:cs="Times New Roman"/>
          <w:b/>
          <w:bCs/>
        </w:rPr>
        <w:t>二、采购清单</w:t>
      </w:r>
    </w:p>
    <w:tbl>
      <w:tblPr>
        <w:tblStyle w:val="24"/>
        <w:tblW w:w="487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0"/>
        <w:gridCol w:w="5594"/>
        <w:gridCol w:w="1225"/>
        <w:gridCol w:w="13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464" w:type="pct"/>
            <w:vAlign w:val="center"/>
          </w:tcPr>
          <w:p>
            <w:pPr>
              <w:jc w:val="center"/>
              <w:rPr>
                <w:sz w:val="28"/>
                <w:szCs w:val="28"/>
              </w:rPr>
            </w:pPr>
            <w:r>
              <w:rPr>
                <w:sz w:val="28"/>
                <w:szCs w:val="28"/>
              </w:rPr>
              <w:t>序号</w:t>
            </w:r>
          </w:p>
        </w:tc>
        <w:tc>
          <w:tcPr>
            <w:tcW w:w="3091" w:type="pct"/>
            <w:vAlign w:val="center"/>
          </w:tcPr>
          <w:p>
            <w:pPr>
              <w:jc w:val="center"/>
              <w:rPr>
                <w:sz w:val="28"/>
                <w:szCs w:val="28"/>
              </w:rPr>
            </w:pPr>
            <w:r>
              <w:rPr>
                <w:sz w:val="28"/>
                <w:szCs w:val="28"/>
              </w:rPr>
              <w:t>采购内容</w:t>
            </w:r>
          </w:p>
        </w:tc>
        <w:tc>
          <w:tcPr>
            <w:tcW w:w="677" w:type="pct"/>
            <w:vAlign w:val="center"/>
          </w:tcPr>
          <w:p>
            <w:pPr>
              <w:jc w:val="center"/>
              <w:rPr>
                <w:sz w:val="28"/>
                <w:szCs w:val="28"/>
              </w:rPr>
            </w:pPr>
            <w:r>
              <w:rPr>
                <w:sz w:val="28"/>
                <w:szCs w:val="28"/>
              </w:rPr>
              <w:t>单位</w:t>
            </w:r>
          </w:p>
        </w:tc>
        <w:tc>
          <w:tcPr>
            <w:tcW w:w="767" w:type="pct"/>
            <w:vAlign w:val="center"/>
          </w:tcPr>
          <w:p>
            <w:pPr>
              <w:jc w:val="center"/>
              <w:rPr>
                <w:sz w:val="28"/>
                <w:szCs w:val="28"/>
              </w:rPr>
            </w:pPr>
            <w:r>
              <w:rPr>
                <w:sz w:val="28"/>
                <w:szCs w:val="28"/>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464" w:type="pct"/>
            <w:vAlign w:val="center"/>
          </w:tcPr>
          <w:p>
            <w:pPr>
              <w:jc w:val="center"/>
              <w:rPr>
                <w:sz w:val="28"/>
                <w:szCs w:val="28"/>
              </w:rPr>
            </w:pPr>
            <w:r>
              <w:rPr>
                <w:sz w:val="28"/>
                <w:szCs w:val="28"/>
              </w:rPr>
              <w:t>1</w:t>
            </w:r>
          </w:p>
        </w:tc>
        <w:tc>
          <w:tcPr>
            <w:tcW w:w="3091" w:type="pct"/>
            <w:vAlign w:val="center"/>
          </w:tcPr>
          <w:p>
            <w:pPr>
              <w:jc w:val="center"/>
              <w:rPr>
                <w:sz w:val="28"/>
                <w:szCs w:val="28"/>
              </w:rPr>
            </w:pPr>
            <w:r>
              <w:rPr>
                <w:sz w:val="28"/>
                <w:szCs w:val="28"/>
              </w:rPr>
              <w:t>档案建设</w:t>
            </w:r>
          </w:p>
        </w:tc>
        <w:tc>
          <w:tcPr>
            <w:tcW w:w="677" w:type="pct"/>
            <w:vAlign w:val="center"/>
          </w:tcPr>
          <w:p>
            <w:pPr>
              <w:jc w:val="center"/>
              <w:rPr>
                <w:sz w:val="28"/>
                <w:szCs w:val="28"/>
              </w:rPr>
            </w:pPr>
            <w:r>
              <w:rPr>
                <w:sz w:val="28"/>
                <w:szCs w:val="28"/>
              </w:rPr>
              <w:t>项</w:t>
            </w:r>
          </w:p>
        </w:tc>
        <w:tc>
          <w:tcPr>
            <w:tcW w:w="767" w:type="pct"/>
            <w:vAlign w:val="center"/>
          </w:tcPr>
          <w:p>
            <w:pPr>
              <w:jc w:val="center"/>
              <w:rPr>
                <w:sz w:val="28"/>
                <w:szCs w:val="28"/>
              </w:rPr>
            </w:pPr>
            <w:r>
              <w:rPr>
                <w:rFonts w:hint="eastAsia"/>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464" w:type="pct"/>
            <w:vAlign w:val="center"/>
          </w:tcPr>
          <w:p>
            <w:pPr>
              <w:jc w:val="center"/>
              <w:rPr>
                <w:sz w:val="28"/>
                <w:szCs w:val="28"/>
              </w:rPr>
            </w:pPr>
            <w:r>
              <w:rPr>
                <w:sz w:val="28"/>
                <w:szCs w:val="28"/>
              </w:rPr>
              <w:t>2</w:t>
            </w:r>
          </w:p>
        </w:tc>
        <w:tc>
          <w:tcPr>
            <w:tcW w:w="3091" w:type="pct"/>
            <w:vAlign w:val="center"/>
          </w:tcPr>
          <w:p>
            <w:pPr>
              <w:jc w:val="center"/>
              <w:rPr>
                <w:sz w:val="28"/>
                <w:szCs w:val="28"/>
              </w:rPr>
            </w:pPr>
            <w:r>
              <w:rPr>
                <w:sz w:val="28"/>
                <w:szCs w:val="28"/>
              </w:rPr>
              <w:t>入河排污口标识牌</w:t>
            </w:r>
          </w:p>
        </w:tc>
        <w:tc>
          <w:tcPr>
            <w:tcW w:w="677" w:type="pct"/>
            <w:vAlign w:val="center"/>
          </w:tcPr>
          <w:p>
            <w:pPr>
              <w:jc w:val="center"/>
              <w:rPr>
                <w:sz w:val="28"/>
                <w:szCs w:val="28"/>
              </w:rPr>
            </w:pPr>
            <w:r>
              <w:rPr>
                <w:sz w:val="28"/>
                <w:szCs w:val="28"/>
              </w:rPr>
              <w:t>套</w:t>
            </w:r>
          </w:p>
        </w:tc>
        <w:tc>
          <w:tcPr>
            <w:tcW w:w="767" w:type="pct"/>
            <w:vAlign w:val="center"/>
          </w:tcPr>
          <w:p>
            <w:pPr>
              <w:jc w:val="center"/>
              <w:rPr>
                <w:sz w:val="28"/>
                <w:szCs w:val="28"/>
              </w:rPr>
            </w:pPr>
            <w:r>
              <w:rPr>
                <w:sz w:val="28"/>
                <w:szCs w:val="28"/>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464" w:type="pct"/>
            <w:vAlign w:val="center"/>
          </w:tcPr>
          <w:p>
            <w:pPr>
              <w:jc w:val="center"/>
              <w:rPr>
                <w:sz w:val="28"/>
                <w:szCs w:val="28"/>
              </w:rPr>
            </w:pPr>
            <w:r>
              <w:rPr>
                <w:sz w:val="28"/>
                <w:szCs w:val="28"/>
              </w:rPr>
              <w:t>3</w:t>
            </w:r>
          </w:p>
        </w:tc>
        <w:tc>
          <w:tcPr>
            <w:tcW w:w="3091" w:type="pct"/>
            <w:vAlign w:val="center"/>
          </w:tcPr>
          <w:p>
            <w:pPr>
              <w:jc w:val="center"/>
              <w:rPr>
                <w:sz w:val="28"/>
                <w:szCs w:val="28"/>
              </w:rPr>
            </w:pPr>
            <w:r>
              <w:rPr>
                <w:sz w:val="28"/>
                <w:szCs w:val="28"/>
              </w:rPr>
              <w:t>流量监测装置</w:t>
            </w:r>
          </w:p>
        </w:tc>
        <w:tc>
          <w:tcPr>
            <w:tcW w:w="677" w:type="pct"/>
            <w:vAlign w:val="center"/>
          </w:tcPr>
          <w:p>
            <w:pPr>
              <w:jc w:val="center"/>
              <w:rPr>
                <w:sz w:val="28"/>
                <w:szCs w:val="28"/>
              </w:rPr>
            </w:pPr>
            <w:r>
              <w:rPr>
                <w:sz w:val="28"/>
                <w:szCs w:val="28"/>
              </w:rPr>
              <w:t>套</w:t>
            </w:r>
          </w:p>
        </w:tc>
        <w:tc>
          <w:tcPr>
            <w:tcW w:w="767" w:type="pct"/>
            <w:vAlign w:val="center"/>
          </w:tcPr>
          <w:p>
            <w:pPr>
              <w:jc w:val="center"/>
              <w:rPr>
                <w:sz w:val="28"/>
                <w:szCs w:val="28"/>
              </w:rPr>
            </w:pPr>
            <w:r>
              <w:rPr>
                <w:sz w:val="28"/>
                <w:szCs w:val="28"/>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464" w:type="pct"/>
            <w:vAlign w:val="center"/>
          </w:tcPr>
          <w:p>
            <w:pPr>
              <w:jc w:val="center"/>
              <w:rPr>
                <w:sz w:val="28"/>
                <w:szCs w:val="28"/>
              </w:rPr>
            </w:pPr>
            <w:r>
              <w:rPr>
                <w:sz w:val="28"/>
                <w:szCs w:val="28"/>
              </w:rPr>
              <w:t>4</w:t>
            </w:r>
          </w:p>
        </w:tc>
        <w:tc>
          <w:tcPr>
            <w:tcW w:w="3091" w:type="pct"/>
            <w:vAlign w:val="center"/>
          </w:tcPr>
          <w:p>
            <w:pPr>
              <w:jc w:val="center"/>
              <w:rPr>
                <w:sz w:val="28"/>
                <w:szCs w:val="28"/>
              </w:rPr>
            </w:pPr>
            <w:r>
              <w:rPr>
                <w:sz w:val="28"/>
                <w:szCs w:val="28"/>
              </w:rPr>
              <w:t>视频监控装置</w:t>
            </w:r>
          </w:p>
        </w:tc>
        <w:tc>
          <w:tcPr>
            <w:tcW w:w="677" w:type="pct"/>
            <w:vAlign w:val="center"/>
          </w:tcPr>
          <w:p>
            <w:pPr>
              <w:jc w:val="center"/>
              <w:rPr>
                <w:sz w:val="28"/>
                <w:szCs w:val="28"/>
              </w:rPr>
            </w:pPr>
            <w:r>
              <w:rPr>
                <w:sz w:val="28"/>
                <w:szCs w:val="28"/>
              </w:rPr>
              <w:t>套</w:t>
            </w:r>
          </w:p>
        </w:tc>
        <w:tc>
          <w:tcPr>
            <w:tcW w:w="767" w:type="pct"/>
            <w:vAlign w:val="center"/>
          </w:tcPr>
          <w:p>
            <w:pPr>
              <w:jc w:val="center"/>
              <w:rPr>
                <w:sz w:val="28"/>
                <w:szCs w:val="28"/>
              </w:rPr>
            </w:pPr>
            <w:r>
              <w:rPr>
                <w:sz w:val="28"/>
                <w:szCs w:val="28"/>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464" w:type="pct"/>
            <w:vAlign w:val="center"/>
          </w:tcPr>
          <w:p>
            <w:pPr>
              <w:jc w:val="center"/>
              <w:rPr>
                <w:sz w:val="28"/>
                <w:szCs w:val="28"/>
              </w:rPr>
            </w:pPr>
            <w:r>
              <w:rPr>
                <w:sz w:val="28"/>
                <w:szCs w:val="28"/>
              </w:rPr>
              <w:t>5</w:t>
            </w:r>
          </w:p>
        </w:tc>
        <w:tc>
          <w:tcPr>
            <w:tcW w:w="3091" w:type="pct"/>
            <w:vAlign w:val="center"/>
          </w:tcPr>
          <w:p>
            <w:pPr>
              <w:jc w:val="center"/>
              <w:rPr>
                <w:sz w:val="28"/>
                <w:szCs w:val="28"/>
              </w:rPr>
            </w:pPr>
            <w:r>
              <w:rPr>
                <w:sz w:val="28"/>
                <w:szCs w:val="28"/>
              </w:rPr>
              <w:t>水质在线监测系统</w:t>
            </w:r>
          </w:p>
        </w:tc>
        <w:tc>
          <w:tcPr>
            <w:tcW w:w="677" w:type="pct"/>
            <w:vAlign w:val="center"/>
          </w:tcPr>
          <w:p>
            <w:pPr>
              <w:jc w:val="center"/>
              <w:rPr>
                <w:sz w:val="28"/>
                <w:szCs w:val="28"/>
              </w:rPr>
            </w:pPr>
            <w:r>
              <w:rPr>
                <w:sz w:val="28"/>
                <w:szCs w:val="28"/>
              </w:rPr>
              <w:t>套</w:t>
            </w:r>
          </w:p>
        </w:tc>
        <w:tc>
          <w:tcPr>
            <w:tcW w:w="767" w:type="pct"/>
            <w:vAlign w:val="center"/>
          </w:tcPr>
          <w:p>
            <w:pPr>
              <w:jc w:val="center"/>
              <w:rPr>
                <w:sz w:val="28"/>
                <w:szCs w:val="28"/>
              </w:rPr>
            </w:pPr>
            <w:r>
              <w:rPr>
                <w:sz w:val="28"/>
                <w:szCs w:val="28"/>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464" w:type="pct"/>
            <w:vAlign w:val="center"/>
          </w:tcPr>
          <w:p>
            <w:pPr>
              <w:jc w:val="center"/>
              <w:rPr>
                <w:sz w:val="28"/>
                <w:szCs w:val="28"/>
              </w:rPr>
            </w:pPr>
            <w:r>
              <w:rPr>
                <w:rFonts w:hint="eastAsia"/>
                <w:sz w:val="28"/>
                <w:szCs w:val="28"/>
              </w:rPr>
              <w:t>6</w:t>
            </w:r>
          </w:p>
        </w:tc>
        <w:tc>
          <w:tcPr>
            <w:tcW w:w="3091" w:type="pct"/>
            <w:vAlign w:val="center"/>
          </w:tcPr>
          <w:p>
            <w:pPr>
              <w:jc w:val="center"/>
              <w:rPr>
                <w:sz w:val="28"/>
                <w:szCs w:val="28"/>
              </w:rPr>
            </w:pPr>
            <w:r>
              <w:rPr>
                <w:sz w:val="28"/>
                <w:szCs w:val="28"/>
              </w:rPr>
              <w:t>入河排污口智慧监管平台及配套硬件</w:t>
            </w:r>
          </w:p>
        </w:tc>
        <w:tc>
          <w:tcPr>
            <w:tcW w:w="677" w:type="pct"/>
            <w:vAlign w:val="center"/>
          </w:tcPr>
          <w:p>
            <w:pPr>
              <w:jc w:val="center"/>
              <w:rPr>
                <w:sz w:val="28"/>
                <w:szCs w:val="28"/>
              </w:rPr>
            </w:pPr>
            <w:r>
              <w:rPr>
                <w:sz w:val="28"/>
                <w:szCs w:val="28"/>
              </w:rPr>
              <w:t>项</w:t>
            </w:r>
          </w:p>
        </w:tc>
        <w:tc>
          <w:tcPr>
            <w:tcW w:w="767" w:type="pct"/>
            <w:vAlign w:val="center"/>
          </w:tcPr>
          <w:p>
            <w:pPr>
              <w:jc w:val="center"/>
              <w:rPr>
                <w:sz w:val="28"/>
                <w:szCs w:val="28"/>
              </w:rPr>
            </w:pPr>
            <w:r>
              <w:rPr>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464" w:type="pct"/>
            <w:vAlign w:val="center"/>
          </w:tcPr>
          <w:p>
            <w:pPr>
              <w:jc w:val="center"/>
              <w:rPr>
                <w:sz w:val="28"/>
                <w:szCs w:val="28"/>
              </w:rPr>
            </w:pPr>
            <w:r>
              <w:rPr>
                <w:rFonts w:hint="eastAsia"/>
                <w:sz w:val="28"/>
                <w:szCs w:val="28"/>
              </w:rPr>
              <w:t>7</w:t>
            </w:r>
          </w:p>
        </w:tc>
        <w:tc>
          <w:tcPr>
            <w:tcW w:w="3091" w:type="pct"/>
            <w:vAlign w:val="center"/>
          </w:tcPr>
          <w:p>
            <w:pPr>
              <w:jc w:val="center"/>
              <w:rPr>
                <w:sz w:val="28"/>
                <w:szCs w:val="28"/>
              </w:rPr>
            </w:pPr>
            <w:r>
              <w:rPr>
                <w:sz w:val="28"/>
                <w:szCs w:val="28"/>
              </w:rPr>
              <w:t>更新维护</w:t>
            </w:r>
          </w:p>
        </w:tc>
        <w:tc>
          <w:tcPr>
            <w:tcW w:w="677" w:type="pct"/>
            <w:vAlign w:val="center"/>
          </w:tcPr>
          <w:p>
            <w:pPr>
              <w:jc w:val="center"/>
              <w:rPr>
                <w:sz w:val="28"/>
                <w:szCs w:val="28"/>
              </w:rPr>
            </w:pPr>
            <w:r>
              <w:rPr>
                <w:sz w:val="28"/>
                <w:szCs w:val="28"/>
              </w:rPr>
              <w:t>项</w:t>
            </w:r>
          </w:p>
        </w:tc>
        <w:tc>
          <w:tcPr>
            <w:tcW w:w="767" w:type="pct"/>
            <w:vAlign w:val="center"/>
          </w:tcPr>
          <w:p>
            <w:pPr>
              <w:jc w:val="center"/>
              <w:rPr>
                <w:sz w:val="28"/>
                <w:szCs w:val="28"/>
              </w:rPr>
            </w:pPr>
            <w:r>
              <w:rPr>
                <w:rFonts w:hint="eastAsia"/>
                <w:sz w:val="28"/>
                <w:szCs w:val="28"/>
              </w:rPr>
              <w:t>1</w:t>
            </w:r>
          </w:p>
        </w:tc>
      </w:tr>
    </w:tbl>
    <w:p/>
    <w:p/>
    <w:p>
      <w:pPr>
        <w:pStyle w:val="3"/>
        <w:spacing w:before="120" w:beforeLines="50" w:after="120" w:afterLines="50" w:line="360" w:lineRule="auto"/>
        <w:jc w:val="left"/>
        <w:rPr>
          <w:rFonts w:ascii="Times New Roman" w:hAnsi="Times New Roman" w:cs="Times New Roman"/>
          <w:b/>
          <w:bCs/>
        </w:rPr>
      </w:pPr>
      <w:r>
        <w:rPr>
          <w:rFonts w:ascii="Times New Roman" w:hAnsi="Times New Roman" w:cs="Times New Roman"/>
          <w:b/>
          <w:bCs/>
        </w:rPr>
        <w:t>三、技术参数</w:t>
      </w:r>
    </w:p>
    <w:p>
      <w:pPr>
        <w:pStyle w:val="4"/>
        <w:spacing w:before="0" w:after="0" w:line="360" w:lineRule="auto"/>
        <w:ind w:firstLine="562" w:firstLineChars="200"/>
        <w:rPr>
          <w:b/>
          <w:bCs/>
          <w:sz w:val="28"/>
          <w:szCs w:val="28"/>
        </w:rPr>
      </w:pPr>
      <w:bookmarkStart w:id="163" w:name="_Toc20816"/>
      <w:r>
        <w:rPr>
          <w:rFonts w:hint="eastAsia"/>
          <w:b/>
          <w:bCs/>
          <w:sz w:val="28"/>
          <w:szCs w:val="28"/>
        </w:rPr>
        <w:t>3</w:t>
      </w:r>
      <w:r>
        <w:rPr>
          <w:b/>
          <w:bCs/>
          <w:sz w:val="28"/>
          <w:szCs w:val="28"/>
        </w:rPr>
        <w:t>.1 档案建设要求</w:t>
      </w:r>
      <w:bookmarkEnd w:id="163"/>
    </w:p>
    <w:p>
      <w:pPr>
        <w:spacing w:line="360" w:lineRule="auto"/>
        <w:ind w:firstLine="560" w:firstLineChars="200"/>
        <w:rPr>
          <w:sz w:val="28"/>
          <w:szCs w:val="28"/>
        </w:rPr>
      </w:pPr>
      <w:r>
        <w:rPr>
          <w:sz w:val="28"/>
          <w:szCs w:val="28"/>
        </w:rPr>
        <w:t>1.入河排污口管理单位应将入河排污口档案纳入本单位档案管理体系。</w:t>
      </w:r>
    </w:p>
    <w:p>
      <w:pPr>
        <w:spacing w:line="360" w:lineRule="auto"/>
        <w:ind w:firstLine="560" w:firstLineChars="200"/>
        <w:rPr>
          <w:sz w:val="28"/>
          <w:szCs w:val="28"/>
        </w:rPr>
      </w:pPr>
      <w:r>
        <w:rPr>
          <w:sz w:val="28"/>
          <w:szCs w:val="28"/>
        </w:rPr>
        <w:t>2.入河排污口档案资料可采用纸质文件或电子文件进行存储。</w:t>
      </w:r>
    </w:p>
    <w:p>
      <w:pPr>
        <w:spacing w:line="360" w:lineRule="auto"/>
        <w:ind w:firstLine="560" w:firstLineChars="200"/>
        <w:rPr>
          <w:sz w:val="28"/>
          <w:szCs w:val="28"/>
        </w:rPr>
      </w:pPr>
      <w:r>
        <w:rPr>
          <w:sz w:val="28"/>
          <w:szCs w:val="28"/>
        </w:rPr>
        <w:t>3.归档的纸质文件材料应当字迹工整、数据准确、图样清晰、标识完整、手续完备、书写和装订材料符合档案保护的要求。</w:t>
      </w:r>
    </w:p>
    <w:p>
      <w:pPr>
        <w:spacing w:line="360" w:lineRule="auto"/>
        <w:ind w:firstLine="560" w:firstLineChars="200"/>
        <w:rPr>
          <w:sz w:val="28"/>
          <w:szCs w:val="28"/>
        </w:rPr>
      </w:pPr>
      <w:r>
        <w:rPr>
          <w:sz w:val="28"/>
          <w:szCs w:val="28"/>
        </w:rPr>
        <w:t>4.归档的电子文件（含电子数据）应采用符合国家标准或能够转换成符合国家标准的文件格式 ，满足长期保存的格式要求；电子文件的归档按照GB/T18894 、DA/T385 的规定执行。</w:t>
      </w:r>
    </w:p>
    <w:p>
      <w:pPr>
        <w:spacing w:line="360" w:lineRule="auto"/>
        <w:ind w:firstLine="560" w:firstLineChars="200"/>
        <w:rPr>
          <w:sz w:val="28"/>
          <w:szCs w:val="28"/>
        </w:rPr>
      </w:pPr>
      <w:r>
        <w:rPr>
          <w:sz w:val="28"/>
          <w:szCs w:val="28"/>
        </w:rPr>
        <w:t>5.归档的电子文件应当和纸质文件保持一致，并与相关联的纸质档案建立检索关系。具有重要价值的电子文件应当同时转换为纸质文件归档。</w:t>
      </w:r>
    </w:p>
    <w:p>
      <w:pPr>
        <w:spacing w:line="360" w:lineRule="auto"/>
        <w:ind w:firstLine="560" w:firstLineChars="200"/>
        <w:rPr>
          <w:sz w:val="28"/>
          <w:szCs w:val="28"/>
        </w:rPr>
      </w:pPr>
      <w:r>
        <w:rPr>
          <w:sz w:val="28"/>
          <w:szCs w:val="28"/>
        </w:rPr>
        <w:t>6.完整准确的排污口档案资料：涵盖排污口从设立到后续运行监管的全过程资料，包括审批文件、排污单位信息、排污口位置详情、照片、示意图、污染物排放数据以及水质监测报告等，这些资料全面反映排污口情况，为监管提供一手依据。</w:t>
      </w:r>
    </w:p>
    <w:p>
      <w:pPr>
        <w:spacing w:line="360" w:lineRule="auto"/>
        <w:ind w:firstLine="560" w:firstLineChars="200"/>
        <w:rPr>
          <w:sz w:val="28"/>
          <w:szCs w:val="28"/>
        </w:rPr>
      </w:pPr>
      <w:r>
        <w:rPr>
          <w:sz w:val="28"/>
          <w:szCs w:val="28"/>
        </w:rPr>
        <w:t>7.有序的档案分类体系：按照一定的分类标准，将各种资料合理归类，如按时间、文件类型、排污口类别等分类，形成清晰的档案目录，方便快速查找和调用所需资料，提升监管效率。</w:t>
      </w:r>
    </w:p>
    <w:p>
      <w:pPr>
        <w:spacing w:line="360" w:lineRule="auto"/>
        <w:ind w:firstLine="560" w:firstLineChars="200"/>
        <w:rPr>
          <w:sz w:val="28"/>
          <w:szCs w:val="28"/>
        </w:rPr>
      </w:pPr>
      <w:r>
        <w:rPr>
          <w:sz w:val="28"/>
          <w:szCs w:val="28"/>
        </w:rPr>
        <w:t>8.动态更新的档案管理机制：档案内容随排污口实际情况变化而及时更新，如排污量变化、排污口位置调整、监管政策更新等信息都能及时补充到档案中，保证档案始终能真实反映排污口的最新状态，为入河排污口的规范化管理和监管提供有效支撑。</w:t>
      </w:r>
    </w:p>
    <w:p>
      <w:pPr>
        <w:pStyle w:val="4"/>
        <w:spacing w:before="0" w:after="0" w:line="360" w:lineRule="auto"/>
        <w:ind w:firstLine="562" w:firstLineChars="200"/>
        <w:rPr>
          <w:b/>
          <w:bCs/>
          <w:sz w:val="28"/>
          <w:szCs w:val="28"/>
        </w:rPr>
      </w:pPr>
      <w:bookmarkStart w:id="164" w:name="_Toc10430"/>
      <w:r>
        <w:rPr>
          <w:rFonts w:hint="eastAsia"/>
          <w:b/>
          <w:bCs/>
          <w:sz w:val="28"/>
          <w:szCs w:val="28"/>
        </w:rPr>
        <w:t>3</w:t>
      </w:r>
      <w:r>
        <w:rPr>
          <w:b/>
          <w:bCs/>
          <w:sz w:val="28"/>
          <w:szCs w:val="28"/>
        </w:rPr>
        <w:t>.2 入河排污口标识牌要求</w:t>
      </w:r>
      <w:bookmarkEnd w:id="164"/>
    </w:p>
    <w:p>
      <w:pPr>
        <w:spacing w:line="360" w:lineRule="auto"/>
        <w:ind w:firstLine="560" w:firstLineChars="200"/>
        <w:rPr>
          <w:sz w:val="28"/>
          <w:szCs w:val="28"/>
        </w:rPr>
      </w:pPr>
      <w:r>
        <w:rPr>
          <w:sz w:val="28"/>
          <w:szCs w:val="28"/>
        </w:rPr>
        <w:t>标识牌应设在入河排污口附近且明显的位置，内容清晰、统一、协调、美观，并且能长久保留，环保图形标志必须符合原国家环境保护局和国家技术监督局发布的中华人民共和国国家标准 GB15562. 1-1995《环境保护图形标志》排放口（源）要求。</w:t>
      </w:r>
    </w:p>
    <w:p>
      <w:pPr>
        <w:spacing w:line="360" w:lineRule="auto"/>
        <w:ind w:firstLine="560" w:firstLineChars="200"/>
        <w:rPr>
          <w:sz w:val="28"/>
          <w:szCs w:val="28"/>
        </w:rPr>
      </w:pPr>
      <w:r>
        <w:rPr>
          <w:sz w:val="28"/>
          <w:szCs w:val="28"/>
        </w:rPr>
        <w:t>一般情况下标识牌根据点位实际情况，选择合适的位置，进行标识牌基础建设。立式固定式标识牌外形尺寸建议为 1200mm×700mm ，标识牌最上端距地面1.5m，地下0.65m。标识牌建议采用 1.0mm 厚 304 不锈钢材质，立柱采用 50×3mm无缝不锈钢管，标识牌衬底、文字及图案均采用一级反光膜，标识版面反光膜参考《公路交通标志反光膜》(GB/T18833-2002)执行。</w:t>
      </w:r>
    </w:p>
    <w:p>
      <w:pPr>
        <w:pStyle w:val="4"/>
        <w:spacing w:before="0" w:after="0" w:line="360" w:lineRule="auto"/>
        <w:ind w:firstLine="562" w:firstLineChars="200"/>
        <w:rPr>
          <w:b/>
          <w:bCs/>
          <w:sz w:val="28"/>
          <w:szCs w:val="28"/>
        </w:rPr>
      </w:pPr>
      <w:bookmarkStart w:id="165" w:name="_Toc20368"/>
      <w:r>
        <w:rPr>
          <w:rFonts w:hint="eastAsia"/>
          <w:b/>
          <w:bCs/>
          <w:sz w:val="28"/>
          <w:szCs w:val="28"/>
        </w:rPr>
        <w:t>3</w:t>
      </w:r>
      <w:r>
        <w:rPr>
          <w:b/>
          <w:bCs/>
          <w:sz w:val="28"/>
          <w:szCs w:val="28"/>
        </w:rPr>
        <w:t xml:space="preserve">.3 </w:t>
      </w:r>
      <w:r>
        <w:rPr>
          <w:rFonts w:hint="eastAsia"/>
          <w:b/>
          <w:bCs/>
          <w:sz w:val="28"/>
          <w:szCs w:val="28"/>
        </w:rPr>
        <w:t>流量</w:t>
      </w:r>
      <w:r>
        <w:rPr>
          <w:b/>
          <w:bCs/>
          <w:sz w:val="28"/>
          <w:szCs w:val="28"/>
        </w:rPr>
        <w:t>监</w:t>
      </w:r>
      <w:r>
        <w:rPr>
          <w:rFonts w:hint="eastAsia"/>
          <w:b/>
          <w:bCs/>
          <w:sz w:val="28"/>
          <w:szCs w:val="28"/>
        </w:rPr>
        <w:t>测</w:t>
      </w:r>
      <w:r>
        <w:rPr>
          <w:b/>
          <w:bCs/>
          <w:sz w:val="28"/>
          <w:szCs w:val="28"/>
        </w:rPr>
        <w:t>装置设置要求</w:t>
      </w:r>
      <w:bookmarkEnd w:id="165"/>
    </w:p>
    <w:p>
      <w:pPr>
        <w:spacing w:line="360" w:lineRule="auto"/>
        <w:ind w:firstLine="560" w:firstLineChars="200"/>
        <w:rPr>
          <w:sz w:val="28"/>
          <w:szCs w:val="28"/>
        </w:rPr>
      </w:pPr>
      <w:r>
        <w:rPr>
          <w:sz w:val="28"/>
          <w:szCs w:val="28"/>
        </w:rPr>
        <w:t>1.入河排污口流量监测方式</w:t>
      </w:r>
    </w:p>
    <w:p>
      <w:pPr>
        <w:spacing w:line="360" w:lineRule="auto"/>
        <w:ind w:firstLine="560" w:firstLineChars="200"/>
        <w:rPr>
          <w:sz w:val="28"/>
          <w:szCs w:val="28"/>
        </w:rPr>
      </w:pPr>
      <w:r>
        <w:rPr>
          <w:sz w:val="28"/>
          <w:szCs w:val="28"/>
        </w:rPr>
        <w:t>入河排污口流量监测点设置应满足以下基本原则：入河排污口流量监测点应设置在厂区（园区）外、入河前段，以便于现场采样和流量测定的要求；监测点的设置要避开洪水淹没，还应考虑交通便利、地址条件好、不易被损坏等要求。监测点应设置安全防护措施，防止监测点被损坏、人畜落入监测点（处）。对于明渠段监测点，应按安全防护要求在四周设置防护栏杆和安全警示；对竖井式监测点，应设置防护井盖；应有防破坏的警示标志。遇到暗管、监测井等狭小空间，在施工过程中必须采取良好的通风措施。防止因缺氧或一氧化碳、二氧化碳、硫化氢等有毒有害气体而引发伤亡事故。</w:t>
      </w:r>
    </w:p>
    <w:p>
      <w:pPr>
        <w:spacing w:line="360" w:lineRule="auto"/>
        <w:ind w:firstLine="560" w:firstLineChars="200"/>
        <w:rPr>
          <w:sz w:val="24"/>
          <w:szCs w:val="24"/>
        </w:rPr>
      </w:pPr>
      <w:r>
        <w:rPr>
          <w:sz w:val="28"/>
          <w:szCs w:val="28"/>
        </w:rPr>
        <w:t>本次采用流量监测的参数如下：</w:t>
      </w:r>
    </w:p>
    <w:tbl>
      <w:tblPr>
        <w:tblStyle w:val="39"/>
        <w:tblW w:w="834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017"/>
        <w:gridCol w:w="1112"/>
        <w:gridCol w:w="4695"/>
        <w:gridCol w:w="572"/>
        <w:gridCol w:w="424"/>
        <w:gridCol w:w="52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jc w:val="center"/>
        </w:trPr>
        <w:tc>
          <w:tcPr>
            <w:tcW w:w="2129" w:type="dxa"/>
            <w:gridSpan w:val="2"/>
            <w:tcBorders>
              <w:left w:val="single" w:color="000000" w:sz="4" w:space="0"/>
              <w:bottom w:val="single" w:color="000000" w:sz="2" w:space="0"/>
            </w:tcBorders>
            <w:vAlign w:val="center"/>
          </w:tcPr>
          <w:p>
            <w:pPr>
              <w:pStyle w:val="38"/>
              <w:jc w:val="center"/>
              <w:rPr>
                <w:rFonts w:ascii="Times New Roman" w:hAnsi="Times New Roman" w:cs="Times New Roman"/>
                <w:sz w:val="24"/>
                <w:szCs w:val="24"/>
              </w:rPr>
            </w:pPr>
            <w:r>
              <w:rPr>
                <w:rFonts w:ascii="Times New Roman" w:hAnsi="Times New Roman" w:cs="Times New Roman"/>
                <w:sz w:val="24"/>
                <w:szCs w:val="24"/>
              </w:rPr>
              <w:t>类别</w:t>
            </w:r>
          </w:p>
        </w:tc>
        <w:tc>
          <w:tcPr>
            <w:tcW w:w="4695" w:type="dxa"/>
            <w:vAlign w:val="center"/>
          </w:tcPr>
          <w:p>
            <w:pPr>
              <w:pStyle w:val="38"/>
              <w:jc w:val="center"/>
              <w:rPr>
                <w:rFonts w:ascii="Times New Roman" w:hAnsi="Times New Roman" w:cs="Times New Roman"/>
                <w:sz w:val="24"/>
                <w:szCs w:val="24"/>
              </w:rPr>
            </w:pPr>
            <w:r>
              <w:rPr>
                <w:rFonts w:ascii="Times New Roman" w:hAnsi="Times New Roman" w:cs="Times New Roman"/>
                <w:sz w:val="24"/>
                <w:szCs w:val="24"/>
              </w:rPr>
              <w:t>技术规格及主要参数</w:t>
            </w:r>
          </w:p>
        </w:tc>
        <w:tc>
          <w:tcPr>
            <w:tcW w:w="572" w:type="dxa"/>
            <w:vAlign w:val="center"/>
          </w:tcPr>
          <w:p>
            <w:pPr>
              <w:pStyle w:val="38"/>
              <w:jc w:val="center"/>
              <w:rPr>
                <w:rFonts w:ascii="Times New Roman" w:hAnsi="Times New Roman" w:cs="Times New Roman"/>
                <w:sz w:val="24"/>
                <w:szCs w:val="24"/>
              </w:rPr>
            </w:pPr>
            <w:r>
              <w:rPr>
                <w:rFonts w:ascii="Times New Roman" w:hAnsi="Times New Roman" w:cs="Times New Roman"/>
                <w:sz w:val="24"/>
                <w:szCs w:val="24"/>
              </w:rPr>
              <w:t>单位</w:t>
            </w:r>
          </w:p>
        </w:tc>
        <w:tc>
          <w:tcPr>
            <w:tcW w:w="424" w:type="dxa"/>
            <w:vAlign w:val="center"/>
          </w:tcPr>
          <w:p>
            <w:pPr>
              <w:pStyle w:val="38"/>
              <w:jc w:val="center"/>
              <w:rPr>
                <w:rFonts w:ascii="Times New Roman" w:hAnsi="Times New Roman" w:cs="Times New Roman"/>
                <w:sz w:val="24"/>
                <w:szCs w:val="24"/>
              </w:rPr>
            </w:pPr>
            <w:r>
              <w:rPr>
                <w:rFonts w:ascii="Times New Roman" w:hAnsi="Times New Roman" w:cs="Times New Roman"/>
                <w:sz w:val="24"/>
                <w:szCs w:val="24"/>
              </w:rPr>
              <w:t>数量</w:t>
            </w:r>
          </w:p>
        </w:tc>
        <w:tc>
          <w:tcPr>
            <w:tcW w:w="528" w:type="dxa"/>
            <w:vAlign w:val="center"/>
          </w:tcPr>
          <w:p>
            <w:pPr>
              <w:pStyle w:val="38"/>
              <w:jc w:val="center"/>
              <w:rPr>
                <w:rFonts w:ascii="Times New Roman" w:hAnsi="Times New Roman" w:cs="Times New Roman"/>
                <w:sz w:val="24"/>
                <w:szCs w:val="24"/>
              </w:rPr>
            </w:pPr>
            <w:r>
              <w:rPr>
                <w:rFonts w:ascii="Times New Roman" w:hAnsi="Times New Roman" w:cs="Times New Roman"/>
                <w:sz w:val="24"/>
                <w:szCs w:val="24"/>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jc w:val="center"/>
        </w:trPr>
        <w:tc>
          <w:tcPr>
            <w:tcW w:w="1017" w:type="dxa"/>
            <w:vMerge w:val="restart"/>
            <w:tcBorders>
              <w:top w:val="single" w:color="000000" w:sz="2" w:space="0"/>
            </w:tcBorders>
            <w:vAlign w:val="center"/>
          </w:tcPr>
          <w:p>
            <w:pPr>
              <w:pStyle w:val="38"/>
              <w:jc w:val="center"/>
              <w:rPr>
                <w:rFonts w:ascii="Times New Roman" w:hAnsi="Times New Roman" w:cs="Times New Roman"/>
                <w:sz w:val="24"/>
                <w:szCs w:val="24"/>
              </w:rPr>
            </w:pPr>
            <w:r>
              <w:rPr>
                <w:rFonts w:ascii="Times New Roman" w:hAnsi="Times New Roman" w:cs="Times New Roman"/>
                <w:sz w:val="24"/>
                <w:szCs w:val="24"/>
              </w:rPr>
              <w:t>流量在线</w:t>
            </w:r>
          </w:p>
          <w:p>
            <w:pPr>
              <w:pStyle w:val="38"/>
              <w:jc w:val="center"/>
              <w:rPr>
                <w:rFonts w:ascii="Times New Roman" w:hAnsi="Times New Roman" w:cs="Times New Roman"/>
                <w:sz w:val="24"/>
                <w:szCs w:val="24"/>
              </w:rPr>
            </w:pPr>
            <w:r>
              <w:rPr>
                <w:rFonts w:ascii="Times New Roman" w:hAnsi="Times New Roman" w:cs="Times New Roman"/>
                <w:sz w:val="24"/>
                <w:szCs w:val="24"/>
              </w:rPr>
              <w:t>监测系统</w:t>
            </w:r>
          </w:p>
          <w:p>
            <w:pPr>
              <w:pStyle w:val="38"/>
              <w:jc w:val="center"/>
              <w:rPr>
                <w:rFonts w:ascii="Times New Roman" w:hAnsi="Times New Roman" w:cs="Times New Roman"/>
                <w:sz w:val="24"/>
                <w:szCs w:val="24"/>
              </w:rPr>
            </w:pPr>
          </w:p>
        </w:tc>
        <w:tc>
          <w:tcPr>
            <w:tcW w:w="1112" w:type="dxa"/>
            <w:vMerge w:val="restart"/>
            <w:tcBorders>
              <w:top w:val="single" w:color="000000" w:sz="2" w:space="0"/>
            </w:tcBorders>
            <w:vAlign w:val="center"/>
          </w:tcPr>
          <w:p>
            <w:pPr>
              <w:pStyle w:val="38"/>
              <w:jc w:val="center"/>
              <w:rPr>
                <w:rFonts w:ascii="Times New Roman" w:hAnsi="Times New Roman" w:cs="Times New Roman"/>
                <w:sz w:val="24"/>
                <w:szCs w:val="24"/>
              </w:rPr>
            </w:pPr>
            <w:r>
              <w:rPr>
                <w:rFonts w:ascii="Times New Roman" w:hAnsi="Times New Roman" w:cs="Times New Roman"/>
                <w:sz w:val="24"/>
                <w:szCs w:val="24"/>
              </w:rPr>
              <w:t>雷达流量计</w:t>
            </w:r>
          </w:p>
          <w:p>
            <w:pPr>
              <w:pStyle w:val="38"/>
              <w:jc w:val="center"/>
              <w:rPr>
                <w:rFonts w:ascii="Times New Roman" w:hAnsi="Times New Roman" w:cs="Times New Roman"/>
                <w:sz w:val="24"/>
                <w:szCs w:val="24"/>
              </w:rPr>
            </w:pPr>
          </w:p>
        </w:tc>
        <w:tc>
          <w:tcPr>
            <w:tcW w:w="4695" w:type="dxa"/>
            <w:vAlign w:val="center"/>
          </w:tcPr>
          <w:p>
            <w:pPr>
              <w:pStyle w:val="38"/>
              <w:jc w:val="center"/>
              <w:rPr>
                <w:rFonts w:ascii="Times New Roman" w:hAnsi="Times New Roman" w:cs="Times New Roman"/>
                <w:sz w:val="24"/>
                <w:szCs w:val="24"/>
              </w:rPr>
            </w:pPr>
            <w:r>
              <w:rPr>
                <w:rFonts w:ascii="Times New Roman" w:hAnsi="Times New Roman" w:cs="Times New Roman"/>
                <w:sz w:val="24"/>
                <w:szCs w:val="24"/>
              </w:rPr>
              <w:t>超声波明渠流量计</w:t>
            </w:r>
          </w:p>
        </w:tc>
        <w:tc>
          <w:tcPr>
            <w:tcW w:w="572" w:type="dxa"/>
            <w:vMerge w:val="restart"/>
            <w:vAlign w:val="center"/>
          </w:tcPr>
          <w:p>
            <w:pPr>
              <w:pStyle w:val="38"/>
              <w:jc w:val="center"/>
              <w:rPr>
                <w:rFonts w:ascii="Times New Roman" w:hAnsi="Times New Roman" w:cs="Times New Roman"/>
                <w:sz w:val="24"/>
                <w:szCs w:val="24"/>
                <w:lang w:eastAsia="zh-CN"/>
              </w:rPr>
            </w:pPr>
            <w:r>
              <w:rPr>
                <w:rFonts w:ascii="Times New Roman" w:hAnsi="Times New Roman" w:cs="Times New Roman"/>
                <w:sz w:val="24"/>
                <w:szCs w:val="24"/>
              </w:rPr>
              <w:t>套</w:t>
            </w:r>
          </w:p>
        </w:tc>
        <w:tc>
          <w:tcPr>
            <w:tcW w:w="424" w:type="dxa"/>
            <w:vMerge w:val="restart"/>
            <w:vAlign w:val="center"/>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6</w:t>
            </w:r>
          </w:p>
        </w:tc>
        <w:tc>
          <w:tcPr>
            <w:tcW w:w="528" w:type="dxa"/>
            <w:vMerge w:val="restart"/>
            <w:vAlign w:val="center"/>
          </w:tcPr>
          <w:p>
            <w:pPr>
              <w:pStyle w:val="38"/>
              <w:jc w:val="center"/>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017" w:type="dxa"/>
            <w:vMerge w:val="continue"/>
            <w:vAlign w:val="center"/>
          </w:tcPr>
          <w:p>
            <w:pPr>
              <w:pStyle w:val="38"/>
              <w:jc w:val="center"/>
              <w:rPr>
                <w:rFonts w:ascii="Times New Roman" w:hAnsi="Times New Roman" w:cs="Times New Roman"/>
                <w:sz w:val="24"/>
                <w:szCs w:val="24"/>
              </w:rPr>
            </w:pPr>
          </w:p>
        </w:tc>
        <w:tc>
          <w:tcPr>
            <w:tcW w:w="1112" w:type="dxa"/>
            <w:vMerge w:val="continue"/>
            <w:vAlign w:val="center"/>
          </w:tcPr>
          <w:p>
            <w:pPr>
              <w:pStyle w:val="38"/>
              <w:jc w:val="center"/>
              <w:rPr>
                <w:rFonts w:ascii="Times New Roman" w:hAnsi="Times New Roman" w:cs="Times New Roman"/>
                <w:sz w:val="24"/>
                <w:szCs w:val="24"/>
              </w:rPr>
            </w:pPr>
          </w:p>
        </w:tc>
        <w:tc>
          <w:tcPr>
            <w:tcW w:w="4695" w:type="dxa"/>
            <w:vAlign w:val="center"/>
          </w:tcPr>
          <w:p>
            <w:pPr>
              <w:pStyle w:val="38"/>
              <w:jc w:val="center"/>
              <w:rPr>
                <w:rFonts w:ascii="Times New Roman" w:hAnsi="Times New Roman" w:cs="Times New Roman"/>
                <w:sz w:val="24"/>
                <w:szCs w:val="24"/>
              </w:rPr>
            </w:pPr>
            <w:r>
              <w:rPr>
                <w:rFonts w:ascii="Times New Roman" w:hAnsi="Times New Roman" w:cs="Times New Roman"/>
                <w:sz w:val="24"/>
                <w:szCs w:val="24"/>
              </w:rPr>
              <w:t>水位量程：0.05～50m</w:t>
            </w:r>
          </w:p>
        </w:tc>
        <w:tc>
          <w:tcPr>
            <w:tcW w:w="572" w:type="dxa"/>
            <w:vMerge w:val="continue"/>
            <w:vAlign w:val="center"/>
          </w:tcPr>
          <w:p>
            <w:pPr>
              <w:pStyle w:val="38"/>
              <w:jc w:val="center"/>
              <w:rPr>
                <w:rFonts w:ascii="Times New Roman" w:hAnsi="Times New Roman" w:cs="Times New Roman"/>
                <w:sz w:val="24"/>
                <w:szCs w:val="24"/>
                <w:lang w:eastAsia="zh-CN"/>
              </w:rPr>
            </w:pPr>
          </w:p>
        </w:tc>
        <w:tc>
          <w:tcPr>
            <w:tcW w:w="424" w:type="dxa"/>
            <w:vMerge w:val="continue"/>
            <w:vAlign w:val="center"/>
          </w:tcPr>
          <w:p>
            <w:pPr>
              <w:pStyle w:val="38"/>
              <w:jc w:val="center"/>
              <w:rPr>
                <w:rFonts w:ascii="Times New Roman" w:hAnsi="Times New Roman" w:cs="Times New Roman"/>
                <w:sz w:val="24"/>
                <w:szCs w:val="24"/>
                <w:lang w:eastAsia="zh-CN"/>
              </w:rPr>
            </w:pPr>
          </w:p>
        </w:tc>
        <w:tc>
          <w:tcPr>
            <w:tcW w:w="528" w:type="dxa"/>
            <w:vMerge w:val="continue"/>
            <w:vAlign w:val="center"/>
          </w:tcPr>
          <w:p>
            <w:pPr>
              <w:pStyle w:val="38"/>
              <w:jc w:val="center"/>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017" w:type="dxa"/>
            <w:vMerge w:val="continue"/>
            <w:vAlign w:val="center"/>
          </w:tcPr>
          <w:p>
            <w:pPr>
              <w:pStyle w:val="38"/>
              <w:jc w:val="center"/>
              <w:rPr>
                <w:rFonts w:ascii="Times New Roman" w:hAnsi="Times New Roman" w:cs="Times New Roman"/>
                <w:sz w:val="24"/>
                <w:szCs w:val="24"/>
              </w:rPr>
            </w:pPr>
          </w:p>
        </w:tc>
        <w:tc>
          <w:tcPr>
            <w:tcW w:w="1112" w:type="dxa"/>
            <w:vMerge w:val="continue"/>
            <w:vAlign w:val="center"/>
          </w:tcPr>
          <w:p>
            <w:pPr>
              <w:pStyle w:val="38"/>
              <w:jc w:val="center"/>
              <w:rPr>
                <w:rFonts w:ascii="Times New Roman" w:hAnsi="Times New Roman" w:cs="Times New Roman"/>
                <w:sz w:val="24"/>
                <w:szCs w:val="24"/>
              </w:rPr>
            </w:pPr>
          </w:p>
        </w:tc>
        <w:tc>
          <w:tcPr>
            <w:tcW w:w="4695" w:type="dxa"/>
            <w:vAlign w:val="center"/>
          </w:tcPr>
          <w:p>
            <w:pPr>
              <w:pStyle w:val="38"/>
              <w:jc w:val="center"/>
              <w:rPr>
                <w:rFonts w:ascii="Times New Roman" w:hAnsi="Times New Roman" w:cs="Times New Roman"/>
                <w:sz w:val="24"/>
                <w:szCs w:val="24"/>
              </w:rPr>
            </w:pPr>
            <w:r>
              <w:rPr>
                <w:rFonts w:ascii="Times New Roman" w:hAnsi="Times New Roman" w:cs="Times New Roman"/>
                <w:sz w:val="24"/>
                <w:szCs w:val="24"/>
              </w:rPr>
              <w:t>流速量程：0.03～21m/s</w:t>
            </w:r>
          </w:p>
        </w:tc>
        <w:tc>
          <w:tcPr>
            <w:tcW w:w="572" w:type="dxa"/>
            <w:vMerge w:val="continue"/>
            <w:vAlign w:val="center"/>
          </w:tcPr>
          <w:p>
            <w:pPr>
              <w:pStyle w:val="38"/>
              <w:jc w:val="center"/>
              <w:rPr>
                <w:rFonts w:ascii="Times New Roman" w:hAnsi="Times New Roman" w:cs="Times New Roman"/>
                <w:sz w:val="24"/>
                <w:szCs w:val="24"/>
                <w:lang w:eastAsia="zh-CN"/>
              </w:rPr>
            </w:pPr>
          </w:p>
        </w:tc>
        <w:tc>
          <w:tcPr>
            <w:tcW w:w="424" w:type="dxa"/>
            <w:vMerge w:val="continue"/>
            <w:vAlign w:val="center"/>
          </w:tcPr>
          <w:p>
            <w:pPr>
              <w:pStyle w:val="38"/>
              <w:jc w:val="center"/>
              <w:rPr>
                <w:rFonts w:ascii="Times New Roman" w:hAnsi="Times New Roman" w:cs="Times New Roman"/>
                <w:sz w:val="24"/>
                <w:szCs w:val="24"/>
                <w:lang w:eastAsia="zh-CN"/>
              </w:rPr>
            </w:pPr>
          </w:p>
        </w:tc>
        <w:tc>
          <w:tcPr>
            <w:tcW w:w="528" w:type="dxa"/>
            <w:vMerge w:val="continue"/>
            <w:vAlign w:val="center"/>
          </w:tcPr>
          <w:p>
            <w:pPr>
              <w:pStyle w:val="38"/>
              <w:jc w:val="center"/>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017" w:type="dxa"/>
            <w:vMerge w:val="continue"/>
            <w:vAlign w:val="center"/>
          </w:tcPr>
          <w:p>
            <w:pPr>
              <w:pStyle w:val="38"/>
              <w:jc w:val="center"/>
              <w:rPr>
                <w:rFonts w:ascii="Times New Roman" w:hAnsi="Times New Roman" w:cs="Times New Roman"/>
                <w:sz w:val="24"/>
                <w:szCs w:val="24"/>
              </w:rPr>
            </w:pPr>
          </w:p>
        </w:tc>
        <w:tc>
          <w:tcPr>
            <w:tcW w:w="1112" w:type="dxa"/>
            <w:vMerge w:val="continue"/>
            <w:vAlign w:val="center"/>
          </w:tcPr>
          <w:p>
            <w:pPr>
              <w:pStyle w:val="38"/>
              <w:jc w:val="center"/>
              <w:rPr>
                <w:rFonts w:ascii="Times New Roman" w:hAnsi="Times New Roman" w:cs="Times New Roman"/>
                <w:sz w:val="24"/>
                <w:szCs w:val="24"/>
              </w:rPr>
            </w:pPr>
          </w:p>
        </w:tc>
        <w:tc>
          <w:tcPr>
            <w:tcW w:w="4695" w:type="dxa"/>
            <w:vAlign w:val="center"/>
          </w:tcPr>
          <w:p>
            <w:pPr>
              <w:pStyle w:val="38"/>
              <w:jc w:val="center"/>
              <w:rPr>
                <w:rFonts w:ascii="Times New Roman" w:hAnsi="Times New Roman" w:cs="Times New Roman"/>
                <w:sz w:val="24"/>
                <w:szCs w:val="24"/>
              </w:rPr>
            </w:pPr>
            <w:r>
              <w:rPr>
                <w:rFonts w:ascii="Times New Roman" w:hAnsi="Times New Roman" w:cs="Times New Roman"/>
                <w:sz w:val="24"/>
                <w:szCs w:val="24"/>
              </w:rPr>
              <w:t>水位精度：±1mm</w:t>
            </w:r>
          </w:p>
        </w:tc>
        <w:tc>
          <w:tcPr>
            <w:tcW w:w="572" w:type="dxa"/>
            <w:vMerge w:val="continue"/>
            <w:vAlign w:val="center"/>
          </w:tcPr>
          <w:p>
            <w:pPr>
              <w:pStyle w:val="38"/>
              <w:jc w:val="center"/>
              <w:rPr>
                <w:rFonts w:ascii="Times New Roman" w:hAnsi="Times New Roman" w:cs="Times New Roman"/>
                <w:sz w:val="24"/>
                <w:szCs w:val="24"/>
                <w:lang w:eastAsia="zh-CN"/>
              </w:rPr>
            </w:pPr>
          </w:p>
        </w:tc>
        <w:tc>
          <w:tcPr>
            <w:tcW w:w="424" w:type="dxa"/>
            <w:vMerge w:val="continue"/>
            <w:vAlign w:val="center"/>
          </w:tcPr>
          <w:p>
            <w:pPr>
              <w:pStyle w:val="38"/>
              <w:jc w:val="center"/>
              <w:rPr>
                <w:rFonts w:ascii="Times New Roman" w:hAnsi="Times New Roman" w:cs="Times New Roman"/>
                <w:sz w:val="24"/>
                <w:szCs w:val="24"/>
                <w:lang w:eastAsia="zh-CN"/>
              </w:rPr>
            </w:pPr>
          </w:p>
        </w:tc>
        <w:tc>
          <w:tcPr>
            <w:tcW w:w="528" w:type="dxa"/>
            <w:vMerge w:val="continue"/>
            <w:vAlign w:val="center"/>
          </w:tcPr>
          <w:p>
            <w:pPr>
              <w:pStyle w:val="38"/>
              <w:jc w:val="center"/>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017" w:type="dxa"/>
            <w:vMerge w:val="continue"/>
            <w:vAlign w:val="center"/>
          </w:tcPr>
          <w:p>
            <w:pPr>
              <w:pStyle w:val="38"/>
              <w:jc w:val="center"/>
              <w:rPr>
                <w:rFonts w:ascii="Times New Roman" w:hAnsi="Times New Roman" w:cs="Times New Roman"/>
                <w:sz w:val="24"/>
                <w:szCs w:val="24"/>
              </w:rPr>
            </w:pPr>
          </w:p>
        </w:tc>
        <w:tc>
          <w:tcPr>
            <w:tcW w:w="1112" w:type="dxa"/>
            <w:vMerge w:val="continue"/>
            <w:vAlign w:val="center"/>
          </w:tcPr>
          <w:p>
            <w:pPr>
              <w:pStyle w:val="38"/>
              <w:jc w:val="center"/>
              <w:rPr>
                <w:rFonts w:ascii="Times New Roman" w:hAnsi="Times New Roman" w:cs="Times New Roman"/>
                <w:sz w:val="24"/>
                <w:szCs w:val="24"/>
              </w:rPr>
            </w:pPr>
          </w:p>
        </w:tc>
        <w:tc>
          <w:tcPr>
            <w:tcW w:w="4695" w:type="dxa"/>
            <w:vAlign w:val="center"/>
          </w:tcPr>
          <w:p>
            <w:pPr>
              <w:pStyle w:val="38"/>
              <w:jc w:val="center"/>
              <w:rPr>
                <w:rFonts w:ascii="Times New Roman" w:hAnsi="Times New Roman" w:cs="Times New Roman"/>
                <w:sz w:val="24"/>
                <w:szCs w:val="24"/>
              </w:rPr>
            </w:pPr>
            <w:r>
              <w:rPr>
                <w:rFonts w:ascii="Times New Roman" w:hAnsi="Times New Roman" w:cs="Times New Roman"/>
                <w:sz w:val="24"/>
                <w:szCs w:val="24"/>
              </w:rPr>
              <w:t>流速精度：0.01m/s</w:t>
            </w:r>
          </w:p>
        </w:tc>
        <w:tc>
          <w:tcPr>
            <w:tcW w:w="572" w:type="dxa"/>
            <w:vMerge w:val="continue"/>
            <w:vAlign w:val="center"/>
          </w:tcPr>
          <w:p>
            <w:pPr>
              <w:pStyle w:val="38"/>
              <w:jc w:val="center"/>
              <w:rPr>
                <w:rFonts w:ascii="Times New Roman" w:hAnsi="Times New Roman" w:cs="Times New Roman"/>
                <w:sz w:val="24"/>
                <w:szCs w:val="24"/>
                <w:lang w:eastAsia="zh-CN"/>
              </w:rPr>
            </w:pPr>
          </w:p>
        </w:tc>
        <w:tc>
          <w:tcPr>
            <w:tcW w:w="424" w:type="dxa"/>
            <w:vMerge w:val="continue"/>
            <w:vAlign w:val="center"/>
          </w:tcPr>
          <w:p>
            <w:pPr>
              <w:pStyle w:val="38"/>
              <w:jc w:val="center"/>
              <w:rPr>
                <w:rFonts w:ascii="Times New Roman" w:hAnsi="Times New Roman" w:cs="Times New Roman"/>
                <w:sz w:val="24"/>
                <w:szCs w:val="24"/>
                <w:lang w:eastAsia="zh-CN"/>
              </w:rPr>
            </w:pPr>
          </w:p>
        </w:tc>
        <w:tc>
          <w:tcPr>
            <w:tcW w:w="528" w:type="dxa"/>
            <w:vMerge w:val="continue"/>
            <w:vAlign w:val="center"/>
          </w:tcPr>
          <w:p>
            <w:pPr>
              <w:pStyle w:val="38"/>
              <w:jc w:val="center"/>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017" w:type="dxa"/>
            <w:vMerge w:val="continue"/>
            <w:vAlign w:val="center"/>
          </w:tcPr>
          <w:p>
            <w:pPr>
              <w:pStyle w:val="38"/>
              <w:jc w:val="center"/>
              <w:rPr>
                <w:rFonts w:ascii="Times New Roman" w:hAnsi="Times New Roman" w:cs="Times New Roman"/>
                <w:sz w:val="24"/>
                <w:szCs w:val="24"/>
              </w:rPr>
            </w:pPr>
          </w:p>
        </w:tc>
        <w:tc>
          <w:tcPr>
            <w:tcW w:w="1112" w:type="dxa"/>
            <w:vMerge w:val="continue"/>
            <w:vAlign w:val="center"/>
          </w:tcPr>
          <w:p>
            <w:pPr>
              <w:pStyle w:val="38"/>
              <w:jc w:val="center"/>
              <w:rPr>
                <w:rFonts w:ascii="Times New Roman" w:hAnsi="Times New Roman" w:cs="Times New Roman"/>
                <w:sz w:val="24"/>
                <w:szCs w:val="24"/>
              </w:rPr>
            </w:pPr>
          </w:p>
        </w:tc>
        <w:tc>
          <w:tcPr>
            <w:tcW w:w="4695" w:type="dxa"/>
            <w:vAlign w:val="center"/>
          </w:tcPr>
          <w:p>
            <w:pPr>
              <w:pStyle w:val="38"/>
              <w:jc w:val="center"/>
              <w:rPr>
                <w:rFonts w:ascii="Times New Roman" w:hAnsi="Times New Roman" w:cs="Times New Roman"/>
                <w:sz w:val="24"/>
                <w:szCs w:val="24"/>
              </w:rPr>
            </w:pPr>
            <w:r>
              <w:rPr>
                <w:rFonts w:ascii="Times New Roman" w:hAnsi="Times New Roman" w:cs="Times New Roman"/>
                <w:sz w:val="24"/>
                <w:szCs w:val="24"/>
              </w:rPr>
              <w:t>工作电压：12vDC</w:t>
            </w:r>
          </w:p>
        </w:tc>
        <w:tc>
          <w:tcPr>
            <w:tcW w:w="572" w:type="dxa"/>
            <w:vMerge w:val="continue"/>
            <w:vAlign w:val="center"/>
          </w:tcPr>
          <w:p>
            <w:pPr>
              <w:pStyle w:val="38"/>
              <w:jc w:val="center"/>
              <w:rPr>
                <w:rFonts w:ascii="Times New Roman" w:hAnsi="Times New Roman" w:cs="Times New Roman"/>
                <w:sz w:val="24"/>
                <w:szCs w:val="24"/>
                <w:lang w:eastAsia="zh-CN"/>
              </w:rPr>
            </w:pPr>
          </w:p>
        </w:tc>
        <w:tc>
          <w:tcPr>
            <w:tcW w:w="424" w:type="dxa"/>
            <w:vMerge w:val="continue"/>
            <w:vAlign w:val="center"/>
          </w:tcPr>
          <w:p>
            <w:pPr>
              <w:pStyle w:val="38"/>
              <w:jc w:val="center"/>
              <w:rPr>
                <w:rFonts w:ascii="Times New Roman" w:hAnsi="Times New Roman" w:cs="Times New Roman"/>
                <w:sz w:val="24"/>
                <w:szCs w:val="24"/>
                <w:lang w:eastAsia="zh-CN"/>
              </w:rPr>
            </w:pPr>
          </w:p>
        </w:tc>
        <w:tc>
          <w:tcPr>
            <w:tcW w:w="528" w:type="dxa"/>
            <w:vMerge w:val="continue"/>
            <w:vAlign w:val="center"/>
          </w:tcPr>
          <w:p>
            <w:pPr>
              <w:pStyle w:val="38"/>
              <w:jc w:val="center"/>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3" w:hRule="atLeast"/>
          <w:jc w:val="center"/>
        </w:trPr>
        <w:tc>
          <w:tcPr>
            <w:tcW w:w="1017" w:type="dxa"/>
            <w:vMerge w:val="continue"/>
            <w:textDirection w:val="tbLrV"/>
            <w:vAlign w:val="center"/>
          </w:tcPr>
          <w:p>
            <w:pPr>
              <w:pStyle w:val="38"/>
              <w:jc w:val="center"/>
              <w:rPr>
                <w:rFonts w:ascii="Times New Roman" w:hAnsi="Times New Roman" w:cs="Times New Roman"/>
                <w:sz w:val="24"/>
                <w:szCs w:val="24"/>
              </w:rPr>
            </w:pPr>
          </w:p>
        </w:tc>
        <w:tc>
          <w:tcPr>
            <w:tcW w:w="1112" w:type="dxa"/>
            <w:vMerge w:val="continue"/>
            <w:vAlign w:val="center"/>
          </w:tcPr>
          <w:p>
            <w:pPr>
              <w:pStyle w:val="38"/>
              <w:jc w:val="center"/>
              <w:rPr>
                <w:rFonts w:ascii="Times New Roman" w:hAnsi="Times New Roman" w:cs="Times New Roman"/>
                <w:sz w:val="24"/>
                <w:szCs w:val="24"/>
              </w:rPr>
            </w:pPr>
          </w:p>
        </w:tc>
        <w:tc>
          <w:tcPr>
            <w:tcW w:w="4695" w:type="dxa"/>
            <w:vAlign w:val="center"/>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温度补偿：自动温度补偿</w:t>
            </w:r>
          </w:p>
        </w:tc>
        <w:tc>
          <w:tcPr>
            <w:tcW w:w="572" w:type="dxa"/>
            <w:vMerge w:val="continue"/>
            <w:vAlign w:val="center"/>
          </w:tcPr>
          <w:p>
            <w:pPr>
              <w:pStyle w:val="38"/>
              <w:jc w:val="center"/>
              <w:rPr>
                <w:rFonts w:ascii="Times New Roman" w:hAnsi="Times New Roman" w:cs="Times New Roman"/>
                <w:sz w:val="24"/>
                <w:szCs w:val="24"/>
                <w:lang w:eastAsia="zh-CN"/>
              </w:rPr>
            </w:pPr>
          </w:p>
        </w:tc>
        <w:tc>
          <w:tcPr>
            <w:tcW w:w="424" w:type="dxa"/>
            <w:vMerge w:val="continue"/>
            <w:vAlign w:val="center"/>
          </w:tcPr>
          <w:p>
            <w:pPr>
              <w:pStyle w:val="38"/>
              <w:jc w:val="center"/>
              <w:rPr>
                <w:rFonts w:ascii="Times New Roman" w:hAnsi="Times New Roman" w:cs="Times New Roman"/>
                <w:sz w:val="24"/>
                <w:szCs w:val="24"/>
                <w:lang w:eastAsia="zh-CN"/>
              </w:rPr>
            </w:pPr>
          </w:p>
        </w:tc>
        <w:tc>
          <w:tcPr>
            <w:tcW w:w="528" w:type="dxa"/>
            <w:vMerge w:val="continue"/>
            <w:vAlign w:val="center"/>
          </w:tcPr>
          <w:p>
            <w:pPr>
              <w:pStyle w:val="38"/>
              <w:jc w:val="center"/>
              <w:rPr>
                <w:rFonts w:ascii="Times New Roman" w:hAnsi="Times New Roman" w:cs="Times New Roman"/>
                <w:sz w:val="24"/>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017" w:type="dxa"/>
            <w:vMerge w:val="continue"/>
            <w:vAlign w:val="center"/>
          </w:tcPr>
          <w:p>
            <w:pPr>
              <w:pStyle w:val="38"/>
              <w:jc w:val="center"/>
              <w:rPr>
                <w:rFonts w:ascii="Times New Roman" w:hAnsi="Times New Roman" w:cs="Times New Roman"/>
                <w:sz w:val="24"/>
                <w:szCs w:val="24"/>
                <w:lang w:eastAsia="zh-CN"/>
              </w:rPr>
            </w:pPr>
          </w:p>
        </w:tc>
        <w:tc>
          <w:tcPr>
            <w:tcW w:w="1112" w:type="dxa"/>
            <w:vMerge w:val="continue"/>
            <w:vAlign w:val="center"/>
          </w:tcPr>
          <w:p>
            <w:pPr>
              <w:pStyle w:val="38"/>
              <w:jc w:val="center"/>
              <w:rPr>
                <w:rFonts w:ascii="Times New Roman" w:hAnsi="Times New Roman" w:cs="Times New Roman"/>
                <w:sz w:val="24"/>
                <w:szCs w:val="24"/>
                <w:lang w:eastAsia="zh-CN"/>
              </w:rPr>
            </w:pPr>
          </w:p>
        </w:tc>
        <w:tc>
          <w:tcPr>
            <w:tcW w:w="4695" w:type="dxa"/>
            <w:vAlign w:val="center"/>
          </w:tcPr>
          <w:p>
            <w:pPr>
              <w:pStyle w:val="38"/>
              <w:jc w:val="center"/>
              <w:rPr>
                <w:rFonts w:ascii="Times New Roman" w:hAnsi="Times New Roman" w:cs="Times New Roman"/>
                <w:sz w:val="24"/>
                <w:szCs w:val="24"/>
              </w:rPr>
            </w:pPr>
            <w:r>
              <w:rPr>
                <w:rFonts w:ascii="Times New Roman" w:hAnsi="Times New Roman" w:cs="Times New Roman"/>
                <w:sz w:val="24"/>
                <w:szCs w:val="24"/>
              </w:rPr>
              <w:t>遥测终端（RTU）</w:t>
            </w:r>
          </w:p>
        </w:tc>
        <w:tc>
          <w:tcPr>
            <w:tcW w:w="572" w:type="dxa"/>
            <w:vMerge w:val="continue"/>
            <w:vAlign w:val="center"/>
          </w:tcPr>
          <w:p>
            <w:pPr>
              <w:pStyle w:val="38"/>
              <w:jc w:val="center"/>
              <w:rPr>
                <w:rFonts w:ascii="Times New Roman" w:hAnsi="Times New Roman" w:cs="Times New Roman"/>
                <w:sz w:val="24"/>
                <w:szCs w:val="24"/>
                <w:lang w:eastAsia="zh-CN"/>
              </w:rPr>
            </w:pPr>
          </w:p>
        </w:tc>
        <w:tc>
          <w:tcPr>
            <w:tcW w:w="424" w:type="dxa"/>
            <w:vMerge w:val="continue"/>
            <w:vAlign w:val="center"/>
          </w:tcPr>
          <w:p>
            <w:pPr>
              <w:pStyle w:val="38"/>
              <w:jc w:val="center"/>
              <w:rPr>
                <w:rFonts w:ascii="Times New Roman" w:hAnsi="Times New Roman" w:cs="Times New Roman"/>
                <w:sz w:val="24"/>
                <w:szCs w:val="24"/>
                <w:lang w:eastAsia="zh-CN"/>
              </w:rPr>
            </w:pPr>
          </w:p>
        </w:tc>
        <w:tc>
          <w:tcPr>
            <w:tcW w:w="528" w:type="dxa"/>
            <w:vMerge w:val="continue"/>
            <w:vAlign w:val="center"/>
          </w:tcPr>
          <w:p>
            <w:pPr>
              <w:pStyle w:val="38"/>
              <w:jc w:val="center"/>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017" w:type="dxa"/>
            <w:vMerge w:val="continue"/>
            <w:vAlign w:val="center"/>
          </w:tcPr>
          <w:p>
            <w:pPr>
              <w:pStyle w:val="38"/>
              <w:jc w:val="center"/>
              <w:rPr>
                <w:rFonts w:ascii="Times New Roman" w:hAnsi="Times New Roman" w:cs="Times New Roman"/>
                <w:sz w:val="24"/>
                <w:szCs w:val="24"/>
              </w:rPr>
            </w:pPr>
          </w:p>
        </w:tc>
        <w:tc>
          <w:tcPr>
            <w:tcW w:w="1112" w:type="dxa"/>
            <w:vMerge w:val="continue"/>
            <w:vAlign w:val="center"/>
          </w:tcPr>
          <w:p>
            <w:pPr>
              <w:pStyle w:val="38"/>
              <w:jc w:val="center"/>
              <w:rPr>
                <w:rFonts w:ascii="Times New Roman" w:hAnsi="Times New Roman" w:cs="Times New Roman"/>
                <w:sz w:val="24"/>
                <w:szCs w:val="24"/>
              </w:rPr>
            </w:pPr>
          </w:p>
        </w:tc>
        <w:tc>
          <w:tcPr>
            <w:tcW w:w="4695" w:type="dxa"/>
            <w:vAlign w:val="center"/>
          </w:tcPr>
          <w:p>
            <w:pPr>
              <w:pStyle w:val="38"/>
              <w:jc w:val="center"/>
              <w:rPr>
                <w:rFonts w:ascii="Times New Roman" w:hAnsi="Times New Roman" w:cs="Times New Roman"/>
                <w:sz w:val="24"/>
                <w:szCs w:val="24"/>
              </w:rPr>
            </w:pPr>
            <w:r>
              <w:rPr>
                <w:rFonts w:ascii="Times New Roman" w:hAnsi="Times New Roman" w:cs="Times New Roman"/>
                <w:sz w:val="24"/>
                <w:szCs w:val="24"/>
              </w:rPr>
              <w:t>通讯方式</w:t>
            </w:r>
            <w:r>
              <w:rPr>
                <w:rFonts w:ascii="Times New Roman" w:hAnsi="Times New Roman" w:cs="Times New Roman"/>
                <w:sz w:val="24"/>
                <w:szCs w:val="24"/>
                <w:lang w:eastAsia="zh-CN"/>
              </w:rPr>
              <w:t xml:space="preserve">  </w:t>
            </w:r>
            <w:r>
              <w:rPr>
                <w:rFonts w:ascii="Times New Roman" w:hAnsi="Times New Roman" w:cs="Times New Roman"/>
                <w:sz w:val="24"/>
                <w:szCs w:val="24"/>
              </w:rPr>
              <w:t>无线传输</w:t>
            </w:r>
          </w:p>
        </w:tc>
        <w:tc>
          <w:tcPr>
            <w:tcW w:w="572" w:type="dxa"/>
            <w:vMerge w:val="continue"/>
            <w:vAlign w:val="center"/>
          </w:tcPr>
          <w:p>
            <w:pPr>
              <w:pStyle w:val="38"/>
              <w:jc w:val="center"/>
              <w:rPr>
                <w:rFonts w:ascii="Times New Roman" w:hAnsi="Times New Roman" w:cs="Times New Roman"/>
                <w:sz w:val="24"/>
                <w:szCs w:val="24"/>
                <w:lang w:eastAsia="zh-CN"/>
              </w:rPr>
            </w:pPr>
          </w:p>
        </w:tc>
        <w:tc>
          <w:tcPr>
            <w:tcW w:w="424" w:type="dxa"/>
            <w:vMerge w:val="continue"/>
            <w:vAlign w:val="center"/>
          </w:tcPr>
          <w:p>
            <w:pPr>
              <w:pStyle w:val="38"/>
              <w:jc w:val="center"/>
              <w:rPr>
                <w:rFonts w:ascii="Times New Roman" w:hAnsi="Times New Roman" w:cs="Times New Roman"/>
                <w:sz w:val="24"/>
                <w:szCs w:val="24"/>
                <w:lang w:eastAsia="zh-CN"/>
              </w:rPr>
            </w:pPr>
          </w:p>
        </w:tc>
        <w:tc>
          <w:tcPr>
            <w:tcW w:w="528" w:type="dxa"/>
            <w:vMerge w:val="continue"/>
            <w:vAlign w:val="center"/>
          </w:tcPr>
          <w:p>
            <w:pPr>
              <w:pStyle w:val="38"/>
              <w:jc w:val="center"/>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017" w:type="dxa"/>
            <w:vMerge w:val="continue"/>
            <w:vAlign w:val="center"/>
          </w:tcPr>
          <w:p>
            <w:pPr>
              <w:pStyle w:val="38"/>
              <w:jc w:val="center"/>
              <w:rPr>
                <w:rFonts w:ascii="Times New Roman" w:hAnsi="Times New Roman" w:cs="Times New Roman"/>
                <w:sz w:val="24"/>
                <w:szCs w:val="24"/>
              </w:rPr>
            </w:pPr>
          </w:p>
        </w:tc>
        <w:tc>
          <w:tcPr>
            <w:tcW w:w="1112" w:type="dxa"/>
            <w:vMerge w:val="continue"/>
            <w:vAlign w:val="center"/>
          </w:tcPr>
          <w:p>
            <w:pPr>
              <w:pStyle w:val="38"/>
              <w:jc w:val="center"/>
              <w:rPr>
                <w:rFonts w:ascii="Times New Roman" w:hAnsi="Times New Roman" w:cs="Times New Roman"/>
                <w:sz w:val="24"/>
                <w:szCs w:val="24"/>
              </w:rPr>
            </w:pPr>
          </w:p>
        </w:tc>
        <w:tc>
          <w:tcPr>
            <w:tcW w:w="4695" w:type="dxa"/>
            <w:vAlign w:val="center"/>
          </w:tcPr>
          <w:p>
            <w:pPr>
              <w:pStyle w:val="38"/>
              <w:jc w:val="center"/>
              <w:rPr>
                <w:rFonts w:ascii="Times New Roman" w:hAnsi="Times New Roman" w:cs="Times New Roman"/>
                <w:sz w:val="24"/>
                <w:szCs w:val="24"/>
              </w:rPr>
            </w:pPr>
            <w:r>
              <w:rPr>
                <w:rFonts w:ascii="Times New Roman" w:hAnsi="Times New Roman" w:cs="Times New Roman"/>
                <w:sz w:val="24"/>
                <w:szCs w:val="24"/>
              </w:rPr>
              <w:t>发射功率</w:t>
            </w:r>
            <w:r>
              <w:rPr>
                <w:rFonts w:ascii="Times New Roman" w:hAnsi="Times New Roman" w:cs="Times New Roman"/>
                <w:sz w:val="24"/>
                <w:szCs w:val="24"/>
                <w:lang w:eastAsia="zh-CN"/>
              </w:rPr>
              <w:t xml:space="preserve">  </w:t>
            </w:r>
            <w:r>
              <w:rPr>
                <w:rFonts w:ascii="Times New Roman" w:hAnsi="Times New Roman" w:cs="Times New Roman"/>
                <w:sz w:val="24"/>
                <w:szCs w:val="24"/>
              </w:rPr>
              <w:t>20dBm</w:t>
            </w:r>
          </w:p>
        </w:tc>
        <w:tc>
          <w:tcPr>
            <w:tcW w:w="572" w:type="dxa"/>
            <w:vMerge w:val="continue"/>
            <w:vAlign w:val="center"/>
          </w:tcPr>
          <w:p>
            <w:pPr>
              <w:pStyle w:val="38"/>
              <w:jc w:val="center"/>
              <w:rPr>
                <w:rFonts w:ascii="Times New Roman" w:hAnsi="Times New Roman" w:cs="Times New Roman"/>
                <w:sz w:val="24"/>
                <w:szCs w:val="24"/>
                <w:lang w:eastAsia="zh-CN"/>
              </w:rPr>
            </w:pPr>
          </w:p>
        </w:tc>
        <w:tc>
          <w:tcPr>
            <w:tcW w:w="424" w:type="dxa"/>
            <w:vMerge w:val="continue"/>
            <w:vAlign w:val="center"/>
          </w:tcPr>
          <w:p>
            <w:pPr>
              <w:pStyle w:val="38"/>
              <w:jc w:val="center"/>
              <w:rPr>
                <w:rFonts w:ascii="Times New Roman" w:hAnsi="Times New Roman" w:cs="Times New Roman"/>
                <w:sz w:val="24"/>
                <w:szCs w:val="24"/>
                <w:lang w:eastAsia="zh-CN"/>
              </w:rPr>
            </w:pPr>
          </w:p>
        </w:tc>
        <w:tc>
          <w:tcPr>
            <w:tcW w:w="528" w:type="dxa"/>
            <w:vMerge w:val="continue"/>
            <w:vAlign w:val="center"/>
          </w:tcPr>
          <w:p>
            <w:pPr>
              <w:pStyle w:val="38"/>
              <w:jc w:val="center"/>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017" w:type="dxa"/>
            <w:vMerge w:val="continue"/>
            <w:vAlign w:val="center"/>
          </w:tcPr>
          <w:p>
            <w:pPr>
              <w:pStyle w:val="38"/>
              <w:jc w:val="center"/>
              <w:rPr>
                <w:rFonts w:ascii="Times New Roman" w:hAnsi="Times New Roman" w:cs="Times New Roman"/>
                <w:sz w:val="24"/>
                <w:szCs w:val="24"/>
              </w:rPr>
            </w:pPr>
          </w:p>
        </w:tc>
        <w:tc>
          <w:tcPr>
            <w:tcW w:w="1112" w:type="dxa"/>
            <w:vMerge w:val="continue"/>
            <w:vAlign w:val="center"/>
          </w:tcPr>
          <w:p>
            <w:pPr>
              <w:pStyle w:val="38"/>
              <w:jc w:val="center"/>
              <w:rPr>
                <w:rFonts w:ascii="Times New Roman" w:hAnsi="Times New Roman" w:cs="Times New Roman"/>
                <w:sz w:val="24"/>
                <w:szCs w:val="24"/>
              </w:rPr>
            </w:pPr>
          </w:p>
        </w:tc>
        <w:tc>
          <w:tcPr>
            <w:tcW w:w="4695" w:type="dxa"/>
            <w:vAlign w:val="center"/>
          </w:tcPr>
          <w:p>
            <w:pPr>
              <w:pStyle w:val="38"/>
              <w:jc w:val="center"/>
              <w:rPr>
                <w:rFonts w:ascii="Times New Roman" w:hAnsi="Times New Roman" w:cs="Times New Roman"/>
                <w:sz w:val="24"/>
                <w:szCs w:val="24"/>
              </w:rPr>
            </w:pPr>
            <w:r>
              <w:rPr>
                <w:rFonts w:ascii="Times New Roman" w:hAnsi="Times New Roman" w:cs="Times New Roman"/>
                <w:sz w:val="24"/>
                <w:szCs w:val="24"/>
              </w:rPr>
              <w:t>电池容量</w:t>
            </w:r>
            <w:r>
              <w:rPr>
                <w:rFonts w:ascii="Times New Roman" w:hAnsi="Times New Roman" w:cs="Times New Roman"/>
                <w:sz w:val="24"/>
                <w:szCs w:val="24"/>
                <w:lang w:eastAsia="zh-CN"/>
              </w:rPr>
              <w:t xml:space="preserve">  </w:t>
            </w:r>
            <w:r>
              <w:rPr>
                <w:rFonts w:ascii="Times New Roman" w:hAnsi="Times New Roman" w:cs="Times New Roman"/>
                <w:sz w:val="24"/>
                <w:szCs w:val="24"/>
              </w:rPr>
              <w:t>3.6V@38Ah</w:t>
            </w:r>
          </w:p>
        </w:tc>
        <w:tc>
          <w:tcPr>
            <w:tcW w:w="572" w:type="dxa"/>
            <w:vMerge w:val="continue"/>
            <w:vAlign w:val="center"/>
          </w:tcPr>
          <w:p>
            <w:pPr>
              <w:pStyle w:val="38"/>
              <w:jc w:val="center"/>
              <w:rPr>
                <w:rFonts w:ascii="Times New Roman" w:hAnsi="Times New Roman" w:cs="Times New Roman"/>
                <w:sz w:val="24"/>
                <w:szCs w:val="24"/>
                <w:lang w:eastAsia="zh-CN"/>
              </w:rPr>
            </w:pPr>
          </w:p>
        </w:tc>
        <w:tc>
          <w:tcPr>
            <w:tcW w:w="424" w:type="dxa"/>
            <w:vMerge w:val="continue"/>
            <w:vAlign w:val="center"/>
          </w:tcPr>
          <w:p>
            <w:pPr>
              <w:pStyle w:val="38"/>
              <w:jc w:val="center"/>
              <w:rPr>
                <w:rFonts w:ascii="Times New Roman" w:hAnsi="Times New Roman" w:cs="Times New Roman"/>
                <w:sz w:val="24"/>
                <w:szCs w:val="24"/>
                <w:lang w:eastAsia="zh-CN"/>
              </w:rPr>
            </w:pPr>
          </w:p>
        </w:tc>
        <w:tc>
          <w:tcPr>
            <w:tcW w:w="528" w:type="dxa"/>
            <w:vMerge w:val="continue"/>
            <w:vAlign w:val="center"/>
          </w:tcPr>
          <w:p>
            <w:pPr>
              <w:pStyle w:val="38"/>
              <w:jc w:val="center"/>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017" w:type="dxa"/>
            <w:vMerge w:val="continue"/>
            <w:vAlign w:val="center"/>
          </w:tcPr>
          <w:p>
            <w:pPr>
              <w:pStyle w:val="38"/>
              <w:jc w:val="center"/>
              <w:rPr>
                <w:rFonts w:ascii="Times New Roman" w:hAnsi="Times New Roman" w:cs="Times New Roman"/>
                <w:sz w:val="24"/>
                <w:szCs w:val="24"/>
              </w:rPr>
            </w:pPr>
          </w:p>
        </w:tc>
        <w:tc>
          <w:tcPr>
            <w:tcW w:w="1112" w:type="dxa"/>
            <w:vMerge w:val="continue"/>
            <w:vAlign w:val="center"/>
          </w:tcPr>
          <w:p>
            <w:pPr>
              <w:pStyle w:val="38"/>
              <w:jc w:val="center"/>
              <w:rPr>
                <w:rFonts w:ascii="Times New Roman" w:hAnsi="Times New Roman" w:cs="Times New Roman"/>
                <w:sz w:val="24"/>
                <w:szCs w:val="24"/>
              </w:rPr>
            </w:pPr>
          </w:p>
        </w:tc>
        <w:tc>
          <w:tcPr>
            <w:tcW w:w="4695" w:type="dxa"/>
            <w:vAlign w:val="center"/>
          </w:tcPr>
          <w:p>
            <w:pPr>
              <w:pStyle w:val="38"/>
              <w:jc w:val="center"/>
              <w:rPr>
                <w:rFonts w:ascii="Times New Roman" w:hAnsi="Times New Roman" w:cs="Times New Roman"/>
                <w:sz w:val="24"/>
                <w:szCs w:val="24"/>
              </w:rPr>
            </w:pPr>
            <w:r>
              <w:rPr>
                <w:rFonts w:ascii="Times New Roman" w:hAnsi="Times New Roman" w:cs="Times New Roman"/>
                <w:sz w:val="24"/>
                <w:szCs w:val="24"/>
              </w:rPr>
              <w:t>动态</w:t>
            </w:r>
            <w:r>
              <w:rPr>
                <w:rFonts w:ascii="Times New Roman" w:hAnsi="Times New Roman" w:cs="Times New Roman"/>
                <w:sz w:val="24"/>
                <w:szCs w:val="24"/>
                <w:lang w:eastAsia="zh-CN"/>
              </w:rPr>
              <w:t xml:space="preserve">电流  </w:t>
            </w:r>
            <w:r>
              <w:rPr>
                <w:rFonts w:ascii="Times New Roman" w:hAnsi="Times New Roman" w:cs="Times New Roman"/>
                <w:sz w:val="24"/>
                <w:szCs w:val="24"/>
              </w:rPr>
              <w:t>&lt;500mA</w:t>
            </w:r>
          </w:p>
        </w:tc>
        <w:tc>
          <w:tcPr>
            <w:tcW w:w="572" w:type="dxa"/>
            <w:vMerge w:val="continue"/>
            <w:vAlign w:val="center"/>
          </w:tcPr>
          <w:p>
            <w:pPr>
              <w:pStyle w:val="38"/>
              <w:jc w:val="center"/>
              <w:rPr>
                <w:rFonts w:ascii="Times New Roman" w:hAnsi="Times New Roman" w:cs="Times New Roman"/>
                <w:sz w:val="24"/>
                <w:szCs w:val="24"/>
                <w:lang w:eastAsia="zh-CN"/>
              </w:rPr>
            </w:pPr>
          </w:p>
        </w:tc>
        <w:tc>
          <w:tcPr>
            <w:tcW w:w="424" w:type="dxa"/>
            <w:vMerge w:val="continue"/>
            <w:vAlign w:val="center"/>
          </w:tcPr>
          <w:p>
            <w:pPr>
              <w:pStyle w:val="38"/>
              <w:jc w:val="center"/>
              <w:rPr>
                <w:rFonts w:ascii="Times New Roman" w:hAnsi="Times New Roman" w:cs="Times New Roman"/>
                <w:sz w:val="24"/>
                <w:szCs w:val="24"/>
                <w:lang w:eastAsia="zh-CN"/>
              </w:rPr>
            </w:pPr>
          </w:p>
        </w:tc>
        <w:tc>
          <w:tcPr>
            <w:tcW w:w="528" w:type="dxa"/>
            <w:vMerge w:val="continue"/>
            <w:vAlign w:val="center"/>
          </w:tcPr>
          <w:p>
            <w:pPr>
              <w:pStyle w:val="38"/>
              <w:jc w:val="center"/>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017" w:type="dxa"/>
            <w:vMerge w:val="continue"/>
            <w:vAlign w:val="center"/>
          </w:tcPr>
          <w:p>
            <w:pPr>
              <w:pStyle w:val="38"/>
              <w:jc w:val="center"/>
              <w:rPr>
                <w:rFonts w:ascii="Times New Roman" w:hAnsi="Times New Roman" w:cs="Times New Roman"/>
                <w:sz w:val="24"/>
                <w:szCs w:val="24"/>
              </w:rPr>
            </w:pPr>
          </w:p>
        </w:tc>
        <w:tc>
          <w:tcPr>
            <w:tcW w:w="1112" w:type="dxa"/>
            <w:vMerge w:val="continue"/>
            <w:vAlign w:val="center"/>
          </w:tcPr>
          <w:p>
            <w:pPr>
              <w:pStyle w:val="38"/>
              <w:jc w:val="center"/>
              <w:rPr>
                <w:rFonts w:ascii="Times New Roman" w:hAnsi="Times New Roman" w:cs="Times New Roman"/>
                <w:sz w:val="24"/>
                <w:szCs w:val="24"/>
              </w:rPr>
            </w:pPr>
          </w:p>
        </w:tc>
        <w:tc>
          <w:tcPr>
            <w:tcW w:w="4695" w:type="dxa"/>
            <w:vAlign w:val="center"/>
          </w:tcPr>
          <w:p>
            <w:pPr>
              <w:pStyle w:val="38"/>
              <w:jc w:val="center"/>
              <w:rPr>
                <w:rFonts w:ascii="Times New Roman" w:hAnsi="Times New Roman" w:cs="Times New Roman"/>
                <w:sz w:val="24"/>
                <w:szCs w:val="24"/>
              </w:rPr>
            </w:pPr>
            <w:r>
              <w:rPr>
                <w:rFonts w:ascii="Times New Roman" w:hAnsi="Times New Roman" w:cs="Times New Roman"/>
                <w:sz w:val="24"/>
                <w:szCs w:val="24"/>
              </w:rPr>
              <w:t>静态电流</w:t>
            </w:r>
            <w:r>
              <w:rPr>
                <w:rFonts w:ascii="Times New Roman" w:hAnsi="Times New Roman" w:cs="Times New Roman"/>
                <w:sz w:val="24"/>
                <w:szCs w:val="24"/>
                <w:lang w:eastAsia="zh-CN"/>
              </w:rPr>
              <w:t xml:space="preserve">  </w:t>
            </w:r>
            <w:r>
              <w:rPr>
                <w:rFonts w:ascii="Times New Roman" w:hAnsi="Times New Roman" w:cs="Times New Roman"/>
                <w:sz w:val="24"/>
                <w:szCs w:val="24"/>
              </w:rPr>
              <w:t>&lt;35uA</w:t>
            </w:r>
          </w:p>
        </w:tc>
        <w:tc>
          <w:tcPr>
            <w:tcW w:w="572" w:type="dxa"/>
            <w:vMerge w:val="continue"/>
            <w:vAlign w:val="center"/>
          </w:tcPr>
          <w:p>
            <w:pPr>
              <w:pStyle w:val="38"/>
              <w:jc w:val="center"/>
              <w:rPr>
                <w:rFonts w:ascii="Times New Roman" w:hAnsi="Times New Roman" w:cs="Times New Roman"/>
                <w:sz w:val="24"/>
                <w:szCs w:val="24"/>
                <w:lang w:eastAsia="zh-CN"/>
              </w:rPr>
            </w:pPr>
          </w:p>
        </w:tc>
        <w:tc>
          <w:tcPr>
            <w:tcW w:w="424" w:type="dxa"/>
            <w:vMerge w:val="continue"/>
            <w:vAlign w:val="center"/>
          </w:tcPr>
          <w:p>
            <w:pPr>
              <w:pStyle w:val="38"/>
              <w:jc w:val="center"/>
              <w:rPr>
                <w:rFonts w:ascii="Times New Roman" w:hAnsi="Times New Roman" w:cs="Times New Roman"/>
                <w:sz w:val="24"/>
                <w:szCs w:val="24"/>
                <w:lang w:eastAsia="zh-CN"/>
              </w:rPr>
            </w:pPr>
          </w:p>
        </w:tc>
        <w:tc>
          <w:tcPr>
            <w:tcW w:w="528" w:type="dxa"/>
            <w:vMerge w:val="continue"/>
            <w:vAlign w:val="center"/>
          </w:tcPr>
          <w:p>
            <w:pPr>
              <w:pStyle w:val="38"/>
              <w:jc w:val="center"/>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017" w:type="dxa"/>
            <w:vMerge w:val="continue"/>
            <w:vAlign w:val="center"/>
          </w:tcPr>
          <w:p>
            <w:pPr>
              <w:pStyle w:val="38"/>
              <w:jc w:val="center"/>
              <w:rPr>
                <w:rFonts w:ascii="Times New Roman" w:hAnsi="Times New Roman" w:cs="Times New Roman"/>
                <w:sz w:val="24"/>
                <w:szCs w:val="24"/>
              </w:rPr>
            </w:pPr>
          </w:p>
        </w:tc>
        <w:tc>
          <w:tcPr>
            <w:tcW w:w="1112" w:type="dxa"/>
            <w:vMerge w:val="continue"/>
            <w:vAlign w:val="center"/>
          </w:tcPr>
          <w:p>
            <w:pPr>
              <w:pStyle w:val="38"/>
              <w:jc w:val="center"/>
              <w:rPr>
                <w:rFonts w:ascii="Times New Roman" w:hAnsi="Times New Roman" w:cs="Times New Roman"/>
                <w:sz w:val="24"/>
                <w:szCs w:val="24"/>
              </w:rPr>
            </w:pPr>
          </w:p>
        </w:tc>
        <w:tc>
          <w:tcPr>
            <w:tcW w:w="4695" w:type="dxa"/>
            <w:vAlign w:val="center"/>
          </w:tcPr>
          <w:p>
            <w:pPr>
              <w:pStyle w:val="38"/>
              <w:jc w:val="center"/>
              <w:rPr>
                <w:rFonts w:ascii="Times New Roman" w:hAnsi="Times New Roman" w:cs="Times New Roman"/>
                <w:sz w:val="24"/>
                <w:szCs w:val="24"/>
              </w:rPr>
            </w:pPr>
            <w:r>
              <w:rPr>
                <w:rFonts w:ascii="Times New Roman" w:hAnsi="Times New Roman" w:cs="Times New Roman"/>
                <w:sz w:val="24"/>
                <w:szCs w:val="24"/>
              </w:rPr>
              <w:t>存储容量</w:t>
            </w:r>
            <w:r>
              <w:rPr>
                <w:rFonts w:ascii="Times New Roman" w:hAnsi="Times New Roman" w:cs="Times New Roman"/>
                <w:sz w:val="24"/>
                <w:szCs w:val="24"/>
                <w:lang w:eastAsia="zh-CN"/>
              </w:rPr>
              <w:t xml:space="preserve">  </w:t>
            </w:r>
            <w:r>
              <w:rPr>
                <w:rFonts w:ascii="Times New Roman" w:hAnsi="Times New Roman" w:cs="Times New Roman"/>
                <w:sz w:val="24"/>
                <w:szCs w:val="24"/>
              </w:rPr>
              <w:t>4Mbit</w:t>
            </w:r>
          </w:p>
        </w:tc>
        <w:tc>
          <w:tcPr>
            <w:tcW w:w="572" w:type="dxa"/>
            <w:vMerge w:val="continue"/>
            <w:vAlign w:val="center"/>
          </w:tcPr>
          <w:p>
            <w:pPr>
              <w:pStyle w:val="38"/>
              <w:jc w:val="center"/>
              <w:rPr>
                <w:rFonts w:ascii="Times New Roman" w:hAnsi="Times New Roman" w:cs="Times New Roman"/>
                <w:sz w:val="24"/>
                <w:szCs w:val="24"/>
                <w:lang w:eastAsia="zh-CN"/>
              </w:rPr>
            </w:pPr>
          </w:p>
        </w:tc>
        <w:tc>
          <w:tcPr>
            <w:tcW w:w="424" w:type="dxa"/>
            <w:vMerge w:val="continue"/>
            <w:vAlign w:val="center"/>
          </w:tcPr>
          <w:p>
            <w:pPr>
              <w:pStyle w:val="38"/>
              <w:jc w:val="center"/>
              <w:rPr>
                <w:rFonts w:ascii="Times New Roman" w:hAnsi="Times New Roman" w:cs="Times New Roman"/>
                <w:sz w:val="24"/>
                <w:szCs w:val="24"/>
                <w:lang w:eastAsia="zh-CN"/>
              </w:rPr>
            </w:pPr>
          </w:p>
        </w:tc>
        <w:tc>
          <w:tcPr>
            <w:tcW w:w="528" w:type="dxa"/>
            <w:vMerge w:val="continue"/>
            <w:vAlign w:val="center"/>
          </w:tcPr>
          <w:p>
            <w:pPr>
              <w:pStyle w:val="38"/>
              <w:jc w:val="center"/>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017" w:type="dxa"/>
            <w:vMerge w:val="continue"/>
            <w:vAlign w:val="center"/>
          </w:tcPr>
          <w:p>
            <w:pPr>
              <w:pStyle w:val="38"/>
              <w:jc w:val="center"/>
              <w:rPr>
                <w:rFonts w:ascii="Times New Roman" w:hAnsi="Times New Roman" w:cs="Times New Roman"/>
                <w:sz w:val="24"/>
                <w:szCs w:val="24"/>
              </w:rPr>
            </w:pPr>
          </w:p>
        </w:tc>
        <w:tc>
          <w:tcPr>
            <w:tcW w:w="1112" w:type="dxa"/>
            <w:vMerge w:val="continue"/>
            <w:vAlign w:val="center"/>
          </w:tcPr>
          <w:p>
            <w:pPr>
              <w:pStyle w:val="38"/>
              <w:jc w:val="center"/>
              <w:rPr>
                <w:rFonts w:ascii="Times New Roman" w:hAnsi="Times New Roman" w:cs="Times New Roman"/>
                <w:sz w:val="24"/>
                <w:szCs w:val="24"/>
              </w:rPr>
            </w:pPr>
          </w:p>
        </w:tc>
        <w:tc>
          <w:tcPr>
            <w:tcW w:w="4695" w:type="dxa"/>
            <w:vAlign w:val="center"/>
          </w:tcPr>
          <w:p>
            <w:pPr>
              <w:pStyle w:val="38"/>
              <w:jc w:val="center"/>
              <w:rPr>
                <w:rFonts w:ascii="Times New Roman" w:hAnsi="Times New Roman" w:cs="Times New Roman"/>
                <w:sz w:val="24"/>
                <w:szCs w:val="24"/>
              </w:rPr>
            </w:pPr>
            <w:r>
              <w:rPr>
                <w:rFonts w:ascii="Times New Roman" w:hAnsi="Times New Roman" w:cs="Times New Roman"/>
                <w:sz w:val="24"/>
                <w:szCs w:val="24"/>
              </w:rPr>
              <w:t>历史数据数量</w:t>
            </w:r>
            <w:r>
              <w:rPr>
                <w:rFonts w:ascii="Times New Roman" w:hAnsi="Times New Roman" w:cs="Times New Roman"/>
                <w:sz w:val="24"/>
                <w:szCs w:val="24"/>
                <w:lang w:eastAsia="zh-CN"/>
              </w:rPr>
              <w:t xml:space="preserve">  </w:t>
            </w:r>
            <w:r>
              <w:rPr>
                <w:rFonts w:ascii="Times New Roman" w:hAnsi="Times New Roman" w:cs="Times New Roman"/>
                <w:sz w:val="24"/>
                <w:szCs w:val="24"/>
              </w:rPr>
              <w:t>&gt;4000条</w:t>
            </w:r>
          </w:p>
        </w:tc>
        <w:tc>
          <w:tcPr>
            <w:tcW w:w="572" w:type="dxa"/>
            <w:vMerge w:val="continue"/>
            <w:vAlign w:val="center"/>
          </w:tcPr>
          <w:p>
            <w:pPr>
              <w:pStyle w:val="38"/>
              <w:jc w:val="center"/>
              <w:rPr>
                <w:rFonts w:ascii="Times New Roman" w:hAnsi="Times New Roman" w:cs="Times New Roman"/>
                <w:sz w:val="24"/>
                <w:szCs w:val="24"/>
                <w:lang w:eastAsia="zh-CN"/>
              </w:rPr>
            </w:pPr>
          </w:p>
        </w:tc>
        <w:tc>
          <w:tcPr>
            <w:tcW w:w="424" w:type="dxa"/>
            <w:vMerge w:val="continue"/>
            <w:vAlign w:val="center"/>
          </w:tcPr>
          <w:p>
            <w:pPr>
              <w:pStyle w:val="38"/>
              <w:jc w:val="center"/>
              <w:rPr>
                <w:rFonts w:ascii="Times New Roman" w:hAnsi="Times New Roman" w:cs="Times New Roman"/>
                <w:sz w:val="24"/>
                <w:szCs w:val="24"/>
                <w:lang w:eastAsia="zh-CN"/>
              </w:rPr>
            </w:pPr>
          </w:p>
        </w:tc>
        <w:tc>
          <w:tcPr>
            <w:tcW w:w="528" w:type="dxa"/>
            <w:vMerge w:val="continue"/>
            <w:vAlign w:val="center"/>
          </w:tcPr>
          <w:p>
            <w:pPr>
              <w:pStyle w:val="38"/>
              <w:jc w:val="center"/>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017" w:type="dxa"/>
            <w:vMerge w:val="continue"/>
            <w:vAlign w:val="center"/>
          </w:tcPr>
          <w:p>
            <w:pPr>
              <w:pStyle w:val="38"/>
              <w:jc w:val="center"/>
              <w:rPr>
                <w:rFonts w:ascii="Times New Roman" w:hAnsi="Times New Roman" w:cs="Times New Roman"/>
                <w:sz w:val="24"/>
                <w:szCs w:val="24"/>
              </w:rPr>
            </w:pPr>
          </w:p>
        </w:tc>
        <w:tc>
          <w:tcPr>
            <w:tcW w:w="1112" w:type="dxa"/>
            <w:vMerge w:val="continue"/>
            <w:vAlign w:val="center"/>
          </w:tcPr>
          <w:p>
            <w:pPr>
              <w:pStyle w:val="38"/>
              <w:jc w:val="center"/>
              <w:rPr>
                <w:rFonts w:ascii="Times New Roman" w:hAnsi="Times New Roman" w:cs="Times New Roman"/>
                <w:sz w:val="24"/>
                <w:szCs w:val="24"/>
              </w:rPr>
            </w:pPr>
          </w:p>
        </w:tc>
        <w:tc>
          <w:tcPr>
            <w:tcW w:w="4695" w:type="dxa"/>
            <w:vAlign w:val="center"/>
          </w:tcPr>
          <w:p>
            <w:pPr>
              <w:pStyle w:val="38"/>
              <w:jc w:val="center"/>
              <w:rPr>
                <w:rFonts w:ascii="Times New Roman" w:hAnsi="Times New Roman" w:cs="Times New Roman"/>
                <w:sz w:val="24"/>
                <w:szCs w:val="24"/>
              </w:rPr>
            </w:pPr>
            <w:r>
              <w:rPr>
                <w:rFonts w:ascii="Times New Roman" w:hAnsi="Times New Roman" w:cs="Times New Roman"/>
                <w:sz w:val="24"/>
                <w:szCs w:val="24"/>
              </w:rPr>
              <w:t>存储时间&gt;10年</w:t>
            </w:r>
          </w:p>
        </w:tc>
        <w:tc>
          <w:tcPr>
            <w:tcW w:w="572" w:type="dxa"/>
            <w:vMerge w:val="continue"/>
            <w:vAlign w:val="center"/>
          </w:tcPr>
          <w:p>
            <w:pPr>
              <w:pStyle w:val="38"/>
              <w:jc w:val="center"/>
              <w:rPr>
                <w:rFonts w:ascii="Times New Roman" w:hAnsi="Times New Roman" w:cs="Times New Roman"/>
                <w:sz w:val="24"/>
                <w:szCs w:val="24"/>
                <w:lang w:eastAsia="zh-CN"/>
              </w:rPr>
            </w:pPr>
          </w:p>
        </w:tc>
        <w:tc>
          <w:tcPr>
            <w:tcW w:w="424" w:type="dxa"/>
            <w:vMerge w:val="continue"/>
            <w:vAlign w:val="center"/>
          </w:tcPr>
          <w:p>
            <w:pPr>
              <w:pStyle w:val="38"/>
              <w:jc w:val="center"/>
              <w:rPr>
                <w:rFonts w:ascii="Times New Roman" w:hAnsi="Times New Roman" w:cs="Times New Roman"/>
                <w:sz w:val="24"/>
                <w:szCs w:val="24"/>
                <w:lang w:eastAsia="zh-CN"/>
              </w:rPr>
            </w:pPr>
          </w:p>
        </w:tc>
        <w:tc>
          <w:tcPr>
            <w:tcW w:w="528" w:type="dxa"/>
            <w:vMerge w:val="continue"/>
            <w:vAlign w:val="center"/>
          </w:tcPr>
          <w:p>
            <w:pPr>
              <w:pStyle w:val="38"/>
              <w:jc w:val="center"/>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017" w:type="dxa"/>
            <w:vMerge w:val="continue"/>
            <w:vAlign w:val="center"/>
          </w:tcPr>
          <w:p>
            <w:pPr>
              <w:pStyle w:val="38"/>
              <w:jc w:val="center"/>
              <w:rPr>
                <w:rFonts w:ascii="Times New Roman" w:hAnsi="Times New Roman" w:cs="Times New Roman"/>
                <w:sz w:val="24"/>
                <w:szCs w:val="24"/>
              </w:rPr>
            </w:pPr>
          </w:p>
        </w:tc>
        <w:tc>
          <w:tcPr>
            <w:tcW w:w="1112" w:type="dxa"/>
            <w:vMerge w:val="continue"/>
            <w:vAlign w:val="center"/>
          </w:tcPr>
          <w:p>
            <w:pPr>
              <w:pStyle w:val="38"/>
              <w:jc w:val="center"/>
              <w:rPr>
                <w:rFonts w:ascii="Times New Roman" w:hAnsi="Times New Roman" w:cs="Times New Roman"/>
                <w:sz w:val="24"/>
                <w:szCs w:val="24"/>
              </w:rPr>
            </w:pPr>
          </w:p>
        </w:tc>
        <w:tc>
          <w:tcPr>
            <w:tcW w:w="4695" w:type="dxa"/>
            <w:vAlign w:val="center"/>
          </w:tcPr>
          <w:p>
            <w:pPr>
              <w:pStyle w:val="38"/>
              <w:jc w:val="center"/>
              <w:rPr>
                <w:rFonts w:ascii="Times New Roman" w:hAnsi="Times New Roman" w:cs="Times New Roman"/>
                <w:sz w:val="24"/>
                <w:szCs w:val="24"/>
              </w:rPr>
            </w:pPr>
            <w:r>
              <w:rPr>
                <w:rFonts w:ascii="Times New Roman" w:hAnsi="Times New Roman" w:cs="Times New Roman"/>
                <w:sz w:val="24"/>
                <w:szCs w:val="24"/>
              </w:rPr>
              <w:t>防水等级IP68</w:t>
            </w:r>
          </w:p>
        </w:tc>
        <w:tc>
          <w:tcPr>
            <w:tcW w:w="572" w:type="dxa"/>
            <w:vMerge w:val="continue"/>
            <w:vAlign w:val="center"/>
          </w:tcPr>
          <w:p>
            <w:pPr>
              <w:pStyle w:val="38"/>
              <w:jc w:val="center"/>
              <w:rPr>
                <w:rFonts w:ascii="Times New Roman" w:hAnsi="Times New Roman" w:cs="Times New Roman"/>
                <w:sz w:val="24"/>
                <w:szCs w:val="24"/>
                <w:lang w:eastAsia="zh-CN"/>
              </w:rPr>
            </w:pPr>
          </w:p>
        </w:tc>
        <w:tc>
          <w:tcPr>
            <w:tcW w:w="424" w:type="dxa"/>
            <w:vMerge w:val="continue"/>
            <w:vAlign w:val="center"/>
          </w:tcPr>
          <w:p>
            <w:pPr>
              <w:pStyle w:val="38"/>
              <w:jc w:val="center"/>
              <w:rPr>
                <w:rFonts w:ascii="Times New Roman" w:hAnsi="Times New Roman" w:cs="Times New Roman"/>
                <w:sz w:val="24"/>
                <w:szCs w:val="24"/>
                <w:lang w:eastAsia="zh-CN"/>
              </w:rPr>
            </w:pPr>
          </w:p>
        </w:tc>
        <w:tc>
          <w:tcPr>
            <w:tcW w:w="528" w:type="dxa"/>
            <w:vMerge w:val="continue"/>
            <w:vAlign w:val="center"/>
          </w:tcPr>
          <w:p>
            <w:pPr>
              <w:pStyle w:val="38"/>
              <w:jc w:val="center"/>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017" w:type="dxa"/>
            <w:vMerge w:val="continue"/>
            <w:vAlign w:val="center"/>
          </w:tcPr>
          <w:p>
            <w:pPr>
              <w:pStyle w:val="38"/>
              <w:jc w:val="center"/>
              <w:rPr>
                <w:rFonts w:ascii="Times New Roman" w:hAnsi="Times New Roman" w:cs="Times New Roman"/>
                <w:sz w:val="24"/>
                <w:szCs w:val="24"/>
              </w:rPr>
            </w:pPr>
          </w:p>
        </w:tc>
        <w:tc>
          <w:tcPr>
            <w:tcW w:w="1112" w:type="dxa"/>
            <w:vMerge w:val="continue"/>
            <w:vAlign w:val="center"/>
          </w:tcPr>
          <w:p>
            <w:pPr>
              <w:pStyle w:val="38"/>
              <w:jc w:val="center"/>
              <w:rPr>
                <w:rFonts w:ascii="Times New Roman" w:hAnsi="Times New Roman" w:cs="Times New Roman"/>
                <w:sz w:val="24"/>
                <w:szCs w:val="24"/>
              </w:rPr>
            </w:pPr>
          </w:p>
        </w:tc>
        <w:tc>
          <w:tcPr>
            <w:tcW w:w="4695" w:type="dxa"/>
            <w:vAlign w:val="center"/>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工作环境  温度（-40℃~+85℃),环境相对湿度</w:t>
            </w:r>
          </w:p>
        </w:tc>
        <w:tc>
          <w:tcPr>
            <w:tcW w:w="572" w:type="dxa"/>
            <w:vMerge w:val="continue"/>
            <w:vAlign w:val="center"/>
          </w:tcPr>
          <w:p>
            <w:pPr>
              <w:pStyle w:val="38"/>
              <w:jc w:val="center"/>
              <w:rPr>
                <w:rFonts w:ascii="Times New Roman" w:hAnsi="Times New Roman" w:cs="Times New Roman"/>
                <w:sz w:val="24"/>
                <w:szCs w:val="24"/>
                <w:lang w:eastAsia="zh-CN"/>
              </w:rPr>
            </w:pPr>
          </w:p>
        </w:tc>
        <w:tc>
          <w:tcPr>
            <w:tcW w:w="424" w:type="dxa"/>
            <w:vMerge w:val="continue"/>
            <w:vAlign w:val="center"/>
          </w:tcPr>
          <w:p>
            <w:pPr>
              <w:pStyle w:val="38"/>
              <w:jc w:val="center"/>
              <w:rPr>
                <w:rFonts w:ascii="Times New Roman" w:hAnsi="Times New Roman" w:cs="Times New Roman"/>
                <w:sz w:val="24"/>
                <w:szCs w:val="24"/>
                <w:lang w:eastAsia="zh-CN"/>
              </w:rPr>
            </w:pPr>
          </w:p>
        </w:tc>
        <w:tc>
          <w:tcPr>
            <w:tcW w:w="528" w:type="dxa"/>
            <w:vMerge w:val="continue"/>
            <w:vAlign w:val="center"/>
          </w:tcPr>
          <w:p>
            <w:pPr>
              <w:pStyle w:val="38"/>
              <w:jc w:val="center"/>
              <w:rPr>
                <w:rFonts w:ascii="Times New Roman" w:hAnsi="Times New Roman" w:cs="Times New Roman"/>
                <w:sz w:val="24"/>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017" w:type="dxa"/>
            <w:vMerge w:val="continue"/>
            <w:vAlign w:val="center"/>
          </w:tcPr>
          <w:p>
            <w:pPr>
              <w:pStyle w:val="38"/>
              <w:jc w:val="center"/>
              <w:rPr>
                <w:rFonts w:ascii="Times New Roman" w:hAnsi="Times New Roman" w:cs="Times New Roman"/>
                <w:sz w:val="24"/>
                <w:szCs w:val="24"/>
                <w:lang w:eastAsia="zh-CN"/>
              </w:rPr>
            </w:pPr>
          </w:p>
        </w:tc>
        <w:tc>
          <w:tcPr>
            <w:tcW w:w="1112" w:type="dxa"/>
            <w:vMerge w:val="continue"/>
            <w:vAlign w:val="center"/>
          </w:tcPr>
          <w:p>
            <w:pPr>
              <w:pStyle w:val="38"/>
              <w:jc w:val="center"/>
              <w:rPr>
                <w:rFonts w:ascii="Times New Roman" w:hAnsi="Times New Roman" w:cs="Times New Roman"/>
                <w:sz w:val="24"/>
                <w:szCs w:val="24"/>
                <w:lang w:eastAsia="zh-CN"/>
              </w:rPr>
            </w:pPr>
          </w:p>
        </w:tc>
        <w:tc>
          <w:tcPr>
            <w:tcW w:w="4695" w:type="dxa"/>
            <w:vAlign w:val="center"/>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立杆：3.5m镀锌钢管，无缝烤漆工艺。配套避雷针避雷器，含基础</w:t>
            </w:r>
          </w:p>
        </w:tc>
        <w:tc>
          <w:tcPr>
            <w:tcW w:w="572" w:type="dxa"/>
            <w:vMerge w:val="continue"/>
            <w:vAlign w:val="center"/>
          </w:tcPr>
          <w:p>
            <w:pPr>
              <w:pStyle w:val="38"/>
              <w:jc w:val="center"/>
              <w:rPr>
                <w:rFonts w:ascii="Times New Roman" w:hAnsi="Times New Roman" w:cs="Times New Roman"/>
                <w:sz w:val="24"/>
                <w:szCs w:val="24"/>
                <w:lang w:eastAsia="zh-CN"/>
              </w:rPr>
            </w:pPr>
          </w:p>
        </w:tc>
        <w:tc>
          <w:tcPr>
            <w:tcW w:w="424" w:type="dxa"/>
            <w:vMerge w:val="continue"/>
            <w:vAlign w:val="center"/>
          </w:tcPr>
          <w:p>
            <w:pPr>
              <w:pStyle w:val="38"/>
              <w:jc w:val="center"/>
              <w:rPr>
                <w:rFonts w:ascii="Times New Roman" w:hAnsi="Times New Roman" w:cs="Times New Roman"/>
                <w:sz w:val="24"/>
                <w:szCs w:val="24"/>
                <w:lang w:eastAsia="zh-CN"/>
              </w:rPr>
            </w:pPr>
          </w:p>
        </w:tc>
        <w:tc>
          <w:tcPr>
            <w:tcW w:w="528" w:type="dxa"/>
            <w:vMerge w:val="continue"/>
            <w:vAlign w:val="center"/>
          </w:tcPr>
          <w:p>
            <w:pPr>
              <w:pStyle w:val="38"/>
              <w:jc w:val="center"/>
              <w:rPr>
                <w:rFonts w:ascii="Times New Roman" w:hAnsi="Times New Roman" w:cs="Times New Roman"/>
                <w:sz w:val="24"/>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017" w:type="dxa"/>
            <w:vMerge w:val="continue"/>
            <w:vAlign w:val="center"/>
          </w:tcPr>
          <w:p>
            <w:pPr>
              <w:pStyle w:val="38"/>
              <w:jc w:val="center"/>
              <w:rPr>
                <w:rFonts w:ascii="Times New Roman" w:hAnsi="Times New Roman" w:cs="Times New Roman"/>
                <w:sz w:val="24"/>
                <w:szCs w:val="24"/>
                <w:lang w:eastAsia="zh-CN"/>
              </w:rPr>
            </w:pPr>
          </w:p>
        </w:tc>
        <w:tc>
          <w:tcPr>
            <w:tcW w:w="1112" w:type="dxa"/>
            <w:vMerge w:val="continue"/>
            <w:tcBorders>
              <w:bottom w:val="single" w:color="000000" w:sz="2" w:space="0"/>
            </w:tcBorders>
            <w:vAlign w:val="center"/>
          </w:tcPr>
          <w:p>
            <w:pPr>
              <w:pStyle w:val="38"/>
              <w:jc w:val="center"/>
              <w:rPr>
                <w:rFonts w:ascii="Times New Roman" w:hAnsi="Times New Roman" w:cs="Times New Roman"/>
                <w:sz w:val="24"/>
                <w:szCs w:val="24"/>
                <w:lang w:eastAsia="zh-CN"/>
              </w:rPr>
            </w:pPr>
          </w:p>
        </w:tc>
        <w:tc>
          <w:tcPr>
            <w:tcW w:w="4695" w:type="dxa"/>
            <w:tcBorders>
              <w:bottom w:val="single" w:color="000000" w:sz="2" w:space="0"/>
            </w:tcBorders>
            <w:vAlign w:val="center"/>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机箱：不锈钢，防水 IP55，标识；尺寸根据实际传感器尺寸确定，且需要考虑RTU电源等附件的安装</w:t>
            </w:r>
          </w:p>
        </w:tc>
        <w:tc>
          <w:tcPr>
            <w:tcW w:w="572" w:type="dxa"/>
            <w:vMerge w:val="continue"/>
            <w:vAlign w:val="center"/>
          </w:tcPr>
          <w:p>
            <w:pPr>
              <w:pStyle w:val="38"/>
              <w:jc w:val="center"/>
              <w:rPr>
                <w:rFonts w:ascii="Times New Roman" w:hAnsi="Times New Roman" w:cs="Times New Roman"/>
                <w:sz w:val="24"/>
                <w:szCs w:val="24"/>
                <w:lang w:eastAsia="zh-CN"/>
              </w:rPr>
            </w:pPr>
          </w:p>
        </w:tc>
        <w:tc>
          <w:tcPr>
            <w:tcW w:w="424" w:type="dxa"/>
            <w:vMerge w:val="continue"/>
            <w:vAlign w:val="center"/>
          </w:tcPr>
          <w:p>
            <w:pPr>
              <w:pStyle w:val="38"/>
              <w:jc w:val="center"/>
              <w:rPr>
                <w:rFonts w:ascii="Times New Roman" w:hAnsi="Times New Roman" w:cs="Times New Roman"/>
                <w:sz w:val="24"/>
                <w:szCs w:val="24"/>
                <w:lang w:eastAsia="zh-CN"/>
              </w:rPr>
            </w:pPr>
          </w:p>
        </w:tc>
        <w:tc>
          <w:tcPr>
            <w:tcW w:w="528" w:type="dxa"/>
            <w:vMerge w:val="continue"/>
            <w:vAlign w:val="center"/>
          </w:tcPr>
          <w:p>
            <w:pPr>
              <w:pStyle w:val="38"/>
              <w:jc w:val="center"/>
              <w:rPr>
                <w:rFonts w:ascii="Times New Roman" w:hAnsi="Times New Roman" w:cs="Times New Roman"/>
                <w:sz w:val="24"/>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017" w:type="dxa"/>
            <w:vMerge w:val="continue"/>
            <w:vAlign w:val="center"/>
          </w:tcPr>
          <w:p>
            <w:pPr>
              <w:pStyle w:val="38"/>
              <w:jc w:val="center"/>
              <w:rPr>
                <w:rFonts w:ascii="Times New Roman" w:hAnsi="Times New Roman" w:cs="Times New Roman"/>
                <w:sz w:val="24"/>
                <w:szCs w:val="24"/>
                <w:lang w:eastAsia="zh-CN"/>
              </w:rPr>
            </w:pPr>
          </w:p>
        </w:tc>
        <w:tc>
          <w:tcPr>
            <w:tcW w:w="1112" w:type="dxa"/>
            <w:vMerge w:val="restart"/>
            <w:tcBorders>
              <w:top w:val="single" w:color="000000" w:sz="2" w:space="0"/>
              <w:left w:val="single" w:color="000000" w:sz="2" w:space="0"/>
              <w:right w:val="single" w:color="000000" w:sz="4" w:space="0"/>
            </w:tcBorders>
            <w:vAlign w:val="center"/>
          </w:tcPr>
          <w:p>
            <w:pPr>
              <w:pStyle w:val="38"/>
              <w:jc w:val="center"/>
              <w:rPr>
                <w:rFonts w:ascii="Times New Roman" w:hAnsi="Times New Roman" w:cs="Times New Roman"/>
                <w:sz w:val="24"/>
                <w:szCs w:val="24"/>
              </w:rPr>
            </w:pPr>
            <w:r>
              <w:rPr>
                <w:rFonts w:ascii="Times New Roman" w:hAnsi="Times New Roman" w:cs="Times New Roman"/>
                <w:sz w:val="24"/>
                <w:szCs w:val="24"/>
              </w:rPr>
              <w:t>超声波多普勒流量计</w:t>
            </w:r>
          </w:p>
        </w:tc>
        <w:tc>
          <w:tcPr>
            <w:tcW w:w="4695" w:type="dxa"/>
            <w:tcBorders>
              <w:top w:val="single" w:color="000000" w:sz="2" w:space="0"/>
              <w:left w:val="single" w:color="000000" w:sz="4" w:space="0"/>
              <w:bottom w:val="single" w:color="000000" w:sz="2" w:space="0"/>
            </w:tcBorders>
            <w:vAlign w:val="center"/>
          </w:tcPr>
          <w:p>
            <w:pPr>
              <w:pStyle w:val="38"/>
              <w:jc w:val="center"/>
              <w:rPr>
                <w:rFonts w:ascii="Times New Roman" w:hAnsi="Times New Roman" w:cs="Times New Roman"/>
                <w:sz w:val="24"/>
                <w:szCs w:val="24"/>
              </w:rPr>
            </w:pPr>
            <w:r>
              <w:rPr>
                <w:rFonts w:ascii="Times New Roman" w:hAnsi="Times New Roman" w:cs="Times New Roman"/>
                <w:sz w:val="24"/>
                <w:szCs w:val="24"/>
              </w:rPr>
              <w:t>超声波多普勒流量计</w:t>
            </w:r>
          </w:p>
        </w:tc>
        <w:tc>
          <w:tcPr>
            <w:tcW w:w="572" w:type="dxa"/>
            <w:vMerge w:val="restart"/>
            <w:vAlign w:val="center"/>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套</w:t>
            </w:r>
          </w:p>
        </w:tc>
        <w:tc>
          <w:tcPr>
            <w:tcW w:w="424" w:type="dxa"/>
            <w:vMerge w:val="restart"/>
            <w:vAlign w:val="center"/>
          </w:tcPr>
          <w:p>
            <w:pPr>
              <w:pStyle w:val="38"/>
              <w:jc w:val="center"/>
              <w:rPr>
                <w:rFonts w:ascii="Times New Roman" w:hAnsi="Times New Roman" w:cs="Times New Roman"/>
                <w:sz w:val="24"/>
                <w:szCs w:val="24"/>
                <w:lang w:eastAsia="zh-CN"/>
              </w:rPr>
            </w:pPr>
            <w:r>
              <w:rPr>
                <w:rFonts w:ascii="Times New Roman" w:hAnsi="Times New Roman" w:cs="Times New Roman"/>
                <w:sz w:val="24"/>
                <w:szCs w:val="24"/>
              </w:rPr>
              <w:t>3</w:t>
            </w:r>
          </w:p>
        </w:tc>
        <w:tc>
          <w:tcPr>
            <w:tcW w:w="528" w:type="dxa"/>
            <w:vMerge w:val="restart"/>
            <w:vAlign w:val="center"/>
          </w:tcPr>
          <w:p>
            <w:pPr>
              <w:pStyle w:val="38"/>
              <w:jc w:val="center"/>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017" w:type="dxa"/>
            <w:vMerge w:val="continue"/>
            <w:vAlign w:val="center"/>
          </w:tcPr>
          <w:p>
            <w:pPr>
              <w:pStyle w:val="38"/>
              <w:jc w:val="center"/>
              <w:rPr>
                <w:rFonts w:ascii="Times New Roman" w:hAnsi="Times New Roman" w:cs="Times New Roman"/>
                <w:sz w:val="24"/>
                <w:szCs w:val="24"/>
              </w:rPr>
            </w:pPr>
          </w:p>
        </w:tc>
        <w:tc>
          <w:tcPr>
            <w:tcW w:w="1112" w:type="dxa"/>
            <w:vMerge w:val="continue"/>
            <w:tcBorders>
              <w:left w:val="single" w:color="000000" w:sz="2" w:space="0"/>
              <w:right w:val="single" w:color="000000" w:sz="4" w:space="0"/>
            </w:tcBorders>
            <w:vAlign w:val="center"/>
          </w:tcPr>
          <w:p>
            <w:pPr>
              <w:pStyle w:val="38"/>
              <w:jc w:val="center"/>
              <w:rPr>
                <w:rFonts w:ascii="Times New Roman" w:hAnsi="Times New Roman" w:cs="Times New Roman"/>
                <w:sz w:val="24"/>
                <w:szCs w:val="24"/>
              </w:rPr>
            </w:pPr>
          </w:p>
        </w:tc>
        <w:tc>
          <w:tcPr>
            <w:tcW w:w="4695" w:type="dxa"/>
            <w:tcBorders>
              <w:top w:val="single" w:color="000000" w:sz="2" w:space="0"/>
            </w:tcBorders>
            <w:vAlign w:val="center"/>
          </w:tcPr>
          <w:p>
            <w:pPr>
              <w:pStyle w:val="38"/>
              <w:jc w:val="center"/>
              <w:rPr>
                <w:rFonts w:ascii="Times New Roman" w:hAnsi="Times New Roman" w:cs="Times New Roman"/>
                <w:sz w:val="24"/>
                <w:szCs w:val="24"/>
              </w:rPr>
            </w:pPr>
            <w:r>
              <w:rPr>
                <w:rFonts w:ascii="Times New Roman" w:hAnsi="Times New Roman" w:cs="Times New Roman"/>
                <w:sz w:val="24"/>
                <w:szCs w:val="24"/>
              </w:rPr>
              <w:t>测速范围：-6m~6m/s</w:t>
            </w:r>
          </w:p>
        </w:tc>
        <w:tc>
          <w:tcPr>
            <w:tcW w:w="572" w:type="dxa"/>
            <w:vMerge w:val="continue"/>
            <w:vAlign w:val="center"/>
          </w:tcPr>
          <w:p>
            <w:pPr>
              <w:pStyle w:val="38"/>
              <w:jc w:val="center"/>
              <w:rPr>
                <w:rFonts w:ascii="Times New Roman" w:hAnsi="Times New Roman" w:cs="Times New Roman"/>
                <w:sz w:val="24"/>
                <w:szCs w:val="24"/>
                <w:lang w:eastAsia="zh-CN"/>
              </w:rPr>
            </w:pPr>
          </w:p>
        </w:tc>
        <w:tc>
          <w:tcPr>
            <w:tcW w:w="424" w:type="dxa"/>
            <w:vMerge w:val="continue"/>
            <w:vAlign w:val="center"/>
          </w:tcPr>
          <w:p>
            <w:pPr>
              <w:pStyle w:val="38"/>
              <w:jc w:val="center"/>
              <w:rPr>
                <w:rFonts w:ascii="Times New Roman" w:hAnsi="Times New Roman" w:cs="Times New Roman"/>
                <w:sz w:val="24"/>
                <w:szCs w:val="24"/>
                <w:lang w:eastAsia="zh-CN"/>
              </w:rPr>
            </w:pPr>
          </w:p>
        </w:tc>
        <w:tc>
          <w:tcPr>
            <w:tcW w:w="528" w:type="dxa"/>
            <w:vMerge w:val="continue"/>
            <w:vAlign w:val="center"/>
          </w:tcPr>
          <w:p>
            <w:pPr>
              <w:pStyle w:val="38"/>
              <w:jc w:val="center"/>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017" w:type="dxa"/>
            <w:vMerge w:val="continue"/>
            <w:vAlign w:val="center"/>
          </w:tcPr>
          <w:p>
            <w:pPr>
              <w:pStyle w:val="38"/>
              <w:jc w:val="center"/>
              <w:rPr>
                <w:rFonts w:ascii="Times New Roman" w:hAnsi="Times New Roman" w:cs="Times New Roman"/>
                <w:sz w:val="24"/>
                <w:szCs w:val="24"/>
              </w:rPr>
            </w:pPr>
          </w:p>
        </w:tc>
        <w:tc>
          <w:tcPr>
            <w:tcW w:w="1112" w:type="dxa"/>
            <w:vMerge w:val="continue"/>
            <w:tcBorders>
              <w:left w:val="single" w:color="000000" w:sz="2" w:space="0"/>
              <w:right w:val="single" w:color="000000" w:sz="4" w:space="0"/>
            </w:tcBorders>
            <w:vAlign w:val="center"/>
          </w:tcPr>
          <w:p>
            <w:pPr>
              <w:pStyle w:val="38"/>
              <w:jc w:val="center"/>
              <w:rPr>
                <w:rFonts w:ascii="Times New Roman" w:hAnsi="Times New Roman" w:cs="Times New Roman"/>
                <w:sz w:val="24"/>
                <w:szCs w:val="24"/>
              </w:rPr>
            </w:pPr>
          </w:p>
        </w:tc>
        <w:tc>
          <w:tcPr>
            <w:tcW w:w="4695" w:type="dxa"/>
            <w:vAlign w:val="center"/>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测速精度：±0.005m/s；±1％FS</w:t>
            </w:r>
          </w:p>
        </w:tc>
        <w:tc>
          <w:tcPr>
            <w:tcW w:w="572" w:type="dxa"/>
            <w:vMerge w:val="continue"/>
            <w:vAlign w:val="center"/>
          </w:tcPr>
          <w:p>
            <w:pPr>
              <w:pStyle w:val="38"/>
              <w:jc w:val="center"/>
              <w:rPr>
                <w:rFonts w:ascii="Times New Roman" w:hAnsi="Times New Roman" w:cs="Times New Roman"/>
                <w:sz w:val="24"/>
                <w:szCs w:val="24"/>
                <w:lang w:eastAsia="zh-CN"/>
              </w:rPr>
            </w:pPr>
          </w:p>
        </w:tc>
        <w:tc>
          <w:tcPr>
            <w:tcW w:w="424" w:type="dxa"/>
            <w:vMerge w:val="continue"/>
            <w:vAlign w:val="center"/>
          </w:tcPr>
          <w:p>
            <w:pPr>
              <w:pStyle w:val="38"/>
              <w:jc w:val="center"/>
              <w:rPr>
                <w:rFonts w:ascii="Times New Roman" w:hAnsi="Times New Roman" w:cs="Times New Roman"/>
                <w:sz w:val="24"/>
                <w:szCs w:val="24"/>
                <w:lang w:eastAsia="zh-CN"/>
              </w:rPr>
            </w:pPr>
          </w:p>
        </w:tc>
        <w:tc>
          <w:tcPr>
            <w:tcW w:w="528" w:type="dxa"/>
            <w:vMerge w:val="continue"/>
            <w:vAlign w:val="center"/>
          </w:tcPr>
          <w:p>
            <w:pPr>
              <w:pStyle w:val="38"/>
              <w:jc w:val="center"/>
              <w:rPr>
                <w:rFonts w:ascii="Times New Roman" w:hAnsi="Times New Roman" w:cs="Times New Roman"/>
                <w:sz w:val="24"/>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017" w:type="dxa"/>
            <w:vMerge w:val="continue"/>
            <w:vAlign w:val="center"/>
          </w:tcPr>
          <w:p>
            <w:pPr>
              <w:pStyle w:val="38"/>
              <w:jc w:val="center"/>
              <w:rPr>
                <w:rFonts w:ascii="Times New Roman" w:hAnsi="Times New Roman" w:cs="Times New Roman"/>
                <w:sz w:val="24"/>
                <w:szCs w:val="24"/>
                <w:lang w:eastAsia="zh-CN"/>
              </w:rPr>
            </w:pPr>
          </w:p>
        </w:tc>
        <w:tc>
          <w:tcPr>
            <w:tcW w:w="1112" w:type="dxa"/>
            <w:vMerge w:val="continue"/>
            <w:tcBorders>
              <w:left w:val="single" w:color="000000" w:sz="2" w:space="0"/>
              <w:right w:val="single" w:color="000000" w:sz="4" w:space="0"/>
            </w:tcBorders>
            <w:vAlign w:val="center"/>
          </w:tcPr>
          <w:p>
            <w:pPr>
              <w:pStyle w:val="38"/>
              <w:jc w:val="center"/>
              <w:rPr>
                <w:rFonts w:ascii="Times New Roman" w:hAnsi="Times New Roman" w:cs="Times New Roman"/>
                <w:sz w:val="24"/>
                <w:szCs w:val="24"/>
                <w:lang w:eastAsia="zh-CN"/>
              </w:rPr>
            </w:pPr>
          </w:p>
        </w:tc>
        <w:tc>
          <w:tcPr>
            <w:tcW w:w="4695" w:type="dxa"/>
            <w:vAlign w:val="center"/>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稳定输出数据时间：小于10s</w:t>
            </w:r>
          </w:p>
        </w:tc>
        <w:tc>
          <w:tcPr>
            <w:tcW w:w="572" w:type="dxa"/>
            <w:vMerge w:val="continue"/>
            <w:vAlign w:val="center"/>
          </w:tcPr>
          <w:p>
            <w:pPr>
              <w:pStyle w:val="38"/>
              <w:jc w:val="center"/>
              <w:rPr>
                <w:rFonts w:ascii="Times New Roman" w:hAnsi="Times New Roman" w:cs="Times New Roman"/>
                <w:sz w:val="24"/>
                <w:szCs w:val="24"/>
                <w:lang w:eastAsia="zh-CN"/>
              </w:rPr>
            </w:pPr>
          </w:p>
        </w:tc>
        <w:tc>
          <w:tcPr>
            <w:tcW w:w="424" w:type="dxa"/>
            <w:vMerge w:val="continue"/>
            <w:vAlign w:val="center"/>
          </w:tcPr>
          <w:p>
            <w:pPr>
              <w:pStyle w:val="38"/>
              <w:jc w:val="center"/>
              <w:rPr>
                <w:rFonts w:ascii="Times New Roman" w:hAnsi="Times New Roman" w:cs="Times New Roman"/>
                <w:sz w:val="24"/>
                <w:szCs w:val="24"/>
                <w:lang w:eastAsia="zh-CN"/>
              </w:rPr>
            </w:pPr>
          </w:p>
        </w:tc>
        <w:tc>
          <w:tcPr>
            <w:tcW w:w="528" w:type="dxa"/>
            <w:vMerge w:val="continue"/>
            <w:vAlign w:val="center"/>
          </w:tcPr>
          <w:p>
            <w:pPr>
              <w:pStyle w:val="38"/>
              <w:jc w:val="center"/>
              <w:rPr>
                <w:rFonts w:ascii="Times New Roman" w:hAnsi="Times New Roman" w:cs="Times New Roman"/>
                <w:sz w:val="24"/>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017" w:type="dxa"/>
            <w:vMerge w:val="continue"/>
            <w:vAlign w:val="center"/>
          </w:tcPr>
          <w:p>
            <w:pPr>
              <w:pStyle w:val="38"/>
              <w:jc w:val="center"/>
              <w:rPr>
                <w:rFonts w:ascii="Times New Roman" w:hAnsi="Times New Roman" w:cs="Times New Roman"/>
                <w:sz w:val="24"/>
                <w:szCs w:val="24"/>
                <w:lang w:eastAsia="zh-CN"/>
              </w:rPr>
            </w:pPr>
          </w:p>
        </w:tc>
        <w:tc>
          <w:tcPr>
            <w:tcW w:w="1112" w:type="dxa"/>
            <w:vMerge w:val="continue"/>
            <w:tcBorders>
              <w:left w:val="single" w:color="000000" w:sz="2" w:space="0"/>
              <w:right w:val="single" w:color="000000" w:sz="4" w:space="0"/>
            </w:tcBorders>
            <w:vAlign w:val="center"/>
          </w:tcPr>
          <w:p>
            <w:pPr>
              <w:pStyle w:val="38"/>
              <w:jc w:val="center"/>
              <w:rPr>
                <w:rFonts w:ascii="Times New Roman" w:hAnsi="Times New Roman" w:cs="Times New Roman"/>
                <w:sz w:val="24"/>
                <w:szCs w:val="24"/>
                <w:lang w:eastAsia="zh-CN"/>
              </w:rPr>
            </w:pPr>
          </w:p>
        </w:tc>
        <w:tc>
          <w:tcPr>
            <w:tcW w:w="4695" w:type="dxa"/>
            <w:vAlign w:val="center"/>
          </w:tcPr>
          <w:p>
            <w:pPr>
              <w:pStyle w:val="38"/>
              <w:jc w:val="center"/>
              <w:rPr>
                <w:rFonts w:ascii="Times New Roman" w:hAnsi="Times New Roman" w:cs="Times New Roman"/>
                <w:sz w:val="24"/>
                <w:szCs w:val="24"/>
              </w:rPr>
            </w:pPr>
            <w:r>
              <w:rPr>
                <w:rFonts w:ascii="Times New Roman" w:hAnsi="Times New Roman" w:cs="Times New Roman"/>
                <w:sz w:val="24"/>
                <w:szCs w:val="24"/>
              </w:rPr>
              <w:t>最大测量水深：10m</w:t>
            </w:r>
          </w:p>
        </w:tc>
        <w:tc>
          <w:tcPr>
            <w:tcW w:w="572" w:type="dxa"/>
            <w:vMerge w:val="continue"/>
            <w:vAlign w:val="center"/>
          </w:tcPr>
          <w:p>
            <w:pPr>
              <w:pStyle w:val="38"/>
              <w:jc w:val="center"/>
              <w:rPr>
                <w:rFonts w:ascii="Times New Roman" w:hAnsi="Times New Roman" w:cs="Times New Roman"/>
                <w:sz w:val="24"/>
                <w:szCs w:val="24"/>
                <w:lang w:eastAsia="zh-CN"/>
              </w:rPr>
            </w:pPr>
          </w:p>
        </w:tc>
        <w:tc>
          <w:tcPr>
            <w:tcW w:w="424" w:type="dxa"/>
            <w:vMerge w:val="continue"/>
            <w:vAlign w:val="center"/>
          </w:tcPr>
          <w:p>
            <w:pPr>
              <w:pStyle w:val="38"/>
              <w:jc w:val="center"/>
              <w:rPr>
                <w:rFonts w:ascii="Times New Roman" w:hAnsi="Times New Roman" w:cs="Times New Roman"/>
                <w:sz w:val="24"/>
                <w:szCs w:val="24"/>
                <w:lang w:eastAsia="zh-CN"/>
              </w:rPr>
            </w:pPr>
          </w:p>
        </w:tc>
        <w:tc>
          <w:tcPr>
            <w:tcW w:w="528" w:type="dxa"/>
            <w:vMerge w:val="continue"/>
            <w:vAlign w:val="center"/>
          </w:tcPr>
          <w:p>
            <w:pPr>
              <w:pStyle w:val="38"/>
              <w:jc w:val="center"/>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017" w:type="dxa"/>
            <w:vMerge w:val="continue"/>
            <w:vAlign w:val="center"/>
          </w:tcPr>
          <w:p>
            <w:pPr>
              <w:pStyle w:val="38"/>
              <w:jc w:val="center"/>
              <w:rPr>
                <w:rFonts w:ascii="Times New Roman" w:hAnsi="Times New Roman" w:cs="Times New Roman"/>
                <w:sz w:val="24"/>
                <w:szCs w:val="24"/>
              </w:rPr>
            </w:pPr>
          </w:p>
        </w:tc>
        <w:tc>
          <w:tcPr>
            <w:tcW w:w="1112" w:type="dxa"/>
            <w:vMerge w:val="continue"/>
            <w:tcBorders>
              <w:left w:val="single" w:color="000000" w:sz="2" w:space="0"/>
              <w:right w:val="single" w:color="000000" w:sz="4" w:space="0"/>
            </w:tcBorders>
            <w:vAlign w:val="center"/>
          </w:tcPr>
          <w:p>
            <w:pPr>
              <w:pStyle w:val="38"/>
              <w:jc w:val="center"/>
              <w:rPr>
                <w:rFonts w:ascii="Times New Roman" w:hAnsi="Times New Roman" w:cs="Times New Roman"/>
                <w:sz w:val="24"/>
                <w:szCs w:val="24"/>
              </w:rPr>
            </w:pPr>
          </w:p>
        </w:tc>
        <w:tc>
          <w:tcPr>
            <w:tcW w:w="4695" w:type="dxa"/>
            <w:vAlign w:val="center"/>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水位测量精度：±3mm</w:t>
            </w:r>
          </w:p>
        </w:tc>
        <w:tc>
          <w:tcPr>
            <w:tcW w:w="572" w:type="dxa"/>
            <w:vMerge w:val="continue"/>
            <w:vAlign w:val="center"/>
          </w:tcPr>
          <w:p>
            <w:pPr>
              <w:pStyle w:val="38"/>
              <w:jc w:val="center"/>
              <w:rPr>
                <w:rFonts w:ascii="Times New Roman" w:hAnsi="Times New Roman" w:cs="Times New Roman"/>
                <w:sz w:val="24"/>
                <w:szCs w:val="24"/>
                <w:lang w:eastAsia="zh-CN"/>
              </w:rPr>
            </w:pPr>
          </w:p>
        </w:tc>
        <w:tc>
          <w:tcPr>
            <w:tcW w:w="424" w:type="dxa"/>
            <w:vMerge w:val="continue"/>
            <w:vAlign w:val="center"/>
          </w:tcPr>
          <w:p>
            <w:pPr>
              <w:pStyle w:val="38"/>
              <w:jc w:val="center"/>
              <w:rPr>
                <w:rFonts w:ascii="Times New Roman" w:hAnsi="Times New Roman" w:cs="Times New Roman"/>
                <w:sz w:val="24"/>
                <w:szCs w:val="24"/>
                <w:lang w:eastAsia="zh-CN"/>
              </w:rPr>
            </w:pPr>
          </w:p>
        </w:tc>
        <w:tc>
          <w:tcPr>
            <w:tcW w:w="528" w:type="dxa"/>
            <w:vMerge w:val="continue"/>
            <w:vAlign w:val="center"/>
          </w:tcPr>
          <w:p>
            <w:pPr>
              <w:pStyle w:val="38"/>
              <w:jc w:val="center"/>
              <w:rPr>
                <w:rFonts w:ascii="Times New Roman" w:hAnsi="Times New Roman" w:cs="Times New Roman"/>
                <w:sz w:val="24"/>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017" w:type="dxa"/>
            <w:vMerge w:val="continue"/>
            <w:vAlign w:val="center"/>
          </w:tcPr>
          <w:p>
            <w:pPr>
              <w:pStyle w:val="38"/>
              <w:jc w:val="center"/>
              <w:rPr>
                <w:rFonts w:ascii="Times New Roman" w:hAnsi="Times New Roman" w:cs="Times New Roman"/>
                <w:sz w:val="24"/>
                <w:szCs w:val="24"/>
                <w:lang w:eastAsia="zh-CN"/>
              </w:rPr>
            </w:pPr>
          </w:p>
        </w:tc>
        <w:tc>
          <w:tcPr>
            <w:tcW w:w="1112" w:type="dxa"/>
            <w:vMerge w:val="continue"/>
            <w:tcBorders>
              <w:left w:val="single" w:color="000000" w:sz="2" w:space="0"/>
              <w:right w:val="single" w:color="000000" w:sz="4" w:space="0"/>
            </w:tcBorders>
            <w:vAlign w:val="center"/>
          </w:tcPr>
          <w:p>
            <w:pPr>
              <w:pStyle w:val="38"/>
              <w:jc w:val="center"/>
              <w:rPr>
                <w:rFonts w:ascii="Times New Roman" w:hAnsi="Times New Roman" w:cs="Times New Roman"/>
                <w:sz w:val="24"/>
                <w:szCs w:val="24"/>
                <w:lang w:eastAsia="zh-CN"/>
              </w:rPr>
            </w:pPr>
          </w:p>
        </w:tc>
        <w:tc>
          <w:tcPr>
            <w:tcW w:w="4695" w:type="dxa"/>
            <w:vAlign w:val="center"/>
          </w:tcPr>
          <w:p>
            <w:pPr>
              <w:pStyle w:val="38"/>
              <w:jc w:val="center"/>
              <w:rPr>
                <w:rFonts w:ascii="Times New Roman" w:hAnsi="Times New Roman" w:cs="Times New Roman"/>
                <w:sz w:val="24"/>
                <w:szCs w:val="24"/>
              </w:rPr>
            </w:pPr>
            <w:r>
              <w:rPr>
                <w:rFonts w:ascii="Times New Roman" w:hAnsi="Times New Roman" w:cs="Times New Roman"/>
                <w:sz w:val="24"/>
                <w:szCs w:val="24"/>
              </w:rPr>
              <w:t>防护等级：IP68</w:t>
            </w:r>
          </w:p>
        </w:tc>
        <w:tc>
          <w:tcPr>
            <w:tcW w:w="572" w:type="dxa"/>
            <w:vMerge w:val="continue"/>
            <w:vAlign w:val="center"/>
          </w:tcPr>
          <w:p>
            <w:pPr>
              <w:pStyle w:val="38"/>
              <w:jc w:val="center"/>
              <w:rPr>
                <w:rFonts w:ascii="Times New Roman" w:hAnsi="Times New Roman" w:cs="Times New Roman"/>
                <w:sz w:val="24"/>
                <w:szCs w:val="24"/>
                <w:lang w:eastAsia="zh-CN"/>
              </w:rPr>
            </w:pPr>
          </w:p>
        </w:tc>
        <w:tc>
          <w:tcPr>
            <w:tcW w:w="424" w:type="dxa"/>
            <w:vMerge w:val="continue"/>
            <w:vAlign w:val="center"/>
          </w:tcPr>
          <w:p>
            <w:pPr>
              <w:pStyle w:val="38"/>
              <w:jc w:val="center"/>
              <w:rPr>
                <w:rFonts w:ascii="Times New Roman" w:hAnsi="Times New Roman" w:cs="Times New Roman"/>
                <w:sz w:val="24"/>
                <w:szCs w:val="24"/>
                <w:lang w:eastAsia="zh-CN"/>
              </w:rPr>
            </w:pPr>
          </w:p>
        </w:tc>
        <w:tc>
          <w:tcPr>
            <w:tcW w:w="528" w:type="dxa"/>
            <w:vMerge w:val="continue"/>
            <w:vAlign w:val="center"/>
          </w:tcPr>
          <w:p>
            <w:pPr>
              <w:pStyle w:val="38"/>
              <w:jc w:val="center"/>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017" w:type="dxa"/>
            <w:vMerge w:val="continue"/>
            <w:vAlign w:val="center"/>
          </w:tcPr>
          <w:p>
            <w:pPr>
              <w:pStyle w:val="38"/>
              <w:jc w:val="center"/>
              <w:rPr>
                <w:rFonts w:ascii="Times New Roman" w:hAnsi="Times New Roman" w:cs="Times New Roman"/>
                <w:sz w:val="24"/>
                <w:szCs w:val="24"/>
              </w:rPr>
            </w:pPr>
          </w:p>
        </w:tc>
        <w:tc>
          <w:tcPr>
            <w:tcW w:w="1112" w:type="dxa"/>
            <w:vMerge w:val="continue"/>
            <w:tcBorders>
              <w:left w:val="single" w:color="000000" w:sz="2" w:space="0"/>
              <w:right w:val="single" w:color="000000" w:sz="4" w:space="0"/>
            </w:tcBorders>
            <w:vAlign w:val="center"/>
          </w:tcPr>
          <w:p>
            <w:pPr>
              <w:pStyle w:val="38"/>
              <w:jc w:val="center"/>
              <w:rPr>
                <w:rFonts w:ascii="Times New Roman" w:hAnsi="Times New Roman" w:cs="Times New Roman"/>
                <w:sz w:val="24"/>
                <w:szCs w:val="24"/>
              </w:rPr>
            </w:pPr>
          </w:p>
        </w:tc>
        <w:tc>
          <w:tcPr>
            <w:tcW w:w="4695" w:type="dxa"/>
            <w:vAlign w:val="center"/>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太阳能电池：38AH,铅酸电池，ABS材料外壳，浮充期待寿命6年及以上；阴天连续3天及以上续航</w:t>
            </w:r>
          </w:p>
        </w:tc>
        <w:tc>
          <w:tcPr>
            <w:tcW w:w="572" w:type="dxa"/>
            <w:vMerge w:val="continue"/>
            <w:vAlign w:val="center"/>
          </w:tcPr>
          <w:p>
            <w:pPr>
              <w:pStyle w:val="38"/>
              <w:jc w:val="center"/>
              <w:rPr>
                <w:rFonts w:ascii="Times New Roman" w:hAnsi="Times New Roman" w:cs="Times New Roman"/>
                <w:sz w:val="24"/>
                <w:szCs w:val="24"/>
                <w:lang w:eastAsia="zh-CN"/>
              </w:rPr>
            </w:pPr>
          </w:p>
        </w:tc>
        <w:tc>
          <w:tcPr>
            <w:tcW w:w="424" w:type="dxa"/>
            <w:vMerge w:val="continue"/>
            <w:vAlign w:val="center"/>
          </w:tcPr>
          <w:p>
            <w:pPr>
              <w:pStyle w:val="38"/>
              <w:jc w:val="center"/>
              <w:rPr>
                <w:rFonts w:ascii="Times New Roman" w:hAnsi="Times New Roman" w:cs="Times New Roman"/>
                <w:sz w:val="24"/>
                <w:szCs w:val="24"/>
                <w:lang w:eastAsia="zh-CN"/>
              </w:rPr>
            </w:pPr>
          </w:p>
        </w:tc>
        <w:tc>
          <w:tcPr>
            <w:tcW w:w="528" w:type="dxa"/>
            <w:vMerge w:val="continue"/>
            <w:vAlign w:val="center"/>
          </w:tcPr>
          <w:p>
            <w:pPr>
              <w:pStyle w:val="38"/>
              <w:jc w:val="center"/>
              <w:rPr>
                <w:rFonts w:ascii="Times New Roman" w:hAnsi="Times New Roman" w:cs="Times New Roman"/>
                <w:sz w:val="24"/>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017" w:type="dxa"/>
            <w:vMerge w:val="continue"/>
            <w:vAlign w:val="center"/>
          </w:tcPr>
          <w:p>
            <w:pPr>
              <w:pStyle w:val="38"/>
              <w:jc w:val="center"/>
              <w:rPr>
                <w:rFonts w:ascii="Times New Roman" w:hAnsi="Times New Roman" w:cs="Times New Roman"/>
                <w:sz w:val="24"/>
                <w:szCs w:val="24"/>
                <w:lang w:eastAsia="zh-CN"/>
              </w:rPr>
            </w:pPr>
          </w:p>
        </w:tc>
        <w:tc>
          <w:tcPr>
            <w:tcW w:w="1112" w:type="dxa"/>
            <w:vMerge w:val="continue"/>
            <w:tcBorders>
              <w:left w:val="single" w:color="000000" w:sz="2" w:space="0"/>
              <w:right w:val="single" w:color="000000" w:sz="4" w:space="0"/>
            </w:tcBorders>
            <w:vAlign w:val="center"/>
          </w:tcPr>
          <w:p>
            <w:pPr>
              <w:pStyle w:val="38"/>
              <w:jc w:val="center"/>
              <w:rPr>
                <w:rFonts w:ascii="Times New Roman" w:hAnsi="Times New Roman" w:cs="Times New Roman"/>
                <w:sz w:val="24"/>
                <w:szCs w:val="24"/>
                <w:lang w:eastAsia="zh-CN"/>
              </w:rPr>
            </w:pPr>
          </w:p>
        </w:tc>
        <w:tc>
          <w:tcPr>
            <w:tcW w:w="4695" w:type="dxa"/>
            <w:vAlign w:val="center"/>
          </w:tcPr>
          <w:p>
            <w:pPr>
              <w:pStyle w:val="38"/>
              <w:jc w:val="center"/>
              <w:rPr>
                <w:rFonts w:ascii="Times New Roman" w:hAnsi="Times New Roman" w:cs="Times New Roman"/>
                <w:sz w:val="24"/>
                <w:szCs w:val="24"/>
              </w:rPr>
            </w:pPr>
            <w:r>
              <w:rPr>
                <w:rFonts w:ascii="Times New Roman" w:hAnsi="Times New Roman" w:cs="Times New Roman"/>
                <w:sz w:val="24"/>
                <w:szCs w:val="24"/>
              </w:rPr>
              <w:t>遥测终端</w:t>
            </w:r>
            <w:r>
              <w:rPr>
                <w:rFonts w:ascii="Times New Roman" w:hAnsi="Times New Roman" w:cs="Times New Roman"/>
                <w:sz w:val="24"/>
                <w:szCs w:val="24"/>
                <w:lang w:eastAsia="zh-CN"/>
              </w:rPr>
              <w:t xml:space="preserve">  </w:t>
            </w:r>
            <w:r>
              <w:rPr>
                <w:rFonts w:ascii="Times New Roman" w:hAnsi="Times New Roman" w:cs="Times New Roman"/>
                <w:sz w:val="24"/>
                <w:szCs w:val="24"/>
              </w:rPr>
              <w:t>(RTU)</w:t>
            </w:r>
          </w:p>
        </w:tc>
        <w:tc>
          <w:tcPr>
            <w:tcW w:w="572" w:type="dxa"/>
            <w:vMerge w:val="continue"/>
            <w:vAlign w:val="center"/>
          </w:tcPr>
          <w:p>
            <w:pPr>
              <w:pStyle w:val="38"/>
              <w:jc w:val="center"/>
              <w:rPr>
                <w:rFonts w:ascii="Times New Roman" w:hAnsi="Times New Roman" w:cs="Times New Roman"/>
                <w:sz w:val="24"/>
                <w:szCs w:val="24"/>
                <w:lang w:eastAsia="zh-CN"/>
              </w:rPr>
            </w:pPr>
          </w:p>
        </w:tc>
        <w:tc>
          <w:tcPr>
            <w:tcW w:w="424" w:type="dxa"/>
            <w:vMerge w:val="continue"/>
            <w:vAlign w:val="center"/>
          </w:tcPr>
          <w:p>
            <w:pPr>
              <w:pStyle w:val="38"/>
              <w:jc w:val="center"/>
              <w:rPr>
                <w:rFonts w:ascii="Times New Roman" w:hAnsi="Times New Roman" w:cs="Times New Roman"/>
                <w:sz w:val="24"/>
                <w:szCs w:val="24"/>
                <w:lang w:eastAsia="zh-CN"/>
              </w:rPr>
            </w:pPr>
          </w:p>
        </w:tc>
        <w:tc>
          <w:tcPr>
            <w:tcW w:w="528" w:type="dxa"/>
            <w:vMerge w:val="continue"/>
            <w:vAlign w:val="center"/>
          </w:tcPr>
          <w:p>
            <w:pPr>
              <w:pStyle w:val="38"/>
              <w:jc w:val="center"/>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017" w:type="dxa"/>
            <w:vMerge w:val="continue"/>
            <w:vAlign w:val="center"/>
          </w:tcPr>
          <w:p>
            <w:pPr>
              <w:pStyle w:val="38"/>
              <w:jc w:val="center"/>
              <w:rPr>
                <w:rFonts w:ascii="Times New Roman" w:hAnsi="Times New Roman" w:cs="Times New Roman"/>
                <w:sz w:val="24"/>
                <w:szCs w:val="24"/>
              </w:rPr>
            </w:pPr>
          </w:p>
        </w:tc>
        <w:tc>
          <w:tcPr>
            <w:tcW w:w="1112" w:type="dxa"/>
            <w:vMerge w:val="continue"/>
            <w:tcBorders>
              <w:left w:val="single" w:color="000000" w:sz="2" w:space="0"/>
              <w:right w:val="single" w:color="000000" w:sz="4" w:space="0"/>
            </w:tcBorders>
            <w:vAlign w:val="center"/>
          </w:tcPr>
          <w:p>
            <w:pPr>
              <w:pStyle w:val="38"/>
              <w:jc w:val="center"/>
              <w:rPr>
                <w:rFonts w:ascii="Times New Roman" w:hAnsi="Times New Roman" w:cs="Times New Roman"/>
                <w:sz w:val="24"/>
                <w:szCs w:val="24"/>
              </w:rPr>
            </w:pPr>
          </w:p>
        </w:tc>
        <w:tc>
          <w:tcPr>
            <w:tcW w:w="4695" w:type="dxa"/>
            <w:vAlign w:val="center"/>
          </w:tcPr>
          <w:p>
            <w:pPr>
              <w:pStyle w:val="38"/>
              <w:jc w:val="center"/>
              <w:rPr>
                <w:rFonts w:ascii="Times New Roman" w:hAnsi="Times New Roman" w:cs="Times New Roman"/>
                <w:sz w:val="24"/>
                <w:szCs w:val="24"/>
              </w:rPr>
            </w:pPr>
            <w:r>
              <w:rPr>
                <w:rFonts w:ascii="Times New Roman" w:hAnsi="Times New Roman" w:cs="Times New Roman"/>
                <w:sz w:val="24"/>
                <w:szCs w:val="24"/>
              </w:rPr>
              <w:t>通讯方式</w:t>
            </w:r>
            <w:r>
              <w:rPr>
                <w:rFonts w:ascii="Times New Roman" w:hAnsi="Times New Roman" w:cs="Times New Roman"/>
                <w:sz w:val="24"/>
                <w:szCs w:val="24"/>
                <w:lang w:eastAsia="zh-CN"/>
              </w:rPr>
              <w:t xml:space="preserve">  </w:t>
            </w:r>
            <w:r>
              <w:rPr>
                <w:rFonts w:ascii="Times New Roman" w:hAnsi="Times New Roman" w:cs="Times New Roman"/>
                <w:sz w:val="24"/>
                <w:szCs w:val="24"/>
              </w:rPr>
              <w:t>无线传输</w:t>
            </w:r>
          </w:p>
        </w:tc>
        <w:tc>
          <w:tcPr>
            <w:tcW w:w="572" w:type="dxa"/>
            <w:vMerge w:val="continue"/>
            <w:vAlign w:val="center"/>
          </w:tcPr>
          <w:p>
            <w:pPr>
              <w:pStyle w:val="38"/>
              <w:jc w:val="center"/>
              <w:rPr>
                <w:rFonts w:ascii="Times New Roman" w:hAnsi="Times New Roman" w:cs="Times New Roman"/>
                <w:sz w:val="24"/>
                <w:szCs w:val="24"/>
                <w:lang w:eastAsia="zh-CN"/>
              </w:rPr>
            </w:pPr>
          </w:p>
        </w:tc>
        <w:tc>
          <w:tcPr>
            <w:tcW w:w="424" w:type="dxa"/>
            <w:vMerge w:val="continue"/>
            <w:vAlign w:val="center"/>
          </w:tcPr>
          <w:p>
            <w:pPr>
              <w:pStyle w:val="38"/>
              <w:jc w:val="center"/>
              <w:rPr>
                <w:rFonts w:ascii="Times New Roman" w:hAnsi="Times New Roman" w:cs="Times New Roman"/>
                <w:sz w:val="24"/>
                <w:szCs w:val="24"/>
                <w:lang w:eastAsia="zh-CN"/>
              </w:rPr>
            </w:pPr>
          </w:p>
        </w:tc>
        <w:tc>
          <w:tcPr>
            <w:tcW w:w="528" w:type="dxa"/>
            <w:vMerge w:val="continue"/>
            <w:vAlign w:val="center"/>
          </w:tcPr>
          <w:p>
            <w:pPr>
              <w:pStyle w:val="38"/>
              <w:jc w:val="center"/>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017" w:type="dxa"/>
            <w:vMerge w:val="continue"/>
            <w:vAlign w:val="center"/>
          </w:tcPr>
          <w:p>
            <w:pPr>
              <w:pStyle w:val="38"/>
              <w:jc w:val="center"/>
              <w:rPr>
                <w:rFonts w:ascii="Times New Roman" w:hAnsi="Times New Roman" w:cs="Times New Roman"/>
                <w:sz w:val="24"/>
                <w:szCs w:val="24"/>
              </w:rPr>
            </w:pPr>
          </w:p>
        </w:tc>
        <w:tc>
          <w:tcPr>
            <w:tcW w:w="1112" w:type="dxa"/>
            <w:vMerge w:val="continue"/>
            <w:tcBorders>
              <w:left w:val="single" w:color="000000" w:sz="2" w:space="0"/>
              <w:right w:val="single" w:color="000000" w:sz="4" w:space="0"/>
            </w:tcBorders>
            <w:vAlign w:val="center"/>
          </w:tcPr>
          <w:p>
            <w:pPr>
              <w:pStyle w:val="38"/>
              <w:jc w:val="center"/>
              <w:rPr>
                <w:rFonts w:ascii="Times New Roman" w:hAnsi="Times New Roman" w:cs="Times New Roman"/>
                <w:sz w:val="24"/>
                <w:szCs w:val="24"/>
              </w:rPr>
            </w:pPr>
          </w:p>
        </w:tc>
        <w:tc>
          <w:tcPr>
            <w:tcW w:w="4695" w:type="dxa"/>
            <w:vAlign w:val="center"/>
          </w:tcPr>
          <w:p>
            <w:pPr>
              <w:pStyle w:val="38"/>
              <w:jc w:val="center"/>
              <w:rPr>
                <w:rFonts w:ascii="Times New Roman" w:hAnsi="Times New Roman" w:cs="Times New Roman"/>
                <w:sz w:val="24"/>
                <w:szCs w:val="24"/>
              </w:rPr>
            </w:pPr>
            <w:r>
              <w:rPr>
                <w:rFonts w:ascii="Times New Roman" w:hAnsi="Times New Roman" w:cs="Times New Roman"/>
                <w:sz w:val="24"/>
                <w:szCs w:val="24"/>
              </w:rPr>
              <w:t>发射功率23dB</w:t>
            </w:r>
          </w:p>
        </w:tc>
        <w:tc>
          <w:tcPr>
            <w:tcW w:w="572" w:type="dxa"/>
            <w:vMerge w:val="continue"/>
            <w:vAlign w:val="center"/>
          </w:tcPr>
          <w:p>
            <w:pPr>
              <w:pStyle w:val="38"/>
              <w:jc w:val="center"/>
              <w:rPr>
                <w:rFonts w:ascii="Times New Roman" w:hAnsi="Times New Roman" w:cs="Times New Roman"/>
                <w:sz w:val="24"/>
                <w:szCs w:val="24"/>
                <w:lang w:eastAsia="zh-CN"/>
              </w:rPr>
            </w:pPr>
          </w:p>
        </w:tc>
        <w:tc>
          <w:tcPr>
            <w:tcW w:w="424" w:type="dxa"/>
            <w:vMerge w:val="continue"/>
            <w:vAlign w:val="center"/>
          </w:tcPr>
          <w:p>
            <w:pPr>
              <w:pStyle w:val="38"/>
              <w:jc w:val="center"/>
              <w:rPr>
                <w:rFonts w:ascii="Times New Roman" w:hAnsi="Times New Roman" w:cs="Times New Roman"/>
                <w:sz w:val="24"/>
                <w:szCs w:val="24"/>
                <w:lang w:eastAsia="zh-CN"/>
              </w:rPr>
            </w:pPr>
          </w:p>
        </w:tc>
        <w:tc>
          <w:tcPr>
            <w:tcW w:w="528" w:type="dxa"/>
            <w:vMerge w:val="continue"/>
            <w:vAlign w:val="center"/>
          </w:tcPr>
          <w:p>
            <w:pPr>
              <w:pStyle w:val="38"/>
              <w:jc w:val="center"/>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017" w:type="dxa"/>
            <w:vMerge w:val="continue"/>
            <w:vAlign w:val="center"/>
          </w:tcPr>
          <w:p>
            <w:pPr>
              <w:pStyle w:val="38"/>
              <w:jc w:val="center"/>
              <w:rPr>
                <w:rFonts w:ascii="Times New Roman" w:hAnsi="Times New Roman" w:cs="Times New Roman"/>
                <w:sz w:val="24"/>
                <w:szCs w:val="24"/>
              </w:rPr>
            </w:pPr>
          </w:p>
        </w:tc>
        <w:tc>
          <w:tcPr>
            <w:tcW w:w="1112" w:type="dxa"/>
            <w:vMerge w:val="continue"/>
            <w:tcBorders>
              <w:left w:val="single" w:color="000000" w:sz="2" w:space="0"/>
              <w:right w:val="single" w:color="000000" w:sz="4" w:space="0"/>
            </w:tcBorders>
            <w:vAlign w:val="center"/>
          </w:tcPr>
          <w:p>
            <w:pPr>
              <w:pStyle w:val="38"/>
              <w:jc w:val="center"/>
              <w:rPr>
                <w:rFonts w:ascii="Times New Roman" w:hAnsi="Times New Roman" w:cs="Times New Roman"/>
                <w:sz w:val="24"/>
                <w:szCs w:val="24"/>
              </w:rPr>
            </w:pPr>
          </w:p>
        </w:tc>
        <w:tc>
          <w:tcPr>
            <w:tcW w:w="4695" w:type="dxa"/>
            <w:vAlign w:val="center"/>
          </w:tcPr>
          <w:p>
            <w:pPr>
              <w:pStyle w:val="38"/>
              <w:jc w:val="center"/>
              <w:rPr>
                <w:rFonts w:ascii="Times New Roman" w:hAnsi="Times New Roman" w:cs="Times New Roman"/>
                <w:sz w:val="24"/>
                <w:szCs w:val="24"/>
              </w:rPr>
            </w:pPr>
            <w:r>
              <w:rPr>
                <w:rFonts w:ascii="Times New Roman" w:hAnsi="Times New Roman" w:cs="Times New Roman"/>
                <w:sz w:val="24"/>
                <w:szCs w:val="24"/>
              </w:rPr>
              <w:t>电池容量3.6V@38Ah</w:t>
            </w:r>
          </w:p>
        </w:tc>
        <w:tc>
          <w:tcPr>
            <w:tcW w:w="572" w:type="dxa"/>
            <w:vMerge w:val="continue"/>
            <w:vAlign w:val="center"/>
          </w:tcPr>
          <w:p>
            <w:pPr>
              <w:pStyle w:val="38"/>
              <w:jc w:val="center"/>
              <w:rPr>
                <w:rFonts w:ascii="Times New Roman" w:hAnsi="Times New Roman" w:cs="Times New Roman"/>
                <w:sz w:val="24"/>
                <w:szCs w:val="24"/>
                <w:lang w:eastAsia="zh-CN"/>
              </w:rPr>
            </w:pPr>
          </w:p>
        </w:tc>
        <w:tc>
          <w:tcPr>
            <w:tcW w:w="424" w:type="dxa"/>
            <w:vMerge w:val="continue"/>
            <w:vAlign w:val="center"/>
          </w:tcPr>
          <w:p>
            <w:pPr>
              <w:pStyle w:val="38"/>
              <w:jc w:val="center"/>
              <w:rPr>
                <w:rFonts w:ascii="Times New Roman" w:hAnsi="Times New Roman" w:cs="Times New Roman"/>
                <w:sz w:val="24"/>
                <w:szCs w:val="24"/>
                <w:lang w:eastAsia="zh-CN"/>
              </w:rPr>
            </w:pPr>
          </w:p>
        </w:tc>
        <w:tc>
          <w:tcPr>
            <w:tcW w:w="528" w:type="dxa"/>
            <w:vMerge w:val="continue"/>
            <w:vAlign w:val="center"/>
          </w:tcPr>
          <w:p>
            <w:pPr>
              <w:pStyle w:val="38"/>
              <w:jc w:val="center"/>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017" w:type="dxa"/>
            <w:vMerge w:val="continue"/>
            <w:vAlign w:val="center"/>
          </w:tcPr>
          <w:p>
            <w:pPr>
              <w:pStyle w:val="38"/>
              <w:jc w:val="center"/>
              <w:rPr>
                <w:rFonts w:ascii="Times New Roman" w:hAnsi="Times New Roman" w:cs="Times New Roman"/>
                <w:sz w:val="24"/>
                <w:szCs w:val="24"/>
              </w:rPr>
            </w:pPr>
          </w:p>
        </w:tc>
        <w:tc>
          <w:tcPr>
            <w:tcW w:w="1112" w:type="dxa"/>
            <w:vMerge w:val="continue"/>
            <w:tcBorders>
              <w:left w:val="single" w:color="000000" w:sz="2" w:space="0"/>
              <w:right w:val="single" w:color="000000" w:sz="4" w:space="0"/>
            </w:tcBorders>
            <w:vAlign w:val="center"/>
          </w:tcPr>
          <w:p>
            <w:pPr>
              <w:pStyle w:val="38"/>
              <w:jc w:val="center"/>
              <w:rPr>
                <w:rFonts w:ascii="Times New Roman" w:hAnsi="Times New Roman" w:cs="Times New Roman"/>
                <w:sz w:val="24"/>
                <w:szCs w:val="24"/>
              </w:rPr>
            </w:pPr>
          </w:p>
        </w:tc>
        <w:tc>
          <w:tcPr>
            <w:tcW w:w="4695" w:type="dxa"/>
            <w:vAlign w:val="center"/>
          </w:tcPr>
          <w:p>
            <w:pPr>
              <w:pStyle w:val="38"/>
              <w:jc w:val="center"/>
              <w:rPr>
                <w:rFonts w:ascii="Times New Roman" w:hAnsi="Times New Roman" w:cs="Times New Roman"/>
                <w:sz w:val="24"/>
                <w:szCs w:val="24"/>
              </w:rPr>
            </w:pPr>
            <w:r>
              <w:rPr>
                <w:rFonts w:ascii="Times New Roman" w:hAnsi="Times New Roman" w:cs="Times New Roman"/>
                <w:sz w:val="24"/>
                <w:szCs w:val="24"/>
              </w:rPr>
              <w:t>动态电流＜500mA</w:t>
            </w:r>
          </w:p>
        </w:tc>
        <w:tc>
          <w:tcPr>
            <w:tcW w:w="572" w:type="dxa"/>
            <w:vMerge w:val="continue"/>
            <w:vAlign w:val="center"/>
          </w:tcPr>
          <w:p>
            <w:pPr>
              <w:pStyle w:val="38"/>
              <w:jc w:val="center"/>
              <w:rPr>
                <w:rFonts w:ascii="Times New Roman" w:hAnsi="Times New Roman" w:cs="Times New Roman"/>
                <w:sz w:val="24"/>
                <w:szCs w:val="24"/>
                <w:lang w:eastAsia="zh-CN"/>
              </w:rPr>
            </w:pPr>
          </w:p>
        </w:tc>
        <w:tc>
          <w:tcPr>
            <w:tcW w:w="424" w:type="dxa"/>
            <w:vMerge w:val="continue"/>
            <w:vAlign w:val="center"/>
          </w:tcPr>
          <w:p>
            <w:pPr>
              <w:pStyle w:val="38"/>
              <w:jc w:val="center"/>
              <w:rPr>
                <w:rFonts w:ascii="Times New Roman" w:hAnsi="Times New Roman" w:cs="Times New Roman"/>
                <w:sz w:val="24"/>
                <w:szCs w:val="24"/>
                <w:lang w:eastAsia="zh-CN"/>
              </w:rPr>
            </w:pPr>
          </w:p>
        </w:tc>
        <w:tc>
          <w:tcPr>
            <w:tcW w:w="528" w:type="dxa"/>
            <w:vMerge w:val="continue"/>
            <w:vAlign w:val="center"/>
          </w:tcPr>
          <w:p>
            <w:pPr>
              <w:pStyle w:val="38"/>
              <w:jc w:val="center"/>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017" w:type="dxa"/>
            <w:vMerge w:val="continue"/>
            <w:vAlign w:val="center"/>
          </w:tcPr>
          <w:p>
            <w:pPr>
              <w:pStyle w:val="38"/>
              <w:jc w:val="center"/>
              <w:rPr>
                <w:rFonts w:ascii="Times New Roman" w:hAnsi="Times New Roman" w:cs="Times New Roman"/>
                <w:sz w:val="24"/>
                <w:szCs w:val="24"/>
              </w:rPr>
            </w:pPr>
          </w:p>
        </w:tc>
        <w:tc>
          <w:tcPr>
            <w:tcW w:w="1112" w:type="dxa"/>
            <w:vMerge w:val="continue"/>
            <w:tcBorders>
              <w:left w:val="single" w:color="000000" w:sz="2" w:space="0"/>
              <w:right w:val="single" w:color="000000" w:sz="4" w:space="0"/>
            </w:tcBorders>
            <w:vAlign w:val="center"/>
          </w:tcPr>
          <w:p>
            <w:pPr>
              <w:pStyle w:val="38"/>
              <w:jc w:val="center"/>
              <w:rPr>
                <w:rFonts w:ascii="Times New Roman" w:hAnsi="Times New Roman" w:cs="Times New Roman"/>
                <w:sz w:val="24"/>
                <w:szCs w:val="24"/>
              </w:rPr>
            </w:pPr>
          </w:p>
        </w:tc>
        <w:tc>
          <w:tcPr>
            <w:tcW w:w="4695" w:type="dxa"/>
            <w:vAlign w:val="center"/>
          </w:tcPr>
          <w:p>
            <w:pPr>
              <w:pStyle w:val="38"/>
              <w:jc w:val="center"/>
              <w:rPr>
                <w:rFonts w:ascii="Times New Roman" w:hAnsi="Times New Roman" w:cs="Times New Roman"/>
                <w:sz w:val="24"/>
                <w:szCs w:val="24"/>
              </w:rPr>
            </w:pPr>
            <w:r>
              <w:rPr>
                <w:rFonts w:ascii="Times New Roman" w:hAnsi="Times New Roman" w:cs="Times New Roman"/>
                <w:sz w:val="24"/>
                <w:szCs w:val="24"/>
              </w:rPr>
              <w:t>静态电流＜35uA</w:t>
            </w:r>
          </w:p>
        </w:tc>
        <w:tc>
          <w:tcPr>
            <w:tcW w:w="572" w:type="dxa"/>
            <w:vMerge w:val="continue"/>
            <w:vAlign w:val="center"/>
          </w:tcPr>
          <w:p>
            <w:pPr>
              <w:pStyle w:val="38"/>
              <w:jc w:val="center"/>
              <w:rPr>
                <w:rFonts w:ascii="Times New Roman" w:hAnsi="Times New Roman" w:cs="Times New Roman"/>
                <w:sz w:val="24"/>
                <w:szCs w:val="24"/>
                <w:lang w:eastAsia="zh-CN"/>
              </w:rPr>
            </w:pPr>
          </w:p>
        </w:tc>
        <w:tc>
          <w:tcPr>
            <w:tcW w:w="424" w:type="dxa"/>
            <w:vMerge w:val="continue"/>
            <w:vAlign w:val="center"/>
          </w:tcPr>
          <w:p>
            <w:pPr>
              <w:pStyle w:val="38"/>
              <w:jc w:val="center"/>
              <w:rPr>
                <w:rFonts w:ascii="Times New Roman" w:hAnsi="Times New Roman" w:cs="Times New Roman"/>
                <w:sz w:val="24"/>
                <w:szCs w:val="24"/>
                <w:lang w:eastAsia="zh-CN"/>
              </w:rPr>
            </w:pPr>
          </w:p>
        </w:tc>
        <w:tc>
          <w:tcPr>
            <w:tcW w:w="528" w:type="dxa"/>
            <w:vMerge w:val="continue"/>
            <w:vAlign w:val="center"/>
          </w:tcPr>
          <w:p>
            <w:pPr>
              <w:pStyle w:val="38"/>
              <w:jc w:val="center"/>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017" w:type="dxa"/>
            <w:vMerge w:val="continue"/>
            <w:vAlign w:val="center"/>
          </w:tcPr>
          <w:p>
            <w:pPr>
              <w:pStyle w:val="38"/>
              <w:jc w:val="center"/>
              <w:rPr>
                <w:rFonts w:ascii="Times New Roman" w:hAnsi="Times New Roman" w:cs="Times New Roman"/>
                <w:sz w:val="24"/>
                <w:szCs w:val="24"/>
              </w:rPr>
            </w:pPr>
          </w:p>
        </w:tc>
        <w:tc>
          <w:tcPr>
            <w:tcW w:w="1112" w:type="dxa"/>
            <w:vMerge w:val="continue"/>
            <w:tcBorders>
              <w:left w:val="single" w:color="000000" w:sz="2" w:space="0"/>
              <w:right w:val="single" w:color="000000" w:sz="4" w:space="0"/>
            </w:tcBorders>
            <w:vAlign w:val="center"/>
          </w:tcPr>
          <w:p>
            <w:pPr>
              <w:pStyle w:val="38"/>
              <w:jc w:val="center"/>
              <w:rPr>
                <w:rFonts w:ascii="Times New Roman" w:hAnsi="Times New Roman" w:cs="Times New Roman"/>
                <w:sz w:val="24"/>
                <w:szCs w:val="24"/>
              </w:rPr>
            </w:pPr>
          </w:p>
        </w:tc>
        <w:tc>
          <w:tcPr>
            <w:tcW w:w="4695" w:type="dxa"/>
            <w:vAlign w:val="center"/>
          </w:tcPr>
          <w:p>
            <w:pPr>
              <w:pStyle w:val="38"/>
              <w:jc w:val="center"/>
              <w:rPr>
                <w:rFonts w:ascii="Times New Roman" w:hAnsi="Times New Roman" w:cs="Times New Roman"/>
                <w:sz w:val="24"/>
                <w:szCs w:val="24"/>
              </w:rPr>
            </w:pPr>
            <w:r>
              <w:rPr>
                <w:rFonts w:ascii="Times New Roman" w:hAnsi="Times New Roman" w:cs="Times New Roman"/>
                <w:sz w:val="24"/>
                <w:szCs w:val="24"/>
              </w:rPr>
              <w:t>存储容量4Mbit</w:t>
            </w:r>
          </w:p>
        </w:tc>
        <w:tc>
          <w:tcPr>
            <w:tcW w:w="572" w:type="dxa"/>
            <w:vMerge w:val="continue"/>
            <w:vAlign w:val="center"/>
          </w:tcPr>
          <w:p>
            <w:pPr>
              <w:pStyle w:val="38"/>
              <w:jc w:val="center"/>
              <w:rPr>
                <w:rFonts w:ascii="Times New Roman" w:hAnsi="Times New Roman" w:cs="Times New Roman"/>
                <w:sz w:val="24"/>
                <w:szCs w:val="24"/>
                <w:lang w:eastAsia="zh-CN"/>
              </w:rPr>
            </w:pPr>
          </w:p>
        </w:tc>
        <w:tc>
          <w:tcPr>
            <w:tcW w:w="424" w:type="dxa"/>
            <w:vMerge w:val="continue"/>
            <w:vAlign w:val="center"/>
          </w:tcPr>
          <w:p>
            <w:pPr>
              <w:pStyle w:val="38"/>
              <w:jc w:val="center"/>
              <w:rPr>
                <w:rFonts w:ascii="Times New Roman" w:hAnsi="Times New Roman" w:cs="Times New Roman"/>
                <w:sz w:val="24"/>
                <w:szCs w:val="24"/>
                <w:lang w:eastAsia="zh-CN"/>
              </w:rPr>
            </w:pPr>
          </w:p>
        </w:tc>
        <w:tc>
          <w:tcPr>
            <w:tcW w:w="528" w:type="dxa"/>
            <w:vMerge w:val="continue"/>
            <w:vAlign w:val="center"/>
          </w:tcPr>
          <w:p>
            <w:pPr>
              <w:pStyle w:val="38"/>
              <w:jc w:val="center"/>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017" w:type="dxa"/>
            <w:vMerge w:val="continue"/>
            <w:vAlign w:val="center"/>
          </w:tcPr>
          <w:p>
            <w:pPr>
              <w:pStyle w:val="38"/>
              <w:jc w:val="center"/>
              <w:rPr>
                <w:rFonts w:ascii="Times New Roman" w:hAnsi="Times New Roman" w:cs="Times New Roman"/>
                <w:sz w:val="24"/>
                <w:szCs w:val="24"/>
              </w:rPr>
            </w:pPr>
          </w:p>
        </w:tc>
        <w:tc>
          <w:tcPr>
            <w:tcW w:w="1112" w:type="dxa"/>
            <w:vMerge w:val="continue"/>
            <w:tcBorders>
              <w:left w:val="single" w:color="000000" w:sz="2" w:space="0"/>
              <w:right w:val="single" w:color="000000" w:sz="4" w:space="0"/>
            </w:tcBorders>
            <w:vAlign w:val="center"/>
          </w:tcPr>
          <w:p>
            <w:pPr>
              <w:pStyle w:val="38"/>
              <w:jc w:val="center"/>
              <w:rPr>
                <w:rFonts w:ascii="Times New Roman" w:hAnsi="Times New Roman" w:cs="Times New Roman"/>
                <w:sz w:val="24"/>
                <w:szCs w:val="24"/>
              </w:rPr>
            </w:pPr>
          </w:p>
        </w:tc>
        <w:tc>
          <w:tcPr>
            <w:tcW w:w="4695" w:type="dxa"/>
            <w:vAlign w:val="center"/>
          </w:tcPr>
          <w:p>
            <w:pPr>
              <w:pStyle w:val="38"/>
              <w:jc w:val="center"/>
              <w:rPr>
                <w:rFonts w:ascii="Times New Roman" w:hAnsi="Times New Roman" w:cs="Times New Roman"/>
                <w:sz w:val="24"/>
                <w:szCs w:val="24"/>
              </w:rPr>
            </w:pPr>
            <w:r>
              <w:rPr>
                <w:rFonts w:ascii="Times New Roman" w:hAnsi="Times New Roman" w:cs="Times New Roman"/>
                <w:sz w:val="24"/>
                <w:szCs w:val="24"/>
              </w:rPr>
              <w:t>历史数据数量＞4000条</w:t>
            </w:r>
          </w:p>
        </w:tc>
        <w:tc>
          <w:tcPr>
            <w:tcW w:w="572" w:type="dxa"/>
            <w:vMerge w:val="continue"/>
            <w:vAlign w:val="center"/>
          </w:tcPr>
          <w:p>
            <w:pPr>
              <w:pStyle w:val="38"/>
              <w:jc w:val="center"/>
              <w:rPr>
                <w:rFonts w:ascii="Times New Roman" w:hAnsi="Times New Roman" w:cs="Times New Roman"/>
                <w:sz w:val="24"/>
                <w:szCs w:val="24"/>
                <w:lang w:eastAsia="zh-CN"/>
              </w:rPr>
            </w:pPr>
          </w:p>
        </w:tc>
        <w:tc>
          <w:tcPr>
            <w:tcW w:w="424" w:type="dxa"/>
            <w:vMerge w:val="continue"/>
            <w:vAlign w:val="center"/>
          </w:tcPr>
          <w:p>
            <w:pPr>
              <w:pStyle w:val="38"/>
              <w:jc w:val="center"/>
              <w:rPr>
                <w:rFonts w:ascii="Times New Roman" w:hAnsi="Times New Roman" w:cs="Times New Roman"/>
                <w:sz w:val="24"/>
                <w:szCs w:val="24"/>
                <w:lang w:eastAsia="zh-CN"/>
              </w:rPr>
            </w:pPr>
          </w:p>
        </w:tc>
        <w:tc>
          <w:tcPr>
            <w:tcW w:w="528" w:type="dxa"/>
            <w:vMerge w:val="continue"/>
            <w:vAlign w:val="center"/>
          </w:tcPr>
          <w:p>
            <w:pPr>
              <w:pStyle w:val="38"/>
              <w:jc w:val="center"/>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017" w:type="dxa"/>
            <w:vMerge w:val="continue"/>
            <w:vAlign w:val="center"/>
          </w:tcPr>
          <w:p>
            <w:pPr>
              <w:pStyle w:val="38"/>
              <w:jc w:val="center"/>
              <w:rPr>
                <w:rFonts w:ascii="Times New Roman" w:hAnsi="Times New Roman" w:cs="Times New Roman"/>
                <w:sz w:val="24"/>
                <w:szCs w:val="24"/>
              </w:rPr>
            </w:pPr>
          </w:p>
        </w:tc>
        <w:tc>
          <w:tcPr>
            <w:tcW w:w="1112" w:type="dxa"/>
            <w:vMerge w:val="continue"/>
            <w:tcBorders>
              <w:left w:val="single" w:color="000000" w:sz="2" w:space="0"/>
              <w:right w:val="single" w:color="000000" w:sz="4" w:space="0"/>
            </w:tcBorders>
            <w:vAlign w:val="center"/>
          </w:tcPr>
          <w:p>
            <w:pPr>
              <w:pStyle w:val="38"/>
              <w:jc w:val="center"/>
              <w:rPr>
                <w:rFonts w:ascii="Times New Roman" w:hAnsi="Times New Roman" w:cs="Times New Roman"/>
                <w:sz w:val="24"/>
                <w:szCs w:val="24"/>
              </w:rPr>
            </w:pPr>
          </w:p>
        </w:tc>
        <w:tc>
          <w:tcPr>
            <w:tcW w:w="4695" w:type="dxa"/>
            <w:tcBorders>
              <w:bottom w:val="single" w:color="000000" w:sz="2" w:space="0"/>
            </w:tcBorders>
            <w:vAlign w:val="center"/>
          </w:tcPr>
          <w:p>
            <w:pPr>
              <w:pStyle w:val="38"/>
              <w:jc w:val="center"/>
              <w:rPr>
                <w:rFonts w:ascii="Times New Roman" w:hAnsi="Times New Roman" w:cs="Times New Roman"/>
                <w:sz w:val="24"/>
                <w:szCs w:val="24"/>
              </w:rPr>
            </w:pPr>
            <w:r>
              <w:rPr>
                <w:rFonts w:ascii="Times New Roman" w:hAnsi="Times New Roman" w:cs="Times New Roman"/>
                <w:sz w:val="24"/>
                <w:szCs w:val="24"/>
              </w:rPr>
              <w:t>储存时间＞10年</w:t>
            </w:r>
          </w:p>
        </w:tc>
        <w:tc>
          <w:tcPr>
            <w:tcW w:w="572" w:type="dxa"/>
            <w:vMerge w:val="continue"/>
            <w:vAlign w:val="center"/>
          </w:tcPr>
          <w:p>
            <w:pPr>
              <w:pStyle w:val="38"/>
              <w:jc w:val="center"/>
              <w:rPr>
                <w:rFonts w:ascii="Times New Roman" w:hAnsi="Times New Roman" w:cs="Times New Roman"/>
                <w:sz w:val="24"/>
                <w:szCs w:val="24"/>
                <w:lang w:eastAsia="zh-CN"/>
              </w:rPr>
            </w:pPr>
          </w:p>
        </w:tc>
        <w:tc>
          <w:tcPr>
            <w:tcW w:w="424" w:type="dxa"/>
            <w:vMerge w:val="continue"/>
            <w:vAlign w:val="center"/>
          </w:tcPr>
          <w:p>
            <w:pPr>
              <w:pStyle w:val="38"/>
              <w:jc w:val="center"/>
              <w:rPr>
                <w:rFonts w:ascii="Times New Roman" w:hAnsi="Times New Roman" w:cs="Times New Roman"/>
                <w:sz w:val="24"/>
                <w:szCs w:val="24"/>
                <w:lang w:eastAsia="zh-CN"/>
              </w:rPr>
            </w:pPr>
          </w:p>
        </w:tc>
        <w:tc>
          <w:tcPr>
            <w:tcW w:w="528" w:type="dxa"/>
            <w:vMerge w:val="continue"/>
            <w:vAlign w:val="center"/>
          </w:tcPr>
          <w:p>
            <w:pPr>
              <w:pStyle w:val="38"/>
              <w:jc w:val="center"/>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017" w:type="dxa"/>
            <w:vMerge w:val="continue"/>
            <w:vAlign w:val="center"/>
          </w:tcPr>
          <w:p>
            <w:pPr>
              <w:pStyle w:val="38"/>
              <w:jc w:val="center"/>
              <w:rPr>
                <w:rFonts w:ascii="Times New Roman" w:hAnsi="Times New Roman" w:cs="Times New Roman"/>
                <w:sz w:val="24"/>
                <w:szCs w:val="24"/>
              </w:rPr>
            </w:pPr>
          </w:p>
        </w:tc>
        <w:tc>
          <w:tcPr>
            <w:tcW w:w="1112" w:type="dxa"/>
            <w:vMerge w:val="continue"/>
            <w:tcBorders>
              <w:left w:val="single" w:color="000000" w:sz="2" w:space="0"/>
              <w:right w:val="single" w:color="000000" w:sz="4" w:space="0"/>
            </w:tcBorders>
            <w:vAlign w:val="center"/>
          </w:tcPr>
          <w:p>
            <w:pPr>
              <w:pStyle w:val="38"/>
              <w:jc w:val="center"/>
              <w:rPr>
                <w:rFonts w:ascii="Times New Roman" w:hAnsi="Times New Roman" w:cs="Times New Roman"/>
                <w:sz w:val="24"/>
                <w:szCs w:val="24"/>
              </w:rPr>
            </w:pPr>
          </w:p>
        </w:tc>
        <w:tc>
          <w:tcPr>
            <w:tcW w:w="4695" w:type="dxa"/>
            <w:tcBorders>
              <w:top w:val="single" w:color="000000" w:sz="2" w:space="0"/>
              <w:left w:val="single" w:color="000000" w:sz="4" w:space="0"/>
              <w:bottom w:val="single" w:color="000000" w:sz="4" w:space="0"/>
              <w:right w:val="single" w:color="000000" w:sz="4" w:space="0"/>
            </w:tcBorders>
            <w:vAlign w:val="center"/>
          </w:tcPr>
          <w:p>
            <w:pPr>
              <w:pStyle w:val="38"/>
              <w:jc w:val="center"/>
              <w:rPr>
                <w:rFonts w:ascii="Times New Roman" w:hAnsi="Times New Roman" w:cs="Times New Roman"/>
                <w:sz w:val="24"/>
                <w:szCs w:val="24"/>
              </w:rPr>
            </w:pPr>
            <w:r>
              <w:rPr>
                <w:rFonts w:ascii="Times New Roman" w:hAnsi="Times New Roman" w:cs="Times New Roman"/>
                <w:sz w:val="24"/>
                <w:szCs w:val="24"/>
              </w:rPr>
              <w:t>防水等级IP68</w:t>
            </w:r>
          </w:p>
        </w:tc>
        <w:tc>
          <w:tcPr>
            <w:tcW w:w="572" w:type="dxa"/>
            <w:vMerge w:val="continue"/>
            <w:vAlign w:val="center"/>
          </w:tcPr>
          <w:p>
            <w:pPr>
              <w:pStyle w:val="38"/>
              <w:jc w:val="center"/>
              <w:rPr>
                <w:rFonts w:ascii="Times New Roman" w:hAnsi="Times New Roman" w:cs="Times New Roman"/>
                <w:sz w:val="24"/>
                <w:szCs w:val="24"/>
                <w:lang w:eastAsia="zh-CN"/>
              </w:rPr>
            </w:pPr>
          </w:p>
        </w:tc>
        <w:tc>
          <w:tcPr>
            <w:tcW w:w="424" w:type="dxa"/>
            <w:vMerge w:val="continue"/>
            <w:vAlign w:val="center"/>
          </w:tcPr>
          <w:p>
            <w:pPr>
              <w:pStyle w:val="38"/>
              <w:jc w:val="center"/>
              <w:rPr>
                <w:rFonts w:ascii="Times New Roman" w:hAnsi="Times New Roman" w:cs="Times New Roman"/>
                <w:sz w:val="24"/>
                <w:szCs w:val="24"/>
                <w:lang w:eastAsia="zh-CN"/>
              </w:rPr>
            </w:pPr>
          </w:p>
        </w:tc>
        <w:tc>
          <w:tcPr>
            <w:tcW w:w="528" w:type="dxa"/>
            <w:vMerge w:val="continue"/>
            <w:vAlign w:val="center"/>
          </w:tcPr>
          <w:p>
            <w:pPr>
              <w:pStyle w:val="38"/>
              <w:jc w:val="center"/>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017" w:type="dxa"/>
            <w:vMerge w:val="continue"/>
            <w:vAlign w:val="center"/>
          </w:tcPr>
          <w:p>
            <w:pPr>
              <w:pStyle w:val="38"/>
              <w:jc w:val="center"/>
              <w:rPr>
                <w:rFonts w:ascii="Times New Roman" w:hAnsi="Times New Roman" w:cs="Times New Roman"/>
                <w:sz w:val="24"/>
                <w:szCs w:val="24"/>
              </w:rPr>
            </w:pPr>
          </w:p>
        </w:tc>
        <w:tc>
          <w:tcPr>
            <w:tcW w:w="1112" w:type="dxa"/>
            <w:vMerge w:val="continue"/>
            <w:tcBorders>
              <w:left w:val="single" w:color="000000" w:sz="2" w:space="0"/>
              <w:right w:val="single" w:color="000000" w:sz="4" w:space="0"/>
            </w:tcBorders>
            <w:vAlign w:val="center"/>
          </w:tcPr>
          <w:p>
            <w:pPr>
              <w:pStyle w:val="38"/>
              <w:jc w:val="center"/>
              <w:rPr>
                <w:rFonts w:ascii="Times New Roman" w:hAnsi="Times New Roman" w:cs="Times New Roman"/>
                <w:sz w:val="24"/>
                <w:szCs w:val="24"/>
              </w:rPr>
            </w:pPr>
          </w:p>
        </w:tc>
        <w:tc>
          <w:tcPr>
            <w:tcW w:w="4695" w:type="dxa"/>
            <w:tcBorders>
              <w:top w:val="single" w:color="000000" w:sz="4" w:space="0"/>
              <w:left w:val="single" w:color="000000" w:sz="4" w:space="0"/>
              <w:bottom w:val="single" w:color="000000" w:sz="4" w:space="0"/>
              <w:right w:val="single" w:color="000000" w:sz="4" w:space="0"/>
            </w:tcBorders>
            <w:vAlign w:val="center"/>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工作环境温度（-40℃~＋85℃),环境相对湿度</w:t>
            </w:r>
          </w:p>
        </w:tc>
        <w:tc>
          <w:tcPr>
            <w:tcW w:w="572" w:type="dxa"/>
            <w:vMerge w:val="continue"/>
            <w:vAlign w:val="center"/>
          </w:tcPr>
          <w:p>
            <w:pPr>
              <w:pStyle w:val="38"/>
              <w:jc w:val="center"/>
              <w:rPr>
                <w:rFonts w:ascii="Times New Roman" w:hAnsi="Times New Roman" w:cs="Times New Roman"/>
                <w:sz w:val="24"/>
                <w:szCs w:val="24"/>
                <w:lang w:eastAsia="zh-CN"/>
              </w:rPr>
            </w:pPr>
          </w:p>
        </w:tc>
        <w:tc>
          <w:tcPr>
            <w:tcW w:w="424" w:type="dxa"/>
            <w:vMerge w:val="continue"/>
            <w:vAlign w:val="center"/>
          </w:tcPr>
          <w:p>
            <w:pPr>
              <w:pStyle w:val="38"/>
              <w:jc w:val="center"/>
              <w:rPr>
                <w:rFonts w:ascii="Times New Roman" w:hAnsi="Times New Roman" w:cs="Times New Roman"/>
                <w:sz w:val="24"/>
                <w:szCs w:val="24"/>
                <w:lang w:eastAsia="zh-CN"/>
              </w:rPr>
            </w:pPr>
          </w:p>
        </w:tc>
        <w:tc>
          <w:tcPr>
            <w:tcW w:w="528" w:type="dxa"/>
            <w:vMerge w:val="continue"/>
            <w:vAlign w:val="center"/>
          </w:tcPr>
          <w:p>
            <w:pPr>
              <w:pStyle w:val="38"/>
              <w:jc w:val="center"/>
              <w:rPr>
                <w:rFonts w:ascii="Times New Roman" w:hAnsi="Times New Roman" w:cs="Times New Roman"/>
                <w:sz w:val="24"/>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017" w:type="dxa"/>
            <w:vMerge w:val="continue"/>
            <w:vAlign w:val="center"/>
          </w:tcPr>
          <w:p>
            <w:pPr>
              <w:pStyle w:val="38"/>
              <w:jc w:val="center"/>
              <w:rPr>
                <w:rFonts w:ascii="Times New Roman" w:hAnsi="Times New Roman" w:cs="Times New Roman"/>
                <w:sz w:val="24"/>
                <w:szCs w:val="24"/>
                <w:lang w:eastAsia="zh-CN"/>
              </w:rPr>
            </w:pPr>
          </w:p>
        </w:tc>
        <w:tc>
          <w:tcPr>
            <w:tcW w:w="1112" w:type="dxa"/>
            <w:vMerge w:val="continue"/>
            <w:tcBorders>
              <w:left w:val="single" w:color="000000" w:sz="2" w:space="0"/>
              <w:right w:val="single" w:color="000000" w:sz="4" w:space="0"/>
            </w:tcBorders>
            <w:vAlign w:val="center"/>
          </w:tcPr>
          <w:p>
            <w:pPr>
              <w:pStyle w:val="38"/>
              <w:jc w:val="center"/>
              <w:rPr>
                <w:rFonts w:ascii="Times New Roman" w:hAnsi="Times New Roman" w:cs="Times New Roman"/>
                <w:sz w:val="24"/>
                <w:szCs w:val="24"/>
                <w:lang w:eastAsia="zh-CN"/>
              </w:rPr>
            </w:pPr>
          </w:p>
        </w:tc>
        <w:tc>
          <w:tcPr>
            <w:tcW w:w="4695" w:type="dxa"/>
            <w:tcBorders>
              <w:top w:val="single" w:color="000000" w:sz="4" w:space="0"/>
              <w:left w:val="single" w:color="000000" w:sz="4" w:space="0"/>
              <w:bottom w:val="single" w:color="000000" w:sz="4" w:space="0"/>
              <w:right w:val="single" w:color="000000" w:sz="4" w:space="0"/>
            </w:tcBorders>
            <w:vAlign w:val="center"/>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立杆：3.5m镀锌钢管，无缝烤漆工艺。配套避雷针避雷器，含基础</w:t>
            </w:r>
          </w:p>
        </w:tc>
        <w:tc>
          <w:tcPr>
            <w:tcW w:w="572" w:type="dxa"/>
            <w:vMerge w:val="continue"/>
            <w:vAlign w:val="center"/>
          </w:tcPr>
          <w:p>
            <w:pPr>
              <w:pStyle w:val="38"/>
              <w:jc w:val="center"/>
              <w:rPr>
                <w:rFonts w:ascii="Times New Roman" w:hAnsi="Times New Roman" w:cs="Times New Roman"/>
                <w:sz w:val="24"/>
                <w:szCs w:val="24"/>
                <w:lang w:eastAsia="zh-CN"/>
              </w:rPr>
            </w:pPr>
          </w:p>
        </w:tc>
        <w:tc>
          <w:tcPr>
            <w:tcW w:w="424" w:type="dxa"/>
            <w:vMerge w:val="continue"/>
            <w:vAlign w:val="center"/>
          </w:tcPr>
          <w:p>
            <w:pPr>
              <w:pStyle w:val="38"/>
              <w:jc w:val="center"/>
              <w:rPr>
                <w:rFonts w:ascii="Times New Roman" w:hAnsi="Times New Roman" w:cs="Times New Roman"/>
                <w:sz w:val="24"/>
                <w:szCs w:val="24"/>
                <w:lang w:eastAsia="zh-CN"/>
              </w:rPr>
            </w:pPr>
          </w:p>
        </w:tc>
        <w:tc>
          <w:tcPr>
            <w:tcW w:w="528" w:type="dxa"/>
            <w:vMerge w:val="continue"/>
            <w:vAlign w:val="center"/>
          </w:tcPr>
          <w:p>
            <w:pPr>
              <w:pStyle w:val="38"/>
              <w:jc w:val="center"/>
              <w:rPr>
                <w:rFonts w:ascii="Times New Roman" w:hAnsi="Times New Roman" w:cs="Times New Roman"/>
                <w:sz w:val="24"/>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017" w:type="dxa"/>
            <w:vMerge w:val="continue"/>
            <w:tcBorders>
              <w:bottom w:val="single" w:color="000000" w:sz="2" w:space="0"/>
            </w:tcBorders>
            <w:vAlign w:val="center"/>
          </w:tcPr>
          <w:p>
            <w:pPr>
              <w:pStyle w:val="38"/>
              <w:jc w:val="center"/>
              <w:rPr>
                <w:rFonts w:ascii="Times New Roman" w:hAnsi="Times New Roman" w:cs="Times New Roman"/>
                <w:sz w:val="24"/>
                <w:szCs w:val="24"/>
                <w:lang w:eastAsia="zh-CN"/>
              </w:rPr>
            </w:pPr>
          </w:p>
        </w:tc>
        <w:tc>
          <w:tcPr>
            <w:tcW w:w="1112" w:type="dxa"/>
            <w:vMerge w:val="continue"/>
            <w:tcBorders>
              <w:left w:val="single" w:color="000000" w:sz="2" w:space="0"/>
              <w:bottom w:val="single" w:color="000000" w:sz="2" w:space="0"/>
              <w:right w:val="single" w:color="000000" w:sz="4" w:space="0"/>
            </w:tcBorders>
            <w:vAlign w:val="center"/>
          </w:tcPr>
          <w:p>
            <w:pPr>
              <w:pStyle w:val="38"/>
              <w:jc w:val="center"/>
              <w:rPr>
                <w:rFonts w:ascii="Times New Roman" w:hAnsi="Times New Roman" w:cs="Times New Roman"/>
                <w:sz w:val="24"/>
                <w:szCs w:val="24"/>
                <w:lang w:eastAsia="zh-CN"/>
              </w:rPr>
            </w:pPr>
          </w:p>
        </w:tc>
        <w:tc>
          <w:tcPr>
            <w:tcW w:w="4695" w:type="dxa"/>
            <w:tcBorders>
              <w:top w:val="single" w:color="000000" w:sz="4" w:space="0"/>
              <w:left w:val="single" w:color="000000" w:sz="4" w:space="0"/>
              <w:bottom w:val="single" w:color="000000" w:sz="2" w:space="0"/>
              <w:right w:val="single" w:color="000000" w:sz="4" w:space="0"/>
            </w:tcBorders>
            <w:vAlign w:val="center"/>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机箱：不锈钢，防水IP55，标识；尺寸根据实际传感器尺寸确定，且需要考虑RTU电源等附件的安装</w:t>
            </w:r>
          </w:p>
        </w:tc>
        <w:tc>
          <w:tcPr>
            <w:tcW w:w="572" w:type="dxa"/>
            <w:vMerge w:val="continue"/>
            <w:tcBorders>
              <w:bottom w:val="single" w:color="000000" w:sz="2" w:space="0"/>
            </w:tcBorders>
            <w:vAlign w:val="center"/>
          </w:tcPr>
          <w:p>
            <w:pPr>
              <w:pStyle w:val="38"/>
              <w:jc w:val="center"/>
              <w:rPr>
                <w:rFonts w:ascii="Times New Roman" w:hAnsi="Times New Roman" w:cs="Times New Roman"/>
                <w:sz w:val="24"/>
                <w:szCs w:val="24"/>
                <w:lang w:eastAsia="zh-CN"/>
              </w:rPr>
            </w:pPr>
          </w:p>
        </w:tc>
        <w:tc>
          <w:tcPr>
            <w:tcW w:w="424" w:type="dxa"/>
            <w:vMerge w:val="continue"/>
            <w:tcBorders>
              <w:bottom w:val="single" w:color="000000" w:sz="2" w:space="0"/>
            </w:tcBorders>
            <w:vAlign w:val="center"/>
          </w:tcPr>
          <w:p>
            <w:pPr>
              <w:pStyle w:val="38"/>
              <w:jc w:val="center"/>
              <w:rPr>
                <w:rFonts w:ascii="Times New Roman" w:hAnsi="Times New Roman" w:cs="Times New Roman"/>
                <w:sz w:val="24"/>
                <w:szCs w:val="24"/>
                <w:lang w:eastAsia="zh-CN"/>
              </w:rPr>
            </w:pPr>
          </w:p>
        </w:tc>
        <w:tc>
          <w:tcPr>
            <w:tcW w:w="528" w:type="dxa"/>
            <w:vMerge w:val="continue"/>
            <w:tcBorders>
              <w:bottom w:val="single" w:color="000000" w:sz="2" w:space="0"/>
            </w:tcBorders>
            <w:vAlign w:val="center"/>
          </w:tcPr>
          <w:p>
            <w:pPr>
              <w:pStyle w:val="38"/>
              <w:jc w:val="center"/>
              <w:rPr>
                <w:rFonts w:ascii="Times New Roman" w:hAnsi="Times New Roman" w:cs="Times New Roman"/>
                <w:sz w:val="24"/>
                <w:szCs w:val="24"/>
                <w:lang w:eastAsia="zh-CN"/>
              </w:rPr>
            </w:pPr>
          </w:p>
        </w:tc>
      </w:tr>
    </w:tbl>
    <w:p>
      <w:pPr>
        <w:pStyle w:val="4"/>
        <w:spacing w:before="0" w:after="0" w:line="360" w:lineRule="auto"/>
        <w:ind w:firstLine="562" w:firstLineChars="200"/>
        <w:rPr>
          <w:b/>
          <w:bCs/>
          <w:sz w:val="28"/>
          <w:szCs w:val="28"/>
        </w:rPr>
      </w:pPr>
      <w:bookmarkStart w:id="166" w:name="_Toc31411"/>
      <w:r>
        <w:rPr>
          <w:rFonts w:hint="eastAsia"/>
          <w:b/>
          <w:bCs/>
          <w:sz w:val="28"/>
          <w:szCs w:val="28"/>
        </w:rPr>
        <w:t>3</w:t>
      </w:r>
      <w:r>
        <w:rPr>
          <w:b/>
          <w:bCs/>
          <w:sz w:val="28"/>
          <w:szCs w:val="28"/>
        </w:rPr>
        <w:t>.4 视频监控装置设置要求</w:t>
      </w:r>
      <w:bookmarkEnd w:id="166"/>
    </w:p>
    <w:p>
      <w:pPr>
        <w:spacing w:line="360" w:lineRule="auto"/>
        <w:ind w:firstLine="560" w:firstLineChars="200"/>
        <w:rPr>
          <w:sz w:val="28"/>
          <w:szCs w:val="28"/>
        </w:rPr>
      </w:pPr>
      <w:r>
        <w:rPr>
          <w:sz w:val="28"/>
          <w:szCs w:val="28"/>
        </w:rPr>
        <w:t>视频监控单元由前端系统、传输网络和监控平台三部分组成，可远程监视取水工程工作状况，同时也可观察自动站院落、供电线路等周边环境。其中，前端系统主要对监控区域现场视音频、环境信息、报警信息等进行采集、编码、储存及上传，并通过客户端平台预置的规则进行自动化联动；传输网络主要用于前端与平台、平台之间的通信，确保前端系统的视音频、环境信息、报警信息可实时稳定上传至监控中心；监控平台主要用于对监控设备的控制和满足用户查看环境信息、视音频资料。监控设备安装有防护设施，实现各种天气状况下的正常运转。</w:t>
      </w:r>
    </w:p>
    <w:p>
      <w:pPr>
        <w:spacing w:line="360" w:lineRule="auto"/>
        <w:ind w:firstLine="560" w:firstLineChars="200"/>
        <w:rPr>
          <w:sz w:val="28"/>
          <w:szCs w:val="28"/>
        </w:rPr>
      </w:pPr>
      <w:r>
        <w:rPr>
          <w:sz w:val="28"/>
          <w:szCs w:val="28"/>
        </w:rPr>
        <w:t>本次采用视频监测的参数如下：</w:t>
      </w:r>
    </w:p>
    <w:tbl>
      <w:tblPr>
        <w:tblStyle w:val="39"/>
        <w:tblW w:w="841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501"/>
        <w:gridCol w:w="1326"/>
        <w:gridCol w:w="4041"/>
        <w:gridCol w:w="554"/>
        <w:gridCol w:w="415"/>
        <w:gridCol w:w="57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jc w:val="center"/>
        </w:trPr>
        <w:tc>
          <w:tcPr>
            <w:tcW w:w="1501" w:type="dxa"/>
            <w:tcBorders>
              <w:left w:val="single" w:color="000000" w:sz="4" w:space="0"/>
              <w:bottom w:val="single" w:color="000000" w:sz="2" w:space="0"/>
            </w:tcBorders>
            <w:vAlign w:val="center"/>
          </w:tcPr>
          <w:p>
            <w:pPr>
              <w:pStyle w:val="38"/>
              <w:rPr>
                <w:rFonts w:ascii="Times New Roman" w:hAnsi="Times New Roman" w:cs="Times New Roman"/>
                <w:sz w:val="24"/>
                <w:szCs w:val="24"/>
              </w:rPr>
            </w:pPr>
            <w:r>
              <w:rPr>
                <w:rFonts w:ascii="Times New Roman" w:hAnsi="Times New Roman" w:cs="Times New Roman"/>
                <w:sz w:val="24"/>
                <w:szCs w:val="24"/>
              </w:rPr>
              <w:t>类别</w:t>
            </w:r>
          </w:p>
        </w:tc>
        <w:tc>
          <w:tcPr>
            <w:tcW w:w="1326" w:type="dxa"/>
            <w:tcBorders>
              <w:left w:val="single" w:color="000000" w:sz="4" w:space="0"/>
              <w:bottom w:val="single" w:color="000000" w:sz="2" w:space="0"/>
            </w:tcBorders>
            <w:vAlign w:val="center"/>
          </w:tcPr>
          <w:p>
            <w:pPr>
              <w:pStyle w:val="38"/>
              <w:rPr>
                <w:rFonts w:ascii="Times New Roman" w:hAnsi="Times New Roman" w:cs="Times New Roman"/>
                <w:sz w:val="24"/>
                <w:szCs w:val="24"/>
                <w:lang w:eastAsia="zh-CN"/>
              </w:rPr>
            </w:pPr>
            <w:r>
              <w:rPr>
                <w:rFonts w:ascii="Times New Roman" w:hAnsi="Times New Roman" w:cs="Times New Roman"/>
                <w:sz w:val="24"/>
                <w:szCs w:val="24"/>
                <w:lang w:eastAsia="zh-CN"/>
              </w:rPr>
              <w:t>名称</w:t>
            </w:r>
          </w:p>
        </w:tc>
        <w:tc>
          <w:tcPr>
            <w:tcW w:w="4041" w:type="dxa"/>
            <w:vAlign w:val="center"/>
          </w:tcPr>
          <w:p>
            <w:pPr>
              <w:pStyle w:val="38"/>
              <w:jc w:val="center"/>
              <w:rPr>
                <w:rFonts w:ascii="Times New Roman" w:hAnsi="Times New Roman" w:cs="Times New Roman"/>
                <w:sz w:val="24"/>
                <w:szCs w:val="24"/>
              </w:rPr>
            </w:pPr>
            <w:r>
              <w:rPr>
                <w:rFonts w:ascii="Times New Roman" w:hAnsi="Times New Roman" w:cs="Times New Roman"/>
                <w:sz w:val="24"/>
                <w:szCs w:val="24"/>
              </w:rPr>
              <w:t>技术规格及主要参数</w:t>
            </w:r>
          </w:p>
        </w:tc>
        <w:tc>
          <w:tcPr>
            <w:tcW w:w="554" w:type="dxa"/>
            <w:vAlign w:val="center"/>
          </w:tcPr>
          <w:p>
            <w:pPr>
              <w:pStyle w:val="38"/>
              <w:jc w:val="center"/>
              <w:rPr>
                <w:rFonts w:ascii="Times New Roman" w:hAnsi="Times New Roman" w:cs="Times New Roman"/>
                <w:sz w:val="24"/>
                <w:szCs w:val="24"/>
              </w:rPr>
            </w:pPr>
            <w:r>
              <w:rPr>
                <w:rFonts w:ascii="Times New Roman" w:hAnsi="Times New Roman" w:cs="Times New Roman"/>
                <w:sz w:val="24"/>
                <w:szCs w:val="24"/>
              </w:rPr>
              <w:t>单位</w:t>
            </w:r>
          </w:p>
        </w:tc>
        <w:tc>
          <w:tcPr>
            <w:tcW w:w="415" w:type="dxa"/>
            <w:vAlign w:val="center"/>
          </w:tcPr>
          <w:p>
            <w:pPr>
              <w:pStyle w:val="38"/>
              <w:jc w:val="center"/>
              <w:rPr>
                <w:rFonts w:ascii="Times New Roman" w:hAnsi="Times New Roman" w:cs="Times New Roman"/>
                <w:sz w:val="24"/>
                <w:szCs w:val="24"/>
              </w:rPr>
            </w:pPr>
            <w:r>
              <w:rPr>
                <w:rFonts w:ascii="Times New Roman" w:hAnsi="Times New Roman" w:cs="Times New Roman"/>
                <w:sz w:val="24"/>
                <w:szCs w:val="24"/>
              </w:rPr>
              <w:t>数量</w:t>
            </w:r>
          </w:p>
        </w:tc>
        <w:tc>
          <w:tcPr>
            <w:tcW w:w="576" w:type="dxa"/>
            <w:vAlign w:val="center"/>
          </w:tcPr>
          <w:p>
            <w:pPr>
              <w:pStyle w:val="38"/>
              <w:jc w:val="center"/>
              <w:rPr>
                <w:rFonts w:ascii="Times New Roman" w:hAnsi="Times New Roman" w:cs="Times New Roman"/>
                <w:sz w:val="24"/>
                <w:szCs w:val="24"/>
              </w:rPr>
            </w:pPr>
            <w:r>
              <w:rPr>
                <w:rFonts w:ascii="Times New Roman" w:hAnsi="Times New Roman" w:cs="Times New Roman"/>
                <w:sz w:val="24"/>
                <w:szCs w:val="24"/>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501" w:type="dxa"/>
            <w:vMerge w:val="restart"/>
            <w:tcBorders>
              <w:top w:val="single" w:color="000000" w:sz="2" w:space="0"/>
            </w:tcBorders>
            <w:vAlign w:val="center"/>
          </w:tcPr>
          <w:p>
            <w:pPr>
              <w:pStyle w:val="38"/>
              <w:rPr>
                <w:rFonts w:ascii="Times New Roman" w:hAnsi="Times New Roman" w:cs="Times New Roman"/>
                <w:sz w:val="24"/>
                <w:szCs w:val="24"/>
              </w:rPr>
            </w:pPr>
            <w:r>
              <w:rPr>
                <w:rFonts w:ascii="Times New Roman" w:hAnsi="Times New Roman" w:cs="Times New Roman"/>
                <w:sz w:val="24"/>
                <w:szCs w:val="24"/>
              </w:rPr>
              <w:t>视频监控系统</w:t>
            </w:r>
          </w:p>
        </w:tc>
        <w:tc>
          <w:tcPr>
            <w:tcW w:w="1326" w:type="dxa"/>
            <w:vMerge w:val="restart"/>
            <w:tcBorders>
              <w:top w:val="single" w:color="000000" w:sz="2" w:space="0"/>
            </w:tcBorders>
            <w:vAlign w:val="center"/>
          </w:tcPr>
          <w:p>
            <w:pPr>
              <w:pStyle w:val="38"/>
              <w:rPr>
                <w:rFonts w:ascii="Times New Roman" w:hAnsi="Times New Roman" w:cs="Times New Roman"/>
                <w:sz w:val="24"/>
                <w:szCs w:val="24"/>
              </w:rPr>
            </w:pPr>
            <w:r>
              <w:rPr>
                <w:rFonts w:ascii="Times New Roman" w:hAnsi="Times New Roman" w:cs="Times New Roman"/>
                <w:sz w:val="24"/>
                <w:szCs w:val="24"/>
              </w:rPr>
              <w:t>球形监控摄像机</w:t>
            </w:r>
          </w:p>
        </w:tc>
        <w:tc>
          <w:tcPr>
            <w:tcW w:w="4041" w:type="dxa"/>
            <w:tcBorders>
              <w:top w:val="single" w:color="000000" w:sz="2" w:space="0"/>
            </w:tcBorders>
          </w:tcPr>
          <w:p>
            <w:pPr>
              <w:pStyle w:val="38"/>
              <w:rPr>
                <w:rFonts w:ascii="Times New Roman" w:hAnsi="Times New Roman" w:cs="Times New Roman"/>
                <w:sz w:val="24"/>
                <w:szCs w:val="24"/>
              </w:rPr>
            </w:pPr>
            <w:r>
              <w:rPr>
                <w:rFonts w:ascii="Times New Roman" w:hAnsi="Times New Roman" w:cs="Times New Roman"/>
                <w:sz w:val="24"/>
                <w:szCs w:val="24"/>
              </w:rPr>
              <w:t>200万球形广角摄像机</w:t>
            </w:r>
          </w:p>
        </w:tc>
        <w:tc>
          <w:tcPr>
            <w:tcW w:w="554" w:type="dxa"/>
            <w:vMerge w:val="restart"/>
            <w:tcBorders>
              <w:top w:val="single" w:color="000000" w:sz="2" w:space="0"/>
            </w:tcBorders>
            <w:vAlign w:val="center"/>
          </w:tcPr>
          <w:p>
            <w:pPr>
              <w:pStyle w:val="38"/>
              <w:jc w:val="center"/>
              <w:rPr>
                <w:rFonts w:ascii="Times New Roman" w:hAnsi="Times New Roman" w:cs="Times New Roman"/>
                <w:sz w:val="24"/>
                <w:szCs w:val="24"/>
                <w:lang w:eastAsia="zh-CN"/>
              </w:rPr>
            </w:pPr>
            <w:r>
              <w:rPr>
                <w:rFonts w:ascii="Times New Roman" w:hAnsi="Times New Roman" w:cs="Times New Roman"/>
                <w:sz w:val="24"/>
                <w:szCs w:val="24"/>
              </w:rPr>
              <w:t>套</w:t>
            </w:r>
          </w:p>
        </w:tc>
        <w:tc>
          <w:tcPr>
            <w:tcW w:w="415" w:type="dxa"/>
            <w:vMerge w:val="restart"/>
            <w:tcBorders>
              <w:top w:val="single" w:color="000000" w:sz="2" w:space="0"/>
            </w:tcBorders>
            <w:vAlign w:val="center"/>
          </w:tcPr>
          <w:p>
            <w:pPr>
              <w:pStyle w:val="38"/>
              <w:jc w:val="center"/>
              <w:rPr>
                <w:rFonts w:ascii="Times New Roman" w:hAnsi="Times New Roman" w:cs="Times New Roman"/>
                <w:sz w:val="24"/>
                <w:szCs w:val="24"/>
                <w:lang w:eastAsia="zh-CN"/>
              </w:rPr>
            </w:pPr>
            <w:r>
              <w:rPr>
                <w:rFonts w:ascii="Times New Roman" w:hAnsi="Times New Roman" w:cs="Times New Roman"/>
                <w:sz w:val="24"/>
                <w:szCs w:val="24"/>
              </w:rPr>
              <w:t>9</w:t>
            </w:r>
          </w:p>
        </w:tc>
        <w:tc>
          <w:tcPr>
            <w:tcW w:w="576" w:type="dxa"/>
            <w:vMerge w:val="restart"/>
            <w:tcBorders>
              <w:top w:val="single" w:color="000000" w:sz="2" w:space="0"/>
            </w:tcBorders>
          </w:tcPr>
          <w:p>
            <w:pPr>
              <w:pStyle w:val="38"/>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501" w:type="dxa"/>
            <w:vMerge w:val="continue"/>
            <w:vAlign w:val="center"/>
          </w:tcPr>
          <w:p>
            <w:pPr>
              <w:pStyle w:val="38"/>
              <w:rPr>
                <w:rFonts w:ascii="Times New Roman" w:hAnsi="Times New Roman" w:cs="Times New Roman"/>
                <w:sz w:val="24"/>
                <w:szCs w:val="24"/>
              </w:rPr>
            </w:pPr>
          </w:p>
        </w:tc>
        <w:tc>
          <w:tcPr>
            <w:tcW w:w="1326" w:type="dxa"/>
            <w:vMerge w:val="continue"/>
            <w:vAlign w:val="center"/>
          </w:tcPr>
          <w:p>
            <w:pPr>
              <w:pStyle w:val="38"/>
              <w:jc w:val="center"/>
              <w:rPr>
                <w:rFonts w:ascii="Times New Roman" w:hAnsi="Times New Roman" w:cs="Times New Roman"/>
                <w:sz w:val="24"/>
                <w:szCs w:val="24"/>
              </w:rPr>
            </w:pPr>
          </w:p>
        </w:tc>
        <w:tc>
          <w:tcPr>
            <w:tcW w:w="4041" w:type="dxa"/>
          </w:tcPr>
          <w:p>
            <w:pPr>
              <w:pStyle w:val="38"/>
              <w:rPr>
                <w:rFonts w:ascii="Times New Roman" w:hAnsi="Times New Roman" w:cs="Times New Roman"/>
                <w:sz w:val="24"/>
                <w:szCs w:val="24"/>
                <w:lang w:eastAsia="zh-CN"/>
              </w:rPr>
            </w:pPr>
            <w:r>
              <w:rPr>
                <w:rFonts w:ascii="Times New Roman" w:hAnsi="Times New Roman" w:cs="Times New Roman"/>
                <w:sz w:val="24"/>
                <w:szCs w:val="24"/>
                <w:lang w:eastAsia="zh-CN"/>
              </w:rPr>
              <w:t>支持H.265编码，实现超低码流传输</w:t>
            </w:r>
          </w:p>
        </w:tc>
        <w:tc>
          <w:tcPr>
            <w:tcW w:w="554" w:type="dxa"/>
            <w:vMerge w:val="continue"/>
          </w:tcPr>
          <w:p>
            <w:pPr>
              <w:pStyle w:val="38"/>
              <w:jc w:val="center"/>
              <w:rPr>
                <w:rFonts w:ascii="Times New Roman" w:hAnsi="Times New Roman" w:cs="Times New Roman"/>
                <w:sz w:val="24"/>
                <w:szCs w:val="24"/>
                <w:lang w:eastAsia="zh-CN"/>
              </w:rPr>
            </w:pPr>
          </w:p>
        </w:tc>
        <w:tc>
          <w:tcPr>
            <w:tcW w:w="415" w:type="dxa"/>
            <w:vMerge w:val="continue"/>
          </w:tcPr>
          <w:p>
            <w:pPr>
              <w:pStyle w:val="38"/>
              <w:jc w:val="center"/>
              <w:rPr>
                <w:rFonts w:ascii="Times New Roman" w:hAnsi="Times New Roman" w:cs="Times New Roman"/>
                <w:sz w:val="24"/>
                <w:szCs w:val="24"/>
                <w:lang w:eastAsia="zh-CN"/>
              </w:rPr>
            </w:pPr>
          </w:p>
        </w:tc>
        <w:tc>
          <w:tcPr>
            <w:tcW w:w="576" w:type="dxa"/>
            <w:vMerge w:val="continue"/>
          </w:tcPr>
          <w:p>
            <w:pPr>
              <w:pStyle w:val="38"/>
              <w:rPr>
                <w:rFonts w:ascii="Times New Roman" w:hAnsi="Times New Roman" w:cs="Times New Roman"/>
                <w:sz w:val="24"/>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501" w:type="dxa"/>
            <w:vMerge w:val="continue"/>
            <w:vAlign w:val="center"/>
          </w:tcPr>
          <w:p>
            <w:pPr>
              <w:pStyle w:val="38"/>
              <w:rPr>
                <w:rFonts w:ascii="Times New Roman" w:hAnsi="Times New Roman" w:cs="Times New Roman"/>
                <w:sz w:val="24"/>
                <w:szCs w:val="24"/>
                <w:lang w:eastAsia="zh-CN"/>
              </w:rPr>
            </w:pPr>
          </w:p>
        </w:tc>
        <w:tc>
          <w:tcPr>
            <w:tcW w:w="1326" w:type="dxa"/>
            <w:vMerge w:val="continue"/>
            <w:vAlign w:val="center"/>
          </w:tcPr>
          <w:p>
            <w:pPr>
              <w:pStyle w:val="38"/>
              <w:jc w:val="center"/>
              <w:rPr>
                <w:rFonts w:ascii="Times New Roman" w:hAnsi="Times New Roman" w:cs="Times New Roman"/>
                <w:sz w:val="24"/>
                <w:szCs w:val="24"/>
                <w:lang w:eastAsia="zh-CN"/>
              </w:rPr>
            </w:pPr>
          </w:p>
        </w:tc>
        <w:tc>
          <w:tcPr>
            <w:tcW w:w="4041" w:type="dxa"/>
          </w:tcPr>
          <w:p>
            <w:pPr>
              <w:pStyle w:val="38"/>
              <w:rPr>
                <w:rFonts w:ascii="Times New Roman" w:hAnsi="Times New Roman" w:cs="Times New Roman"/>
                <w:sz w:val="24"/>
                <w:szCs w:val="24"/>
              </w:rPr>
            </w:pPr>
            <w:r>
              <w:rPr>
                <w:rFonts w:ascii="Times New Roman" w:hAnsi="Times New Roman" w:cs="Times New Roman"/>
                <w:sz w:val="24"/>
                <w:szCs w:val="24"/>
              </w:rPr>
              <w:t>信噪比达到55dB</w:t>
            </w:r>
          </w:p>
        </w:tc>
        <w:tc>
          <w:tcPr>
            <w:tcW w:w="554" w:type="dxa"/>
            <w:vMerge w:val="continue"/>
            <w:vAlign w:val="center"/>
          </w:tcPr>
          <w:p>
            <w:pPr>
              <w:pStyle w:val="38"/>
              <w:jc w:val="center"/>
              <w:rPr>
                <w:rFonts w:ascii="Times New Roman" w:hAnsi="Times New Roman" w:cs="Times New Roman"/>
                <w:sz w:val="24"/>
                <w:szCs w:val="24"/>
                <w:lang w:eastAsia="zh-CN"/>
              </w:rPr>
            </w:pPr>
          </w:p>
        </w:tc>
        <w:tc>
          <w:tcPr>
            <w:tcW w:w="415" w:type="dxa"/>
            <w:vMerge w:val="continue"/>
            <w:vAlign w:val="center"/>
          </w:tcPr>
          <w:p>
            <w:pPr>
              <w:pStyle w:val="38"/>
              <w:jc w:val="center"/>
              <w:rPr>
                <w:rFonts w:ascii="Times New Roman" w:hAnsi="Times New Roman" w:cs="Times New Roman"/>
                <w:sz w:val="24"/>
                <w:szCs w:val="24"/>
                <w:lang w:eastAsia="zh-CN"/>
              </w:rPr>
            </w:pPr>
          </w:p>
        </w:tc>
        <w:tc>
          <w:tcPr>
            <w:tcW w:w="576" w:type="dxa"/>
            <w:vMerge w:val="continue"/>
            <w:vAlign w:val="center"/>
          </w:tcPr>
          <w:p>
            <w:pPr>
              <w:pStyle w:val="38"/>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501" w:type="dxa"/>
            <w:vMerge w:val="continue"/>
            <w:vAlign w:val="center"/>
          </w:tcPr>
          <w:p>
            <w:pPr>
              <w:pStyle w:val="38"/>
              <w:rPr>
                <w:rFonts w:ascii="Times New Roman" w:hAnsi="Times New Roman" w:cs="Times New Roman"/>
                <w:sz w:val="24"/>
                <w:szCs w:val="24"/>
              </w:rPr>
            </w:pPr>
          </w:p>
        </w:tc>
        <w:tc>
          <w:tcPr>
            <w:tcW w:w="1326" w:type="dxa"/>
            <w:vMerge w:val="continue"/>
            <w:vAlign w:val="center"/>
          </w:tcPr>
          <w:p>
            <w:pPr>
              <w:pStyle w:val="38"/>
              <w:jc w:val="center"/>
              <w:rPr>
                <w:rFonts w:ascii="Times New Roman" w:hAnsi="Times New Roman" w:cs="Times New Roman"/>
                <w:sz w:val="24"/>
                <w:szCs w:val="24"/>
              </w:rPr>
            </w:pPr>
          </w:p>
        </w:tc>
        <w:tc>
          <w:tcPr>
            <w:tcW w:w="4041" w:type="dxa"/>
          </w:tcPr>
          <w:p>
            <w:pPr>
              <w:pStyle w:val="38"/>
              <w:rPr>
                <w:rFonts w:ascii="Times New Roman" w:hAnsi="Times New Roman" w:cs="Times New Roman"/>
                <w:sz w:val="24"/>
                <w:szCs w:val="24"/>
                <w:lang w:eastAsia="zh-CN"/>
              </w:rPr>
            </w:pPr>
            <w:r>
              <w:rPr>
                <w:rFonts w:ascii="Times New Roman" w:hAnsi="Times New Roman" w:cs="Times New Roman"/>
                <w:sz w:val="24"/>
                <w:szCs w:val="24"/>
                <w:lang w:eastAsia="zh-CN"/>
              </w:rPr>
              <w:t>室外球达到IP66防护等级，6000V防雷、防浪涌和防突波保护</w:t>
            </w:r>
          </w:p>
        </w:tc>
        <w:tc>
          <w:tcPr>
            <w:tcW w:w="554" w:type="dxa"/>
            <w:vMerge w:val="continue"/>
            <w:vAlign w:val="center"/>
          </w:tcPr>
          <w:p>
            <w:pPr>
              <w:pStyle w:val="38"/>
              <w:jc w:val="center"/>
              <w:rPr>
                <w:rFonts w:ascii="Times New Roman" w:hAnsi="Times New Roman" w:cs="Times New Roman"/>
                <w:sz w:val="24"/>
                <w:szCs w:val="24"/>
                <w:lang w:eastAsia="zh-CN"/>
              </w:rPr>
            </w:pPr>
          </w:p>
        </w:tc>
        <w:tc>
          <w:tcPr>
            <w:tcW w:w="415" w:type="dxa"/>
            <w:vMerge w:val="continue"/>
            <w:vAlign w:val="center"/>
          </w:tcPr>
          <w:p>
            <w:pPr>
              <w:pStyle w:val="38"/>
              <w:jc w:val="center"/>
              <w:rPr>
                <w:rFonts w:ascii="Times New Roman" w:hAnsi="Times New Roman" w:cs="Times New Roman"/>
                <w:sz w:val="24"/>
                <w:szCs w:val="24"/>
                <w:lang w:eastAsia="zh-CN"/>
              </w:rPr>
            </w:pPr>
          </w:p>
        </w:tc>
        <w:tc>
          <w:tcPr>
            <w:tcW w:w="576" w:type="dxa"/>
            <w:vMerge w:val="continue"/>
            <w:vAlign w:val="center"/>
          </w:tcPr>
          <w:p>
            <w:pPr>
              <w:pStyle w:val="38"/>
              <w:rPr>
                <w:rFonts w:ascii="Times New Roman" w:hAnsi="Times New Roman" w:cs="Times New Roman"/>
                <w:sz w:val="24"/>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501" w:type="dxa"/>
            <w:vMerge w:val="continue"/>
            <w:vAlign w:val="center"/>
          </w:tcPr>
          <w:p>
            <w:pPr>
              <w:pStyle w:val="38"/>
              <w:rPr>
                <w:rFonts w:ascii="Times New Roman" w:hAnsi="Times New Roman" w:cs="Times New Roman"/>
                <w:sz w:val="24"/>
                <w:szCs w:val="24"/>
                <w:lang w:eastAsia="zh-CN"/>
              </w:rPr>
            </w:pPr>
          </w:p>
        </w:tc>
        <w:tc>
          <w:tcPr>
            <w:tcW w:w="1326" w:type="dxa"/>
            <w:vMerge w:val="continue"/>
            <w:tcBorders>
              <w:bottom w:val="single" w:color="000000" w:sz="2" w:space="0"/>
            </w:tcBorders>
            <w:vAlign w:val="center"/>
          </w:tcPr>
          <w:p>
            <w:pPr>
              <w:pStyle w:val="38"/>
              <w:jc w:val="center"/>
              <w:rPr>
                <w:rFonts w:ascii="Times New Roman" w:hAnsi="Times New Roman" w:cs="Times New Roman"/>
                <w:sz w:val="24"/>
                <w:szCs w:val="24"/>
                <w:lang w:eastAsia="zh-CN"/>
              </w:rPr>
            </w:pPr>
          </w:p>
        </w:tc>
        <w:tc>
          <w:tcPr>
            <w:tcW w:w="4041" w:type="dxa"/>
            <w:tcBorders>
              <w:bottom w:val="single" w:color="000000" w:sz="2" w:space="0"/>
            </w:tcBorders>
          </w:tcPr>
          <w:p>
            <w:pPr>
              <w:pStyle w:val="38"/>
              <w:rPr>
                <w:rFonts w:ascii="Times New Roman" w:hAnsi="Times New Roman" w:cs="Times New Roman"/>
                <w:sz w:val="24"/>
                <w:szCs w:val="24"/>
                <w:lang w:eastAsia="zh-CN"/>
              </w:rPr>
            </w:pPr>
            <w:r>
              <w:rPr>
                <w:rFonts w:ascii="Times New Roman" w:hAnsi="Times New Roman" w:cs="Times New Roman"/>
                <w:sz w:val="24"/>
                <w:szCs w:val="24"/>
                <w:lang w:eastAsia="zh-CN"/>
              </w:rPr>
              <w:t>支持绊线入侵、区域入侵、河道漂浮物异物、穿越围栏、徘徊检测、</w:t>
            </w:r>
          </w:p>
        </w:tc>
        <w:tc>
          <w:tcPr>
            <w:tcW w:w="554" w:type="dxa"/>
            <w:vMerge w:val="continue"/>
            <w:vAlign w:val="center"/>
          </w:tcPr>
          <w:p>
            <w:pPr>
              <w:pStyle w:val="38"/>
              <w:jc w:val="center"/>
              <w:rPr>
                <w:rFonts w:ascii="Times New Roman" w:hAnsi="Times New Roman" w:cs="Times New Roman"/>
                <w:sz w:val="24"/>
                <w:szCs w:val="24"/>
                <w:lang w:eastAsia="zh-CN"/>
              </w:rPr>
            </w:pPr>
          </w:p>
        </w:tc>
        <w:tc>
          <w:tcPr>
            <w:tcW w:w="415" w:type="dxa"/>
            <w:vMerge w:val="continue"/>
            <w:vAlign w:val="center"/>
          </w:tcPr>
          <w:p>
            <w:pPr>
              <w:pStyle w:val="38"/>
              <w:jc w:val="center"/>
              <w:rPr>
                <w:rFonts w:ascii="Times New Roman" w:hAnsi="Times New Roman" w:cs="Times New Roman"/>
                <w:sz w:val="24"/>
                <w:szCs w:val="24"/>
                <w:lang w:eastAsia="zh-CN"/>
              </w:rPr>
            </w:pPr>
          </w:p>
        </w:tc>
        <w:tc>
          <w:tcPr>
            <w:tcW w:w="576" w:type="dxa"/>
            <w:vMerge w:val="continue"/>
            <w:vAlign w:val="center"/>
          </w:tcPr>
          <w:p>
            <w:pPr>
              <w:pStyle w:val="38"/>
              <w:rPr>
                <w:rFonts w:ascii="Times New Roman" w:hAnsi="Times New Roman" w:cs="Times New Roman"/>
                <w:sz w:val="24"/>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jc w:val="center"/>
        </w:trPr>
        <w:tc>
          <w:tcPr>
            <w:tcW w:w="1501" w:type="dxa"/>
            <w:vMerge w:val="continue"/>
            <w:vAlign w:val="center"/>
          </w:tcPr>
          <w:p>
            <w:pPr>
              <w:pStyle w:val="38"/>
              <w:rPr>
                <w:rFonts w:ascii="Times New Roman" w:hAnsi="Times New Roman" w:cs="Times New Roman"/>
                <w:sz w:val="24"/>
                <w:szCs w:val="24"/>
                <w:lang w:eastAsia="zh-CN"/>
              </w:rPr>
            </w:pPr>
          </w:p>
        </w:tc>
        <w:tc>
          <w:tcPr>
            <w:tcW w:w="1326" w:type="dxa"/>
            <w:vMerge w:val="continue"/>
            <w:tcBorders>
              <w:bottom w:val="single" w:color="000000" w:sz="2" w:space="0"/>
            </w:tcBorders>
            <w:vAlign w:val="center"/>
          </w:tcPr>
          <w:p>
            <w:pPr>
              <w:pStyle w:val="38"/>
              <w:jc w:val="center"/>
              <w:rPr>
                <w:rFonts w:ascii="Times New Roman" w:hAnsi="Times New Roman" w:cs="Times New Roman"/>
                <w:sz w:val="24"/>
                <w:szCs w:val="24"/>
                <w:lang w:eastAsia="zh-CN"/>
              </w:rPr>
            </w:pPr>
          </w:p>
        </w:tc>
        <w:tc>
          <w:tcPr>
            <w:tcW w:w="4041" w:type="dxa"/>
            <w:tcBorders>
              <w:bottom w:val="single" w:color="000000" w:sz="2" w:space="0"/>
            </w:tcBorders>
          </w:tcPr>
          <w:p>
            <w:pPr>
              <w:pStyle w:val="38"/>
              <w:rPr>
                <w:rFonts w:ascii="Times New Roman" w:hAnsi="Times New Roman" w:cs="Times New Roman"/>
                <w:sz w:val="24"/>
                <w:szCs w:val="24"/>
                <w:lang w:eastAsia="zh-CN"/>
              </w:rPr>
            </w:pPr>
            <w:r>
              <w:rPr>
                <w:rFonts w:ascii="Times New Roman" w:hAnsi="Times New Roman" w:cs="Times New Roman"/>
                <w:sz w:val="24"/>
                <w:szCs w:val="24"/>
                <w:lang w:eastAsia="zh-CN"/>
              </w:rPr>
              <w:t>物品遗留、物品搬运、快速移动等多种行为检测；支持多种触发规则联动动作。</w:t>
            </w:r>
          </w:p>
        </w:tc>
        <w:tc>
          <w:tcPr>
            <w:tcW w:w="554" w:type="dxa"/>
            <w:vMerge w:val="continue"/>
            <w:vAlign w:val="center"/>
          </w:tcPr>
          <w:p>
            <w:pPr>
              <w:pStyle w:val="38"/>
              <w:jc w:val="center"/>
              <w:rPr>
                <w:rFonts w:ascii="Times New Roman" w:hAnsi="Times New Roman" w:cs="Times New Roman"/>
                <w:sz w:val="24"/>
                <w:szCs w:val="24"/>
                <w:lang w:eastAsia="zh-CN"/>
              </w:rPr>
            </w:pPr>
          </w:p>
        </w:tc>
        <w:tc>
          <w:tcPr>
            <w:tcW w:w="415" w:type="dxa"/>
            <w:vMerge w:val="continue"/>
            <w:vAlign w:val="center"/>
          </w:tcPr>
          <w:p>
            <w:pPr>
              <w:pStyle w:val="38"/>
              <w:jc w:val="center"/>
              <w:rPr>
                <w:rFonts w:ascii="Times New Roman" w:hAnsi="Times New Roman" w:cs="Times New Roman"/>
                <w:sz w:val="24"/>
                <w:szCs w:val="24"/>
                <w:lang w:eastAsia="zh-CN"/>
              </w:rPr>
            </w:pPr>
          </w:p>
        </w:tc>
        <w:tc>
          <w:tcPr>
            <w:tcW w:w="576" w:type="dxa"/>
            <w:vMerge w:val="continue"/>
            <w:vAlign w:val="center"/>
          </w:tcPr>
          <w:p>
            <w:pPr>
              <w:pStyle w:val="38"/>
              <w:rPr>
                <w:rFonts w:ascii="Times New Roman" w:hAnsi="Times New Roman" w:cs="Times New Roman"/>
                <w:sz w:val="24"/>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501" w:type="dxa"/>
            <w:vMerge w:val="continue"/>
            <w:vAlign w:val="center"/>
          </w:tcPr>
          <w:p>
            <w:pPr>
              <w:pStyle w:val="38"/>
              <w:rPr>
                <w:rFonts w:ascii="Times New Roman" w:hAnsi="Times New Roman" w:cs="Times New Roman"/>
                <w:sz w:val="24"/>
                <w:szCs w:val="24"/>
                <w:lang w:eastAsia="zh-CN"/>
              </w:rPr>
            </w:pPr>
          </w:p>
        </w:tc>
        <w:tc>
          <w:tcPr>
            <w:tcW w:w="1326" w:type="dxa"/>
            <w:vMerge w:val="restart"/>
            <w:tcBorders>
              <w:top w:val="single" w:color="000000" w:sz="2" w:space="0"/>
              <w:right w:val="single" w:color="000000" w:sz="4" w:space="0"/>
            </w:tcBorders>
            <w:vAlign w:val="center"/>
          </w:tcPr>
          <w:p>
            <w:pPr>
              <w:pStyle w:val="38"/>
              <w:rPr>
                <w:rFonts w:ascii="Times New Roman" w:hAnsi="Times New Roman" w:cs="Times New Roman"/>
                <w:sz w:val="24"/>
                <w:szCs w:val="24"/>
              </w:rPr>
            </w:pPr>
            <w:r>
              <w:rPr>
                <w:rFonts w:ascii="Times New Roman" w:hAnsi="Times New Roman" w:cs="Times New Roman"/>
                <w:sz w:val="24"/>
                <w:szCs w:val="24"/>
              </w:rPr>
              <w:t>立杆</w:t>
            </w:r>
          </w:p>
        </w:tc>
        <w:tc>
          <w:tcPr>
            <w:tcW w:w="4041" w:type="dxa"/>
            <w:tcBorders>
              <w:top w:val="single" w:color="000000" w:sz="2" w:space="0"/>
              <w:left w:val="single" w:color="000000" w:sz="4" w:space="0"/>
              <w:bottom w:val="single" w:color="000000" w:sz="2" w:space="0"/>
            </w:tcBorders>
          </w:tcPr>
          <w:p>
            <w:pPr>
              <w:pStyle w:val="38"/>
              <w:rPr>
                <w:rFonts w:ascii="Times New Roman" w:hAnsi="Times New Roman" w:cs="Times New Roman"/>
                <w:sz w:val="24"/>
                <w:szCs w:val="24"/>
                <w:lang w:eastAsia="zh-CN"/>
              </w:rPr>
            </w:pPr>
            <w:r>
              <w:rPr>
                <w:rFonts w:ascii="Times New Roman" w:hAnsi="Times New Roman" w:cs="Times New Roman"/>
                <w:sz w:val="24"/>
                <w:szCs w:val="24"/>
                <w:lang w:eastAsia="zh-CN"/>
              </w:rPr>
              <w:t>立杆：5m镀锌钢管，无缝烤漆工艺。配套避雷针避雷器，含基础</w:t>
            </w:r>
          </w:p>
          <w:p>
            <w:pPr>
              <w:pStyle w:val="38"/>
              <w:rPr>
                <w:rFonts w:ascii="Times New Roman" w:hAnsi="Times New Roman" w:cs="Times New Roman"/>
                <w:sz w:val="24"/>
                <w:szCs w:val="24"/>
                <w:lang w:eastAsia="zh-CN"/>
              </w:rPr>
            </w:pPr>
            <w:r>
              <w:rPr>
                <w:rFonts w:ascii="Times New Roman" w:hAnsi="Times New Roman" w:cs="Times New Roman"/>
                <w:sz w:val="24"/>
                <w:szCs w:val="24"/>
                <w:lang w:eastAsia="zh-CN"/>
              </w:rPr>
              <w:t>浪涌保护器、避雷针、避雷器</w:t>
            </w:r>
          </w:p>
        </w:tc>
        <w:tc>
          <w:tcPr>
            <w:tcW w:w="554" w:type="dxa"/>
            <w:vMerge w:val="restart"/>
            <w:vAlign w:val="center"/>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套</w:t>
            </w:r>
          </w:p>
        </w:tc>
        <w:tc>
          <w:tcPr>
            <w:tcW w:w="415" w:type="dxa"/>
            <w:vMerge w:val="restart"/>
            <w:vAlign w:val="center"/>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9</w:t>
            </w:r>
          </w:p>
        </w:tc>
        <w:tc>
          <w:tcPr>
            <w:tcW w:w="576" w:type="dxa"/>
            <w:vMerge w:val="restart"/>
            <w:vAlign w:val="center"/>
          </w:tcPr>
          <w:p>
            <w:pPr>
              <w:pStyle w:val="38"/>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501" w:type="dxa"/>
            <w:vMerge w:val="continue"/>
            <w:vAlign w:val="center"/>
          </w:tcPr>
          <w:p>
            <w:pPr>
              <w:pStyle w:val="38"/>
              <w:rPr>
                <w:rFonts w:ascii="Times New Roman" w:hAnsi="Times New Roman" w:cs="Times New Roman"/>
                <w:sz w:val="24"/>
                <w:szCs w:val="24"/>
              </w:rPr>
            </w:pPr>
          </w:p>
        </w:tc>
        <w:tc>
          <w:tcPr>
            <w:tcW w:w="1326" w:type="dxa"/>
            <w:vMerge w:val="continue"/>
            <w:tcBorders>
              <w:right w:val="single" w:color="000000" w:sz="4" w:space="0"/>
            </w:tcBorders>
            <w:vAlign w:val="center"/>
          </w:tcPr>
          <w:p>
            <w:pPr>
              <w:pStyle w:val="38"/>
              <w:rPr>
                <w:rFonts w:ascii="Times New Roman" w:hAnsi="Times New Roman" w:cs="Times New Roman"/>
                <w:sz w:val="24"/>
                <w:szCs w:val="24"/>
              </w:rPr>
            </w:pPr>
          </w:p>
        </w:tc>
        <w:tc>
          <w:tcPr>
            <w:tcW w:w="4041" w:type="dxa"/>
            <w:tcBorders>
              <w:top w:val="single" w:color="000000" w:sz="2" w:space="0"/>
              <w:left w:val="single" w:color="000000" w:sz="4" w:space="0"/>
              <w:bottom w:val="single" w:color="000000" w:sz="4" w:space="0"/>
              <w:right w:val="single" w:color="000000" w:sz="4" w:space="0"/>
            </w:tcBorders>
          </w:tcPr>
          <w:p>
            <w:pPr>
              <w:pStyle w:val="38"/>
              <w:rPr>
                <w:rFonts w:ascii="Times New Roman" w:hAnsi="Times New Roman" w:cs="Times New Roman"/>
                <w:sz w:val="24"/>
                <w:szCs w:val="24"/>
                <w:lang w:eastAsia="zh-CN"/>
              </w:rPr>
            </w:pPr>
            <w:r>
              <w:rPr>
                <w:rFonts w:ascii="Times New Roman" w:hAnsi="Times New Roman" w:cs="Times New Roman"/>
                <w:sz w:val="24"/>
                <w:szCs w:val="24"/>
                <w:lang w:eastAsia="zh-CN"/>
              </w:rPr>
              <w:t>不锈钢防水机箱，防水IP65，标识；尺寸根据实际传感器尺寸确定，且需要考虑网络设备、电源等附件的安装</w:t>
            </w:r>
          </w:p>
        </w:tc>
        <w:tc>
          <w:tcPr>
            <w:tcW w:w="554" w:type="dxa"/>
            <w:vMerge w:val="continue"/>
            <w:vAlign w:val="center"/>
          </w:tcPr>
          <w:p>
            <w:pPr>
              <w:pStyle w:val="38"/>
              <w:rPr>
                <w:rFonts w:ascii="Times New Roman" w:hAnsi="Times New Roman" w:cs="Times New Roman"/>
                <w:sz w:val="24"/>
                <w:szCs w:val="24"/>
                <w:lang w:eastAsia="zh-CN"/>
              </w:rPr>
            </w:pPr>
          </w:p>
        </w:tc>
        <w:tc>
          <w:tcPr>
            <w:tcW w:w="415" w:type="dxa"/>
            <w:vMerge w:val="continue"/>
            <w:vAlign w:val="center"/>
          </w:tcPr>
          <w:p>
            <w:pPr>
              <w:pStyle w:val="38"/>
              <w:rPr>
                <w:rFonts w:ascii="Times New Roman" w:hAnsi="Times New Roman" w:cs="Times New Roman"/>
                <w:sz w:val="24"/>
                <w:szCs w:val="24"/>
                <w:lang w:eastAsia="zh-CN"/>
              </w:rPr>
            </w:pPr>
          </w:p>
        </w:tc>
        <w:tc>
          <w:tcPr>
            <w:tcW w:w="576" w:type="dxa"/>
            <w:vMerge w:val="continue"/>
            <w:vAlign w:val="center"/>
          </w:tcPr>
          <w:p>
            <w:pPr>
              <w:pStyle w:val="38"/>
              <w:rPr>
                <w:rFonts w:ascii="Times New Roman" w:hAnsi="Times New Roman" w:cs="Times New Roman"/>
                <w:sz w:val="24"/>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501" w:type="dxa"/>
            <w:vMerge w:val="continue"/>
            <w:vAlign w:val="center"/>
          </w:tcPr>
          <w:p>
            <w:pPr>
              <w:pStyle w:val="38"/>
              <w:rPr>
                <w:rFonts w:ascii="Times New Roman" w:hAnsi="Times New Roman" w:cs="Times New Roman"/>
                <w:sz w:val="24"/>
                <w:szCs w:val="24"/>
                <w:lang w:eastAsia="zh-CN"/>
              </w:rPr>
            </w:pPr>
          </w:p>
        </w:tc>
        <w:tc>
          <w:tcPr>
            <w:tcW w:w="1326" w:type="dxa"/>
            <w:vMerge w:val="continue"/>
            <w:tcBorders>
              <w:right w:val="single" w:color="000000" w:sz="4" w:space="0"/>
            </w:tcBorders>
            <w:vAlign w:val="center"/>
          </w:tcPr>
          <w:p>
            <w:pPr>
              <w:pStyle w:val="38"/>
              <w:rPr>
                <w:rFonts w:ascii="Times New Roman" w:hAnsi="Times New Roman" w:cs="Times New Roman"/>
                <w:sz w:val="24"/>
                <w:szCs w:val="24"/>
                <w:lang w:eastAsia="zh-CN"/>
              </w:rPr>
            </w:pPr>
          </w:p>
        </w:tc>
        <w:tc>
          <w:tcPr>
            <w:tcW w:w="4041" w:type="dxa"/>
            <w:tcBorders>
              <w:top w:val="single" w:color="000000" w:sz="4" w:space="0"/>
              <w:left w:val="single" w:color="000000" w:sz="4" w:space="0"/>
              <w:bottom w:val="single" w:color="000000" w:sz="4" w:space="0"/>
              <w:right w:val="single" w:color="000000" w:sz="4" w:space="0"/>
            </w:tcBorders>
          </w:tcPr>
          <w:p>
            <w:pPr>
              <w:pStyle w:val="38"/>
              <w:rPr>
                <w:rFonts w:ascii="Times New Roman" w:hAnsi="Times New Roman" w:cs="Times New Roman"/>
                <w:sz w:val="24"/>
                <w:szCs w:val="24"/>
                <w:lang w:eastAsia="zh-CN"/>
              </w:rPr>
            </w:pPr>
            <w:r>
              <w:rPr>
                <w:rFonts w:ascii="Times New Roman" w:hAnsi="Times New Roman" w:cs="Times New Roman"/>
                <w:sz w:val="24"/>
                <w:szCs w:val="24"/>
                <w:lang w:eastAsia="zh-CN"/>
              </w:rPr>
              <w:t>其他附件：配套各类螺丝、螺母、导轨、抱箍、排插</w:t>
            </w:r>
          </w:p>
        </w:tc>
        <w:tc>
          <w:tcPr>
            <w:tcW w:w="554" w:type="dxa"/>
            <w:vMerge w:val="continue"/>
            <w:vAlign w:val="center"/>
          </w:tcPr>
          <w:p>
            <w:pPr>
              <w:pStyle w:val="38"/>
              <w:rPr>
                <w:rFonts w:ascii="Times New Roman" w:hAnsi="Times New Roman" w:cs="Times New Roman"/>
                <w:sz w:val="24"/>
                <w:szCs w:val="24"/>
                <w:lang w:eastAsia="zh-CN"/>
              </w:rPr>
            </w:pPr>
          </w:p>
        </w:tc>
        <w:tc>
          <w:tcPr>
            <w:tcW w:w="415" w:type="dxa"/>
            <w:vMerge w:val="continue"/>
            <w:vAlign w:val="center"/>
          </w:tcPr>
          <w:p>
            <w:pPr>
              <w:pStyle w:val="38"/>
              <w:rPr>
                <w:rFonts w:ascii="Times New Roman" w:hAnsi="Times New Roman" w:cs="Times New Roman"/>
                <w:sz w:val="24"/>
                <w:szCs w:val="24"/>
                <w:lang w:eastAsia="zh-CN"/>
              </w:rPr>
            </w:pPr>
          </w:p>
        </w:tc>
        <w:tc>
          <w:tcPr>
            <w:tcW w:w="576" w:type="dxa"/>
            <w:vMerge w:val="continue"/>
            <w:vAlign w:val="center"/>
          </w:tcPr>
          <w:p>
            <w:pPr>
              <w:pStyle w:val="38"/>
              <w:rPr>
                <w:rFonts w:ascii="Times New Roman" w:hAnsi="Times New Roman" w:cs="Times New Roman"/>
                <w:sz w:val="24"/>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501" w:type="dxa"/>
            <w:vMerge w:val="continue"/>
            <w:vAlign w:val="center"/>
          </w:tcPr>
          <w:p>
            <w:pPr>
              <w:pStyle w:val="38"/>
              <w:rPr>
                <w:rFonts w:ascii="Times New Roman" w:hAnsi="Times New Roman" w:cs="Times New Roman"/>
                <w:sz w:val="24"/>
                <w:szCs w:val="24"/>
                <w:lang w:eastAsia="zh-CN"/>
              </w:rPr>
            </w:pPr>
          </w:p>
        </w:tc>
        <w:tc>
          <w:tcPr>
            <w:tcW w:w="1326" w:type="dxa"/>
            <w:vMerge w:val="continue"/>
            <w:tcBorders>
              <w:right w:val="single" w:color="000000" w:sz="4" w:space="0"/>
            </w:tcBorders>
            <w:vAlign w:val="center"/>
          </w:tcPr>
          <w:p>
            <w:pPr>
              <w:pStyle w:val="38"/>
              <w:rPr>
                <w:rFonts w:ascii="Times New Roman" w:hAnsi="Times New Roman" w:cs="Times New Roman"/>
                <w:sz w:val="24"/>
                <w:szCs w:val="24"/>
                <w:lang w:eastAsia="zh-CN"/>
              </w:rPr>
            </w:pPr>
          </w:p>
        </w:tc>
        <w:tc>
          <w:tcPr>
            <w:tcW w:w="4041" w:type="dxa"/>
            <w:tcBorders>
              <w:top w:val="single" w:color="000000" w:sz="4" w:space="0"/>
              <w:left w:val="single" w:color="000000" w:sz="4" w:space="0"/>
              <w:bottom w:val="single" w:color="000000" w:sz="4" w:space="0"/>
              <w:right w:val="single" w:color="000000" w:sz="4" w:space="0"/>
            </w:tcBorders>
          </w:tcPr>
          <w:p>
            <w:pPr>
              <w:pStyle w:val="38"/>
              <w:rPr>
                <w:rFonts w:ascii="Times New Roman" w:hAnsi="Times New Roman" w:cs="Times New Roman"/>
                <w:sz w:val="24"/>
                <w:szCs w:val="24"/>
              </w:rPr>
            </w:pPr>
            <w:r>
              <w:rPr>
                <w:rFonts w:ascii="Times New Roman" w:hAnsi="Times New Roman" w:cs="Times New Roman"/>
                <w:sz w:val="24"/>
                <w:szCs w:val="24"/>
              </w:rPr>
              <w:t>4G全网通VPN：MTK7620NFLASH16M,RAM；DDR128M;支持私有网络域名</w:t>
            </w:r>
          </w:p>
        </w:tc>
        <w:tc>
          <w:tcPr>
            <w:tcW w:w="554" w:type="dxa"/>
            <w:vMerge w:val="continue"/>
            <w:vAlign w:val="center"/>
          </w:tcPr>
          <w:p>
            <w:pPr>
              <w:pStyle w:val="38"/>
              <w:rPr>
                <w:rFonts w:ascii="Times New Roman" w:hAnsi="Times New Roman" w:cs="Times New Roman"/>
                <w:sz w:val="24"/>
                <w:szCs w:val="24"/>
                <w:lang w:eastAsia="zh-CN"/>
              </w:rPr>
            </w:pPr>
          </w:p>
        </w:tc>
        <w:tc>
          <w:tcPr>
            <w:tcW w:w="415" w:type="dxa"/>
            <w:vMerge w:val="continue"/>
            <w:vAlign w:val="center"/>
          </w:tcPr>
          <w:p>
            <w:pPr>
              <w:pStyle w:val="38"/>
              <w:rPr>
                <w:rFonts w:ascii="Times New Roman" w:hAnsi="Times New Roman" w:cs="Times New Roman"/>
                <w:sz w:val="24"/>
                <w:szCs w:val="24"/>
                <w:lang w:eastAsia="zh-CN"/>
              </w:rPr>
            </w:pPr>
          </w:p>
        </w:tc>
        <w:tc>
          <w:tcPr>
            <w:tcW w:w="576" w:type="dxa"/>
            <w:vMerge w:val="continue"/>
            <w:vAlign w:val="center"/>
          </w:tcPr>
          <w:p>
            <w:pPr>
              <w:pStyle w:val="38"/>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0" w:hRule="atLeast"/>
          <w:jc w:val="center"/>
        </w:trPr>
        <w:tc>
          <w:tcPr>
            <w:tcW w:w="1501" w:type="dxa"/>
            <w:vMerge w:val="continue"/>
            <w:vAlign w:val="center"/>
          </w:tcPr>
          <w:p>
            <w:pPr>
              <w:pStyle w:val="38"/>
              <w:rPr>
                <w:rFonts w:ascii="Times New Roman" w:hAnsi="Times New Roman" w:cs="Times New Roman"/>
                <w:sz w:val="24"/>
                <w:szCs w:val="24"/>
              </w:rPr>
            </w:pPr>
          </w:p>
        </w:tc>
        <w:tc>
          <w:tcPr>
            <w:tcW w:w="1326" w:type="dxa"/>
            <w:vMerge w:val="continue"/>
            <w:tcBorders>
              <w:bottom w:val="single" w:color="000000" w:sz="2" w:space="0"/>
              <w:right w:val="single" w:color="000000" w:sz="4" w:space="0"/>
            </w:tcBorders>
            <w:vAlign w:val="center"/>
          </w:tcPr>
          <w:p>
            <w:pPr>
              <w:pStyle w:val="38"/>
              <w:rPr>
                <w:rFonts w:ascii="Times New Roman" w:hAnsi="Times New Roman" w:cs="Times New Roman"/>
                <w:sz w:val="24"/>
                <w:szCs w:val="24"/>
              </w:rPr>
            </w:pPr>
          </w:p>
        </w:tc>
        <w:tc>
          <w:tcPr>
            <w:tcW w:w="4041" w:type="dxa"/>
            <w:tcBorders>
              <w:top w:val="single" w:color="000000" w:sz="4" w:space="0"/>
              <w:left w:val="single" w:color="000000" w:sz="4" w:space="0"/>
              <w:bottom w:val="single" w:color="000000" w:sz="2" w:space="0"/>
              <w:right w:val="single" w:color="000000" w:sz="4" w:space="0"/>
            </w:tcBorders>
          </w:tcPr>
          <w:p>
            <w:pPr>
              <w:pStyle w:val="38"/>
              <w:rPr>
                <w:rFonts w:ascii="Times New Roman" w:hAnsi="Times New Roman" w:cs="Times New Roman"/>
                <w:sz w:val="24"/>
                <w:szCs w:val="24"/>
                <w:lang w:eastAsia="zh-CN"/>
              </w:rPr>
            </w:pPr>
            <w:r>
              <w:rPr>
                <w:rFonts w:ascii="Times New Roman" w:hAnsi="Times New Roman" w:cs="Times New Roman"/>
                <w:sz w:val="24"/>
                <w:szCs w:val="24"/>
                <w:lang w:eastAsia="zh-CN"/>
              </w:rPr>
              <w:t>太阳能电池：磷酸铁锂电池容量：200AH工作电压:25.6V峰值功率高达150W，工作范围</w:t>
            </w:r>
          </w:p>
          <w:p>
            <w:pPr>
              <w:pStyle w:val="38"/>
              <w:rPr>
                <w:rFonts w:ascii="Times New Roman" w:hAnsi="Times New Roman" w:cs="Times New Roman"/>
                <w:sz w:val="24"/>
                <w:szCs w:val="24"/>
                <w:lang w:eastAsia="zh-CN"/>
              </w:rPr>
            </w:pPr>
            <w:r>
              <w:rPr>
                <w:rFonts w:ascii="Times New Roman" w:hAnsi="Times New Roman" w:cs="Times New Roman"/>
                <w:sz w:val="24"/>
                <w:szCs w:val="24"/>
                <w:lang w:eastAsia="zh-CN"/>
              </w:rPr>
              <w:t>-40℃—85℃,单晶硅。设计使用寿命：25年</w:t>
            </w:r>
          </w:p>
        </w:tc>
        <w:tc>
          <w:tcPr>
            <w:tcW w:w="554" w:type="dxa"/>
            <w:vMerge w:val="continue"/>
            <w:vAlign w:val="center"/>
          </w:tcPr>
          <w:p>
            <w:pPr>
              <w:pStyle w:val="38"/>
              <w:rPr>
                <w:rFonts w:ascii="Times New Roman" w:hAnsi="Times New Roman" w:cs="Times New Roman"/>
                <w:sz w:val="24"/>
                <w:szCs w:val="24"/>
                <w:lang w:eastAsia="zh-CN"/>
              </w:rPr>
            </w:pPr>
          </w:p>
        </w:tc>
        <w:tc>
          <w:tcPr>
            <w:tcW w:w="415" w:type="dxa"/>
            <w:vMerge w:val="continue"/>
            <w:vAlign w:val="center"/>
          </w:tcPr>
          <w:p>
            <w:pPr>
              <w:pStyle w:val="38"/>
              <w:rPr>
                <w:rFonts w:ascii="Times New Roman" w:hAnsi="Times New Roman" w:cs="Times New Roman"/>
                <w:sz w:val="24"/>
                <w:szCs w:val="24"/>
                <w:lang w:eastAsia="zh-CN"/>
              </w:rPr>
            </w:pPr>
          </w:p>
        </w:tc>
        <w:tc>
          <w:tcPr>
            <w:tcW w:w="576" w:type="dxa"/>
            <w:vMerge w:val="continue"/>
            <w:vAlign w:val="center"/>
          </w:tcPr>
          <w:p>
            <w:pPr>
              <w:pStyle w:val="38"/>
              <w:rPr>
                <w:rFonts w:ascii="Times New Roman" w:hAnsi="Times New Roman" w:cs="Times New Roman"/>
                <w:sz w:val="24"/>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81" w:hRule="atLeast"/>
          <w:jc w:val="center"/>
        </w:trPr>
        <w:tc>
          <w:tcPr>
            <w:tcW w:w="1501" w:type="dxa"/>
            <w:vMerge w:val="continue"/>
            <w:vAlign w:val="center"/>
          </w:tcPr>
          <w:p>
            <w:pPr>
              <w:pStyle w:val="38"/>
              <w:rPr>
                <w:rFonts w:ascii="Times New Roman" w:hAnsi="Times New Roman" w:cs="Times New Roman"/>
                <w:sz w:val="24"/>
                <w:szCs w:val="24"/>
                <w:lang w:eastAsia="zh-CN"/>
              </w:rPr>
            </w:pPr>
          </w:p>
        </w:tc>
        <w:tc>
          <w:tcPr>
            <w:tcW w:w="1326" w:type="dxa"/>
            <w:vMerge w:val="continue"/>
            <w:tcBorders>
              <w:bottom w:val="single" w:color="000000" w:sz="2" w:space="0"/>
              <w:right w:val="single" w:color="000000" w:sz="4" w:space="0"/>
            </w:tcBorders>
            <w:vAlign w:val="center"/>
          </w:tcPr>
          <w:p>
            <w:pPr>
              <w:pStyle w:val="38"/>
              <w:rPr>
                <w:rFonts w:ascii="Times New Roman" w:hAnsi="Times New Roman" w:cs="Times New Roman"/>
                <w:sz w:val="24"/>
                <w:szCs w:val="24"/>
                <w:lang w:eastAsia="zh-CN"/>
              </w:rPr>
            </w:pPr>
          </w:p>
        </w:tc>
        <w:tc>
          <w:tcPr>
            <w:tcW w:w="4041" w:type="dxa"/>
            <w:tcBorders>
              <w:top w:val="single" w:color="000000" w:sz="4" w:space="0"/>
              <w:left w:val="single" w:color="000000" w:sz="4" w:space="0"/>
              <w:bottom w:val="single" w:color="000000" w:sz="2" w:space="0"/>
              <w:right w:val="single" w:color="000000" w:sz="4" w:space="0"/>
            </w:tcBorders>
          </w:tcPr>
          <w:p>
            <w:pPr>
              <w:pStyle w:val="38"/>
              <w:rPr>
                <w:rFonts w:ascii="Times New Roman" w:hAnsi="Times New Roman" w:cs="Times New Roman"/>
                <w:sz w:val="24"/>
                <w:szCs w:val="24"/>
                <w:lang w:eastAsia="zh-CN"/>
              </w:rPr>
            </w:pPr>
            <w:r>
              <w:rPr>
                <w:rFonts w:ascii="Times New Roman" w:hAnsi="Times New Roman" w:cs="Times New Roman"/>
                <w:sz w:val="24"/>
                <w:szCs w:val="24"/>
                <w:lang w:eastAsia="zh-CN"/>
              </w:rPr>
              <w:t>组网物联网卡：根据现场网络状况选择三大运营商之一</w:t>
            </w:r>
          </w:p>
        </w:tc>
        <w:tc>
          <w:tcPr>
            <w:tcW w:w="554" w:type="dxa"/>
            <w:vMerge w:val="continue"/>
            <w:tcBorders>
              <w:bottom w:val="single" w:color="000000" w:sz="2" w:space="0"/>
            </w:tcBorders>
            <w:vAlign w:val="center"/>
          </w:tcPr>
          <w:p>
            <w:pPr>
              <w:pStyle w:val="38"/>
              <w:rPr>
                <w:rFonts w:ascii="Times New Roman" w:hAnsi="Times New Roman" w:cs="Times New Roman"/>
                <w:sz w:val="24"/>
                <w:szCs w:val="24"/>
                <w:lang w:eastAsia="zh-CN"/>
              </w:rPr>
            </w:pPr>
          </w:p>
        </w:tc>
        <w:tc>
          <w:tcPr>
            <w:tcW w:w="415" w:type="dxa"/>
            <w:vMerge w:val="continue"/>
            <w:tcBorders>
              <w:bottom w:val="single" w:color="000000" w:sz="2" w:space="0"/>
            </w:tcBorders>
            <w:vAlign w:val="center"/>
          </w:tcPr>
          <w:p>
            <w:pPr>
              <w:pStyle w:val="38"/>
              <w:rPr>
                <w:rFonts w:ascii="Times New Roman" w:hAnsi="Times New Roman" w:cs="Times New Roman"/>
                <w:sz w:val="24"/>
                <w:szCs w:val="24"/>
                <w:lang w:eastAsia="zh-CN"/>
              </w:rPr>
            </w:pPr>
          </w:p>
        </w:tc>
        <w:tc>
          <w:tcPr>
            <w:tcW w:w="576" w:type="dxa"/>
            <w:vMerge w:val="continue"/>
            <w:tcBorders>
              <w:bottom w:val="single" w:color="000000" w:sz="2" w:space="0"/>
            </w:tcBorders>
            <w:vAlign w:val="center"/>
          </w:tcPr>
          <w:p>
            <w:pPr>
              <w:pStyle w:val="38"/>
              <w:rPr>
                <w:rFonts w:ascii="Times New Roman" w:hAnsi="Times New Roman" w:cs="Times New Roman"/>
                <w:sz w:val="24"/>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1501" w:type="dxa"/>
            <w:vMerge w:val="continue"/>
            <w:vAlign w:val="center"/>
          </w:tcPr>
          <w:p>
            <w:pPr>
              <w:pStyle w:val="38"/>
              <w:rPr>
                <w:rFonts w:ascii="Times New Roman" w:hAnsi="Times New Roman" w:cs="Times New Roman"/>
                <w:sz w:val="24"/>
                <w:szCs w:val="24"/>
                <w:lang w:eastAsia="zh-CN"/>
              </w:rPr>
            </w:pPr>
          </w:p>
        </w:tc>
        <w:tc>
          <w:tcPr>
            <w:tcW w:w="1326" w:type="dxa"/>
            <w:tcBorders>
              <w:top w:val="single" w:color="000000" w:sz="2" w:space="0"/>
              <w:left w:val="single" w:color="000000" w:sz="4" w:space="0"/>
              <w:bottom w:val="single" w:color="000000" w:sz="2" w:space="0"/>
              <w:right w:val="single" w:color="000000" w:sz="4" w:space="0"/>
            </w:tcBorders>
            <w:vAlign w:val="center"/>
          </w:tcPr>
          <w:p>
            <w:pPr>
              <w:pStyle w:val="38"/>
              <w:ind w:firstLine="480" w:firstLineChars="200"/>
              <w:rPr>
                <w:rFonts w:ascii="Times New Roman" w:hAnsi="Times New Roman" w:cs="Times New Roman"/>
                <w:sz w:val="24"/>
                <w:szCs w:val="24"/>
              </w:rPr>
            </w:pPr>
            <w:r>
              <w:rPr>
                <w:rFonts w:ascii="Times New Roman" w:hAnsi="Times New Roman" w:cs="Times New Roman"/>
                <w:sz w:val="24"/>
                <w:szCs w:val="24"/>
              </w:rPr>
              <w:t>网关</w:t>
            </w:r>
          </w:p>
        </w:tc>
        <w:tc>
          <w:tcPr>
            <w:tcW w:w="4041" w:type="dxa"/>
            <w:tcBorders>
              <w:top w:val="single" w:color="000000" w:sz="2" w:space="0"/>
              <w:left w:val="single" w:color="000000" w:sz="4" w:space="0"/>
              <w:bottom w:val="single" w:color="000000" w:sz="2" w:space="0"/>
              <w:right w:val="single" w:color="000000" w:sz="4" w:space="0"/>
            </w:tcBorders>
          </w:tcPr>
          <w:p>
            <w:pPr>
              <w:pStyle w:val="38"/>
              <w:rPr>
                <w:rFonts w:ascii="Times New Roman" w:hAnsi="Times New Roman" w:cs="Times New Roman"/>
                <w:sz w:val="24"/>
                <w:szCs w:val="24"/>
              </w:rPr>
            </w:pPr>
            <w:r>
              <w:rPr>
                <w:rFonts w:ascii="Times New Roman" w:hAnsi="Times New Roman" w:cs="Times New Roman"/>
                <w:sz w:val="24"/>
                <w:szCs w:val="24"/>
              </w:rPr>
              <w:t>户数i5-3340CPU@2.5GHz＋8g＋64g；intelPCI-E2500M，支持B/S软件，不限用</w:t>
            </w:r>
          </w:p>
        </w:tc>
        <w:tc>
          <w:tcPr>
            <w:tcW w:w="554" w:type="dxa"/>
            <w:tcBorders>
              <w:top w:val="single" w:color="000000" w:sz="2" w:space="0"/>
              <w:left w:val="single" w:color="000000" w:sz="4" w:space="0"/>
              <w:bottom w:val="single" w:color="000000" w:sz="2" w:space="0"/>
              <w:right w:val="single" w:color="000000" w:sz="4" w:space="0"/>
            </w:tcBorders>
          </w:tcPr>
          <w:p>
            <w:pPr>
              <w:pStyle w:val="38"/>
              <w:jc w:val="center"/>
              <w:rPr>
                <w:rFonts w:ascii="Times New Roman" w:hAnsi="Times New Roman" w:cs="Times New Roman"/>
                <w:sz w:val="24"/>
                <w:szCs w:val="24"/>
                <w:lang w:eastAsia="zh-CN"/>
              </w:rPr>
            </w:pPr>
            <w:r>
              <w:rPr>
                <w:rFonts w:ascii="Times New Roman" w:hAnsi="Times New Roman" w:cs="Times New Roman"/>
                <w:sz w:val="24"/>
                <w:szCs w:val="24"/>
              </w:rPr>
              <w:t>套</w:t>
            </w:r>
          </w:p>
        </w:tc>
        <w:tc>
          <w:tcPr>
            <w:tcW w:w="415" w:type="dxa"/>
            <w:tcBorders>
              <w:top w:val="single" w:color="000000" w:sz="2" w:space="0"/>
              <w:left w:val="single" w:color="000000" w:sz="4" w:space="0"/>
              <w:bottom w:val="single" w:color="000000" w:sz="2" w:space="0"/>
              <w:right w:val="single" w:color="000000" w:sz="4" w:space="0"/>
            </w:tcBorders>
          </w:tcPr>
          <w:p>
            <w:pPr>
              <w:pStyle w:val="38"/>
              <w:jc w:val="center"/>
              <w:rPr>
                <w:rFonts w:ascii="Times New Roman" w:hAnsi="Times New Roman" w:cs="Times New Roman"/>
                <w:sz w:val="24"/>
                <w:szCs w:val="24"/>
                <w:lang w:eastAsia="zh-CN"/>
              </w:rPr>
            </w:pPr>
            <w:r>
              <w:rPr>
                <w:rFonts w:ascii="Times New Roman" w:hAnsi="Times New Roman" w:cs="Times New Roman"/>
                <w:sz w:val="24"/>
                <w:szCs w:val="24"/>
              </w:rPr>
              <w:t>1</w:t>
            </w:r>
          </w:p>
        </w:tc>
        <w:tc>
          <w:tcPr>
            <w:tcW w:w="576" w:type="dxa"/>
            <w:tcBorders>
              <w:top w:val="single" w:color="000000" w:sz="2" w:space="0"/>
              <w:left w:val="single" w:color="000000" w:sz="4" w:space="0"/>
              <w:bottom w:val="single" w:color="000000" w:sz="2" w:space="0"/>
            </w:tcBorders>
          </w:tcPr>
          <w:p>
            <w:pPr>
              <w:pStyle w:val="38"/>
              <w:rPr>
                <w:rFonts w:ascii="Times New Roman" w:hAnsi="Times New Roman" w:cs="Times New Roman"/>
                <w:sz w:val="24"/>
                <w:szCs w:val="24"/>
              </w:rPr>
            </w:pPr>
          </w:p>
        </w:tc>
      </w:tr>
    </w:tbl>
    <w:p>
      <w:pPr>
        <w:pStyle w:val="4"/>
        <w:spacing w:before="0" w:after="0" w:line="360" w:lineRule="auto"/>
        <w:ind w:firstLine="562" w:firstLineChars="200"/>
        <w:rPr>
          <w:b/>
          <w:bCs/>
          <w:sz w:val="28"/>
          <w:szCs w:val="28"/>
        </w:rPr>
      </w:pPr>
      <w:bookmarkStart w:id="167" w:name="_Toc26032"/>
      <w:r>
        <w:rPr>
          <w:rFonts w:hint="eastAsia"/>
          <w:b/>
          <w:bCs/>
          <w:sz w:val="28"/>
          <w:szCs w:val="28"/>
        </w:rPr>
        <w:t>3</w:t>
      </w:r>
      <w:r>
        <w:rPr>
          <w:b/>
          <w:bCs/>
          <w:sz w:val="28"/>
          <w:szCs w:val="28"/>
        </w:rPr>
        <w:t>.5 水质</w:t>
      </w:r>
      <w:r>
        <w:rPr>
          <w:rFonts w:hint="eastAsia"/>
          <w:b/>
          <w:bCs/>
          <w:sz w:val="28"/>
          <w:szCs w:val="28"/>
        </w:rPr>
        <w:t>在线</w:t>
      </w:r>
      <w:r>
        <w:rPr>
          <w:b/>
          <w:bCs/>
          <w:sz w:val="28"/>
          <w:szCs w:val="28"/>
        </w:rPr>
        <w:t>监测系统要求</w:t>
      </w:r>
      <w:bookmarkEnd w:id="167"/>
    </w:p>
    <w:p>
      <w:pPr>
        <w:spacing w:line="360" w:lineRule="auto"/>
        <w:ind w:firstLine="560" w:firstLineChars="200"/>
        <w:rPr>
          <w:sz w:val="28"/>
          <w:szCs w:val="28"/>
        </w:rPr>
      </w:pPr>
      <w:r>
        <w:rPr>
          <w:sz w:val="28"/>
          <w:szCs w:val="28"/>
        </w:rPr>
        <w:t>（1）水质流量分析仪器（核心产品）</w:t>
      </w:r>
    </w:p>
    <w:p>
      <w:pPr>
        <w:spacing w:line="360" w:lineRule="auto"/>
        <w:ind w:firstLine="560" w:firstLineChars="200"/>
        <w:rPr>
          <w:sz w:val="28"/>
          <w:szCs w:val="28"/>
        </w:rPr>
      </w:pPr>
      <w:r>
        <w:rPr>
          <w:sz w:val="28"/>
          <w:szCs w:val="28"/>
        </w:rPr>
        <w:t>应包含流量、常规五参数水质自动在线分析仪（水温、pH、溶解氧、电导率、浊度）、化学需氧量水质自动在线分析仪、氨氮水质自动在线分析仪、总磷水质自动在线分析仪、总氮水质自动在线分析仪。要求常规五参数水质自动在线分析仪（水温、pH、溶解氧、电导率、浊度）、化学需氧量水质自动在线分析仪、氨氮水质自动在线分析仪、总磷水质自动在线分析仪、总氮水质自动在线分析仪稳定可靠、精度高，通过生态环境部环境监测仪器质量监督检测中心或中国环境监测总站检定，属水质在线自动监测仪适用性检测合格名录产品（需提供检测报告）。</w:t>
      </w:r>
    </w:p>
    <w:p>
      <w:pPr>
        <w:spacing w:line="360" w:lineRule="auto"/>
        <w:ind w:firstLine="560" w:firstLineChars="200"/>
        <w:rPr>
          <w:sz w:val="28"/>
          <w:szCs w:val="28"/>
        </w:rPr>
      </w:pPr>
      <w:r>
        <w:rPr>
          <w:sz w:val="28"/>
          <w:szCs w:val="28"/>
        </w:rPr>
        <w:t>基本要求：</w:t>
      </w:r>
    </w:p>
    <w:p>
      <w:pPr>
        <w:spacing w:line="360" w:lineRule="auto"/>
        <w:ind w:firstLine="560" w:firstLineChars="200"/>
        <w:rPr>
          <w:sz w:val="28"/>
          <w:szCs w:val="28"/>
        </w:rPr>
      </w:pPr>
      <w:r>
        <w:rPr>
          <w:rFonts w:ascii="Cambria Math" w:hAnsi="Cambria Math" w:cs="Cambria Math"/>
          <w:sz w:val="28"/>
          <w:szCs w:val="28"/>
        </w:rPr>
        <w:t>①</w:t>
      </w:r>
      <w:r>
        <w:rPr>
          <w:sz w:val="28"/>
          <w:szCs w:val="28"/>
        </w:rPr>
        <w:t xml:space="preserve">水质自动分析仪器所有显示须为中文，符合《信息交换用汉字编码字符集》（GB2312－1980）； </w:t>
      </w:r>
    </w:p>
    <w:p>
      <w:pPr>
        <w:spacing w:line="360" w:lineRule="auto"/>
        <w:ind w:firstLine="560" w:firstLineChars="200"/>
        <w:rPr>
          <w:sz w:val="28"/>
          <w:szCs w:val="28"/>
        </w:rPr>
      </w:pPr>
      <w:r>
        <w:rPr>
          <w:rFonts w:ascii="Cambria Math" w:hAnsi="Cambria Math" w:cs="Cambria Math"/>
          <w:sz w:val="28"/>
          <w:szCs w:val="28"/>
        </w:rPr>
        <w:t>②</w:t>
      </w:r>
      <w:r>
        <w:rPr>
          <w:sz w:val="28"/>
          <w:szCs w:val="28"/>
        </w:rPr>
        <w:t>化学需氧量、氨氮、总磷和总氮水质自动分析仪器进行24小时零点漂移和24小时量程漂移自动核查、零点校准、标样校准等质控功能，并能接受远程指令进行控制；</w:t>
      </w:r>
    </w:p>
    <w:p>
      <w:pPr>
        <w:spacing w:line="360" w:lineRule="auto"/>
        <w:ind w:firstLine="560" w:firstLineChars="200"/>
        <w:rPr>
          <w:sz w:val="28"/>
          <w:szCs w:val="28"/>
        </w:rPr>
      </w:pPr>
      <w:r>
        <w:rPr>
          <w:rFonts w:ascii="Cambria Math" w:hAnsi="Cambria Math" w:cs="Cambria Math"/>
          <w:sz w:val="28"/>
          <w:szCs w:val="28"/>
        </w:rPr>
        <w:t>③</w:t>
      </w:r>
      <w:r>
        <w:rPr>
          <w:sz w:val="28"/>
          <w:szCs w:val="28"/>
        </w:rPr>
        <w:t xml:space="preserve">具有异常信息记录及上传功能，如零部件（流程）故障、超量程报警、超标报警、缺试剂报警等信息； </w:t>
      </w:r>
    </w:p>
    <w:p>
      <w:pPr>
        <w:spacing w:line="360" w:lineRule="auto"/>
        <w:ind w:firstLine="560" w:firstLineChars="200"/>
        <w:rPr>
          <w:sz w:val="28"/>
          <w:szCs w:val="28"/>
        </w:rPr>
      </w:pPr>
      <w:r>
        <w:rPr>
          <w:rFonts w:ascii="Cambria Math" w:hAnsi="Cambria Math" w:cs="Cambria Math"/>
          <w:sz w:val="28"/>
          <w:szCs w:val="28"/>
        </w:rPr>
        <w:t>④</w:t>
      </w:r>
      <w:r>
        <w:rPr>
          <w:sz w:val="28"/>
          <w:szCs w:val="28"/>
        </w:rPr>
        <w:t xml:space="preserve">具有仪器状态（如测量、空闲、故障等）和关键参数显示及传输功能； </w:t>
      </w:r>
    </w:p>
    <w:p>
      <w:pPr>
        <w:spacing w:line="360" w:lineRule="auto"/>
        <w:ind w:firstLine="560" w:firstLineChars="200"/>
        <w:rPr>
          <w:sz w:val="28"/>
          <w:szCs w:val="28"/>
        </w:rPr>
      </w:pPr>
      <w:r>
        <w:rPr>
          <w:rFonts w:ascii="Cambria Math" w:hAnsi="Cambria Math" w:cs="Cambria Math"/>
          <w:sz w:val="28"/>
          <w:szCs w:val="28"/>
        </w:rPr>
        <w:t>⑤</w:t>
      </w:r>
      <w:r>
        <w:rPr>
          <w:sz w:val="28"/>
          <w:szCs w:val="28"/>
        </w:rPr>
        <w:t xml:space="preserve">具有运行日志存储和上传功能，运行日志至少包含操作记录、测试流程等内容；存储周期不小于1年； </w:t>
      </w:r>
    </w:p>
    <w:p>
      <w:pPr>
        <w:spacing w:line="360" w:lineRule="auto"/>
        <w:ind w:firstLine="560" w:firstLineChars="200"/>
        <w:rPr>
          <w:sz w:val="28"/>
          <w:szCs w:val="28"/>
        </w:rPr>
      </w:pPr>
      <w:r>
        <w:rPr>
          <w:rFonts w:ascii="Cambria Math" w:hAnsi="Cambria Math" w:cs="Cambria Math"/>
          <w:sz w:val="28"/>
          <w:szCs w:val="28"/>
        </w:rPr>
        <w:t>⑥</w:t>
      </w:r>
      <w:r>
        <w:rPr>
          <w:sz w:val="28"/>
          <w:szCs w:val="28"/>
        </w:rPr>
        <w:t>分析仪器原始数据存储周期不少于1年；</w:t>
      </w:r>
    </w:p>
    <w:p>
      <w:pPr>
        <w:spacing w:line="360" w:lineRule="auto"/>
        <w:ind w:firstLine="560" w:firstLineChars="200"/>
        <w:rPr>
          <w:sz w:val="28"/>
          <w:szCs w:val="28"/>
        </w:rPr>
      </w:pPr>
      <w:r>
        <w:rPr>
          <w:rFonts w:ascii="Cambria Math" w:hAnsi="Cambria Math" w:cs="Cambria Math"/>
          <w:sz w:val="28"/>
          <w:szCs w:val="28"/>
        </w:rPr>
        <w:t>⑦</w:t>
      </w:r>
      <w:r>
        <w:rPr>
          <w:sz w:val="28"/>
          <w:szCs w:val="28"/>
        </w:rPr>
        <w:t>具有RS-232或 RS-485或RJ-45标准通讯接口，通讯协议支持《国家地表水监测仪器通信协议技术要求》；</w:t>
      </w:r>
    </w:p>
    <w:p>
      <w:pPr>
        <w:spacing w:line="360" w:lineRule="auto"/>
        <w:ind w:firstLine="560" w:firstLineChars="200"/>
        <w:rPr>
          <w:sz w:val="28"/>
          <w:szCs w:val="28"/>
        </w:rPr>
      </w:pPr>
      <w:r>
        <w:rPr>
          <w:rFonts w:ascii="Cambria Math" w:hAnsi="Cambria Math" w:cs="Cambria Math"/>
          <w:sz w:val="28"/>
          <w:szCs w:val="28"/>
        </w:rPr>
        <w:t>⑧</w:t>
      </w:r>
      <w:r>
        <w:rPr>
          <w:sz w:val="28"/>
          <w:szCs w:val="28"/>
        </w:rPr>
        <w:t>水质自动分析仪器（常规五参数外）应具有三级管理权限；</w:t>
      </w:r>
    </w:p>
    <w:p>
      <w:pPr>
        <w:spacing w:line="360" w:lineRule="auto"/>
        <w:ind w:firstLine="560" w:firstLineChars="200"/>
        <w:rPr>
          <w:sz w:val="28"/>
          <w:szCs w:val="28"/>
        </w:rPr>
      </w:pPr>
      <w:r>
        <w:rPr>
          <w:rFonts w:ascii="Cambria Math" w:hAnsi="Cambria Math" w:cs="Cambria Math"/>
          <w:sz w:val="28"/>
          <w:szCs w:val="28"/>
        </w:rPr>
        <w:t>⑨</w:t>
      </w:r>
      <w:r>
        <w:rPr>
          <w:sz w:val="28"/>
          <w:szCs w:val="28"/>
        </w:rPr>
        <w:t>具备1小时1次的监测能力。</w:t>
      </w:r>
    </w:p>
    <w:p>
      <w:pPr>
        <w:spacing w:line="360" w:lineRule="auto"/>
        <w:ind w:firstLine="560" w:firstLineChars="200"/>
        <w:rPr>
          <w:sz w:val="28"/>
          <w:szCs w:val="28"/>
        </w:rPr>
      </w:pPr>
      <w:r>
        <w:rPr>
          <w:sz w:val="28"/>
          <w:szCs w:val="28"/>
        </w:rPr>
        <w:t>技术参数要求</w:t>
      </w:r>
    </w:p>
    <w:tbl>
      <w:tblPr>
        <w:tblStyle w:val="39"/>
        <w:tblW w:w="862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2"/>
        <w:gridCol w:w="1363"/>
        <w:gridCol w:w="4656"/>
        <w:gridCol w:w="412"/>
        <w:gridCol w:w="876"/>
        <w:gridCol w:w="48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2195" w:type="dxa"/>
            <w:gridSpan w:val="2"/>
            <w:tcBorders>
              <w:left w:val="single" w:color="000000" w:sz="4" w:space="0"/>
              <w:bottom w:val="single" w:color="auto" w:sz="4" w:space="0"/>
            </w:tcBorders>
            <w:vAlign w:val="center"/>
          </w:tcPr>
          <w:p>
            <w:pPr>
              <w:pStyle w:val="38"/>
              <w:kinsoku w:val="0"/>
              <w:overflowPunct w:val="0"/>
              <w:autoSpaceDE w:val="0"/>
              <w:autoSpaceDN w:val="0"/>
              <w:adjustRightInd w:val="0"/>
              <w:snapToGrid w:val="0"/>
              <w:jc w:val="center"/>
              <w:rPr>
                <w:rFonts w:ascii="Times New Roman" w:hAnsi="Times New Roman" w:cs="Times New Roman"/>
                <w:sz w:val="24"/>
                <w:szCs w:val="24"/>
              </w:rPr>
            </w:pPr>
            <w:r>
              <w:rPr>
                <w:rFonts w:ascii="Times New Roman" w:hAnsi="Times New Roman" w:cs="Times New Roman"/>
                <w:sz w:val="24"/>
                <w:szCs w:val="24"/>
              </w:rPr>
              <w:t>类别</w:t>
            </w:r>
          </w:p>
        </w:tc>
        <w:tc>
          <w:tcPr>
            <w:tcW w:w="4656" w:type="dxa"/>
            <w:vAlign w:val="center"/>
          </w:tcPr>
          <w:p>
            <w:pPr>
              <w:pStyle w:val="38"/>
              <w:kinsoku w:val="0"/>
              <w:overflowPunct w:val="0"/>
              <w:autoSpaceDE w:val="0"/>
              <w:autoSpaceDN w:val="0"/>
              <w:adjustRightInd w:val="0"/>
              <w:snapToGrid w:val="0"/>
              <w:jc w:val="center"/>
              <w:rPr>
                <w:rFonts w:ascii="Times New Roman" w:hAnsi="Times New Roman" w:cs="Times New Roman"/>
                <w:sz w:val="24"/>
                <w:szCs w:val="24"/>
              </w:rPr>
            </w:pPr>
            <w:r>
              <w:rPr>
                <w:rFonts w:ascii="Times New Roman" w:hAnsi="Times New Roman" w:cs="Times New Roman"/>
                <w:sz w:val="24"/>
                <w:szCs w:val="24"/>
              </w:rPr>
              <w:t>技术规格及主要参数</w:t>
            </w:r>
          </w:p>
        </w:tc>
        <w:tc>
          <w:tcPr>
            <w:tcW w:w="412" w:type="dxa"/>
            <w:vAlign w:val="center"/>
          </w:tcPr>
          <w:p>
            <w:pPr>
              <w:pStyle w:val="38"/>
              <w:kinsoku w:val="0"/>
              <w:overflowPunct w:val="0"/>
              <w:autoSpaceDE w:val="0"/>
              <w:autoSpaceDN w:val="0"/>
              <w:adjustRightInd w:val="0"/>
              <w:snapToGrid w:val="0"/>
              <w:jc w:val="center"/>
              <w:rPr>
                <w:rFonts w:ascii="Times New Roman" w:hAnsi="Times New Roman" w:cs="Times New Roman"/>
                <w:sz w:val="24"/>
                <w:szCs w:val="24"/>
              </w:rPr>
            </w:pPr>
            <w:r>
              <w:rPr>
                <w:rFonts w:ascii="Times New Roman" w:hAnsi="Times New Roman" w:cs="Times New Roman"/>
                <w:sz w:val="24"/>
                <w:szCs w:val="24"/>
              </w:rPr>
              <w:t>单位</w:t>
            </w:r>
          </w:p>
        </w:tc>
        <w:tc>
          <w:tcPr>
            <w:tcW w:w="876" w:type="dxa"/>
            <w:vAlign w:val="center"/>
          </w:tcPr>
          <w:p>
            <w:pPr>
              <w:pStyle w:val="38"/>
              <w:kinsoku w:val="0"/>
              <w:overflowPunct w:val="0"/>
              <w:autoSpaceDE w:val="0"/>
              <w:autoSpaceDN w:val="0"/>
              <w:adjustRightInd w:val="0"/>
              <w:snapToGrid w:val="0"/>
              <w:jc w:val="center"/>
              <w:rPr>
                <w:rFonts w:ascii="Times New Roman" w:hAnsi="Times New Roman" w:cs="Times New Roman"/>
                <w:sz w:val="24"/>
                <w:szCs w:val="24"/>
              </w:rPr>
            </w:pPr>
            <w:r>
              <w:rPr>
                <w:rFonts w:ascii="Times New Roman" w:hAnsi="Times New Roman" w:cs="Times New Roman"/>
                <w:sz w:val="24"/>
                <w:szCs w:val="24"/>
              </w:rPr>
              <w:t>数量</w:t>
            </w:r>
          </w:p>
        </w:tc>
        <w:tc>
          <w:tcPr>
            <w:tcW w:w="482" w:type="dxa"/>
            <w:vAlign w:val="center"/>
          </w:tcPr>
          <w:p>
            <w:pPr>
              <w:pStyle w:val="38"/>
              <w:kinsoku w:val="0"/>
              <w:overflowPunct w:val="0"/>
              <w:autoSpaceDE w:val="0"/>
              <w:autoSpaceDN w:val="0"/>
              <w:adjustRightInd w:val="0"/>
              <w:snapToGrid w:val="0"/>
              <w:jc w:val="center"/>
              <w:rPr>
                <w:rFonts w:ascii="Times New Roman" w:hAnsi="Times New Roman" w:cs="Times New Roman"/>
                <w:sz w:val="24"/>
                <w:szCs w:val="24"/>
              </w:rPr>
            </w:pPr>
            <w:r>
              <w:rPr>
                <w:rFonts w:ascii="Times New Roman" w:hAnsi="Times New Roman" w:cs="Times New Roman"/>
                <w:sz w:val="24"/>
                <w:szCs w:val="24"/>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1" w:hRule="atLeast"/>
          <w:jc w:val="center"/>
        </w:trPr>
        <w:tc>
          <w:tcPr>
            <w:tcW w:w="832" w:type="dxa"/>
            <w:vMerge w:val="restart"/>
            <w:tcBorders>
              <w:top w:val="single" w:color="auto" w:sz="4" w:space="0"/>
              <w:right w:val="single" w:color="auto" w:sz="4" w:space="0"/>
            </w:tcBorders>
            <w:vAlign w:val="center"/>
          </w:tcPr>
          <w:p>
            <w:pPr>
              <w:pStyle w:val="38"/>
              <w:kinsoku w:val="0"/>
              <w:overflowPunct w:val="0"/>
              <w:autoSpaceDE w:val="0"/>
              <w:autoSpaceDN w:val="0"/>
              <w:adjustRightInd w:val="0"/>
              <w:snapToGrid w:val="0"/>
              <w:rPr>
                <w:rFonts w:ascii="Times New Roman" w:hAnsi="Times New Roman" w:cs="Times New Roman"/>
                <w:sz w:val="24"/>
                <w:szCs w:val="24"/>
              </w:rPr>
            </w:pPr>
            <w:r>
              <w:rPr>
                <w:rFonts w:ascii="Times New Roman" w:hAnsi="Times New Roman" w:cs="Times New Roman"/>
                <w:sz w:val="24"/>
                <w:szCs w:val="24"/>
              </w:rPr>
              <w:t>水质自动检测微站</w:t>
            </w:r>
          </w:p>
        </w:tc>
        <w:tc>
          <w:tcPr>
            <w:tcW w:w="1363" w:type="dxa"/>
            <w:vMerge w:val="restart"/>
            <w:tcBorders>
              <w:top w:val="single" w:color="auto" w:sz="4" w:space="0"/>
              <w:left w:val="single" w:color="auto" w:sz="4" w:space="0"/>
            </w:tcBorders>
            <w:vAlign w:val="center"/>
          </w:tcPr>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五参数水质自动分析仪</w:t>
            </w:r>
          </w:p>
        </w:tc>
        <w:tc>
          <w:tcPr>
            <w:tcW w:w="4656" w:type="dxa"/>
            <w:vAlign w:val="center"/>
          </w:tcPr>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（1）水温</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1）</w:t>
            </w:r>
            <w:r>
              <w:rPr>
                <w:rFonts w:ascii="Times New Roman" w:hAnsi="Times New Roman" w:cs="Times New Roman"/>
                <w:sz w:val="24"/>
                <w:szCs w:val="24"/>
                <w:lang w:eastAsia="zh-CN"/>
              </w:rPr>
              <w:tab/>
            </w:r>
            <w:r>
              <w:rPr>
                <w:rFonts w:ascii="Times New Roman" w:hAnsi="Times New Roman" w:cs="Times New Roman"/>
                <w:sz w:val="24"/>
                <w:szCs w:val="24"/>
                <w:lang w:eastAsia="zh-CN"/>
              </w:rPr>
              <w:t>测定原理：热电阻或热电偶法；</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2）</w:t>
            </w:r>
            <w:r>
              <w:rPr>
                <w:rFonts w:ascii="Times New Roman" w:hAnsi="Times New Roman" w:cs="Times New Roman"/>
                <w:sz w:val="24"/>
                <w:szCs w:val="24"/>
                <w:lang w:eastAsia="zh-CN"/>
              </w:rPr>
              <w:tab/>
            </w:r>
            <w:r>
              <w:rPr>
                <w:rFonts w:ascii="Times New Roman" w:hAnsi="Times New Roman" w:cs="Times New Roman"/>
                <w:sz w:val="24"/>
                <w:szCs w:val="24"/>
                <w:lang w:eastAsia="zh-CN"/>
              </w:rPr>
              <w:t>量程：0℃～60℃</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3）</w:t>
            </w:r>
            <w:r>
              <w:rPr>
                <w:rFonts w:ascii="Times New Roman" w:hAnsi="Times New Roman" w:cs="Times New Roman"/>
                <w:sz w:val="24"/>
                <w:szCs w:val="24"/>
                <w:lang w:eastAsia="zh-CN"/>
              </w:rPr>
              <w:tab/>
            </w:r>
            <w:r>
              <w:rPr>
                <w:rFonts w:ascii="Times New Roman" w:hAnsi="Times New Roman" w:cs="Times New Roman"/>
                <w:sz w:val="24"/>
                <w:szCs w:val="24"/>
                <w:lang w:eastAsia="zh-CN"/>
              </w:rPr>
              <w:t>测量误差：±0.5℃</w:t>
            </w:r>
          </w:p>
          <w:p>
            <w:pPr>
              <w:pStyle w:val="38"/>
              <w:kinsoku w:val="0"/>
              <w:overflowPunct w:val="0"/>
              <w:autoSpaceDE w:val="0"/>
              <w:autoSpaceDN w:val="0"/>
              <w:adjustRightInd w:val="0"/>
              <w:snapToGrid w:val="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r>
              <w:rPr>
                <w:rFonts w:ascii="Times New Roman" w:hAnsi="Times New Roman" w:cs="Times New Roman"/>
                <w:sz w:val="24"/>
                <w:szCs w:val="24"/>
              </w:rPr>
              <w:t>MTBF：≥720h/次</w:t>
            </w:r>
          </w:p>
        </w:tc>
        <w:tc>
          <w:tcPr>
            <w:tcW w:w="412" w:type="dxa"/>
            <w:vAlign w:val="center"/>
          </w:tcPr>
          <w:p>
            <w:pPr>
              <w:pStyle w:val="38"/>
              <w:kinsoku w:val="0"/>
              <w:overflowPunct w:val="0"/>
              <w:autoSpaceDE w:val="0"/>
              <w:autoSpaceDN w:val="0"/>
              <w:adjustRightInd w:val="0"/>
              <w:snapToGrid w:val="0"/>
              <w:jc w:val="center"/>
              <w:rPr>
                <w:rFonts w:ascii="Times New Roman" w:hAnsi="Times New Roman" w:cs="Times New Roman"/>
                <w:sz w:val="24"/>
                <w:szCs w:val="24"/>
                <w:lang w:eastAsia="zh-CN"/>
              </w:rPr>
            </w:pPr>
            <w:r>
              <w:rPr>
                <w:rFonts w:ascii="Times New Roman" w:hAnsi="Times New Roman" w:cs="Times New Roman"/>
                <w:sz w:val="24"/>
                <w:szCs w:val="24"/>
              </w:rPr>
              <w:t>套</w:t>
            </w:r>
          </w:p>
        </w:tc>
        <w:tc>
          <w:tcPr>
            <w:tcW w:w="876" w:type="dxa"/>
            <w:vAlign w:val="center"/>
          </w:tcPr>
          <w:p>
            <w:pPr>
              <w:pStyle w:val="38"/>
              <w:kinsoku w:val="0"/>
              <w:overflowPunct w:val="0"/>
              <w:autoSpaceDE w:val="0"/>
              <w:autoSpaceDN w:val="0"/>
              <w:adjustRightInd w:val="0"/>
              <w:snapToGrid w:val="0"/>
              <w:jc w:val="center"/>
              <w:rPr>
                <w:rFonts w:ascii="Times New Roman" w:hAnsi="Times New Roman" w:cs="Times New Roman"/>
                <w:sz w:val="24"/>
                <w:szCs w:val="24"/>
                <w:lang w:eastAsia="zh-CN"/>
              </w:rPr>
            </w:pPr>
            <w:r>
              <w:rPr>
                <w:rFonts w:ascii="Times New Roman" w:hAnsi="Times New Roman" w:cs="Times New Roman"/>
                <w:sz w:val="24"/>
                <w:szCs w:val="24"/>
              </w:rPr>
              <w:t>9</w:t>
            </w:r>
          </w:p>
        </w:tc>
        <w:tc>
          <w:tcPr>
            <w:tcW w:w="482" w:type="dxa"/>
            <w:vAlign w:val="center"/>
          </w:tcPr>
          <w:p>
            <w:pPr>
              <w:pStyle w:val="38"/>
              <w:kinsoku w:val="0"/>
              <w:overflowPunct w:val="0"/>
              <w:autoSpaceDE w:val="0"/>
              <w:autoSpaceDN w:val="0"/>
              <w:adjustRightInd w:val="0"/>
              <w:snapToGrid w:val="0"/>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13" w:hRule="atLeast"/>
          <w:jc w:val="center"/>
        </w:trPr>
        <w:tc>
          <w:tcPr>
            <w:tcW w:w="832" w:type="dxa"/>
            <w:vMerge w:val="continue"/>
            <w:vAlign w:val="center"/>
          </w:tcPr>
          <w:p>
            <w:pPr>
              <w:pStyle w:val="38"/>
              <w:kinsoku w:val="0"/>
              <w:overflowPunct w:val="0"/>
              <w:autoSpaceDE w:val="0"/>
              <w:autoSpaceDN w:val="0"/>
              <w:adjustRightInd w:val="0"/>
              <w:snapToGrid w:val="0"/>
              <w:rPr>
                <w:rFonts w:ascii="Times New Roman" w:hAnsi="Times New Roman" w:cs="Times New Roman"/>
                <w:sz w:val="24"/>
                <w:szCs w:val="24"/>
              </w:rPr>
            </w:pPr>
          </w:p>
        </w:tc>
        <w:tc>
          <w:tcPr>
            <w:tcW w:w="1363" w:type="dxa"/>
            <w:vMerge w:val="continue"/>
            <w:tcBorders>
              <w:left w:val="single" w:color="auto" w:sz="4" w:space="0"/>
            </w:tcBorders>
            <w:vAlign w:val="center"/>
          </w:tcPr>
          <w:p>
            <w:pPr>
              <w:pStyle w:val="38"/>
              <w:kinsoku w:val="0"/>
              <w:overflowPunct w:val="0"/>
              <w:autoSpaceDE w:val="0"/>
              <w:autoSpaceDN w:val="0"/>
              <w:adjustRightInd w:val="0"/>
              <w:snapToGrid w:val="0"/>
              <w:rPr>
                <w:rFonts w:ascii="Times New Roman" w:hAnsi="Times New Roman" w:cs="Times New Roman"/>
                <w:sz w:val="24"/>
                <w:szCs w:val="24"/>
              </w:rPr>
            </w:pPr>
          </w:p>
        </w:tc>
        <w:tc>
          <w:tcPr>
            <w:tcW w:w="4656" w:type="dxa"/>
            <w:tcBorders>
              <w:top w:val="single" w:color="000000" w:sz="2" w:space="0"/>
              <w:left w:val="single" w:color="000000" w:sz="4" w:space="0"/>
            </w:tcBorders>
            <w:vAlign w:val="center"/>
          </w:tcPr>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（2）pH</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1）</w:t>
            </w:r>
            <w:r>
              <w:rPr>
                <w:rFonts w:ascii="Times New Roman" w:hAnsi="Times New Roman" w:cs="Times New Roman"/>
                <w:sz w:val="24"/>
                <w:szCs w:val="24"/>
                <w:lang w:eastAsia="zh-CN"/>
              </w:rPr>
              <w:tab/>
            </w:r>
            <w:r>
              <w:rPr>
                <w:rFonts w:ascii="Times New Roman" w:hAnsi="Times New Roman" w:cs="Times New Roman"/>
                <w:sz w:val="24"/>
                <w:szCs w:val="24"/>
                <w:lang w:eastAsia="zh-CN"/>
              </w:rPr>
              <w:t>测定原理：玻璃电极法</w:t>
            </w:r>
          </w:p>
          <w:p>
            <w:pPr>
              <w:pStyle w:val="38"/>
              <w:kinsoku w:val="0"/>
              <w:overflowPunct w:val="0"/>
              <w:autoSpaceDE w:val="0"/>
              <w:autoSpaceDN w:val="0"/>
              <w:adjustRightInd w:val="0"/>
              <w:snapToGrid w:val="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Pr>
                <w:rFonts w:ascii="Times New Roman" w:hAnsi="Times New Roman" w:cs="Times New Roman"/>
                <w:sz w:val="24"/>
                <w:szCs w:val="24"/>
              </w:rPr>
              <w:t>量程：pH0～14</w:t>
            </w:r>
          </w:p>
          <w:p>
            <w:pPr>
              <w:pStyle w:val="38"/>
              <w:kinsoku w:val="0"/>
              <w:overflowPunct w:val="0"/>
              <w:autoSpaceDE w:val="0"/>
              <w:autoSpaceDN w:val="0"/>
              <w:adjustRightInd w:val="0"/>
              <w:snapToGrid w:val="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Pr>
                <w:rFonts w:ascii="Times New Roman" w:hAnsi="Times New Roman" w:cs="Times New Roman"/>
                <w:sz w:val="24"/>
                <w:szCs w:val="24"/>
              </w:rPr>
              <w:t>漂移（pH=4、7、9）：±0.1pH</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4）</w:t>
            </w:r>
            <w:r>
              <w:rPr>
                <w:rFonts w:ascii="Times New Roman" w:hAnsi="Times New Roman" w:cs="Times New Roman"/>
                <w:sz w:val="24"/>
                <w:szCs w:val="24"/>
                <w:lang w:eastAsia="zh-CN"/>
              </w:rPr>
              <w:tab/>
            </w:r>
            <w:r>
              <w:rPr>
                <w:rFonts w:ascii="Times New Roman" w:hAnsi="Times New Roman" w:cs="Times New Roman"/>
                <w:sz w:val="24"/>
                <w:szCs w:val="24"/>
                <w:lang w:eastAsia="zh-CN"/>
              </w:rPr>
              <w:t>重复性：±0.1pH</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5）</w:t>
            </w:r>
            <w:r>
              <w:rPr>
                <w:rFonts w:ascii="Times New Roman" w:hAnsi="Times New Roman" w:cs="Times New Roman"/>
                <w:sz w:val="24"/>
                <w:szCs w:val="24"/>
                <w:lang w:eastAsia="zh-CN"/>
              </w:rPr>
              <w:tab/>
            </w:r>
            <w:r>
              <w:rPr>
                <w:rFonts w:ascii="Times New Roman" w:hAnsi="Times New Roman" w:cs="Times New Roman"/>
                <w:sz w:val="24"/>
                <w:szCs w:val="24"/>
                <w:lang w:eastAsia="zh-CN"/>
              </w:rPr>
              <w:t>响应时间：≤30s</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6）</w:t>
            </w:r>
            <w:r>
              <w:rPr>
                <w:rFonts w:ascii="Times New Roman" w:hAnsi="Times New Roman" w:cs="Times New Roman"/>
                <w:sz w:val="24"/>
                <w:szCs w:val="24"/>
                <w:lang w:eastAsia="zh-CN"/>
              </w:rPr>
              <w:tab/>
            </w:r>
            <w:r>
              <w:rPr>
                <w:rFonts w:ascii="Times New Roman" w:hAnsi="Times New Roman" w:cs="Times New Roman"/>
                <w:sz w:val="24"/>
                <w:szCs w:val="24"/>
                <w:lang w:eastAsia="zh-CN"/>
              </w:rPr>
              <w:t>温度补偿精度：±0.1pH</w:t>
            </w:r>
          </w:p>
          <w:p>
            <w:pPr>
              <w:pStyle w:val="38"/>
              <w:kinsoku w:val="0"/>
              <w:overflowPunct w:val="0"/>
              <w:autoSpaceDE w:val="0"/>
              <w:autoSpaceDN w:val="0"/>
              <w:adjustRightInd w:val="0"/>
              <w:snapToGrid w:val="0"/>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r>
            <w:r>
              <w:rPr>
                <w:rFonts w:ascii="Times New Roman" w:hAnsi="Times New Roman" w:cs="Times New Roman"/>
                <w:sz w:val="24"/>
                <w:szCs w:val="24"/>
              </w:rPr>
              <w:t>MTBF：≥720h/次</w:t>
            </w:r>
          </w:p>
        </w:tc>
        <w:tc>
          <w:tcPr>
            <w:tcW w:w="412" w:type="dxa"/>
            <w:vAlign w:val="center"/>
          </w:tcPr>
          <w:p>
            <w:pPr>
              <w:pStyle w:val="38"/>
              <w:kinsoku w:val="0"/>
              <w:overflowPunct w:val="0"/>
              <w:autoSpaceDE w:val="0"/>
              <w:autoSpaceDN w:val="0"/>
              <w:adjustRightInd w:val="0"/>
              <w:snapToGrid w:val="0"/>
              <w:jc w:val="center"/>
              <w:rPr>
                <w:rFonts w:ascii="Times New Roman" w:hAnsi="Times New Roman" w:cs="Times New Roman"/>
                <w:sz w:val="24"/>
                <w:szCs w:val="24"/>
                <w:lang w:eastAsia="zh-CN"/>
              </w:rPr>
            </w:pPr>
            <w:r>
              <w:rPr>
                <w:rFonts w:ascii="Times New Roman" w:hAnsi="Times New Roman" w:cs="Times New Roman"/>
                <w:sz w:val="24"/>
                <w:szCs w:val="24"/>
              </w:rPr>
              <w:t>套</w:t>
            </w:r>
          </w:p>
        </w:tc>
        <w:tc>
          <w:tcPr>
            <w:tcW w:w="876" w:type="dxa"/>
            <w:vAlign w:val="center"/>
          </w:tcPr>
          <w:p>
            <w:pPr>
              <w:pStyle w:val="38"/>
              <w:kinsoku w:val="0"/>
              <w:overflowPunct w:val="0"/>
              <w:autoSpaceDE w:val="0"/>
              <w:autoSpaceDN w:val="0"/>
              <w:adjustRightInd w:val="0"/>
              <w:snapToGrid w:val="0"/>
              <w:jc w:val="center"/>
              <w:rPr>
                <w:rFonts w:ascii="Times New Roman" w:hAnsi="Times New Roman" w:cs="Times New Roman"/>
                <w:sz w:val="24"/>
                <w:szCs w:val="24"/>
                <w:lang w:eastAsia="zh-CN"/>
              </w:rPr>
            </w:pPr>
            <w:r>
              <w:rPr>
                <w:rFonts w:ascii="Times New Roman" w:hAnsi="Times New Roman" w:cs="Times New Roman"/>
                <w:sz w:val="24"/>
                <w:szCs w:val="24"/>
              </w:rPr>
              <w:t>9</w:t>
            </w:r>
          </w:p>
        </w:tc>
        <w:tc>
          <w:tcPr>
            <w:tcW w:w="482" w:type="dxa"/>
            <w:vAlign w:val="center"/>
          </w:tcPr>
          <w:p>
            <w:pPr>
              <w:pStyle w:val="38"/>
              <w:kinsoku w:val="0"/>
              <w:overflowPunct w:val="0"/>
              <w:autoSpaceDE w:val="0"/>
              <w:autoSpaceDN w:val="0"/>
              <w:adjustRightInd w:val="0"/>
              <w:snapToGrid w:val="0"/>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1" w:hRule="atLeast"/>
          <w:jc w:val="center"/>
        </w:trPr>
        <w:tc>
          <w:tcPr>
            <w:tcW w:w="832" w:type="dxa"/>
            <w:vMerge w:val="continue"/>
            <w:vAlign w:val="center"/>
          </w:tcPr>
          <w:p>
            <w:pPr>
              <w:pStyle w:val="38"/>
              <w:kinsoku w:val="0"/>
              <w:overflowPunct w:val="0"/>
              <w:autoSpaceDE w:val="0"/>
              <w:autoSpaceDN w:val="0"/>
              <w:adjustRightInd w:val="0"/>
              <w:snapToGrid w:val="0"/>
              <w:rPr>
                <w:rFonts w:ascii="Times New Roman" w:hAnsi="Times New Roman" w:cs="Times New Roman"/>
                <w:sz w:val="24"/>
                <w:szCs w:val="24"/>
              </w:rPr>
            </w:pPr>
          </w:p>
        </w:tc>
        <w:tc>
          <w:tcPr>
            <w:tcW w:w="1363" w:type="dxa"/>
            <w:vMerge w:val="continue"/>
            <w:tcBorders>
              <w:left w:val="single" w:color="auto" w:sz="4" w:space="0"/>
            </w:tcBorders>
            <w:vAlign w:val="center"/>
          </w:tcPr>
          <w:p>
            <w:pPr>
              <w:pStyle w:val="38"/>
              <w:kinsoku w:val="0"/>
              <w:overflowPunct w:val="0"/>
              <w:autoSpaceDE w:val="0"/>
              <w:autoSpaceDN w:val="0"/>
              <w:adjustRightInd w:val="0"/>
              <w:snapToGrid w:val="0"/>
              <w:rPr>
                <w:rFonts w:ascii="Times New Roman" w:hAnsi="Times New Roman" w:cs="Times New Roman"/>
                <w:sz w:val="24"/>
                <w:szCs w:val="24"/>
              </w:rPr>
            </w:pPr>
          </w:p>
        </w:tc>
        <w:tc>
          <w:tcPr>
            <w:tcW w:w="4656" w:type="dxa"/>
            <w:tcBorders>
              <w:top w:val="single" w:color="000000" w:sz="2" w:space="0"/>
              <w:left w:val="single" w:color="000000" w:sz="4" w:space="0"/>
              <w:right w:val="single" w:color="000000" w:sz="4" w:space="0"/>
            </w:tcBorders>
            <w:vAlign w:val="center"/>
          </w:tcPr>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（3）溶解氧</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1）</w:t>
            </w:r>
            <w:r>
              <w:rPr>
                <w:rFonts w:ascii="Times New Roman" w:hAnsi="Times New Roman" w:cs="Times New Roman"/>
                <w:sz w:val="24"/>
                <w:szCs w:val="24"/>
                <w:lang w:eastAsia="zh-CN"/>
              </w:rPr>
              <w:tab/>
            </w:r>
            <w:r>
              <w:rPr>
                <w:rFonts w:ascii="Times New Roman" w:hAnsi="Times New Roman" w:cs="Times New Roman"/>
                <w:sz w:val="24"/>
                <w:szCs w:val="24"/>
                <w:lang w:eastAsia="zh-CN"/>
              </w:rPr>
              <w:t>测定原理：电极法或荧光法</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2）</w:t>
            </w:r>
            <w:r>
              <w:rPr>
                <w:rFonts w:ascii="Times New Roman" w:hAnsi="Times New Roman" w:cs="Times New Roman"/>
                <w:sz w:val="24"/>
                <w:szCs w:val="24"/>
                <w:lang w:eastAsia="zh-CN"/>
              </w:rPr>
              <w:tab/>
            </w:r>
            <w:r>
              <w:rPr>
                <w:rFonts w:ascii="Times New Roman" w:hAnsi="Times New Roman" w:cs="Times New Roman"/>
                <w:sz w:val="24"/>
                <w:szCs w:val="24"/>
                <w:lang w:eastAsia="zh-CN"/>
              </w:rPr>
              <w:t xml:space="preserve">量程：0～20mg/L </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3）</w:t>
            </w:r>
            <w:r>
              <w:rPr>
                <w:rFonts w:ascii="Times New Roman" w:hAnsi="Times New Roman" w:cs="Times New Roman"/>
                <w:sz w:val="24"/>
                <w:szCs w:val="24"/>
                <w:lang w:eastAsia="zh-CN"/>
              </w:rPr>
              <w:tab/>
            </w:r>
            <w:r>
              <w:rPr>
                <w:rFonts w:ascii="Times New Roman" w:hAnsi="Times New Roman" w:cs="Times New Roman"/>
                <w:sz w:val="24"/>
                <w:szCs w:val="24"/>
                <w:lang w:eastAsia="zh-CN"/>
              </w:rPr>
              <w:t>零点漂移：±0.3mg/L</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4）</w:t>
            </w:r>
            <w:r>
              <w:rPr>
                <w:rFonts w:ascii="Times New Roman" w:hAnsi="Times New Roman" w:cs="Times New Roman"/>
                <w:sz w:val="24"/>
                <w:szCs w:val="24"/>
                <w:lang w:eastAsia="zh-CN"/>
              </w:rPr>
              <w:tab/>
            </w:r>
            <w:r>
              <w:rPr>
                <w:rFonts w:ascii="Times New Roman" w:hAnsi="Times New Roman" w:cs="Times New Roman"/>
                <w:sz w:val="24"/>
                <w:szCs w:val="24"/>
                <w:lang w:eastAsia="zh-CN"/>
              </w:rPr>
              <w:t>量程漂移：±0.3mg/L</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5）</w:t>
            </w:r>
            <w:r>
              <w:rPr>
                <w:rFonts w:ascii="Times New Roman" w:hAnsi="Times New Roman" w:cs="Times New Roman"/>
                <w:sz w:val="24"/>
                <w:szCs w:val="24"/>
                <w:lang w:eastAsia="zh-CN"/>
              </w:rPr>
              <w:tab/>
            </w:r>
            <w:r>
              <w:rPr>
                <w:rFonts w:ascii="Times New Roman" w:hAnsi="Times New Roman" w:cs="Times New Roman"/>
                <w:sz w:val="24"/>
                <w:szCs w:val="24"/>
                <w:lang w:eastAsia="zh-CN"/>
              </w:rPr>
              <w:t>重复性误差：±0.3mg/L</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6）</w:t>
            </w:r>
            <w:r>
              <w:rPr>
                <w:rFonts w:ascii="Times New Roman" w:hAnsi="Times New Roman" w:cs="Times New Roman"/>
                <w:sz w:val="24"/>
                <w:szCs w:val="24"/>
                <w:lang w:eastAsia="zh-CN"/>
              </w:rPr>
              <w:tab/>
            </w:r>
            <w:r>
              <w:rPr>
                <w:rFonts w:ascii="Times New Roman" w:hAnsi="Times New Roman" w:cs="Times New Roman"/>
                <w:sz w:val="24"/>
                <w:szCs w:val="24"/>
                <w:lang w:eastAsia="zh-CN"/>
              </w:rPr>
              <w:t>响应时间：≤120s</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7）</w:t>
            </w:r>
            <w:r>
              <w:rPr>
                <w:rFonts w:ascii="Times New Roman" w:hAnsi="Times New Roman" w:cs="Times New Roman"/>
                <w:sz w:val="24"/>
                <w:szCs w:val="24"/>
                <w:lang w:eastAsia="zh-CN"/>
              </w:rPr>
              <w:tab/>
            </w:r>
            <w:r>
              <w:rPr>
                <w:rFonts w:ascii="Times New Roman" w:hAnsi="Times New Roman" w:cs="Times New Roman"/>
                <w:sz w:val="24"/>
                <w:szCs w:val="24"/>
                <w:lang w:eastAsia="zh-CN"/>
              </w:rPr>
              <w:t>温度补偿精度：±0.3mg/L</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8）</w:t>
            </w:r>
            <w:r>
              <w:rPr>
                <w:rFonts w:ascii="Times New Roman" w:hAnsi="Times New Roman" w:cs="Times New Roman"/>
                <w:sz w:val="24"/>
                <w:szCs w:val="24"/>
                <w:lang w:eastAsia="zh-CN"/>
              </w:rPr>
              <w:tab/>
            </w:r>
            <w:r>
              <w:rPr>
                <w:rFonts w:ascii="Times New Roman" w:hAnsi="Times New Roman" w:cs="Times New Roman"/>
                <w:sz w:val="24"/>
                <w:szCs w:val="24"/>
                <w:lang w:eastAsia="zh-CN"/>
              </w:rPr>
              <w:t>MTBF：≥720h/次</w:t>
            </w:r>
          </w:p>
        </w:tc>
        <w:tc>
          <w:tcPr>
            <w:tcW w:w="412" w:type="dxa"/>
            <w:tcBorders>
              <w:left w:val="single" w:color="000000" w:sz="4" w:space="0"/>
              <w:right w:val="single" w:color="000000" w:sz="4" w:space="0"/>
            </w:tcBorders>
            <w:vAlign w:val="center"/>
          </w:tcPr>
          <w:p>
            <w:pPr>
              <w:pStyle w:val="38"/>
              <w:kinsoku w:val="0"/>
              <w:overflowPunct w:val="0"/>
              <w:autoSpaceDE w:val="0"/>
              <w:autoSpaceDN w:val="0"/>
              <w:adjustRightInd w:val="0"/>
              <w:snapToGrid w:val="0"/>
              <w:jc w:val="center"/>
              <w:rPr>
                <w:rFonts w:ascii="Times New Roman" w:hAnsi="Times New Roman" w:cs="Times New Roman"/>
                <w:sz w:val="24"/>
                <w:szCs w:val="24"/>
                <w:lang w:eastAsia="zh-CN"/>
              </w:rPr>
            </w:pPr>
            <w:r>
              <w:rPr>
                <w:rFonts w:ascii="Times New Roman" w:hAnsi="Times New Roman" w:cs="Times New Roman"/>
                <w:sz w:val="24"/>
                <w:szCs w:val="24"/>
              </w:rPr>
              <w:t>套</w:t>
            </w:r>
          </w:p>
        </w:tc>
        <w:tc>
          <w:tcPr>
            <w:tcW w:w="876" w:type="dxa"/>
            <w:tcBorders>
              <w:left w:val="single" w:color="000000" w:sz="4" w:space="0"/>
              <w:right w:val="single" w:color="000000" w:sz="4" w:space="0"/>
            </w:tcBorders>
            <w:vAlign w:val="center"/>
          </w:tcPr>
          <w:p>
            <w:pPr>
              <w:pStyle w:val="38"/>
              <w:kinsoku w:val="0"/>
              <w:overflowPunct w:val="0"/>
              <w:autoSpaceDE w:val="0"/>
              <w:autoSpaceDN w:val="0"/>
              <w:adjustRightInd w:val="0"/>
              <w:snapToGrid w:val="0"/>
              <w:jc w:val="center"/>
              <w:rPr>
                <w:rFonts w:ascii="Times New Roman" w:hAnsi="Times New Roman" w:cs="Times New Roman"/>
                <w:sz w:val="24"/>
                <w:szCs w:val="24"/>
                <w:lang w:eastAsia="zh-CN"/>
              </w:rPr>
            </w:pPr>
            <w:r>
              <w:rPr>
                <w:rFonts w:ascii="Times New Roman" w:hAnsi="Times New Roman" w:cs="Times New Roman"/>
                <w:sz w:val="24"/>
                <w:szCs w:val="24"/>
              </w:rPr>
              <w:t>9</w:t>
            </w:r>
          </w:p>
        </w:tc>
        <w:tc>
          <w:tcPr>
            <w:tcW w:w="482" w:type="dxa"/>
            <w:tcBorders>
              <w:left w:val="single" w:color="000000" w:sz="4" w:space="0"/>
            </w:tcBorders>
            <w:vAlign w:val="center"/>
          </w:tcPr>
          <w:p>
            <w:pPr>
              <w:pStyle w:val="38"/>
              <w:kinsoku w:val="0"/>
              <w:overflowPunct w:val="0"/>
              <w:autoSpaceDE w:val="0"/>
              <w:autoSpaceDN w:val="0"/>
              <w:adjustRightInd w:val="0"/>
              <w:snapToGrid w:val="0"/>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5" w:hRule="atLeast"/>
          <w:jc w:val="center"/>
        </w:trPr>
        <w:tc>
          <w:tcPr>
            <w:tcW w:w="832" w:type="dxa"/>
            <w:vMerge w:val="continue"/>
            <w:vAlign w:val="center"/>
          </w:tcPr>
          <w:p>
            <w:pPr>
              <w:pStyle w:val="38"/>
              <w:kinsoku w:val="0"/>
              <w:overflowPunct w:val="0"/>
              <w:autoSpaceDE w:val="0"/>
              <w:autoSpaceDN w:val="0"/>
              <w:adjustRightInd w:val="0"/>
              <w:snapToGrid w:val="0"/>
              <w:rPr>
                <w:rFonts w:ascii="Times New Roman" w:hAnsi="Times New Roman" w:cs="Times New Roman"/>
                <w:sz w:val="24"/>
                <w:szCs w:val="24"/>
              </w:rPr>
            </w:pPr>
          </w:p>
        </w:tc>
        <w:tc>
          <w:tcPr>
            <w:tcW w:w="1363" w:type="dxa"/>
            <w:vMerge w:val="continue"/>
            <w:tcBorders>
              <w:left w:val="single" w:color="auto" w:sz="4" w:space="0"/>
            </w:tcBorders>
            <w:vAlign w:val="center"/>
          </w:tcPr>
          <w:p>
            <w:pPr>
              <w:pStyle w:val="38"/>
              <w:kinsoku w:val="0"/>
              <w:overflowPunct w:val="0"/>
              <w:autoSpaceDE w:val="0"/>
              <w:autoSpaceDN w:val="0"/>
              <w:adjustRightInd w:val="0"/>
              <w:snapToGrid w:val="0"/>
              <w:rPr>
                <w:rFonts w:ascii="Times New Roman" w:hAnsi="Times New Roman" w:cs="Times New Roman"/>
                <w:sz w:val="24"/>
                <w:szCs w:val="24"/>
              </w:rPr>
            </w:pPr>
          </w:p>
        </w:tc>
        <w:tc>
          <w:tcPr>
            <w:tcW w:w="4656" w:type="dxa"/>
            <w:tcBorders>
              <w:top w:val="single" w:color="000000" w:sz="2" w:space="0"/>
            </w:tcBorders>
          </w:tcPr>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（4）电导率</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1）</w:t>
            </w:r>
            <w:r>
              <w:rPr>
                <w:rFonts w:ascii="Times New Roman" w:hAnsi="Times New Roman" w:cs="Times New Roman"/>
                <w:sz w:val="24"/>
                <w:szCs w:val="24"/>
                <w:lang w:eastAsia="zh-CN"/>
              </w:rPr>
              <w:tab/>
            </w:r>
            <w:r>
              <w:rPr>
                <w:rFonts w:ascii="Times New Roman" w:hAnsi="Times New Roman" w:cs="Times New Roman"/>
                <w:sz w:val="24"/>
                <w:szCs w:val="24"/>
                <w:lang w:eastAsia="zh-CN"/>
              </w:rPr>
              <w:t>测定原理：电极法</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2）</w:t>
            </w:r>
            <w:r>
              <w:rPr>
                <w:rFonts w:ascii="Times New Roman" w:hAnsi="Times New Roman" w:cs="Times New Roman"/>
                <w:sz w:val="24"/>
                <w:szCs w:val="24"/>
                <w:lang w:eastAsia="zh-CN"/>
              </w:rPr>
              <w:tab/>
            </w:r>
            <w:r>
              <w:rPr>
                <w:rFonts w:ascii="Times New Roman" w:hAnsi="Times New Roman" w:cs="Times New Roman"/>
                <w:sz w:val="24"/>
                <w:szCs w:val="24"/>
                <w:lang w:eastAsia="zh-CN"/>
              </w:rPr>
              <w:t>量程：0～500mS/m</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3）</w:t>
            </w:r>
            <w:r>
              <w:rPr>
                <w:rFonts w:ascii="Times New Roman" w:hAnsi="Times New Roman" w:cs="Times New Roman"/>
                <w:sz w:val="24"/>
                <w:szCs w:val="24"/>
                <w:lang w:eastAsia="zh-CN"/>
              </w:rPr>
              <w:tab/>
            </w:r>
            <w:r>
              <w:rPr>
                <w:rFonts w:ascii="Times New Roman" w:hAnsi="Times New Roman" w:cs="Times New Roman"/>
                <w:sz w:val="24"/>
                <w:szCs w:val="24"/>
                <w:lang w:eastAsia="zh-CN"/>
              </w:rPr>
              <w:t>重复性误差：±1%</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4）</w:t>
            </w:r>
            <w:r>
              <w:rPr>
                <w:rFonts w:ascii="Times New Roman" w:hAnsi="Times New Roman" w:cs="Times New Roman"/>
                <w:sz w:val="24"/>
                <w:szCs w:val="24"/>
                <w:lang w:eastAsia="zh-CN"/>
              </w:rPr>
              <w:tab/>
            </w:r>
            <w:r>
              <w:rPr>
                <w:rFonts w:ascii="Times New Roman" w:hAnsi="Times New Roman" w:cs="Times New Roman"/>
                <w:sz w:val="24"/>
                <w:szCs w:val="24"/>
                <w:lang w:eastAsia="zh-CN"/>
              </w:rPr>
              <w:t>零点漂移：±1%</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5）</w:t>
            </w:r>
            <w:r>
              <w:rPr>
                <w:rFonts w:ascii="Times New Roman" w:hAnsi="Times New Roman" w:cs="Times New Roman"/>
                <w:sz w:val="24"/>
                <w:szCs w:val="24"/>
                <w:lang w:eastAsia="zh-CN"/>
              </w:rPr>
              <w:tab/>
            </w:r>
            <w:r>
              <w:rPr>
                <w:rFonts w:ascii="Times New Roman" w:hAnsi="Times New Roman" w:cs="Times New Roman"/>
                <w:sz w:val="24"/>
                <w:szCs w:val="24"/>
                <w:lang w:eastAsia="zh-CN"/>
              </w:rPr>
              <w:t>量程漂移：±1%</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6）</w:t>
            </w:r>
            <w:r>
              <w:rPr>
                <w:rFonts w:ascii="Times New Roman" w:hAnsi="Times New Roman" w:cs="Times New Roman"/>
                <w:sz w:val="24"/>
                <w:szCs w:val="24"/>
                <w:lang w:eastAsia="zh-CN"/>
              </w:rPr>
              <w:tab/>
            </w:r>
            <w:r>
              <w:rPr>
                <w:rFonts w:ascii="Times New Roman" w:hAnsi="Times New Roman" w:cs="Times New Roman"/>
                <w:sz w:val="24"/>
                <w:szCs w:val="24"/>
                <w:lang w:eastAsia="zh-CN"/>
              </w:rPr>
              <w:t>响应时间：≤30s</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7）</w:t>
            </w:r>
            <w:r>
              <w:rPr>
                <w:rFonts w:ascii="Times New Roman" w:hAnsi="Times New Roman" w:cs="Times New Roman"/>
                <w:sz w:val="24"/>
                <w:szCs w:val="24"/>
                <w:lang w:eastAsia="zh-CN"/>
              </w:rPr>
              <w:tab/>
            </w:r>
            <w:r>
              <w:rPr>
                <w:rFonts w:ascii="Times New Roman" w:hAnsi="Times New Roman" w:cs="Times New Roman"/>
                <w:sz w:val="24"/>
                <w:szCs w:val="24"/>
                <w:lang w:eastAsia="zh-CN"/>
              </w:rPr>
              <w:t>温度补偿精度：±1%</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8）</w:t>
            </w:r>
            <w:r>
              <w:rPr>
                <w:rFonts w:ascii="Times New Roman" w:hAnsi="Times New Roman" w:cs="Times New Roman"/>
                <w:sz w:val="24"/>
                <w:szCs w:val="24"/>
                <w:lang w:eastAsia="zh-CN"/>
              </w:rPr>
              <w:tab/>
            </w:r>
            <w:r>
              <w:rPr>
                <w:rFonts w:ascii="Times New Roman" w:hAnsi="Times New Roman" w:cs="Times New Roman"/>
                <w:sz w:val="24"/>
                <w:szCs w:val="24"/>
                <w:lang w:eastAsia="zh-CN"/>
              </w:rPr>
              <w:t>MTBF：≥720h/次</w:t>
            </w:r>
          </w:p>
        </w:tc>
        <w:tc>
          <w:tcPr>
            <w:tcW w:w="412" w:type="dxa"/>
            <w:tcBorders>
              <w:top w:val="single" w:color="000000" w:sz="2" w:space="0"/>
            </w:tcBorders>
            <w:vAlign w:val="center"/>
          </w:tcPr>
          <w:p>
            <w:pPr>
              <w:pStyle w:val="38"/>
              <w:kinsoku w:val="0"/>
              <w:overflowPunct w:val="0"/>
              <w:autoSpaceDE w:val="0"/>
              <w:autoSpaceDN w:val="0"/>
              <w:adjustRightInd w:val="0"/>
              <w:snapToGrid w:val="0"/>
              <w:jc w:val="center"/>
              <w:rPr>
                <w:rFonts w:ascii="Times New Roman" w:hAnsi="Times New Roman" w:cs="Times New Roman"/>
                <w:sz w:val="24"/>
                <w:szCs w:val="24"/>
                <w:lang w:eastAsia="zh-CN"/>
              </w:rPr>
            </w:pPr>
            <w:r>
              <w:rPr>
                <w:rFonts w:ascii="Times New Roman" w:hAnsi="Times New Roman" w:cs="Times New Roman"/>
                <w:sz w:val="24"/>
                <w:szCs w:val="24"/>
              </w:rPr>
              <w:t>套</w:t>
            </w:r>
          </w:p>
        </w:tc>
        <w:tc>
          <w:tcPr>
            <w:tcW w:w="876" w:type="dxa"/>
            <w:tcBorders>
              <w:top w:val="single" w:color="000000" w:sz="2" w:space="0"/>
            </w:tcBorders>
            <w:vAlign w:val="center"/>
          </w:tcPr>
          <w:p>
            <w:pPr>
              <w:pStyle w:val="38"/>
              <w:kinsoku w:val="0"/>
              <w:overflowPunct w:val="0"/>
              <w:autoSpaceDE w:val="0"/>
              <w:autoSpaceDN w:val="0"/>
              <w:adjustRightInd w:val="0"/>
              <w:snapToGrid w:val="0"/>
              <w:jc w:val="center"/>
              <w:rPr>
                <w:rFonts w:ascii="Times New Roman" w:hAnsi="Times New Roman" w:cs="Times New Roman"/>
                <w:sz w:val="24"/>
                <w:szCs w:val="24"/>
                <w:lang w:eastAsia="zh-CN"/>
              </w:rPr>
            </w:pPr>
            <w:r>
              <w:rPr>
                <w:rFonts w:ascii="Times New Roman" w:hAnsi="Times New Roman" w:cs="Times New Roman"/>
                <w:sz w:val="24"/>
                <w:szCs w:val="24"/>
                <w:lang w:eastAsia="zh-CN"/>
              </w:rPr>
              <w:t>9</w:t>
            </w:r>
          </w:p>
        </w:tc>
        <w:tc>
          <w:tcPr>
            <w:tcW w:w="482" w:type="dxa"/>
            <w:tcBorders>
              <w:top w:val="single" w:color="000000" w:sz="2" w:space="0"/>
            </w:tcBorders>
          </w:tcPr>
          <w:p>
            <w:pPr>
              <w:pStyle w:val="38"/>
              <w:kinsoku w:val="0"/>
              <w:overflowPunct w:val="0"/>
              <w:autoSpaceDE w:val="0"/>
              <w:autoSpaceDN w:val="0"/>
              <w:adjustRightInd w:val="0"/>
              <w:snapToGrid w:val="0"/>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0" w:hRule="atLeast"/>
          <w:jc w:val="center"/>
        </w:trPr>
        <w:tc>
          <w:tcPr>
            <w:tcW w:w="832" w:type="dxa"/>
            <w:vMerge w:val="continue"/>
            <w:vAlign w:val="center"/>
          </w:tcPr>
          <w:p>
            <w:pPr>
              <w:pStyle w:val="38"/>
              <w:kinsoku w:val="0"/>
              <w:overflowPunct w:val="0"/>
              <w:autoSpaceDE w:val="0"/>
              <w:autoSpaceDN w:val="0"/>
              <w:adjustRightInd w:val="0"/>
              <w:snapToGrid w:val="0"/>
              <w:rPr>
                <w:rFonts w:ascii="Times New Roman" w:hAnsi="Times New Roman" w:cs="Times New Roman"/>
                <w:sz w:val="24"/>
                <w:szCs w:val="24"/>
              </w:rPr>
            </w:pPr>
          </w:p>
        </w:tc>
        <w:tc>
          <w:tcPr>
            <w:tcW w:w="1363" w:type="dxa"/>
            <w:vMerge w:val="continue"/>
            <w:tcBorders>
              <w:left w:val="single" w:color="auto" w:sz="4" w:space="0"/>
            </w:tcBorders>
            <w:vAlign w:val="center"/>
          </w:tcPr>
          <w:p>
            <w:pPr>
              <w:pStyle w:val="38"/>
              <w:kinsoku w:val="0"/>
              <w:overflowPunct w:val="0"/>
              <w:autoSpaceDE w:val="0"/>
              <w:autoSpaceDN w:val="0"/>
              <w:adjustRightInd w:val="0"/>
              <w:snapToGrid w:val="0"/>
              <w:rPr>
                <w:rFonts w:ascii="Times New Roman" w:hAnsi="Times New Roman" w:cs="Times New Roman"/>
                <w:sz w:val="24"/>
                <w:szCs w:val="24"/>
              </w:rPr>
            </w:pPr>
          </w:p>
        </w:tc>
        <w:tc>
          <w:tcPr>
            <w:tcW w:w="4656" w:type="dxa"/>
          </w:tcPr>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（5）浊度</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1）</w:t>
            </w:r>
            <w:r>
              <w:rPr>
                <w:rFonts w:ascii="Times New Roman" w:hAnsi="Times New Roman" w:cs="Times New Roman"/>
                <w:sz w:val="24"/>
                <w:szCs w:val="24"/>
                <w:lang w:eastAsia="zh-CN"/>
              </w:rPr>
              <w:tab/>
            </w:r>
            <w:r>
              <w:rPr>
                <w:rFonts w:ascii="Times New Roman" w:hAnsi="Times New Roman" w:cs="Times New Roman"/>
                <w:sz w:val="24"/>
                <w:szCs w:val="24"/>
                <w:lang w:eastAsia="zh-CN"/>
              </w:rPr>
              <w:t>测定原理：光散射法</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2）</w:t>
            </w:r>
            <w:r>
              <w:rPr>
                <w:rFonts w:ascii="Times New Roman" w:hAnsi="Times New Roman" w:cs="Times New Roman"/>
                <w:sz w:val="24"/>
                <w:szCs w:val="24"/>
                <w:lang w:eastAsia="zh-CN"/>
              </w:rPr>
              <w:tab/>
            </w:r>
            <w:r>
              <w:rPr>
                <w:rFonts w:ascii="Times New Roman" w:hAnsi="Times New Roman" w:cs="Times New Roman"/>
                <w:sz w:val="24"/>
                <w:szCs w:val="24"/>
                <w:lang w:eastAsia="zh-CN"/>
              </w:rPr>
              <w:t xml:space="preserve">量程：0～1000NTU </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3）</w:t>
            </w:r>
            <w:r>
              <w:rPr>
                <w:rFonts w:ascii="Times New Roman" w:hAnsi="Times New Roman" w:cs="Times New Roman"/>
                <w:sz w:val="24"/>
                <w:szCs w:val="24"/>
                <w:lang w:eastAsia="zh-CN"/>
              </w:rPr>
              <w:tab/>
            </w:r>
            <w:r>
              <w:rPr>
                <w:rFonts w:ascii="Times New Roman" w:hAnsi="Times New Roman" w:cs="Times New Roman"/>
                <w:sz w:val="24"/>
                <w:szCs w:val="24"/>
                <w:lang w:eastAsia="zh-CN"/>
              </w:rPr>
              <w:t>重复性误差：±5%</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4）</w:t>
            </w:r>
            <w:r>
              <w:rPr>
                <w:rFonts w:ascii="Times New Roman" w:hAnsi="Times New Roman" w:cs="Times New Roman"/>
                <w:sz w:val="24"/>
                <w:szCs w:val="24"/>
                <w:lang w:eastAsia="zh-CN"/>
              </w:rPr>
              <w:tab/>
            </w:r>
            <w:r>
              <w:rPr>
                <w:rFonts w:ascii="Times New Roman" w:hAnsi="Times New Roman" w:cs="Times New Roman"/>
                <w:sz w:val="24"/>
                <w:szCs w:val="24"/>
                <w:lang w:eastAsia="zh-CN"/>
              </w:rPr>
              <w:t>零点漂移：±3%</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5）</w:t>
            </w:r>
            <w:r>
              <w:rPr>
                <w:rFonts w:ascii="Times New Roman" w:hAnsi="Times New Roman" w:cs="Times New Roman"/>
                <w:sz w:val="24"/>
                <w:szCs w:val="24"/>
                <w:lang w:eastAsia="zh-CN"/>
              </w:rPr>
              <w:tab/>
            </w:r>
            <w:r>
              <w:rPr>
                <w:rFonts w:ascii="Times New Roman" w:hAnsi="Times New Roman" w:cs="Times New Roman"/>
                <w:sz w:val="24"/>
                <w:szCs w:val="24"/>
                <w:lang w:eastAsia="zh-CN"/>
              </w:rPr>
              <w:t>量程漂移：±5%</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6）</w:t>
            </w:r>
            <w:r>
              <w:rPr>
                <w:rFonts w:ascii="Times New Roman" w:hAnsi="Times New Roman" w:cs="Times New Roman"/>
                <w:sz w:val="24"/>
                <w:szCs w:val="24"/>
                <w:lang w:eastAsia="zh-CN"/>
              </w:rPr>
              <w:tab/>
            </w:r>
            <w:r>
              <w:rPr>
                <w:rFonts w:ascii="Times New Roman" w:hAnsi="Times New Roman" w:cs="Times New Roman"/>
                <w:sz w:val="24"/>
                <w:szCs w:val="24"/>
                <w:lang w:eastAsia="zh-CN"/>
              </w:rPr>
              <w:t>线性误差：±5%</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7）</w:t>
            </w:r>
            <w:r>
              <w:rPr>
                <w:rFonts w:ascii="Times New Roman" w:hAnsi="Times New Roman" w:cs="Times New Roman"/>
                <w:sz w:val="24"/>
                <w:szCs w:val="24"/>
                <w:lang w:eastAsia="zh-CN"/>
              </w:rPr>
              <w:tab/>
            </w:r>
            <w:r>
              <w:rPr>
                <w:rFonts w:ascii="Times New Roman" w:hAnsi="Times New Roman" w:cs="Times New Roman"/>
                <w:sz w:val="24"/>
                <w:szCs w:val="24"/>
                <w:lang w:eastAsia="zh-CN"/>
              </w:rPr>
              <w:t>MTBF：≥720h/次</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【技术指标要求以中国环境监测总站出具的有效期内检测报告为准（需检测结果每次都满足）】</w:t>
            </w:r>
          </w:p>
        </w:tc>
        <w:tc>
          <w:tcPr>
            <w:tcW w:w="412" w:type="dxa"/>
            <w:vAlign w:val="center"/>
          </w:tcPr>
          <w:p>
            <w:pPr>
              <w:pStyle w:val="38"/>
              <w:kinsoku w:val="0"/>
              <w:overflowPunct w:val="0"/>
              <w:autoSpaceDE w:val="0"/>
              <w:autoSpaceDN w:val="0"/>
              <w:adjustRightInd w:val="0"/>
              <w:snapToGrid w:val="0"/>
              <w:jc w:val="center"/>
              <w:rPr>
                <w:rFonts w:ascii="Times New Roman" w:hAnsi="Times New Roman" w:cs="Times New Roman"/>
                <w:sz w:val="24"/>
                <w:szCs w:val="24"/>
                <w:lang w:eastAsia="zh-CN"/>
              </w:rPr>
            </w:pPr>
            <w:r>
              <w:rPr>
                <w:rFonts w:ascii="Times New Roman" w:hAnsi="Times New Roman" w:cs="Times New Roman"/>
                <w:sz w:val="24"/>
                <w:szCs w:val="24"/>
              </w:rPr>
              <w:t>套</w:t>
            </w:r>
          </w:p>
        </w:tc>
        <w:tc>
          <w:tcPr>
            <w:tcW w:w="876" w:type="dxa"/>
            <w:vAlign w:val="center"/>
          </w:tcPr>
          <w:p>
            <w:pPr>
              <w:pStyle w:val="38"/>
              <w:kinsoku w:val="0"/>
              <w:overflowPunct w:val="0"/>
              <w:autoSpaceDE w:val="0"/>
              <w:autoSpaceDN w:val="0"/>
              <w:adjustRightInd w:val="0"/>
              <w:snapToGrid w:val="0"/>
              <w:jc w:val="center"/>
              <w:rPr>
                <w:rFonts w:ascii="Times New Roman" w:hAnsi="Times New Roman" w:cs="Times New Roman"/>
                <w:sz w:val="24"/>
                <w:szCs w:val="24"/>
                <w:lang w:eastAsia="zh-CN"/>
              </w:rPr>
            </w:pPr>
            <w:r>
              <w:rPr>
                <w:rFonts w:ascii="Times New Roman" w:hAnsi="Times New Roman" w:cs="Times New Roman"/>
                <w:sz w:val="24"/>
                <w:szCs w:val="24"/>
              </w:rPr>
              <w:t>9</w:t>
            </w:r>
          </w:p>
        </w:tc>
        <w:tc>
          <w:tcPr>
            <w:tcW w:w="482" w:type="dxa"/>
          </w:tcPr>
          <w:p>
            <w:pPr>
              <w:pStyle w:val="38"/>
              <w:kinsoku w:val="0"/>
              <w:overflowPunct w:val="0"/>
              <w:autoSpaceDE w:val="0"/>
              <w:autoSpaceDN w:val="0"/>
              <w:adjustRightInd w:val="0"/>
              <w:snapToGrid w:val="0"/>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98" w:hRule="atLeast"/>
          <w:jc w:val="center"/>
        </w:trPr>
        <w:tc>
          <w:tcPr>
            <w:tcW w:w="832" w:type="dxa"/>
            <w:vMerge w:val="continue"/>
          </w:tcPr>
          <w:p>
            <w:pPr>
              <w:pStyle w:val="38"/>
              <w:kinsoku w:val="0"/>
              <w:overflowPunct w:val="0"/>
              <w:autoSpaceDE w:val="0"/>
              <w:autoSpaceDN w:val="0"/>
              <w:adjustRightInd w:val="0"/>
              <w:snapToGrid w:val="0"/>
              <w:rPr>
                <w:rFonts w:ascii="Times New Roman" w:hAnsi="Times New Roman" w:cs="Times New Roman"/>
                <w:sz w:val="24"/>
                <w:szCs w:val="24"/>
              </w:rPr>
            </w:pPr>
          </w:p>
        </w:tc>
        <w:tc>
          <w:tcPr>
            <w:tcW w:w="1363" w:type="dxa"/>
            <w:vAlign w:val="center"/>
          </w:tcPr>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化学需氧量水质自动分析仪</w:t>
            </w:r>
          </w:p>
        </w:tc>
        <w:tc>
          <w:tcPr>
            <w:tcW w:w="4656" w:type="dxa"/>
          </w:tcPr>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1）</w:t>
            </w:r>
            <w:r>
              <w:rPr>
                <w:rFonts w:ascii="Times New Roman" w:hAnsi="Times New Roman" w:cs="Times New Roman"/>
                <w:sz w:val="24"/>
                <w:szCs w:val="24"/>
                <w:lang w:eastAsia="zh-CN"/>
              </w:rPr>
              <w:tab/>
            </w:r>
            <w:r>
              <w:rPr>
                <w:rFonts w:ascii="Times New Roman" w:hAnsi="Times New Roman" w:cs="Times New Roman"/>
                <w:sz w:val="24"/>
                <w:szCs w:val="24"/>
                <w:lang w:eastAsia="zh-CN"/>
              </w:rPr>
              <w:t>测定原理：重铬酸钾氧化-分光光度法</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2）</w:t>
            </w:r>
            <w:r>
              <w:rPr>
                <w:rFonts w:ascii="Times New Roman" w:hAnsi="Times New Roman" w:cs="Times New Roman"/>
                <w:sz w:val="24"/>
                <w:szCs w:val="24"/>
                <w:lang w:eastAsia="zh-CN"/>
              </w:rPr>
              <w:tab/>
            </w:r>
            <w:r>
              <w:rPr>
                <w:rFonts w:ascii="Times New Roman" w:hAnsi="Times New Roman" w:cs="Times New Roman"/>
                <w:sz w:val="24"/>
                <w:szCs w:val="24"/>
                <w:lang w:eastAsia="zh-CN"/>
              </w:rPr>
              <w:t>量程：0～100mg/L，可定制</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3）</w:t>
            </w:r>
            <w:r>
              <w:rPr>
                <w:rFonts w:ascii="Times New Roman" w:hAnsi="Times New Roman" w:cs="Times New Roman"/>
                <w:sz w:val="24"/>
                <w:szCs w:val="24"/>
                <w:lang w:eastAsia="zh-CN"/>
              </w:rPr>
              <w:tab/>
            </w:r>
            <w:r>
              <w:rPr>
                <w:rFonts w:ascii="Times New Roman" w:hAnsi="Times New Roman" w:cs="Times New Roman"/>
                <w:sz w:val="24"/>
                <w:szCs w:val="24"/>
                <w:lang w:eastAsia="zh-CN"/>
              </w:rPr>
              <w:t>重复性：±1%</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4）</w:t>
            </w:r>
            <w:r>
              <w:rPr>
                <w:rFonts w:ascii="Times New Roman" w:hAnsi="Times New Roman" w:cs="Times New Roman"/>
                <w:sz w:val="24"/>
                <w:szCs w:val="24"/>
                <w:lang w:eastAsia="zh-CN"/>
              </w:rPr>
              <w:tab/>
            </w:r>
            <w:r>
              <w:rPr>
                <w:rFonts w:ascii="Times New Roman" w:hAnsi="Times New Roman" w:cs="Times New Roman"/>
                <w:sz w:val="24"/>
                <w:szCs w:val="24"/>
                <w:lang w:eastAsia="zh-CN"/>
              </w:rPr>
              <w:t>24h低浓度漂移：±0.5mg/L</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5）</w:t>
            </w:r>
            <w:r>
              <w:rPr>
                <w:rFonts w:ascii="Times New Roman" w:hAnsi="Times New Roman" w:cs="Times New Roman"/>
                <w:sz w:val="24"/>
                <w:szCs w:val="24"/>
                <w:lang w:eastAsia="zh-CN"/>
              </w:rPr>
              <w:tab/>
            </w:r>
            <w:r>
              <w:rPr>
                <w:rFonts w:ascii="Times New Roman" w:hAnsi="Times New Roman" w:cs="Times New Roman"/>
                <w:sz w:val="24"/>
                <w:szCs w:val="24"/>
                <w:lang w:eastAsia="zh-CN"/>
              </w:rPr>
              <w:t>24h高浓度漂移：±0.5%</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6）</w:t>
            </w:r>
            <w:r>
              <w:rPr>
                <w:rFonts w:ascii="Times New Roman" w:hAnsi="Times New Roman" w:cs="Times New Roman"/>
                <w:sz w:val="24"/>
                <w:szCs w:val="24"/>
                <w:lang w:eastAsia="zh-CN"/>
              </w:rPr>
              <w:tab/>
            </w:r>
            <w:r>
              <w:rPr>
                <w:rFonts w:ascii="Times New Roman" w:hAnsi="Times New Roman" w:cs="Times New Roman"/>
                <w:sz w:val="24"/>
                <w:szCs w:val="24"/>
                <w:lang w:eastAsia="zh-CN"/>
              </w:rPr>
              <w:t>氯离子影响试验：±5%</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7）</w:t>
            </w:r>
            <w:r>
              <w:rPr>
                <w:rFonts w:ascii="Times New Roman" w:hAnsi="Times New Roman" w:cs="Times New Roman"/>
                <w:sz w:val="24"/>
                <w:szCs w:val="24"/>
                <w:lang w:eastAsia="zh-CN"/>
              </w:rPr>
              <w:tab/>
            </w:r>
            <w:r>
              <w:rPr>
                <w:rFonts w:ascii="Times New Roman" w:hAnsi="Times New Roman" w:cs="Times New Roman"/>
                <w:sz w:val="24"/>
                <w:szCs w:val="24"/>
                <w:lang w:eastAsia="zh-CN"/>
              </w:rPr>
              <w:t>MTBF：≥720h/次</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8）</w:t>
            </w:r>
            <w:r>
              <w:rPr>
                <w:rFonts w:ascii="Times New Roman" w:hAnsi="Times New Roman" w:cs="Times New Roman"/>
                <w:sz w:val="24"/>
                <w:szCs w:val="24"/>
                <w:lang w:eastAsia="zh-CN"/>
              </w:rPr>
              <w:tab/>
            </w:r>
            <w:r>
              <w:rPr>
                <w:rFonts w:ascii="Times New Roman" w:hAnsi="Times New Roman" w:cs="Times New Roman"/>
                <w:sz w:val="24"/>
                <w:szCs w:val="24"/>
                <w:lang w:eastAsia="zh-CN"/>
              </w:rPr>
              <w:t>电压影响试验：±1%</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9）</w:t>
            </w:r>
            <w:r>
              <w:rPr>
                <w:rFonts w:ascii="Times New Roman" w:hAnsi="Times New Roman" w:cs="Times New Roman"/>
                <w:sz w:val="24"/>
                <w:szCs w:val="24"/>
                <w:lang w:eastAsia="zh-CN"/>
              </w:rPr>
              <w:tab/>
            </w:r>
            <w:r>
              <w:rPr>
                <w:rFonts w:ascii="Times New Roman" w:hAnsi="Times New Roman" w:cs="Times New Roman"/>
                <w:sz w:val="24"/>
                <w:szCs w:val="24"/>
                <w:lang w:eastAsia="zh-CN"/>
              </w:rPr>
              <w:t>实际水样比对试验：水样浓度&lt;50mg/L：绝对误差≤5mg/L；水样浓度≥50mg/L：相对误差≤10%</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【技术指标要求以中国环境监测总站出具的有效期内检测报告为准（需检测结果每次都满足）】</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产品其他性能要求：</w:t>
            </w:r>
          </w:p>
          <w:p>
            <w:pPr>
              <w:pStyle w:val="38"/>
              <w:kinsoku w:val="0"/>
              <w:overflowPunct w:val="0"/>
              <w:autoSpaceDE w:val="0"/>
              <w:autoSpaceDN w:val="0"/>
              <w:adjustRightInd w:val="0"/>
              <w:snapToGrid w:val="0"/>
              <w:rPr>
                <w:rFonts w:ascii="Times New Roman" w:hAnsi="Times New Roman" w:cs="Times New Roman"/>
                <w:sz w:val="24"/>
                <w:szCs w:val="24"/>
                <w:lang w:eastAsia="zh-CN"/>
              </w:rPr>
            </w:pPr>
            <w:bookmarkStart w:id="168" w:name="OLE_LINK12"/>
            <w:bookmarkStart w:id="169" w:name="OLE_LINK13"/>
            <w:r>
              <w:rPr>
                <w:rFonts w:ascii="Times New Roman" w:hAnsi="Times New Roman" w:cs="Times New Roman"/>
                <w:sz w:val="24"/>
                <w:szCs w:val="24"/>
                <w:lang w:eastAsia="zh-CN"/>
              </w:rPr>
              <w:t>▲</w:t>
            </w:r>
            <w:bookmarkEnd w:id="168"/>
            <w:bookmarkEnd w:id="169"/>
            <w:r>
              <w:rPr>
                <w:rFonts w:ascii="Times New Roman" w:hAnsi="Times New Roman" w:cs="Times New Roman"/>
                <w:sz w:val="24"/>
                <w:szCs w:val="24"/>
                <w:lang w:eastAsia="zh-CN"/>
              </w:rPr>
              <w:t>1）采用光电计量传感器与自带驱动的柱塞泵组合定量取样方式，支持量程范围任意体积液体定量，适用于量程变化大的监测场景；采用无试剂残留的多通道切换阀，避免试剂残留对检测结果产生影响。</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▲2）采用气泡搅拌技术，可使试剂水样混合更均匀，消解反应更充分，提高测量准确性，并采用双光路多档位自动光信号调制技术，不受外界杂散光干扰，提高仪器测量稳定性。</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▲3）具有高、中、低量程智能选择、自动切换功能，支持超量程自动调档再测；具备多量程标定功能，不同量程段标定匹配的校准曲线，保证校准曲线适用量程，仪器测量准确。</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▲4）具备一键性能检验功能，并自动计算测试结果，同时自动判定测试结果是否满足规范要求；支持量程范围内任意浓度标液、质控样性能测试一键操作，便于测试维护。</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【产品其他性能需提供省级及以上检测（或计量）机构出具的检测（或评价分析）报告复印件作为证明材料】</w:t>
            </w:r>
          </w:p>
        </w:tc>
        <w:tc>
          <w:tcPr>
            <w:tcW w:w="412" w:type="dxa"/>
            <w:vAlign w:val="center"/>
          </w:tcPr>
          <w:p>
            <w:pPr>
              <w:pStyle w:val="38"/>
              <w:kinsoku w:val="0"/>
              <w:overflowPunct w:val="0"/>
              <w:autoSpaceDE w:val="0"/>
              <w:autoSpaceDN w:val="0"/>
              <w:adjustRightInd w:val="0"/>
              <w:snapToGrid w:val="0"/>
              <w:jc w:val="center"/>
              <w:rPr>
                <w:rFonts w:ascii="Times New Roman" w:hAnsi="Times New Roman" w:cs="Times New Roman"/>
                <w:sz w:val="24"/>
                <w:szCs w:val="24"/>
                <w:lang w:eastAsia="zh-CN"/>
              </w:rPr>
            </w:pPr>
            <w:r>
              <w:rPr>
                <w:rFonts w:ascii="Times New Roman" w:hAnsi="Times New Roman" w:cs="Times New Roman"/>
                <w:sz w:val="24"/>
                <w:szCs w:val="24"/>
              </w:rPr>
              <w:t>套</w:t>
            </w:r>
          </w:p>
        </w:tc>
        <w:tc>
          <w:tcPr>
            <w:tcW w:w="876" w:type="dxa"/>
            <w:vAlign w:val="center"/>
          </w:tcPr>
          <w:p>
            <w:pPr>
              <w:pStyle w:val="38"/>
              <w:kinsoku w:val="0"/>
              <w:overflowPunct w:val="0"/>
              <w:autoSpaceDE w:val="0"/>
              <w:autoSpaceDN w:val="0"/>
              <w:adjustRightInd w:val="0"/>
              <w:snapToGrid w:val="0"/>
              <w:jc w:val="center"/>
              <w:rPr>
                <w:rFonts w:ascii="Times New Roman" w:hAnsi="Times New Roman" w:cs="Times New Roman"/>
                <w:sz w:val="24"/>
                <w:szCs w:val="24"/>
                <w:lang w:eastAsia="zh-CN"/>
              </w:rPr>
            </w:pPr>
            <w:r>
              <w:rPr>
                <w:rFonts w:ascii="Times New Roman" w:hAnsi="Times New Roman" w:cs="Times New Roman"/>
                <w:sz w:val="24"/>
                <w:szCs w:val="24"/>
              </w:rPr>
              <w:t>9</w:t>
            </w:r>
          </w:p>
        </w:tc>
        <w:tc>
          <w:tcPr>
            <w:tcW w:w="482" w:type="dxa"/>
          </w:tcPr>
          <w:p>
            <w:pPr>
              <w:pStyle w:val="38"/>
              <w:kinsoku w:val="0"/>
              <w:overflowPunct w:val="0"/>
              <w:autoSpaceDE w:val="0"/>
              <w:autoSpaceDN w:val="0"/>
              <w:adjustRightInd w:val="0"/>
              <w:snapToGrid w:val="0"/>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2" w:hRule="atLeast"/>
          <w:jc w:val="center"/>
        </w:trPr>
        <w:tc>
          <w:tcPr>
            <w:tcW w:w="832" w:type="dxa"/>
            <w:vMerge w:val="restart"/>
            <w:vAlign w:val="center"/>
          </w:tcPr>
          <w:p>
            <w:pPr>
              <w:pStyle w:val="38"/>
              <w:kinsoku w:val="0"/>
              <w:overflowPunct w:val="0"/>
              <w:autoSpaceDE w:val="0"/>
              <w:autoSpaceDN w:val="0"/>
              <w:adjustRightInd w:val="0"/>
              <w:snapToGrid w:val="0"/>
              <w:rPr>
                <w:rFonts w:ascii="Times New Roman" w:hAnsi="Times New Roman" w:cs="Times New Roman"/>
                <w:sz w:val="24"/>
                <w:szCs w:val="24"/>
                <w:lang w:eastAsia="zh-CN"/>
              </w:rPr>
            </w:pPr>
          </w:p>
        </w:tc>
        <w:tc>
          <w:tcPr>
            <w:tcW w:w="1363" w:type="dxa"/>
            <w:vAlign w:val="center"/>
          </w:tcPr>
          <w:p>
            <w:pPr>
              <w:pStyle w:val="38"/>
              <w:kinsoku w:val="0"/>
              <w:overflowPunct w:val="0"/>
              <w:autoSpaceDE w:val="0"/>
              <w:autoSpaceDN w:val="0"/>
              <w:adjustRightInd w:val="0"/>
              <w:snapToGrid w:val="0"/>
              <w:rPr>
                <w:rFonts w:ascii="Times New Roman" w:hAnsi="Times New Roman" w:cs="Times New Roman"/>
                <w:sz w:val="24"/>
                <w:szCs w:val="24"/>
              </w:rPr>
            </w:pPr>
            <w:r>
              <w:rPr>
                <w:rFonts w:ascii="Times New Roman" w:hAnsi="Times New Roman" w:cs="Times New Roman"/>
                <w:sz w:val="24"/>
                <w:szCs w:val="24"/>
              </w:rPr>
              <w:t>氨氮水质自动分析仪</w:t>
            </w:r>
          </w:p>
        </w:tc>
        <w:tc>
          <w:tcPr>
            <w:tcW w:w="4656" w:type="dxa"/>
          </w:tcPr>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技术指标要求：</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1）测定原理：水杨酸分光光度法或纳氏试剂分光光度法</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2）量程：0.1～10mg/L，可定制</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3）24h低浓度漂移：≤0.01mg/L</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4）24h高浓度漂移：≤1%</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5）示值误差：标液浓度为2.0mg/L时：±3%；标液浓度为5.0mg/L时：±2%；标液浓度为8.0mg/L时：±2%</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6）重复性：≤1%</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7）定量下限：≤0.05mg/L（示值误差±30%）</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8）电压影响试验：±1%</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9）pH影响试验：±2%</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10）最小维护周期：≥168h</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11）数据有效率：≥96%</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12）一致性：≥98%</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13）实际水样比对试验：水样浓度&lt;2.0mg/L：绝对误差≤0.2mg/L；水样浓度≥2.0mg/L：相对误差≤10%</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【技术指标要求以中国环境监测总站出具的有效期内检测报告为准（需检测结果每次都满足）】</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产品其他性能要求：</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▲1）采用光电计量传感器与自带驱动的柱塞泵组合定量取样方式，支持量程范围任意体积液体定量，适用于量程变化大的监测场景；采用无试剂残留的多通道切换阀，避免试剂残留对检测结果产生影响。</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▲2）采用气泡搅拌技术，可使试剂水样混合更均匀，消解反应更充分，提高测量准确性，并采用双光路多档位自动光信号调制技术，不受外界杂散光干扰，提高仪器测量稳定性。</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▲3）具有高、中、低量程智能选择、自动切换功能，支持超量程自动调档再测；具备多量程标定功能，不同量程段标定匹配的校准曲线，保证校准曲线适用量程，仪器测量准确。</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▲4）具备液体检测功能，可对仪器运行过程中液路状态进行实时监控，识别气泡并消除气泡干扰对定量准确度的影响，适用于富营养化、藻类生长、水华暴发等气泡多的水体。</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【产品其他性能需提供省级及以上检测（或计量）机构出具的检测（或评价分析）报告复印件作为证明材料】</w:t>
            </w:r>
          </w:p>
        </w:tc>
        <w:tc>
          <w:tcPr>
            <w:tcW w:w="412" w:type="dxa"/>
            <w:vAlign w:val="center"/>
          </w:tcPr>
          <w:p>
            <w:pPr>
              <w:pStyle w:val="38"/>
              <w:kinsoku w:val="0"/>
              <w:overflowPunct w:val="0"/>
              <w:autoSpaceDE w:val="0"/>
              <w:autoSpaceDN w:val="0"/>
              <w:adjustRightInd w:val="0"/>
              <w:snapToGrid w:val="0"/>
              <w:jc w:val="center"/>
              <w:rPr>
                <w:rFonts w:ascii="Times New Roman" w:hAnsi="Times New Roman" w:cs="Times New Roman"/>
                <w:sz w:val="24"/>
                <w:szCs w:val="24"/>
                <w:lang w:eastAsia="zh-CN"/>
              </w:rPr>
            </w:pPr>
          </w:p>
          <w:p>
            <w:pPr>
              <w:pStyle w:val="38"/>
              <w:kinsoku w:val="0"/>
              <w:overflowPunct w:val="0"/>
              <w:autoSpaceDE w:val="0"/>
              <w:autoSpaceDN w:val="0"/>
              <w:adjustRightInd w:val="0"/>
              <w:snapToGrid w:val="0"/>
              <w:jc w:val="center"/>
              <w:rPr>
                <w:rFonts w:ascii="Times New Roman" w:hAnsi="Times New Roman" w:cs="Times New Roman"/>
                <w:sz w:val="24"/>
                <w:szCs w:val="24"/>
                <w:lang w:eastAsia="zh-CN"/>
              </w:rPr>
            </w:pPr>
          </w:p>
          <w:p>
            <w:pPr>
              <w:pStyle w:val="38"/>
              <w:kinsoku w:val="0"/>
              <w:overflowPunct w:val="0"/>
              <w:autoSpaceDE w:val="0"/>
              <w:autoSpaceDN w:val="0"/>
              <w:adjustRightInd w:val="0"/>
              <w:snapToGrid w:val="0"/>
              <w:jc w:val="center"/>
              <w:rPr>
                <w:rFonts w:ascii="Times New Roman" w:hAnsi="Times New Roman" w:cs="Times New Roman"/>
                <w:sz w:val="24"/>
                <w:szCs w:val="24"/>
                <w:lang w:eastAsia="zh-CN"/>
              </w:rPr>
            </w:pPr>
          </w:p>
          <w:p>
            <w:pPr>
              <w:pStyle w:val="38"/>
              <w:kinsoku w:val="0"/>
              <w:overflowPunct w:val="0"/>
              <w:autoSpaceDE w:val="0"/>
              <w:autoSpaceDN w:val="0"/>
              <w:adjustRightInd w:val="0"/>
              <w:snapToGrid w:val="0"/>
              <w:jc w:val="center"/>
              <w:rPr>
                <w:rFonts w:ascii="Times New Roman" w:hAnsi="Times New Roman" w:cs="Times New Roman"/>
                <w:sz w:val="24"/>
                <w:szCs w:val="24"/>
                <w:lang w:eastAsia="zh-CN"/>
              </w:rPr>
            </w:pPr>
          </w:p>
          <w:p>
            <w:pPr>
              <w:pStyle w:val="38"/>
              <w:kinsoku w:val="0"/>
              <w:overflowPunct w:val="0"/>
              <w:autoSpaceDE w:val="0"/>
              <w:autoSpaceDN w:val="0"/>
              <w:adjustRightInd w:val="0"/>
              <w:snapToGrid w:val="0"/>
              <w:jc w:val="center"/>
              <w:rPr>
                <w:rFonts w:ascii="Times New Roman" w:hAnsi="Times New Roman" w:cs="Times New Roman"/>
                <w:sz w:val="24"/>
                <w:szCs w:val="24"/>
                <w:lang w:eastAsia="zh-CN"/>
              </w:rPr>
            </w:pPr>
            <w:r>
              <w:rPr>
                <w:rFonts w:ascii="Times New Roman" w:hAnsi="Times New Roman" w:cs="Times New Roman"/>
                <w:sz w:val="24"/>
                <w:szCs w:val="24"/>
              </w:rPr>
              <w:t>套</w:t>
            </w:r>
          </w:p>
        </w:tc>
        <w:tc>
          <w:tcPr>
            <w:tcW w:w="876" w:type="dxa"/>
            <w:vAlign w:val="center"/>
          </w:tcPr>
          <w:p>
            <w:pPr>
              <w:pStyle w:val="38"/>
              <w:kinsoku w:val="0"/>
              <w:overflowPunct w:val="0"/>
              <w:autoSpaceDE w:val="0"/>
              <w:autoSpaceDN w:val="0"/>
              <w:adjustRightInd w:val="0"/>
              <w:snapToGrid w:val="0"/>
              <w:jc w:val="center"/>
              <w:rPr>
                <w:rFonts w:ascii="Times New Roman" w:hAnsi="Times New Roman" w:cs="Times New Roman"/>
                <w:sz w:val="24"/>
                <w:szCs w:val="24"/>
              </w:rPr>
            </w:pPr>
          </w:p>
          <w:p>
            <w:pPr>
              <w:pStyle w:val="38"/>
              <w:kinsoku w:val="0"/>
              <w:overflowPunct w:val="0"/>
              <w:autoSpaceDE w:val="0"/>
              <w:autoSpaceDN w:val="0"/>
              <w:adjustRightInd w:val="0"/>
              <w:snapToGrid w:val="0"/>
              <w:jc w:val="center"/>
              <w:rPr>
                <w:rFonts w:ascii="Times New Roman" w:hAnsi="Times New Roman" w:cs="Times New Roman"/>
                <w:sz w:val="24"/>
                <w:szCs w:val="24"/>
              </w:rPr>
            </w:pPr>
          </w:p>
          <w:p>
            <w:pPr>
              <w:pStyle w:val="38"/>
              <w:kinsoku w:val="0"/>
              <w:overflowPunct w:val="0"/>
              <w:autoSpaceDE w:val="0"/>
              <w:autoSpaceDN w:val="0"/>
              <w:adjustRightInd w:val="0"/>
              <w:snapToGrid w:val="0"/>
              <w:jc w:val="center"/>
              <w:rPr>
                <w:rFonts w:ascii="Times New Roman" w:hAnsi="Times New Roman" w:cs="Times New Roman"/>
                <w:sz w:val="24"/>
                <w:szCs w:val="24"/>
              </w:rPr>
            </w:pPr>
          </w:p>
          <w:p>
            <w:pPr>
              <w:pStyle w:val="38"/>
              <w:kinsoku w:val="0"/>
              <w:overflowPunct w:val="0"/>
              <w:autoSpaceDE w:val="0"/>
              <w:autoSpaceDN w:val="0"/>
              <w:adjustRightInd w:val="0"/>
              <w:snapToGrid w:val="0"/>
              <w:jc w:val="center"/>
              <w:rPr>
                <w:rFonts w:ascii="Times New Roman" w:hAnsi="Times New Roman" w:cs="Times New Roman"/>
                <w:sz w:val="24"/>
                <w:szCs w:val="24"/>
              </w:rPr>
            </w:pPr>
          </w:p>
          <w:p>
            <w:pPr>
              <w:pStyle w:val="38"/>
              <w:kinsoku w:val="0"/>
              <w:overflowPunct w:val="0"/>
              <w:autoSpaceDE w:val="0"/>
              <w:autoSpaceDN w:val="0"/>
              <w:adjustRightInd w:val="0"/>
              <w:snapToGrid w:val="0"/>
              <w:jc w:val="center"/>
              <w:rPr>
                <w:rFonts w:ascii="Times New Roman" w:hAnsi="Times New Roman" w:cs="Times New Roman"/>
                <w:sz w:val="24"/>
                <w:szCs w:val="24"/>
                <w:lang w:eastAsia="zh-CN"/>
              </w:rPr>
            </w:pPr>
            <w:r>
              <w:rPr>
                <w:rFonts w:ascii="Times New Roman" w:hAnsi="Times New Roman" w:cs="Times New Roman"/>
                <w:sz w:val="24"/>
                <w:szCs w:val="24"/>
              </w:rPr>
              <w:t>9</w:t>
            </w:r>
          </w:p>
        </w:tc>
        <w:tc>
          <w:tcPr>
            <w:tcW w:w="482" w:type="dxa"/>
          </w:tcPr>
          <w:p>
            <w:pPr>
              <w:pStyle w:val="38"/>
              <w:kinsoku w:val="0"/>
              <w:overflowPunct w:val="0"/>
              <w:autoSpaceDE w:val="0"/>
              <w:autoSpaceDN w:val="0"/>
              <w:adjustRightInd w:val="0"/>
              <w:snapToGrid w:val="0"/>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832" w:type="dxa"/>
            <w:vMerge w:val="continue"/>
          </w:tcPr>
          <w:p>
            <w:pPr>
              <w:pStyle w:val="38"/>
              <w:kinsoku w:val="0"/>
              <w:overflowPunct w:val="0"/>
              <w:autoSpaceDE w:val="0"/>
              <w:autoSpaceDN w:val="0"/>
              <w:adjustRightInd w:val="0"/>
              <w:snapToGrid w:val="0"/>
              <w:rPr>
                <w:rFonts w:ascii="Times New Roman" w:hAnsi="Times New Roman" w:cs="Times New Roman"/>
                <w:sz w:val="24"/>
                <w:szCs w:val="24"/>
              </w:rPr>
            </w:pPr>
          </w:p>
        </w:tc>
        <w:tc>
          <w:tcPr>
            <w:tcW w:w="1363" w:type="dxa"/>
            <w:vAlign w:val="center"/>
          </w:tcPr>
          <w:p>
            <w:pPr>
              <w:pStyle w:val="38"/>
              <w:kinsoku w:val="0"/>
              <w:overflowPunct w:val="0"/>
              <w:autoSpaceDE w:val="0"/>
              <w:autoSpaceDN w:val="0"/>
              <w:adjustRightInd w:val="0"/>
              <w:snapToGrid w:val="0"/>
              <w:rPr>
                <w:rFonts w:ascii="Times New Roman" w:hAnsi="Times New Roman" w:cs="Times New Roman"/>
                <w:sz w:val="24"/>
                <w:szCs w:val="24"/>
              </w:rPr>
            </w:pPr>
            <w:r>
              <w:rPr>
                <w:rFonts w:ascii="Times New Roman" w:hAnsi="Times New Roman" w:cs="Times New Roman"/>
                <w:sz w:val="24"/>
                <w:szCs w:val="24"/>
              </w:rPr>
              <w:t>总磷水质自动分析仪</w:t>
            </w:r>
          </w:p>
        </w:tc>
        <w:tc>
          <w:tcPr>
            <w:tcW w:w="4656" w:type="dxa"/>
          </w:tcPr>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 xml:space="preserve">技术指标要求： </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1）测定原理：钼酸铵分光光度法</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2）量程：0～10mg/L，可定制</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3）零点漂移：±1%</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4）量程漂移：±1%</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5）直线性：±2%</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6）重复性误差：±2%</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7）MTBF：≥720h/次</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8）电压稳定性：±2%</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9）实际水样比对试验：±10%</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【技术指标要求以中国环境监测总站出具的有效期内检测报告为准（需检测结果每次都满足）】</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产品其他性能要求：</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▲1）采用光电计量传感器与自带驱动的柱塞泵组合定量取样方式，支持量程范围任意体积液体定量，适用于量程变化大的监测场景；采用无试剂残留的多通道切换阀，避免试剂残留对检测结果产生影响。</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▲2）采用气泡搅拌技术，可使试剂水样混合更均匀，消解反应更充分，提高测量准确性，并采用双光路多档位自动光信号调制技术，不受外界杂散光干扰，提高仪器测量稳定性。</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▲3）具有高、中、低量程智能选择、自动切换功能，支持超量程自动调档再测；具备多量程标定功能，不同量程段标定匹配的校准曲线，保证校准曲线适用量程，仪器测量准确。</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▲4）具有故障时自动保护、停机功能，仪器自动终止并初始化至初始状态；支持对关键器件运行状态诊断，支持对仪器漏液故障识别和定位（可精准定位到通道接口）。</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【产品其他性能需提供省级及以上检测（或计量）机构出具的检测（或评价分析）报告复印件作为证明材料】</w:t>
            </w:r>
          </w:p>
        </w:tc>
        <w:tc>
          <w:tcPr>
            <w:tcW w:w="412" w:type="dxa"/>
            <w:vAlign w:val="center"/>
          </w:tcPr>
          <w:p>
            <w:pPr>
              <w:pStyle w:val="38"/>
              <w:kinsoku w:val="0"/>
              <w:overflowPunct w:val="0"/>
              <w:autoSpaceDE w:val="0"/>
              <w:autoSpaceDN w:val="0"/>
              <w:adjustRightInd w:val="0"/>
              <w:snapToGrid w:val="0"/>
              <w:jc w:val="center"/>
              <w:rPr>
                <w:rFonts w:ascii="Times New Roman" w:hAnsi="Times New Roman" w:cs="Times New Roman"/>
                <w:sz w:val="24"/>
                <w:szCs w:val="24"/>
                <w:lang w:eastAsia="zh-CN"/>
              </w:rPr>
            </w:pPr>
            <w:r>
              <w:rPr>
                <w:rFonts w:ascii="Times New Roman" w:hAnsi="Times New Roman" w:cs="Times New Roman"/>
                <w:sz w:val="24"/>
                <w:szCs w:val="24"/>
              </w:rPr>
              <w:t>套</w:t>
            </w:r>
          </w:p>
        </w:tc>
        <w:tc>
          <w:tcPr>
            <w:tcW w:w="876" w:type="dxa"/>
            <w:vAlign w:val="center"/>
          </w:tcPr>
          <w:p>
            <w:pPr>
              <w:pStyle w:val="38"/>
              <w:kinsoku w:val="0"/>
              <w:overflowPunct w:val="0"/>
              <w:autoSpaceDE w:val="0"/>
              <w:autoSpaceDN w:val="0"/>
              <w:adjustRightInd w:val="0"/>
              <w:snapToGrid w:val="0"/>
              <w:jc w:val="center"/>
              <w:rPr>
                <w:rFonts w:ascii="Times New Roman" w:hAnsi="Times New Roman" w:cs="Times New Roman"/>
                <w:sz w:val="24"/>
                <w:szCs w:val="24"/>
                <w:lang w:eastAsia="zh-CN"/>
              </w:rPr>
            </w:pPr>
            <w:r>
              <w:rPr>
                <w:rFonts w:ascii="Times New Roman" w:hAnsi="Times New Roman" w:cs="Times New Roman"/>
                <w:sz w:val="24"/>
                <w:szCs w:val="24"/>
              </w:rPr>
              <w:t>9</w:t>
            </w:r>
          </w:p>
        </w:tc>
        <w:tc>
          <w:tcPr>
            <w:tcW w:w="482" w:type="dxa"/>
          </w:tcPr>
          <w:p>
            <w:pPr>
              <w:pStyle w:val="38"/>
              <w:kinsoku w:val="0"/>
              <w:overflowPunct w:val="0"/>
              <w:autoSpaceDE w:val="0"/>
              <w:autoSpaceDN w:val="0"/>
              <w:adjustRightInd w:val="0"/>
              <w:snapToGrid w:val="0"/>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9" w:hRule="atLeast"/>
          <w:jc w:val="center"/>
        </w:trPr>
        <w:tc>
          <w:tcPr>
            <w:tcW w:w="832" w:type="dxa"/>
            <w:vMerge w:val="continue"/>
          </w:tcPr>
          <w:p>
            <w:pPr>
              <w:pStyle w:val="38"/>
              <w:kinsoku w:val="0"/>
              <w:overflowPunct w:val="0"/>
              <w:autoSpaceDE w:val="0"/>
              <w:autoSpaceDN w:val="0"/>
              <w:adjustRightInd w:val="0"/>
              <w:snapToGrid w:val="0"/>
              <w:rPr>
                <w:rFonts w:ascii="Times New Roman" w:hAnsi="Times New Roman" w:cs="Times New Roman"/>
                <w:sz w:val="24"/>
                <w:szCs w:val="24"/>
                <w:lang w:eastAsia="zh-CN"/>
              </w:rPr>
            </w:pPr>
          </w:p>
        </w:tc>
        <w:tc>
          <w:tcPr>
            <w:tcW w:w="1363" w:type="dxa"/>
            <w:vAlign w:val="center"/>
          </w:tcPr>
          <w:p>
            <w:pPr>
              <w:pStyle w:val="38"/>
              <w:kinsoku w:val="0"/>
              <w:overflowPunct w:val="0"/>
              <w:autoSpaceDE w:val="0"/>
              <w:autoSpaceDN w:val="0"/>
              <w:adjustRightInd w:val="0"/>
              <w:snapToGrid w:val="0"/>
              <w:rPr>
                <w:rFonts w:ascii="Times New Roman" w:hAnsi="Times New Roman" w:cs="Times New Roman"/>
                <w:sz w:val="24"/>
                <w:szCs w:val="24"/>
              </w:rPr>
            </w:pPr>
            <w:r>
              <w:rPr>
                <w:rFonts w:ascii="Times New Roman" w:hAnsi="Times New Roman" w:cs="Times New Roman"/>
                <w:sz w:val="24"/>
                <w:szCs w:val="24"/>
              </w:rPr>
              <w:t>总</w:t>
            </w:r>
            <w:r>
              <w:rPr>
                <w:rFonts w:ascii="Times New Roman" w:hAnsi="Times New Roman" w:cs="Times New Roman"/>
                <w:sz w:val="24"/>
                <w:szCs w:val="24"/>
                <w:lang w:eastAsia="zh-CN"/>
              </w:rPr>
              <w:t>氮</w:t>
            </w:r>
            <w:r>
              <w:rPr>
                <w:rFonts w:ascii="Times New Roman" w:hAnsi="Times New Roman" w:cs="Times New Roman"/>
                <w:sz w:val="24"/>
                <w:szCs w:val="24"/>
              </w:rPr>
              <w:t>水质自动分析仪</w:t>
            </w:r>
          </w:p>
        </w:tc>
        <w:tc>
          <w:tcPr>
            <w:tcW w:w="4656" w:type="dxa"/>
          </w:tcPr>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技术指标要求：</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1）测定原理：碱性过硫酸钾氧化-紫外分光光度法</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2）量程：0～50mg/L，可定制</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3）零点漂移：±0.5%</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4）量程漂移：±0.5%</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5）直线性：±2%</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6）重复性误差：±2%</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7）MTBF：≥720h/次</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8）电压稳定性：±2%</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9）实际水样比对试验：±10%</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【技术指标要求以中国环境监测总站出具的有效期内检测报告为准（需检测结果每次都满足）】</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产品其他性能要求：</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▲1）采用光电计量传感器与自带驱动的柱塞泵组合定量取样方式，支持量程范围任意体积液体定量，适用于量程变化大的监测场景；采用无试剂残留的多通道切换阀，避免试剂残留对检测结果产生影响。</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▲2）具有高、中、低量程智能选择、自动切换功能，支持超量程自动调档再测；具备多量程标定功能，不同量程段标定匹配的校准曲线，保证校准曲线适用量程，仪器测量准确。</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▲3）具有故障时自动保护、停机功能，仪器自动终止并初始化至初始状态；支持对关键器件运行状态诊断，支持对仪器漏液故障识别和定位（可精准定位到通道接口）。</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▲4）具备一键性能检验功能，并自动计算测试结果，同时自动判定测试结果是否满足规范要求；支持量程范围内任意浓度标液、质控样性能测试一键操作，便于测试维护。</w:t>
            </w:r>
          </w:p>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【产品其他性能需提供省级及以上检测（或计量）机构出具的检测（或评价分析）报告复印件作为证明材料】</w:t>
            </w:r>
          </w:p>
        </w:tc>
        <w:tc>
          <w:tcPr>
            <w:tcW w:w="412" w:type="dxa"/>
            <w:vAlign w:val="center"/>
          </w:tcPr>
          <w:p>
            <w:pPr>
              <w:pStyle w:val="38"/>
              <w:kinsoku w:val="0"/>
              <w:overflowPunct w:val="0"/>
              <w:autoSpaceDE w:val="0"/>
              <w:autoSpaceDN w:val="0"/>
              <w:adjustRightInd w:val="0"/>
              <w:snapToGrid w:val="0"/>
              <w:jc w:val="center"/>
              <w:rPr>
                <w:rFonts w:ascii="Times New Roman" w:hAnsi="Times New Roman" w:cs="Times New Roman"/>
                <w:sz w:val="24"/>
                <w:szCs w:val="24"/>
                <w:lang w:eastAsia="zh-CN"/>
              </w:rPr>
            </w:pPr>
          </w:p>
          <w:p>
            <w:pPr>
              <w:pStyle w:val="38"/>
              <w:kinsoku w:val="0"/>
              <w:overflowPunct w:val="0"/>
              <w:autoSpaceDE w:val="0"/>
              <w:autoSpaceDN w:val="0"/>
              <w:adjustRightInd w:val="0"/>
              <w:snapToGrid w:val="0"/>
              <w:jc w:val="center"/>
              <w:rPr>
                <w:rFonts w:ascii="Times New Roman" w:hAnsi="Times New Roman" w:cs="Times New Roman"/>
                <w:sz w:val="24"/>
                <w:szCs w:val="24"/>
                <w:lang w:eastAsia="zh-CN"/>
              </w:rPr>
            </w:pPr>
          </w:p>
          <w:p>
            <w:pPr>
              <w:pStyle w:val="38"/>
              <w:kinsoku w:val="0"/>
              <w:overflowPunct w:val="0"/>
              <w:autoSpaceDE w:val="0"/>
              <w:autoSpaceDN w:val="0"/>
              <w:adjustRightInd w:val="0"/>
              <w:snapToGrid w:val="0"/>
              <w:jc w:val="center"/>
              <w:rPr>
                <w:rFonts w:ascii="Times New Roman" w:hAnsi="Times New Roman" w:cs="Times New Roman"/>
                <w:sz w:val="24"/>
                <w:szCs w:val="24"/>
                <w:lang w:eastAsia="zh-CN"/>
              </w:rPr>
            </w:pPr>
          </w:p>
          <w:p>
            <w:pPr>
              <w:pStyle w:val="38"/>
              <w:kinsoku w:val="0"/>
              <w:overflowPunct w:val="0"/>
              <w:autoSpaceDE w:val="0"/>
              <w:autoSpaceDN w:val="0"/>
              <w:adjustRightInd w:val="0"/>
              <w:snapToGrid w:val="0"/>
              <w:jc w:val="center"/>
              <w:rPr>
                <w:rFonts w:ascii="Times New Roman" w:hAnsi="Times New Roman" w:cs="Times New Roman"/>
                <w:sz w:val="24"/>
                <w:szCs w:val="24"/>
                <w:lang w:eastAsia="zh-CN"/>
              </w:rPr>
            </w:pPr>
            <w:r>
              <w:rPr>
                <w:rFonts w:ascii="Times New Roman" w:hAnsi="Times New Roman" w:cs="Times New Roman"/>
                <w:sz w:val="24"/>
                <w:szCs w:val="24"/>
                <w:lang w:eastAsia="zh-CN"/>
              </w:rPr>
              <w:t>套</w:t>
            </w:r>
          </w:p>
        </w:tc>
        <w:tc>
          <w:tcPr>
            <w:tcW w:w="876" w:type="dxa"/>
            <w:vAlign w:val="center"/>
          </w:tcPr>
          <w:p>
            <w:pPr>
              <w:pStyle w:val="38"/>
              <w:kinsoku w:val="0"/>
              <w:overflowPunct w:val="0"/>
              <w:autoSpaceDE w:val="0"/>
              <w:autoSpaceDN w:val="0"/>
              <w:adjustRightInd w:val="0"/>
              <w:snapToGrid w:val="0"/>
              <w:jc w:val="center"/>
              <w:rPr>
                <w:rFonts w:ascii="Times New Roman" w:hAnsi="Times New Roman" w:cs="Times New Roman"/>
                <w:sz w:val="24"/>
                <w:szCs w:val="24"/>
                <w:lang w:eastAsia="zh-CN"/>
              </w:rPr>
            </w:pPr>
          </w:p>
          <w:p>
            <w:pPr>
              <w:pStyle w:val="38"/>
              <w:kinsoku w:val="0"/>
              <w:overflowPunct w:val="0"/>
              <w:autoSpaceDE w:val="0"/>
              <w:autoSpaceDN w:val="0"/>
              <w:adjustRightInd w:val="0"/>
              <w:snapToGrid w:val="0"/>
              <w:jc w:val="center"/>
              <w:rPr>
                <w:rFonts w:ascii="Times New Roman" w:hAnsi="Times New Roman" w:cs="Times New Roman"/>
                <w:sz w:val="24"/>
                <w:szCs w:val="24"/>
                <w:lang w:eastAsia="zh-CN"/>
              </w:rPr>
            </w:pPr>
          </w:p>
          <w:p>
            <w:pPr>
              <w:pStyle w:val="38"/>
              <w:kinsoku w:val="0"/>
              <w:overflowPunct w:val="0"/>
              <w:autoSpaceDE w:val="0"/>
              <w:autoSpaceDN w:val="0"/>
              <w:adjustRightInd w:val="0"/>
              <w:snapToGrid w:val="0"/>
              <w:jc w:val="center"/>
              <w:rPr>
                <w:rFonts w:ascii="Times New Roman" w:hAnsi="Times New Roman" w:cs="Times New Roman"/>
                <w:sz w:val="24"/>
                <w:szCs w:val="24"/>
                <w:lang w:eastAsia="zh-CN"/>
              </w:rPr>
            </w:pPr>
          </w:p>
          <w:p>
            <w:pPr>
              <w:pStyle w:val="38"/>
              <w:kinsoku w:val="0"/>
              <w:overflowPunct w:val="0"/>
              <w:autoSpaceDE w:val="0"/>
              <w:autoSpaceDN w:val="0"/>
              <w:adjustRightInd w:val="0"/>
              <w:snapToGrid w:val="0"/>
              <w:jc w:val="center"/>
              <w:rPr>
                <w:rFonts w:ascii="Times New Roman" w:hAnsi="Times New Roman" w:cs="Times New Roman"/>
                <w:sz w:val="24"/>
                <w:szCs w:val="24"/>
                <w:lang w:eastAsia="zh-CN"/>
              </w:rPr>
            </w:pPr>
            <w:r>
              <w:rPr>
                <w:rFonts w:ascii="Times New Roman" w:hAnsi="Times New Roman" w:cs="Times New Roman"/>
                <w:sz w:val="24"/>
                <w:szCs w:val="24"/>
                <w:lang w:eastAsia="zh-CN"/>
              </w:rPr>
              <w:t>9</w:t>
            </w:r>
          </w:p>
        </w:tc>
        <w:tc>
          <w:tcPr>
            <w:tcW w:w="482" w:type="dxa"/>
          </w:tcPr>
          <w:p>
            <w:pPr>
              <w:pStyle w:val="38"/>
              <w:kinsoku w:val="0"/>
              <w:overflowPunct w:val="0"/>
              <w:autoSpaceDE w:val="0"/>
              <w:autoSpaceDN w:val="0"/>
              <w:adjustRightInd w:val="0"/>
              <w:snapToGrid w:val="0"/>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832" w:type="dxa"/>
            <w:vMerge w:val="restart"/>
            <w:vAlign w:val="center"/>
          </w:tcPr>
          <w:p>
            <w:pPr>
              <w:pStyle w:val="38"/>
              <w:kinsoku w:val="0"/>
              <w:overflowPunct w:val="0"/>
              <w:autoSpaceDE w:val="0"/>
              <w:autoSpaceDN w:val="0"/>
              <w:adjustRightInd w:val="0"/>
              <w:snapToGrid w:val="0"/>
              <w:rPr>
                <w:rFonts w:ascii="Times New Roman" w:hAnsi="Times New Roman" w:cs="Times New Roman"/>
                <w:sz w:val="24"/>
                <w:szCs w:val="24"/>
              </w:rPr>
            </w:pPr>
            <w:r>
              <w:rPr>
                <w:rFonts w:ascii="Times New Roman" w:hAnsi="Times New Roman" w:cs="Times New Roman"/>
                <w:sz w:val="24"/>
                <w:szCs w:val="24"/>
              </w:rPr>
              <w:t>水质自动检测微站</w:t>
            </w:r>
          </w:p>
        </w:tc>
        <w:tc>
          <w:tcPr>
            <w:tcW w:w="1363" w:type="dxa"/>
          </w:tcPr>
          <w:p>
            <w:pPr>
              <w:pStyle w:val="38"/>
              <w:kinsoku w:val="0"/>
              <w:overflowPunct w:val="0"/>
              <w:autoSpaceDE w:val="0"/>
              <w:autoSpaceDN w:val="0"/>
              <w:adjustRightInd w:val="0"/>
              <w:snapToGrid w:val="0"/>
              <w:rPr>
                <w:rFonts w:ascii="Times New Roman" w:hAnsi="Times New Roman" w:cs="Times New Roman"/>
                <w:sz w:val="24"/>
                <w:szCs w:val="24"/>
              </w:rPr>
            </w:pPr>
          </w:p>
        </w:tc>
        <w:tc>
          <w:tcPr>
            <w:tcW w:w="4656" w:type="dxa"/>
          </w:tcPr>
          <w:p>
            <w:pPr>
              <w:pStyle w:val="38"/>
              <w:kinsoku w:val="0"/>
              <w:overflowPunct w:val="0"/>
              <w:autoSpaceDE w:val="0"/>
              <w:autoSpaceDN w:val="0"/>
              <w:adjustRightInd w:val="0"/>
              <w:snapToGrid w:val="0"/>
              <w:rPr>
                <w:rFonts w:ascii="Times New Roman" w:hAnsi="Times New Roman" w:cs="Times New Roman"/>
                <w:sz w:val="24"/>
                <w:szCs w:val="24"/>
              </w:rPr>
            </w:pPr>
            <w:r>
              <w:rPr>
                <w:rFonts w:ascii="Times New Roman" w:hAnsi="Times New Roman" w:cs="Times New Roman"/>
                <w:sz w:val="24"/>
                <w:szCs w:val="24"/>
              </w:rPr>
              <w:t>水质监测站管理系统</w:t>
            </w:r>
          </w:p>
        </w:tc>
        <w:tc>
          <w:tcPr>
            <w:tcW w:w="412" w:type="dxa"/>
            <w:vAlign w:val="center"/>
          </w:tcPr>
          <w:p>
            <w:pPr>
              <w:pStyle w:val="38"/>
              <w:kinsoku w:val="0"/>
              <w:overflowPunct w:val="0"/>
              <w:autoSpaceDE w:val="0"/>
              <w:autoSpaceDN w:val="0"/>
              <w:adjustRightInd w:val="0"/>
              <w:snapToGrid w:val="0"/>
              <w:jc w:val="center"/>
              <w:rPr>
                <w:rFonts w:ascii="Times New Roman" w:hAnsi="Times New Roman" w:cs="Times New Roman"/>
                <w:sz w:val="24"/>
                <w:szCs w:val="24"/>
                <w:lang w:eastAsia="zh-CN"/>
              </w:rPr>
            </w:pPr>
            <w:r>
              <w:rPr>
                <w:rFonts w:ascii="Times New Roman" w:hAnsi="Times New Roman" w:cs="Times New Roman"/>
                <w:sz w:val="24"/>
                <w:szCs w:val="24"/>
              </w:rPr>
              <w:t>套</w:t>
            </w:r>
          </w:p>
        </w:tc>
        <w:tc>
          <w:tcPr>
            <w:tcW w:w="876" w:type="dxa"/>
            <w:vAlign w:val="center"/>
          </w:tcPr>
          <w:p>
            <w:pPr>
              <w:pStyle w:val="38"/>
              <w:kinsoku w:val="0"/>
              <w:overflowPunct w:val="0"/>
              <w:autoSpaceDE w:val="0"/>
              <w:autoSpaceDN w:val="0"/>
              <w:adjustRightInd w:val="0"/>
              <w:snapToGrid w:val="0"/>
              <w:jc w:val="center"/>
              <w:rPr>
                <w:rFonts w:ascii="Times New Roman" w:hAnsi="Times New Roman" w:cs="Times New Roman"/>
                <w:sz w:val="24"/>
                <w:szCs w:val="24"/>
                <w:lang w:eastAsia="zh-CN"/>
              </w:rPr>
            </w:pPr>
            <w:r>
              <w:rPr>
                <w:rFonts w:ascii="Times New Roman" w:hAnsi="Times New Roman" w:cs="Times New Roman"/>
                <w:sz w:val="24"/>
                <w:szCs w:val="24"/>
              </w:rPr>
              <w:t>9</w:t>
            </w:r>
          </w:p>
        </w:tc>
        <w:tc>
          <w:tcPr>
            <w:tcW w:w="482" w:type="dxa"/>
          </w:tcPr>
          <w:p>
            <w:pPr>
              <w:pStyle w:val="38"/>
              <w:kinsoku w:val="0"/>
              <w:overflowPunct w:val="0"/>
              <w:autoSpaceDE w:val="0"/>
              <w:autoSpaceDN w:val="0"/>
              <w:adjustRightInd w:val="0"/>
              <w:snapToGrid w:val="0"/>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832" w:type="dxa"/>
            <w:vMerge w:val="continue"/>
          </w:tcPr>
          <w:p>
            <w:pPr>
              <w:pStyle w:val="38"/>
              <w:kinsoku w:val="0"/>
              <w:overflowPunct w:val="0"/>
              <w:autoSpaceDE w:val="0"/>
              <w:autoSpaceDN w:val="0"/>
              <w:adjustRightInd w:val="0"/>
              <w:snapToGrid w:val="0"/>
              <w:rPr>
                <w:rFonts w:ascii="Times New Roman" w:hAnsi="Times New Roman" w:cs="Times New Roman"/>
                <w:sz w:val="24"/>
                <w:szCs w:val="24"/>
              </w:rPr>
            </w:pPr>
          </w:p>
        </w:tc>
        <w:tc>
          <w:tcPr>
            <w:tcW w:w="1363" w:type="dxa"/>
          </w:tcPr>
          <w:p>
            <w:pPr>
              <w:pStyle w:val="38"/>
              <w:kinsoku w:val="0"/>
              <w:overflowPunct w:val="0"/>
              <w:autoSpaceDE w:val="0"/>
              <w:autoSpaceDN w:val="0"/>
              <w:adjustRightInd w:val="0"/>
              <w:snapToGrid w:val="0"/>
              <w:rPr>
                <w:rFonts w:ascii="Times New Roman" w:hAnsi="Times New Roman" w:cs="Times New Roman"/>
                <w:sz w:val="24"/>
                <w:szCs w:val="24"/>
              </w:rPr>
            </w:pPr>
          </w:p>
        </w:tc>
        <w:tc>
          <w:tcPr>
            <w:tcW w:w="4656" w:type="dxa"/>
          </w:tcPr>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主控单元、通信单元、取水单元、反冲洗系统、温控系统、不锈钢柜体</w:t>
            </w:r>
          </w:p>
        </w:tc>
        <w:tc>
          <w:tcPr>
            <w:tcW w:w="412" w:type="dxa"/>
            <w:vAlign w:val="center"/>
          </w:tcPr>
          <w:p>
            <w:pPr>
              <w:pStyle w:val="38"/>
              <w:kinsoku w:val="0"/>
              <w:overflowPunct w:val="0"/>
              <w:autoSpaceDE w:val="0"/>
              <w:autoSpaceDN w:val="0"/>
              <w:adjustRightInd w:val="0"/>
              <w:snapToGrid w:val="0"/>
              <w:jc w:val="center"/>
              <w:rPr>
                <w:rFonts w:ascii="Times New Roman" w:hAnsi="Times New Roman" w:cs="Times New Roman"/>
                <w:sz w:val="24"/>
                <w:szCs w:val="24"/>
                <w:lang w:eastAsia="zh-CN"/>
              </w:rPr>
            </w:pPr>
            <w:r>
              <w:rPr>
                <w:rFonts w:ascii="Times New Roman" w:hAnsi="Times New Roman" w:cs="Times New Roman"/>
                <w:sz w:val="24"/>
                <w:szCs w:val="24"/>
              </w:rPr>
              <w:t>套</w:t>
            </w:r>
          </w:p>
        </w:tc>
        <w:tc>
          <w:tcPr>
            <w:tcW w:w="876" w:type="dxa"/>
            <w:vAlign w:val="center"/>
          </w:tcPr>
          <w:p>
            <w:pPr>
              <w:pStyle w:val="38"/>
              <w:kinsoku w:val="0"/>
              <w:overflowPunct w:val="0"/>
              <w:autoSpaceDE w:val="0"/>
              <w:autoSpaceDN w:val="0"/>
              <w:adjustRightInd w:val="0"/>
              <w:snapToGrid w:val="0"/>
              <w:jc w:val="center"/>
              <w:rPr>
                <w:rFonts w:ascii="Times New Roman" w:hAnsi="Times New Roman" w:cs="Times New Roman"/>
                <w:sz w:val="24"/>
                <w:szCs w:val="24"/>
                <w:lang w:eastAsia="zh-CN"/>
              </w:rPr>
            </w:pPr>
            <w:r>
              <w:rPr>
                <w:rFonts w:ascii="Times New Roman" w:hAnsi="Times New Roman" w:cs="Times New Roman"/>
                <w:sz w:val="24"/>
                <w:szCs w:val="24"/>
              </w:rPr>
              <w:t>9</w:t>
            </w:r>
          </w:p>
        </w:tc>
        <w:tc>
          <w:tcPr>
            <w:tcW w:w="482" w:type="dxa"/>
            <w:vAlign w:val="center"/>
          </w:tcPr>
          <w:p>
            <w:pPr>
              <w:pStyle w:val="38"/>
              <w:kinsoku w:val="0"/>
              <w:overflowPunct w:val="0"/>
              <w:autoSpaceDE w:val="0"/>
              <w:autoSpaceDN w:val="0"/>
              <w:adjustRightInd w:val="0"/>
              <w:snapToGrid w:val="0"/>
              <w:jc w:val="center"/>
              <w:rPr>
                <w:rFonts w:ascii="Times New Roman" w:hAnsi="Times New Roman" w:cs="Times New Roman"/>
                <w:sz w:val="24"/>
                <w:szCs w:val="24"/>
              </w:rPr>
            </w:pPr>
            <w:r>
              <w:rPr>
                <w:rFonts w:ascii="Times New Roman" w:hAnsi="Times New Roman" w:cs="Times New Roman"/>
                <w:sz w:val="24"/>
                <w:szCs w:val="24"/>
              </w:rPr>
              <w:t>含基础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832" w:type="dxa"/>
            <w:vMerge w:val="continue"/>
          </w:tcPr>
          <w:p>
            <w:pPr>
              <w:pStyle w:val="38"/>
              <w:kinsoku w:val="0"/>
              <w:overflowPunct w:val="0"/>
              <w:autoSpaceDE w:val="0"/>
              <w:autoSpaceDN w:val="0"/>
              <w:adjustRightInd w:val="0"/>
              <w:snapToGrid w:val="0"/>
              <w:rPr>
                <w:rFonts w:ascii="Times New Roman" w:hAnsi="Times New Roman" w:cs="Times New Roman"/>
                <w:sz w:val="24"/>
                <w:szCs w:val="24"/>
              </w:rPr>
            </w:pPr>
          </w:p>
        </w:tc>
        <w:tc>
          <w:tcPr>
            <w:tcW w:w="1363" w:type="dxa"/>
          </w:tcPr>
          <w:p>
            <w:pPr>
              <w:pStyle w:val="38"/>
              <w:kinsoku w:val="0"/>
              <w:overflowPunct w:val="0"/>
              <w:autoSpaceDE w:val="0"/>
              <w:autoSpaceDN w:val="0"/>
              <w:adjustRightInd w:val="0"/>
              <w:snapToGrid w:val="0"/>
              <w:rPr>
                <w:rFonts w:ascii="Times New Roman" w:hAnsi="Times New Roman" w:cs="Times New Roman"/>
                <w:sz w:val="24"/>
                <w:szCs w:val="24"/>
              </w:rPr>
            </w:pPr>
          </w:p>
        </w:tc>
        <w:tc>
          <w:tcPr>
            <w:tcW w:w="4656" w:type="dxa"/>
          </w:tcPr>
          <w:p>
            <w:pPr>
              <w:pStyle w:val="38"/>
              <w:kinsoku w:val="0"/>
              <w:overflowPunct w:val="0"/>
              <w:autoSpaceDE w:val="0"/>
              <w:autoSpaceDN w:val="0"/>
              <w:adjustRightInd w:val="0"/>
              <w:snapToGrid w:val="0"/>
              <w:rPr>
                <w:rFonts w:ascii="Times New Roman" w:hAnsi="Times New Roman" w:cs="Times New Roman"/>
                <w:sz w:val="24"/>
                <w:szCs w:val="24"/>
                <w:lang w:eastAsia="zh-CN"/>
              </w:rPr>
            </w:pPr>
            <w:r>
              <w:rPr>
                <w:rFonts w:ascii="Times New Roman" w:hAnsi="Times New Roman" w:cs="Times New Roman"/>
                <w:sz w:val="24"/>
                <w:szCs w:val="24"/>
                <w:lang w:eastAsia="zh-CN"/>
              </w:rPr>
              <w:t>市电接入：YJV-3*4，每处200米，SC25,穿管敷设</w:t>
            </w:r>
          </w:p>
        </w:tc>
        <w:tc>
          <w:tcPr>
            <w:tcW w:w="412" w:type="dxa"/>
            <w:vAlign w:val="center"/>
          </w:tcPr>
          <w:p>
            <w:pPr>
              <w:pStyle w:val="38"/>
              <w:kinsoku w:val="0"/>
              <w:overflowPunct w:val="0"/>
              <w:autoSpaceDE w:val="0"/>
              <w:autoSpaceDN w:val="0"/>
              <w:adjustRightInd w:val="0"/>
              <w:snapToGrid w:val="0"/>
              <w:jc w:val="center"/>
              <w:rPr>
                <w:rFonts w:ascii="Times New Roman" w:hAnsi="Times New Roman" w:cs="Times New Roman"/>
                <w:sz w:val="24"/>
                <w:szCs w:val="24"/>
                <w:lang w:eastAsia="zh-CN"/>
              </w:rPr>
            </w:pPr>
            <w:r>
              <w:rPr>
                <w:rFonts w:ascii="Times New Roman" w:hAnsi="Times New Roman" w:cs="Times New Roman"/>
                <w:sz w:val="24"/>
                <w:szCs w:val="24"/>
              </w:rPr>
              <w:t>套</w:t>
            </w:r>
          </w:p>
        </w:tc>
        <w:tc>
          <w:tcPr>
            <w:tcW w:w="876" w:type="dxa"/>
            <w:vAlign w:val="center"/>
          </w:tcPr>
          <w:p>
            <w:pPr>
              <w:pStyle w:val="38"/>
              <w:kinsoku w:val="0"/>
              <w:overflowPunct w:val="0"/>
              <w:autoSpaceDE w:val="0"/>
              <w:autoSpaceDN w:val="0"/>
              <w:adjustRightInd w:val="0"/>
              <w:snapToGrid w:val="0"/>
              <w:jc w:val="center"/>
              <w:rPr>
                <w:rFonts w:ascii="Times New Roman" w:hAnsi="Times New Roman" w:cs="Times New Roman"/>
                <w:sz w:val="24"/>
                <w:szCs w:val="24"/>
                <w:lang w:eastAsia="zh-CN"/>
              </w:rPr>
            </w:pPr>
            <w:r>
              <w:rPr>
                <w:rFonts w:ascii="Times New Roman" w:hAnsi="Times New Roman" w:cs="Times New Roman"/>
                <w:sz w:val="24"/>
                <w:szCs w:val="24"/>
              </w:rPr>
              <w:t>9</w:t>
            </w:r>
          </w:p>
        </w:tc>
        <w:tc>
          <w:tcPr>
            <w:tcW w:w="482" w:type="dxa"/>
          </w:tcPr>
          <w:p>
            <w:pPr>
              <w:pStyle w:val="38"/>
              <w:kinsoku w:val="0"/>
              <w:overflowPunct w:val="0"/>
              <w:autoSpaceDE w:val="0"/>
              <w:autoSpaceDN w:val="0"/>
              <w:adjustRightInd w:val="0"/>
              <w:snapToGrid w:val="0"/>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832" w:type="dxa"/>
            <w:vMerge w:val="continue"/>
          </w:tcPr>
          <w:p>
            <w:pPr>
              <w:pStyle w:val="38"/>
              <w:kinsoku w:val="0"/>
              <w:overflowPunct w:val="0"/>
              <w:autoSpaceDE w:val="0"/>
              <w:autoSpaceDN w:val="0"/>
              <w:adjustRightInd w:val="0"/>
              <w:snapToGrid w:val="0"/>
              <w:rPr>
                <w:rFonts w:ascii="Times New Roman" w:hAnsi="Times New Roman" w:cs="Times New Roman"/>
                <w:sz w:val="24"/>
                <w:szCs w:val="24"/>
              </w:rPr>
            </w:pPr>
          </w:p>
        </w:tc>
        <w:tc>
          <w:tcPr>
            <w:tcW w:w="1363" w:type="dxa"/>
            <w:vAlign w:val="center"/>
          </w:tcPr>
          <w:p>
            <w:pPr>
              <w:pStyle w:val="38"/>
              <w:kinsoku w:val="0"/>
              <w:overflowPunct w:val="0"/>
              <w:autoSpaceDE w:val="0"/>
              <w:autoSpaceDN w:val="0"/>
              <w:adjustRightInd w:val="0"/>
              <w:snapToGrid w:val="0"/>
              <w:rPr>
                <w:rFonts w:ascii="Times New Roman" w:hAnsi="Times New Roman" w:cs="Times New Roman"/>
                <w:sz w:val="24"/>
                <w:szCs w:val="24"/>
              </w:rPr>
            </w:pPr>
            <w:r>
              <w:rPr>
                <w:rFonts w:ascii="Times New Roman" w:hAnsi="Times New Roman" w:cs="Times New Roman"/>
                <w:sz w:val="24"/>
                <w:szCs w:val="24"/>
              </w:rPr>
              <w:t>接入系统</w:t>
            </w:r>
          </w:p>
        </w:tc>
        <w:tc>
          <w:tcPr>
            <w:tcW w:w="4656" w:type="dxa"/>
          </w:tcPr>
          <w:p>
            <w:pPr>
              <w:pStyle w:val="38"/>
              <w:kinsoku w:val="0"/>
              <w:overflowPunct w:val="0"/>
              <w:autoSpaceDE w:val="0"/>
              <w:autoSpaceDN w:val="0"/>
              <w:adjustRightInd w:val="0"/>
              <w:snapToGrid w:val="0"/>
              <w:rPr>
                <w:rFonts w:ascii="Times New Roman" w:hAnsi="Times New Roman" w:cs="Times New Roman"/>
                <w:sz w:val="24"/>
                <w:szCs w:val="24"/>
              </w:rPr>
            </w:pPr>
            <w:r>
              <w:rPr>
                <w:rFonts w:ascii="Times New Roman" w:hAnsi="Times New Roman" w:cs="Times New Roman"/>
                <w:sz w:val="24"/>
                <w:szCs w:val="24"/>
              </w:rPr>
              <w:t>4G全网通VPN</w:t>
            </w:r>
            <w:r>
              <w:rPr>
                <w:rFonts w:ascii="Times New Roman" w:hAnsi="Times New Roman" w:cs="Times New Roman"/>
                <w:sz w:val="24"/>
                <w:szCs w:val="24"/>
                <w:lang w:eastAsia="zh-CN"/>
              </w:rPr>
              <w:t xml:space="preserve"> </w:t>
            </w:r>
            <w:r>
              <w:rPr>
                <w:rFonts w:ascii="Times New Roman" w:hAnsi="Times New Roman" w:cs="Times New Roman"/>
                <w:sz w:val="24"/>
                <w:szCs w:val="24"/>
              </w:rPr>
              <w:t>MTK7620N,FLASH16M,RAM:DDR128M;支持私有网络域名</w:t>
            </w:r>
          </w:p>
        </w:tc>
        <w:tc>
          <w:tcPr>
            <w:tcW w:w="412" w:type="dxa"/>
            <w:vAlign w:val="center"/>
          </w:tcPr>
          <w:p>
            <w:pPr>
              <w:pStyle w:val="38"/>
              <w:kinsoku w:val="0"/>
              <w:overflowPunct w:val="0"/>
              <w:autoSpaceDE w:val="0"/>
              <w:autoSpaceDN w:val="0"/>
              <w:adjustRightInd w:val="0"/>
              <w:snapToGrid w:val="0"/>
              <w:jc w:val="center"/>
              <w:rPr>
                <w:rFonts w:ascii="Times New Roman" w:hAnsi="Times New Roman" w:cs="Times New Roman"/>
                <w:sz w:val="24"/>
                <w:szCs w:val="24"/>
                <w:lang w:eastAsia="zh-CN"/>
              </w:rPr>
            </w:pPr>
            <w:r>
              <w:rPr>
                <w:rFonts w:ascii="Times New Roman" w:hAnsi="Times New Roman" w:cs="Times New Roman"/>
                <w:sz w:val="24"/>
                <w:szCs w:val="24"/>
              </w:rPr>
              <w:t>套</w:t>
            </w:r>
          </w:p>
        </w:tc>
        <w:tc>
          <w:tcPr>
            <w:tcW w:w="876" w:type="dxa"/>
            <w:vAlign w:val="center"/>
          </w:tcPr>
          <w:p>
            <w:pPr>
              <w:pStyle w:val="38"/>
              <w:kinsoku w:val="0"/>
              <w:overflowPunct w:val="0"/>
              <w:autoSpaceDE w:val="0"/>
              <w:autoSpaceDN w:val="0"/>
              <w:adjustRightInd w:val="0"/>
              <w:snapToGrid w:val="0"/>
              <w:jc w:val="center"/>
              <w:rPr>
                <w:rFonts w:ascii="Times New Roman" w:hAnsi="Times New Roman" w:cs="Times New Roman"/>
                <w:sz w:val="24"/>
                <w:szCs w:val="24"/>
                <w:lang w:eastAsia="zh-CN"/>
              </w:rPr>
            </w:pPr>
            <w:r>
              <w:rPr>
                <w:rFonts w:ascii="Times New Roman" w:hAnsi="Times New Roman" w:cs="Times New Roman"/>
                <w:sz w:val="24"/>
                <w:szCs w:val="24"/>
              </w:rPr>
              <w:t>9</w:t>
            </w:r>
          </w:p>
        </w:tc>
        <w:tc>
          <w:tcPr>
            <w:tcW w:w="482" w:type="dxa"/>
          </w:tcPr>
          <w:p>
            <w:pPr>
              <w:pStyle w:val="38"/>
              <w:kinsoku w:val="0"/>
              <w:overflowPunct w:val="0"/>
              <w:autoSpaceDE w:val="0"/>
              <w:autoSpaceDN w:val="0"/>
              <w:adjustRightInd w:val="0"/>
              <w:snapToGrid w:val="0"/>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jc w:val="center"/>
        </w:trPr>
        <w:tc>
          <w:tcPr>
            <w:tcW w:w="832" w:type="dxa"/>
            <w:vMerge w:val="continue"/>
          </w:tcPr>
          <w:p>
            <w:pPr>
              <w:pStyle w:val="38"/>
              <w:kinsoku w:val="0"/>
              <w:overflowPunct w:val="0"/>
              <w:autoSpaceDE w:val="0"/>
              <w:autoSpaceDN w:val="0"/>
              <w:adjustRightInd w:val="0"/>
              <w:snapToGrid w:val="0"/>
              <w:rPr>
                <w:rFonts w:ascii="Times New Roman" w:hAnsi="Times New Roman" w:cs="Times New Roman"/>
                <w:sz w:val="24"/>
                <w:szCs w:val="24"/>
              </w:rPr>
            </w:pPr>
          </w:p>
        </w:tc>
        <w:tc>
          <w:tcPr>
            <w:tcW w:w="1363" w:type="dxa"/>
            <w:vAlign w:val="center"/>
          </w:tcPr>
          <w:p>
            <w:pPr>
              <w:pStyle w:val="38"/>
              <w:kinsoku w:val="0"/>
              <w:overflowPunct w:val="0"/>
              <w:autoSpaceDE w:val="0"/>
              <w:autoSpaceDN w:val="0"/>
              <w:adjustRightInd w:val="0"/>
              <w:snapToGrid w:val="0"/>
              <w:rPr>
                <w:rFonts w:ascii="Times New Roman" w:hAnsi="Times New Roman" w:cs="Times New Roman"/>
                <w:sz w:val="24"/>
                <w:szCs w:val="24"/>
              </w:rPr>
            </w:pPr>
            <w:r>
              <w:rPr>
                <w:rFonts w:ascii="Times New Roman" w:hAnsi="Times New Roman" w:cs="Times New Roman"/>
                <w:sz w:val="24"/>
                <w:szCs w:val="24"/>
              </w:rPr>
              <w:t>安装调试</w:t>
            </w:r>
          </w:p>
        </w:tc>
        <w:tc>
          <w:tcPr>
            <w:tcW w:w="4656" w:type="dxa"/>
          </w:tcPr>
          <w:p>
            <w:pPr>
              <w:pStyle w:val="38"/>
              <w:kinsoku w:val="0"/>
              <w:overflowPunct w:val="0"/>
              <w:autoSpaceDE w:val="0"/>
              <w:autoSpaceDN w:val="0"/>
              <w:adjustRightInd w:val="0"/>
              <w:snapToGrid w:val="0"/>
              <w:rPr>
                <w:rFonts w:ascii="Times New Roman" w:hAnsi="Times New Roman" w:cs="Times New Roman"/>
                <w:sz w:val="24"/>
                <w:szCs w:val="24"/>
              </w:rPr>
            </w:pPr>
            <w:r>
              <w:rPr>
                <w:rFonts w:ascii="Times New Roman" w:hAnsi="Times New Roman" w:cs="Times New Roman"/>
                <w:sz w:val="24"/>
                <w:szCs w:val="24"/>
              </w:rPr>
              <w:t>安装调试</w:t>
            </w:r>
          </w:p>
        </w:tc>
        <w:tc>
          <w:tcPr>
            <w:tcW w:w="412" w:type="dxa"/>
            <w:vAlign w:val="center"/>
          </w:tcPr>
          <w:p>
            <w:pPr>
              <w:pStyle w:val="38"/>
              <w:kinsoku w:val="0"/>
              <w:overflowPunct w:val="0"/>
              <w:autoSpaceDE w:val="0"/>
              <w:autoSpaceDN w:val="0"/>
              <w:adjustRightInd w:val="0"/>
              <w:snapToGrid w:val="0"/>
              <w:jc w:val="center"/>
              <w:rPr>
                <w:rFonts w:ascii="Times New Roman" w:hAnsi="Times New Roman" w:cs="Times New Roman"/>
                <w:sz w:val="24"/>
                <w:szCs w:val="24"/>
                <w:lang w:eastAsia="zh-CN"/>
              </w:rPr>
            </w:pPr>
            <w:r>
              <w:rPr>
                <w:rFonts w:ascii="Times New Roman" w:hAnsi="Times New Roman" w:cs="Times New Roman"/>
                <w:sz w:val="24"/>
                <w:szCs w:val="24"/>
              </w:rPr>
              <w:t>套</w:t>
            </w:r>
          </w:p>
        </w:tc>
        <w:tc>
          <w:tcPr>
            <w:tcW w:w="876" w:type="dxa"/>
            <w:vAlign w:val="center"/>
          </w:tcPr>
          <w:p>
            <w:pPr>
              <w:pStyle w:val="38"/>
              <w:kinsoku w:val="0"/>
              <w:overflowPunct w:val="0"/>
              <w:autoSpaceDE w:val="0"/>
              <w:autoSpaceDN w:val="0"/>
              <w:adjustRightInd w:val="0"/>
              <w:snapToGrid w:val="0"/>
              <w:jc w:val="center"/>
              <w:rPr>
                <w:rFonts w:ascii="Times New Roman" w:hAnsi="Times New Roman" w:cs="Times New Roman"/>
                <w:sz w:val="24"/>
                <w:szCs w:val="24"/>
                <w:lang w:eastAsia="zh-CN"/>
              </w:rPr>
            </w:pPr>
            <w:r>
              <w:rPr>
                <w:rFonts w:ascii="Times New Roman" w:hAnsi="Times New Roman" w:cs="Times New Roman"/>
                <w:sz w:val="24"/>
                <w:szCs w:val="24"/>
              </w:rPr>
              <w:t>9</w:t>
            </w:r>
          </w:p>
        </w:tc>
        <w:tc>
          <w:tcPr>
            <w:tcW w:w="482" w:type="dxa"/>
          </w:tcPr>
          <w:p>
            <w:pPr>
              <w:pStyle w:val="38"/>
              <w:kinsoku w:val="0"/>
              <w:overflowPunct w:val="0"/>
              <w:autoSpaceDE w:val="0"/>
              <w:autoSpaceDN w:val="0"/>
              <w:adjustRightInd w:val="0"/>
              <w:snapToGrid w:val="0"/>
              <w:rPr>
                <w:rFonts w:ascii="Times New Roman" w:hAnsi="Times New Roman" w:cs="Times New Roman"/>
                <w:sz w:val="24"/>
                <w:szCs w:val="24"/>
              </w:rPr>
            </w:pPr>
          </w:p>
        </w:tc>
      </w:tr>
    </w:tbl>
    <w:p>
      <w:pPr>
        <w:spacing w:line="360" w:lineRule="auto"/>
        <w:ind w:firstLine="562" w:firstLineChars="200"/>
        <w:rPr>
          <w:b/>
          <w:bCs/>
          <w:sz w:val="24"/>
          <w:szCs w:val="24"/>
        </w:rPr>
      </w:pPr>
      <w:r>
        <w:rPr>
          <w:b/>
          <w:bCs/>
          <w:sz w:val="28"/>
          <w:szCs w:val="28"/>
        </w:rPr>
        <w:t>（2）系统集成要求</w:t>
      </w:r>
    </w:p>
    <w:p>
      <w:pPr>
        <w:spacing w:line="360" w:lineRule="auto"/>
        <w:ind w:firstLine="560" w:firstLineChars="200"/>
        <w:rPr>
          <w:sz w:val="28"/>
          <w:szCs w:val="28"/>
        </w:rPr>
      </w:pPr>
      <w:r>
        <w:rPr>
          <w:sz w:val="28"/>
          <w:szCs w:val="28"/>
        </w:rPr>
        <w:t>水质自动监测站系统集成由采水单元、配水及预处理单元、控制单元、数据采集与传输单元、质控单元、辅助单元等部分组成。投标人须提供合理、先进、完整的系统集成方案，确保采水、预处理、分析、质控、清洗以及数据采集和传输等环节的准确可靠。</w:t>
      </w:r>
    </w:p>
    <w:p>
      <w:pPr>
        <w:spacing w:line="360" w:lineRule="auto"/>
        <w:ind w:firstLine="560" w:firstLineChars="200"/>
        <w:rPr>
          <w:sz w:val="28"/>
          <w:szCs w:val="28"/>
        </w:rPr>
      </w:pPr>
      <w:r>
        <w:rPr>
          <w:sz w:val="28"/>
          <w:szCs w:val="28"/>
        </w:rPr>
        <w:t>1）系统集成功能要求</w:t>
      </w:r>
    </w:p>
    <w:p>
      <w:pPr>
        <w:spacing w:line="360" w:lineRule="auto"/>
        <w:ind w:firstLine="560" w:firstLineChars="200"/>
        <w:rPr>
          <w:sz w:val="28"/>
          <w:szCs w:val="28"/>
        </w:rPr>
      </w:pPr>
      <w:r>
        <w:rPr>
          <w:rFonts w:ascii="Cambria Math" w:hAnsi="Cambria Math" w:cs="Cambria Math"/>
          <w:sz w:val="28"/>
          <w:szCs w:val="28"/>
        </w:rPr>
        <w:t>①</w:t>
      </w:r>
      <w:r>
        <w:rPr>
          <w:sz w:val="28"/>
          <w:szCs w:val="28"/>
        </w:rPr>
        <w:t>具有系统运行周期设置功能，至少具备连续、间歇、手动、应急等多种运行模式；</w:t>
      </w:r>
    </w:p>
    <w:p>
      <w:pPr>
        <w:spacing w:line="360" w:lineRule="auto"/>
        <w:ind w:firstLine="560" w:firstLineChars="200"/>
        <w:rPr>
          <w:sz w:val="28"/>
          <w:szCs w:val="28"/>
        </w:rPr>
      </w:pPr>
      <w:r>
        <w:rPr>
          <w:rFonts w:ascii="Cambria Math" w:hAnsi="Cambria Math" w:cs="Cambria Math"/>
          <w:sz w:val="28"/>
          <w:szCs w:val="28"/>
        </w:rPr>
        <w:t>②</w:t>
      </w:r>
      <w:r>
        <w:rPr>
          <w:sz w:val="28"/>
          <w:szCs w:val="28"/>
        </w:rPr>
        <w:t>具有仪器关键参数上传、远程设置功能，能接受远程控制指令；</w:t>
      </w:r>
    </w:p>
    <w:p>
      <w:pPr>
        <w:spacing w:line="360" w:lineRule="auto"/>
        <w:ind w:firstLine="560" w:firstLineChars="200"/>
        <w:rPr>
          <w:sz w:val="28"/>
          <w:szCs w:val="28"/>
        </w:rPr>
      </w:pPr>
      <w:r>
        <w:rPr>
          <w:rFonts w:ascii="Cambria Math" w:hAnsi="Cambria Math" w:cs="Cambria Math"/>
          <w:sz w:val="28"/>
          <w:szCs w:val="28"/>
        </w:rPr>
        <w:t>③</w:t>
      </w:r>
      <w:r>
        <w:rPr>
          <w:sz w:val="28"/>
          <w:szCs w:val="28"/>
        </w:rPr>
        <w:t>具备断电再度通电后自动排空水样和试剂、自动清洗管路、自动复位到待机状态的功能；</w:t>
      </w:r>
    </w:p>
    <w:p>
      <w:pPr>
        <w:spacing w:line="360" w:lineRule="auto"/>
        <w:ind w:firstLine="560" w:firstLineChars="200"/>
        <w:rPr>
          <w:sz w:val="28"/>
          <w:szCs w:val="28"/>
        </w:rPr>
      </w:pPr>
      <w:r>
        <w:rPr>
          <w:rFonts w:ascii="Cambria Math" w:hAnsi="Cambria Math" w:cs="Cambria Math"/>
          <w:sz w:val="28"/>
          <w:szCs w:val="28"/>
        </w:rPr>
        <w:t>④</w:t>
      </w:r>
      <w:r>
        <w:rPr>
          <w:sz w:val="28"/>
          <w:szCs w:val="28"/>
        </w:rPr>
        <w:t>有分析仪器及系统过程日志记录和环境参数记录功能，并能够上传至中心平台；确保仪器、系统运行的监测数据和状态信息等稳定传输；</w:t>
      </w:r>
    </w:p>
    <w:p>
      <w:pPr>
        <w:spacing w:line="360" w:lineRule="auto"/>
        <w:ind w:firstLine="560" w:firstLineChars="200"/>
        <w:rPr>
          <w:sz w:val="28"/>
          <w:szCs w:val="28"/>
        </w:rPr>
      </w:pPr>
      <w:r>
        <w:rPr>
          <w:rFonts w:ascii="Cambria Math" w:hAnsi="Cambria Math" w:cs="Cambria Math"/>
          <w:sz w:val="28"/>
          <w:szCs w:val="28"/>
        </w:rPr>
        <w:t>⑤</w:t>
      </w:r>
      <w:r>
        <w:rPr>
          <w:sz w:val="28"/>
          <w:szCs w:val="28"/>
        </w:rPr>
        <w:t>存储不少于1年的原始数据和运行日志；</w:t>
      </w:r>
    </w:p>
    <w:p>
      <w:pPr>
        <w:spacing w:line="360" w:lineRule="auto"/>
        <w:ind w:firstLine="560" w:firstLineChars="200"/>
        <w:rPr>
          <w:sz w:val="28"/>
          <w:szCs w:val="28"/>
        </w:rPr>
      </w:pPr>
      <w:r>
        <w:rPr>
          <w:rFonts w:ascii="Cambria Math" w:hAnsi="Cambria Math" w:cs="Cambria Math"/>
          <w:sz w:val="28"/>
          <w:szCs w:val="28"/>
        </w:rPr>
        <w:t>⑥</w:t>
      </w:r>
      <w:r>
        <w:rPr>
          <w:sz w:val="28"/>
          <w:szCs w:val="28"/>
        </w:rPr>
        <w:t>水质自动分析仪器（常规五参数外）及控制单元须具有三级管理权限；</w:t>
      </w:r>
    </w:p>
    <w:p>
      <w:pPr>
        <w:spacing w:line="360" w:lineRule="auto"/>
        <w:ind w:firstLine="560" w:firstLineChars="200"/>
        <w:rPr>
          <w:sz w:val="28"/>
          <w:szCs w:val="28"/>
        </w:rPr>
      </w:pPr>
      <w:r>
        <w:rPr>
          <w:rFonts w:ascii="Cambria Math" w:hAnsi="Cambria Math" w:cs="Cambria Math"/>
          <w:sz w:val="28"/>
          <w:szCs w:val="28"/>
        </w:rPr>
        <w:t>⑦</w:t>
      </w:r>
      <w:r>
        <w:rPr>
          <w:sz w:val="28"/>
          <w:szCs w:val="28"/>
        </w:rPr>
        <w:t>系统应具有良好的扩展性和兼容性，根据实际应用需要，可增加新的监测参数，并方便仪器安装与接入；</w:t>
      </w:r>
    </w:p>
    <w:p>
      <w:pPr>
        <w:spacing w:line="360" w:lineRule="auto"/>
        <w:ind w:firstLine="560" w:firstLineChars="200"/>
        <w:rPr>
          <w:sz w:val="28"/>
          <w:szCs w:val="28"/>
        </w:rPr>
      </w:pPr>
      <w:r>
        <w:rPr>
          <w:rFonts w:ascii="Cambria Math" w:hAnsi="Cambria Math" w:cs="Cambria Math"/>
          <w:sz w:val="28"/>
          <w:szCs w:val="28"/>
        </w:rPr>
        <w:t>⑧</w:t>
      </w:r>
      <w:r>
        <w:rPr>
          <w:sz w:val="28"/>
          <w:szCs w:val="28"/>
        </w:rPr>
        <w:t>采水监控：系统具有水源监控功能，对采样点是否有水样进行监测。</w:t>
      </w:r>
    </w:p>
    <w:p>
      <w:pPr>
        <w:spacing w:line="360" w:lineRule="auto"/>
        <w:ind w:firstLine="560" w:firstLineChars="200"/>
        <w:rPr>
          <w:sz w:val="28"/>
          <w:szCs w:val="28"/>
        </w:rPr>
      </w:pPr>
      <w:r>
        <w:rPr>
          <w:sz w:val="28"/>
          <w:szCs w:val="28"/>
        </w:rPr>
        <w:t>2）采水单元</w:t>
      </w:r>
    </w:p>
    <w:p>
      <w:pPr>
        <w:spacing w:line="360" w:lineRule="auto"/>
        <w:ind w:firstLine="560" w:firstLineChars="200"/>
        <w:rPr>
          <w:sz w:val="28"/>
          <w:szCs w:val="28"/>
        </w:rPr>
      </w:pPr>
      <w:r>
        <w:rPr>
          <w:sz w:val="28"/>
          <w:szCs w:val="28"/>
        </w:rPr>
        <w:t>采水单元应结合现场水文、地质条件确定合适的采水方式，符合《地表水和污水监测技术规范》(HJ/T91-2002)和《关于加快推进国家地表水水质自动站建设工作的通知》（环办监测函[2017］1762号）的附件《国家地表水水质自动监测站站房及采水技术要求》，保证运行的稳定性、水样的代表性、维护的方便性。</w:t>
      </w:r>
    </w:p>
    <w:p>
      <w:pPr>
        <w:spacing w:line="360" w:lineRule="auto"/>
        <w:ind w:firstLine="560" w:firstLineChars="200"/>
        <w:rPr>
          <w:sz w:val="28"/>
          <w:szCs w:val="28"/>
        </w:rPr>
      </w:pPr>
      <w:r>
        <w:rPr>
          <w:rFonts w:ascii="Cambria Math" w:hAnsi="Cambria Math" w:cs="Cambria Math"/>
          <w:sz w:val="28"/>
          <w:szCs w:val="28"/>
        </w:rPr>
        <w:t>①</w:t>
      </w:r>
      <w:r>
        <w:rPr>
          <w:sz w:val="28"/>
          <w:szCs w:val="28"/>
        </w:rPr>
        <w:t>采水单元一般包括采水构筑物、采水泵、采水管道、清洗配套装置、防堵塞装置和保温配套装置。</w:t>
      </w:r>
    </w:p>
    <w:p>
      <w:pPr>
        <w:spacing w:line="360" w:lineRule="auto"/>
        <w:ind w:firstLine="560" w:firstLineChars="200"/>
        <w:rPr>
          <w:sz w:val="28"/>
          <w:szCs w:val="28"/>
        </w:rPr>
      </w:pPr>
      <w:r>
        <w:rPr>
          <w:rFonts w:ascii="Cambria Math" w:hAnsi="Cambria Math" w:cs="Cambria Math"/>
          <w:sz w:val="28"/>
          <w:szCs w:val="28"/>
        </w:rPr>
        <w:t>②</w:t>
      </w:r>
      <w:r>
        <w:rPr>
          <w:sz w:val="28"/>
          <w:szCs w:val="28"/>
        </w:rPr>
        <w:t>采水装置的吸水口应设在水下0.5～1米范围内，并能够随水位变化适时调整位置，同时与水体底部保持足够的距离，防止底部淤泥对采样水质的影响。做到既能保证采集到具有代表性的水样，又能保证采样单元能连续正常运行。</w:t>
      </w:r>
    </w:p>
    <w:p>
      <w:pPr>
        <w:spacing w:line="360" w:lineRule="auto"/>
        <w:ind w:firstLine="560" w:firstLineChars="200"/>
        <w:rPr>
          <w:sz w:val="28"/>
          <w:szCs w:val="28"/>
        </w:rPr>
      </w:pPr>
      <w:r>
        <w:rPr>
          <w:rFonts w:ascii="Cambria Math" w:hAnsi="Cambria Math" w:cs="Cambria Math"/>
          <w:sz w:val="28"/>
          <w:szCs w:val="28"/>
        </w:rPr>
        <w:t>③</w:t>
      </w:r>
      <w:r>
        <w:rPr>
          <w:sz w:val="28"/>
          <w:szCs w:val="28"/>
        </w:rPr>
        <w:t>采水系统应具备双泵/双管路轮换功能，配置双泵/双管路采水，一备一用；可进行自动或手动切换，满足实时不间断监测的要求。</w:t>
      </w:r>
    </w:p>
    <w:p>
      <w:pPr>
        <w:spacing w:line="360" w:lineRule="auto"/>
        <w:ind w:firstLine="560" w:firstLineChars="200"/>
        <w:rPr>
          <w:sz w:val="28"/>
          <w:szCs w:val="28"/>
        </w:rPr>
      </w:pPr>
      <w:r>
        <w:rPr>
          <w:rFonts w:ascii="Cambria Math" w:hAnsi="Cambria Math" w:cs="Cambria Math"/>
          <w:sz w:val="28"/>
          <w:szCs w:val="28"/>
        </w:rPr>
        <w:t>④</w:t>
      </w:r>
      <w:r>
        <w:rPr>
          <w:sz w:val="28"/>
          <w:szCs w:val="28"/>
        </w:rPr>
        <w:t>采水管道应具备防冻与保温功能，采水管道配置防冻保温装置，以减少环境温度等因素对水样造成影响。</w:t>
      </w:r>
    </w:p>
    <w:p>
      <w:pPr>
        <w:spacing w:line="360" w:lineRule="auto"/>
        <w:ind w:firstLine="560" w:firstLineChars="200"/>
        <w:rPr>
          <w:sz w:val="28"/>
          <w:szCs w:val="28"/>
        </w:rPr>
      </w:pPr>
      <w:r>
        <w:rPr>
          <w:rFonts w:ascii="Cambria Math" w:hAnsi="Cambria Math" w:cs="Cambria Math"/>
          <w:sz w:val="28"/>
          <w:szCs w:val="28"/>
        </w:rPr>
        <w:t>⑤</w:t>
      </w:r>
      <w:r>
        <w:rPr>
          <w:sz w:val="28"/>
          <w:szCs w:val="28"/>
        </w:rPr>
        <w:t>采水管道材质应具有足够的强度，可以承受内压，且使用年限长、性能可靠、具有极好的化学稳定性，不与水样中被测物产生物力和化学反应，避免污染水样。</w:t>
      </w:r>
    </w:p>
    <w:p>
      <w:pPr>
        <w:spacing w:line="360" w:lineRule="auto"/>
        <w:ind w:firstLine="560" w:firstLineChars="200"/>
        <w:rPr>
          <w:sz w:val="28"/>
          <w:szCs w:val="28"/>
        </w:rPr>
      </w:pPr>
      <w:r>
        <w:rPr>
          <w:rFonts w:ascii="Cambria Math" w:hAnsi="Cambria Math" w:cs="Cambria Math"/>
          <w:sz w:val="28"/>
          <w:szCs w:val="28"/>
        </w:rPr>
        <w:t>⑥</w:t>
      </w:r>
      <w:r>
        <w:rPr>
          <w:sz w:val="28"/>
          <w:szCs w:val="28"/>
        </w:rPr>
        <w:t>采水管道应具有防意外堵塞和方便泥沙沉积后的清洗功能，其管路采用可拆洗式，并装有活接头，易于拆卸和清洗。</w:t>
      </w:r>
    </w:p>
    <w:p>
      <w:pPr>
        <w:spacing w:line="360" w:lineRule="auto"/>
        <w:ind w:firstLine="560" w:firstLineChars="200"/>
        <w:rPr>
          <w:sz w:val="28"/>
          <w:szCs w:val="28"/>
        </w:rPr>
      </w:pPr>
      <w:r>
        <w:rPr>
          <w:rFonts w:ascii="Cambria Math" w:hAnsi="Cambria Math" w:cs="Cambria Math"/>
          <w:sz w:val="28"/>
          <w:szCs w:val="28"/>
        </w:rPr>
        <w:t>⑦</w:t>
      </w:r>
      <w:r>
        <w:rPr>
          <w:sz w:val="28"/>
          <w:szCs w:val="28"/>
        </w:rPr>
        <w:t>采水管道应有除藻和反清洗设备，可以通过清洗水进行自动反冲洗。通过自动阀门切换可以将清洗水和高压振荡空气送至采样头，以消除采样头单向输水运行形成的淤泥，以防藻类生长、聚集和泥沙沉积，在藻类高发时采水单元配置专门防藻除藻结构。</w:t>
      </w:r>
    </w:p>
    <w:p>
      <w:pPr>
        <w:spacing w:line="360" w:lineRule="auto"/>
        <w:ind w:firstLine="560" w:firstLineChars="200"/>
        <w:rPr>
          <w:sz w:val="28"/>
          <w:szCs w:val="28"/>
        </w:rPr>
      </w:pPr>
      <w:r>
        <w:rPr>
          <w:sz w:val="28"/>
          <w:szCs w:val="28"/>
        </w:rPr>
        <w:t>3）配水和预处理单元</w:t>
      </w:r>
    </w:p>
    <w:p>
      <w:pPr>
        <w:spacing w:line="360" w:lineRule="auto"/>
        <w:ind w:firstLine="560" w:firstLineChars="200"/>
        <w:rPr>
          <w:sz w:val="28"/>
          <w:szCs w:val="28"/>
        </w:rPr>
      </w:pPr>
      <w:r>
        <w:rPr>
          <w:sz w:val="28"/>
          <w:szCs w:val="28"/>
        </w:rPr>
        <w:t>配水及预处理单元由水样分配单元、预处理装置及管道等组成。实现对分析仪器配水的功能，并具有自动反清（吹）洗和自动除藻功能。预处理单元为不同分析仪器配备预处理装置，常规五参数水质自动分析仪器使用原水直接分析，应根据国家标准分析方法要求对高锰酸盐指数、氨氮、总磷、总氮等分析仪器提供相应的预处理方法。</w:t>
      </w:r>
    </w:p>
    <w:p>
      <w:pPr>
        <w:spacing w:line="360" w:lineRule="auto"/>
        <w:ind w:firstLine="560" w:firstLineChars="200"/>
        <w:rPr>
          <w:sz w:val="28"/>
          <w:szCs w:val="28"/>
        </w:rPr>
      </w:pPr>
      <w:r>
        <w:rPr>
          <w:rFonts w:ascii="Cambria Math" w:hAnsi="Cambria Math" w:cs="Cambria Math"/>
          <w:sz w:val="28"/>
          <w:szCs w:val="28"/>
        </w:rPr>
        <w:t>①</w:t>
      </w:r>
      <w:r>
        <w:rPr>
          <w:sz w:val="28"/>
          <w:szCs w:val="28"/>
        </w:rPr>
        <w:t>配水管路设计合理，流向清晰，便于维护；保证仪器分析测试的水样应能代表断面水质情况并满足仪器测试需求。</w:t>
      </w:r>
    </w:p>
    <w:p>
      <w:pPr>
        <w:spacing w:line="360" w:lineRule="auto"/>
        <w:ind w:firstLine="560" w:firstLineChars="200"/>
        <w:rPr>
          <w:sz w:val="28"/>
          <w:szCs w:val="28"/>
        </w:rPr>
      </w:pPr>
      <w:r>
        <w:rPr>
          <w:rFonts w:ascii="Cambria Math" w:hAnsi="Cambria Math" w:cs="Cambria Math"/>
          <w:sz w:val="28"/>
          <w:szCs w:val="28"/>
        </w:rPr>
        <w:t>②</w:t>
      </w:r>
      <w:r>
        <w:rPr>
          <w:sz w:val="28"/>
          <w:szCs w:val="28"/>
        </w:rPr>
        <w:t>配水单元具备自动反清（吹）洗功能，防止菌类和藻类等微生物对样品污染或对系统工作造成不良影响，设计中不使用对环境产生污染的清洗方法。</w:t>
      </w:r>
    </w:p>
    <w:p>
      <w:pPr>
        <w:spacing w:line="360" w:lineRule="auto"/>
        <w:ind w:firstLine="560" w:firstLineChars="200"/>
        <w:rPr>
          <w:sz w:val="28"/>
          <w:szCs w:val="28"/>
        </w:rPr>
      </w:pPr>
      <w:r>
        <w:rPr>
          <w:rFonts w:ascii="Cambria Math" w:hAnsi="Cambria Math" w:cs="Cambria Math"/>
          <w:sz w:val="28"/>
          <w:szCs w:val="28"/>
        </w:rPr>
        <w:t>③</w:t>
      </w:r>
      <w:r>
        <w:rPr>
          <w:sz w:val="28"/>
          <w:szCs w:val="28"/>
        </w:rPr>
        <w:t>配水主管路采用串联方式，各仪器之间管路采用并联方式，每台仪器从各自的取样杯中取水，任何仪器的配水管路出现故障不能影响其他仪器的测试。</w:t>
      </w:r>
    </w:p>
    <w:p>
      <w:pPr>
        <w:spacing w:line="360" w:lineRule="auto"/>
        <w:ind w:firstLine="560" w:firstLineChars="200"/>
        <w:rPr>
          <w:sz w:val="28"/>
          <w:szCs w:val="28"/>
        </w:rPr>
      </w:pPr>
      <w:r>
        <w:rPr>
          <w:rFonts w:ascii="Cambria Math" w:hAnsi="Cambria Math" w:cs="Cambria Math"/>
          <w:sz w:val="28"/>
          <w:szCs w:val="28"/>
        </w:rPr>
        <w:t>④</w:t>
      </w:r>
      <w:r>
        <w:rPr>
          <w:sz w:val="28"/>
          <w:szCs w:val="28"/>
        </w:rPr>
        <w:t>能配合系统实现水样自动分配、自动预处理、故障自动报警、关键部件工作状态的显示和反控等功能。</w:t>
      </w:r>
    </w:p>
    <w:p>
      <w:pPr>
        <w:spacing w:line="360" w:lineRule="auto"/>
        <w:ind w:firstLine="560" w:firstLineChars="200"/>
        <w:rPr>
          <w:sz w:val="28"/>
          <w:szCs w:val="28"/>
        </w:rPr>
      </w:pPr>
      <w:r>
        <w:rPr>
          <w:rFonts w:ascii="Cambria Math" w:hAnsi="Cambria Math" w:cs="Cambria Math"/>
          <w:sz w:val="28"/>
          <w:szCs w:val="28"/>
        </w:rPr>
        <w:t>⑤</w:t>
      </w:r>
      <w:r>
        <w:rPr>
          <w:sz w:val="28"/>
          <w:szCs w:val="28"/>
        </w:rPr>
        <w:t>配水单元的所有操作均可通过控制单元实现，并接受平台端的远程控制；</w:t>
      </w:r>
    </w:p>
    <w:p>
      <w:pPr>
        <w:spacing w:line="360" w:lineRule="auto"/>
        <w:ind w:firstLine="560" w:firstLineChars="200"/>
        <w:rPr>
          <w:sz w:val="28"/>
          <w:szCs w:val="28"/>
        </w:rPr>
      </w:pPr>
      <w:r>
        <w:rPr>
          <w:rFonts w:ascii="Cambria Math" w:hAnsi="Cambria Math" w:cs="Cambria Math"/>
          <w:sz w:val="28"/>
          <w:szCs w:val="28"/>
        </w:rPr>
        <w:t>⑥</w:t>
      </w:r>
      <w:r>
        <w:rPr>
          <w:sz w:val="28"/>
          <w:szCs w:val="28"/>
        </w:rPr>
        <w:t>所选管材机械强度及化学稳定性好、使用寿命长、便于安装维护，不会对水样水质造成影响；管路内径、压力、流量、流速满足仪器分析需要，并留有余量。</w:t>
      </w:r>
    </w:p>
    <w:p>
      <w:pPr>
        <w:spacing w:line="360" w:lineRule="auto"/>
        <w:ind w:firstLine="560" w:firstLineChars="200"/>
        <w:rPr>
          <w:sz w:val="28"/>
          <w:szCs w:val="28"/>
        </w:rPr>
      </w:pPr>
      <w:r>
        <w:rPr>
          <w:sz w:val="28"/>
          <w:szCs w:val="28"/>
        </w:rPr>
        <w:t>4）控制单元</w:t>
      </w:r>
    </w:p>
    <w:p>
      <w:pPr>
        <w:spacing w:line="360" w:lineRule="auto"/>
        <w:ind w:firstLine="560" w:firstLineChars="200"/>
        <w:rPr>
          <w:sz w:val="28"/>
          <w:szCs w:val="28"/>
        </w:rPr>
      </w:pPr>
      <w:r>
        <w:rPr>
          <w:sz w:val="28"/>
          <w:szCs w:val="28"/>
        </w:rPr>
        <w:t>控制单元对采水单元、配水及预处理单元、分析单元、辅助单元等进行控制，并实现数据采集与传输功能，保证系统连续、可靠和安全运行。</w:t>
      </w:r>
    </w:p>
    <w:p>
      <w:pPr>
        <w:spacing w:line="360" w:lineRule="auto"/>
        <w:ind w:firstLine="560" w:firstLineChars="200"/>
        <w:rPr>
          <w:sz w:val="28"/>
          <w:szCs w:val="28"/>
        </w:rPr>
      </w:pPr>
      <w:r>
        <w:rPr>
          <w:rFonts w:ascii="Cambria Math" w:hAnsi="Cambria Math" w:cs="Cambria Math"/>
          <w:sz w:val="28"/>
          <w:szCs w:val="28"/>
        </w:rPr>
        <w:t>①</w:t>
      </w:r>
      <w:r>
        <w:rPr>
          <w:sz w:val="28"/>
          <w:szCs w:val="28"/>
        </w:rPr>
        <w:t>功能要求</w:t>
      </w:r>
    </w:p>
    <w:p>
      <w:pPr>
        <w:spacing w:line="360" w:lineRule="auto"/>
        <w:ind w:firstLine="560" w:firstLineChars="200"/>
        <w:rPr>
          <w:sz w:val="28"/>
          <w:szCs w:val="28"/>
        </w:rPr>
      </w:pPr>
      <w:r>
        <w:rPr>
          <w:sz w:val="28"/>
          <w:szCs w:val="28"/>
        </w:rPr>
        <w:t>a.具有断电保护功能，能够在断电时保存系统参数和历史数据，在来电时自动恢复系统。</w:t>
      </w:r>
    </w:p>
    <w:p>
      <w:pPr>
        <w:spacing w:line="360" w:lineRule="auto"/>
        <w:ind w:firstLine="560" w:firstLineChars="200"/>
        <w:rPr>
          <w:sz w:val="28"/>
          <w:szCs w:val="28"/>
        </w:rPr>
      </w:pPr>
      <w:r>
        <w:rPr>
          <w:sz w:val="28"/>
          <w:szCs w:val="28"/>
        </w:rPr>
        <w:t>b.具备自动采集数据功能，包括自动采集水质自动分析仪器数据、集成控制数据等，采集的数据应自动添加数据标识，异常监测数据能自动识别，并主动上传至中心平台。</w:t>
      </w:r>
    </w:p>
    <w:p>
      <w:pPr>
        <w:spacing w:line="360" w:lineRule="auto"/>
        <w:ind w:firstLine="560" w:firstLineChars="200"/>
        <w:rPr>
          <w:sz w:val="28"/>
          <w:szCs w:val="28"/>
        </w:rPr>
      </w:pPr>
      <w:r>
        <w:rPr>
          <w:sz w:val="28"/>
          <w:szCs w:val="28"/>
        </w:rPr>
        <w:t>c.具备单点控制功能，能够对单一控制点（阀、泵等）进行调试。</w:t>
      </w:r>
    </w:p>
    <w:p>
      <w:pPr>
        <w:spacing w:line="360" w:lineRule="auto"/>
        <w:ind w:firstLine="560" w:firstLineChars="200"/>
        <w:rPr>
          <w:sz w:val="28"/>
          <w:szCs w:val="28"/>
        </w:rPr>
      </w:pPr>
      <w:r>
        <w:rPr>
          <w:sz w:val="28"/>
          <w:szCs w:val="28"/>
        </w:rPr>
        <w:t>d.具备对自动分析仪器的启停、校时、校准、质控测试等控制功能。</w:t>
      </w:r>
    </w:p>
    <w:p>
      <w:pPr>
        <w:spacing w:line="360" w:lineRule="auto"/>
        <w:ind w:firstLine="560" w:firstLineChars="200"/>
        <w:rPr>
          <w:sz w:val="28"/>
          <w:szCs w:val="28"/>
        </w:rPr>
      </w:pPr>
      <w:r>
        <w:rPr>
          <w:sz w:val="28"/>
          <w:szCs w:val="28"/>
        </w:rPr>
        <w:t>e.能够兼容视频监控设备并能实现对视频设备进行校时、重新启动、参数设置、软件升级、远程维护等功能。</w:t>
      </w:r>
    </w:p>
    <w:p>
      <w:pPr>
        <w:spacing w:line="360" w:lineRule="auto"/>
        <w:ind w:firstLine="560" w:firstLineChars="200"/>
        <w:rPr>
          <w:sz w:val="28"/>
          <w:szCs w:val="28"/>
        </w:rPr>
      </w:pPr>
      <w:r>
        <w:rPr>
          <w:sz w:val="28"/>
          <w:szCs w:val="28"/>
        </w:rPr>
        <w:t>f.具备参数设置功能，能够对小数位、单位、仪器测定上下限、报警（超标）上下限等参数进行设置。</w:t>
      </w:r>
    </w:p>
    <w:p>
      <w:pPr>
        <w:spacing w:line="360" w:lineRule="auto"/>
        <w:ind w:firstLine="560" w:firstLineChars="200"/>
        <w:rPr>
          <w:sz w:val="28"/>
          <w:szCs w:val="28"/>
        </w:rPr>
      </w:pPr>
      <w:r>
        <w:rPr>
          <w:sz w:val="28"/>
          <w:szCs w:val="28"/>
        </w:rPr>
        <w:t>g.具备各仪器监测结果、状态参数、运行流程、报警信息等显示的功能。</w:t>
      </w:r>
    </w:p>
    <w:p>
      <w:pPr>
        <w:spacing w:line="360" w:lineRule="auto"/>
        <w:ind w:firstLine="560" w:firstLineChars="200"/>
        <w:rPr>
          <w:sz w:val="28"/>
          <w:szCs w:val="28"/>
        </w:rPr>
      </w:pPr>
      <w:r>
        <w:rPr>
          <w:sz w:val="28"/>
          <w:szCs w:val="28"/>
        </w:rPr>
        <w:t>h.具有监测数据查询、导出、自动备份功能，可分类查询水质周期数据、质控数据（空白测试数据、标样核查数据、加标回收率数据等）及其对应的仪器、系统日志流程信息。</w:t>
      </w:r>
    </w:p>
    <w:p>
      <w:pPr>
        <w:spacing w:line="360" w:lineRule="auto"/>
        <w:ind w:firstLine="560" w:firstLineChars="200"/>
        <w:rPr>
          <w:sz w:val="28"/>
          <w:szCs w:val="28"/>
        </w:rPr>
      </w:pPr>
      <w:r>
        <w:rPr>
          <w:rFonts w:ascii="Cambria Math" w:hAnsi="Cambria Math" w:cs="Cambria Math"/>
          <w:sz w:val="28"/>
          <w:szCs w:val="28"/>
        </w:rPr>
        <w:t>②</w:t>
      </w:r>
      <w:r>
        <w:rPr>
          <w:sz w:val="28"/>
          <w:szCs w:val="28"/>
        </w:rPr>
        <w:t>硬件设备技术参数</w:t>
      </w:r>
    </w:p>
    <w:p>
      <w:pPr>
        <w:spacing w:line="360" w:lineRule="auto"/>
        <w:ind w:firstLine="560" w:firstLineChars="200"/>
        <w:rPr>
          <w:sz w:val="28"/>
          <w:szCs w:val="28"/>
        </w:rPr>
      </w:pPr>
      <w:r>
        <w:rPr>
          <w:sz w:val="28"/>
          <w:szCs w:val="28"/>
        </w:rPr>
        <w:t>a.工业控制计算机</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64"/>
        <w:gridCol w:w="1682"/>
        <w:gridCol w:w="6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31" w:type="pct"/>
            <w:vAlign w:val="center"/>
          </w:tcPr>
          <w:p>
            <w:pPr>
              <w:spacing w:line="360" w:lineRule="auto"/>
              <w:jc w:val="center"/>
              <w:rPr>
                <w:sz w:val="24"/>
                <w:szCs w:val="24"/>
              </w:rPr>
            </w:pPr>
            <w:r>
              <w:rPr>
                <w:spacing w:val="15"/>
                <w:sz w:val="24"/>
                <w:szCs w:val="24"/>
              </w:rPr>
              <w:t>序号</w:t>
            </w:r>
          </w:p>
        </w:tc>
        <w:tc>
          <w:tcPr>
            <w:tcW w:w="926" w:type="pct"/>
            <w:vAlign w:val="center"/>
          </w:tcPr>
          <w:p>
            <w:pPr>
              <w:spacing w:line="360" w:lineRule="auto"/>
              <w:jc w:val="center"/>
              <w:rPr>
                <w:sz w:val="24"/>
                <w:szCs w:val="24"/>
              </w:rPr>
            </w:pPr>
            <w:r>
              <w:rPr>
                <w:sz w:val="24"/>
                <w:szCs w:val="24"/>
              </w:rPr>
              <w:t>指标名称</w:t>
            </w:r>
          </w:p>
        </w:tc>
        <w:tc>
          <w:tcPr>
            <w:tcW w:w="3543" w:type="pct"/>
            <w:vAlign w:val="center"/>
          </w:tcPr>
          <w:p>
            <w:pPr>
              <w:spacing w:line="360" w:lineRule="auto"/>
              <w:jc w:val="center"/>
              <w:rPr>
                <w:sz w:val="24"/>
                <w:szCs w:val="24"/>
              </w:rPr>
            </w:pPr>
            <w:r>
              <w:rPr>
                <w:sz w:val="24"/>
                <w:szCs w:val="24"/>
              </w:rPr>
              <w:t>性能指标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31" w:type="pct"/>
            <w:vAlign w:val="center"/>
          </w:tcPr>
          <w:p>
            <w:pPr>
              <w:spacing w:line="360" w:lineRule="auto"/>
              <w:jc w:val="center"/>
              <w:rPr>
                <w:sz w:val="24"/>
                <w:szCs w:val="24"/>
              </w:rPr>
            </w:pPr>
            <w:r>
              <w:rPr>
                <w:sz w:val="24"/>
                <w:szCs w:val="24"/>
              </w:rPr>
              <w:t>1</w:t>
            </w:r>
          </w:p>
        </w:tc>
        <w:tc>
          <w:tcPr>
            <w:tcW w:w="926" w:type="pct"/>
            <w:vAlign w:val="center"/>
          </w:tcPr>
          <w:p>
            <w:pPr>
              <w:spacing w:line="360" w:lineRule="auto"/>
              <w:jc w:val="center"/>
              <w:rPr>
                <w:sz w:val="24"/>
                <w:szCs w:val="24"/>
              </w:rPr>
            </w:pPr>
            <w:r>
              <w:rPr>
                <w:sz w:val="24"/>
                <w:szCs w:val="24"/>
              </w:rPr>
              <w:t>CPU</w:t>
            </w:r>
          </w:p>
        </w:tc>
        <w:tc>
          <w:tcPr>
            <w:tcW w:w="3543" w:type="pct"/>
            <w:vAlign w:val="center"/>
          </w:tcPr>
          <w:p>
            <w:pPr>
              <w:spacing w:line="360" w:lineRule="auto"/>
              <w:jc w:val="center"/>
              <w:rPr>
                <w:sz w:val="24"/>
                <w:szCs w:val="24"/>
              </w:rPr>
            </w:pPr>
            <w:r>
              <w:rPr>
                <w:sz w:val="24"/>
                <w:szCs w:val="24"/>
              </w:rPr>
              <w:t>≥2.0GHz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31" w:type="pct"/>
            <w:vAlign w:val="center"/>
          </w:tcPr>
          <w:p>
            <w:pPr>
              <w:spacing w:line="360" w:lineRule="auto"/>
              <w:jc w:val="center"/>
              <w:rPr>
                <w:sz w:val="24"/>
                <w:szCs w:val="24"/>
              </w:rPr>
            </w:pPr>
            <w:r>
              <w:rPr>
                <w:sz w:val="24"/>
                <w:szCs w:val="24"/>
              </w:rPr>
              <w:t>2</w:t>
            </w:r>
          </w:p>
        </w:tc>
        <w:tc>
          <w:tcPr>
            <w:tcW w:w="926" w:type="pct"/>
            <w:vAlign w:val="center"/>
          </w:tcPr>
          <w:p>
            <w:pPr>
              <w:spacing w:line="360" w:lineRule="auto"/>
              <w:jc w:val="center"/>
              <w:rPr>
                <w:sz w:val="24"/>
                <w:szCs w:val="24"/>
              </w:rPr>
            </w:pPr>
            <w:r>
              <w:rPr>
                <w:sz w:val="24"/>
                <w:szCs w:val="24"/>
              </w:rPr>
              <w:t>内存</w:t>
            </w:r>
          </w:p>
        </w:tc>
        <w:tc>
          <w:tcPr>
            <w:tcW w:w="3543" w:type="pct"/>
            <w:vAlign w:val="center"/>
          </w:tcPr>
          <w:p>
            <w:pPr>
              <w:spacing w:line="360" w:lineRule="auto"/>
              <w:jc w:val="center"/>
              <w:rPr>
                <w:sz w:val="24"/>
                <w:szCs w:val="24"/>
              </w:rPr>
            </w:pPr>
            <w:r>
              <w:rPr>
                <w:sz w:val="24"/>
                <w:szCs w:val="24"/>
              </w:rPr>
              <w:t>≥2GB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31" w:type="pct"/>
            <w:vAlign w:val="center"/>
          </w:tcPr>
          <w:p>
            <w:pPr>
              <w:spacing w:line="360" w:lineRule="auto"/>
              <w:jc w:val="center"/>
              <w:rPr>
                <w:sz w:val="24"/>
                <w:szCs w:val="24"/>
              </w:rPr>
            </w:pPr>
            <w:r>
              <w:rPr>
                <w:sz w:val="24"/>
                <w:szCs w:val="24"/>
              </w:rPr>
              <w:t>3</w:t>
            </w:r>
          </w:p>
        </w:tc>
        <w:tc>
          <w:tcPr>
            <w:tcW w:w="926" w:type="pct"/>
            <w:vAlign w:val="center"/>
          </w:tcPr>
          <w:p>
            <w:pPr>
              <w:spacing w:line="360" w:lineRule="auto"/>
              <w:jc w:val="center"/>
              <w:rPr>
                <w:sz w:val="24"/>
                <w:szCs w:val="24"/>
              </w:rPr>
            </w:pPr>
            <w:r>
              <w:rPr>
                <w:sz w:val="24"/>
                <w:szCs w:val="24"/>
              </w:rPr>
              <w:t>硬盘容量</w:t>
            </w:r>
          </w:p>
        </w:tc>
        <w:tc>
          <w:tcPr>
            <w:tcW w:w="3543" w:type="pct"/>
            <w:vAlign w:val="center"/>
          </w:tcPr>
          <w:p>
            <w:pPr>
              <w:spacing w:line="360" w:lineRule="auto"/>
              <w:jc w:val="center"/>
              <w:rPr>
                <w:sz w:val="24"/>
                <w:szCs w:val="24"/>
              </w:rPr>
            </w:pPr>
            <w:r>
              <w:rPr>
                <w:sz w:val="24"/>
                <w:szCs w:val="24"/>
              </w:rPr>
              <w:t>≥500GB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31" w:type="pct"/>
            <w:vAlign w:val="center"/>
          </w:tcPr>
          <w:p>
            <w:pPr>
              <w:spacing w:line="360" w:lineRule="auto"/>
              <w:jc w:val="center"/>
              <w:rPr>
                <w:sz w:val="24"/>
                <w:szCs w:val="24"/>
              </w:rPr>
            </w:pPr>
            <w:r>
              <w:rPr>
                <w:sz w:val="24"/>
                <w:szCs w:val="24"/>
              </w:rPr>
              <w:t>4</w:t>
            </w:r>
          </w:p>
        </w:tc>
        <w:tc>
          <w:tcPr>
            <w:tcW w:w="926" w:type="pct"/>
            <w:vAlign w:val="center"/>
          </w:tcPr>
          <w:p>
            <w:pPr>
              <w:spacing w:line="360" w:lineRule="auto"/>
              <w:jc w:val="center"/>
              <w:rPr>
                <w:sz w:val="24"/>
                <w:szCs w:val="24"/>
              </w:rPr>
            </w:pPr>
            <w:r>
              <w:rPr>
                <w:sz w:val="24"/>
                <w:szCs w:val="24"/>
              </w:rPr>
              <w:t>显示器</w:t>
            </w:r>
          </w:p>
        </w:tc>
        <w:tc>
          <w:tcPr>
            <w:tcW w:w="3543" w:type="pct"/>
            <w:vAlign w:val="center"/>
          </w:tcPr>
          <w:p>
            <w:pPr>
              <w:spacing w:line="360" w:lineRule="auto"/>
              <w:jc w:val="center"/>
              <w:rPr>
                <w:sz w:val="24"/>
                <w:szCs w:val="24"/>
              </w:rPr>
            </w:pPr>
            <w:r>
              <w:rPr>
                <w:sz w:val="24"/>
                <w:szCs w:val="24"/>
              </w:rPr>
              <w:t>≥10寸，触摸屏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31" w:type="pct"/>
            <w:vMerge w:val="restart"/>
            <w:vAlign w:val="center"/>
          </w:tcPr>
          <w:p>
            <w:pPr>
              <w:spacing w:line="360" w:lineRule="auto"/>
              <w:jc w:val="center"/>
              <w:rPr>
                <w:sz w:val="24"/>
                <w:szCs w:val="24"/>
              </w:rPr>
            </w:pPr>
            <w:r>
              <w:rPr>
                <w:sz w:val="24"/>
                <w:szCs w:val="24"/>
              </w:rPr>
              <w:t>5</w:t>
            </w:r>
          </w:p>
        </w:tc>
        <w:tc>
          <w:tcPr>
            <w:tcW w:w="926" w:type="pct"/>
            <w:vMerge w:val="restart"/>
            <w:vAlign w:val="center"/>
          </w:tcPr>
          <w:p>
            <w:pPr>
              <w:spacing w:line="360" w:lineRule="auto"/>
              <w:jc w:val="center"/>
              <w:rPr>
                <w:sz w:val="24"/>
                <w:szCs w:val="24"/>
              </w:rPr>
            </w:pPr>
            <w:r>
              <w:rPr>
                <w:sz w:val="24"/>
                <w:szCs w:val="24"/>
              </w:rPr>
              <w:t>通讯接口</w:t>
            </w:r>
          </w:p>
        </w:tc>
        <w:tc>
          <w:tcPr>
            <w:tcW w:w="3543" w:type="pct"/>
            <w:vAlign w:val="center"/>
          </w:tcPr>
          <w:p>
            <w:pPr>
              <w:spacing w:line="360" w:lineRule="auto"/>
              <w:jc w:val="center"/>
              <w:rPr>
                <w:sz w:val="24"/>
                <w:szCs w:val="24"/>
              </w:rPr>
            </w:pPr>
            <w:r>
              <w:rPr>
                <w:sz w:val="24"/>
                <w:szCs w:val="24"/>
              </w:rPr>
              <w:t>RS232/485 COM口，不小于6个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31" w:type="pct"/>
            <w:vMerge w:val="continue"/>
            <w:vAlign w:val="center"/>
          </w:tcPr>
          <w:p>
            <w:pPr>
              <w:spacing w:line="360" w:lineRule="auto"/>
              <w:jc w:val="center"/>
              <w:rPr>
                <w:sz w:val="24"/>
                <w:szCs w:val="24"/>
              </w:rPr>
            </w:pPr>
          </w:p>
        </w:tc>
        <w:tc>
          <w:tcPr>
            <w:tcW w:w="926" w:type="pct"/>
            <w:vMerge w:val="continue"/>
            <w:vAlign w:val="center"/>
          </w:tcPr>
          <w:p>
            <w:pPr>
              <w:spacing w:line="360" w:lineRule="auto"/>
              <w:jc w:val="center"/>
              <w:rPr>
                <w:sz w:val="24"/>
                <w:szCs w:val="24"/>
              </w:rPr>
            </w:pPr>
          </w:p>
        </w:tc>
        <w:tc>
          <w:tcPr>
            <w:tcW w:w="3543" w:type="pct"/>
            <w:vAlign w:val="center"/>
          </w:tcPr>
          <w:p>
            <w:pPr>
              <w:spacing w:line="360" w:lineRule="auto"/>
              <w:jc w:val="center"/>
              <w:rPr>
                <w:sz w:val="24"/>
                <w:szCs w:val="24"/>
              </w:rPr>
            </w:pPr>
            <w:r>
              <w:rPr>
                <w:sz w:val="24"/>
                <w:szCs w:val="24"/>
              </w:rPr>
              <w:t>网口，不少于2个</w:t>
            </w:r>
          </w:p>
        </w:tc>
      </w:tr>
    </w:tbl>
    <w:p>
      <w:pPr>
        <w:spacing w:line="360" w:lineRule="auto"/>
        <w:ind w:firstLine="480"/>
        <w:rPr>
          <w:sz w:val="24"/>
          <w:szCs w:val="24"/>
        </w:rPr>
      </w:pPr>
      <w:r>
        <w:rPr>
          <w:sz w:val="24"/>
          <w:szCs w:val="24"/>
        </w:rPr>
        <w:t>b.可编程控制器</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66"/>
        <w:gridCol w:w="1673"/>
        <w:gridCol w:w="64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532" w:type="pct"/>
            <w:vAlign w:val="center"/>
          </w:tcPr>
          <w:p>
            <w:pPr>
              <w:spacing w:line="360" w:lineRule="auto"/>
              <w:jc w:val="center"/>
              <w:rPr>
                <w:sz w:val="24"/>
                <w:szCs w:val="24"/>
              </w:rPr>
            </w:pPr>
            <w:r>
              <w:rPr>
                <w:spacing w:val="15"/>
                <w:sz w:val="24"/>
                <w:szCs w:val="24"/>
              </w:rPr>
              <w:t>序号</w:t>
            </w:r>
          </w:p>
        </w:tc>
        <w:tc>
          <w:tcPr>
            <w:tcW w:w="921" w:type="pct"/>
            <w:vAlign w:val="center"/>
          </w:tcPr>
          <w:p>
            <w:pPr>
              <w:spacing w:line="360" w:lineRule="auto"/>
              <w:jc w:val="center"/>
              <w:rPr>
                <w:sz w:val="24"/>
                <w:szCs w:val="24"/>
              </w:rPr>
            </w:pPr>
            <w:r>
              <w:rPr>
                <w:sz w:val="24"/>
                <w:szCs w:val="24"/>
              </w:rPr>
              <w:t>指标名称</w:t>
            </w:r>
          </w:p>
        </w:tc>
        <w:tc>
          <w:tcPr>
            <w:tcW w:w="3548" w:type="pct"/>
            <w:vAlign w:val="center"/>
          </w:tcPr>
          <w:p>
            <w:pPr>
              <w:spacing w:line="360" w:lineRule="auto"/>
              <w:jc w:val="center"/>
              <w:rPr>
                <w:sz w:val="24"/>
                <w:szCs w:val="24"/>
              </w:rPr>
            </w:pPr>
            <w:r>
              <w:rPr>
                <w:sz w:val="24"/>
                <w:szCs w:val="24"/>
              </w:rPr>
              <w:t>性能指标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532" w:type="pct"/>
            <w:vAlign w:val="center"/>
          </w:tcPr>
          <w:p>
            <w:pPr>
              <w:spacing w:line="360" w:lineRule="auto"/>
              <w:jc w:val="center"/>
              <w:rPr>
                <w:sz w:val="24"/>
                <w:szCs w:val="24"/>
              </w:rPr>
            </w:pPr>
            <w:r>
              <w:rPr>
                <w:sz w:val="24"/>
                <w:szCs w:val="24"/>
              </w:rPr>
              <w:t>1</w:t>
            </w:r>
          </w:p>
        </w:tc>
        <w:tc>
          <w:tcPr>
            <w:tcW w:w="921" w:type="pct"/>
            <w:vAlign w:val="center"/>
          </w:tcPr>
          <w:p>
            <w:pPr>
              <w:spacing w:line="360" w:lineRule="auto"/>
              <w:jc w:val="center"/>
              <w:rPr>
                <w:sz w:val="24"/>
                <w:szCs w:val="24"/>
              </w:rPr>
            </w:pPr>
            <w:r>
              <w:rPr>
                <w:sz w:val="24"/>
                <w:szCs w:val="24"/>
              </w:rPr>
              <w:t>扩展能力</w:t>
            </w:r>
          </w:p>
        </w:tc>
        <w:tc>
          <w:tcPr>
            <w:tcW w:w="3548" w:type="pct"/>
            <w:vAlign w:val="center"/>
          </w:tcPr>
          <w:p>
            <w:pPr>
              <w:spacing w:line="360" w:lineRule="auto"/>
              <w:rPr>
                <w:sz w:val="24"/>
                <w:szCs w:val="24"/>
              </w:rPr>
            </w:pPr>
            <w:r>
              <w:rPr>
                <w:sz w:val="24"/>
                <w:szCs w:val="24"/>
              </w:rPr>
              <w:t>控制器输入输出接口满足需求且余量不少于 4 路，以便以后扩展。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532" w:type="pct"/>
            <w:vAlign w:val="center"/>
          </w:tcPr>
          <w:p>
            <w:pPr>
              <w:spacing w:line="360" w:lineRule="auto"/>
              <w:jc w:val="center"/>
              <w:rPr>
                <w:sz w:val="24"/>
                <w:szCs w:val="24"/>
              </w:rPr>
            </w:pPr>
            <w:r>
              <w:rPr>
                <w:sz w:val="24"/>
                <w:szCs w:val="24"/>
              </w:rPr>
              <w:t>2</w:t>
            </w:r>
          </w:p>
        </w:tc>
        <w:tc>
          <w:tcPr>
            <w:tcW w:w="921" w:type="pct"/>
            <w:vAlign w:val="center"/>
          </w:tcPr>
          <w:p>
            <w:pPr>
              <w:spacing w:line="360" w:lineRule="auto"/>
              <w:jc w:val="center"/>
              <w:rPr>
                <w:sz w:val="24"/>
                <w:szCs w:val="24"/>
              </w:rPr>
            </w:pPr>
            <w:r>
              <w:rPr>
                <w:sz w:val="24"/>
                <w:szCs w:val="24"/>
              </w:rPr>
              <w:t>防雷抗干扰能力</w:t>
            </w:r>
          </w:p>
        </w:tc>
        <w:tc>
          <w:tcPr>
            <w:tcW w:w="3548" w:type="pct"/>
            <w:vAlign w:val="center"/>
          </w:tcPr>
          <w:p>
            <w:pPr>
              <w:spacing w:line="360" w:lineRule="auto"/>
              <w:rPr>
                <w:sz w:val="24"/>
                <w:szCs w:val="24"/>
              </w:rPr>
            </w:pPr>
            <w:r>
              <w:rPr>
                <w:sz w:val="24"/>
                <w:szCs w:val="24"/>
              </w:rPr>
              <w:t>符合抗电磁辐射、电磁感应的相关规定，具备电源隔离和信号隔离措施。</w:t>
            </w:r>
          </w:p>
        </w:tc>
      </w:tr>
    </w:tbl>
    <w:p>
      <w:pPr>
        <w:ind w:firstLine="480"/>
        <w:rPr>
          <w:sz w:val="24"/>
          <w:szCs w:val="24"/>
        </w:rPr>
      </w:pPr>
    </w:p>
    <w:p>
      <w:pPr>
        <w:ind w:firstLine="480"/>
        <w:rPr>
          <w:sz w:val="24"/>
          <w:szCs w:val="24"/>
        </w:rPr>
      </w:pPr>
    </w:p>
    <w:p>
      <w:pPr>
        <w:spacing w:line="360" w:lineRule="auto"/>
        <w:ind w:firstLine="560" w:firstLineChars="200"/>
        <w:rPr>
          <w:sz w:val="28"/>
          <w:szCs w:val="28"/>
        </w:rPr>
      </w:pPr>
      <w:r>
        <w:rPr>
          <w:sz w:val="28"/>
          <w:szCs w:val="28"/>
        </w:rPr>
        <w:t>5）数据采集与传输单元</w:t>
      </w:r>
    </w:p>
    <w:p>
      <w:pPr>
        <w:spacing w:line="360" w:lineRule="auto"/>
        <w:ind w:firstLine="560" w:firstLineChars="200"/>
        <w:rPr>
          <w:sz w:val="28"/>
          <w:szCs w:val="28"/>
        </w:rPr>
      </w:pPr>
      <w:r>
        <w:rPr>
          <w:rFonts w:ascii="Cambria Math" w:hAnsi="Cambria Math" w:cs="Cambria Math"/>
          <w:sz w:val="28"/>
          <w:szCs w:val="28"/>
        </w:rPr>
        <w:t>①</w:t>
      </w:r>
      <w:r>
        <w:rPr>
          <w:sz w:val="28"/>
          <w:szCs w:val="28"/>
        </w:rPr>
        <w:t>数据采集与存储</w:t>
      </w:r>
    </w:p>
    <w:p>
      <w:pPr>
        <w:spacing w:line="360" w:lineRule="auto"/>
        <w:ind w:firstLine="560" w:firstLineChars="200"/>
        <w:rPr>
          <w:sz w:val="28"/>
          <w:szCs w:val="28"/>
        </w:rPr>
      </w:pPr>
      <w:r>
        <w:rPr>
          <w:sz w:val="28"/>
          <w:szCs w:val="28"/>
        </w:rPr>
        <w:t>a.采集自动分析仪器的监测数据，并分类保存。</w:t>
      </w:r>
    </w:p>
    <w:p>
      <w:pPr>
        <w:spacing w:line="360" w:lineRule="auto"/>
        <w:ind w:firstLine="560" w:firstLineChars="200"/>
        <w:rPr>
          <w:sz w:val="28"/>
          <w:szCs w:val="28"/>
        </w:rPr>
      </w:pPr>
      <w:r>
        <w:rPr>
          <w:sz w:val="28"/>
          <w:szCs w:val="28"/>
        </w:rPr>
        <w:t>b.采集自动分析仪器和集成系统各单元的工作状态量，并以运行日志的形式记录保存。</w:t>
      </w:r>
    </w:p>
    <w:p>
      <w:pPr>
        <w:spacing w:line="360" w:lineRule="auto"/>
        <w:ind w:firstLine="560" w:firstLineChars="200"/>
        <w:rPr>
          <w:sz w:val="28"/>
          <w:szCs w:val="28"/>
        </w:rPr>
      </w:pPr>
      <w:r>
        <w:rPr>
          <w:sz w:val="28"/>
          <w:szCs w:val="28"/>
        </w:rPr>
        <w:t>c.能够实时采集视频信息并传输至中心平台。</w:t>
      </w:r>
    </w:p>
    <w:p>
      <w:pPr>
        <w:spacing w:line="360" w:lineRule="auto"/>
        <w:ind w:firstLine="560" w:firstLineChars="200"/>
        <w:rPr>
          <w:sz w:val="28"/>
          <w:szCs w:val="28"/>
        </w:rPr>
      </w:pPr>
      <w:r>
        <w:rPr>
          <w:sz w:val="28"/>
          <w:szCs w:val="28"/>
        </w:rPr>
        <w:t>d.断电后能自动保存历史数据和参数设置。</w:t>
      </w:r>
    </w:p>
    <w:p>
      <w:pPr>
        <w:spacing w:line="360" w:lineRule="auto"/>
        <w:ind w:firstLine="560" w:firstLineChars="200"/>
        <w:rPr>
          <w:sz w:val="28"/>
          <w:szCs w:val="28"/>
        </w:rPr>
      </w:pPr>
      <w:r>
        <w:rPr>
          <w:rFonts w:ascii="Cambria Math" w:hAnsi="Cambria Math" w:cs="Cambria Math"/>
          <w:sz w:val="28"/>
          <w:szCs w:val="28"/>
        </w:rPr>
        <w:t>②</w:t>
      </w:r>
      <w:r>
        <w:rPr>
          <w:sz w:val="28"/>
          <w:szCs w:val="28"/>
        </w:rPr>
        <w:t>数据传输与通讯</w:t>
      </w:r>
    </w:p>
    <w:p>
      <w:pPr>
        <w:spacing w:line="360" w:lineRule="auto"/>
        <w:ind w:firstLine="560" w:firstLineChars="200"/>
        <w:rPr>
          <w:sz w:val="28"/>
          <w:szCs w:val="28"/>
        </w:rPr>
      </w:pPr>
      <w:r>
        <w:rPr>
          <w:sz w:val="28"/>
          <w:szCs w:val="28"/>
        </w:rPr>
        <w:t>a.采用无线、有线的通讯方式满足数据传输要求。</w:t>
      </w:r>
    </w:p>
    <w:p>
      <w:pPr>
        <w:spacing w:line="360" w:lineRule="auto"/>
        <w:ind w:firstLine="560" w:firstLineChars="200"/>
        <w:rPr>
          <w:sz w:val="28"/>
          <w:szCs w:val="28"/>
        </w:rPr>
      </w:pPr>
      <w:r>
        <w:rPr>
          <w:sz w:val="28"/>
          <w:szCs w:val="28"/>
        </w:rPr>
        <w:t>b.具备对通信链路的自动诊断功能，具备超时补发功能。</w:t>
      </w:r>
    </w:p>
    <w:p>
      <w:pPr>
        <w:spacing w:line="360" w:lineRule="auto"/>
        <w:ind w:firstLine="560" w:firstLineChars="200"/>
        <w:rPr>
          <w:sz w:val="28"/>
          <w:szCs w:val="28"/>
        </w:rPr>
      </w:pPr>
      <w:r>
        <w:rPr>
          <w:sz w:val="28"/>
          <w:szCs w:val="28"/>
        </w:rPr>
        <w:t>6）质控单元</w:t>
      </w:r>
    </w:p>
    <w:p>
      <w:pPr>
        <w:spacing w:line="360" w:lineRule="auto"/>
        <w:ind w:firstLine="560" w:firstLineChars="200"/>
        <w:rPr>
          <w:sz w:val="28"/>
          <w:szCs w:val="28"/>
        </w:rPr>
      </w:pPr>
      <w:r>
        <w:rPr>
          <w:sz w:val="28"/>
          <w:szCs w:val="28"/>
        </w:rPr>
        <w:t>能够对化学需氧量、氨氮、总磷、总氮水质分析仪器进行零点核查、跨度核查、多点线性测试、动态质控样测试、在线加标回收等质控工作，性能达到国家水站建设技术要求。</w:t>
      </w:r>
    </w:p>
    <w:p>
      <w:pPr>
        <w:spacing w:line="360" w:lineRule="auto"/>
        <w:ind w:firstLine="560" w:firstLineChars="200"/>
        <w:rPr>
          <w:sz w:val="28"/>
          <w:szCs w:val="28"/>
        </w:rPr>
      </w:pPr>
      <w:r>
        <w:rPr>
          <w:sz w:val="28"/>
          <w:szCs w:val="28"/>
        </w:rPr>
        <w:t>质控单元技术要求如下：</w:t>
      </w:r>
    </w:p>
    <w:p>
      <w:pPr>
        <w:spacing w:line="360" w:lineRule="auto"/>
        <w:ind w:firstLine="560" w:firstLineChars="200"/>
        <w:rPr>
          <w:sz w:val="28"/>
          <w:szCs w:val="28"/>
        </w:rPr>
      </w:pPr>
      <w:r>
        <w:rPr>
          <w:sz w:val="28"/>
          <w:szCs w:val="28"/>
        </w:rPr>
        <w:t>▲</w:t>
      </w:r>
      <w:r>
        <w:rPr>
          <w:rFonts w:ascii="Cambria Math" w:hAnsi="Cambria Math" w:cs="Cambria Math"/>
          <w:sz w:val="28"/>
          <w:szCs w:val="28"/>
        </w:rPr>
        <w:t>①</w:t>
      </w:r>
      <w:r>
        <w:rPr>
          <w:sz w:val="28"/>
          <w:szCs w:val="28"/>
        </w:rPr>
        <w:t>加标体积的相对误差：±2%；</w:t>
      </w:r>
    </w:p>
    <w:p>
      <w:pPr>
        <w:spacing w:line="360" w:lineRule="auto"/>
        <w:ind w:firstLine="560" w:firstLineChars="200"/>
        <w:rPr>
          <w:sz w:val="28"/>
          <w:szCs w:val="28"/>
        </w:rPr>
      </w:pPr>
      <w:r>
        <w:rPr>
          <w:sz w:val="28"/>
          <w:szCs w:val="28"/>
        </w:rPr>
        <w:t>▲</w:t>
      </w:r>
      <w:r>
        <w:rPr>
          <w:rFonts w:ascii="Cambria Math" w:hAnsi="Cambria Math" w:cs="Cambria Math"/>
          <w:sz w:val="28"/>
          <w:szCs w:val="28"/>
        </w:rPr>
        <w:t>②</w:t>
      </w:r>
      <w:r>
        <w:rPr>
          <w:sz w:val="28"/>
          <w:szCs w:val="28"/>
        </w:rPr>
        <w:t>加标体积的重复性：≤2%；</w:t>
      </w:r>
    </w:p>
    <w:p>
      <w:pPr>
        <w:spacing w:line="360" w:lineRule="auto"/>
        <w:ind w:firstLine="560" w:firstLineChars="200"/>
        <w:rPr>
          <w:sz w:val="28"/>
          <w:szCs w:val="28"/>
        </w:rPr>
      </w:pPr>
      <w:r>
        <w:rPr>
          <w:rFonts w:ascii="Cambria Math" w:hAnsi="Cambria Math" w:cs="Cambria Math"/>
          <w:sz w:val="28"/>
          <w:szCs w:val="28"/>
        </w:rPr>
        <w:t>③</w:t>
      </w:r>
      <w:r>
        <w:rPr>
          <w:sz w:val="28"/>
          <w:szCs w:val="28"/>
        </w:rPr>
        <w:t>质控杯容积的相对误差：±1%；</w:t>
      </w:r>
    </w:p>
    <w:p>
      <w:pPr>
        <w:spacing w:line="360" w:lineRule="auto"/>
        <w:ind w:firstLine="560" w:firstLineChars="200"/>
        <w:rPr>
          <w:sz w:val="28"/>
          <w:szCs w:val="28"/>
        </w:rPr>
      </w:pPr>
      <w:r>
        <w:rPr>
          <w:rFonts w:ascii="Cambria Math" w:hAnsi="Cambria Math" w:cs="Cambria Math"/>
          <w:sz w:val="28"/>
          <w:szCs w:val="28"/>
        </w:rPr>
        <w:t>④</w:t>
      </w:r>
      <w:r>
        <w:rPr>
          <w:sz w:val="28"/>
          <w:szCs w:val="28"/>
        </w:rPr>
        <w:t>质控杯容积的重复性：≤1%；</w:t>
      </w:r>
    </w:p>
    <w:p>
      <w:pPr>
        <w:spacing w:line="360" w:lineRule="auto"/>
        <w:ind w:firstLine="560" w:firstLineChars="200"/>
        <w:rPr>
          <w:sz w:val="28"/>
          <w:szCs w:val="28"/>
        </w:rPr>
      </w:pPr>
      <w:r>
        <w:rPr>
          <w:rFonts w:ascii="Cambria Math" w:hAnsi="Cambria Math" w:cs="Cambria Math"/>
          <w:sz w:val="28"/>
          <w:szCs w:val="28"/>
        </w:rPr>
        <w:t>⑤</w:t>
      </w:r>
      <w:r>
        <w:rPr>
          <w:sz w:val="28"/>
          <w:szCs w:val="28"/>
        </w:rPr>
        <w:t>加标回收率：90%~110%；</w:t>
      </w:r>
    </w:p>
    <w:p>
      <w:pPr>
        <w:spacing w:line="360" w:lineRule="auto"/>
        <w:ind w:firstLine="560" w:firstLineChars="200"/>
        <w:rPr>
          <w:sz w:val="28"/>
          <w:szCs w:val="28"/>
        </w:rPr>
      </w:pPr>
      <w:r>
        <w:rPr>
          <w:rFonts w:ascii="Cambria Math" w:hAnsi="Cambria Math" w:cs="Cambria Math"/>
          <w:sz w:val="28"/>
          <w:szCs w:val="28"/>
        </w:rPr>
        <w:t>⑥</w:t>
      </w:r>
      <w:r>
        <w:rPr>
          <w:sz w:val="28"/>
          <w:szCs w:val="28"/>
        </w:rPr>
        <w:t>加标回收率重复性：≤2%；</w:t>
      </w:r>
    </w:p>
    <w:p>
      <w:pPr>
        <w:spacing w:line="360" w:lineRule="auto"/>
        <w:ind w:firstLine="560" w:firstLineChars="200"/>
        <w:rPr>
          <w:sz w:val="28"/>
          <w:szCs w:val="28"/>
        </w:rPr>
      </w:pPr>
      <w:r>
        <w:rPr>
          <w:rFonts w:ascii="Cambria Math" w:hAnsi="Cambria Math" w:cs="Cambria Math"/>
          <w:sz w:val="28"/>
          <w:szCs w:val="28"/>
        </w:rPr>
        <w:t>⑦</w:t>
      </w:r>
      <w:r>
        <w:rPr>
          <w:sz w:val="28"/>
          <w:szCs w:val="28"/>
        </w:rPr>
        <w:t>标样核查：仪器能至少提供2路不同浓度标准溶液或纯水；配合水质在线监测仪提供相应的标准溶液或纯水；</w:t>
      </w:r>
    </w:p>
    <w:p>
      <w:pPr>
        <w:spacing w:line="360" w:lineRule="auto"/>
        <w:ind w:firstLine="560" w:firstLineChars="200"/>
        <w:rPr>
          <w:sz w:val="28"/>
          <w:szCs w:val="28"/>
        </w:rPr>
      </w:pPr>
      <w:r>
        <w:rPr>
          <w:rFonts w:ascii="Cambria Math" w:hAnsi="Cambria Math" w:cs="Cambria Math"/>
          <w:sz w:val="28"/>
          <w:szCs w:val="28"/>
        </w:rPr>
        <w:t>⑧</w:t>
      </w:r>
      <w:r>
        <w:rPr>
          <w:sz w:val="28"/>
          <w:szCs w:val="28"/>
        </w:rPr>
        <w:t>平行样供给：配合水质在线监测仪提供2次平行样测量的样品。</w:t>
      </w:r>
    </w:p>
    <w:p>
      <w:pPr>
        <w:spacing w:line="360" w:lineRule="auto"/>
        <w:ind w:firstLine="560" w:firstLineChars="200"/>
        <w:rPr>
          <w:sz w:val="28"/>
          <w:szCs w:val="28"/>
        </w:rPr>
      </w:pPr>
      <w:r>
        <w:rPr>
          <w:sz w:val="28"/>
          <w:szCs w:val="28"/>
        </w:rPr>
        <w:t>【质控单元技术要求需提供省级及以上检测（或计量）机构出具的检测（或评价分析）报告复印件作为证明材料】</w:t>
      </w:r>
    </w:p>
    <w:p>
      <w:pPr>
        <w:spacing w:line="360" w:lineRule="auto"/>
        <w:ind w:firstLine="560" w:firstLineChars="200"/>
        <w:rPr>
          <w:sz w:val="28"/>
          <w:szCs w:val="28"/>
        </w:rPr>
      </w:pPr>
      <w:r>
        <w:rPr>
          <w:sz w:val="28"/>
          <w:szCs w:val="28"/>
        </w:rPr>
        <w:t>7）辅助单元</w:t>
      </w:r>
    </w:p>
    <w:p>
      <w:pPr>
        <w:spacing w:line="360" w:lineRule="auto"/>
        <w:ind w:firstLine="560" w:firstLineChars="200"/>
        <w:rPr>
          <w:sz w:val="28"/>
          <w:szCs w:val="28"/>
        </w:rPr>
      </w:pPr>
      <w:r>
        <w:rPr>
          <w:sz w:val="28"/>
          <w:szCs w:val="28"/>
        </w:rPr>
        <w:t>辅助单元应满足水质自动监测站运行环境智能化要求，应为设备仪器提供稳定良好的运行环境，可远程采集运行环境状态信息，可实现运行环境的远程控制。辅助单元应包含UPS、废液单元、防雷单元、机柜空调、试剂存储单元等部分，具体要求如下：</w:t>
      </w:r>
    </w:p>
    <w:p>
      <w:pPr>
        <w:spacing w:line="360" w:lineRule="auto"/>
        <w:ind w:firstLine="560" w:firstLineChars="200"/>
        <w:rPr>
          <w:sz w:val="28"/>
          <w:szCs w:val="28"/>
        </w:rPr>
      </w:pPr>
      <w:r>
        <w:rPr>
          <w:rFonts w:ascii="Cambria Math" w:hAnsi="Cambria Math" w:cs="Cambria Math"/>
          <w:sz w:val="28"/>
          <w:szCs w:val="28"/>
        </w:rPr>
        <w:t>①</w:t>
      </w:r>
      <w:r>
        <w:rPr>
          <w:sz w:val="28"/>
          <w:szCs w:val="28"/>
        </w:rPr>
        <w:t>配备UPS（总功率≥1KW，断电后至少能保证仪器完成一个测量周期和数据上传，且待机不少于1h）；</w:t>
      </w:r>
    </w:p>
    <w:p>
      <w:pPr>
        <w:spacing w:line="360" w:lineRule="auto"/>
        <w:ind w:firstLine="560" w:firstLineChars="200"/>
        <w:rPr>
          <w:sz w:val="28"/>
          <w:szCs w:val="28"/>
        </w:rPr>
      </w:pPr>
      <w:r>
        <w:rPr>
          <w:rFonts w:ascii="Cambria Math" w:hAnsi="Cambria Math" w:cs="Cambria Math"/>
          <w:sz w:val="28"/>
          <w:szCs w:val="28"/>
        </w:rPr>
        <w:t>②</w:t>
      </w:r>
      <w:r>
        <w:rPr>
          <w:sz w:val="28"/>
          <w:szCs w:val="28"/>
        </w:rPr>
        <w:t>配备废液自动处理单元或废液收集单元，满足两周以上废液量的收集；</w:t>
      </w:r>
    </w:p>
    <w:p>
      <w:pPr>
        <w:spacing w:line="360" w:lineRule="auto"/>
        <w:ind w:firstLine="560" w:firstLineChars="200"/>
        <w:rPr>
          <w:sz w:val="28"/>
          <w:szCs w:val="28"/>
        </w:rPr>
      </w:pPr>
      <w:r>
        <w:rPr>
          <w:rFonts w:ascii="Cambria Math" w:hAnsi="Cambria Math" w:cs="Cambria Math"/>
          <w:sz w:val="28"/>
          <w:szCs w:val="28"/>
        </w:rPr>
        <w:t>③</w:t>
      </w:r>
      <w:r>
        <w:rPr>
          <w:sz w:val="28"/>
          <w:szCs w:val="28"/>
        </w:rPr>
        <w:t>必须具有电源、信号等设施的三级防雷措施，保证系统稳定、可靠运行；</w:t>
      </w:r>
    </w:p>
    <w:p>
      <w:pPr>
        <w:spacing w:line="360" w:lineRule="auto"/>
        <w:ind w:firstLine="560" w:firstLineChars="200"/>
        <w:rPr>
          <w:sz w:val="28"/>
          <w:szCs w:val="28"/>
        </w:rPr>
      </w:pPr>
      <w:r>
        <w:rPr>
          <w:rFonts w:ascii="Cambria Math" w:hAnsi="Cambria Math" w:cs="Cambria Math"/>
          <w:sz w:val="28"/>
          <w:szCs w:val="28"/>
        </w:rPr>
        <w:t>④</w:t>
      </w:r>
      <w:r>
        <w:rPr>
          <w:sz w:val="28"/>
          <w:szCs w:val="28"/>
        </w:rPr>
        <w:t>配备户外机柜空调，产品功能齐备，可靠性高，安装简单便捷；</w:t>
      </w:r>
    </w:p>
    <w:p>
      <w:pPr>
        <w:spacing w:line="360" w:lineRule="auto"/>
        <w:ind w:firstLine="560" w:firstLineChars="200"/>
        <w:rPr>
          <w:sz w:val="28"/>
          <w:szCs w:val="28"/>
        </w:rPr>
      </w:pPr>
      <w:r>
        <w:rPr>
          <w:rFonts w:ascii="Cambria Math" w:hAnsi="Cambria Math" w:cs="Cambria Math"/>
          <w:sz w:val="28"/>
          <w:szCs w:val="28"/>
        </w:rPr>
        <w:t>⑤</w:t>
      </w:r>
      <w:r>
        <w:rPr>
          <w:sz w:val="28"/>
          <w:szCs w:val="28"/>
        </w:rPr>
        <w:t>具备试剂存储单元，保证分析仪器运行时所用的化学试剂处于4±2℃低温保存；</w:t>
      </w:r>
    </w:p>
    <w:p>
      <w:pPr>
        <w:spacing w:line="360" w:lineRule="auto"/>
        <w:ind w:firstLine="560" w:firstLineChars="200"/>
        <w:rPr>
          <w:sz w:val="28"/>
          <w:szCs w:val="28"/>
        </w:rPr>
      </w:pPr>
      <w:r>
        <w:rPr>
          <w:rFonts w:ascii="Cambria Math" w:hAnsi="Cambria Math" w:cs="Cambria Math"/>
          <w:sz w:val="28"/>
          <w:szCs w:val="28"/>
        </w:rPr>
        <w:t>⑥</w:t>
      </w:r>
      <w:r>
        <w:rPr>
          <w:sz w:val="28"/>
          <w:szCs w:val="28"/>
        </w:rPr>
        <w:t>具备维护专用成套工具。</w:t>
      </w:r>
    </w:p>
    <w:p>
      <w:pPr>
        <w:spacing w:line="360" w:lineRule="auto"/>
        <w:ind w:firstLine="560" w:firstLineChars="200"/>
        <w:rPr>
          <w:sz w:val="28"/>
          <w:szCs w:val="28"/>
        </w:rPr>
      </w:pPr>
      <w:r>
        <w:rPr>
          <w:sz w:val="28"/>
          <w:szCs w:val="28"/>
        </w:rPr>
        <w:t>8）机柜</w:t>
      </w:r>
    </w:p>
    <w:p>
      <w:pPr>
        <w:spacing w:line="360" w:lineRule="auto"/>
        <w:ind w:firstLine="560" w:firstLineChars="200"/>
        <w:rPr>
          <w:sz w:val="28"/>
          <w:szCs w:val="28"/>
        </w:rPr>
      </w:pPr>
      <w:r>
        <w:rPr>
          <w:rFonts w:ascii="Cambria Math" w:hAnsi="Cambria Math" w:cs="Cambria Math"/>
          <w:sz w:val="28"/>
          <w:szCs w:val="28"/>
        </w:rPr>
        <w:t>①</w:t>
      </w:r>
      <w:r>
        <w:rPr>
          <w:sz w:val="28"/>
          <w:szCs w:val="28"/>
        </w:rPr>
        <w:t>机柜外型美观、与当地环境相协调，无需征地建房，占地面积约2平方米。</w:t>
      </w:r>
    </w:p>
    <w:p>
      <w:pPr>
        <w:spacing w:line="360" w:lineRule="auto"/>
        <w:ind w:firstLine="560" w:firstLineChars="200"/>
        <w:rPr>
          <w:sz w:val="28"/>
          <w:szCs w:val="28"/>
        </w:rPr>
      </w:pPr>
      <w:r>
        <w:rPr>
          <w:rFonts w:ascii="Cambria Math" w:hAnsi="Cambria Math" w:cs="Cambria Math"/>
          <w:sz w:val="28"/>
          <w:szCs w:val="28"/>
        </w:rPr>
        <w:t>②</w:t>
      </w:r>
      <w:r>
        <w:rPr>
          <w:sz w:val="28"/>
          <w:szCs w:val="28"/>
        </w:rPr>
        <w:t>机柜面积能够容纳所有的监测仪器设备，并预留人员操作区域。</w:t>
      </w:r>
    </w:p>
    <w:p>
      <w:pPr>
        <w:spacing w:line="360" w:lineRule="auto"/>
        <w:ind w:firstLine="560" w:firstLineChars="200"/>
        <w:rPr>
          <w:sz w:val="28"/>
          <w:szCs w:val="28"/>
        </w:rPr>
      </w:pPr>
      <w:r>
        <w:rPr>
          <w:rFonts w:ascii="Cambria Math" w:hAnsi="Cambria Math" w:cs="Cambria Math"/>
          <w:sz w:val="28"/>
          <w:szCs w:val="28"/>
        </w:rPr>
        <w:t>③</w:t>
      </w:r>
      <w:r>
        <w:rPr>
          <w:sz w:val="28"/>
          <w:szCs w:val="28"/>
        </w:rPr>
        <w:t>采用模块化设计和总线通信方式，需预留额外的分析单元接口，可扩展测量参数，单一分析单元故障或剥离后不影响系统的运行。</w:t>
      </w:r>
    </w:p>
    <w:p>
      <w:pPr>
        <w:spacing w:line="360" w:lineRule="auto"/>
        <w:ind w:firstLine="560" w:firstLineChars="200"/>
        <w:rPr>
          <w:sz w:val="28"/>
          <w:szCs w:val="28"/>
        </w:rPr>
      </w:pPr>
      <w:r>
        <w:rPr>
          <w:rFonts w:ascii="Cambria Math" w:hAnsi="Cambria Math" w:cs="Cambria Math"/>
          <w:sz w:val="28"/>
          <w:szCs w:val="28"/>
        </w:rPr>
        <w:t>④</w:t>
      </w:r>
      <w:r>
        <w:rPr>
          <w:sz w:val="28"/>
          <w:szCs w:val="28"/>
        </w:rPr>
        <w:t>机柜底座要求具有足够的强度，保证在拖动、起吊、荷载和空载时不变形，安装于混凝土基础上。</w:t>
      </w:r>
    </w:p>
    <w:p>
      <w:pPr>
        <w:pStyle w:val="4"/>
        <w:spacing w:before="0" w:after="0" w:line="360" w:lineRule="auto"/>
        <w:ind w:firstLine="478" w:firstLineChars="170"/>
        <w:rPr>
          <w:b/>
          <w:bCs/>
          <w:sz w:val="28"/>
          <w:szCs w:val="28"/>
        </w:rPr>
      </w:pPr>
      <w:bookmarkStart w:id="170" w:name="_Toc15867"/>
      <w:r>
        <w:rPr>
          <w:rFonts w:hint="eastAsia"/>
          <w:b/>
          <w:bCs/>
          <w:sz w:val="28"/>
          <w:szCs w:val="28"/>
        </w:rPr>
        <w:t>3</w:t>
      </w:r>
      <w:r>
        <w:rPr>
          <w:b/>
          <w:bCs/>
          <w:sz w:val="28"/>
          <w:szCs w:val="28"/>
        </w:rPr>
        <w:t>.6 入河排污口智慧监管平台及配套硬件要求</w:t>
      </w:r>
      <w:bookmarkEnd w:id="170"/>
    </w:p>
    <w:p>
      <w:pPr>
        <w:ind w:firstLine="480"/>
        <w:jc w:val="center"/>
        <w:rPr>
          <w:b/>
          <w:bCs/>
          <w:sz w:val="28"/>
          <w:szCs w:val="28"/>
        </w:rPr>
      </w:pPr>
      <w:r>
        <w:rPr>
          <w:b/>
          <w:bCs/>
          <w:sz w:val="28"/>
          <w:szCs w:val="28"/>
        </w:rPr>
        <w:t>入河排污口管理监督平台</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1560"/>
        <w:gridCol w:w="6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0" w:type="auto"/>
            <w:noWrap/>
            <w:vAlign w:val="center"/>
          </w:tcPr>
          <w:p>
            <w:pPr>
              <w:jc w:val="center"/>
              <w:rPr>
                <w:b/>
                <w:bCs/>
                <w:sz w:val="24"/>
                <w:szCs w:val="24"/>
              </w:rPr>
            </w:pPr>
            <w:r>
              <w:rPr>
                <w:b/>
                <w:bCs/>
                <w:sz w:val="24"/>
                <w:szCs w:val="24"/>
              </w:rPr>
              <w:t>1</w:t>
            </w:r>
          </w:p>
        </w:tc>
        <w:tc>
          <w:tcPr>
            <w:tcW w:w="1560" w:type="dxa"/>
            <w:vAlign w:val="center"/>
          </w:tcPr>
          <w:p>
            <w:pPr>
              <w:jc w:val="center"/>
              <w:rPr>
                <w:b/>
                <w:bCs/>
                <w:sz w:val="24"/>
                <w:szCs w:val="24"/>
              </w:rPr>
            </w:pPr>
            <w:r>
              <w:rPr>
                <w:b/>
                <w:bCs/>
                <w:sz w:val="24"/>
                <w:szCs w:val="24"/>
              </w:rPr>
              <w:t>入河排污口数据中心</w:t>
            </w:r>
          </w:p>
        </w:tc>
        <w:tc>
          <w:tcPr>
            <w:tcW w:w="6894" w:type="dxa"/>
            <w:vAlign w:val="center"/>
          </w:tcPr>
          <w:p>
            <w:pPr>
              <w:jc w:val="center"/>
              <w:rPr>
                <w:b/>
                <w:sz w:val="24"/>
                <w:szCs w:val="24"/>
              </w:rPr>
            </w:pPr>
            <w:r>
              <w:rPr>
                <w:b/>
                <w:sz w:val="24"/>
                <w:szCs w:val="24"/>
              </w:rPr>
              <w:t>功能要求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9" w:hRule="atLeast"/>
        </w:trPr>
        <w:tc>
          <w:tcPr>
            <w:tcW w:w="0" w:type="auto"/>
            <w:noWrap/>
            <w:vAlign w:val="center"/>
          </w:tcPr>
          <w:p>
            <w:pPr>
              <w:jc w:val="center"/>
              <w:rPr>
                <w:sz w:val="24"/>
                <w:szCs w:val="24"/>
              </w:rPr>
            </w:pPr>
            <w:r>
              <w:rPr>
                <w:sz w:val="24"/>
                <w:szCs w:val="24"/>
              </w:rPr>
              <w:t>（1）</w:t>
            </w:r>
          </w:p>
        </w:tc>
        <w:tc>
          <w:tcPr>
            <w:tcW w:w="1560" w:type="dxa"/>
            <w:vAlign w:val="center"/>
          </w:tcPr>
          <w:p>
            <w:pPr>
              <w:jc w:val="center"/>
              <w:rPr>
                <w:sz w:val="24"/>
                <w:szCs w:val="24"/>
              </w:rPr>
            </w:pPr>
            <w:r>
              <w:rPr>
                <w:sz w:val="24"/>
                <w:szCs w:val="24"/>
              </w:rPr>
              <w:t>入河排污口档案</w:t>
            </w:r>
          </w:p>
        </w:tc>
        <w:tc>
          <w:tcPr>
            <w:tcW w:w="6894" w:type="dxa"/>
            <w:vAlign w:val="center"/>
          </w:tcPr>
          <w:p>
            <w:pPr>
              <w:jc w:val="center"/>
              <w:rPr>
                <w:sz w:val="24"/>
                <w:szCs w:val="24"/>
              </w:rPr>
            </w:pPr>
            <w:r>
              <w:rPr>
                <w:sz w:val="24"/>
                <w:szCs w:val="24"/>
              </w:rPr>
              <w:t>建立入河排污口信息库：通过收集、整合和管理入河排污口的位置、排放量、水质、类型、排水方式、入河方式、影像资料等基础信息以及设置审批、责任主体等信息进行维护管理，建立入河排污口信息库，为信息化平台的建设提供数据基础。</w:t>
            </w:r>
          </w:p>
          <w:p>
            <w:pPr>
              <w:jc w:val="center"/>
              <w:rPr>
                <w:sz w:val="24"/>
                <w:szCs w:val="24"/>
              </w:rPr>
            </w:pPr>
            <w:r>
              <w:rPr>
                <w:sz w:val="24"/>
                <w:szCs w:val="24"/>
              </w:rPr>
              <w:t>提供该排口全过程管理的事件清单，监测数据提供在线监测或手工上报数据的查询，作为排污口管控的清单。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7" w:hRule="atLeast"/>
        </w:trPr>
        <w:tc>
          <w:tcPr>
            <w:tcW w:w="0" w:type="auto"/>
            <w:noWrap/>
            <w:vAlign w:val="center"/>
          </w:tcPr>
          <w:p>
            <w:pPr>
              <w:jc w:val="center"/>
              <w:rPr>
                <w:sz w:val="24"/>
                <w:szCs w:val="24"/>
              </w:rPr>
            </w:pPr>
            <w:r>
              <w:rPr>
                <w:sz w:val="24"/>
                <w:szCs w:val="24"/>
              </w:rPr>
              <w:t>（2）</w:t>
            </w:r>
          </w:p>
        </w:tc>
        <w:tc>
          <w:tcPr>
            <w:tcW w:w="1560" w:type="dxa"/>
            <w:vAlign w:val="center"/>
          </w:tcPr>
          <w:p>
            <w:pPr>
              <w:jc w:val="center"/>
              <w:rPr>
                <w:sz w:val="24"/>
                <w:szCs w:val="24"/>
              </w:rPr>
            </w:pPr>
            <w:r>
              <w:rPr>
                <w:sz w:val="24"/>
                <w:szCs w:val="24"/>
              </w:rPr>
              <w:t>排污口水质监控</w:t>
            </w:r>
          </w:p>
        </w:tc>
        <w:tc>
          <w:tcPr>
            <w:tcW w:w="6894" w:type="dxa"/>
            <w:vAlign w:val="center"/>
          </w:tcPr>
          <w:p>
            <w:pPr>
              <w:jc w:val="center"/>
              <w:rPr>
                <w:sz w:val="24"/>
                <w:szCs w:val="24"/>
              </w:rPr>
            </w:pPr>
            <w:r>
              <w:rPr>
                <w:sz w:val="24"/>
                <w:szCs w:val="24"/>
              </w:rPr>
              <w:t>系统以实时一览表的形式集中监控所有入河排污口自动监测站的通讯状况（联网状况）、最新监测数据及数据状态，从而实时掌握所有自动监测站的运行状况。</w:t>
            </w:r>
          </w:p>
          <w:p>
            <w:pPr>
              <w:ind w:firstLine="240" w:firstLineChars="100"/>
              <w:jc w:val="center"/>
              <w:rPr>
                <w:sz w:val="24"/>
                <w:szCs w:val="24"/>
              </w:rPr>
            </w:pPr>
            <w:r>
              <w:rPr>
                <w:sz w:val="24"/>
                <w:szCs w:val="24"/>
              </w:rPr>
              <w:t>可根据区域、点位名称、联网状态等条件快速查询所关注的监测站，同时能汇总统计站点的联网率；对于异常的监测数据，系统会标识出其数据状态。系统以入河排污口站点为对象，全面汇聚该站点的相关信息形成完整的档案并提供统一的展示界面。站点档案信息主要包括站点基本信息、实时数据、水质多维分析等，帮助用户全方位掌握排污口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0" w:type="auto"/>
            <w:noWrap/>
            <w:vAlign w:val="center"/>
          </w:tcPr>
          <w:p>
            <w:pPr>
              <w:jc w:val="center"/>
              <w:rPr>
                <w:sz w:val="24"/>
                <w:szCs w:val="24"/>
              </w:rPr>
            </w:pPr>
            <w:r>
              <w:rPr>
                <w:sz w:val="24"/>
                <w:szCs w:val="24"/>
              </w:rPr>
              <w:t>（3）</w:t>
            </w:r>
          </w:p>
        </w:tc>
        <w:tc>
          <w:tcPr>
            <w:tcW w:w="1560" w:type="dxa"/>
            <w:vAlign w:val="center"/>
          </w:tcPr>
          <w:p>
            <w:pPr>
              <w:jc w:val="center"/>
              <w:rPr>
                <w:sz w:val="24"/>
                <w:szCs w:val="24"/>
              </w:rPr>
            </w:pPr>
            <w:r>
              <w:rPr>
                <w:sz w:val="24"/>
                <w:szCs w:val="24"/>
              </w:rPr>
              <w:t>统一地图服务</w:t>
            </w:r>
          </w:p>
        </w:tc>
        <w:tc>
          <w:tcPr>
            <w:tcW w:w="6894" w:type="dxa"/>
            <w:vAlign w:val="center"/>
          </w:tcPr>
          <w:p>
            <w:pPr>
              <w:jc w:val="center"/>
              <w:rPr>
                <w:sz w:val="24"/>
                <w:szCs w:val="24"/>
              </w:rPr>
            </w:pPr>
            <w:r>
              <w:rPr>
                <w:sz w:val="24"/>
                <w:szCs w:val="24"/>
              </w:rPr>
              <w:t>统一地图服务通过整合卫星遥感影像数据、DEM数据、基础矢量数据及水环境专题等空间数据，并基于GIS地图进行可视化展示，从而为平台GIS应用提供基础地理框架数据和通用业务支撑。</w:t>
            </w:r>
            <w:r>
              <w:rPr>
                <w:sz w:val="24"/>
                <w:szCs w:val="24"/>
              </w:rPr>
              <w:br w:type="textWrapping"/>
            </w:r>
            <w:r>
              <w:rPr>
                <w:sz w:val="24"/>
                <w:szCs w:val="24"/>
              </w:rPr>
              <w:t xml:space="preserve">    统一地图服务的具体功能包括影像地图数据处理、底图数据调用、专题图数据制作、地图信息查询、基础地图操作、地图服务管理等。</w:t>
            </w:r>
            <w:r>
              <w:rPr>
                <w:sz w:val="24"/>
                <w:szCs w:val="24"/>
              </w:rPr>
              <w:br w:type="textWrapping"/>
            </w:r>
            <w:r>
              <w:rPr>
                <w:sz w:val="24"/>
                <w:szCs w:val="24"/>
              </w:rPr>
              <w:t xml:space="preserve">    专题图数据制作：收集基础地理数据、监测点位和业务专题信息，对数据进行整理与加工，形成统一的专题图服务。</w:t>
            </w:r>
            <w:r>
              <w:rPr>
                <w:sz w:val="24"/>
                <w:szCs w:val="24"/>
              </w:rPr>
              <w:br w:type="textWrapping"/>
            </w:r>
            <w:r>
              <w:rPr>
                <w:sz w:val="24"/>
                <w:szCs w:val="24"/>
              </w:rPr>
              <w:t xml:space="preserve">    地图信息查询：利用空间地理数据库和属性数据库的信息，对数据表、地图、地理要素实体等进行综合查询，可以通过屏幕点取或输入条件查询地理信息的空间信息和属性信息，也可以根据有关地理信息的属性和空间信息查询相关的地理实体。</w:t>
            </w:r>
            <w:r>
              <w:rPr>
                <w:sz w:val="24"/>
                <w:szCs w:val="24"/>
              </w:rPr>
              <w:br w:type="textWrapping"/>
            </w:r>
            <w:r>
              <w:rPr>
                <w:sz w:val="24"/>
                <w:szCs w:val="24"/>
              </w:rPr>
              <w:t xml:space="preserve">    基础地图操作：实现地图基本的显示以及用户自由漫游地图所具备的基本功能，如：地图放大、缩小、平移、居中、全图、刷新、指北针与比例尺等功能；</w:t>
            </w:r>
            <w:r>
              <w:rPr>
                <w:sz w:val="24"/>
                <w:szCs w:val="24"/>
              </w:rPr>
              <w:br w:type="textWrapping"/>
            </w:r>
            <w:r>
              <w:rPr>
                <w:sz w:val="24"/>
                <w:szCs w:val="24"/>
              </w:rPr>
              <w:t xml:space="preserve">    基础空间分析：通过GIS的地理信息分析功能，实现距离量算、面积量算、叠加分析等功能。</w:t>
            </w:r>
            <w:r>
              <w:rPr>
                <w:sz w:val="24"/>
                <w:szCs w:val="24"/>
              </w:rPr>
              <w:br w:type="textWrapping"/>
            </w:r>
            <w:r>
              <w:rPr>
                <w:sz w:val="24"/>
                <w:szCs w:val="24"/>
              </w:rPr>
              <w:t xml:space="preserve">    地图服务管理：开发建设统一地图服务管理，提供对地图服务的后台管理功能，对数据访问、服务访问进行监控与管理。系统面向各业务应用提供服务，并且可支持移动端的应用服务。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0" w:type="auto"/>
            <w:noWrap/>
            <w:vAlign w:val="center"/>
          </w:tcPr>
          <w:p>
            <w:pPr>
              <w:jc w:val="center"/>
              <w:rPr>
                <w:b/>
                <w:bCs/>
                <w:sz w:val="24"/>
                <w:szCs w:val="24"/>
              </w:rPr>
            </w:pPr>
            <w:r>
              <w:rPr>
                <w:b/>
                <w:bCs/>
                <w:sz w:val="24"/>
                <w:szCs w:val="24"/>
              </w:rPr>
              <w:t>2</w:t>
            </w:r>
          </w:p>
        </w:tc>
        <w:tc>
          <w:tcPr>
            <w:tcW w:w="1560" w:type="dxa"/>
            <w:vAlign w:val="center"/>
          </w:tcPr>
          <w:p>
            <w:pPr>
              <w:jc w:val="center"/>
              <w:rPr>
                <w:b/>
                <w:bCs/>
                <w:sz w:val="24"/>
                <w:szCs w:val="24"/>
              </w:rPr>
            </w:pPr>
            <w:r>
              <w:rPr>
                <w:b/>
                <w:bCs/>
                <w:sz w:val="24"/>
                <w:szCs w:val="24"/>
              </w:rPr>
              <w:t>入河排污口动态管理系统</w:t>
            </w:r>
          </w:p>
        </w:tc>
        <w:tc>
          <w:tcPr>
            <w:tcW w:w="6894"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0" w:type="auto"/>
            <w:noWrap/>
            <w:vAlign w:val="center"/>
          </w:tcPr>
          <w:p>
            <w:pPr>
              <w:jc w:val="center"/>
              <w:rPr>
                <w:sz w:val="24"/>
                <w:szCs w:val="24"/>
              </w:rPr>
            </w:pPr>
            <w:r>
              <w:rPr>
                <w:sz w:val="24"/>
                <w:szCs w:val="24"/>
              </w:rPr>
              <w:t>（1）</w:t>
            </w:r>
          </w:p>
        </w:tc>
        <w:tc>
          <w:tcPr>
            <w:tcW w:w="1560" w:type="dxa"/>
            <w:noWrap/>
            <w:vAlign w:val="center"/>
          </w:tcPr>
          <w:p>
            <w:pPr>
              <w:jc w:val="center"/>
              <w:rPr>
                <w:sz w:val="24"/>
                <w:szCs w:val="24"/>
              </w:rPr>
            </w:pPr>
            <w:r>
              <w:rPr>
                <w:sz w:val="24"/>
                <w:szCs w:val="24"/>
              </w:rPr>
              <w:t>排污口数据查询</w:t>
            </w:r>
          </w:p>
        </w:tc>
        <w:tc>
          <w:tcPr>
            <w:tcW w:w="6894" w:type="dxa"/>
            <w:vAlign w:val="center"/>
          </w:tcPr>
          <w:p>
            <w:pPr>
              <w:jc w:val="center"/>
              <w:rPr>
                <w:sz w:val="24"/>
                <w:szCs w:val="24"/>
              </w:rPr>
            </w:pPr>
            <w:r>
              <w:rPr>
                <w:sz w:val="24"/>
                <w:szCs w:val="24"/>
              </w:rPr>
              <w:t>针对各废水排口的历史监测数据，可按站点、数据类型（原始数据、有效数据、日均值数据）、时间段进行快速查询，查询结果以表格的方式展示，同时可导出为Excel文件。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trPr>
        <w:tc>
          <w:tcPr>
            <w:tcW w:w="0" w:type="auto"/>
            <w:noWrap/>
            <w:vAlign w:val="center"/>
          </w:tcPr>
          <w:p>
            <w:pPr>
              <w:jc w:val="center"/>
              <w:rPr>
                <w:sz w:val="24"/>
                <w:szCs w:val="24"/>
              </w:rPr>
            </w:pPr>
            <w:r>
              <w:rPr>
                <w:sz w:val="24"/>
                <w:szCs w:val="24"/>
              </w:rPr>
              <w:t>（2）</w:t>
            </w:r>
          </w:p>
        </w:tc>
        <w:tc>
          <w:tcPr>
            <w:tcW w:w="1560" w:type="dxa"/>
            <w:noWrap/>
            <w:vAlign w:val="center"/>
          </w:tcPr>
          <w:p>
            <w:pPr>
              <w:jc w:val="center"/>
              <w:rPr>
                <w:sz w:val="24"/>
                <w:szCs w:val="24"/>
              </w:rPr>
            </w:pPr>
            <w:r>
              <w:rPr>
                <w:sz w:val="24"/>
                <w:szCs w:val="24"/>
              </w:rPr>
              <w:t>排污口实时监控</w:t>
            </w:r>
          </w:p>
        </w:tc>
        <w:tc>
          <w:tcPr>
            <w:tcW w:w="6894" w:type="dxa"/>
            <w:vAlign w:val="center"/>
          </w:tcPr>
          <w:p>
            <w:pPr>
              <w:jc w:val="center"/>
              <w:rPr>
                <w:sz w:val="24"/>
                <w:szCs w:val="24"/>
              </w:rPr>
            </w:pPr>
            <w:r>
              <w:rPr>
                <w:sz w:val="24"/>
                <w:szCs w:val="24"/>
              </w:rPr>
              <w:t>以实时一览表的形式集中监控企业废水排口的所有污染物实时排放状况（正常、超标、异常）及联网情况。针对每一监控点可进一步查看污染物变化趋势，从而掌握污染排放规律。</w:t>
            </w:r>
            <w:r>
              <w:rPr>
                <w:sz w:val="24"/>
                <w:szCs w:val="24"/>
              </w:rPr>
              <w:br w:type="textWrapping"/>
            </w:r>
            <w:r>
              <w:rPr>
                <w:sz w:val="24"/>
                <w:szCs w:val="24"/>
              </w:rPr>
              <w:t xml:space="preserve">    在排口数量较多的时候，可根据地区、排口类型、排口名称快速查询。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0" w:type="auto"/>
            <w:noWrap/>
            <w:vAlign w:val="center"/>
          </w:tcPr>
          <w:p>
            <w:pPr>
              <w:jc w:val="center"/>
              <w:rPr>
                <w:sz w:val="24"/>
                <w:szCs w:val="24"/>
              </w:rPr>
            </w:pPr>
            <w:r>
              <w:rPr>
                <w:sz w:val="24"/>
                <w:szCs w:val="24"/>
              </w:rPr>
              <w:t>（3）</w:t>
            </w:r>
          </w:p>
        </w:tc>
        <w:tc>
          <w:tcPr>
            <w:tcW w:w="1560" w:type="dxa"/>
            <w:noWrap/>
            <w:vAlign w:val="center"/>
          </w:tcPr>
          <w:p>
            <w:pPr>
              <w:jc w:val="center"/>
              <w:rPr>
                <w:sz w:val="24"/>
                <w:szCs w:val="24"/>
              </w:rPr>
            </w:pPr>
            <w:r>
              <w:rPr>
                <w:sz w:val="24"/>
                <w:szCs w:val="24"/>
              </w:rPr>
              <w:t>排口管理</w:t>
            </w:r>
          </w:p>
        </w:tc>
        <w:tc>
          <w:tcPr>
            <w:tcW w:w="6894" w:type="dxa"/>
            <w:vAlign w:val="center"/>
          </w:tcPr>
          <w:p>
            <w:pPr>
              <w:jc w:val="center"/>
              <w:rPr>
                <w:sz w:val="24"/>
                <w:szCs w:val="24"/>
              </w:rPr>
            </w:pPr>
            <w:r>
              <w:rPr>
                <w:sz w:val="24"/>
                <w:szCs w:val="24"/>
              </w:rPr>
              <w:t>作为排口的管理入口，集合不限于排口的编辑修改，排口的重点关注，设备绑定，排口的标志二维码生成标识牌，纳入不同的合并，整治，删除清单等。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0" w:type="auto"/>
            <w:noWrap/>
            <w:vAlign w:val="center"/>
          </w:tcPr>
          <w:p>
            <w:pPr>
              <w:jc w:val="center"/>
              <w:rPr>
                <w:sz w:val="24"/>
                <w:szCs w:val="24"/>
              </w:rPr>
            </w:pPr>
            <w:r>
              <w:rPr>
                <w:sz w:val="24"/>
                <w:szCs w:val="24"/>
              </w:rPr>
              <w:t>（4）</w:t>
            </w:r>
          </w:p>
        </w:tc>
        <w:tc>
          <w:tcPr>
            <w:tcW w:w="1560" w:type="dxa"/>
            <w:noWrap/>
            <w:vAlign w:val="center"/>
          </w:tcPr>
          <w:p>
            <w:pPr>
              <w:jc w:val="center"/>
              <w:rPr>
                <w:sz w:val="24"/>
                <w:szCs w:val="24"/>
              </w:rPr>
            </w:pPr>
            <w:r>
              <w:rPr>
                <w:sz w:val="24"/>
                <w:szCs w:val="24"/>
              </w:rPr>
              <w:t>入河排污口信息维护</w:t>
            </w:r>
          </w:p>
        </w:tc>
        <w:tc>
          <w:tcPr>
            <w:tcW w:w="6894" w:type="dxa"/>
            <w:vAlign w:val="center"/>
          </w:tcPr>
          <w:p>
            <w:pPr>
              <w:jc w:val="center"/>
              <w:rPr>
                <w:sz w:val="24"/>
                <w:szCs w:val="24"/>
              </w:rPr>
            </w:pPr>
            <w:r>
              <w:rPr>
                <w:sz w:val="24"/>
                <w:szCs w:val="24"/>
              </w:rPr>
              <w:t>针对原先已有的一些排污口数据可进行导入管控，也可手动新增排污口。</w:t>
            </w:r>
            <w:r>
              <w:rPr>
                <w:sz w:val="24"/>
                <w:szCs w:val="24"/>
              </w:rPr>
              <w:br w:type="textWrapping"/>
            </w:r>
            <w:r>
              <w:rPr>
                <w:sz w:val="24"/>
                <w:szCs w:val="24"/>
              </w:rPr>
              <w:t xml:space="preserve">    针对三级排查核实确认新增上报的排污口审核后纳入管控清单。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0" w:type="auto"/>
            <w:noWrap/>
            <w:vAlign w:val="center"/>
          </w:tcPr>
          <w:p>
            <w:pPr>
              <w:jc w:val="center"/>
              <w:rPr>
                <w:sz w:val="24"/>
                <w:szCs w:val="24"/>
              </w:rPr>
            </w:pPr>
            <w:r>
              <w:rPr>
                <w:sz w:val="24"/>
                <w:szCs w:val="24"/>
              </w:rPr>
              <w:t>（5）</w:t>
            </w:r>
          </w:p>
        </w:tc>
        <w:tc>
          <w:tcPr>
            <w:tcW w:w="1560" w:type="dxa"/>
            <w:vAlign w:val="center"/>
          </w:tcPr>
          <w:p>
            <w:pPr>
              <w:jc w:val="center"/>
              <w:rPr>
                <w:sz w:val="24"/>
                <w:szCs w:val="24"/>
              </w:rPr>
            </w:pPr>
            <w:r>
              <w:rPr>
                <w:sz w:val="24"/>
                <w:szCs w:val="24"/>
              </w:rPr>
              <w:t>入河排污口监控设备管理</w:t>
            </w:r>
          </w:p>
        </w:tc>
        <w:tc>
          <w:tcPr>
            <w:tcW w:w="6894" w:type="dxa"/>
            <w:vAlign w:val="center"/>
          </w:tcPr>
          <w:p>
            <w:pPr>
              <w:jc w:val="center"/>
              <w:rPr>
                <w:sz w:val="24"/>
                <w:szCs w:val="24"/>
              </w:rPr>
            </w:pPr>
            <w:r>
              <w:rPr>
                <w:sz w:val="24"/>
                <w:szCs w:val="24"/>
              </w:rPr>
              <w:t>系统提供入河排污口关联的监控设备的管理，包括监控设备品类、型号、安装位置、监控数据、设备维护保养记录等信息、状态的管理。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noWrap/>
            <w:vAlign w:val="center"/>
          </w:tcPr>
          <w:p>
            <w:pPr>
              <w:jc w:val="center"/>
              <w:rPr>
                <w:b/>
                <w:bCs/>
                <w:sz w:val="24"/>
                <w:szCs w:val="24"/>
              </w:rPr>
            </w:pPr>
            <w:r>
              <w:rPr>
                <w:b/>
                <w:bCs/>
                <w:sz w:val="24"/>
                <w:szCs w:val="24"/>
              </w:rPr>
              <w:t>3</w:t>
            </w:r>
          </w:p>
        </w:tc>
        <w:tc>
          <w:tcPr>
            <w:tcW w:w="1560" w:type="dxa"/>
            <w:vAlign w:val="center"/>
          </w:tcPr>
          <w:p>
            <w:pPr>
              <w:jc w:val="center"/>
              <w:rPr>
                <w:b/>
                <w:bCs/>
                <w:sz w:val="24"/>
                <w:szCs w:val="24"/>
              </w:rPr>
            </w:pPr>
            <w:r>
              <w:rPr>
                <w:b/>
                <w:bCs/>
                <w:sz w:val="24"/>
                <w:szCs w:val="24"/>
              </w:rPr>
              <w:t>入河排污口监测分析</w:t>
            </w:r>
          </w:p>
        </w:tc>
        <w:tc>
          <w:tcPr>
            <w:tcW w:w="6894"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trPr>
        <w:tc>
          <w:tcPr>
            <w:tcW w:w="0" w:type="auto"/>
            <w:noWrap/>
            <w:vAlign w:val="center"/>
          </w:tcPr>
          <w:p>
            <w:pPr>
              <w:jc w:val="center"/>
              <w:rPr>
                <w:sz w:val="24"/>
                <w:szCs w:val="24"/>
              </w:rPr>
            </w:pPr>
            <w:r>
              <w:rPr>
                <w:sz w:val="24"/>
                <w:szCs w:val="24"/>
              </w:rPr>
              <w:t>（1）</w:t>
            </w:r>
          </w:p>
        </w:tc>
        <w:tc>
          <w:tcPr>
            <w:tcW w:w="1560" w:type="dxa"/>
            <w:noWrap/>
            <w:vAlign w:val="center"/>
          </w:tcPr>
          <w:p>
            <w:pPr>
              <w:jc w:val="center"/>
              <w:rPr>
                <w:sz w:val="24"/>
                <w:szCs w:val="24"/>
              </w:rPr>
            </w:pPr>
            <w:bookmarkStart w:id="171" w:name="RANGE!B13"/>
            <w:r>
              <w:rPr>
                <w:sz w:val="24"/>
                <w:szCs w:val="24"/>
              </w:rPr>
              <w:t>排污量统计</w:t>
            </w:r>
            <w:bookmarkEnd w:id="171"/>
          </w:p>
        </w:tc>
        <w:tc>
          <w:tcPr>
            <w:tcW w:w="6894" w:type="dxa"/>
            <w:vAlign w:val="center"/>
          </w:tcPr>
          <w:p>
            <w:pPr>
              <w:jc w:val="center"/>
              <w:rPr>
                <w:sz w:val="24"/>
                <w:szCs w:val="24"/>
              </w:rPr>
            </w:pPr>
            <w:r>
              <w:rPr>
                <w:sz w:val="24"/>
                <w:szCs w:val="24"/>
              </w:rPr>
              <w:t>通过整理汇总相关信息，对不同类型排污口的污染物类型、排放量、污染物超标情况进行统计分析。</w:t>
            </w:r>
            <w:r>
              <w:rPr>
                <w:sz w:val="24"/>
                <w:szCs w:val="24"/>
              </w:rPr>
              <w:br w:type="textWrapping"/>
            </w:r>
            <w:r>
              <w:rPr>
                <w:sz w:val="24"/>
                <w:szCs w:val="24"/>
              </w:rPr>
              <w:t xml:space="preserve">    对不同时间段的污染排放进行比对分析系统可实现对同一排污口不同时间段某一项污染因子的排放数据进行比对分析。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trPr>
        <w:tc>
          <w:tcPr>
            <w:tcW w:w="0" w:type="auto"/>
            <w:noWrap/>
            <w:vAlign w:val="center"/>
          </w:tcPr>
          <w:p>
            <w:pPr>
              <w:jc w:val="center"/>
              <w:rPr>
                <w:sz w:val="24"/>
                <w:szCs w:val="24"/>
              </w:rPr>
            </w:pPr>
            <w:r>
              <w:rPr>
                <w:sz w:val="24"/>
                <w:szCs w:val="24"/>
              </w:rPr>
              <w:t>（2）</w:t>
            </w:r>
          </w:p>
        </w:tc>
        <w:tc>
          <w:tcPr>
            <w:tcW w:w="1560" w:type="dxa"/>
            <w:noWrap/>
            <w:vAlign w:val="center"/>
          </w:tcPr>
          <w:p>
            <w:pPr>
              <w:jc w:val="center"/>
              <w:rPr>
                <w:sz w:val="24"/>
                <w:szCs w:val="24"/>
              </w:rPr>
            </w:pPr>
            <w:r>
              <w:rPr>
                <w:sz w:val="24"/>
                <w:szCs w:val="24"/>
              </w:rPr>
              <w:t>排污口多维分析</w:t>
            </w:r>
          </w:p>
        </w:tc>
        <w:tc>
          <w:tcPr>
            <w:tcW w:w="6894" w:type="dxa"/>
            <w:vAlign w:val="center"/>
          </w:tcPr>
          <w:p>
            <w:pPr>
              <w:jc w:val="center"/>
              <w:rPr>
                <w:sz w:val="24"/>
                <w:szCs w:val="24"/>
              </w:rPr>
            </w:pPr>
            <w:r>
              <w:rPr>
                <w:sz w:val="24"/>
                <w:szCs w:val="24"/>
              </w:rPr>
              <w:t>对排污口进行类型统计分析，区域流域分布分析、排污口监测设备运行状态统计分析、排水口问题识别统计分析、排污口超标统计分析。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trPr>
        <w:tc>
          <w:tcPr>
            <w:tcW w:w="0" w:type="auto"/>
            <w:noWrap/>
            <w:vAlign w:val="center"/>
          </w:tcPr>
          <w:p>
            <w:pPr>
              <w:jc w:val="center"/>
              <w:rPr>
                <w:sz w:val="24"/>
                <w:szCs w:val="24"/>
              </w:rPr>
            </w:pPr>
            <w:r>
              <w:rPr>
                <w:sz w:val="24"/>
                <w:szCs w:val="24"/>
              </w:rPr>
              <w:t>（3）</w:t>
            </w:r>
          </w:p>
        </w:tc>
        <w:tc>
          <w:tcPr>
            <w:tcW w:w="1560" w:type="dxa"/>
            <w:noWrap/>
            <w:vAlign w:val="center"/>
          </w:tcPr>
          <w:p>
            <w:pPr>
              <w:jc w:val="center"/>
              <w:rPr>
                <w:sz w:val="24"/>
                <w:szCs w:val="24"/>
              </w:rPr>
            </w:pPr>
            <w:r>
              <w:rPr>
                <w:sz w:val="24"/>
                <w:szCs w:val="24"/>
              </w:rPr>
              <w:t>多维横向对比</w:t>
            </w:r>
          </w:p>
        </w:tc>
        <w:tc>
          <w:tcPr>
            <w:tcW w:w="6894" w:type="dxa"/>
            <w:vAlign w:val="center"/>
          </w:tcPr>
          <w:p>
            <w:pPr>
              <w:jc w:val="center"/>
              <w:rPr>
                <w:sz w:val="24"/>
                <w:szCs w:val="24"/>
              </w:rPr>
            </w:pPr>
            <w:r>
              <w:rPr>
                <w:sz w:val="24"/>
                <w:szCs w:val="24"/>
              </w:rPr>
              <w:t>提供统计站点-站点、区域-区域、流域-流域之间达标比例、水质状况横向对比功能，帮助用户识别站点-站点、区域-区域、流域-流域之间的差距及关联关系。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trPr>
        <w:tc>
          <w:tcPr>
            <w:tcW w:w="0" w:type="auto"/>
            <w:noWrap/>
            <w:vAlign w:val="center"/>
          </w:tcPr>
          <w:p>
            <w:pPr>
              <w:jc w:val="center"/>
              <w:rPr>
                <w:sz w:val="24"/>
                <w:szCs w:val="24"/>
              </w:rPr>
            </w:pPr>
            <w:r>
              <w:rPr>
                <w:sz w:val="24"/>
                <w:szCs w:val="24"/>
              </w:rPr>
              <w:t>（4）</w:t>
            </w:r>
          </w:p>
        </w:tc>
        <w:tc>
          <w:tcPr>
            <w:tcW w:w="1560" w:type="dxa"/>
            <w:noWrap/>
            <w:vAlign w:val="center"/>
          </w:tcPr>
          <w:p>
            <w:pPr>
              <w:jc w:val="center"/>
              <w:rPr>
                <w:sz w:val="24"/>
                <w:szCs w:val="24"/>
              </w:rPr>
            </w:pPr>
            <w:r>
              <w:rPr>
                <w:sz w:val="24"/>
                <w:szCs w:val="24"/>
              </w:rPr>
              <w:t>时序变化特征</w:t>
            </w:r>
          </w:p>
        </w:tc>
        <w:tc>
          <w:tcPr>
            <w:tcW w:w="6894" w:type="dxa"/>
            <w:vAlign w:val="center"/>
          </w:tcPr>
          <w:p>
            <w:pPr>
              <w:jc w:val="center"/>
              <w:rPr>
                <w:sz w:val="24"/>
                <w:szCs w:val="24"/>
              </w:rPr>
            </w:pPr>
            <w:r>
              <w:rPr>
                <w:sz w:val="24"/>
                <w:szCs w:val="24"/>
              </w:rPr>
              <w:t>基于站点监测数据提供小时、日、月、季、年各时间维度水质评价及各污染因子趋势分析图查询功能，并运用大数据统计手段分析站点白天、夜晚、凌晨各时间点数据特征，展示各时间点各污染物水质类别分布情况，帮助用户识别出是否存在某时间点的常态污染。支持站点、区域、流域、网格等多维度统计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0" w:type="auto"/>
            <w:noWrap/>
            <w:vAlign w:val="center"/>
          </w:tcPr>
          <w:p>
            <w:pPr>
              <w:jc w:val="center"/>
              <w:rPr>
                <w:b/>
                <w:bCs/>
                <w:sz w:val="24"/>
                <w:szCs w:val="24"/>
              </w:rPr>
            </w:pPr>
            <w:r>
              <w:rPr>
                <w:b/>
                <w:bCs/>
                <w:sz w:val="24"/>
                <w:szCs w:val="24"/>
              </w:rPr>
              <w:t>4</w:t>
            </w:r>
          </w:p>
        </w:tc>
        <w:tc>
          <w:tcPr>
            <w:tcW w:w="1560" w:type="dxa"/>
            <w:vAlign w:val="center"/>
          </w:tcPr>
          <w:p>
            <w:pPr>
              <w:jc w:val="center"/>
              <w:rPr>
                <w:b/>
                <w:bCs/>
                <w:sz w:val="24"/>
                <w:szCs w:val="24"/>
              </w:rPr>
            </w:pPr>
            <w:r>
              <w:rPr>
                <w:b/>
                <w:bCs/>
                <w:sz w:val="24"/>
                <w:szCs w:val="24"/>
              </w:rPr>
              <w:t>入河排污口一张图管理</w:t>
            </w:r>
          </w:p>
        </w:tc>
        <w:tc>
          <w:tcPr>
            <w:tcW w:w="6894"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4" w:hRule="atLeast"/>
        </w:trPr>
        <w:tc>
          <w:tcPr>
            <w:tcW w:w="0" w:type="auto"/>
            <w:noWrap/>
            <w:vAlign w:val="center"/>
          </w:tcPr>
          <w:p>
            <w:pPr>
              <w:jc w:val="center"/>
              <w:rPr>
                <w:sz w:val="24"/>
                <w:szCs w:val="24"/>
              </w:rPr>
            </w:pPr>
            <w:r>
              <w:rPr>
                <w:sz w:val="24"/>
                <w:szCs w:val="24"/>
              </w:rPr>
              <w:t>（1）</w:t>
            </w:r>
          </w:p>
        </w:tc>
        <w:tc>
          <w:tcPr>
            <w:tcW w:w="1560" w:type="dxa"/>
            <w:noWrap/>
            <w:vAlign w:val="center"/>
          </w:tcPr>
          <w:p>
            <w:pPr>
              <w:jc w:val="center"/>
              <w:rPr>
                <w:sz w:val="24"/>
                <w:szCs w:val="24"/>
              </w:rPr>
            </w:pPr>
            <w:r>
              <w:rPr>
                <w:sz w:val="24"/>
                <w:szCs w:val="24"/>
              </w:rPr>
              <w:t>排污口监管一张图</w:t>
            </w:r>
          </w:p>
        </w:tc>
        <w:tc>
          <w:tcPr>
            <w:tcW w:w="6894" w:type="dxa"/>
            <w:vAlign w:val="center"/>
          </w:tcPr>
          <w:p>
            <w:pPr>
              <w:jc w:val="center"/>
              <w:rPr>
                <w:sz w:val="24"/>
                <w:szCs w:val="24"/>
              </w:rPr>
            </w:pPr>
            <w:r>
              <w:rPr>
                <w:sz w:val="24"/>
                <w:szCs w:val="24"/>
              </w:rPr>
              <w:t>全方位整合各类入河排污口基本信息、监测设备、视频等信息，并基于GIS地图直观展示，帮助用户快速了解各环境要素的空间分布、数据详情及管理现状，并基于预先设置的预警规则快速识别出异常要素，同时提供各排污口详情查看、多维分析、追因溯源、视频监控等功能，助力入河排污口管理智慧化。</w:t>
            </w:r>
          </w:p>
        </w:tc>
      </w:tr>
    </w:tbl>
    <w:p>
      <w:pPr>
        <w:ind w:firstLine="480"/>
        <w:jc w:val="center"/>
        <w:rPr>
          <w:sz w:val="24"/>
          <w:szCs w:val="24"/>
        </w:rPr>
      </w:pPr>
    </w:p>
    <w:p>
      <w:pPr>
        <w:ind w:firstLine="480"/>
        <w:jc w:val="center"/>
        <w:rPr>
          <w:b/>
          <w:bCs/>
          <w:sz w:val="24"/>
          <w:szCs w:val="24"/>
        </w:rPr>
      </w:pPr>
      <w:r>
        <w:rPr>
          <w:b/>
          <w:bCs/>
          <w:sz w:val="24"/>
          <w:szCs w:val="24"/>
        </w:rPr>
        <w:t>智慧监管平台软硬件配置清单</w:t>
      </w:r>
    </w:p>
    <w:tbl>
      <w:tblPr>
        <w:tblStyle w:val="39"/>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620"/>
        <w:gridCol w:w="1433"/>
        <w:gridCol w:w="4362"/>
        <w:gridCol w:w="597"/>
        <w:gridCol w:w="449"/>
        <w:gridCol w:w="61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892" w:type="pct"/>
            <w:tcBorders>
              <w:left w:val="single" w:color="000000" w:sz="4" w:space="0"/>
            </w:tcBorders>
            <w:vAlign w:val="center"/>
          </w:tcPr>
          <w:p>
            <w:pPr>
              <w:pStyle w:val="38"/>
              <w:rPr>
                <w:rFonts w:ascii="Times New Roman" w:hAnsi="Times New Roman" w:cs="Times New Roman"/>
                <w:sz w:val="24"/>
                <w:szCs w:val="24"/>
              </w:rPr>
            </w:pPr>
            <w:r>
              <w:rPr>
                <w:rFonts w:ascii="Times New Roman" w:hAnsi="Times New Roman" w:cs="Times New Roman"/>
                <w:sz w:val="24"/>
                <w:szCs w:val="24"/>
              </w:rPr>
              <w:t>类别</w:t>
            </w:r>
          </w:p>
        </w:tc>
        <w:tc>
          <w:tcPr>
            <w:tcW w:w="789" w:type="pct"/>
            <w:tcBorders>
              <w:left w:val="single" w:color="000000" w:sz="4" w:space="0"/>
            </w:tcBorders>
            <w:vAlign w:val="center"/>
          </w:tcPr>
          <w:p>
            <w:pPr>
              <w:pStyle w:val="38"/>
              <w:rPr>
                <w:rFonts w:ascii="Times New Roman" w:hAnsi="Times New Roman" w:cs="Times New Roman"/>
                <w:sz w:val="24"/>
                <w:szCs w:val="24"/>
                <w:lang w:eastAsia="zh-CN"/>
              </w:rPr>
            </w:pPr>
            <w:r>
              <w:rPr>
                <w:rFonts w:ascii="Times New Roman" w:hAnsi="Times New Roman" w:cs="Times New Roman"/>
                <w:sz w:val="24"/>
                <w:szCs w:val="24"/>
                <w:lang w:eastAsia="zh-CN"/>
              </w:rPr>
              <w:t>名称</w:t>
            </w:r>
          </w:p>
        </w:tc>
        <w:tc>
          <w:tcPr>
            <w:tcW w:w="2402" w:type="pct"/>
            <w:vAlign w:val="center"/>
          </w:tcPr>
          <w:p>
            <w:pPr>
              <w:pStyle w:val="38"/>
              <w:jc w:val="center"/>
              <w:rPr>
                <w:rFonts w:ascii="Times New Roman" w:hAnsi="Times New Roman" w:cs="Times New Roman"/>
                <w:sz w:val="24"/>
                <w:szCs w:val="24"/>
              </w:rPr>
            </w:pPr>
            <w:r>
              <w:rPr>
                <w:rFonts w:ascii="Times New Roman" w:hAnsi="Times New Roman" w:cs="Times New Roman"/>
                <w:sz w:val="24"/>
                <w:szCs w:val="24"/>
              </w:rPr>
              <w:t>技术规格及主要参数</w:t>
            </w:r>
          </w:p>
        </w:tc>
        <w:tc>
          <w:tcPr>
            <w:tcW w:w="329" w:type="pct"/>
            <w:vAlign w:val="center"/>
          </w:tcPr>
          <w:p>
            <w:pPr>
              <w:pStyle w:val="38"/>
              <w:jc w:val="center"/>
              <w:rPr>
                <w:rFonts w:ascii="Times New Roman" w:hAnsi="Times New Roman" w:cs="Times New Roman"/>
                <w:sz w:val="24"/>
                <w:szCs w:val="24"/>
              </w:rPr>
            </w:pPr>
            <w:r>
              <w:rPr>
                <w:rFonts w:ascii="Times New Roman" w:hAnsi="Times New Roman" w:cs="Times New Roman"/>
                <w:sz w:val="24"/>
                <w:szCs w:val="24"/>
              </w:rPr>
              <w:t>单位</w:t>
            </w:r>
          </w:p>
        </w:tc>
        <w:tc>
          <w:tcPr>
            <w:tcW w:w="247" w:type="pct"/>
            <w:vAlign w:val="center"/>
          </w:tcPr>
          <w:p>
            <w:pPr>
              <w:pStyle w:val="38"/>
              <w:jc w:val="center"/>
              <w:rPr>
                <w:rFonts w:ascii="Times New Roman" w:hAnsi="Times New Roman" w:cs="Times New Roman"/>
                <w:sz w:val="24"/>
                <w:szCs w:val="24"/>
              </w:rPr>
            </w:pPr>
            <w:r>
              <w:rPr>
                <w:rFonts w:ascii="Times New Roman" w:hAnsi="Times New Roman" w:cs="Times New Roman"/>
                <w:sz w:val="24"/>
                <w:szCs w:val="24"/>
              </w:rPr>
              <w:t>数量</w:t>
            </w:r>
          </w:p>
        </w:tc>
        <w:tc>
          <w:tcPr>
            <w:tcW w:w="342" w:type="pct"/>
            <w:vAlign w:val="center"/>
          </w:tcPr>
          <w:p>
            <w:pPr>
              <w:pStyle w:val="38"/>
              <w:jc w:val="center"/>
              <w:rPr>
                <w:rFonts w:ascii="Times New Roman" w:hAnsi="Times New Roman" w:cs="Times New Roman"/>
                <w:sz w:val="24"/>
                <w:szCs w:val="24"/>
              </w:rPr>
            </w:pPr>
            <w:r>
              <w:rPr>
                <w:rFonts w:ascii="Times New Roman" w:hAnsi="Times New Roman" w:cs="Times New Roman"/>
                <w:sz w:val="24"/>
                <w:szCs w:val="24"/>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892" w:type="pct"/>
            <w:tcBorders>
              <w:left w:val="single" w:color="000000" w:sz="4" w:space="0"/>
            </w:tcBorders>
            <w:vAlign w:val="center"/>
          </w:tcPr>
          <w:p>
            <w:pPr>
              <w:pStyle w:val="38"/>
              <w:rPr>
                <w:rFonts w:ascii="Times New Roman" w:hAnsi="Times New Roman" w:cs="Times New Roman"/>
                <w:sz w:val="24"/>
                <w:szCs w:val="24"/>
              </w:rPr>
            </w:pPr>
            <w:r>
              <w:rPr>
                <w:rFonts w:ascii="Times New Roman" w:hAnsi="Times New Roman" w:cs="Times New Roman"/>
                <w:sz w:val="24"/>
                <w:szCs w:val="24"/>
              </w:rPr>
              <w:t>一、云服务器租用(1年)</w:t>
            </w:r>
          </w:p>
        </w:tc>
        <w:tc>
          <w:tcPr>
            <w:tcW w:w="789" w:type="pct"/>
            <w:tcBorders>
              <w:left w:val="single" w:color="000000" w:sz="4" w:space="0"/>
            </w:tcBorders>
            <w:vAlign w:val="center"/>
          </w:tcPr>
          <w:p>
            <w:pPr>
              <w:pStyle w:val="38"/>
              <w:jc w:val="center"/>
              <w:rPr>
                <w:rFonts w:ascii="Times New Roman" w:hAnsi="Times New Roman" w:cs="Times New Roman"/>
                <w:sz w:val="24"/>
                <w:szCs w:val="24"/>
                <w:lang w:eastAsia="zh-CN"/>
              </w:rPr>
            </w:pPr>
          </w:p>
        </w:tc>
        <w:tc>
          <w:tcPr>
            <w:tcW w:w="2402" w:type="pct"/>
            <w:vAlign w:val="center"/>
          </w:tcPr>
          <w:p>
            <w:pPr>
              <w:pStyle w:val="38"/>
              <w:jc w:val="center"/>
              <w:rPr>
                <w:rFonts w:ascii="Times New Roman" w:hAnsi="Times New Roman" w:cs="Times New Roman"/>
                <w:sz w:val="24"/>
                <w:szCs w:val="24"/>
              </w:rPr>
            </w:pPr>
          </w:p>
        </w:tc>
        <w:tc>
          <w:tcPr>
            <w:tcW w:w="329" w:type="pct"/>
            <w:vAlign w:val="center"/>
          </w:tcPr>
          <w:p>
            <w:pPr>
              <w:pStyle w:val="38"/>
              <w:jc w:val="center"/>
              <w:rPr>
                <w:rFonts w:ascii="Times New Roman" w:hAnsi="Times New Roman" w:cs="Times New Roman"/>
                <w:sz w:val="24"/>
                <w:szCs w:val="24"/>
              </w:rPr>
            </w:pPr>
          </w:p>
        </w:tc>
        <w:tc>
          <w:tcPr>
            <w:tcW w:w="247" w:type="pct"/>
            <w:vAlign w:val="center"/>
          </w:tcPr>
          <w:p>
            <w:pPr>
              <w:pStyle w:val="38"/>
              <w:jc w:val="center"/>
              <w:rPr>
                <w:rFonts w:ascii="Times New Roman" w:hAnsi="Times New Roman" w:cs="Times New Roman"/>
                <w:sz w:val="24"/>
                <w:szCs w:val="24"/>
              </w:rPr>
            </w:pPr>
          </w:p>
        </w:tc>
        <w:tc>
          <w:tcPr>
            <w:tcW w:w="342" w:type="pct"/>
            <w:vAlign w:val="center"/>
          </w:tcPr>
          <w:p>
            <w:pPr>
              <w:pStyle w:val="38"/>
              <w:jc w:val="center"/>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892" w:type="pct"/>
            <w:tcBorders>
              <w:left w:val="single" w:color="000000" w:sz="4" w:space="0"/>
            </w:tcBorders>
            <w:vAlign w:val="center"/>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1</w:t>
            </w:r>
          </w:p>
        </w:tc>
        <w:tc>
          <w:tcPr>
            <w:tcW w:w="789" w:type="pct"/>
            <w:tcBorders>
              <w:left w:val="single" w:color="000000" w:sz="4" w:space="0"/>
            </w:tcBorders>
            <w:vAlign w:val="center"/>
          </w:tcPr>
          <w:p>
            <w:pPr>
              <w:pStyle w:val="38"/>
              <w:rPr>
                <w:rFonts w:ascii="Times New Roman" w:hAnsi="Times New Roman" w:cs="Times New Roman"/>
                <w:sz w:val="24"/>
                <w:szCs w:val="24"/>
                <w:lang w:eastAsia="zh-CN"/>
              </w:rPr>
            </w:pPr>
            <w:r>
              <w:rPr>
                <w:rFonts w:ascii="Times New Roman" w:hAnsi="Times New Roman" w:cs="Times New Roman"/>
                <w:sz w:val="24"/>
                <w:szCs w:val="24"/>
              </w:rPr>
              <w:t>数据库服务器1</w:t>
            </w:r>
          </w:p>
        </w:tc>
        <w:tc>
          <w:tcPr>
            <w:tcW w:w="2402" w:type="pct"/>
          </w:tcPr>
          <w:p>
            <w:pPr>
              <w:pStyle w:val="38"/>
              <w:rPr>
                <w:rFonts w:ascii="Times New Roman" w:hAnsi="Times New Roman" w:cs="Times New Roman"/>
                <w:sz w:val="24"/>
                <w:szCs w:val="24"/>
              </w:rPr>
            </w:pPr>
            <w:r>
              <w:rPr>
                <w:rFonts w:ascii="Times New Roman" w:hAnsi="Times New Roman" w:cs="Times New Roman"/>
                <w:sz w:val="24"/>
                <w:szCs w:val="24"/>
              </w:rPr>
              <w:t>CPU:8核，内存:32G，系统盘40G，业务盘:1Telasticsearch文档数据库、kafka消息中间件、数据入库应用，Centos8.5</w:t>
            </w:r>
          </w:p>
        </w:tc>
        <w:tc>
          <w:tcPr>
            <w:tcW w:w="329" w:type="pct"/>
            <w:vAlign w:val="center"/>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项</w:t>
            </w:r>
          </w:p>
        </w:tc>
        <w:tc>
          <w:tcPr>
            <w:tcW w:w="247" w:type="pct"/>
            <w:vAlign w:val="center"/>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1</w:t>
            </w:r>
          </w:p>
        </w:tc>
        <w:tc>
          <w:tcPr>
            <w:tcW w:w="342" w:type="pct"/>
            <w:vAlign w:val="center"/>
          </w:tcPr>
          <w:p>
            <w:pPr>
              <w:pStyle w:val="38"/>
              <w:jc w:val="center"/>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892" w:type="pct"/>
            <w:tcBorders>
              <w:left w:val="single" w:color="000000" w:sz="4" w:space="0"/>
            </w:tcBorders>
            <w:vAlign w:val="center"/>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2</w:t>
            </w:r>
          </w:p>
        </w:tc>
        <w:tc>
          <w:tcPr>
            <w:tcW w:w="789" w:type="pct"/>
            <w:tcBorders>
              <w:left w:val="single" w:color="000000" w:sz="4" w:space="0"/>
            </w:tcBorders>
            <w:vAlign w:val="center"/>
          </w:tcPr>
          <w:p>
            <w:pPr>
              <w:pStyle w:val="38"/>
              <w:rPr>
                <w:rFonts w:ascii="Times New Roman" w:hAnsi="Times New Roman" w:cs="Times New Roman"/>
                <w:sz w:val="24"/>
                <w:szCs w:val="24"/>
                <w:lang w:eastAsia="zh-CN"/>
              </w:rPr>
            </w:pPr>
            <w:r>
              <w:rPr>
                <w:rFonts w:ascii="Times New Roman" w:hAnsi="Times New Roman" w:cs="Times New Roman"/>
                <w:sz w:val="24"/>
                <w:szCs w:val="24"/>
              </w:rPr>
              <w:t>数据库服务器</w:t>
            </w:r>
            <w:r>
              <w:rPr>
                <w:rFonts w:ascii="Times New Roman" w:hAnsi="Times New Roman" w:cs="Times New Roman"/>
                <w:sz w:val="24"/>
                <w:szCs w:val="24"/>
                <w:lang w:eastAsia="zh-CN"/>
              </w:rPr>
              <w:t>2</w:t>
            </w:r>
          </w:p>
        </w:tc>
        <w:tc>
          <w:tcPr>
            <w:tcW w:w="2402" w:type="pct"/>
          </w:tcPr>
          <w:p>
            <w:pPr>
              <w:pStyle w:val="38"/>
              <w:rPr>
                <w:rFonts w:ascii="Times New Roman" w:hAnsi="Times New Roman" w:cs="Times New Roman"/>
                <w:sz w:val="24"/>
                <w:szCs w:val="24"/>
                <w:lang w:eastAsia="zh-CN"/>
              </w:rPr>
            </w:pPr>
            <w:r>
              <w:rPr>
                <w:rFonts w:ascii="Times New Roman" w:hAnsi="Times New Roman" w:cs="Times New Roman"/>
                <w:sz w:val="24"/>
                <w:szCs w:val="24"/>
                <w:lang w:eastAsia="zh-CN"/>
              </w:rPr>
              <w:t>CPU:8核，内存:32G，系统盘40G，业务盘:500Gpg数据库、redis数据库、es数据库、geoserver地图，Centos8.5</w:t>
            </w:r>
          </w:p>
        </w:tc>
        <w:tc>
          <w:tcPr>
            <w:tcW w:w="329" w:type="pct"/>
            <w:vAlign w:val="center"/>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项</w:t>
            </w:r>
          </w:p>
        </w:tc>
        <w:tc>
          <w:tcPr>
            <w:tcW w:w="247" w:type="pct"/>
            <w:vAlign w:val="center"/>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1</w:t>
            </w:r>
          </w:p>
        </w:tc>
        <w:tc>
          <w:tcPr>
            <w:tcW w:w="342" w:type="pct"/>
            <w:vAlign w:val="center"/>
          </w:tcPr>
          <w:p>
            <w:pPr>
              <w:pStyle w:val="38"/>
              <w:jc w:val="center"/>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892" w:type="pct"/>
            <w:tcBorders>
              <w:left w:val="single" w:color="000000" w:sz="4" w:space="0"/>
            </w:tcBorders>
            <w:vAlign w:val="center"/>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3</w:t>
            </w:r>
          </w:p>
        </w:tc>
        <w:tc>
          <w:tcPr>
            <w:tcW w:w="789" w:type="pct"/>
            <w:tcBorders>
              <w:left w:val="single" w:color="000000" w:sz="4" w:space="0"/>
            </w:tcBorders>
            <w:vAlign w:val="center"/>
          </w:tcPr>
          <w:p>
            <w:pPr>
              <w:pStyle w:val="38"/>
              <w:rPr>
                <w:rFonts w:ascii="Times New Roman" w:hAnsi="Times New Roman" w:cs="Times New Roman"/>
                <w:sz w:val="24"/>
                <w:szCs w:val="24"/>
                <w:lang w:eastAsia="zh-CN"/>
              </w:rPr>
            </w:pPr>
            <w:r>
              <w:rPr>
                <w:rFonts w:ascii="Times New Roman" w:hAnsi="Times New Roman" w:cs="Times New Roman"/>
                <w:sz w:val="24"/>
                <w:szCs w:val="24"/>
              </w:rPr>
              <w:t>数据库服务器</w:t>
            </w:r>
            <w:r>
              <w:rPr>
                <w:rFonts w:ascii="Times New Roman" w:hAnsi="Times New Roman" w:cs="Times New Roman"/>
                <w:sz w:val="24"/>
                <w:szCs w:val="24"/>
                <w:lang w:eastAsia="zh-CN"/>
              </w:rPr>
              <w:t>3</w:t>
            </w:r>
          </w:p>
        </w:tc>
        <w:tc>
          <w:tcPr>
            <w:tcW w:w="2402" w:type="pct"/>
          </w:tcPr>
          <w:p>
            <w:pPr>
              <w:pStyle w:val="38"/>
              <w:rPr>
                <w:rFonts w:ascii="Times New Roman" w:hAnsi="Times New Roman" w:cs="Times New Roman"/>
                <w:sz w:val="24"/>
                <w:szCs w:val="24"/>
                <w:lang w:eastAsia="zh-CN"/>
              </w:rPr>
            </w:pPr>
            <w:r>
              <w:rPr>
                <w:rFonts w:ascii="Times New Roman" w:hAnsi="Times New Roman" w:cs="Times New Roman"/>
                <w:sz w:val="24"/>
                <w:szCs w:val="24"/>
                <w:lang w:eastAsia="zh-CN"/>
              </w:rPr>
              <w:t>CPU:8核，内存:16G，系统盘40G，业务盘:500Gjava应用、lua应用和前端、通信服务，Centos8.5</w:t>
            </w:r>
          </w:p>
        </w:tc>
        <w:tc>
          <w:tcPr>
            <w:tcW w:w="329" w:type="pct"/>
            <w:vAlign w:val="center"/>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项</w:t>
            </w:r>
          </w:p>
        </w:tc>
        <w:tc>
          <w:tcPr>
            <w:tcW w:w="247" w:type="pct"/>
            <w:vAlign w:val="center"/>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1</w:t>
            </w:r>
          </w:p>
        </w:tc>
        <w:tc>
          <w:tcPr>
            <w:tcW w:w="342" w:type="pct"/>
            <w:vAlign w:val="center"/>
          </w:tcPr>
          <w:p>
            <w:pPr>
              <w:pStyle w:val="38"/>
              <w:jc w:val="center"/>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892" w:type="pct"/>
            <w:tcBorders>
              <w:left w:val="single" w:color="000000" w:sz="4" w:space="0"/>
            </w:tcBorders>
            <w:vAlign w:val="center"/>
          </w:tcPr>
          <w:p>
            <w:pPr>
              <w:pStyle w:val="38"/>
              <w:rPr>
                <w:rFonts w:ascii="Times New Roman" w:hAnsi="Times New Roman" w:cs="Times New Roman"/>
                <w:sz w:val="24"/>
                <w:szCs w:val="24"/>
              </w:rPr>
            </w:pPr>
            <w:r>
              <w:rPr>
                <w:rFonts w:ascii="Times New Roman" w:hAnsi="Times New Roman" w:cs="Times New Roman"/>
                <w:sz w:val="24"/>
                <w:szCs w:val="24"/>
              </w:rPr>
              <w:t>二、通讯链路租用(1年)</w:t>
            </w:r>
          </w:p>
        </w:tc>
        <w:tc>
          <w:tcPr>
            <w:tcW w:w="789" w:type="pct"/>
            <w:tcBorders>
              <w:left w:val="single" w:color="000000" w:sz="4" w:space="0"/>
            </w:tcBorders>
            <w:vAlign w:val="center"/>
          </w:tcPr>
          <w:p>
            <w:pPr>
              <w:pStyle w:val="38"/>
              <w:jc w:val="center"/>
              <w:rPr>
                <w:rFonts w:ascii="Times New Roman" w:hAnsi="Times New Roman" w:cs="Times New Roman"/>
                <w:sz w:val="24"/>
                <w:szCs w:val="24"/>
              </w:rPr>
            </w:pPr>
          </w:p>
        </w:tc>
        <w:tc>
          <w:tcPr>
            <w:tcW w:w="2402" w:type="pct"/>
          </w:tcPr>
          <w:p>
            <w:pPr>
              <w:pStyle w:val="38"/>
              <w:rPr>
                <w:rFonts w:ascii="Times New Roman" w:hAnsi="Times New Roman" w:cs="Times New Roman"/>
                <w:sz w:val="24"/>
                <w:szCs w:val="24"/>
              </w:rPr>
            </w:pPr>
          </w:p>
        </w:tc>
        <w:tc>
          <w:tcPr>
            <w:tcW w:w="329" w:type="pct"/>
            <w:vAlign w:val="center"/>
          </w:tcPr>
          <w:p>
            <w:pPr>
              <w:pStyle w:val="38"/>
              <w:jc w:val="center"/>
              <w:rPr>
                <w:rFonts w:ascii="Times New Roman" w:hAnsi="Times New Roman" w:cs="Times New Roman"/>
                <w:sz w:val="24"/>
                <w:szCs w:val="24"/>
              </w:rPr>
            </w:pPr>
          </w:p>
        </w:tc>
        <w:tc>
          <w:tcPr>
            <w:tcW w:w="247" w:type="pct"/>
            <w:vAlign w:val="center"/>
          </w:tcPr>
          <w:p>
            <w:pPr>
              <w:pStyle w:val="38"/>
              <w:jc w:val="center"/>
              <w:rPr>
                <w:rFonts w:ascii="Times New Roman" w:hAnsi="Times New Roman" w:cs="Times New Roman"/>
                <w:sz w:val="24"/>
                <w:szCs w:val="24"/>
              </w:rPr>
            </w:pPr>
          </w:p>
        </w:tc>
        <w:tc>
          <w:tcPr>
            <w:tcW w:w="342" w:type="pct"/>
            <w:vAlign w:val="center"/>
          </w:tcPr>
          <w:p>
            <w:pPr>
              <w:pStyle w:val="38"/>
              <w:jc w:val="center"/>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892" w:type="pct"/>
            <w:tcBorders>
              <w:left w:val="single" w:color="000000" w:sz="4" w:space="0"/>
            </w:tcBorders>
            <w:vAlign w:val="center"/>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1</w:t>
            </w:r>
          </w:p>
        </w:tc>
        <w:tc>
          <w:tcPr>
            <w:tcW w:w="789" w:type="pct"/>
            <w:tcBorders>
              <w:left w:val="single" w:color="000000" w:sz="4" w:space="0"/>
            </w:tcBorders>
            <w:vAlign w:val="center"/>
          </w:tcPr>
          <w:p>
            <w:pPr>
              <w:pStyle w:val="38"/>
              <w:rPr>
                <w:rFonts w:ascii="Times New Roman" w:hAnsi="Times New Roman" w:cs="Times New Roman"/>
                <w:sz w:val="24"/>
                <w:szCs w:val="24"/>
                <w:lang w:eastAsia="zh-CN"/>
              </w:rPr>
            </w:pPr>
            <w:r>
              <w:rPr>
                <w:rFonts w:ascii="Times New Roman" w:hAnsi="Times New Roman" w:cs="Times New Roman"/>
                <w:sz w:val="24"/>
                <w:szCs w:val="24"/>
                <w:lang w:eastAsia="zh-CN"/>
              </w:rPr>
              <w:t>智慧监管平台中心链路</w:t>
            </w:r>
          </w:p>
        </w:tc>
        <w:tc>
          <w:tcPr>
            <w:tcW w:w="2402" w:type="pct"/>
          </w:tcPr>
          <w:p>
            <w:pPr>
              <w:pStyle w:val="38"/>
              <w:rPr>
                <w:rFonts w:ascii="Times New Roman" w:hAnsi="Times New Roman" w:cs="Times New Roman"/>
                <w:sz w:val="24"/>
                <w:szCs w:val="24"/>
                <w:lang w:eastAsia="zh-CN"/>
              </w:rPr>
            </w:pPr>
            <w:r>
              <w:rPr>
                <w:rFonts w:ascii="Times New Roman" w:hAnsi="Times New Roman" w:cs="Times New Roman"/>
                <w:sz w:val="24"/>
                <w:szCs w:val="24"/>
                <w:lang w:eastAsia="zh-CN"/>
              </w:rPr>
              <w:t>200M专网租用（视屏流及数据流）</w:t>
            </w:r>
          </w:p>
        </w:tc>
        <w:tc>
          <w:tcPr>
            <w:tcW w:w="329" w:type="pct"/>
            <w:vAlign w:val="center"/>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条</w:t>
            </w:r>
          </w:p>
        </w:tc>
        <w:tc>
          <w:tcPr>
            <w:tcW w:w="247" w:type="pct"/>
            <w:vAlign w:val="center"/>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1</w:t>
            </w:r>
          </w:p>
        </w:tc>
        <w:tc>
          <w:tcPr>
            <w:tcW w:w="342" w:type="pct"/>
            <w:vAlign w:val="center"/>
          </w:tcPr>
          <w:p>
            <w:pPr>
              <w:pStyle w:val="38"/>
              <w:jc w:val="center"/>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892" w:type="pct"/>
            <w:tcBorders>
              <w:left w:val="single" w:color="000000" w:sz="4" w:space="0"/>
            </w:tcBorders>
            <w:vAlign w:val="center"/>
          </w:tcPr>
          <w:p>
            <w:pPr>
              <w:pStyle w:val="38"/>
              <w:rPr>
                <w:rFonts w:ascii="Times New Roman" w:hAnsi="Times New Roman" w:cs="Times New Roman"/>
                <w:sz w:val="24"/>
                <w:szCs w:val="24"/>
                <w:lang w:eastAsia="zh-CN"/>
              </w:rPr>
            </w:pPr>
            <w:r>
              <w:rPr>
                <w:rFonts w:ascii="Times New Roman" w:hAnsi="Times New Roman" w:cs="Times New Roman"/>
                <w:sz w:val="24"/>
                <w:szCs w:val="24"/>
                <w:lang w:eastAsia="zh-CN"/>
              </w:rPr>
              <w:t>三、网络安全硬件配套</w:t>
            </w:r>
          </w:p>
        </w:tc>
        <w:tc>
          <w:tcPr>
            <w:tcW w:w="789" w:type="pct"/>
            <w:tcBorders>
              <w:left w:val="single" w:color="000000" w:sz="4" w:space="0"/>
            </w:tcBorders>
            <w:vAlign w:val="center"/>
          </w:tcPr>
          <w:p>
            <w:pPr>
              <w:pStyle w:val="38"/>
              <w:jc w:val="center"/>
              <w:rPr>
                <w:rFonts w:ascii="Times New Roman" w:hAnsi="Times New Roman" w:cs="Times New Roman"/>
                <w:sz w:val="24"/>
                <w:szCs w:val="24"/>
                <w:lang w:eastAsia="zh-CN"/>
              </w:rPr>
            </w:pPr>
          </w:p>
        </w:tc>
        <w:tc>
          <w:tcPr>
            <w:tcW w:w="2402" w:type="pct"/>
          </w:tcPr>
          <w:p>
            <w:pPr>
              <w:pStyle w:val="38"/>
              <w:rPr>
                <w:rFonts w:ascii="Times New Roman" w:hAnsi="Times New Roman" w:cs="Times New Roman"/>
                <w:sz w:val="24"/>
                <w:szCs w:val="24"/>
                <w:lang w:eastAsia="zh-CN"/>
              </w:rPr>
            </w:pPr>
          </w:p>
        </w:tc>
        <w:tc>
          <w:tcPr>
            <w:tcW w:w="329" w:type="pct"/>
            <w:vAlign w:val="center"/>
          </w:tcPr>
          <w:p>
            <w:pPr>
              <w:pStyle w:val="38"/>
              <w:jc w:val="center"/>
              <w:rPr>
                <w:rFonts w:ascii="Times New Roman" w:hAnsi="Times New Roman" w:cs="Times New Roman"/>
                <w:sz w:val="24"/>
                <w:szCs w:val="24"/>
                <w:lang w:eastAsia="zh-CN"/>
              </w:rPr>
            </w:pPr>
          </w:p>
        </w:tc>
        <w:tc>
          <w:tcPr>
            <w:tcW w:w="247" w:type="pct"/>
            <w:vAlign w:val="center"/>
          </w:tcPr>
          <w:p>
            <w:pPr>
              <w:pStyle w:val="38"/>
              <w:jc w:val="center"/>
              <w:rPr>
                <w:rFonts w:ascii="Times New Roman" w:hAnsi="Times New Roman" w:cs="Times New Roman"/>
                <w:sz w:val="24"/>
                <w:szCs w:val="24"/>
                <w:lang w:eastAsia="zh-CN"/>
              </w:rPr>
            </w:pPr>
          </w:p>
        </w:tc>
        <w:tc>
          <w:tcPr>
            <w:tcW w:w="342" w:type="pct"/>
            <w:vAlign w:val="center"/>
          </w:tcPr>
          <w:p>
            <w:pPr>
              <w:pStyle w:val="38"/>
              <w:jc w:val="center"/>
              <w:rPr>
                <w:rFonts w:ascii="Times New Roman" w:hAnsi="Times New Roman" w:cs="Times New Roman"/>
                <w:sz w:val="24"/>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892" w:type="pct"/>
            <w:tcBorders>
              <w:left w:val="single" w:color="000000" w:sz="4" w:space="0"/>
            </w:tcBorders>
            <w:vAlign w:val="center"/>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1</w:t>
            </w:r>
          </w:p>
        </w:tc>
        <w:tc>
          <w:tcPr>
            <w:tcW w:w="789" w:type="pct"/>
            <w:tcBorders>
              <w:left w:val="single" w:color="000000" w:sz="4" w:space="0"/>
            </w:tcBorders>
            <w:vAlign w:val="center"/>
          </w:tcPr>
          <w:p>
            <w:pPr>
              <w:pStyle w:val="38"/>
              <w:rPr>
                <w:rFonts w:ascii="Times New Roman" w:hAnsi="Times New Roman" w:cs="Times New Roman"/>
                <w:sz w:val="24"/>
                <w:szCs w:val="24"/>
                <w:lang w:eastAsia="zh-CN"/>
              </w:rPr>
            </w:pPr>
            <w:r>
              <w:rPr>
                <w:rFonts w:ascii="Times New Roman" w:hAnsi="Times New Roman" w:cs="Times New Roman"/>
                <w:sz w:val="24"/>
                <w:szCs w:val="24"/>
                <w:lang w:eastAsia="zh-CN"/>
              </w:rPr>
              <w:t>数管中心视频及数据链路防火墙</w:t>
            </w:r>
          </w:p>
        </w:tc>
        <w:tc>
          <w:tcPr>
            <w:tcW w:w="2402" w:type="pct"/>
          </w:tcPr>
          <w:p>
            <w:pPr>
              <w:pStyle w:val="38"/>
              <w:rPr>
                <w:rFonts w:ascii="Times New Roman" w:hAnsi="Times New Roman" w:cs="Times New Roman"/>
                <w:sz w:val="24"/>
                <w:szCs w:val="24"/>
              </w:rPr>
            </w:pPr>
            <w:r>
              <w:rPr>
                <w:rFonts w:ascii="Times New Roman" w:hAnsi="Times New Roman" w:cs="Times New Roman"/>
                <w:sz w:val="24"/>
                <w:szCs w:val="24"/>
              </w:rPr>
              <w:t>网络端口：8GE+4SFP，扩展槽位：2X WSIC，支持热拔插</w:t>
            </w:r>
          </w:p>
        </w:tc>
        <w:tc>
          <w:tcPr>
            <w:tcW w:w="329" w:type="pct"/>
            <w:vAlign w:val="center"/>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台</w:t>
            </w:r>
          </w:p>
        </w:tc>
        <w:tc>
          <w:tcPr>
            <w:tcW w:w="247" w:type="pct"/>
            <w:vAlign w:val="center"/>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1</w:t>
            </w:r>
          </w:p>
        </w:tc>
        <w:tc>
          <w:tcPr>
            <w:tcW w:w="342" w:type="pct"/>
            <w:vAlign w:val="center"/>
          </w:tcPr>
          <w:p>
            <w:pPr>
              <w:pStyle w:val="38"/>
              <w:jc w:val="center"/>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892" w:type="pct"/>
            <w:tcBorders>
              <w:left w:val="single" w:color="000000" w:sz="4" w:space="0"/>
            </w:tcBorders>
            <w:vAlign w:val="center"/>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2</w:t>
            </w:r>
          </w:p>
        </w:tc>
        <w:tc>
          <w:tcPr>
            <w:tcW w:w="789" w:type="pct"/>
            <w:tcBorders>
              <w:left w:val="single" w:color="000000" w:sz="4" w:space="0"/>
            </w:tcBorders>
            <w:vAlign w:val="center"/>
          </w:tcPr>
          <w:p>
            <w:pPr>
              <w:pStyle w:val="38"/>
              <w:rPr>
                <w:rFonts w:ascii="Times New Roman" w:hAnsi="Times New Roman" w:cs="Times New Roman"/>
                <w:sz w:val="24"/>
                <w:szCs w:val="24"/>
              </w:rPr>
            </w:pPr>
            <w:r>
              <w:rPr>
                <w:rFonts w:ascii="Times New Roman" w:hAnsi="Times New Roman" w:cs="Times New Roman"/>
                <w:sz w:val="24"/>
                <w:szCs w:val="24"/>
              </w:rPr>
              <w:t>站点链路防火墙</w:t>
            </w:r>
          </w:p>
        </w:tc>
        <w:tc>
          <w:tcPr>
            <w:tcW w:w="2402" w:type="pct"/>
          </w:tcPr>
          <w:p>
            <w:pPr>
              <w:pStyle w:val="38"/>
              <w:rPr>
                <w:rFonts w:ascii="Times New Roman" w:hAnsi="Times New Roman" w:cs="Times New Roman"/>
                <w:sz w:val="24"/>
                <w:szCs w:val="24"/>
              </w:rPr>
            </w:pPr>
            <w:r>
              <w:rPr>
                <w:rFonts w:ascii="Times New Roman" w:hAnsi="Times New Roman" w:cs="Times New Roman"/>
                <w:sz w:val="24"/>
                <w:szCs w:val="24"/>
              </w:rPr>
              <w:t>网络端口：8GE+4SFP，扩展槽位：2X WSIC，支持热拔插</w:t>
            </w:r>
          </w:p>
        </w:tc>
        <w:tc>
          <w:tcPr>
            <w:tcW w:w="329" w:type="pct"/>
            <w:vAlign w:val="center"/>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台</w:t>
            </w:r>
          </w:p>
        </w:tc>
        <w:tc>
          <w:tcPr>
            <w:tcW w:w="247" w:type="pct"/>
            <w:vAlign w:val="center"/>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1</w:t>
            </w:r>
          </w:p>
        </w:tc>
        <w:tc>
          <w:tcPr>
            <w:tcW w:w="342" w:type="pct"/>
            <w:vAlign w:val="center"/>
          </w:tcPr>
          <w:p>
            <w:pPr>
              <w:pStyle w:val="38"/>
              <w:jc w:val="center"/>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892" w:type="pct"/>
            <w:tcBorders>
              <w:left w:val="single" w:color="000000" w:sz="4" w:space="0"/>
            </w:tcBorders>
            <w:vAlign w:val="center"/>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四、视频存储硬件配置</w:t>
            </w:r>
          </w:p>
        </w:tc>
        <w:tc>
          <w:tcPr>
            <w:tcW w:w="789" w:type="pct"/>
            <w:tcBorders>
              <w:left w:val="single" w:color="000000" w:sz="4" w:space="0"/>
            </w:tcBorders>
            <w:vAlign w:val="center"/>
          </w:tcPr>
          <w:p>
            <w:pPr>
              <w:pStyle w:val="38"/>
              <w:jc w:val="center"/>
              <w:rPr>
                <w:rFonts w:ascii="Times New Roman" w:hAnsi="Times New Roman" w:cs="Times New Roman"/>
                <w:sz w:val="24"/>
                <w:szCs w:val="24"/>
                <w:lang w:eastAsia="zh-CN"/>
              </w:rPr>
            </w:pPr>
          </w:p>
        </w:tc>
        <w:tc>
          <w:tcPr>
            <w:tcW w:w="2402" w:type="pct"/>
          </w:tcPr>
          <w:p>
            <w:pPr>
              <w:pStyle w:val="38"/>
              <w:rPr>
                <w:rFonts w:ascii="Times New Roman" w:hAnsi="Times New Roman" w:cs="Times New Roman"/>
                <w:sz w:val="24"/>
                <w:szCs w:val="24"/>
                <w:lang w:eastAsia="zh-CN"/>
              </w:rPr>
            </w:pPr>
          </w:p>
        </w:tc>
        <w:tc>
          <w:tcPr>
            <w:tcW w:w="329" w:type="pct"/>
            <w:vAlign w:val="center"/>
          </w:tcPr>
          <w:p>
            <w:pPr>
              <w:pStyle w:val="38"/>
              <w:jc w:val="center"/>
              <w:rPr>
                <w:rFonts w:ascii="Times New Roman" w:hAnsi="Times New Roman" w:cs="Times New Roman"/>
                <w:sz w:val="24"/>
                <w:szCs w:val="24"/>
                <w:lang w:eastAsia="zh-CN"/>
              </w:rPr>
            </w:pPr>
          </w:p>
        </w:tc>
        <w:tc>
          <w:tcPr>
            <w:tcW w:w="247" w:type="pct"/>
            <w:vAlign w:val="center"/>
          </w:tcPr>
          <w:p>
            <w:pPr>
              <w:pStyle w:val="38"/>
              <w:jc w:val="center"/>
              <w:rPr>
                <w:rFonts w:ascii="Times New Roman" w:hAnsi="Times New Roman" w:cs="Times New Roman"/>
                <w:sz w:val="24"/>
                <w:szCs w:val="24"/>
                <w:lang w:eastAsia="zh-CN"/>
              </w:rPr>
            </w:pPr>
          </w:p>
        </w:tc>
        <w:tc>
          <w:tcPr>
            <w:tcW w:w="342" w:type="pct"/>
            <w:vAlign w:val="center"/>
          </w:tcPr>
          <w:p>
            <w:pPr>
              <w:pStyle w:val="38"/>
              <w:jc w:val="center"/>
              <w:rPr>
                <w:rFonts w:ascii="Times New Roman" w:hAnsi="Times New Roman" w:cs="Times New Roman"/>
                <w:sz w:val="24"/>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892" w:type="pct"/>
            <w:tcBorders>
              <w:left w:val="single" w:color="000000" w:sz="4" w:space="0"/>
            </w:tcBorders>
            <w:vAlign w:val="center"/>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1</w:t>
            </w:r>
          </w:p>
        </w:tc>
        <w:tc>
          <w:tcPr>
            <w:tcW w:w="789" w:type="pct"/>
            <w:tcBorders>
              <w:left w:val="single" w:color="000000" w:sz="4" w:space="0"/>
            </w:tcBorders>
            <w:vAlign w:val="center"/>
          </w:tcPr>
          <w:p>
            <w:pPr>
              <w:pStyle w:val="38"/>
              <w:rPr>
                <w:rFonts w:ascii="Times New Roman" w:hAnsi="Times New Roman" w:cs="Times New Roman"/>
                <w:sz w:val="24"/>
                <w:szCs w:val="24"/>
                <w:lang w:eastAsia="zh-CN"/>
              </w:rPr>
            </w:pPr>
            <w:r>
              <w:rPr>
                <w:rFonts w:ascii="Times New Roman" w:hAnsi="Times New Roman" w:cs="Times New Roman"/>
                <w:sz w:val="24"/>
                <w:szCs w:val="24"/>
                <w:lang w:eastAsia="zh-CN"/>
              </w:rPr>
              <w:t>流媒体服务器（硬件服务器托管）</w:t>
            </w:r>
          </w:p>
        </w:tc>
        <w:tc>
          <w:tcPr>
            <w:tcW w:w="2402" w:type="pct"/>
            <w:vAlign w:val="center"/>
          </w:tcPr>
          <w:p>
            <w:pPr>
              <w:pStyle w:val="38"/>
              <w:jc w:val="center"/>
              <w:rPr>
                <w:rFonts w:ascii="Times New Roman" w:hAnsi="Times New Roman" w:cs="Times New Roman"/>
                <w:sz w:val="24"/>
                <w:szCs w:val="24"/>
              </w:rPr>
            </w:pPr>
            <w:r>
              <w:rPr>
                <w:rFonts w:ascii="Times New Roman" w:hAnsi="Times New Roman" w:cs="Times New Roman"/>
                <w:sz w:val="24"/>
                <w:szCs w:val="24"/>
                <w:lang w:eastAsia="zh-CN"/>
              </w:rPr>
              <w:t>E5(6核2.4</w:t>
            </w:r>
            <w:r>
              <w:rPr>
                <w:rFonts w:ascii="Times New Roman" w:hAnsi="Times New Roman" w:cs="Times New Roman"/>
                <w:sz w:val="24"/>
                <w:szCs w:val="24"/>
              </w:rPr>
              <w:t>GHz)X1/16GBDDR4/1TBSATAX1/热插拔/SAS/DVD/1GbEX4</w:t>
            </w:r>
          </w:p>
        </w:tc>
        <w:tc>
          <w:tcPr>
            <w:tcW w:w="329" w:type="pct"/>
            <w:vAlign w:val="center"/>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台</w:t>
            </w:r>
          </w:p>
        </w:tc>
        <w:tc>
          <w:tcPr>
            <w:tcW w:w="247" w:type="pct"/>
            <w:vAlign w:val="center"/>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1</w:t>
            </w:r>
          </w:p>
        </w:tc>
        <w:tc>
          <w:tcPr>
            <w:tcW w:w="342" w:type="pct"/>
            <w:vAlign w:val="center"/>
          </w:tcPr>
          <w:p>
            <w:pPr>
              <w:pStyle w:val="38"/>
              <w:jc w:val="center"/>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892" w:type="pct"/>
            <w:tcBorders>
              <w:left w:val="single" w:color="000000" w:sz="4" w:space="0"/>
            </w:tcBorders>
            <w:vAlign w:val="center"/>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2</w:t>
            </w:r>
          </w:p>
        </w:tc>
        <w:tc>
          <w:tcPr>
            <w:tcW w:w="789" w:type="pct"/>
            <w:tcBorders>
              <w:left w:val="single" w:color="000000" w:sz="4" w:space="0"/>
            </w:tcBorders>
            <w:vAlign w:val="center"/>
          </w:tcPr>
          <w:p>
            <w:pPr>
              <w:pStyle w:val="38"/>
              <w:rPr>
                <w:rFonts w:ascii="Times New Roman" w:hAnsi="Times New Roman" w:cs="Times New Roman"/>
                <w:sz w:val="24"/>
                <w:szCs w:val="24"/>
                <w:lang w:eastAsia="zh-CN"/>
              </w:rPr>
            </w:pPr>
            <w:r>
              <w:rPr>
                <w:rFonts w:ascii="Times New Roman" w:hAnsi="Times New Roman" w:cs="Times New Roman"/>
                <w:sz w:val="24"/>
                <w:szCs w:val="24"/>
                <w:lang w:eastAsia="zh-CN"/>
              </w:rPr>
              <w:t>NVR（硬件存储设备托管）智能视频管理平台服务器</w:t>
            </w:r>
          </w:p>
        </w:tc>
        <w:tc>
          <w:tcPr>
            <w:tcW w:w="2402" w:type="pct"/>
          </w:tcPr>
          <w:p>
            <w:pPr>
              <w:pStyle w:val="38"/>
              <w:rPr>
                <w:rFonts w:ascii="Times New Roman" w:hAnsi="Times New Roman" w:cs="Times New Roman"/>
                <w:sz w:val="24"/>
                <w:szCs w:val="24"/>
              </w:rPr>
            </w:pPr>
            <w:r>
              <w:rPr>
                <w:rFonts w:ascii="Times New Roman" w:hAnsi="Times New Roman" w:cs="Times New Roman"/>
                <w:sz w:val="24"/>
                <w:szCs w:val="24"/>
                <w:lang w:eastAsia="zh-CN"/>
              </w:rPr>
              <w:t>针对SMB中小场景业务需求的综合安防管理一体机在兼容安防视频监控的固有功能基础上，可扩展门禁考勤管理、运维中心管理、基础业务管理等业务功能。</w:t>
            </w:r>
            <w:r>
              <w:rPr>
                <w:rFonts w:ascii="Times New Roman" w:hAnsi="Times New Roman" w:cs="Times New Roman"/>
                <w:sz w:val="24"/>
                <w:szCs w:val="24"/>
              </w:rPr>
              <w:t>视频信息本地存储90天</w:t>
            </w:r>
          </w:p>
        </w:tc>
        <w:tc>
          <w:tcPr>
            <w:tcW w:w="329" w:type="pct"/>
            <w:vAlign w:val="center"/>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项</w:t>
            </w:r>
          </w:p>
        </w:tc>
        <w:tc>
          <w:tcPr>
            <w:tcW w:w="247" w:type="pct"/>
            <w:vAlign w:val="center"/>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1</w:t>
            </w:r>
          </w:p>
        </w:tc>
        <w:tc>
          <w:tcPr>
            <w:tcW w:w="342" w:type="pct"/>
            <w:vAlign w:val="center"/>
          </w:tcPr>
          <w:p>
            <w:pPr>
              <w:pStyle w:val="38"/>
              <w:jc w:val="center"/>
              <w:rPr>
                <w:rFonts w:ascii="Times New Roman" w:hAnsi="Times New Roman" w:cs="Times New Roman"/>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892" w:type="pct"/>
            <w:tcBorders>
              <w:left w:val="single" w:color="000000" w:sz="4" w:space="0"/>
            </w:tcBorders>
            <w:vAlign w:val="center"/>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3</w:t>
            </w:r>
          </w:p>
        </w:tc>
        <w:tc>
          <w:tcPr>
            <w:tcW w:w="789" w:type="pct"/>
            <w:tcBorders>
              <w:left w:val="single" w:color="000000" w:sz="4" w:space="0"/>
            </w:tcBorders>
            <w:vAlign w:val="center"/>
          </w:tcPr>
          <w:p>
            <w:pPr>
              <w:pStyle w:val="38"/>
              <w:rPr>
                <w:rFonts w:ascii="Times New Roman" w:hAnsi="Times New Roman" w:cs="Times New Roman"/>
                <w:sz w:val="24"/>
                <w:szCs w:val="24"/>
                <w:lang w:eastAsia="zh-CN"/>
              </w:rPr>
            </w:pPr>
            <w:r>
              <w:rPr>
                <w:rFonts w:ascii="Times New Roman" w:hAnsi="Times New Roman" w:cs="Times New Roman"/>
                <w:sz w:val="24"/>
                <w:szCs w:val="24"/>
                <w:lang w:eastAsia="zh-CN"/>
              </w:rPr>
              <w:t>视频综合平台系统软件</w:t>
            </w:r>
          </w:p>
        </w:tc>
        <w:tc>
          <w:tcPr>
            <w:tcW w:w="2402" w:type="pct"/>
          </w:tcPr>
          <w:p>
            <w:pPr>
              <w:pStyle w:val="38"/>
              <w:rPr>
                <w:rFonts w:ascii="Times New Roman" w:hAnsi="Times New Roman" w:cs="Times New Roman"/>
                <w:sz w:val="24"/>
                <w:szCs w:val="24"/>
                <w:lang w:eastAsia="zh-CN"/>
              </w:rPr>
            </w:pPr>
            <w:r>
              <w:rPr>
                <w:rFonts w:ascii="Times New Roman" w:hAnsi="Times New Roman" w:cs="Times New Roman"/>
                <w:sz w:val="24"/>
                <w:szCs w:val="24"/>
                <w:lang w:eastAsia="zh-CN"/>
              </w:rPr>
              <w:t>支持窗口操作、预览上墙、回放上墙、视图、报警联动等功能</w:t>
            </w:r>
          </w:p>
        </w:tc>
        <w:tc>
          <w:tcPr>
            <w:tcW w:w="329" w:type="pct"/>
            <w:vAlign w:val="center"/>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项</w:t>
            </w:r>
          </w:p>
        </w:tc>
        <w:tc>
          <w:tcPr>
            <w:tcW w:w="247" w:type="pct"/>
            <w:vAlign w:val="center"/>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1</w:t>
            </w:r>
          </w:p>
        </w:tc>
        <w:tc>
          <w:tcPr>
            <w:tcW w:w="342" w:type="pct"/>
            <w:vAlign w:val="center"/>
          </w:tcPr>
          <w:p>
            <w:pPr>
              <w:pStyle w:val="38"/>
              <w:jc w:val="center"/>
              <w:rPr>
                <w:rFonts w:ascii="Times New Roman" w:hAnsi="Times New Roman" w:cs="Times New Roman"/>
                <w:sz w:val="24"/>
                <w:szCs w:val="24"/>
              </w:rPr>
            </w:pPr>
          </w:p>
        </w:tc>
      </w:tr>
    </w:tbl>
    <w:p>
      <w:pPr>
        <w:spacing w:line="360" w:lineRule="auto"/>
        <w:ind w:firstLine="560" w:firstLineChars="200"/>
        <w:rPr>
          <w:sz w:val="28"/>
          <w:szCs w:val="28"/>
        </w:rPr>
      </w:pPr>
      <w:r>
        <w:rPr>
          <w:sz w:val="28"/>
          <w:szCs w:val="28"/>
        </w:rPr>
        <w:t>数据资源中心建设：运行监测数据库存储分布在城区各监测点采集的流量、水质数据、移动客户端巡检数据等实时数据、历史数据和设备运行状态数据。系统运行管理需要的数据，包括用户数据、部门数据、权限数据和日志数据。用户数据从大的范围可以分为管理员用户、业务操作用户、一般用户等，不同的用户具有不同的权限，而权限的集合又构成了系统的用户角色。</w:t>
      </w:r>
    </w:p>
    <w:p>
      <w:pPr>
        <w:spacing w:line="360" w:lineRule="auto"/>
        <w:ind w:firstLine="560" w:firstLineChars="200"/>
        <w:rPr>
          <w:sz w:val="28"/>
          <w:szCs w:val="28"/>
        </w:rPr>
      </w:pPr>
      <w:r>
        <w:rPr>
          <w:sz w:val="28"/>
          <w:szCs w:val="28"/>
        </w:rPr>
        <w:t>1.空间数据资源库建设：空间信息库将水务对象的空间数据集中起来，基础地理信息、将不同来源的水务空间信息集中，为业务应用和分析提供支撑。</w:t>
      </w:r>
    </w:p>
    <w:p>
      <w:pPr>
        <w:spacing w:line="360" w:lineRule="auto"/>
        <w:ind w:firstLine="560" w:firstLineChars="200"/>
        <w:rPr>
          <w:sz w:val="28"/>
          <w:szCs w:val="28"/>
        </w:rPr>
      </w:pPr>
      <w:r>
        <w:rPr>
          <w:sz w:val="28"/>
          <w:szCs w:val="28"/>
        </w:rPr>
        <w:t>2.基础数据资源库建设：水环境对象基础库是按照河流、排水口等多类对象完成基础信息对象表、基础对象属性表、基础对象关系表的设计开发。</w:t>
      </w:r>
    </w:p>
    <w:p>
      <w:pPr>
        <w:spacing w:line="360" w:lineRule="auto"/>
        <w:ind w:firstLine="560" w:firstLineChars="200"/>
        <w:rPr>
          <w:sz w:val="28"/>
          <w:szCs w:val="28"/>
        </w:rPr>
      </w:pPr>
      <w:r>
        <w:rPr>
          <w:sz w:val="28"/>
          <w:szCs w:val="28"/>
        </w:rPr>
        <w:t>3.运行监测数据资源库：监测数据库主要由水资源监测的水质、流量等动态监测数据等组成。</w:t>
      </w:r>
    </w:p>
    <w:p>
      <w:pPr>
        <w:spacing w:line="360" w:lineRule="auto"/>
        <w:ind w:firstLine="560" w:firstLineChars="200"/>
        <w:rPr>
          <w:sz w:val="28"/>
          <w:szCs w:val="28"/>
        </w:rPr>
      </w:pPr>
      <w:r>
        <w:rPr>
          <w:sz w:val="28"/>
          <w:szCs w:val="28"/>
        </w:rPr>
        <w:t>4.业务数据资源库：业务数据库是以基础数据库对象代码名称为基础开展业务域数据库设计开发，包括水环境数据库。</w:t>
      </w:r>
    </w:p>
    <w:p>
      <w:pPr>
        <w:spacing w:line="360" w:lineRule="auto"/>
        <w:ind w:firstLine="560" w:firstLineChars="200"/>
        <w:rPr>
          <w:sz w:val="28"/>
          <w:szCs w:val="28"/>
        </w:rPr>
      </w:pPr>
      <w:r>
        <w:rPr>
          <w:sz w:val="28"/>
          <w:szCs w:val="28"/>
        </w:rPr>
        <w:t>5.系统数据库：系统数据库包含多媒体数据库以。多媒体数据库是指多媒体文件基本信息表，多媒体类型代码表，节点代码表，业务系统代码表，文件保密等级代码表，业务代码表，文档多媒体文件扩展信息表图片多媒体文件扩展信息表，照片景别代码、视音多媒体文件扩展信息表；</w:t>
      </w:r>
    </w:p>
    <w:p>
      <w:pPr>
        <w:spacing w:line="360" w:lineRule="auto"/>
        <w:ind w:firstLine="560" w:firstLineChars="200"/>
        <w:rPr>
          <w:sz w:val="28"/>
          <w:szCs w:val="28"/>
        </w:rPr>
      </w:pPr>
      <w:r>
        <w:rPr>
          <w:sz w:val="28"/>
          <w:szCs w:val="28"/>
        </w:rPr>
        <w:t>6.元数据库：元数据描述某类资源的具体对象时所有规则的集合。不同类型的资源可能有不同的元数据标准，一般包括完整描述一个具体对象所需的数据项集合、各数据项语义定义、著录规则和计算机应用时的语法规定。数据资源分析、规划、整体架构设计、详细设计和系统实施过程中制定与本项目有关的业务数据标准。数据分类、内容、表现形式、精度要求、存储方式等各个方面。编写系统数据字典，说明系统整体数据架构，每个数据库表的结构、用途，主要数据字段的名称，内容，取值范围，数据格式，字段长度等内容。</w:t>
      </w:r>
    </w:p>
    <w:p>
      <w:pPr>
        <w:spacing w:line="360" w:lineRule="auto"/>
        <w:ind w:firstLine="560" w:firstLineChars="200"/>
        <w:rPr>
          <w:sz w:val="28"/>
          <w:szCs w:val="28"/>
        </w:rPr>
      </w:pPr>
      <w:r>
        <w:rPr>
          <w:sz w:val="28"/>
          <w:szCs w:val="28"/>
        </w:rPr>
        <w:t>平台需满足排污口数据可视化需求、排污口信息分类查询需求、排污口数据统计分析需求、排污口数据后台维护管理需求、平台用户管理需求，具体要求如下：</w:t>
      </w:r>
    </w:p>
    <w:p>
      <w:pPr>
        <w:spacing w:line="360" w:lineRule="auto"/>
        <w:ind w:firstLine="560" w:firstLineChars="200"/>
        <w:rPr>
          <w:sz w:val="28"/>
          <w:szCs w:val="28"/>
        </w:rPr>
      </w:pPr>
      <w:r>
        <w:rPr>
          <w:sz w:val="28"/>
          <w:szCs w:val="28"/>
        </w:rPr>
        <w:t>1.排污口数据可视化需求：</w:t>
      </w:r>
    </w:p>
    <w:p>
      <w:pPr>
        <w:spacing w:line="360" w:lineRule="auto"/>
        <w:ind w:firstLine="560" w:firstLineChars="200"/>
        <w:rPr>
          <w:sz w:val="28"/>
          <w:szCs w:val="28"/>
        </w:rPr>
      </w:pPr>
      <w:r>
        <w:rPr>
          <w:sz w:val="28"/>
          <w:szCs w:val="28"/>
        </w:rPr>
        <w:t>可显示各排污口的具体位置，排污口信息可视化地图展示，可直观、清晰的了解和掌握各排污口的位置信息。</w:t>
      </w:r>
    </w:p>
    <w:p>
      <w:pPr>
        <w:spacing w:line="360" w:lineRule="auto"/>
        <w:ind w:firstLine="560" w:firstLineChars="200"/>
        <w:rPr>
          <w:sz w:val="28"/>
          <w:szCs w:val="28"/>
        </w:rPr>
      </w:pPr>
      <w:r>
        <w:rPr>
          <w:sz w:val="28"/>
          <w:szCs w:val="28"/>
        </w:rPr>
        <w:t>2.排污口信息分类查询需求：</w:t>
      </w:r>
    </w:p>
    <w:p>
      <w:pPr>
        <w:spacing w:line="360" w:lineRule="auto"/>
        <w:ind w:firstLine="560" w:firstLineChars="200"/>
        <w:rPr>
          <w:sz w:val="28"/>
          <w:szCs w:val="28"/>
        </w:rPr>
      </w:pPr>
      <w:r>
        <w:rPr>
          <w:sz w:val="28"/>
          <w:szCs w:val="28"/>
        </w:rPr>
        <w:t>平台需具有分类查询功能，以满足各级负责人根据特定要求，筛选、查询各排污口相关信息。</w:t>
      </w:r>
    </w:p>
    <w:p>
      <w:pPr>
        <w:spacing w:line="360" w:lineRule="auto"/>
        <w:ind w:firstLine="560" w:firstLineChars="200"/>
        <w:rPr>
          <w:sz w:val="28"/>
          <w:szCs w:val="28"/>
        </w:rPr>
      </w:pPr>
      <w:r>
        <w:rPr>
          <w:sz w:val="28"/>
          <w:szCs w:val="28"/>
        </w:rPr>
        <w:t>3.排污口数据统计分析需求：</w:t>
      </w:r>
    </w:p>
    <w:p>
      <w:pPr>
        <w:spacing w:line="360" w:lineRule="auto"/>
        <w:ind w:firstLine="560" w:firstLineChars="200"/>
        <w:rPr>
          <w:sz w:val="28"/>
          <w:szCs w:val="28"/>
        </w:rPr>
      </w:pPr>
      <w:r>
        <w:rPr>
          <w:sz w:val="28"/>
          <w:szCs w:val="28"/>
        </w:rPr>
        <w:t>平台应可以对排污口数据在时间维度和空间维度进行简单的统计和分析，以辅助各级管理人员进行工作决策。</w:t>
      </w:r>
    </w:p>
    <w:p>
      <w:pPr>
        <w:spacing w:line="360" w:lineRule="auto"/>
        <w:ind w:firstLine="560" w:firstLineChars="200"/>
        <w:rPr>
          <w:sz w:val="28"/>
          <w:szCs w:val="28"/>
        </w:rPr>
      </w:pPr>
      <w:r>
        <w:rPr>
          <w:sz w:val="28"/>
          <w:szCs w:val="28"/>
        </w:rPr>
        <w:t>4.排污口数据后台维护管理需求：</w:t>
      </w:r>
    </w:p>
    <w:p>
      <w:pPr>
        <w:spacing w:line="360" w:lineRule="auto"/>
        <w:ind w:firstLine="560" w:firstLineChars="200"/>
        <w:rPr>
          <w:sz w:val="28"/>
          <w:szCs w:val="28"/>
        </w:rPr>
      </w:pPr>
      <w:r>
        <w:rPr>
          <w:sz w:val="28"/>
          <w:szCs w:val="28"/>
        </w:rPr>
        <w:t>后续各入河排污口的数据都将进行定期的动态更新，要求本平台可在后台进行数据的维护与管理，以保证平台数据的同步更新。</w:t>
      </w:r>
    </w:p>
    <w:p>
      <w:pPr>
        <w:spacing w:line="360" w:lineRule="auto"/>
        <w:ind w:firstLine="560" w:firstLineChars="200"/>
        <w:rPr>
          <w:sz w:val="28"/>
          <w:szCs w:val="28"/>
        </w:rPr>
      </w:pPr>
      <w:r>
        <w:rPr>
          <w:sz w:val="28"/>
          <w:szCs w:val="28"/>
        </w:rPr>
        <w:t>5.平台用户管理需求：</w:t>
      </w:r>
    </w:p>
    <w:p>
      <w:pPr>
        <w:spacing w:line="360" w:lineRule="auto"/>
        <w:ind w:firstLine="560" w:firstLineChars="200"/>
        <w:rPr>
          <w:sz w:val="28"/>
          <w:szCs w:val="28"/>
        </w:rPr>
      </w:pPr>
      <w:r>
        <w:rPr>
          <w:sz w:val="28"/>
          <w:szCs w:val="28"/>
        </w:rPr>
        <w:t>平台需针对不同用户群设置对应的查询和管理权限，以有效管理各用户群。需提供能满足平台稳定运行的必要的通讯及硬件设施，包含但不限于网络、通讯、安全、数据存储、显示终端等。</w:t>
      </w:r>
    </w:p>
    <w:p>
      <w:pPr>
        <w:ind w:firstLine="480"/>
        <w:jc w:val="center"/>
        <w:rPr>
          <w:sz w:val="24"/>
          <w:szCs w:val="24"/>
        </w:rPr>
      </w:pPr>
      <w:r>
        <w:rPr>
          <w:sz w:val="24"/>
          <w:szCs w:val="24"/>
        </w:rPr>
        <w:t>智慧监管平台软硬件清单</w:t>
      </w:r>
    </w:p>
    <w:p>
      <w:pPr>
        <w:spacing w:line="105" w:lineRule="exact"/>
        <w:ind w:firstLine="480"/>
        <w:rPr>
          <w:sz w:val="24"/>
          <w:szCs w:val="24"/>
        </w:rPr>
      </w:pPr>
    </w:p>
    <w:tbl>
      <w:tblPr>
        <w:tblStyle w:val="39"/>
        <w:tblW w:w="852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06"/>
        <w:gridCol w:w="5198"/>
        <w:gridCol w:w="1036"/>
        <w:gridCol w:w="108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1206" w:type="dxa"/>
          </w:tcPr>
          <w:p>
            <w:pPr>
              <w:pStyle w:val="38"/>
              <w:jc w:val="center"/>
              <w:rPr>
                <w:rFonts w:ascii="Times New Roman" w:hAnsi="Times New Roman" w:cs="Times New Roman"/>
                <w:sz w:val="24"/>
                <w:szCs w:val="24"/>
              </w:rPr>
            </w:pPr>
            <w:r>
              <w:rPr>
                <w:rFonts w:ascii="Times New Roman" w:hAnsi="Times New Roman" w:cs="Times New Roman"/>
                <w:sz w:val="24"/>
                <w:szCs w:val="24"/>
              </w:rPr>
              <w:t>序号</w:t>
            </w:r>
          </w:p>
        </w:tc>
        <w:tc>
          <w:tcPr>
            <w:tcW w:w="5198" w:type="dxa"/>
          </w:tcPr>
          <w:p>
            <w:pPr>
              <w:pStyle w:val="38"/>
              <w:jc w:val="center"/>
              <w:rPr>
                <w:rFonts w:ascii="Times New Roman" w:hAnsi="Times New Roman" w:cs="Times New Roman"/>
                <w:sz w:val="24"/>
                <w:szCs w:val="24"/>
              </w:rPr>
            </w:pPr>
            <w:r>
              <w:rPr>
                <w:rFonts w:ascii="Times New Roman" w:hAnsi="Times New Roman" w:cs="Times New Roman"/>
                <w:sz w:val="24"/>
                <w:szCs w:val="24"/>
              </w:rPr>
              <w:t>名称</w:t>
            </w:r>
          </w:p>
        </w:tc>
        <w:tc>
          <w:tcPr>
            <w:tcW w:w="1036" w:type="dxa"/>
          </w:tcPr>
          <w:p>
            <w:pPr>
              <w:pStyle w:val="38"/>
              <w:jc w:val="center"/>
              <w:rPr>
                <w:rFonts w:ascii="Times New Roman" w:hAnsi="Times New Roman" w:cs="Times New Roman"/>
                <w:sz w:val="24"/>
                <w:szCs w:val="24"/>
              </w:rPr>
            </w:pPr>
            <w:r>
              <w:rPr>
                <w:rFonts w:ascii="Times New Roman" w:hAnsi="Times New Roman" w:cs="Times New Roman"/>
                <w:sz w:val="24"/>
                <w:szCs w:val="24"/>
              </w:rPr>
              <w:t>单位</w:t>
            </w:r>
          </w:p>
        </w:tc>
        <w:tc>
          <w:tcPr>
            <w:tcW w:w="1082" w:type="dxa"/>
          </w:tcPr>
          <w:p>
            <w:pPr>
              <w:pStyle w:val="38"/>
              <w:jc w:val="center"/>
              <w:rPr>
                <w:rFonts w:ascii="Times New Roman" w:hAnsi="Times New Roman" w:cs="Times New Roman"/>
                <w:sz w:val="24"/>
                <w:szCs w:val="24"/>
              </w:rPr>
            </w:pPr>
            <w:r>
              <w:rPr>
                <w:rFonts w:ascii="Times New Roman" w:hAnsi="Times New Roman" w:cs="Times New Roman"/>
                <w:sz w:val="24"/>
                <w:szCs w:val="24"/>
              </w:rPr>
              <w:t>数量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jc w:val="center"/>
        </w:trPr>
        <w:tc>
          <w:tcPr>
            <w:tcW w:w="1206" w:type="dxa"/>
          </w:tcPr>
          <w:p>
            <w:pPr>
              <w:pStyle w:val="38"/>
              <w:jc w:val="center"/>
              <w:rPr>
                <w:rFonts w:ascii="Times New Roman" w:hAnsi="Times New Roman" w:cs="Times New Roman"/>
                <w:sz w:val="24"/>
                <w:szCs w:val="24"/>
              </w:rPr>
            </w:pPr>
            <w:r>
              <w:rPr>
                <w:rFonts w:ascii="Times New Roman" w:hAnsi="Times New Roman" w:cs="Times New Roman"/>
                <w:sz w:val="24"/>
                <w:szCs w:val="24"/>
              </w:rPr>
              <w:t>1</w:t>
            </w:r>
          </w:p>
        </w:tc>
        <w:tc>
          <w:tcPr>
            <w:tcW w:w="5198" w:type="dxa"/>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水质、水量在线监控系统软件</w:t>
            </w:r>
          </w:p>
        </w:tc>
        <w:tc>
          <w:tcPr>
            <w:tcW w:w="1036" w:type="dxa"/>
          </w:tcPr>
          <w:p>
            <w:pPr>
              <w:pStyle w:val="38"/>
              <w:jc w:val="center"/>
              <w:rPr>
                <w:rFonts w:ascii="Times New Roman" w:hAnsi="Times New Roman" w:cs="Times New Roman"/>
                <w:sz w:val="24"/>
                <w:szCs w:val="24"/>
              </w:rPr>
            </w:pPr>
            <w:r>
              <w:rPr>
                <w:rFonts w:ascii="Times New Roman" w:hAnsi="Times New Roman" w:cs="Times New Roman"/>
                <w:sz w:val="24"/>
                <w:szCs w:val="24"/>
              </w:rPr>
              <w:t>套</w:t>
            </w:r>
          </w:p>
        </w:tc>
        <w:tc>
          <w:tcPr>
            <w:tcW w:w="1082" w:type="dxa"/>
          </w:tcPr>
          <w:p>
            <w:pPr>
              <w:pStyle w:val="38"/>
              <w:jc w:val="center"/>
              <w:rPr>
                <w:rFonts w:ascii="Times New Roman" w:hAnsi="Times New Roman" w:cs="Times New Roman"/>
                <w:sz w:val="24"/>
                <w:szCs w:val="24"/>
              </w:rPr>
            </w:pPr>
            <w:r>
              <w:rPr>
                <w:rFonts w:ascii="Times New Roman" w:hAnsi="Times New Roman" w:cs="Times New Roman"/>
                <w:sz w:val="24"/>
                <w:szCs w:val="24"/>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jc w:val="center"/>
        </w:trPr>
        <w:tc>
          <w:tcPr>
            <w:tcW w:w="1206" w:type="dxa"/>
          </w:tcPr>
          <w:p>
            <w:pPr>
              <w:pStyle w:val="38"/>
              <w:jc w:val="center"/>
              <w:rPr>
                <w:rFonts w:ascii="Times New Roman" w:hAnsi="Times New Roman" w:cs="Times New Roman"/>
                <w:sz w:val="24"/>
                <w:szCs w:val="24"/>
              </w:rPr>
            </w:pPr>
            <w:r>
              <w:rPr>
                <w:rFonts w:ascii="Times New Roman" w:hAnsi="Times New Roman" w:cs="Times New Roman"/>
                <w:sz w:val="24"/>
                <w:szCs w:val="24"/>
              </w:rPr>
              <w:t>2</w:t>
            </w:r>
          </w:p>
        </w:tc>
        <w:tc>
          <w:tcPr>
            <w:tcW w:w="5198" w:type="dxa"/>
          </w:tcPr>
          <w:p>
            <w:pPr>
              <w:pStyle w:val="38"/>
              <w:jc w:val="center"/>
              <w:rPr>
                <w:rFonts w:ascii="Times New Roman" w:hAnsi="Times New Roman" w:cs="Times New Roman"/>
                <w:sz w:val="24"/>
                <w:szCs w:val="24"/>
              </w:rPr>
            </w:pPr>
            <w:r>
              <w:rPr>
                <w:rFonts w:ascii="Times New Roman" w:hAnsi="Times New Roman" w:cs="Times New Roman"/>
                <w:sz w:val="24"/>
                <w:szCs w:val="24"/>
              </w:rPr>
              <w:t>视频监控系统软件</w:t>
            </w:r>
          </w:p>
        </w:tc>
        <w:tc>
          <w:tcPr>
            <w:tcW w:w="1036" w:type="dxa"/>
          </w:tcPr>
          <w:p>
            <w:pPr>
              <w:pStyle w:val="38"/>
              <w:jc w:val="center"/>
              <w:rPr>
                <w:rFonts w:ascii="Times New Roman" w:hAnsi="Times New Roman" w:cs="Times New Roman"/>
                <w:sz w:val="24"/>
                <w:szCs w:val="24"/>
              </w:rPr>
            </w:pPr>
            <w:r>
              <w:rPr>
                <w:rFonts w:ascii="Times New Roman" w:hAnsi="Times New Roman" w:cs="Times New Roman"/>
                <w:sz w:val="24"/>
                <w:szCs w:val="24"/>
              </w:rPr>
              <w:t>套</w:t>
            </w:r>
          </w:p>
        </w:tc>
        <w:tc>
          <w:tcPr>
            <w:tcW w:w="1082" w:type="dxa"/>
          </w:tcPr>
          <w:p>
            <w:pPr>
              <w:pStyle w:val="38"/>
              <w:jc w:val="center"/>
              <w:rPr>
                <w:rFonts w:ascii="Times New Roman" w:hAnsi="Times New Roman" w:cs="Times New Roman"/>
                <w:sz w:val="24"/>
                <w:szCs w:val="24"/>
              </w:rPr>
            </w:pPr>
            <w:r>
              <w:rPr>
                <w:rFonts w:ascii="Times New Roman" w:hAnsi="Times New Roman" w:cs="Times New Roman"/>
                <w:sz w:val="24"/>
                <w:szCs w:val="24"/>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jc w:val="center"/>
        </w:trPr>
        <w:tc>
          <w:tcPr>
            <w:tcW w:w="1206" w:type="dxa"/>
          </w:tcPr>
          <w:p>
            <w:pPr>
              <w:pStyle w:val="38"/>
              <w:jc w:val="center"/>
              <w:rPr>
                <w:rFonts w:ascii="Times New Roman" w:hAnsi="Times New Roman" w:cs="Times New Roman"/>
                <w:sz w:val="24"/>
                <w:szCs w:val="24"/>
              </w:rPr>
            </w:pPr>
            <w:r>
              <w:rPr>
                <w:rFonts w:ascii="Times New Roman" w:hAnsi="Times New Roman" w:cs="Times New Roman"/>
                <w:sz w:val="24"/>
                <w:szCs w:val="24"/>
              </w:rPr>
              <w:t>3</w:t>
            </w:r>
          </w:p>
        </w:tc>
        <w:tc>
          <w:tcPr>
            <w:tcW w:w="5198" w:type="dxa"/>
          </w:tcPr>
          <w:p>
            <w:pPr>
              <w:pStyle w:val="38"/>
              <w:jc w:val="center"/>
              <w:rPr>
                <w:rFonts w:ascii="Times New Roman" w:hAnsi="Times New Roman" w:cs="Times New Roman"/>
                <w:sz w:val="24"/>
                <w:szCs w:val="24"/>
              </w:rPr>
            </w:pPr>
            <w:r>
              <w:rPr>
                <w:rFonts w:ascii="Times New Roman" w:hAnsi="Times New Roman" w:cs="Times New Roman"/>
                <w:sz w:val="24"/>
                <w:szCs w:val="24"/>
              </w:rPr>
              <w:t>环保一张图平台</w:t>
            </w:r>
          </w:p>
        </w:tc>
        <w:tc>
          <w:tcPr>
            <w:tcW w:w="1036" w:type="dxa"/>
          </w:tcPr>
          <w:p>
            <w:pPr>
              <w:pStyle w:val="38"/>
              <w:jc w:val="center"/>
              <w:rPr>
                <w:rFonts w:ascii="Times New Roman" w:hAnsi="Times New Roman" w:cs="Times New Roman"/>
                <w:sz w:val="24"/>
                <w:szCs w:val="24"/>
              </w:rPr>
            </w:pPr>
            <w:r>
              <w:rPr>
                <w:rFonts w:ascii="Times New Roman" w:hAnsi="Times New Roman" w:cs="Times New Roman"/>
                <w:sz w:val="24"/>
                <w:szCs w:val="24"/>
              </w:rPr>
              <w:t>套</w:t>
            </w:r>
          </w:p>
        </w:tc>
        <w:tc>
          <w:tcPr>
            <w:tcW w:w="1082" w:type="dxa"/>
          </w:tcPr>
          <w:p>
            <w:pPr>
              <w:pStyle w:val="38"/>
              <w:jc w:val="center"/>
              <w:rPr>
                <w:rFonts w:ascii="Times New Roman" w:hAnsi="Times New Roman" w:cs="Times New Roman"/>
                <w:sz w:val="24"/>
                <w:szCs w:val="24"/>
              </w:rPr>
            </w:pPr>
            <w:r>
              <w:rPr>
                <w:rFonts w:ascii="Times New Roman" w:hAnsi="Times New Roman" w:cs="Times New Roman"/>
                <w:sz w:val="24"/>
                <w:szCs w:val="24"/>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jc w:val="center"/>
        </w:trPr>
        <w:tc>
          <w:tcPr>
            <w:tcW w:w="1206" w:type="dxa"/>
          </w:tcPr>
          <w:p>
            <w:pPr>
              <w:pStyle w:val="38"/>
              <w:jc w:val="center"/>
              <w:rPr>
                <w:rFonts w:ascii="Times New Roman" w:hAnsi="Times New Roman" w:cs="Times New Roman"/>
                <w:sz w:val="24"/>
                <w:szCs w:val="24"/>
              </w:rPr>
            </w:pPr>
            <w:r>
              <w:rPr>
                <w:rFonts w:ascii="Times New Roman" w:hAnsi="Times New Roman" w:cs="Times New Roman"/>
                <w:sz w:val="24"/>
                <w:szCs w:val="24"/>
              </w:rPr>
              <w:t>4</w:t>
            </w:r>
          </w:p>
        </w:tc>
        <w:tc>
          <w:tcPr>
            <w:tcW w:w="5198" w:type="dxa"/>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应用运行支撑平台系统软件</w:t>
            </w:r>
          </w:p>
        </w:tc>
        <w:tc>
          <w:tcPr>
            <w:tcW w:w="1036" w:type="dxa"/>
          </w:tcPr>
          <w:p>
            <w:pPr>
              <w:pStyle w:val="38"/>
              <w:jc w:val="center"/>
              <w:rPr>
                <w:rFonts w:ascii="Times New Roman" w:hAnsi="Times New Roman" w:cs="Times New Roman"/>
                <w:sz w:val="24"/>
                <w:szCs w:val="24"/>
              </w:rPr>
            </w:pPr>
            <w:r>
              <w:rPr>
                <w:rFonts w:ascii="Times New Roman" w:hAnsi="Times New Roman" w:cs="Times New Roman"/>
                <w:sz w:val="24"/>
                <w:szCs w:val="24"/>
              </w:rPr>
              <w:t>套</w:t>
            </w:r>
          </w:p>
        </w:tc>
        <w:tc>
          <w:tcPr>
            <w:tcW w:w="1082" w:type="dxa"/>
          </w:tcPr>
          <w:p>
            <w:pPr>
              <w:pStyle w:val="38"/>
              <w:jc w:val="center"/>
              <w:rPr>
                <w:rFonts w:ascii="Times New Roman" w:hAnsi="Times New Roman" w:cs="Times New Roman"/>
                <w:sz w:val="24"/>
                <w:szCs w:val="24"/>
              </w:rPr>
            </w:pPr>
            <w:r>
              <w:rPr>
                <w:rFonts w:ascii="Times New Roman" w:hAnsi="Times New Roman" w:cs="Times New Roman"/>
                <w:sz w:val="24"/>
                <w:szCs w:val="24"/>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jc w:val="center"/>
        </w:trPr>
        <w:tc>
          <w:tcPr>
            <w:tcW w:w="1206" w:type="dxa"/>
          </w:tcPr>
          <w:p>
            <w:pPr>
              <w:pStyle w:val="38"/>
              <w:jc w:val="center"/>
              <w:rPr>
                <w:rFonts w:ascii="Times New Roman" w:hAnsi="Times New Roman" w:cs="Times New Roman"/>
                <w:sz w:val="24"/>
                <w:szCs w:val="24"/>
              </w:rPr>
            </w:pPr>
            <w:r>
              <w:rPr>
                <w:rFonts w:ascii="Times New Roman" w:hAnsi="Times New Roman" w:cs="Times New Roman"/>
                <w:sz w:val="24"/>
                <w:szCs w:val="24"/>
              </w:rPr>
              <w:t>5</w:t>
            </w:r>
          </w:p>
        </w:tc>
        <w:tc>
          <w:tcPr>
            <w:tcW w:w="5198" w:type="dxa"/>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数据分析预警系统软件</w:t>
            </w:r>
          </w:p>
        </w:tc>
        <w:tc>
          <w:tcPr>
            <w:tcW w:w="1036" w:type="dxa"/>
          </w:tcPr>
          <w:p>
            <w:pPr>
              <w:pStyle w:val="38"/>
              <w:jc w:val="center"/>
              <w:rPr>
                <w:rFonts w:ascii="Times New Roman" w:hAnsi="Times New Roman" w:cs="Times New Roman"/>
                <w:sz w:val="24"/>
                <w:szCs w:val="24"/>
              </w:rPr>
            </w:pPr>
            <w:r>
              <w:rPr>
                <w:rFonts w:ascii="Times New Roman" w:hAnsi="Times New Roman" w:cs="Times New Roman"/>
                <w:sz w:val="24"/>
                <w:szCs w:val="24"/>
              </w:rPr>
              <w:t>套</w:t>
            </w:r>
          </w:p>
        </w:tc>
        <w:tc>
          <w:tcPr>
            <w:tcW w:w="1082" w:type="dxa"/>
          </w:tcPr>
          <w:p>
            <w:pPr>
              <w:pStyle w:val="38"/>
              <w:jc w:val="center"/>
              <w:rPr>
                <w:rFonts w:ascii="Times New Roman" w:hAnsi="Times New Roman" w:cs="Times New Roman"/>
                <w:sz w:val="24"/>
                <w:szCs w:val="24"/>
              </w:rPr>
            </w:pPr>
            <w:r>
              <w:rPr>
                <w:rFonts w:ascii="Times New Roman" w:hAnsi="Times New Roman" w:cs="Times New Roman"/>
                <w:sz w:val="24"/>
                <w:szCs w:val="24"/>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jc w:val="center"/>
        </w:trPr>
        <w:tc>
          <w:tcPr>
            <w:tcW w:w="1206" w:type="dxa"/>
          </w:tcPr>
          <w:p>
            <w:pPr>
              <w:pStyle w:val="38"/>
              <w:jc w:val="center"/>
              <w:rPr>
                <w:rFonts w:ascii="Times New Roman" w:hAnsi="Times New Roman" w:cs="Times New Roman"/>
                <w:sz w:val="24"/>
                <w:szCs w:val="24"/>
              </w:rPr>
            </w:pPr>
            <w:r>
              <w:rPr>
                <w:rFonts w:ascii="Times New Roman" w:hAnsi="Times New Roman" w:cs="Times New Roman"/>
                <w:sz w:val="24"/>
                <w:szCs w:val="24"/>
              </w:rPr>
              <w:t>6</w:t>
            </w:r>
          </w:p>
        </w:tc>
        <w:tc>
          <w:tcPr>
            <w:tcW w:w="5198" w:type="dxa"/>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巡査维护在线监管平台</w:t>
            </w:r>
          </w:p>
        </w:tc>
        <w:tc>
          <w:tcPr>
            <w:tcW w:w="1036" w:type="dxa"/>
          </w:tcPr>
          <w:p>
            <w:pPr>
              <w:pStyle w:val="38"/>
              <w:jc w:val="center"/>
              <w:rPr>
                <w:rFonts w:ascii="Times New Roman" w:hAnsi="Times New Roman" w:cs="Times New Roman"/>
                <w:sz w:val="24"/>
                <w:szCs w:val="24"/>
              </w:rPr>
            </w:pPr>
            <w:r>
              <w:rPr>
                <w:rFonts w:ascii="Times New Roman" w:hAnsi="Times New Roman" w:cs="Times New Roman"/>
                <w:sz w:val="24"/>
                <w:szCs w:val="24"/>
              </w:rPr>
              <w:t>套</w:t>
            </w:r>
          </w:p>
        </w:tc>
        <w:tc>
          <w:tcPr>
            <w:tcW w:w="1082" w:type="dxa"/>
          </w:tcPr>
          <w:p>
            <w:pPr>
              <w:pStyle w:val="38"/>
              <w:jc w:val="center"/>
              <w:rPr>
                <w:rFonts w:ascii="Times New Roman" w:hAnsi="Times New Roman" w:cs="Times New Roman"/>
                <w:sz w:val="24"/>
                <w:szCs w:val="24"/>
              </w:rPr>
            </w:pPr>
            <w:r>
              <w:rPr>
                <w:rFonts w:ascii="Times New Roman" w:hAnsi="Times New Roman" w:cs="Times New Roman"/>
                <w:sz w:val="24"/>
                <w:szCs w:val="24"/>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jc w:val="center"/>
        </w:trPr>
        <w:tc>
          <w:tcPr>
            <w:tcW w:w="1206" w:type="dxa"/>
          </w:tcPr>
          <w:p>
            <w:pPr>
              <w:pStyle w:val="38"/>
              <w:jc w:val="center"/>
              <w:rPr>
                <w:rFonts w:ascii="Times New Roman" w:hAnsi="Times New Roman" w:cs="Times New Roman"/>
                <w:sz w:val="24"/>
                <w:szCs w:val="24"/>
              </w:rPr>
            </w:pPr>
            <w:r>
              <w:rPr>
                <w:rFonts w:ascii="Times New Roman" w:hAnsi="Times New Roman" w:cs="Times New Roman"/>
                <w:sz w:val="24"/>
                <w:szCs w:val="24"/>
              </w:rPr>
              <w:t>7</w:t>
            </w:r>
          </w:p>
        </w:tc>
        <w:tc>
          <w:tcPr>
            <w:tcW w:w="5198" w:type="dxa"/>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平台用户权限维护管理系统软件</w:t>
            </w:r>
          </w:p>
        </w:tc>
        <w:tc>
          <w:tcPr>
            <w:tcW w:w="1036" w:type="dxa"/>
          </w:tcPr>
          <w:p>
            <w:pPr>
              <w:pStyle w:val="38"/>
              <w:jc w:val="center"/>
              <w:rPr>
                <w:rFonts w:ascii="Times New Roman" w:hAnsi="Times New Roman" w:cs="Times New Roman"/>
                <w:sz w:val="24"/>
                <w:szCs w:val="24"/>
              </w:rPr>
            </w:pPr>
            <w:r>
              <w:rPr>
                <w:rFonts w:ascii="Times New Roman" w:hAnsi="Times New Roman" w:cs="Times New Roman"/>
                <w:sz w:val="24"/>
                <w:szCs w:val="24"/>
              </w:rPr>
              <w:t>套</w:t>
            </w:r>
          </w:p>
        </w:tc>
        <w:tc>
          <w:tcPr>
            <w:tcW w:w="1082" w:type="dxa"/>
          </w:tcPr>
          <w:p>
            <w:pPr>
              <w:pStyle w:val="38"/>
              <w:jc w:val="center"/>
              <w:rPr>
                <w:rFonts w:ascii="Times New Roman" w:hAnsi="Times New Roman" w:cs="Times New Roman"/>
                <w:sz w:val="24"/>
                <w:szCs w:val="24"/>
              </w:rPr>
            </w:pPr>
            <w:r>
              <w:rPr>
                <w:rFonts w:ascii="Times New Roman" w:hAnsi="Times New Roman" w:cs="Times New Roman"/>
                <w:sz w:val="24"/>
                <w:szCs w:val="24"/>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jc w:val="center"/>
        </w:trPr>
        <w:tc>
          <w:tcPr>
            <w:tcW w:w="1206" w:type="dxa"/>
          </w:tcPr>
          <w:p>
            <w:pPr>
              <w:pStyle w:val="38"/>
              <w:jc w:val="center"/>
              <w:rPr>
                <w:rFonts w:ascii="Times New Roman" w:hAnsi="Times New Roman" w:cs="Times New Roman"/>
                <w:sz w:val="24"/>
                <w:szCs w:val="24"/>
              </w:rPr>
            </w:pPr>
            <w:r>
              <w:rPr>
                <w:rFonts w:ascii="Times New Roman" w:hAnsi="Times New Roman" w:cs="Times New Roman"/>
                <w:sz w:val="24"/>
                <w:szCs w:val="24"/>
              </w:rPr>
              <w:t>8</w:t>
            </w:r>
          </w:p>
        </w:tc>
        <w:tc>
          <w:tcPr>
            <w:tcW w:w="5198" w:type="dxa"/>
          </w:tcPr>
          <w:p>
            <w:pPr>
              <w:pStyle w:val="38"/>
              <w:jc w:val="center"/>
              <w:rPr>
                <w:rFonts w:ascii="Times New Roman" w:hAnsi="Times New Roman" w:cs="Times New Roman"/>
                <w:sz w:val="24"/>
                <w:szCs w:val="24"/>
                <w:lang w:eastAsia="zh-CN"/>
              </w:rPr>
            </w:pPr>
            <w:r>
              <w:rPr>
                <w:rFonts w:ascii="Times New Roman" w:hAnsi="Times New Roman" w:cs="Times New Roman"/>
                <w:sz w:val="24"/>
                <w:szCs w:val="24"/>
                <w:lang w:eastAsia="zh-CN"/>
              </w:rPr>
              <w:t>基础信息档案建设与查询</w:t>
            </w:r>
          </w:p>
        </w:tc>
        <w:tc>
          <w:tcPr>
            <w:tcW w:w="1036" w:type="dxa"/>
          </w:tcPr>
          <w:p>
            <w:pPr>
              <w:pStyle w:val="38"/>
              <w:jc w:val="center"/>
              <w:rPr>
                <w:rFonts w:ascii="Times New Roman" w:hAnsi="Times New Roman" w:cs="Times New Roman"/>
                <w:sz w:val="24"/>
                <w:szCs w:val="24"/>
              </w:rPr>
            </w:pPr>
            <w:r>
              <w:rPr>
                <w:rFonts w:ascii="Times New Roman" w:hAnsi="Times New Roman" w:cs="Times New Roman"/>
                <w:sz w:val="24"/>
                <w:szCs w:val="24"/>
              </w:rPr>
              <w:t>套</w:t>
            </w:r>
          </w:p>
        </w:tc>
        <w:tc>
          <w:tcPr>
            <w:tcW w:w="1082" w:type="dxa"/>
          </w:tcPr>
          <w:p>
            <w:pPr>
              <w:pStyle w:val="38"/>
              <w:jc w:val="center"/>
              <w:rPr>
                <w:rFonts w:ascii="Times New Roman" w:hAnsi="Times New Roman" w:cs="Times New Roman"/>
                <w:sz w:val="24"/>
                <w:szCs w:val="24"/>
              </w:rPr>
            </w:pPr>
            <w:r>
              <w:rPr>
                <w:rFonts w:ascii="Times New Roman" w:hAnsi="Times New Roman" w:cs="Times New Roman"/>
                <w:sz w:val="24"/>
                <w:szCs w:val="24"/>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1206" w:type="dxa"/>
          </w:tcPr>
          <w:p>
            <w:pPr>
              <w:pStyle w:val="38"/>
              <w:jc w:val="center"/>
              <w:rPr>
                <w:rFonts w:ascii="Times New Roman" w:hAnsi="Times New Roman" w:cs="Times New Roman"/>
                <w:sz w:val="24"/>
                <w:szCs w:val="24"/>
              </w:rPr>
            </w:pPr>
            <w:r>
              <w:rPr>
                <w:rFonts w:ascii="Times New Roman" w:hAnsi="Times New Roman" w:cs="Times New Roman"/>
                <w:sz w:val="24"/>
                <w:szCs w:val="24"/>
              </w:rPr>
              <w:t>9</w:t>
            </w:r>
          </w:p>
        </w:tc>
        <w:tc>
          <w:tcPr>
            <w:tcW w:w="5198" w:type="dxa"/>
          </w:tcPr>
          <w:p>
            <w:pPr>
              <w:pStyle w:val="38"/>
              <w:jc w:val="center"/>
              <w:rPr>
                <w:rFonts w:ascii="Times New Roman" w:hAnsi="Times New Roman" w:cs="Times New Roman"/>
                <w:sz w:val="24"/>
                <w:szCs w:val="24"/>
              </w:rPr>
            </w:pPr>
            <w:r>
              <w:rPr>
                <w:rFonts w:ascii="Times New Roman" w:hAnsi="Times New Roman" w:cs="Times New Roman"/>
                <w:sz w:val="24"/>
                <w:szCs w:val="24"/>
              </w:rPr>
              <w:t>入河排污口管理APP</w:t>
            </w:r>
          </w:p>
        </w:tc>
        <w:tc>
          <w:tcPr>
            <w:tcW w:w="1036" w:type="dxa"/>
          </w:tcPr>
          <w:p>
            <w:pPr>
              <w:pStyle w:val="38"/>
              <w:jc w:val="center"/>
              <w:rPr>
                <w:rFonts w:ascii="Times New Roman" w:hAnsi="Times New Roman" w:cs="Times New Roman"/>
                <w:sz w:val="24"/>
                <w:szCs w:val="24"/>
              </w:rPr>
            </w:pPr>
            <w:r>
              <w:rPr>
                <w:rFonts w:ascii="Times New Roman" w:hAnsi="Times New Roman" w:cs="Times New Roman"/>
                <w:sz w:val="24"/>
                <w:szCs w:val="24"/>
              </w:rPr>
              <w:t>套</w:t>
            </w:r>
          </w:p>
        </w:tc>
        <w:tc>
          <w:tcPr>
            <w:tcW w:w="1082" w:type="dxa"/>
          </w:tcPr>
          <w:p>
            <w:pPr>
              <w:pStyle w:val="38"/>
              <w:jc w:val="center"/>
              <w:rPr>
                <w:rFonts w:ascii="Times New Roman" w:hAnsi="Times New Roman" w:cs="Times New Roman"/>
                <w:sz w:val="24"/>
                <w:szCs w:val="24"/>
              </w:rPr>
            </w:pPr>
            <w:r>
              <w:rPr>
                <w:rFonts w:ascii="Times New Roman" w:hAnsi="Times New Roman" w:cs="Times New Roman"/>
                <w:sz w:val="24"/>
                <w:szCs w:val="24"/>
              </w:rPr>
              <w:t>1</w:t>
            </w:r>
          </w:p>
        </w:tc>
      </w:tr>
    </w:tbl>
    <w:p>
      <w:pPr>
        <w:ind w:firstLine="480"/>
        <w:rPr>
          <w:sz w:val="24"/>
          <w:szCs w:val="24"/>
        </w:rPr>
      </w:pPr>
      <w:bookmarkStart w:id="172" w:name="bookmark74"/>
      <w:bookmarkEnd w:id="172"/>
      <w:bookmarkStart w:id="173" w:name="_Toc3589"/>
    </w:p>
    <w:p>
      <w:pPr>
        <w:ind w:firstLine="480"/>
        <w:jc w:val="center"/>
        <w:rPr>
          <w:sz w:val="24"/>
          <w:szCs w:val="24"/>
        </w:rPr>
      </w:pPr>
      <w:r>
        <w:rPr>
          <w:sz w:val="24"/>
          <w:szCs w:val="24"/>
        </w:rPr>
        <w:t>机房硬件清单</w:t>
      </w:r>
    </w:p>
    <w:tbl>
      <w:tblPr>
        <w:tblStyle w:val="23"/>
        <w:tblW w:w="877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840"/>
        <w:gridCol w:w="1707"/>
        <w:gridCol w:w="4578"/>
        <w:gridCol w:w="577"/>
        <w:gridCol w:w="475"/>
        <w:gridCol w:w="60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622" w:hRule="atLeast"/>
          <w:jc w:val="center"/>
        </w:trPr>
        <w:tc>
          <w:tcPr>
            <w:tcW w:w="840" w:type="dxa"/>
            <w:vAlign w:val="center"/>
          </w:tcPr>
          <w:p>
            <w:pPr>
              <w:jc w:val="center"/>
              <w:rPr>
                <w:sz w:val="24"/>
                <w:szCs w:val="24"/>
              </w:rPr>
            </w:pPr>
            <w:r>
              <w:rPr>
                <w:sz w:val="24"/>
                <w:szCs w:val="24"/>
              </w:rPr>
              <w:t>类别</w:t>
            </w:r>
          </w:p>
        </w:tc>
        <w:tc>
          <w:tcPr>
            <w:tcW w:w="1707" w:type="dxa"/>
            <w:tcBorders>
              <w:top w:val="single" w:color="000000" w:sz="2" w:space="0"/>
              <w:left w:val="single" w:color="000000" w:sz="4" w:space="0"/>
              <w:right w:val="single" w:color="000000" w:sz="4" w:space="0"/>
            </w:tcBorders>
            <w:vAlign w:val="center"/>
          </w:tcPr>
          <w:p>
            <w:pPr>
              <w:jc w:val="center"/>
              <w:rPr>
                <w:sz w:val="24"/>
                <w:szCs w:val="24"/>
              </w:rPr>
            </w:pPr>
            <w:r>
              <w:rPr>
                <w:sz w:val="24"/>
                <w:szCs w:val="24"/>
              </w:rPr>
              <w:t>名称</w:t>
            </w:r>
          </w:p>
        </w:tc>
        <w:tc>
          <w:tcPr>
            <w:tcW w:w="4578" w:type="dxa"/>
            <w:tcBorders>
              <w:top w:val="single" w:color="000000" w:sz="2" w:space="0"/>
              <w:left w:val="single" w:color="000000" w:sz="4" w:space="0"/>
              <w:bottom w:val="single" w:color="000000" w:sz="2" w:space="0"/>
              <w:right w:val="single" w:color="000000" w:sz="4" w:space="0"/>
            </w:tcBorders>
            <w:vAlign w:val="center"/>
          </w:tcPr>
          <w:p>
            <w:pPr>
              <w:jc w:val="center"/>
              <w:rPr>
                <w:sz w:val="24"/>
                <w:szCs w:val="24"/>
              </w:rPr>
            </w:pPr>
            <w:r>
              <w:rPr>
                <w:sz w:val="24"/>
                <w:szCs w:val="24"/>
              </w:rPr>
              <w:t>技术规格及主要参数</w:t>
            </w:r>
          </w:p>
        </w:tc>
        <w:tc>
          <w:tcPr>
            <w:tcW w:w="577" w:type="dxa"/>
            <w:tcBorders>
              <w:top w:val="single" w:color="000000" w:sz="2" w:space="0"/>
              <w:left w:val="single" w:color="000000" w:sz="4" w:space="0"/>
              <w:right w:val="single" w:color="000000" w:sz="4" w:space="0"/>
            </w:tcBorders>
            <w:vAlign w:val="center"/>
          </w:tcPr>
          <w:p>
            <w:pPr>
              <w:jc w:val="center"/>
              <w:rPr>
                <w:sz w:val="24"/>
                <w:szCs w:val="24"/>
              </w:rPr>
            </w:pPr>
            <w:r>
              <w:rPr>
                <w:sz w:val="24"/>
                <w:szCs w:val="24"/>
              </w:rPr>
              <w:t>单位</w:t>
            </w:r>
          </w:p>
        </w:tc>
        <w:tc>
          <w:tcPr>
            <w:tcW w:w="475" w:type="dxa"/>
            <w:tcBorders>
              <w:top w:val="single" w:color="000000" w:sz="2" w:space="0"/>
              <w:left w:val="single" w:color="000000" w:sz="4" w:space="0"/>
              <w:right w:val="single" w:color="000000" w:sz="4" w:space="0"/>
            </w:tcBorders>
            <w:vAlign w:val="center"/>
          </w:tcPr>
          <w:p>
            <w:pPr>
              <w:jc w:val="center"/>
              <w:rPr>
                <w:sz w:val="24"/>
                <w:szCs w:val="24"/>
              </w:rPr>
            </w:pPr>
            <w:r>
              <w:rPr>
                <w:sz w:val="24"/>
                <w:szCs w:val="24"/>
              </w:rPr>
              <w:t>数量</w:t>
            </w:r>
          </w:p>
        </w:tc>
        <w:tc>
          <w:tcPr>
            <w:tcW w:w="600" w:type="dxa"/>
            <w:tcBorders>
              <w:top w:val="single" w:color="000000" w:sz="2" w:space="0"/>
              <w:left w:val="single" w:color="000000" w:sz="4" w:space="0"/>
              <w:bottom w:val="single" w:color="000000" w:sz="2" w:space="0"/>
            </w:tcBorders>
            <w:vAlign w:val="center"/>
          </w:tcPr>
          <w:p>
            <w:pPr>
              <w:jc w:val="center"/>
              <w:rPr>
                <w:sz w:val="24"/>
                <w:szCs w:val="24"/>
              </w:rPr>
            </w:pPr>
            <w:r>
              <w:rPr>
                <w:sz w:val="24"/>
                <w:szCs w:val="24"/>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622" w:hRule="atLeast"/>
          <w:jc w:val="center"/>
        </w:trPr>
        <w:tc>
          <w:tcPr>
            <w:tcW w:w="840" w:type="dxa"/>
            <w:vMerge w:val="restart"/>
            <w:vAlign w:val="center"/>
          </w:tcPr>
          <w:p>
            <w:pPr>
              <w:jc w:val="center"/>
              <w:rPr>
                <w:sz w:val="24"/>
                <w:szCs w:val="24"/>
              </w:rPr>
            </w:pPr>
            <w:r>
              <w:rPr>
                <w:sz w:val="24"/>
                <w:szCs w:val="24"/>
              </w:rPr>
              <w:t>1</w:t>
            </w:r>
          </w:p>
        </w:tc>
        <w:tc>
          <w:tcPr>
            <w:tcW w:w="1707" w:type="dxa"/>
            <w:vMerge w:val="restart"/>
            <w:tcBorders>
              <w:top w:val="single" w:color="000000" w:sz="2" w:space="0"/>
              <w:left w:val="single" w:color="000000" w:sz="4" w:space="0"/>
              <w:right w:val="single" w:color="000000" w:sz="4" w:space="0"/>
            </w:tcBorders>
            <w:vAlign w:val="center"/>
          </w:tcPr>
          <w:p>
            <w:pPr>
              <w:jc w:val="center"/>
              <w:rPr>
                <w:sz w:val="24"/>
                <w:szCs w:val="24"/>
              </w:rPr>
            </w:pPr>
            <w:r>
              <w:rPr>
                <w:sz w:val="24"/>
                <w:szCs w:val="24"/>
              </w:rPr>
              <w:t>大屏显示系统</w:t>
            </w:r>
          </w:p>
        </w:tc>
        <w:tc>
          <w:tcPr>
            <w:tcW w:w="4578" w:type="dxa"/>
            <w:tcBorders>
              <w:top w:val="single" w:color="000000" w:sz="2" w:space="0"/>
              <w:left w:val="single" w:color="000000" w:sz="4" w:space="0"/>
              <w:bottom w:val="single" w:color="000000" w:sz="2" w:space="0"/>
              <w:right w:val="single" w:color="000000" w:sz="4" w:space="0"/>
            </w:tcBorders>
            <w:vAlign w:val="center"/>
          </w:tcPr>
          <w:p>
            <w:pPr>
              <w:jc w:val="center"/>
              <w:rPr>
                <w:sz w:val="24"/>
                <w:szCs w:val="24"/>
              </w:rPr>
            </w:pPr>
            <w:r>
              <w:rPr>
                <w:sz w:val="24"/>
                <w:szCs w:val="24"/>
              </w:rPr>
              <w:t>小间距LED屏8.59平方米，3.94米×2.18米，规格：P1.86</w:t>
            </w:r>
          </w:p>
        </w:tc>
        <w:tc>
          <w:tcPr>
            <w:tcW w:w="577" w:type="dxa"/>
            <w:vMerge w:val="restart"/>
            <w:tcBorders>
              <w:top w:val="single" w:color="000000" w:sz="2" w:space="0"/>
              <w:left w:val="single" w:color="000000" w:sz="4" w:space="0"/>
              <w:right w:val="single" w:color="000000" w:sz="4" w:space="0"/>
            </w:tcBorders>
            <w:vAlign w:val="center"/>
          </w:tcPr>
          <w:p>
            <w:pPr>
              <w:jc w:val="center"/>
              <w:rPr>
                <w:sz w:val="24"/>
                <w:szCs w:val="24"/>
              </w:rPr>
            </w:pPr>
            <w:r>
              <w:rPr>
                <w:sz w:val="24"/>
                <w:szCs w:val="24"/>
              </w:rPr>
              <w:t>套</w:t>
            </w:r>
          </w:p>
        </w:tc>
        <w:tc>
          <w:tcPr>
            <w:tcW w:w="475" w:type="dxa"/>
            <w:vMerge w:val="restart"/>
            <w:tcBorders>
              <w:top w:val="single" w:color="000000" w:sz="2" w:space="0"/>
              <w:left w:val="single" w:color="000000" w:sz="4" w:space="0"/>
              <w:right w:val="single" w:color="000000" w:sz="4" w:space="0"/>
            </w:tcBorders>
            <w:vAlign w:val="center"/>
          </w:tcPr>
          <w:p>
            <w:pPr>
              <w:jc w:val="center"/>
              <w:rPr>
                <w:sz w:val="24"/>
                <w:szCs w:val="24"/>
              </w:rPr>
            </w:pPr>
            <w:r>
              <w:rPr>
                <w:sz w:val="24"/>
                <w:szCs w:val="24"/>
              </w:rPr>
              <w:t>1</w:t>
            </w:r>
          </w:p>
        </w:tc>
        <w:tc>
          <w:tcPr>
            <w:tcW w:w="600" w:type="dxa"/>
            <w:vMerge w:val="restart"/>
            <w:tcBorders>
              <w:top w:val="single" w:color="000000" w:sz="2" w:space="0"/>
              <w:left w:val="single" w:color="000000" w:sz="4" w:space="0"/>
            </w:tcBorders>
            <w:vAlign w:val="center"/>
          </w:tcPr>
          <w:p>
            <w:pPr>
              <w:jc w:val="center"/>
              <w:rPr>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43" w:hRule="atLeast"/>
          <w:jc w:val="center"/>
        </w:trPr>
        <w:tc>
          <w:tcPr>
            <w:tcW w:w="840" w:type="dxa"/>
            <w:vMerge w:val="continue"/>
            <w:vAlign w:val="center"/>
          </w:tcPr>
          <w:p>
            <w:pPr>
              <w:jc w:val="center"/>
              <w:rPr>
                <w:sz w:val="24"/>
                <w:szCs w:val="24"/>
              </w:rPr>
            </w:pPr>
          </w:p>
        </w:tc>
        <w:tc>
          <w:tcPr>
            <w:tcW w:w="1707" w:type="dxa"/>
            <w:vMerge w:val="continue"/>
            <w:tcBorders>
              <w:left w:val="single" w:color="000000" w:sz="4" w:space="0"/>
              <w:right w:val="single" w:color="000000" w:sz="4" w:space="0"/>
            </w:tcBorders>
            <w:vAlign w:val="center"/>
          </w:tcPr>
          <w:p>
            <w:pPr>
              <w:jc w:val="center"/>
              <w:rPr>
                <w:sz w:val="24"/>
                <w:szCs w:val="24"/>
              </w:rPr>
            </w:pPr>
          </w:p>
        </w:tc>
        <w:tc>
          <w:tcPr>
            <w:tcW w:w="4578" w:type="dxa"/>
            <w:tcBorders>
              <w:top w:val="single" w:color="000000" w:sz="2" w:space="0"/>
              <w:left w:val="single" w:color="000000" w:sz="4" w:space="0"/>
              <w:bottom w:val="single" w:color="000000" w:sz="2" w:space="0"/>
              <w:right w:val="single" w:color="000000" w:sz="4" w:space="0"/>
            </w:tcBorders>
            <w:vAlign w:val="center"/>
          </w:tcPr>
          <w:p>
            <w:pPr>
              <w:jc w:val="center"/>
              <w:rPr>
                <w:sz w:val="24"/>
                <w:szCs w:val="24"/>
              </w:rPr>
            </w:pPr>
            <w:r>
              <w:rPr>
                <w:sz w:val="24"/>
                <w:szCs w:val="24"/>
              </w:rPr>
              <w:t>发送卡、接收卡</w:t>
            </w:r>
          </w:p>
        </w:tc>
        <w:tc>
          <w:tcPr>
            <w:tcW w:w="577" w:type="dxa"/>
            <w:vMerge w:val="continue"/>
            <w:tcBorders>
              <w:left w:val="single" w:color="000000" w:sz="4" w:space="0"/>
              <w:right w:val="single" w:color="000000" w:sz="4" w:space="0"/>
            </w:tcBorders>
            <w:vAlign w:val="center"/>
          </w:tcPr>
          <w:p>
            <w:pPr>
              <w:jc w:val="center"/>
              <w:rPr>
                <w:sz w:val="24"/>
                <w:szCs w:val="24"/>
              </w:rPr>
            </w:pPr>
          </w:p>
        </w:tc>
        <w:tc>
          <w:tcPr>
            <w:tcW w:w="475" w:type="dxa"/>
            <w:vMerge w:val="continue"/>
            <w:tcBorders>
              <w:left w:val="single" w:color="000000" w:sz="4" w:space="0"/>
              <w:right w:val="single" w:color="000000" w:sz="4" w:space="0"/>
            </w:tcBorders>
            <w:vAlign w:val="center"/>
          </w:tcPr>
          <w:p>
            <w:pPr>
              <w:jc w:val="center"/>
              <w:rPr>
                <w:sz w:val="24"/>
                <w:szCs w:val="24"/>
              </w:rPr>
            </w:pPr>
          </w:p>
        </w:tc>
        <w:tc>
          <w:tcPr>
            <w:tcW w:w="600" w:type="dxa"/>
            <w:vMerge w:val="continue"/>
            <w:tcBorders>
              <w:left w:val="single" w:color="000000" w:sz="4" w:space="0"/>
            </w:tcBorders>
            <w:vAlign w:val="center"/>
          </w:tcPr>
          <w:p>
            <w:pPr>
              <w:jc w:val="center"/>
              <w:rPr>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43" w:hRule="atLeast"/>
          <w:jc w:val="center"/>
        </w:trPr>
        <w:tc>
          <w:tcPr>
            <w:tcW w:w="840" w:type="dxa"/>
            <w:vMerge w:val="continue"/>
            <w:vAlign w:val="center"/>
          </w:tcPr>
          <w:p>
            <w:pPr>
              <w:jc w:val="center"/>
              <w:rPr>
                <w:sz w:val="24"/>
                <w:szCs w:val="24"/>
              </w:rPr>
            </w:pPr>
          </w:p>
        </w:tc>
        <w:tc>
          <w:tcPr>
            <w:tcW w:w="1707" w:type="dxa"/>
            <w:vMerge w:val="continue"/>
            <w:tcBorders>
              <w:left w:val="single" w:color="000000" w:sz="4" w:space="0"/>
              <w:right w:val="single" w:color="000000" w:sz="4" w:space="0"/>
            </w:tcBorders>
            <w:vAlign w:val="center"/>
          </w:tcPr>
          <w:p>
            <w:pPr>
              <w:jc w:val="center"/>
              <w:rPr>
                <w:sz w:val="24"/>
                <w:szCs w:val="24"/>
              </w:rPr>
            </w:pPr>
          </w:p>
        </w:tc>
        <w:tc>
          <w:tcPr>
            <w:tcW w:w="4578" w:type="dxa"/>
            <w:tcBorders>
              <w:top w:val="single" w:color="000000" w:sz="2" w:space="0"/>
              <w:left w:val="single" w:color="000000" w:sz="4" w:space="0"/>
              <w:bottom w:val="single" w:color="000000" w:sz="2" w:space="0"/>
              <w:right w:val="single" w:color="000000" w:sz="4" w:space="0"/>
            </w:tcBorders>
            <w:vAlign w:val="center"/>
          </w:tcPr>
          <w:p>
            <w:pPr>
              <w:jc w:val="center"/>
              <w:rPr>
                <w:sz w:val="24"/>
                <w:szCs w:val="24"/>
              </w:rPr>
            </w:pPr>
            <w:r>
              <w:rPr>
                <w:sz w:val="24"/>
                <w:szCs w:val="24"/>
              </w:rPr>
              <w:t>屏幕控制专用电脑，含控制软件</w:t>
            </w:r>
          </w:p>
        </w:tc>
        <w:tc>
          <w:tcPr>
            <w:tcW w:w="577" w:type="dxa"/>
            <w:vMerge w:val="continue"/>
            <w:tcBorders>
              <w:left w:val="single" w:color="000000" w:sz="4" w:space="0"/>
              <w:right w:val="single" w:color="000000" w:sz="4" w:space="0"/>
            </w:tcBorders>
            <w:vAlign w:val="center"/>
          </w:tcPr>
          <w:p>
            <w:pPr>
              <w:jc w:val="center"/>
              <w:rPr>
                <w:sz w:val="24"/>
                <w:szCs w:val="24"/>
              </w:rPr>
            </w:pPr>
          </w:p>
        </w:tc>
        <w:tc>
          <w:tcPr>
            <w:tcW w:w="475" w:type="dxa"/>
            <w:vMerge w:val="continue"/>
            <w:tcBorders>
              <w:left w:val="single" w:color="000000" w:sz="4" w:space="0"/>
              <w:right w:val="single" w:color="000000" w:sz="4" w:space="0"/>
            </w:tcBorders>
            <w:vAlign w:val="center"/>
          </w:tcPr>
          <w:p>
            <w:pPr>
              <w:jc w:val="center"/>
              <w:rPr>
                <w:sz w:val="24"/>
                <w:szCs w:val="24"/>
              </w:rPr>
            </w:pPr>
          </w:p>
        </w:tc>
        <w:tc>
          <w:tcPr>
            <w:tcW w:w="600" w:type="dxa"/>
            <w:vMerge w:val="continue"/>
            <w:tcBorders>
              <w:left w:val="single" w:color="000000" w:sz="4" w:space="0"/>
            </w:tcBorders>
            <w:vAlign w:val="center"/>
          </w:tcPr>
          <w:p>
            <w:pPr>
              <w:jc w:val="center"/>
              <w:rPr>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43" w:hRule="atLeast"/>
          <w:jc w:val="center"/>
        </w:trPr>
        <w:tc>
          <w:tcPr>
            <w:tcW w:w="840" w:type="dxa"/>
            <w:vMerge w:val="continue"/>
            <w:vAlign w:val="center"/>
          </w:tcPr>
          <w:p>
            <w:pPr>
              <w:jc w:val="center"/>
              <w:rPr>
                <w:sz w:val="24"/>
                <w:szCs w:val="24"/>
              </w:rPr>
            </w:pPr>
          </w:p>
        </w:tc>
        <w:tc>
          <w:tcPr>
            <w:tcW w:w="1707" w:type="dxa"/>
            <w:vMerge w:val="continue"/>
            <w:tcBorders>
              <w:left w:val="single" w:color="000000" w:sz="4" w:space="0"/>
              <w:right w:val="single" w:color="000000" w:sz="4" w:space="0"/>
            </w:tcBorders>
            <w:vAlign w:val="center"/>
          </w:tcPr>
          <w:p>
            <w:pPr>
              <w:jc w:val="center"/>
              <w:rPr>
                <w:sz w:val="24"/>
                <w:szCs w:val="24"/>
              </w:rPr>
            </w:pPr>
          </w:p>
        </w:tc>
        <w:tc>
          <w:tcPr>
            <w:tcW w:w="4578" w:type="dxa"/>
            <w:tcBorders>
              <w:top w:val="single" w:color="000000" w:sz="2" w:space="0"/>
              <w:left w:val="single" w:color="000000" w:sz="4" w:space="0"/>
              <w:bottom w:val="single" w:color="000000" w:sz="2" w:space="0"/>
              <w:right w:val="single" w:color="000000" w:sz="4" w:space="0"/>
            </w:tcBorders>
            <w:vAlign w:val="center"/>
          </w:tcPr>
          <w:p>
            <w:pPr>
              <w:jc w:val="center"/>
              <w:rPr>
                <w:sz w:val="24"/>
                <w:szCs w:val="24"/>
              </w:rPr>
            </w:pPr>
            <w:r>
              <w:rPr>
                <w:sz w:val="24"/>
                <w:szCs w:val="24"/>
              </w:rPr>
              <w:t>LED播放软件</w:t>
            </w:r>
          </w:p>
        </w:tc>
        <w:tc>
          <w:tcPr>
            <w:tcW w:w="577" w:type="dxa"/>
            <w:vMerge w:val="continue"/>
            <w:tcBorders>
              <w:left w:val="single" w:color="000000" w:sz="4" w:space="0"/>
              <w:right w:val="single" w:color="000000" w:sz="4" w:space="0"/>
            </w:tcBorders>
            <w:vAlign w:val="center"/>
          </w:tcPr>
          <w:p>
            <w:pPr>
              <w:jc w:val="center"/>
              <w:rPr>
                <w:sz w:val="24"/>
                <w:szCs w:val="24"/>
              </w:rPr>
            </w:pPr>
          </w:p>
        </w:tc>
        <w:tc>
          <w:tcPr>
            <w:tcW w:w="475" w:type="dxa"/>
            <w:vMerge w:val="continue"/>
            <w:tcBorders>
              <w:left w:val="single" w:color="000000" w:sz="4" w:space="0"/>
              <w:right w:val="single" w:color="000000" w:sz="4" w:space="0"/>
            </w:tcBorders>
            <w:vAlign w:val="center"/>
          </w:tcPr>
          <w:p>
            <w:pPr>
              <w:jc w:val="center"/>
              <w:rPr>
                <w:sz w:val="24"/>
                <w:szCs w:val="24"/>
              </w:rPr>
            </w:pPr>
          </w:p>
        </w:tc>
        <w:tc>
          <w:tcPr>
            <w:tcW w:w="600" w:type="dxa"/>
            <w:vMerge w:val="continue"/>
            <w:tcBorders>
              <w:left w:val="single" w:color="000000" w:sz="4" w:space="0"/>
            </w:tcBorders>
            <w:vAlign w:val="center"/>
          </w:tcPr>
          <w:p>
            <w:pPr>
              <w:jc w:val="center"/>
              <w:rPr>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43" w:hRule="atLeast"/>
          <w:jc w:val="center"/>
        </w:trPr>
        <w:tc>
          <w:tcPr>
            <w:tcW w:w="840" w:type="dxa"/>
            <w:vMerge w:val="continue"/>
            <w:vAlign w:val="center"/>
          </w:tcPr>
          <w:p>
            <w:pPr>
              <w:jc w:val="center"/>
              <w:rPr>
                <w:sz w:val="24"/>
                <w:szCs w:val="24"/>
              </w:rPr>
            </w:pPr>
          </w:p>
        </w:tc>
        <w:tc>
          <w:tcPr>
            <w:tcW w:w="1707" w:type="dxa"/>
            <w:vMerge w:val="continue"/>
            <w:tcBorders>
              <w:left w:val="single" w:color="000000" w:sz="4" w:space="0"/>
              <w:right w:val="single" w:color="000000" w:sz="4" w:space="0"/>
            </w:tcBorders>
            <w:vAlign w:val="center"/>
          </w:tcPr>
          <w:p>
            <w:pPr>
              <w:jc w:val="center"/>
              <w:rPr>
                <w:sz w:val="24"/>
                <w:szCs w:val="24"/>
              </w:rPr>
            </w:pPr>
          </w:p>
        </w:tc>
        <w:tc>
          <w:tcPr>
            <w:tcW w:w="4578" w:type="dxa"/>
            <w:tcBorders>
              <w:top w:val="single" w:color="000000" w:sz="2" w:space="0"/>
              <w:left w:val="single" w:color="000000" w:sz="4" w:space="0"/>
              <w:bottom w:val="single" w:color="000000" w:sz="2" w:space="0"/>
              <w:right w:val="single" w:color="000000" w:sz="4" w:space="0"/>
            </w:tcBorders>
            <w:vAlign w:val="center"/>
          </w:tcPr>
          <w:p>
            <w:pPr>
              <w:jc w:val="center"/>
              <w:rPr>
                <w:sz w:val="24"/>
                <w:szCs w:val="24"/>
              </w:rPr>
            </w:pPr>
            <w:r>
              <w:rPr>
                <w:sz w:val="24"/>
                <w:szCs w:val="24"/>
              </w:rPr>
              <w:t>线缆及辅材及安装</w:t>
            </w:r>
          </w:p>
        </w:tc>
        <w:tc>
          <w:tcPr>
            <w:tcW w:w="577" w:type="dxa"/>
            <w:vMerge w:val="continue"/>
            <w:tcBorders>
              <w:left w:val="single" w:color="000000" w:sz="4" w:space="0"/>
              <w:right w:val="single" w:color="000000" w:sz="4" w:space="0"/>
            </w:tcBorders>
            <w:vAlign w:val="center"/>
          </w:tcPr>
          <w:p>
            <w:pPr>
              <w:jc w:val="center"/>
              <w:rPr>
                <w:sz w:val="24"/>
                <w:szCs w:val="24"/>
              </w:rPr>
            </w:pPr>
          </w:p>
        </w:tc>
        <w:tc>
          <w:tcPr>
            <w:tcW w:w="475" w:type="dxa"/>
            <w:vMerge w:val="continue"/>
            <w:tcBorders>
              <w:left w:val="single" w:color="000000" w:sz="4" w:space="0"/>
              <w:right w:val="single" w:color="000000" w:sz="4" w:space="0"/>
            </w:tcBorders>
            <w:vAlign w:val="center"/>
          </w:tcPr>
          <w:p>
            <w:pPr>
              <w:jc w:val="center"/>
              <w:rPr>
                <w:sz w:val="24"/>
                <w:szCs w:val="24"/>
              </w:rPr>
            </w:pPr>
          </w:p>
        </w:tc>
        <w:tc>
          <w:tcPr>
            <w:tcW w:w="600" w:type="dxa"/>
            <w:vMerge w:val="continue"/>
            <w:tcBorders>
              <w:left w:val="single" w:color="000000" w:sz="4" w:space="0"/>
            </w:tcBorders>
            <w:vAlign w:val="center"/>
          </w:tcPr>
          <w:p>
            <w:pPr>
              <w:jc w:val="center"/>
              <w:rPr>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43" w:hRule="atLeast"/>
          <w:jc w:val="center"/>
        </w:trPr>
        <w:tc>
          <w:tcPr>
            <w:tcW w:w="840" w:type="dxa"/>
            <w:vMerge w:val="continue"/>
            <w:vAlign w:val="center"/>
          </w:tcPr>
          <w:p>
            <w:pPr>
              <w:jc w:val="center"/>
              <w:rPr>
                <w:sz w:val="24"/>
                <w:szCs w:val="24"/>
              </w:rPr>
            </w:pPr>
          </w:p>
        </w:tc>
        <w:tc>
          <w:tcPr>
            <w:tcW w:w="1707" w:type="dxa"/>
            <w:vMerge w:val="continue"/>
            <w:tcBorders>
              <w:left w:val="single" w:color="000000" w:sz="4" w:space="0"/>
              <w:right w:val="single" w:color="000000" w:sz="4" w:space="0"/>
            </w:tcBorders>
            <w:vAlign w:val="center"/>
          </w:tcPr>
          <w:p>
            <w:pPr>
              <w:jc w:val="center"/>
              <w:rPr>
                <w:sz w:val="24"/>
                <w:szCs w:val="24"/>
              </w:rPr>
            </w:pPr>
          </w:p>
        </w:tc>
        <w:tc>
          <w:tcPr>
            <w:tcW w:w="4578" w:type="dxa"/>
            <w:tcBorders>
              <w:top w:val="single" w:color="000000" w:sz="2" w:space="0"/>
              <w:left w:val="single" w:color="000000" w:sz="4" w:space="0"/>
              <w:bottom w:val="single" w:color="000000" w:sz="2" w:space="0"/>
              <w:right w:val="single" w:color="000000" w:sz="4" w:space="0"/>
            </w:tcBorders>
            <w:vAlign w:val="center"/>
          </w:tcPr>
          <w:p>
            <w:pPr>
              <w:jc w:val="center"/>
              <w:rPr>
                <w:sz w:val="24"/>
                <w:szCs w:val="24"/>
              </w:rPr>
            </w:pPr>
            <w:r>
              <w:rPr>
                <w:sz w:val="24"/>
                <w:szCs w:val="24"/>
              </w:rPr>
              <w:t>物品遗留、物品搬运、快速移动等多种行为检测;支持多种触发规则</w:t>
            </w:r>
          </w:p>
        </w:tc>
        <w:tc>
          <w:tcPr>
            <w:tcW w:w="577" w:type="dxa"/>
            <w:vMerge w:val="continue"/>
            <w:tcBorders>
              <w:left w:val="single" w:color="000000" w:sz="4" w:space="0"/>
              <w:right w:val="single" w:color="000000" w:sz="4" w:space="0"/>
            </w:tcBorders>
            <w:vAlign w:val="center"/>
          </w:tcPr>
          <w:p>
            <w:pPr>
              <w:jc w:val="center"/>
              <w:rPr>
                <w:sz w:val="24"/>
                <w:szCs w:val="24"/>
              </w:rPr>
            </w:pPr>
          </w:p>
        </w:tc>
        <w:tc>
          <w:tcPr>
            <w:tcW w:w="475" w:type="dxa"/>
            <w:vMerge w:val="continue"/>
            <w:tcBorders>
              <w:left w:val="single" w:color="000000" w:sz="4" w:space="0"/>
              <w:right w:val="single" w:color="000000" w:sz="4" w:space="0"/>
            </w:tcBorders>
            <w:vAlign w:val="center"/>
          </w:tcPr>
          <w:p>
            <w:pPr>
              <w:jc w:val="center"/>
              <w:rPr>
                <w:sz w:val="24"/>
                <w:szCs w:val="24"/>
              </w:rPr>
            </w:pPr>
          </w:p>
        </w:tc>
        <w:tc>
          <w:tcPr>
            <w:tcW w:w="600" w:type="dxa"/>
            <w:vMerge w:val="continue"/>
            <w:tcBorders>
              <w:left w:val="single" w:color="000000" w:sz="4" w:space="0"/>
            </w:tcBorders>
            <w:vAlign w:val="center"/>
          </w:tcPr>
          <w:p>
            <w:pPr>
              <w:jc w:val="center"/>
              <w:rPr>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43" w:hRule="atLeast"/>
          <w:jc w:val="center"/>
        </w:trPr>
        <w:tc>
          <w:tcPr>
            <w:tcW w:w="840" w:type="dxa"/>
            <w:vMerge w:val="continue"/>
            <w:vAlign w:val="center"/>
          </w:tcPr>
          <w:p>
            <w:pPr>
              <w:jc w:val="center"/>
              <w:rPr>
                <w:sz w:val="24"/>
                <w:szCs w:val="24"/>
              </w:rPr>
            </w:pPr>
          </w:p>
        </w:tc>
        <w:tc>
          <w:tcPr>
            <w:tcW w:w="1707" w:type="dxa"/>
            <w:vMerge w:val="continue"/>
            <w:tcBorders>
              <w:left w:val="single" w:color="000000" w:sz="4" w:space="0"/>
              <w:bottom w:val="single" w:color="000000" w:sz="2" w:space="0"/>
              <w:right w:val="single" w:color="000000" w:sz="4" w:space="0"/>
            </w:tcBorders>
            <w:vAlign w:val="center"/>
          </w:tcPr>
          <w:p>
            <w:pPr>
              <w:jc w:val="center"/>
              <w:rPr>
                <w:sz w:val="24"/>
                <w:szCs w:val="24"/>
              </w:rPr>
            </w:pPr>
          </w:p>
        </w:tc>
        <w:tc>
          <w:tcPr>
            <w:tcW w:w="4578" w:type="dxa"/>
            <w:tcBorders>
              <w:top w:val="single" w:color="000000" w:sz="2" w:space="0"/>
              <w:left w:val="single" w:color="000000" w:sz="4" w:space="0"/>
              <w:bottom w:val="single" w:color="000000" w:sz="2" w:space="0"/>
              <w:right w:val="single" w:color="000000" w:sz="4" w:space="0"/>
            </w:tcBorders>
            <w:vAlign w:val="center"/>
          </w:tcPr>
          <w:p>
            <w:pPr>
              <w:jc w:val="center"/>
              <w:rPr>
                <w:sz w:val="24"/>
                <w:szCs w:val="24"/>
              </w:rPr>
            </w:pPr>
            <w:r>
              <w:rPr>
                <w:sz w:val="24"/>
                <w:szCs w:val="24"/>
              </w:rPr>
              <w:t>联动动作</w:t>
            </w:r>
          </w:p>
        </w:tc>
        <w:tc>
          <w:tcPr>
            <w:tcW w:w="577" w:type="dxa"/>
            <w:vMerge w:val="continue"/>
            <w:tcBorders>
              <w:left w:val="single" w:color="000000" w:sz="4" w:space="0"/>
              <w:bottom w:val="single" w:color="000000" w:sz="2" w:space="0"/>
              <w:right w:val="single" w:color="000000" w:sz="4" w:space="0"/>
            </w:tcBorders>
            <w:vAlign w:val="center"/>
          </w:tcPr>
          <w:p>
            <w:pPr>
              <w:jc w:val="center"/>
              <w:rPr>
                <w:sz w:val="24"/>
                <w:szCs w:val="24"/>
              </w:rPr>
            </w:pPr>
          </w:p>
        </w:tc>
        <w:tc>
          <w:tcPr>
            <w:tcW w:w="475" w:type="dxa"/>
            <w:vMerge w:val="continue"/>
            <w:tcBorders>
              <w:left w:val="single" w:color="000000" w:sz="4" w:space="0"/>
              <w:bottom w:val="single" w:color="000000" w:sz="2" w:space="0"/>
              <w:right w:val="single" w:color="000000" w:sz="4" w:space="0"/>
            </w:tcBorders>
            <w:vAlign w:val="center"/>
          </w:tcPr>
          <w:p>
            <w:pPr>
              <w:jc w:val="center"/>
              <w:rPr>
                <w:sz w:val="24"/>
                <w:szCs w:val="24"/>
              </w:rPr>
            </w:pPr>
          </w:p>
        </w:tc>
        <w:tc>
          <w:tcPr>
            <w:tcW w:w="600" w:type="dxa"/>
            <w:vMerge w:val="continue"/>
            <w:tcBorders>
              <w:left w:val="single" w:color="000000" w:sz="4" w:space="0"/>
              <w:bottom w:val="single" w:color="000000" w:sz="2" w:space="0"/>
            </w:tcBorders>
            <w:vAlign w:val="center"/>
          </w:tcPr>
          <w:p>
            <w:pPr>
              <w:jc w:val="center"/>
              <w:rPr>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622" w:hRule="atLeast"/>
          <w:jc w:val="center"/>
        </w:trPr>
        <w:tc>
          <w:tcPr>
            <w:tcW w:w="840" w:type="dxa"/>
            <w:vAlign w:val="center"/>
          </w:tcPr>
          <w:p>
            <w:pPr>
              <w:jc w:val="center"/>
              <w:rPr>
                <w:sz w:val="24"/>
                <w:szCs w:val="24"/>
              </w:rPr>
            </w:pPr>
            <w:r>
              <w:rPr>
                <w:sz w:val="24"/>
                <w:szCs w:val="24"/>
              </w:rPr>
              <w:t>2</w:t>
            </w:r>
          </w:p>
        </w:tc>
        <w:tc>
          <w:tcPr>
            <w:tcW w:w="1707" w:type="dxa"/>
            <w:tcBorders>
              <w:top w:val="single" w:color="000000" w:sz="2" w:space="0"/>
              <w:left w:val="single" w:color="000000" w:sz="4" w:space="0"/>
              <w:bottom w:val="single" w:color="000000" w:sz="2" w:space="0"/>
              <w:right w:val="single" w:color="000000" w:sz="4" w:space="0"/>
            </w:tcBorders>
            <w:vAlign w:val="center"/>
          </w:tcPr>
          <w:p>
            <w:pPr>
              <w:jc w:val="center"/>
              <w:rPr>
                <w:sz w:val="24"/>
                <w:szCs w:val="24"/>
              </w:rPr>
            </w:pPr>
            <w:r>
              <w:rPr>
                <w:sz w:val="24"/>
                <w:szCs w:val="24"/>
              </w:rPr>
              <w:t>操作站</w:t>
            </w:r>
          </w:p>
        </w:tc>
        <w:tc>
          <w:tcPr>
            <w:tcW w:w="4578" w:type="dxa"/>
            <w:tcBorders>
              <w:top w:val="single" w:color="000000" w:sz="2" w:space="0"/>
              <w:left w:val="single" w:color="000000" w:sz="4" w:space="0"/>
              <w:bottom w:val="single" w:color="000000" w:sz="2" w:space="0"/>
              <w:right w:val="single" w:color="000000" w:sz="4" w:space="0"/>
            </w:tcBorders>
            <w:vAlign w:val="center"/>
          </w:tcPr>
          <w:p>
            <w:pPr>
              <w:jc w:val="center"/>
              <w:rPr>
                <w:sz w:val="24"/>
                <w:szCs w:val="24"/>
              </w:rPr>
            </w:pPr>
            <w:r>
              <w:rPr>
                <w:sz w:val="24"/>
                <w:szCs w:val="24"/>
              </w:rPr>
              <w:t>台式电脑，i7，内存32G，硬盘：2T，27寸显示器</w:t>
            </w:r>
          </w:p>
        </w:tc>
        <w:tc>
          <w:tcPr>
            <w:tcW w:w="577" w:type="dxa"/>
            <w:tcBorders>
              <w:top w:val="single" w:color="000000" w:sz="2" w:space="0"/>
              <w:left w:val="single" w:color="000000" w:sz="4" w:space="0"/>
              <w:bottom w:val="single" w:color="000000" w:sz="2" w:space="0"/>
              <w:right w:val="single" w:color="000000" w:sz="4" w:space="0"/>
            </w:tcBorders>
            <w:vAlign w:val="center"/>
          </w:tcPr>
          <w:p>
            <w:pPr>
              <w:jc w:val="center"/>
              <w:rPr>
                <w:sz w:val="24"/>
                <w:szCs w:val="24"/>
              </w:rPr>
            </w:pPr>
            <w:r>
              <w:rPr>
                <w:sz w:val="24"/>
                <w:szCs w:val="24"/>
              </w:rPr>
              <w:t>台</w:t>
            </w:r>
          </w:p>
        </w:tc>
        <w:tc>
          <w:tcPr>
            <w:tcW w:w="475" w:type="dxa"/>
            <w:tcBorders>
              <w:top w:val="single" w:color="000000" w:sz="2" w:space="0"/>
              <w:left w:val="single" w:color="000000" w:sz="4" w:space="0"/>
              <w:bottom w:val="single" w:color="000000" w:sz="2" w:space="0"/>
              <w:right w:val="single" w:color="000000" w:sz="4" w:space="0"/>
            </w:tcBorders>
            <w:vAlign w:val="center"/>
          </w:tcPr>
          <w:p>
            <w:pPr>
              <w:jc w:val="center"/>
              <w:rPr>
                <w:sz w:val="24"/>
                <w:szCs w:val="24"/>
              </w:rPr>
            </w:pPr>
            <w:r>
              <w:rPr>
                <w:sz w:val="24"/>
                <w:szCs w:val="24"/>
              </w:rPr>
              <w:t>2</w:t>
            </w:r>
          </w:p>
        </w:tc>
        <w:tc>
          <w:tcPr>
            <w:tcW w:w="600" w:type="dxa"/>
            <w:tcBorders>
              <w:top w:val="single" w:color="000000" w:sz="2" w:space="0"/>
              <w:left w:val="single" w:color="000000" w:sz="4" w:space="0"/>
              <w:bottom w:val="single" w:color="000000" w:sz="2" w:space="0"/>
            </w:tcBorders>
            <w:vAlign w:val="center"/>
          </w:tcPr>
          <w:p>
            <w:pPr>
              <w:jc w:val="center"/>
              <w:rPr>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0" w:hRule="atLeast"/>
          <w:jc w:val="center"/>
        </w:trPr>
        <w:tc>
          <w:tcPr>
            <w:tcW w:w="840" w:type="dxa"/>
            <w:vAlign w:val="center"/>
          </w:tcPr>
          <w:p>
            <w:pPr>
              <w:jc w:val="center"/>
              <w:rPr>
                <w:sz w:val="24"/>
                <w:szCs w:val="24"/>
              </w:rPr>
            </w:pPr>
            <w:r>
              <w:rPr>
                <w:sz w:val="24"/>
                <w:szCs w:val="24"/>
              </w:rPr>
              <w:t>3</w:t>
            </w:r>
          </w:p>
        </w:tc>
        <w:tc>
          <w:tcPr>
            <w:tcW w:w="1707" w:type="dxa"/>
            <w:tcBorders>
              <w:top w:val="single" w:color="000000" w:sz="2" w:space="0"/>
              <w:left w:val="single" w:color="000000" w:sz="4" w:space="0"/>
              <w:bottom w:val="single" w:color="000000" w:sz="2" w:space="0"/>
              <w:right w:val="single" w:color="000000" w:sz="4" w:space="0"/>
            </w:tcBorders>
            <w:vAlign w:val="center"/>
          </w:tcPr>
          <w:p>
            <w:pPr>
              <w:jc w:val="center"/>
              <w:rPr>
                <w:sz w:val="24"/>
                <w:szCs w:val="24"/>
              </w:rPr>
            </w:pPr>
            <w:r>
              <w:rPr>
                <w:sz w:val="24"/>
                <w:szCs w:val="24"/>
              </w:rPr>
              <w:t>机房装修</w:t>
            </w:r>
          </w:p>
        </w:tc>
        <w:tc>
          <w:tcPr>
            <w:tcW w:w="4578" w:type="dxa"/>
            <w:tcBorders>
              <w:top w:val="single" w:color="000000" w:sz="2" w:space="0"/>
              <w:left w:val="single" w:color="000000" w:sz="4" w:space="0"/>
              <w:bottom w:val="single" w:color="000000" w:sz="2" w:space="0"/>
              <w:right w:val="single" w:color="000000" w:sz="4" w:space="0"/>
            </w:tcBorders>
            <w:vAlign w:val="center"/>
          </w:tcPr>
          <w:p>
            <w:pPr>
              <w:jc w:val="center"/>
              <w:rPr>
                <w:sz w:val="24"/>
                <w:szCs w:val="24"/>
              </w:rPr>
            </w:pPr>
            <w:r>
              <w:rPr>
                <w:sz w:val="24"/>
                <w:szCs w:val="24"/>
              </w:rPr>
              <w:t>业主自定，满足防火及防火要求</w:t>
            </w:r>
          </w:p>
        </w:tc>
        <w:tc>
          <w:tcPr>
            <w:tcW w:w="577" w:type="dxa"/>
            <w:tcBorders>
              <w:top w:val="single" w:color="000000" w:sz="2" w:space="0"/>
              <w:left w:val="single" w:color="000000" w:sz="4" w:space="0"/>
              <w:bottom w:val="single" w:color="000000" w:sz="2" w:space="0"/>
              <w:right w:val="single" w:color="000000" w:sz="4" w:space="0"/>
            </w:tcBorders>
            <w:vAlign w:val="center"/>
          </w:tcPr>
          <w:p>
            <w:pPr>
              <w:jc w:val="center"/>
              <w:rPr>
                <w:sz w:val="24"/>
                <w:szCs w:val="24"/>
              </w:rPr>
            </w:pPr>
            <w:r>
              <w:rPr>
                <w:sz w:val="24"/>
                <w:szCs w:val="24"/>
              </w:rPr>
              <w:t>项</w:t>
            </w:r>
          </w:p>
        </w:tc>
        <w:tc>
          <w:tcPr>
            <w:tcW w:w="475" w:type="dxa"/>
            <w:tcBorders>
              <w:top w:val="single" w:color="000000" w:sz="2" w:space="0"/>
              <w:left w:val="single" w:color="000000" w:sz="4" w:space="0"/>
              <w:bottom w:val="single" w:color="000000" w:sz="2" w:space="0"/>
              <w:right w:val="single" w:color="000000" w:sz="4" w:space="0"/>
            </w:tcBorders>
            <w:vAlign w:val="center"/>
          </w:tcPr>
          <w:p>
            <w:pPr>
              <w:jc w:val="center"/>
              <w:rPr>
                <w:sz w:val="24"/>
                <w:szCs w:val="24"/>
              </w:rPr>
            </w:pPr>
            <w:r>
              <w:rPr>
                <w:sz w:val="24"/>
                <w:szCs w:val="24"/>
              </w:rPr>
              <w:t>1</w:t>
            </w:r>
          </w:p>
        </w:tc>
        <w:tc>
          <w:tcPr>
            <w:tcW w:w="600" w:type="dxa"/>
            <w:tcBorders>
              <w:top w:val="single" w:color="000000" w:sz="2" w:space="0"/>
              <w:left w:val="single" w:color="000000" w:sz="4" w:space="0"/>
              <w:bottom w:val="single" w:color="000000" w:sz="2" w:space="0"/>
            </w:tcBorders>
            <w:vAlign w:val="center"/>
          </w:tcPr>
          <w:p>
            <w:pPr>
              <w:jc w:val="center"/>
              <w:rPr>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635" w:hRule="atLeast"/>
          <w:jc w:val="center"/>
        </w:trPr>
        <w:tc>
          <w:tcPr>
            <w:tcW w:w="840" w:type="dxa"/>
            <w:vAlign w:val="center"/>
          </w:tcPr>
          <w:p>
            <w:pPr>
              <w:jc w:val="center"/>
              <w:rPr>
                <w:sz w:val="24"/>
                <w:szCs w:val="24"/>
              </w:rPr>
            </w:pPr>
            <w:r>
              <w:rPr>
                <w:sz w:val="24"/>
                <w:szCs w:val="24"/>
              </w:rPr>
              <w:t>4</w:t>
            </w:r>
          </w:p>
        </w:tc>
        <w:tc>
          <w:tcPr>
            <w:tcW w:w="1707" w:type="dxa"/>
            <w:tcBorders>
              <w:top w:val="single" w:color="000000" w:sz="2" w:space="0"/>
              <w:left w:val="single" w:color="000000" w:sz="4" w:space="0"/>
              <w:bottom w:val="single" w:color="000000" w:sz="2" w:space="0"/>
              <w:right w:val="single" w:color="000000" w:sz="4" w:space="0"/>
            </w:tcBorders>
            <w:vAlign w:val="center"/>
          </w:tcPr>
          <w:p>
            <w:pPr>
              <w:jc w:val="center"/>
              <w:rPr>
                <w:sz w:val="24"/>
                <w:szCs w:val="24"/>
              </w:rPr>
            </w:pPr>
            <w:r>
              <w:rPr>
                <w:sz w:val="24"/>
                <w:szCs w:val="24"/>
              </w:rPr>
              <w:t>强电工程</w:t>
            </w:r>
          </w:p>
        </w:tc>
        <w:tc>
          <w:tcPr>
            <w:tcW w:w="4578" w:type="dxa"/>
            <w:tcBorders>
              <w:top w:val="single" w:color="000000" w:sz="2" w:space="0"/>
              <w:left w:val="single" w:color="000000" w:sz="4" w:space="0"/>
              <w:bottom w:val="single" w:color="000000" w:sz="2" w:space="0"/>
              <w:right w:val="single" w:color="000000" w:sz="4" w:space="0"/>
            </w:tcBorders>
            <w:vAlign w:val="center"/>
          </w:tcPr>
          <w:p>
            <w:pPr>
              <w:jc w:val="center"/>
              <w:rPr>
                <w:sz w:val="24"/>
                <w:szCs w:val="24"/>
              </w:rPr>
            </w:pPr>
            <w:r>
              <w:rPr>
                <w:sz w:val="24"/>
                <w:szCs w:val="24"/>
              </w:rPr>
              <w:t>配电箱、房间照明、插座、线缆等;照度300Lx</w:t>
            </w:r>
          </w:p>
        </w:tc>
        <w:tc>
          <w:tcPr>
            <w:tcW w:w="577" w:type="dxa"/>
            <w:tcBorders>
              <w:top w:val="single" w:color="000000" w:sz="2" w:space="0"/>
              <w:left w:val="single" w:color="000000" w:sz="4" w:space="0"/>
              <w:bottom w:val="single" w:color="000000" w:sz="2" w:space="0"/>
              <w:right w:val="single" w:color="000000" w:sz="4" w:space="0"/>
            </w:tcBorders>
            <w:vAlign w:val="center"/>
          </w:tcPr>
          <w:p>
            <w:pPr>
              <w:jc w:val="center"/>
              <w:rPr>
                <w:sz w:val="24"/>
                <w:szCs w:val="24"/>
              </w:rPr>
            </w:pPr>
            <w:r>
              <w:rPr>
                <w:sz w:val="24"/>
                <w:szCs w:val="24"/>
              </w:rPr>
              <w:t>项</w:t>
            </w:r>
          </w:p>
        </w:tc>
        <w:tc>
          <w:tcPr>
            <w:tcW w:w="475" w:type="dxa"/>
            <w:tcBorders>
              <w:top w:val="single" w:color="000000" w:sz="2" w:space="0"/>
              <w:left w:val="single" w:color="000000" w:sz="4" w:space="0"/>
              <w:bottom w:val="single" w:color="000000" w:sz="2" w:space="0"/>
              <w:right w:val="single" w:color="000000" w:sz="4" w:space="0"/>
            </w:tcBorders>
            <w:vAlign w:val="center"/>
          </w:tcPr>
          <w:p>
            <w:pPr>
              <w:jc w:val="center"/>
              <w:rPr>
                <w:sz w:val="24"/>
                <w:szCs w:val="24"/>
              </w:rPr>
            </w:pPr>
            <w:r>
              <w:rPr>
                <w:sz w:val="24"/>
                <w:szCs w:val="24"/>
              </w:rPr>
              <w:t>1</w:t>
            </w:r>
          </w:p>
        </w:tc>
        <w:tc>
          <w:tcPr>
            <w:tcW w:w="600" w:type="dxa"/>
            <w:tcBorders>
              <w:top w:val="single" w:color="000000" w:sz="2" w:space="0"/>
              <w:left w:val="single" w:color="000000" w:sz="4" w:space="0"/>
              <w:bottom w:val="single" w:color="000000" w:sz="2" w:space="0"/>
            </w:tcBorders>
            <w:vAlign w:val="center"/>
          </w:tcPr>
          <w:p>
            <w:pPr>
              <w:jc w:val="center"/>
              <w:rPr>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0" w:hRule="atLeast"/>
          <w:jc w:val="center"/>
        </w:trPr>
        <w:tc>
          <w:tcPr>
            <w:tcW w:w="840" w:type="dxa"/>
            <w:vAlign w:val="center"/>
          </w:tcPr>
          <w:p>
            <w:pPr>
              <w:jc w:val="center"/>
              <w:rPr>
                <w:sz w:val="24"/>
                <w:szCs w:val="24"/>
              </w:rPr>
            </w:pPr>
            <w:r>
              <w:rPr>
                <w:sz w:val="24"/>
                <w:szCs w:val="24"/>
              </w:rPr>
              <w:t>5</w:t>
            </w:r>
          </w:p>
        </w:tc>
        <w:tc>
          <w:tcPr>
            <w:tcW w:w="1707" w:type="dxa"/>
            <w:tcBorders>
              <w:top w:val="single" w:color="000000" w:sz="2" w:space="0"/>
              <w:left w:val="single" w:color="000000" w:sz="4" w:space="0"/>
              <w:bottom w:val="single" w:color="000000" w:sz="2" w:space="0"/>
              <w:right w:val="single" w:color="000000" w:sz="4" w:space="0"/>
            </w:tcBorders>
            <w:vAlign w:val="center"/>
          </w:tcPr>
          <w:p>
            <w:pPr>
              <w:jc w:val="center"/>
              <w:rPr>
                <w:sz w:val="24"/>
                <w:szCs w:val="24"/>
              </w:rPr>
            </w:pPr>
            <w:r>
              <w:rPr>
                <w:sz w:val="24"/>
                <w:szCs w:val="24"/>
              </w:rPr>
              <w:t>弱电工程</w:t>
            </w:r>
          </w:p>
        </w:tc>
        <w:tc>
          <w:tcPr>
            <w:tcW w:w="4578" w:type="dxa"/>
            <w:tcBorders>
              <w:top w:val="single" w:color="000000" w:sz="2" w:space="0"/>
              <w:left w:val="single" w:color="000000" w:sz="4" w:space="0"/>
              <w:bottom w:val="single" w:color="000000" w:sz="2" w:space="0"/>
              <w:right w:val="single" w:color="000000" w:sz="4" w:space="0"/>
            </w:tcBorders>
            <w:vAlign w:val="center"/>
          </w:tcPr>
          <w:p>
            <w:pPr>
              <w:jc w:val="center"/>
              <w:rPr>
                <w:sz w:val="24"/>
                <w:szCs w:val="24"/>
              </w:rPr>
            </w:pPr>
            <w:r>
              <w:rPr>
                <w:sz w:val="24"/>
                <w:szCs w:val="24"/>
              </w:rPr>
              <w:t>机房网络插座、电话等</w:t>
            </w:r>
          </w:p>
        </w:tc>
        <w:tc>
          <w:tcPr>
            <w:tcW w:w="577" w:type="dxa"/>
            <w:tcBorders>
              <w:top w:val="single" w:color="000000" w:sz="2" w:space="0"/>
              <w:left w:val="single" w:color="000000" w:sz="4" w:space="0"/>
              <w:bottom w:val="single" w:color="000000" w:sz="2" w:space="0"/>
              <w:right w:val="single" w:color="000000" w:sz="4" w:space="0"/>
            </w:tcBorders>
            <w:vAlign w:val="center"/>
          </w:tcPr>
          <w:p>
            <w:pPr>
              <w:jc w:val="center"/>
              <w:rPr>
                <w:sz w:val="24"/>
                <w:szCs w:val="24"/>
              </w:rPr>
            </w:pPr>
            <w:r>
              <w:rPr>
                <w:sz w:val="24"/>
                <w:szCs w:val="24"/>
              </w:rPr>
              <w:t>项</w:t>
            </w:r>
          </w:p>
        </w:tc>
        <w:tc>
          <w:tcPr>
            <w:tcW w:w="475" w:type="dxa"/>
            <w:tcBorders>
              <w:top w:val="single" w:color="000000" w:sz="2" w:space="0"/>
              <w:left w:val="single" w:color="000000" w:sz="4" w:space="0"/>
              <w:bottom w:val="single" w:color="000000" w:sz="2" w:space="0"/>
              <w:right w:val="single" w:color="000000" w:sz="4" w:space="0"/>
            </w:tcBorders>
            <w:vAlign w:val="center"/>
          </w:tcPr>
          <w:p>
            <w:pPr>
              <w:jc w:val="center"/>
              <w:rPr>
                <w:sz w:val="24"/>
                <w:szCs w:val="24"/>
              </w:rPr>
            </w:pPr>
            <w:r>
              <w:rPr>
                <w:sz w:val="24"/>
                <w:szCs w:val="24"/>
              </w:rPr>
              <w:t>1</w:t>
            </w:r>
          </w:p>
        </w:tc>
        <w:tc>
          <w:tcPr>
            <w:tcW w:w="600" w:type="dxa"/>
            <w:tcBorders>
              <w:top w:val="single" w:color="000000" w:sz="2" w:space="0"/>
              <w:left w:val="single" w:color="000000" w:sz="4" w:space="0"/>
              <w:bottom w:val="single" w:color="000000" w:sz="2" w:space="0"/>
            </w:tcBorders>
            <w:vAlign w:val="center"/>
          </w:tcPr>
          <w:p>
            <w:pPr>
              <w:jc w:val="center"/>
              <w:rPr>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0" w:hRule="atLeast"/>
          <w:jc w:val="center"/>
        </w:trPr>
        <w:tc>
          <w:tcPr>
            <w:tcW w:w="840" w:type="dxa"/>
            <w:vAlign w:val="center"/>
          </w:tcPr>
          <w:p>
            <w:pPr>
              <w:jc w:val="center"/>
              <w:rPr>
                <w:sz w:val="24"/>
                <w:szCs w:val="24"/>
              </w:rPr>
            </w:pPr>
            <w:r>
              <w:rPr>
                <w:sz w:val="24"/>
                <w:szCs w:val="24"/>
              </w:rPr>
              <w:t>6</w:t>
            </w:r>
          </w:p>
        </w:tc>
        <w:tc>
          <w:tcPr>
            <w:tcW w:w="1707" w:type="dxa"/>
            <w:tcBorders>
              <w:top w:val="single" w:color="000000" w:sz="2" w:space="0"/>
              <w:left w:val="single" w:color="000000" w:sz="4" w:space="0"/>
              <w:bottom w:val="single" w:color="000000" w:sz="2" w:space="0"/>
              <w:right w:val="single" w:color="000000" w:sz="4" w:space="0"/>
            </w:tcBorders>
            <w:vAlign w:val="center"/>
          </w:tcPr>
          <w:p>
            <w:pPr>
              <w:jc w:val="center"/>
              <w:rPr>
                <w:sz w:val="24"/>
                <w:szCs w:val="24"/>
              </w:rPr>
            </w:pPr>
            <w:r>
              <w:rPr>
                <w:sz w:val="24"/>
                <w:szCs w:val="24"/>
              </w:rPr>
              <w:t>机房门禁系统</w:t>
            </w:r>
          </w:p>
        </w:tc>
        <w:tc>
          <w:tcPr>
            <w:tcW w:w="4578" w:type="dxa"/>
            <w:tcBorders>
              <w:top w:val="single" w:color="000000" w:sz="2" w:space="0"/>
              <w:left w:val="single" w:color="000000" w:sz="4" w:space="0"/>
              <w:bottom w:val="single" w:color="000000" w:sz="2" w:space="0"/>
              <w:right w:val="single" w:color="000000" w:sz="4" w:space="0"/>
            </w:tcBorders>
            <w:vAlign w:val="center"/>
          </w:tcPr>
          <w:p>
            <w:pPr>
              <w:jc w:val="center"/>
              <w:rPr>
                <w:sz w:val="24"/>
                <w:szCs w:val="24"/>
              </w:rPr>
            </w:pPr>
          </w:p>
        </w:tc>
        <w:tc>
          <w:tcPr>
            <w:tcW w:w="577" w:type="dxa"/>
            <w:tcBorders>
              <w:top w:val="single" w:color="000000" w:sz="2" w:space="0"/>
              <w:left w:val="single" w:color="000000" w:sz="4" w:space="0"/>
              <w:bottom w:val="single" w:color="000000" w:sz="2" w:space="0"/>
              <w:right w:val="single" w:color="000000" w:sz="4" w:space="0"/>
            </w:tcBorders>
            <w:vAlign w:val="center"/>
          </w:tcPr>
          <w:p>
            <w:pPr>
              <w:jc w:val="center"/>
              <w:rPr>
                <w:sz w:val="24"/>
                <w:szCs w:val="24"/>
              </w:rPr>
            </w:pPr>
            <w:r>
              <w:rPr>
                <w:sz w:val="24"/>
                <w:szCs w:val="24"/>
              </w:rPr>
              <w:t>项</w:t>
            </w:r>
          </w:p>
        </w:tc>
        <w:tc>
          <w:tcPr>
            <w:tcW w:w="475" w:type="dxa"/>
            <w:tcBorders>
              <w:top w:val="single" w:color="000000" w:sz="2" w:space="0"/>
              <w:left w:val="single" w:color="000000" w:sz="4" w:space="0"/>
              <w:bottom w:val="single" w:color="000000" w:sz="2" w:space="0"/>
              <w:right w:val="single" w:color="000000" w:sz="4" w:space="0"/>
            </w:tcBorders>
            <w:vAlign w:val="center"/>
          </w:tcPr>
          <w:p>
            <w:pPr>
              <w:jc w:val="center"/>
              <w:rPr>
                <w:sz w:val="24"/>
                <w:szCs w:val="24"/>
              </w:rPr>
            </w:pPr>
            <w:r>
              <w:rPr>
                <w:sz w:val="24"/>
                <w:szCs w:val="24"/>
              </w:rPr>
              <w:t>1</w:t>
            </w:r>
          </w:p>
        </w:tc>
        <w:tc>
          <w:tcPr>
            <w:tcW w:w="600" w:type="dxa"/>
            <w:tcBorders>
              <w:top w:val="single" w:color="000000" w:sz="2" w:space="0"/>
              <w:left w:val="single" w:color="000000" w:sz="4" w:space="0"/>
              <w:bottom w:val="single" w:color="000000" w:sz="2" w:space="0"/>
            </w:tcBorders>
            <w:vAlign w:val="center"/>
          </w:tcPr>
          <w:p>
            <w:pPr>
              <w:jc w:val="center"/>
              <w:rPr>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0" w:hRule="atLeast"/>
          <w:jc w:val="center"/>
        </w:trPr>
        <w:tc>
          <w:tcPr>
            <w:tcW w:w="840" w:type="dxa"/>
            <w:vAlign w:val="center"/>
          </w:tcPr>
          <w:p>
            <w:pPr>
              <w:jc w:val="center"/>
              <w:rPr>
                <w:sz w:val="24"/>
                <w:szCs w:val="24"/>
              </w:rPr>
            </w:pPr>
            <w:r>
              <w:rPr>
                <w:sz w:val="24"/>
                <w:szCs w:val="24"/>
              </w:rPr>
              <w:t>7</w:t>
            </w:r>
          </w:p>
        </w:tc>
        <w:tc>
          <w:tcPr>
            <w:tcW w:w="1707" w:type="dxa"/>
            <w:tcBorders>
              <w:top w:val="single" w:color="000000" w:sz="2" w:space="0"/>
              <w:left w:val="single" w:color="000000" w:sz="4" w:space="0"/>
              <w:bottom w:val="single" w:color="000000" w:sz="2" w:space="0"/>
              <w:right w:val="single" w:color="000000" w:sz="4" w:space="0"/>
            </w:tcBorders>
            <w:vAlign w:val="center"/>
          </w:tcPr>
          <w:p>
            <w:pPr>
              <w:jc w:val="center"/>
              <w:rPr>
                <w:sz w:val="24"/>
                <w:szCs w:val="24"/>
              </w:rPr>
            </w:pPr>
            <w:r>
              <w:rPr>
                <w:sz w:val="24"/>
                <w:szCs w:val="24"/>
              </w:rPr>
              <w:t>UPS电源</w:t>
            </w:r>
          </w:p>
        </w:tc>
        <w:tc>
          <w:tcPr>
            <w:tcW w:w="4578" w:type="dxa"/>
            <w:tcBorders>
              <w:top w:val="single" w:color="000000" w:sz="2" w:space="0"/>
              <w:left w:val="single" w:color="000000" w:sz="4" w:space="0"/>
              <w:bottom w:val="single" w:color="000000" w:sz="2" w:space="0"/>
              <w:right w:val="single" w:color="000000" w:sz="4" w:space="0"/>
            </w:tcBorders>
            <w:vAlign w:val="center"/>
          </w:tcPr>
          <w:p>
            <w:pPr>
              <w:jc w:val="center"/>
              <w:rPr>
                <w:sz w:val="24"/>
                <w:szCs w:val="24"/>
              </w:rPr>
            </w:pPr>
            <w:r>
              <w:rPr>
                <w:sz w:val="24"/>
                <w:szCs w:val="24"/>
              </w:rPr>
              <w:t>AC220V在线式，3kVA/h</w:t>
            </w:r>
          </w:p>
        </w:tc>
        <w:tc>
          <w:tcPr>
            <w:tcW w:w="577" w:type="dxa"/>
            <w:tcBorders>
              <w:top w:val="single" w:color="000000" w:sz="2" w:space="0"/>
              <w:left w:val="single" w:color="000000" w:sz="4" w:space="0"/>
              <w:bottom w:val="single" w:color="000000" w:sz="2" w:space="0"/>
              <w:right w:val="single" w:color="000000" w:sz="4" w:space="0"/>
            </w:tcBorders>
            <w:vAlign w:val="center"/>
          </w:tcPr>
          <w:p>
            <w:pPr>
              <w:jc w:val="center"/>
              <w:rPr>
                <w:sz w:val="24"/>
                <w:szCs w:val="24"/>
              </w:rPr>
            </w:pPr>
            <w:r>
              <w:rPr>
                <w:sz w:val="24"/>
                <w:szCs w:val="24"/>
              </w:rPr>
              <w:t>台</w:t>
            </w:r>
          </w:p>
        </w:tc>
        <w:tc>
          <w:tcPr>
            <w:tcW w:w="475" w:type="dxa"/>
            <w:tcBorders>
              <w:top w:val="single" w:color="000000" w:sz="2" w:space="0"/>
              <w:left w:val="single" w:color="000000" w:sz="4" w:space="0"/>
              <w:bottom w:val="single" w:color="000000" w:sz="2" w:space="0"/>
              <w:right w:val="single" w:color="000000" w:sz="4" w:space="0"/>
            </w:tcBorders>
            <w:vAlign w:val="center"/>
          </w:tcPr>
          <w:p>
            <w:pPr>
              <w:jc w:val="center"/>
              <w:rPr>
                <w:sz w:val="24"/>
                <w:szCs w:val="24"/>
              </w:rPr>
            </w:pPr>
            <w:r>
              <w:rPr>
                <w:sz w:val="24"/>
                <w:szCs w:val="24"/>
              </w:rPr>
              <w:t>1</w:t>
            </w:r>
          </w:p>
        </w:tc>
        <w:tc>
          <w:tcPr>
            <w:tcW w:w="600" w:type="dxa"/>
            <w:tcBorders>
              <w:top w:val="single" w:color="000000" w:sz="2" w:space="0"/>
              <w:left w:val="single" w:color="000000" w:sz="4" w:space="0"/>
              <w:bottom w:val="single" w:color="000000" w:sz="2" w:space="0"/>
            </w:tcBorders>
            <w:vAlign w:val="center"/>
          </w:tcPr>
          <w:p>
            <w:pPr>
              <w:jc w:val="center"/>
              <w:rPr>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635" w:hRule="atLeast"/>
          <w:jc w:val="center"/>
        </w:trPr>
        <w:tc>
          <w:tcPr>
            <w:tcW w:w="840" w:type="dxa"/>
            <w:vAlign w:val="center"/>
          </w:tcPr>
          <w:p>
            <w:pPr>
              <w:jc w:val="center"/>
              <w:rPr>
                <w:sz w:val="24"/>
                <w:szCs w:val="24"/>
              </w:rPr>
            </w:pPr>
            <w:r>
              <w:rPr>
                <w:sz w:val="24"/>
                <w:szCs w:val="24"/>
              </w:rPr>
              <w:t>8</w:t>
            </w:r>
          </w:p>
        </w:tc>
        <w:tc>
          <w:tcPr>
            <w:tcW w:w="1707" w:type="dxa"/>
            <w:tcBorders>
              <w:top w:val="single" w:color="000000" w:sz="2" w:space="0"/>
              <w:left w:val="single" w:color="000000" w:sz="4" w:space="0"/>
              <w:bottom w:val="single" w:color="000000" w:sz="2" w:space="0"/>
              <w:right w:val="single" w:color="000000" w:sz="4" w:space="0"/>
            </w:tcBorders>
            <w:vAlign w:val="center"/>
          </w:tcPr>
          <w:p>
            <w:pPr>
              <w:jc w:val="center"/>
              <w:rPr>
                <w:sz w:val="24"/>
                <w:szCs w:val="24"/>
              </w:rPr>
            </w:pPr>
            <w:r>
              <w:rPr>
                <w:sz w:val="24"/>
                <w:szCs w:val="24"/>
              </w:rPr>
              <w:t>网络半球监控摄像机</w:t>
            </w:r>
          </w:p>
        </w:tc>
        <w:tc>
          <w:tcPr>
            <w:tcW w:w="4578" w:type="dxa"/>
            <w:tcBorders>
              <w:top w:val="single" w:color="000000" w:sz="2" w:space="0"/>
              <w:left w:val="single" w:color="000000" w:sz="4" w:space="0"/>
              <w:bottom w:val="single" w:color="000000" w:sz="2" w:space="0"/>
              <w:right w:val="single" w:color="000000" w:sz="4" w:space="0"/>
            </w:tcBorders>
            <w:vAlign w:val="center"/>
          </w:tcPr>
          <w:p>
            <w:pPr>
              <w:jc w:val="center"/>
              <w:rPr>
                <w:sz w:val="24"/>
                <w:szCs w:val="24"/>
              </w:rPr>
            </w:pPr>
          </w:p>
        </w:tc>
        <w:tc>
          <w:tcPr>
            <w:tcW w:w="577" w:type="dxa"/>
            <w:tcBorders>
              <w:top w:val="single" w:color="000000" w:sz="2" w:space="0"/>
              <w:left w:val="single" w:color="000000" w:sz="4" w:space="0"/>
              <w:bottom w:val="single" w:color="000000" w:sz="2" w:space="0"/>
              <w:right w:val="single" w:color="000000" w:sz="4" w:space="0"/>
            </w:tcBorders>
            <w:vAlign w:val="center"/>
          </w:tcPr>
          <w:p>
            <w:pPr>
              <w:jc w:val="center"/>
              <w:rPr>
                <w:sz w:val="24"/>
                <w:szCs w:val="24"/>
              </w:rPr>
            </w:pPr>
            <w:r>
              <w:rPr>
                <w:sz w:val="24"/>
                <w:szCs w:val="24"/>
              </w:rPr>
              <w:t>台</w:t>
            </w:r>
          </w:p>
        </w:tc>
        <w:tc>
          <w:tcPr>
            <w:tcW w:w="475" w:type="dxa"/>
            <w:tcBorders>
              <w:top w:val="single" w:color="000000" w:sz="2" w:space="0"/>
              <w:left w:val="single" w:color="000000" w:sz="4" w:space="0"/>
              <w:bottom w:val="single" w:color="000000" w:sz="2" w:space="0"/>
              <w:right w:val="single" w:color="000000" w:sz="4" w:space="0"/>
            </w:tcBorders>
            <w:vAlign w:val="center"/>
          </w:tcPr>
          <w:p>
            <w:pPr>
              <w:jc w:val="center"/>
              <w:rPr>
                <w:sz w:val="24"/>
                <w:szCs w:val="24"/>
              </w:rPr>
            </w:pPr>
            <w:r>
              <w:rPr>
                <w:sz w:val="24"/>
                <w:szCs w:val="24"/>
              </w:rPr>
              <w:t>1</w:t>
            </w:r>
          </w:p>
        </w:tc>
        <w:tc>
          <w:tcPr>
            <w:tcW w:w="600" w:type="dxa"/>
            <w:tcBorders>
              <w:top w:val="single" w:color="000000" w:sz="2" w:space="0"/>
              <w:left w:val="single" w:color="000000" w:sz="4" w:space="0"/>
              <w:bottom w:val="single" w:color="000000" w:sz="2" w:space="0"/>
            </w:tcBorders>
            <w:vAlign w:val="center"/>
          </w:tcPr>
          <w:p>
            <w:pPr>
              <w:jc w:val="center"/>
              <w:rPr>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0" w:hRule="atLeast"/>
          <w:jc w:val="center"/>
        </w:trPr>
        <w:tc>
          <w:tcPr>
            <w:tcW w:w="840" w:type="dxa"/>
            <w:vAlign w:val="center"/>
          </w:tcPr>
          <w:p>
            <w:pPr>
              <w:jc w:val="center"/>
              <w:rPr>
                <w:sz w:val="24"/>
                <w:szCs w:val="24"/>
              </w:rPr>
            </w:pPr>
            <w:r>
              <w:rPr>
                <w:sz w:val="24"/>
                <w:szCs w:val="24"/>
              </w:rPr>
              <w:t>9</w:t>
            </w:r>
          </w:p>
        </w:tc>
        <w:tc>
          <w:tcPr>
            <w:tcW w:w="1707" w:type="dxa"/>
            <w:tcBorders>
              <w:top w:val="single" w:color="000000" w:sz="2" w:space="0"/>
              <w:left w:val="single" w:color="000000" w:sz="4" w:space="0"/>
              <w:bottom w:val="single" w:color="000000" w:sz="2" w:space="0"/>
              <w:right w:val="single" w:color="000000" w:sz="4" w:space="0"/>
            </w:tcBorders>
            <w:vAlign w:val="center"/>
          </w:tcPr>
          <w:p>
            <w:pPr>
              <w:jc w:val="center"/>
              <w:rPr>
                <w:sz w:val="24"/>
                <w:szCs w:val="24"/>
              </w:rPr>
            </w:pPr>
            <w:r>
              <w:rPr>
                <w:sz w:val="24"/>
                <w:szCs w:val="24"/>
              </w:rPr>
              <w:t>家具</w:t>
            </w:r>
          </w:p>
        </w:tc>
        <w:tc>
          <w:tcPr>
            <w:tcW w:w="4578" w:type="dxa"/>
            <w:tcBorders>
              <w:top w:val="single" w:color="000000" w:sz="2" w:space="0"/>
              <w:left w:val="single" w:color="000000" w:sz="4" w:space="0"/>
              <w:bottom w:val="single" w:color="000000" w:sz="2" w:space="0"/>
              <w:right w:val="single" w:color="000000" w:sz="4" w:space="0"/>
            </w:tcBorders>
            <w:vAlign w:val="center"/>
          </w:tcPr>
          <w:p>
            <w:pPr>
              <w:jc w:val="center"/>
              <w:rPr>
                <w:sz w:val="24"/>
                <w:szCs w:val="24"/>
              </w:rPr>
            </w:pPr>
            <w:r>
              <w:rPr>
                <w:sz w:val="24"/>
                <w:szCs w:val="24"/>
              </w:rPr>
              <w:t>操作桌椅2套、文件2套</w:t>
            </w:r>
          </w:p>
        </w:tc>
        <w:tc>
          <w:tcPr>
            <w:tcW w:w="577" w:type="dxa"/>
            <w:tcBorders>
              <w:top w:val="single" w:color="000000" w:sz="2" w:space="0"/>
              <w:left w:val="single" w:color="000000" w:sz="4" w:space="0"/>
              <w:bottom w:val="single" w:color="000000" w:sz="2" w:space="0"/>
              <w:right w:val="single" w:color="000000" w:sz="4" w:space="0"/>
            </w:tcBorders>
            <w:vAlign w:val="center"/>
          </w:tcPr>
          <w:p>
            <w:pPr>
              <w:jc w:val="center"/>
              <w:rPr>
                <w:sz w:val="24"/>
                <w:szCs w:val="24"/>
              </w:rPr>
            </w:pPr>
            <w:r>
              <w:rPr>
                <w:sz w:val="24"/>
                <w:szCs w:val="24"/>
              </w:rPr>
              <w:t>项</w:t>
            </w:r>
          </w:p>
        </w:tc>
        <w:tc>
          <w:tcPr>
            <w:tcW w:w="475" w:type="dxa"/>
            <w:tcBorders>
              <w:top w:val="single" w:color="000000" w:sz="2" w:space="0"/>
              <w:left w:val="single" w:color="000000" w:sz="4" w:space="0"/>
              <w:bottom w:val="single" w:color="000000" w:sz="2" w:space="0"/>
              <w:right w:val="single" w:color="000000" w:sz="4" w:space="0"/>
            </w:tcBorders>
            <w:vAlign w:val="center"/>
          </w:tcPr>
          <w:p>
            <w:pPr>
              <w:jc w:val="center"/>
              <w:rPr>
                <w:sz w:val="24"/>
                <w:szCs w:val="24"/>
              </w:rPr>
            </w:pPr>
            <w:r>
              <w:rPr>
                <w:sz w:val="24"/>
                <w:szCs w:val="24"/>
              </w:rPr>
              <w:t>1</w:t>
            </w:r>
          </w:p>
        </w:tc>
        <w:tc>
          <w:tcPr>
            <w:tcW w:w="600" w:type="dxa"/>
            <w:tcBorders>
              <w:top w:val="single" w:color="000000" w:sz="2" w:space="0"/>
              <w:left w:val="single" w:color="000000" w:sz="4" w:space="0"/>
              <w:bottom w:val="single" w:color="000000" w:sz="2" w:space="0"/>
            </w:tcBorders>
            <w:vAlign w:val="center"/>
          </w:tcPr>
          <w:p>
            <w:pPr>
              <w:jc w:val="center"/>
              <w:rPr>
                <w:sz w:val="24"/>
                <w:szCs w:val="24"/>
              </w:rPr>
            </w:pPr>
          </w:p>
        </w:tc>
      </w:tr>
    </w:tbl>
    <w:p>
      <w:pPr>
        <w:ind w:firstLine="480"/>
        <w:rPr>
          <w:sz w:val="24"/>
          <w:szCs w:val="24"/>
        </w:rPr>
      </w:pPr>
    </w:p>
    <w:p>
      <w:pPr>
        <w:pStyle w:val="4"/>
        <w:spacing w:before="0" w:after="0" w:line="360" w:lineRule="auto"/>
        <w:ind w:firstLine="562" w:firstLineChars="200"/>
        <w:rPr>
          <w:b/>
          <w:bCs/>
          <w:sz w:val="28"/>
          <w:szCs w:val="28"/>
        </w:rPr>
      </w:pPr>
      <w:r>
        <w:rPr>
          <w:rFonts w:hint="eastAsia"/>
          <w:b/>
          <w:bCs/>
          <w:sz w:val="28"/>
          <w:szCs w:val="28"/>
        </w:rPr>
        <w:t>3</w:t>
      </w:r>
      <w:r>
        <w:rPr>
          <w:b/>
          <w:bCs/>
          <w:sz w:val="28"/>
          <w:szCs w:val="28"/>
        </w:rPr>
        <w:t>.7 更新维护要求</w:t>
      </w:r>
    </w:p>
    <w:p>
      <w:pPr>
        <w:spacing w:line="360" w:lineRule="auto"/>
        <w:ind w:firstLine="560" w:firstLineChars="200"/>
        <w:rPr>
          <w:sz w:val="28"/>
          <w:szCs w:val="28"/>
        </w:rPr>
      </w:pPr>
      <w:r>
        <w:rPr>
          <w:sz w:val="28"/>
          <w:szCs w:val="28"/>
        </w:rPr>
        <w:t>为了便于规范化管理，对存在设施老化破损、排水不畅等问题的入河排污口，有针对性的采取更新维护。本次对22个入河排污口进行检查维护。</w:t>
      </w:r>
    </w:p>
    <w:p>
      <w:pPr>
        <w:spacing w:line="360" w:lineRule="auto"/>
        <w:ind w:firstLine="560" w:firstLineChars="200"/>
        <w:rPr>
          <w:sz w:val="28"/>
          <w:szCs w:val="28"/>
        </w:rPr>
      </w:pPr>
      <w:r>
        <w:rPr>
          <w:sz w:val="28"/>
          <w:szCs w:val="28"/>
        </w:rPr>
        <w:t xml:space="preserve">针对不同破损程度的入河排污口，主要采取以下施工方式进行更新维护： </w:t>
      </w:r>
    </w:p>
    <w:p>
      <w:pPr>
        <w:spacing w:line="360" w:lineRule="auto"/>
        <w:ind w:firstLine="560" w:firstLineChars="200"/>
        <w:rPr>
          <w:sz w:val="28"/>
          <w:szCs w:val="28"/>
        </w:rPr>
      </w:pPr>
      <w:r>
        <w:rPr>
          <w:sz w:val="28"/>
          <w:szCs w:val="28"/>
        </w:rPr>
        <w:t xml:space="preserve">（1）水泥抹面：将现有排口周边损坏的水泥等清除；采用水泥重新抹面。 </w:t>
      </w:r>
    </w:p>
    <w:p>
      <w:pPr>
        <w:spacing w:line="360" w:lineRule="auto"/>
        <w:ind w:firstLine="560" w:firstLineChars="200"/>
        <w:rPr>
          <w:sz w:val="28"/>
          <w:szCs w:val="28"/>
        </w:rPr>
      </w:pPr>
      <w:r>
        <w:rPr>
          <w:sz w:val="28"/>
          <w:szCs w:val="28"/>
        </w:rPr>
        <w:t>（2）砖混结构+水泥抹面修补：清理入河排污口周边杂物；采用砖混结构+水泥抹面，修补入河排污口渠道。</w:t>
      </w:r>
    </w:p>
    <w:p>
      <w:pPr>
        <w:spacing w:line="360" w:lineRule="auto"/>
        <w:ind w:firstLine="560" w:firstLineChars="200"/>
        <w:rPr>
          <w:sz w:val="28"/>
          <w:szCs w:val="28"/>
        </w:rPr>
      </w:pPr>
      <w:r>
        <w:rPr>
          <w:sz w:val="28"/>
          <w:szCs w:val="28"/>
        </w:rPr>
        <w:t>（3）石料+水泥施工修补：将现有排口周边清理干净；采用石料+水泥施工方式，修补规范化排口。</w:t>
      </w:r>
    </w:p>
    <w:p>
      <w:pPr>
        <w:spacing w:line="360" w:lineRule="auto"/>
        <w:ind w:firstLine="560" w:firstLineChars="200"/>
        <w:rPr>
          <w:sz w:val="28"/>
          <w:szCs w:val="28"/>
        </w:rPr>
      </w:pPr>
      <w:r>
        <w:rPr>
          <w:sz w:val="28"/>
          <w:szCs w:val="28"/>
        </w:rPr>
        <w:t>（4）新建规范化排污口：将现有排口周边杂物清除；采用石料/砖混结构+水泥抹面方式，建设规范化排污口。</w:t>
      </w:r>
    </w:p>
    <w:p>
      <w:pPr>
        <w:pStyle w:val="4"/>
        <w:spacing w:before="0" w:after="0" w:line="360" w:lineRule="auto"/>
        <w:ind w:firstLine="562" w:firstLineChars="200"/>
        <w:rPr>
          <w:b/>
          <w:bCs/>
          <w:sz w:val="28"/>
          <w:szCs w:val="28"/>
        </w:rPr>
      </w:pPr>
      <w:r>
        <w:rPr>
          <w:rFonts w:hint="eastAsia"/>
          <w:b/>
          <w:bCs/>
          <w:sz w:val="28"/>
          <w:szCs w:val="28"/>
        </w:rPr>
        <w:t>3</w:t>
      </w:r>
      <w:r>
        <w:rPr>
          <w:b/>
          <w:bCs/>
          <w:sz w:val="28"/>
          <w:szCs w:val="28"/>
        </w:rPr>
        <w:t xml:space="preserve">.8 </w:t>
      </w:r>
      <w:bookmarkEnd w:id="173"/>
      <w:r>
        <w:rPr>
          <w:rFonts w:hint="eastAsia"/>
          <w:b/>
          <w:bCs/>
          <w:sz w:val="28"/>
          <w:szCs w:val="28"/>
        </w:rPr>
        <w:t>其他要求</w:t>
      </w:r>
    </w:p>
    <w:p>
      <w:pPr>
        <w:spacing w:line="360" w:lineRule="auto"/>
        <w:ind w:firstLine="560" w:firstLineChars="200"/>
        <w:rPr>
          <w:rFonts w:ascii="宋体" w:hAnsi="宋体" w:cs="宋体"/>
          <w:sz w:val="28"/>
          <w:szCs w:val="28"/>
        </w:rPr>
      </w:pPr>
      <w:r>
        <w:rPr>
          <w:sz w:val="28"/>
          <w:szCs w:val="28"/>
        </w:rPr>
        <w:t>（1）</w:t>
      </w:r>
      <w:r>
        <w:rPr>
          <w:rFonts w:hint="eastAsia" w:ascii="宋体" w:hAnsi="宋体" w:cs="宋体"/>
          <w:sz w:val="28"/>
          <w:szCs w:val="28"/>
        </w:rPr>
        <w:t>施工单位须严格依据施工现场实际地形、场地布局及施工工况，提前统筹落实场地清理、场地平整、现场分区规划布设等各项施工前期筹备工作，严格按照标准化规范搭设施工现场临时办公、仓储及配套临时设施。所有临时设施的建设规格、平面布局、搭建工艺及日常运维管理，必须严格遵循国家现行建筑安全施工规范及项目专项管理制度标准，全程排查并消除各类现场安全隐患，全面保障工程施工全过程安全、规范、有序推进。</w:t>
      </w:r>
    </w:p>
    <w:p>
      <w:pPr>
        <w:spacing w:line="360" w:lineRule="auto"/>
        <w:ind w:firstLine="560" w:firstLineChars="200"/>
        <w:rPr>
          <w:rFonts w:ascii="宋体" w:hAnsi="宋体" w:cs="宋体"/>
          <w:sz w:val="28"/>
          <w:szCs w:val="28"/>
        </w:rPr>
      </w:pPr>
      <w:r>
        <w:rPr>
          <w:sz w:val="28"/>
          <w:szCs w:val="28"/>
        </w:rPr>
        <w:t>（</w:t>
      </w:r>
      <w:r>
        <w:rPr>
          <w:rFonts w:hint="eastAsia"/>
          <w:sz w:val="28"/>
          <w:szCs w:val="28"/>
        </w:rPr>
        <w:t>2</w:t>
      </w:r>
      <w:r>
        <w:rPr>
          <w:sz w:val="28"/>
          <w:szCs w:val="28"/>
        </w:rPr>
        <w:t>）</w:t>
      </w:r>
      <w:r>
        <w:rPr>
          <w:rFonts w:hint="eastAsia" w:ascii="宋体" w:hAnsi="宋体" w:cs="宋体"/>
          <w:sz w:val="28"/>
          <w:szCs w:val="28"/>
        </w:rPr>
        <w:t xml:space="preserve"> 本工程施工现场所有投入使用的施工机械设备、配套辅助材料，进场验收阶段必须提供齐全、真实、有效的出厂合格证、出厂检验报告、产品说明书等全套资质证明文件。针对行业规范标准及业主管理要求明确规定需要复检、抽检的设备与材料，须严格执行标准化现场取样制度，全程主动配合监理单位见证取样，并送检至具备法定资质的第三方专业检测机构开展检验试验，所有送检项目检测结果合格并出具正规合规检测报告后，方可正式进场投入施工安装使用。</w:t>
      </w:r>
    </w:p>
    <w:p>
      <w:pPr>
        <w:spacing w:line="360" w:lineRule="auto"/>
        <w:ind w:firstLine="560" w:firstLineChars="200"/>
        <w:rPr>
          <w:rFonts w:ascii="宋体" w:hAnsi="宋体" w:cs="宋体"/>
          <w:sz w:val="28"/>
          <w:szCs w:val="28"/>
        </w:rPr>
      </w:pPr>
      <w:r>
        <w:rPr>
          <w:sz w:val="28"/>
          <w:szCs w:val="28"/>
        </w:rPr>
        <w:t>（</w:t>
      </w:r>
      <w:r>
        <w:rPr>
          <w:rFonts w:hint="eastAsia"/>
          <w:sz w:val="28"/>
          <w:szCs w:val="28"/>
        </w:rPr>
        <w:t>3</w:t>
      </w:r>
      <w:r>
        <w:rPr>
          <w:sz w:val="28"/>
          <w:szCs w:val="28"/>
        </w:rPr>
        <w:t>）</w:t>
      </w:r>
      <w:r>
        <w:rPr>
          <w:rFonts w:hint="eastAsia" w:ascii="宋体" w:hAnsi="宋体" w:cs="宋体"/>
          <w:sz w:val="28"/>
          <w:szCs w:val="28"/>
        </w:rPr>
        <w:t xml:space="preserve"> 本项目整体施工范围较广、施工点位较为分散，现场涉及大量精密仪器设备及各类配套专用构件、零配件，整体施工工艺复杂、精细化施工标准严苛，施工管控难度较高。施工单位需充分结合本项目独特的施工特性及全过程动态风险管控要求，提前规划、统一购置完全适配本项目建设规模及施工内容的专业工程保险，全面覆盖施工全周期的安全隐患、设备安装、施工操作等各类风险，切实保障项目建设全过程合规规范、安全稳定、可控有序。</w:t>
      </w:r>
    </w:p>
    <w:p>
      <w:pPr>
        <w:spacing w:line="360" w:lineRule="auto"/>
        <w:ind w:firstLine="560" w:firstLineChars="200"/>
        <w:rPr>
          <w:rFonts w:ascii="宋体" w:hAnsi="宋体" w:cs="宋体"/>
          <w:sz w:val="28"/>
          <w:szCs w:val="28"/>
        </w:rPr>
      </w:pPr>
      <w:r>
        <w:rPr>
          <w:sz w:val="28"/>
          <w:szCs w:val="28"/>
        </w:rPr>
        <w:t>（</w:t>
      </w:r>
      <w:r>
        <w:rPr>
          <w:rFonts w:hint="eastAsia"/>
          <w:sz w:val="28"/>
          <w:szCs w:val="28"/>
        </w:rPr>
        <w:t>4</w:t>
      </w:r>
      <w:r>
        <w:rPr>
          <w:sz w:val="28"/>
          <w:szCs w:val="28"/>
        </w:rPr>
        <w:t>）</w:t>
      </w:r>
      <w:r>
        <w:rPr>
          <w:rFonts w:hint="eastAsia" w:ascii="宋体" w:hAnsi="宋体" w:cs="宋体"/>
          <w:sz w:val="28"/>
          <w:szCs w:val="28"/>
        </w:rPr>
        <w:t>项目现场所有专业仪器设备、硬件配套设施及各类软件系统的安装、调试工作全部完成后，须严格按照国家现行施工验收规范及项目技术标准，分步有序开展设备单机空载、负载试运行及全系统联动试运行测试工作。针对项目配套接入的第三方专属软件系统，需委托具备对应资质的专业技术机构开展专项性能检测、兼容性及稳定性测试，全面核验系统运行稳定性、软硬件设备适配性及各项功能完整性，确保项目整体运行效果、核心技术指标完全契合设计规范及业主既定验收标准。</w:t>
      </w:r>
    </w:p>
    <w:p>
      <w:pPr>
        <w:rPr>
          <w:rFonts w:hint="eastAsia"/>
        </w:rPr>
      </w:pPr>
      <w:r>
        <w:rPr>
          <w:sz w:val="28"/>
          <w:szCs w:val="28"/>
        </w:rPr>
        <w:t>（</w:t>
      </w:r>
      <w:r>
        <w:rPr>
          <w:rFonts w:hint="eastAsia"/>
          <w:sz w:val="28"/>
          <w:szCs w:val="28"/>
        </w:rPr>
        <w:t>5</w:t>
      </w:r>
      <w:r>
        <w:rPr>
          <w:sz w:val="28"/>
          <w:szCs w:val="28"/>
        </w:rPr>
        <w:t>）</w:t>
      </w:r>
      <w:r>
        <w:rPr>
          <w:rFonts w:hint="eastAsia" w:ascii="宋体" w:hAnsi="宋体" w:cs="宋体"/>
          <w:sz w:val="28"/>
          <w:szCs w:val="28"/>
        </w:rPr>
        <w:t>项目整体施工全过程周期内，施工单位应建立常态化、高效化的多方沟通对接机制，主动、及时对接业主单位、现场监理单位，同步做好施工信息同步与工作对接。在正式施工前期，需对施工现场场地条件、周边环境工况、施工重难点及潜在安全质量风险开展全方位的实地勘察与综合研判评估，结合现场实际工况提前完成施工预案编制、人力物力资源调配、现场前置筹备等各项预备工作，有效保障各分项施工工序高效衔接、无缝衔接，确保项目整体施工进度平稳、高效、受控推进。</w:t>
      </w:r>
    </w:p>
    <w:p>
      <w:pPr>
        <w:numPr>
          <w:ilvl w:val="0"/>
          <w:numId w:val="0"/>
        </w:numPr>
        <w:jc w:val="both"/>
        <w:rPr>
          <w:rFonts w:hint="default"/>
          <w:sz w:val="28"/>
          <w:szCs w:val="28"/>
          <w:lang w:val="en-US" w:eastAsia="zh-CN"/>
        </w:rPr>
      </w:pPr>
    </w:p>
    <w:p>
      <w:pPr>
        <w:numPr>
          <w:ilvl w:val="0"/>
          <w:numId w:val="0"/>
        </w:numPr>
        <w:jc w:val="both"/>
        <w:rPr>
          <w:rFonts w:hint="default"/>
          <w:sz w:val="28"/>
          <w:szCs w:val="28"/>
          <w:lang w:val="en-US" w:eastAsia="zh-CN"/>
        </w:rPr>
      </w:pPr>
    </w:p>
    <w:p>
      <w:pPr>
        <w:numPr>
          <w:ilvl w:val="0"/>
          <w:numId w:val="0"/>
        </w:numPr>
        <w:jc w:val="both"/>
        <w:rPr>
          <w:rFonts w:hint="default"/>
          <w:sz w:val="28"/>
          <w:szCs w:val="28"/>
          <w:lang w:val="en-US" w:eastAsia="zh-CN"/>
        </w:rPr>
      </w:pPr>
    </w:p>
    <w:p>
      <w:pPr>
        <w:numPr>
          <w:ilvl w:val="0"/>
          <w:numId w:val="0"/>
        </w:numPr>
        <w:jc w:val="both"/>
        <w:rPr>
          <w:rFonts w:hint="default"/>
          <w:sz w:val="28"/>
          <w:szCs w:val="28"/>
          <w:lang w:val="en-US" w:eastAsia="zh-CN"/>
        </w:rPr>
      </w:pPr>
    </w:p>
    <w:p>
      <w:pPr>
        <w:numPr>
          <w:ilvl w:val="0"/>
          <w:numId w:val="0"/>
        </w:numPr>
        <w:jc w:val="both"/>
        <w:rPr>
          <w:rFonts w:hint="default"/>
          <w:sz w:val="28"/>
          <w:szCs w:val="28"/>
          <w:lang w:val="en-US" w:eastAsia="zh-CN"/>
        </w:rPr>
      </w:pPr>
    </w:p>
    <w:p>
      <w:pPr>
        <w:numPr>
          <w:ilvl w:val="0"/>
          <w:numId w:val="0"/>
        </w:numPr>
        <w:jc w:val="both"/>
        <w:rPr>
          <w:rFonts w:hint="default"/>
          <w:sz w:val="28"/>
          <w:szCs w:val="28"/>
          <w:lang w:val="en-US" w:eastAsia="zh-CN"/>
        </w:rPr>
      </w:pPr>
    </w:p>
    <w:p>
      <w:pPr>
        <w:numPr>
          <w:ilvl w:val="0"/>
          <w:numId w:val="0"/>
        </w:numPr>
        <w:jc w:val="both"/>
        <w:rPr>
          <w:rFonts w:hint="default"/>
          <w:sz w:val="28"/>
          <w:szCs w:val="28"/>
          <w:lang w:val="en-US" w:eastAsia="zh-CN"/>
        </w:rPr>
      </w:pPr>
    </w:p>
    <w:p>
      <w:pPr>
        <w:numPr>
          <w:ilvl w:val="0"/>
          <w:numId w:val="0"/>
        </w:numPr>
        <w:jc w:val="both"/>
        <w:rPr>
          <w:rFonts w:hint="default"/>
          <w:sz w:val="28"/>
          <w:szCs w:val="28"/>
          <w:lang w:val="en-US" w:eastAsia="zh-CN"/>
        </w:rPr>
      </w:pPr>
    </w:p>
    <w:p>
      <w:pPr>
        <w:numPr>
          <w:ilvl w:val="0"/>
          <w:numId w:val="0"/>
        </w:numPr>
        <w:jc w:val="both"/>
        <w:rPr>
          <w:rFonts w:hint="default"/>
          <w:sz w:val="28"/>
          <w:szCs w:val="28"/>
          <w:lang w:val="en-US" w:eastAsia="zh-CN"/>
        </w:rPr>
      </w:pPr>
    </w:p>
    <w:p>
      <w:pPr>
        <w:numPr>
          <w:ilvl w:val="0"/>
          <w:numId w:val="0"/>
        </w:numPr>
        <w:jc w:val="both"/>
        <w:rPr>
          <w:rFonts w:hint="default"/>
          <w:sz w:val="28"/>
          <w:szCs w:val="28"/>
          <w:lang w:val="en-US" w:eastAsia="zh-CN"/>
        </w:rPr>
      </w:pPr>
    </w:p>
    <w:p>
      <w:pPr>
        <w:numPr>
          <w:ilvl w:val="0"/>
          <w:numId w:val="0"/>
        </w:numPr>
        <w:jc w:val="both"/>
        <w:rPr>
          <w:rFonts w:hint="default"/>
          <w:sz w:val="28"/>
          <w:szCs w:val="28"/>
          <w:lang w:val="en-US" w:eastAsia="zh-CN"/>
        </w:rPr>
      </w:pPr>
    </w:p>
    <w:p>
      <w:pPr>
        <w:numPr>
          <w:ilvl w:val="0"/>
          <w:numId w:val="0"/>
        </w:numPr>
        <w:jc w:val="both"/>
        <w:rPr>
          <w:rFonts w:hint="default"/>
          <w:sz w:val="28"/>
          <w:szCs w:val="28"/>
          <w:lang w:val="en-US" w:eastAsia="zh-CN"/>
        </w:rPr>
      </w:pPr>
    </w:p>
    <w:p>
      <w:pPr>
        <w:numPr>
          <w:ilvl w:val="0"/>
          <w:numId w:val="0"/>
        </w:numPr>
        <w:jc w:val="both"/>
        <w:rPr>
          <w:rFonts w:hint="default"/>
          <w:sz w:val="28"/>
          <w:szCs w:val="28"/>
          <w:lang w:val="en-US" w:eastAsia="zh-CN"/>
        </w:rPr>
      </w:pPr>
    </w:p>
    <w:p>
      <w:pPr>
        <w:numPr>
          <w:ilvl w:val="0"/>
          <w:numId w:val="0"/>
        </w:numPr>
        <w:jc w:val="both"/>
        <w:rPr>
          <w:rFonts w:hint="default"/>
          <w:sz w:val="28"/>
          <w:szCs w:val="28"/>
          <w:lang w:val="en-US" w:eastAsia="zh-CN"/>
        </w:rPr>
      </w:pPr>
    </w:p>
    <w:p>
      <w:pPr>
        <w:numPr>
          <w:ilvl w:val="0"/>
          <w:numId w:val="0"/>
        </w:numPr>
        <w:jc w:val="both"/>
        <w:rPr>
          <w:rFonts w:hint="default"/>
          <w:sz w:val="28"/>
          <w:szCs w:val="28"/>
          <w:lang w:val="en-US" w:eastAsia="zh-CN"/>
        </w:rPr>
      </w:pPr>
    </w:p>
    <w:bookmarkEnd w:id="157"/>
    <w:bookmarkEnd w:id="158"/>
    <w:bookmarkEnd w:id="159"/>
    <w:p>
      <w:pPr>
        <w:pStyle w:val="2"/>
        <w:jc w:val="both"/>
        <w:rPr>
          <w:rFonts w:hint="eastAsia" w:ascii="宋体" w:hAnsi="宋体" w:cs="宋体"/>
        </w:rPr>
      </w:pPr>
      <w:bookmarkStart w:id="174" w:name="_Toc823"/>
      <w:bookmarkStart w:id="175" w:name="_Toc2882"/>
      <w:bookmarkStart w:id="176" w:name="_Toc10087"/>
    </w:p>
    <w:p>
      <w:pPr>
        <w:pStyle w:val="2"/>
        <w:jc w:val="center"/>
      </w:pPr>
      <w:r>
        <w:rPr>
          <w:rFonts w:hint="eastAsia" w:ascii="宋体" w:hAnsi="宋体" w:cs="宋体"/>
        </w:rPr>
        <w:t>第六章 投标文件格式</w:t>
      </w:r>
      <w:bookmarkEnd w:id="34"/>
      <w:bookmarkEnd w:id="35"/>
      <w:bookmarkEnd w:id="36"/>
      <w:bookmarkEnd w:id="37"/>
      <w:bookmarkEnd w:id="38"/>
      <w:bookmarkEnd w:id="160"/>
      <w:bookmarkEnd w:id="161"/>
      <w:bookmarkEnd w:id="162"/>
      <w:bookmarkEnd w:id="174"/>
      <w:bookmarkEnd w:id="175"/>
      <w:bookmarkEnd w:id="176"/>
    </w:p>
    <w:p>
      <w:pPr>
        <w:spacing w:before="228" w:line="220" w:lineRule="auto"/>
        <w:ind w:firstLine="3340" w:firstLineChars="500"/>
        <w:rPr>
          <w:rFonts w:ascii="宋体" w:hAnsi="宋体" w:cs="宋体"/>
          <w:spacing w:val="-16"/>
          <w:sz w:val="70"/>
          <w:szCs w:val="70"/>
        </w:rPr>
      </w:pPr>
      <w:r>
        <w:rPr>
          <w:rFonts w:ascii="宋体" w:hAnsi="宋体" w:cs="宋体"/>
          <w:spacing w:val="-16"/>
          <w:sz w:val="70"/>
          <w:szCs w:val="70"/>
        </w:rPr>
        <w:t>投标文件</w:t>
      </w:r>
    </w:p>
    <w:p>
      <w:pPr>
        <w:tabs>
          <w:tab w:val="left" w:pos="5555"/>
        </w:tabs>
        <w:spacing w:before="97" w:line="220" w:lineRule="auto"/>
        <w:ind w:left="6" w:firstLine="1050" w:firstLineChars="500"/>
      </w:pPr>
    </w:p>
    <w:p>
      <w:pPr>
        <w:tabs>
          <w:tab w:val="left" w:pos="5555"/>
        </w:tabs>
        <w:spacing w:before="97" w:line="220" w:lineRule="auto"/>
        <w:ind w:left="6" w:firstLine="1050" w:firstLineChars="500"/>
      </w:pPr>
    </w:p>
    <w:p>
      <w:pPr>
        <w:tabs>
          <w:tab w:val="left" w:pos="5555"/>
        </w:tabs>
        <w:spacing w:before="97" w:line="220" w:lineRule="auto"/>
        <w:ind w:left="6" w:firstLine="1200" w:firstLineChars="500"/>
        <w:rPr>
          <w:rFonts w:ascii="宋体" w:hAnsi="宋体" w:cs="宋体"/>
          <w:sz w:val="36"/>
          <w:szCs w:val="36"/>
        </w:rPr>
      </w:pPr>
      <w:r>
        <w:rPr>
          <w:sz w:val="24"/>
          <w:szCs w:val="24"/>
        </w:rPr>
        <w:t>项目编号：XXXX</w:t>
      </w:r>
    </w:p>
    <w:p>
      <w:pPr>
        <w:spacing w:before="228" w:line="220" w:lineRule="auto"/>
        <w:ind w:firstLine="3340" w:firstLineChars="500"/>
        <w:rPr>
          <w:rFonts w:ascii="宋体" w:hAnsi="宋体" w:cs="宋体"/>
          <w:spacing w:val="-16"/>
          <w:sz w:val="70"/>
          <w:szCs w:val="70"/>
        </w:rPr>
      </w:pPr>
    </w:p>
    <w:p>
      <w:pPr>
        <w:pStyle w:val="7"/>
        <w:spacing w:line="241" w:lineRule="auto"/>
      </w:pPr>
    </w:p>
    <w:p>
      <w:pPr>
        <w:pStyle w:val="7"/>
        <w:spacing w:line="241" w:lineRule="auto"/>
      </w:pPr>
    </w:p>
    <w:p>
      <w:pPr>
        <w:pStyle w:val="7"/>
        <w:spacing w:line="241" w:lineRule="auto"/>
      </w:pPr>
    </w:p>
    <w:p>
      <w:pPr>
        <w:pStyle w:val="7"/>
        <w:spacing w:line="241" w:lineRule="auto"/>
      </w:pPr>
    </w:p>
    <w:p>
      <w:pPr>
        <w:pStyle w:val="7"/>
        <w:spacing w:line="241" w:lineRule="auto"/>
      </w:pPr>
    </w:p>
    <w:p>
      <w:pPr>
        <w:pStyle w:val="7"/>
        <w:spacing w:line="241" w:lineRule="auto"/>
      </w:pPr>
    </w:p>
    <w:p>
      <w:pPr>
        <w:pStyle w:val="7"/>
        <w:spacing w:line="241" w:lineRule="auto"/>
      </w:pPr>
    </w:p>
    <w:p>
      <w:pPr>
        <w:pStyle w:val="7"/>
        <w:spacing w:line="241" w:lineRule="auto"/>
      </w:pPr>
    </w:p>
    <w:p>
      <w:pPr>
        <w:pStyle w:val="7"/>
        <w:spacing w:line="241" w:lineRule="auto"/>
      </w:pPr>
    </w:p>
    <w:p>
      <w:pPr>
        <w:pStyle w:val="7"/>
        <w:spacing w:line="241" w:lineRule="auto"/>
      </w:pPr>
    </w:p>
    <w:p>
      <w:pPr>
        <w:pStyle w:val="7"/>
        <w:spacing w:line="242" w:lineRule="auto"/>
      </w:pPr>
    </w:p>
    <w:p>
      <w:pPr>
        <w:pStyle w:val="7"/>
        <w:spacing w:line="242" w:lineRule="auto"/>
      </w:pPr>
    </w:p>
    <w:p>
      <w:pPr>
        <w:pStyle w:val="7"/>
        <w:spacing w:line="242" w:lineRule="auto"/>
        <w:ind w:firstLine="634"/>
        <w:rPr>
          <w:sz w:val="32"/>
          <w:szCs w:val="32"/>
        </w:rPr>
      </w:pPr>
    </w:p>
    <w:p>
      <w:pPr>
        <w:ind w:firstLine="960" w:firstLineChars="400"/>
        <w:rPr>
          <w:sz w:val="24"/>
          <w:szCs w:val="24"/>
          <w:u w:val="single"/>
        </w:rPr>
      </w:pPr>
      <w:r>
        <w:rPr>
          <w:sz w:val="24"/>
          <w:szCs w:val="24"/>
        </w:rPr>
        <w:t>投标人(</w:t>
      </w:r>
      <w:r>
        <w:rPr>
          <w:rFonts w:hint="eastAsia"/>
          <w:sz w:val="24"/>
          <w:szCs w:val="24"/>
        </w:rPr>
        <w:t>电子签章</w:t>
      </w:r>
      <w:r>
        <w:rPr>
          <w:sz w:val="24"/>
          <w:szCs w:val="24"/>
        </w:rPr>
        <w:t>)：</w:t>
      </w:r>
      <w:r>
        <w:rPr>
          <w:rFonts w:hint="eastAsia"/>
          <w:sz w:val="24"/>
          <w:szCs w:val="24"/>
          <w:u w:val="single"/>
        </w:rPr>
        <w:t xml:space="preserve">                          </w:t>
      </w:r>
    </w:p>
    <w:p>
      <w:pPr>
        <w:ind w:firstLine="960" w:firstLineChars="400"/>
        <w:rPr>
          <w:sz w:val="24"/>
          <w:szCs w:val="24"/>
          <w:u w:val="single"/>
        </w:rPr>
      </w:pPr>
      <w:r>
        <w:rPr>
          <w:sz w:val="24"/>
          <w:szCs w:val="24"/>
        </w:rPr>
        <w:t>法定代表人或被授权代表(</w:t>
      </w:r>
      <w:r>
        <w:rPr>
          <w:rFonts w:hint="eastAsia"/>
          <w:sz w:val="24"/>
          <w:szCs w:val="24"/>
        </w:rPr>
        <w:t>电子</w:t>
      </w:r>
      <w:r>
        <w:rPr>
          <w:sz w:val="24"/>
          <w:szCs w:val="24"/>
        </w:rPr>
        <w:t>签章)：</w:t>
      </w:r>
      <w:r>
        <w:rPr>
          <w:rFonts w:hint="eastAsia"/>
          <w:sz w:val="24"/>
          <w:szCs w:val="24"/>
          <w:u w:val="single"/>
        </w:rPr>
        <w:t xml:space="preserve">                         </w:t>
      </w:r>
    </w:p>
    <w:p>
      <w:pPr>
        <w:ind w:firstLine="960" w:firstLineChars="400"/>
        <w:rPr>
          <w:sz w:val="24"/>
          <w:szCs w:val="24"/>
        </w:rPr>
      </w:pPr>
      <w:r>
        <w:rPr>
          <w:sz w:val="24"/>
          <w:szCs w:val="24"/>
        </w:rPr>
        <w:t>日期：</w:t>
      </w:r>
    </w:p>
    <w:p>
      <w:pPr>
        <w:sectPr>
          <w:footerReference r:id="rId7" w:type="default"/>
          <w:pgSz w:w="11906" w:h="16840"/>
          <w:pgMar w:top="1474" w:right="1417" w:bottom="1247" w:left="1417" w:header="849" w:footer="1164" w:gutter="0"/>
          <w:cols w:space="720" w:num="1"/>
        </w:sectPr>
      </w:pPr>
    </w:p>
    <w:p>
      <w:pPr>
        <w:spacing w:before="67" w:line="222" w:lineRule="auto"/>
        <w:ind w:left="3416"/>
        <w:rPr>
          <w:rFonts w:ascii="宋体" w:hAnsi="宋体" w:cs="宋体"/>
          <w:sz w:val="34"/>
          <w:szCs w:val="34"/>
        </w:rPr>
      </w:pPr>
      <w:r>
        <w:rPr>
          <w:rFonts w:ascii="宋体" w:hAnsi="宋体" w:cs="宋体"/>
          <w:spacing w:val="-39"/>
          <w:sz w:val="34"/>
          <w:szCs w:val="34"/>
        </w:rPr>
        <w:t>目录</w:t>
      </w:r>
    </w:p>
    <w:p>
      <w:pPr>
        <w:spacing w:before="78" w:line="219" w:lineRule="auto"/>
        <w:ind w:left="48"/>
        <w:rPr>
          <w:rFonts w:ascii="宋体" w:hAnsi="宋体" w:cs="宋体"/>
          <w:sz w:val="24"/>
          <w:szCs w:val="24"/>
        </w:rPr>
      </w:pPr>
      <w:r>
        <w:rPr>
          <w:rFonts w:ascii="宋体" w:hAnsi="宋体" w:cs="宋体"/>
          <w:spacing w:val="-4"/>
          <w:sz w:val="24"/>
          <w:szCs w:val="24"/>
        </w:rPr>
        <w:t>一、投标函及投标函附录</w:t>
      </w:r>
    </w:p>
    <w:p>
      <w:pPr>
        <w:pStyle w:val="7"/>
        <w:spacing w:line="258" w:lineRule="auto"/>
      </w:pPr>
    </w:p>
    <w:p>
      <w:pPr>
        <w:spacing w:before="78" w:line="219" w:lineRule="auto"/>
        <w:ind w:left="48"/>
        <w:rPr>
          <w:rFonts w:ascii="宋体" w:hAnsi="宋体" w:cs="宋体"/>
          <w:sz w:val="24"/>
          <w:szCs w:val="24"/>
        </w:rPr>
      </w:pPr>
      <w:r>
        <w:rPr>
          <w:rFonts w:ascii="宋体" w:hAnsi="宋体" w:cs="宋体"/>
          <w:spacing w:val="-4"/>
          <w:sz w:val="24"/>
          <w:szCs w:val="24"/>
        </w:rPr>
        <w:t>二、法定代表人身份证明</w:t>
      </w:r>
    </w:p>
    <w:p>
      <w:pPr>
        <w:pStyle w:val="7"/>
        <w:spacing w:line="253" w:lineRule="auto"/>
      </w:pPr>
    </w:p>
    <w:p>
      <w:pPr>
        <w:spacing w:before="79" w:line="219" w:lineRule="auto"/>
        <w:ind w:left="35"/>
        <w:rPr>
          <w:rFonts w:ascii="宋体" w:hAnsi="宋体" w:cs="宋体"/>
          <w:sz w:val="24"/>
          <w:szCs w:val="24"/>
        </w:rPr>
      </w:pPr>
      <w:r>
        <w:rPr>
          <w:rFonts w:ascii="宋体" w:hAnsi="宋体" w:cs="宋体"/>
          <w:spacing w:val="-4"/>
          <w:sz w:val="24"/>
          <w:szCs w:val="24"/>
        </w:rPr>
        <w:t>三、</w:t>
      </w:r>
      <w:r>
        <w:rPr>
          <w:rFonts w:hint="eastAsia" w:ascii="宋体" w:hAnsi="宋体" w:cs="宋体"/>
          <w:spacing w:val="-4"/>
          <w:sz w:val="24"/>
          <w:szCs w:val="24"/>
        </w:rPr>
        <w:t>法定代表人授权委托书</w:t>
      </w:r>
    </w:p>
    <w:p>
      <w:pPr>
        <w:pStyle w:val="7"/>
        <w:spacing w:line="258" w:lineRule="auto"/>
      </w:pPr>
    </w:p>
    <w:p>
      <w:pPr>
        <w:spacing w:before="78" w:line="219" w:lineRule="auto"/>
        <w:ind w:left="106"/>
        <w:rPr>
          <w:rFonts w:ascii="宋体" w:hAnsi="宋体" w:cs="宋体"/>
          <w:sz w:val="24"/>
          <w:szCs w:val="24"/>
        </w:rPr>
      </w:pPr>
      <w:r>
        <w:rPr>
          <w:rFonts w:ascii="宋体" w:hAnsi="宋体" w:cs="宋体"/>
          <w:spacing w:val="-11"/>
          <w:sz w:val="24"/>
          <w:szCs w:val="24"/>
        </w:rPr>
        <w:t>四、投标承诺函</w:t>
      </w:r>
    </w:p>
    <w:p>
      <w:pPr>
        <w:pStyle w:val="7"/>
        <w:spacing w:line="257" w:lineRule="auto"/>
      </w:pPr>
    </w:p>
    <w:p>
      <w:pPr>
        <w:spacing w:before="78" w:line="219" w:lineRule="auto"/>
        <w:ind w:left="48"/>
        <w:rPr>
          <w:rFonts w:ascii="宋体" w:hAnsi="宋体" w:cs="宋体"/>
          <w:sz w:val="24"/>
          <w:szCs w:val="24"/>
        </w:rPr>
      </w:pPr>
      <w:r>
        <w:rPr>
          <w:rFonts w:ascii="宋体" w:hAnsi="宋体" w:cs="宋体"/>
          <w:spacing w:val="-5"/>
          <w:sz w:val="24"/>
          <w:szCs w:val="24"/>
        </w:rPr>
        <w:t>五、资格审查资料</w:t>
      </w:r>
    </w:p>
    <w:p>
      <w:pPr>
        <w:pStyle w:val="7"/>
        <w:spacing w:line="254" w:lineRule="auto"/>
      </w:pPr>
    </w:p>
    <w:p>
      <w:pPr>
        <w:spacing w:before="78" w:line="220" w:lineRule="auto"/>
        <w:ind w:left="42"/>
        <w:rPr>
          <w:rFonts w:ascii="宋体" w:hAnsi="宋体" w:cs="宋体"/>
          <w:sz w:val="24"/>
          <w:szCs w:val="24"/>
        </w:rPr>
      </w:pPr>
      <w:r>
        <w:rPr>
          <w:rFonts w:ascii="宋体" w:hAnsi="宋体" w:cs="宋体"/>
          <w:spacing w:val="-4"/>
          <w:sz w:val="24"/>
          <w:szCs w:val="24"/>
        </w:rPr>
        <w:t>六、项目实施方案</w:t>
      </w:r>
    </w:p>
    <w:p>
      <w:pPr>
        <w:pStyle w:val="7"/>
        <w:spacing w:line="253" w:lineRule="auto"/>
      </w:pPr>
    </w:p>
    <w:p>
      <w:pPr>
        <w:spacing w:before="78" w:line="219" w:lineRule="auto"/>
        <w:ind w:left="48"/>
        <w:rPr>
          <w:rFonts w:ascii="宋体" w:hAnsi="宋体" w:cs="宋体"/>
          <w:spacing w:val="-5"/>
          <w:sz w:val="24"/>
          <w:szCs w:val="24"/>
        </w:rPr>
      </w:pPr>
      <w:r>
        <w:rPr>
          <w:rFonts w:ascii="宋体" w:hAnsi="宋体" w:cs="宋体"/>
          <w:spacing w:val="-5"/>
          <w:sz w:val="24"/>
          <w:szCs w:val="24"/>
        </w:rPr>
        <w:t>七、</w:t>
      </w:r>
      <w:r>
        <w:rPr>
          <w:rFonts w:hint="eastAsia" w:ascii="宋体" w:hAnsi="宋体" w:cs="宋体"/>
          <w:spacing w:val="-5"/>
          <w:sz w:val="24"/>
          <w:szCs w:val="24"/>
        </w:rPr>
        <w:t>售后服务方案</w:t>
      </w:r>
    </w:p>
    <w:p>
      <w:pPr>
        <w:spacing w:before="78" w:line="219" w:lineRule="auto"/>
        <w:ind w:left="48"/>
        <w:rPr>
          <w:rFonts w:ascii="宋体" w:hAnsi="宋体" w:cs="宋体"/>
          <w:spacing w:val="-5"/>
          <w:sz w:val="24"/>
          <w:szCs w:val="24"/>
        </w:rPr>
      </w:pPr>
    </w:p>
    <w:p>
      <w:pPr>
        <w:spacing w:before="78" w:line="219" w:lineRule="auto"/>
        <w:ind w:left="48"/>
        <w:rPr>
          <w:rFonts w:ascii="宋体" w:hAnsi="宋体" w:cs="宋体"/>
          <w:spacing w:val="-5"/>
          <w:sz w:val="24"/>
          <w:szCs w:val="24"/>
        </w:rPr>
      </w:pPr>
      <w:r>
        <w:rPr>
          <w:rFonts w:ascii="宋体" w:hAnsi="宋体" w:cs="宋体"/>
          <w:spacing w:val="-5"/>
          <w:sz w:val="24"/>
          <w:szCs w:val="24"/>
        </w:rPr>
        <w:t>八、其它材料</w:t>
      </w:r>
    </w:p>
    <w:p>
      <w:pPr>
        <w:spacing w:line="219" w:lineRule="auto"/>
        <w:rPr>
          <w:rFonts w:ascii="宋体" w:hAnsi="宋体" w:cs="宋体"/>
          <w:sz w:val="24"/>
          <w:szCs w:val="24"/>
        </w:rPr>
        <w:sectPr>
          <w:footerReference r:id="rId8" w:type="default"/>
          <w:pgSz w:w="11906" w:h="16840"/>
          <w:pgMar w:top="1474" w:right="1417" w:bottom="1247" w:left="1417" w:header="849" w:footer="1186" w:gutter="0"/>
          <w:cols w:space="720" w:num="1"/>
        </w:sectPr>
      </w:pPr>
    </w:p>
    <w:p>
      <w:pPr>
        <w:pStyle w:val="3"/>
        <w:jc w:val="center"/>
      </w:pPr>
      <w:bookmarkStart w:id="177" w:name="_Toc2456"/>
      <w:r>
        <w:rPr>
          <w:rFonts w:hint="eastAsia"/>
        </w:rPr>
        <w:t>1</w:t>
      </w:r>
      <w:r>
        <w:t>、投标函及投标函附录</w:t>
      </w:r>
      <w:bookmarkEnd w:id="177"/>
    </w:p>
    <w:p>
      <w:pPr>
        <w:jc w:val="center"/>
        <w:rPr>
          <w:b/>
          <w:bCs/>
        </w:rPr>
      </w:pPr>
      <w:r>
        <w:rPr>
          <w:b/>
          <w:bCs/>
        </w:rPr>
        <w:t>(一)投标函</w:t>
      </w:r>
    </w:p>
    <w:p>
      <w:pPr>
        <w:rPr>
          <w:sz w:val="24"/>
          <w:szCs w:val="24"/>
          <w:u w:val="single"/>
        </w:rPr>
      </w:pPr>
      <w:r>
        <w:rPr>
          <w:sz w:val="24"/>
          <w:szCs w:val="24"/>
        </w:rPr>
        <w:tab/>
      </w:r>
      <w:r>
        <w:rPr>
          <w:sz w:val="24"/>
          <w:szCs w:val="24"/>
        </w:rPr>
        <w:t>（采购人名称）：</w:t>
      </w:r>
      <w:r>
        <w:rPr>
          <w:rFonts w:hint="eastAsia"/>
          <w:sz w:val="24"/>
          <w:szCs w:val="24"/>
          <w:u w:val="single"/>
        </w:rPr>
        <w:t xml:space="preserve">                          </w:t>
      </w:r>
    </w:p>
    <w:p>
      <w:pPr>
        <w:rPr>
          <w:sz w:val="24"/>
          <w:szCs w:val="24"/>
        </w:rPr>
      </w:pPr>
      <w:r>
        <w:rPr>
          <w:sz w:val="24"/>
          <w:szCs w:val="24"/>
        </w:rPr>
        <w:t>1.我方</w:t>
      </w:r>
      <w:r>
        <w:rPr>
          <w:rFonts w:hint="eastAsia"/>
          <w:sz w:val="24"/>
          <w:szCs w:val="24"/>
          <w:u w:val="single"/>
        </w:rPr>
        <w:t xml:space="preserve">                          </w:t>
      </w:r>
      <w:r>
        <w:rPr>
          <w:sz w:val="24"/>
          <w:szCs w:val="24"/>
        </w:rPr>
        <w:t>（投标人名称）已仔细研究了</w:t>
      </w:r>
      <w:r>
        <w:rPr>
          <w:rFonts w:hint="eastAsia"/>
          <w:sz w:val="24"/>
          <w:szCs w:val="24"/>
          <w:u w:val="single"/>
        </w:rPr>
        <w:t xml:space="preserve">                          </w:t>
      </w:r>
      <w:r>
        <w:rPr>
          <w:sz w:val="24"/>
          <w:szCs w:val="24"/>
        </w:rPr>
        <w:t>（项目名称）招标文件的全部内容，愿意以：人民币（大写）</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none"/>
          <w:lang w:val="en-US" w:eastAsia="zh-CN"/>
        </w:rPr>
        <w:t>（小写）</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r>
        <w:rPr>
          <w:sz w:val="24"/>
          <w:szCs w:val="24"/>
        </w:rPr>
        <w:t>元为投标总报价、合同履行期限，按合同约定完成供货、检验、并交付贵方验收、使用，货物质量达到。</w:t>
      </w:r>
    </w:p>
    <w:p>
      <w:pPr>
        <w:rPr>
          <w:sz w:val="24"/>
          <w:szCs w:val="24"/>
        </w:rPr>
      </w:pPr>
      <w:r>
        <w:rPr>
          <w:sz w:val="24"/>
          <w:szCs w:val="24"/>
        </w:rPr>
        <w:t>2.我方承诺在投标有效期内不修改、撤销投标文件。</w:t>
      </w:r>
    </w:p>
    <w:p>
      <w:pPr>
        <w:rPr>
          <w:sz w:val="24"/>
          <w:szCs w:val="24"/>
        </w:rPr>
      </w:pPr>
      <w:r>
        <w:rPr>
          <w:sz w:val="24"/>
          <w:szCs w:val="24"/>
        </w:rPr>
        <w:t>3.如我方中标：</w:t>
      </w:r>
    </w:p>
    <w:p>
      <w:pPr>
        <w:rPr>
          <w:sz w:val="24"/>
          <w:szCs w:val="24"/>
        </w:rPr>
      </w:pPr>
      <w:r>
        <w:rPr>
          <w:sz w:val="24"/>
          <w:szCs w:val="24"/>
        </w:rPr>
        <w:t>（1）我方承诺在收到中标通知书后，在中标通知书规定的期限内与你方签订合同</w:t>
      </w:r>
      <w:r>
        <w:rPr>
          <w:rFonts w:hint="eastAsia"/>
          <w:sz w:val="24"/>
          <w:szCs w:val="24"/>
        </w:rPr>
        <w:t>。</w:t>
      </w:r>
    </w:p>
    <w:p>
      <w:pPr>
        <w:rPr>
          <w:sz w:val="24"/>
          <w:szCs w:val="24"/>
        </w:rPr>
      </w:pPr>
      <w:r>
        <w:rPr>
          <w:sz w:val="24"/>
          <w:szCs w:val="24"/>
        </w:rPr>
        <w:t>（2）我方承诺在合同约定的期限内并按招标文件及合同的付款办法交付全部合同货物。</w:t>
      </w:r>
    </w:p>
    <w:p>
      <w:pPr>
        <w:rPr>
          <w:sz w:val="24"/>
          <w:szCs w:val="24"/>
        </w:rPr>
      </w:pPr>
      <w:r>
        <w:rPr>
          <w:sz w:val="24"/>
          <w:szCs w:val="24"/>
        </w:rPr>
        <w:t>（3）我方承诺在从规定的自开标之日起90日历天的投标有效期内不修改、撤销投标文件。</w:t>
      </w:r>
    </w:p>
    <w:p>
      <w:pPr>
        <w:rPr>
          <w:sz w:val="24"/>
          <w:szCs w:val="24"/>
        </w:rPr>
      </w:pPr>
      <w:r>
        <w:rPr>
          <w:sz w:val="24"/>
          <w:szCs w:val="24"/>
        </w:rPr>
        <w:t>（4）我单位同意提供与招标有关的一切数据和资料,完全理解最低报价不是中标唯一条件。</w:t>
      </w:r>
    </w:p>
    <w:p>
      <w:pPr>
        <w:rPr>
          <w:sz w:val="24"/>
          <w:szCs w:val="24"/>
        </w:rPr>
      </w:pPr>
      <w:r>
        <w:rPr>
          <w:sz w:val="24"/>
          <w:szCs w:val="24"/>
        </w:rPr>
        <w:t>4.我方在此声明，所递交的投标文件及有关资料内容完整、真实和准确。</w:t>
      </w:r>
    </w:p>
    <w:p>
      <w:pPr>
        <w:rPr>
          <w:sz w:val="24"/>
          <w:szCs w:val="24"/>
        </w:rPr>
      </w:pPr>
    </w:p>
    <w:p>
      <w:pPr>
        <w:rPr>
          <w:sz w:val="24"/>
          <w:szCs w:val="24"/>
        </w:rPr>
      </w:pPr>
    </w:p>
    <w:p>
      <w:pPr>
        <w:rPr>
          <w:sz w:val="24"/>
          <w:szCs w:val="24"/>
        </w:rPr>
      </w:pPr>
    </w:p>
    <w:p>
      <w:pPr>
        <w:rPr>
          <w:sz w:val="24"/>
          <w:szCs w:val="24"/>
        </w:rPr>
      </w:pPr>
      <w:r>
        <w:rPr>
          <w:sz w:val="24"/>
          <w:szCs w:val="24"/>
        </w:rPr>
        <w:t>投标人：（</w:t>
      </w:r>
      <w:r>
        <w:rPr>
          <w:rFonts w:hint="eastAsia"/>
          <w:sz w:val="24"/>
          <w:szCs w:val="24"/>
        </w:rPr>
        <w:t>电子签</w:t>
      </w:r>
      <w:r>
        <w:rPr>
          <w:sz w:val="24"/>
          <w:szCs w:val="24"/>
        </w:rPr>
        <w:t>章）</w:t>
      </w:r>
    </w:p>
    <w:p>
      <w:pPr>
        <w:rPr>
          <w:sz w:val="24"/>
          <w:szCs w:val="24"/>
        </w:rPr>
      </w:pPr>
      <w:r>
        <w:rPr>
          <w:sz w:val="24"/>
          <w:szCs w:val="24"/>
        </w:rPr>
        <w:t>法定代表人或被授权代表：（</w:t>
      </w:r>
      <w:r>
        <w:rPr>
          <w:rFonts w:hint="eastAsia"/>
          <w:sz w:val="24"/>
          <w:szCs w:val="24"/>
        </w:rPr>
        <w:t>电子签章</w:t>
      </w:r>
      <w:r>
        <w:rPr>
          <w:sz w:val="24"/>
          <w:szCs w:val="24"/>
        </w:rPr>
        <w:t>）</w:t>
      </w:r>
    </w:p>
    <w:p>
      <w:pPr>
        <w:rPr>
          <w:sz w:val="24"/>
          <w:szCs w:val="24"/>
        </w:rPr>
      </w:pPr>
      <w:r>
        <w:rPr>
          <w:sz w:val="24"/>
          <w:szCs w:val="24"/>
        </w:rPr>
        <w:t>地址：</w:t>
      </w:r>
    </w:p>
    <w:p>
      <w:pPr>
        <w:rPr>
          <w:sz w:val="24"/>
          <w:szCs w:val="24"/>
        </w:rPr>
      </w:pPr>
      <w:r>
        <w:rPr>
          <w:sz w:val="24"/>
          <w:szCs w:val="24"/>
        </w:rPr>
        <w:t>电话：</w:t>
      </w:r>
    </w:p>
    <w:p>
      <w:pPr>
        <w:rPr>
          <w:sz w:val="24"/>
          <w:szCs w:val="24"/>
        </w:rPr>
      </w:pPr>
      <w:r>
        <w:rPr>
          <w:sz w:val="24"/>
          <w:szCs w:val="24"/>
        </w:rPr>
        <w:t>邮政编码：</w:t>
      </w:r>
      <w:r>
        <w:rPr>
          <w:sz w:val="24"/>
          <w:szCs w:val="24"/>
        </w:rPr>
        <w:tab/>
      </w:r>
    </w:p>
    <w:p>
      <w:pPr>
        <w:sectPr>
          <w:footerReference r:id="rId9" w:type="default"/>
          <w:pgSz w:w="11906" w:h="16840"/>
          <w:pgMar w:top="1474" w:right="1417" w:bottom="1247" w:left="1417" w:header="849" w:footer="1186" w:gutter="0"/>
          <w:cols w:space="720" w:num="1"/>
        </w:sectPr>
      </w:pPr>
    </w:p>
    <w:p>
      <w:pPr>
        <w:jc w:val="center"/>
        <w:rPr>
          <w:b/>
          <w:bCs/>
          <w:sz w:val="24"/>
          <w:szCs w:val="24"/>
        </w:rPr>
      </w:pPr>
      <w:r>
        <w:rPr>
          <w:b/>
          <w:bCs/>
          <w:sz w:val="24"/>
          <w:szCs w:val="24"/>
        </w:rPr>
        <w:t>（二）投标函附录</w:t>
      </w:r>
    </w:p>
    <w:tbl>
      <w:tblPr>
        <w:tblStyle w:val="39"/>
        <w:tblW w:w="8974" w:type="dxa"/>
        <w:tblInd w:w="5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05"/>
        <w:gridCol w:w="696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2005" w:type="dxa"/>
            <w:vAlign w:val="center"/>
          </w:tcPr>
          <w:p>
            <w:pPr>
              <w:pStyle w:val="38"/>
              <w:jc w:val="center"/>
              <w:rPr>
                <w:sz w:val="24"/>
                <w:szCs w:val="24"/>
              </w:rPr>
            </w:pPr>
            <w:r>
              <w:rPr>
                <w:sz w:val="24"/>
                <w:szCs w:val="24"/>
              </w:rPr>
              <w:t>项目名称</w:t>
            </w:r>
          </w:p>
        </w:tc>
        <w:tc>
          <w:tcPr>
            <w:tcW w:w="6969" w:type="dxa"/>
          </w:tcPr>
          <w:p>
            <w:pPr>
              <w:pStyle w:val="38"/>
              <w:rPr>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2005" w:type="dxa"/>
            <w:vAlign w:val="center"/>
          </w:tcPr>
          <w:p>
            <w:pPr>
              <w:pStyle w:val="38"/>
              <w:jc w:val="center"/>
              <w:rPr>
                <w:sz w:val="24"/>
                <w:szCs w:val="24"/>
              </w:rPr>
            </w:pPr>
            <w:r>
              <w:rPr>
                <w:sz w:val="24"/>
                <w:szCs w:val="24"/>
              </w:rPr>
              <w:t>投标人</w:t>
            </w:r>
          </w:p>
        </w:tc>
        <w:tc>
          <w:tcPr>
            <w:tcW w:w="6969" w:type="dxa"/>
          </w:tcPr>
          <w:p>
            <w:pPr>
              <w:pStyle w:val="38"/>
              <w:rPr>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1" w:hRule="atLeast"/>
        </w:trPr>
        <w:tc>
          <w:tcPr>
            <w:tcW w:w="2005" w:type="dxa"/>
            <w:vAlign w:val="center"/>
          </w:tcPr>
          <w:p>
            <w:pPr>
              <w:pStyle w:val="38"/>
              <w:jc w:val="center"/>
              <w:rPr>
                <w:sz w:val="24"/>
                <w:szCs w:val="24"/>
              </w:rPr>
            </w:pPr>
            <w:r>
              <w:rPr>
                <w:sz w:val="24"/>
                <w:szCs w:val="24"/>
              </w:rPr>
              <w:t>投标报价</w:t>
            </w:r>
          </w:p>
        </w:tc>
        <w:tc>
          <w:tcPr>
            <w:tcW w:w="6969" w:type="dxa"/>
          </w:tcPr>
          <w:p>
            <w:pPr>
              <w:pStyle w:val="38"/>
              <w:rPr>
                <w:sz w:val="24"/>
                <w:szCs w:val="24"/>
                <w:lang w:eastAsia="zh-CN"/>
              </w:rPr>
            </w:pPr>
            <w:r>
              <w:rPr>
                <w:sz w:val="24"/>
                <w:szCs w:val="24"/>
              </w:rPr>
              <w:t>大写：</w:t>
            </w:r>
          </w:p>
          <w:p>
            <w:pPr>
              <w:pStyle w:val="38"/>
              <w:rPr>
                <w:sz w:val="24"/>
                <w:szCs w:val="24"/>
                <w:lang w:eastAsia="zh-CN"/>
              </w:rPr>
            </w:pPr>
            <w:r>
              <w:rPr>
                <w:sz w:val="24"/>
                <w:szCs w:val="24"/>
              </w:rPr>
              <w:t>小写：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2005" w:type="dxa"/>
            <w:vAlign w:val="center"/>
          </w:tcPr>
          <w:p>
            <w:pPr>
              <w:pStyle w:val="38"/>
              <w:jc w:val="center"/>
              <w:rPr>
                <w:sz w:val="24"/>
                <w:szCs w:val="24"/>
              </w:rPr>
            </w:pPr>
            <w:r>
              <w:rPr>
                <w:sz w:val="24"/>
                <w:szCs w:val="24"/>
              </w:rPr>
              <w:t>投标范围</w:t>
            </w:r>
          </w:p>
        </w:tc>
        <w:tc>
          <w:tcPr>
            <w:tcW w:w="6969" w:type="dxa"/>
          </w:tcPr>
          <w:p>
            <w:pPr>
              <w:pStyle w:val="38"/>
              <w:rPr>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6" w:hRule="atLeast"/>
        </w:trPr>
        <w:tc>
          <w:tcPr>
            <w:tcW w:w="2005" w:type="dxa"/>
            <w:vAlign w:val="center"/>
          </w:tcPr>
          <w:p>
            <w:pPr>
              <w:pStyle w:val="38"/>
              <w:jc w:val="center"/>
              <w:rPr>
                <w:sz w:val="24"/>
                <w:szCs w:val="24"/>
              </w:rPr>
            </w:pPr>
            <w:r>
              <w:rPr>
                <w:sz w:val="24"/>
                <w:szCs w:val="24"/>
              </w:rPr>
              <w:t>合同履行期限</w:t>
            </w:r>
          </w:p>
        </w:tc>
        <w:tc>
          <w:tcPr>
            <w:tcW w:w="6969" w:type="dxa"/>
          </w:tcPr>
          <w:p>
            <w:pPr>
              <w:pStyle w:val="38"/>
              <w:rPr>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2005" w:type="dxa"/>
            <w:vAlign w:val="center"/>
          </w:tcPr>
          <w:p>
            <w:pPr>
              <w:pStyle w:val="38"/>
              <w:jc w:val="center"/>
              <w:rPr>
                <w:rFonts w:hint="default" w:eastAsia="宋体"/>
                <w:sz w:val="24"/>
                <w:szCs w:val="24"/>
                <w:lang w:val="en-US" w:eastAsia="zh-CN"/>
              </w:rPr>
            </w:pPr>
            <w:r>
              <w:rPr>
                <w:rFonts w:hint="eastAsia"/>
                <w:sz w:val="24"/>
                <w:szCs w:val="24"/>
                <w:lang w:val="en-US" w:eastAsia="zh-CN"/>
              </w:rPr>
              <w:t>供货期</w:t>
            </w:r>
          </w:p>
        </w:tc>
        <w:tc>
          <w:tcPr>
            <w:tcW w:w="6969" w:type="dxa"/>
          </w:tcPr>
          <w:p>
            <w:pPr>
              <w:pStyle w:val="38"/>
              <w:rPr>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2005" w:type="dxa"/>
            <w:vAlign w:val="center"/>
          </w:tcPr>
          <w:p>
            <w:pPr>
              <w:pStyle w:val="38"/>
              <w:jc w:val="center"/>
              <w:rPr>
                <w:sz w:val="24"/>
                <w:szCs w:val="24"/>
              </w:rPr>
            </w:pPr>
            <w:r>
              <w:rPr>
                <w:rFonts w:hint="eastAsia"/>
                <w:sz w:val="24"/>
                <w:szCs w:val="24"/>
                <w:lang w:val="en-US" w:eastAsia="zh-CN"/>
              </w:rPr>
              <w:t>运维服务期</w:t>
            </w:r>
          </w:p>
        </w:tc>
        <w:tc>
          <w:tcPr>
            <w:tcW w:w="6969" w:type="dxa"/>
          </w:tcPr>
          <w:p>
            <w:pPr>
              <w:pStyle w:val="38"/>
              <w:rPr>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2005" w:type="dxa"/>
            <w:vAlign w:val="center"/>
          </w:tcPr>
          <w:p>
            <w:pPr>
              <w:pStyle w:val="38"/>
              <w:jc w:val="center"/>
              <w:rPr>
                <w:rFonts w:hint="eastAsia" w:eastAsia="宋体"/>
                <w:sz w:val="24"/>
                <w:szCs w:val="24"/>
                <w:lang w:eastAsia="zh-CN"/>
              </w:rPr>
            </w:pPr>
            <w:r>
              <w:rPr>
                <w:sz w:val="24"/>
                <w:szCs w:val="24"/>
              </w:rPr>
              <w:t>质保期</w:t>
            </w:r>
          </w:p>
        </w:tc>
        <w:tc>
          <w:tcPr>
            <w:tcW w:w="6969" w:type="dxa"/>
          </w:tcPr>
          <w:p>
            <w:pPr>
              <w:pStyle w:val="38"/>
              <w:rPr>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trPr>
        <w:tc>
          <w:tcPr>
            <w:tcW w:w="2005" w:type="dxa"/>
            <w:vAlign w:val="center"/>
          </w:tcPr>
          <w:p>
            <w:pPr>
              <w:pStyle w:val="38"/>
              <w:jc w:val="center"/>
              <w:rPr>
                <w:sz w:val="24"/>
                <w:szCs w:val="24"/>
              </w:rPr>
            </w:pPr>
            <w:r>
              <w:rPr>
                <w:sz w:val="24"/>
                <w:szCs w:val="24"/>
              </w:rPr>
              <w:t>质量</w:t>
            </w:r>
            <w:r>
              <w:rPr>
                <w:rFonts w:hint="eastAsia"/>
                <w:sz w:val="24"/>
                <w:szCs w:val="24"/>
                <w:lang w:val="en-US" w:eastAsia="zh-CN"/>
              </w:rPr>
              <w:t>要求</w:t>
            </w:r>
          </w:p>
        </w:tc>
        <w:tc>
          <w:tcPr>
            <w:tcW w:w="6969" w:type="dxa"/>
          </w:tcPr>
          <w:p>
            <w:pPr>
              <w:pStyle w:val="38"/>
              <w:rPr>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2005" w:type="dxa"/>
            <w:vAlign w:val="center"/>
          </w:tcPr>
          <w:p>
            <w:pPr>
              <w:pStyle w:val="38"/>
              <w:jc w:val="center"/>
              <w:rPr>
                <w:sz w:val="24"/>
                <w:szCs w:val="24"/>
              </w:rPr>
            </w:pPr>
            <w:r>
              <w:rPr>
                <w:sz w:val="24"/>
                <w:szCs w:val="24"/>
              </w:rPr>
              <w:t>项目负责人</w:t>
            </w:r>
          </w:p>
        </w:tc>
        <w:tc>
          <w:tcPr>
            <w:tcW w:w="6969" w:type="dxa"/>
          </w:tcPr>
          <w:p>
            <w:pPr>
              <w:pStyle w:val="38"/>
              <w:rPr>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2005" w:type="dxa"/>
            <w:vAlign w:val="center"/>
          </w:tcPr>
          <w:p>
            <w:pPr>
              <w:pStyle w:val="38"/>
              <w:jc w:val="center"/>
              <w:rPr>
                <w:sz w:val="24"/>
                <w:szCs w:val="24"/>
              </w:rPr>
            </w:pPr>
            <w:r>
              <w:rPr>
                <w:sz w:val="24"/>
                <w:szCs w:val="24"/>
              </w:rPr>
              <w:t>备注</w:t>
            </w:r>
          </w:p>
        </w:tc>
        <w:tc>
          <w:tcPr>
            <w:tcW w:w="6969" w:type="dxa"/>
          </w:tcPr>
          <w:p>
            <w:pPr>
              <w:pStyle w:val="38"/>
              <w:rPr>
                <w:sz w:val="24"/>
                <w:szCs w:val="24"/>
              </w:rPr>
            </w:pPr>
          </w:p>
        </w:tc>
      </w:tr>
    </w:tbl>
    <w:p>
      <w:pPr>
        <w:rPr>
          <w:sz w:val="24"/>
          <w:szCs w:val="24"/>
        </w:rPr>
      </w:pPr>
      <w:r>
        <w:rPr>
          <w:sz w:val="24"/>
          <w:szCs w:val="24"/>
        </w:rPr>
        <w:t>注：质保期填写要求特别说明</w:t>
      </w:r>
      <w:r>
        <w:rPr>
          <w:rFonts w:hint="eastAsia"/>
          <w:sz w:val="24"/>
          <w:szCs w:val="24"/>
        </w:rPr>
        <w:t>：</w:t>
      </w:r>
      <w:r>
        <w:rPr>
          <w:sz w:val="24"/>
          <w:szCs w:val="24"/>
        </w:rPr>
        <w:t>若供应商在招标文件原有质保期的基础上增加一年的可以写</w:t>
      </w:r>
      <w:r>
        <w:rPr>
          <w:rFonts w:hint="eastAsia"/>
          <w:sz w:val="24"/>
          <w:szCs w:val="24"/>
        </w:rPr>
        <w:t>“</w:t>
      </w:r>
      <w:r>
        <w:rPr>
          <w:sz w:val="24"/>
          <w:szCs w:val="24"/>
        </w:rPr>
        <w:t>产品本身国家法律、行政法规等相关规定+1年</w:t>
      </w:r>
      <w:r>
        <w:rPr>
          <w:rFonts w:hint="eastAsia"/>
          <w:sz w:val="24"/>
          <w:szCs w:val="24"/>
        </w:rPr>
        <w:t>”，</w:t>
      </w:r>
      <w:r>
        <w:rPr>
          <w:sz w:val="24"/>
          <w:szCs w:val="24"/>
        </w:rPr>
        <w:t>在招标文件原有质保期的基础上增加两年的可以写</w:t>
      </w:r>
      <w:r>
        <w:rPr>
          <w:rFonts w:hint="eastAsia"/>
          <w:sz w:val="24"/>
          <w:szCs w:val="24"/>
        </w:rPr>
        <w:t>“</w:t>
      </w:r>
      <w:r>
        <w:rPr>
          <w:sz w:val="24"/>
          <w:szCs w:val="24"/>
        </w:rPr>
        <w:t>产品本身国家法律、行政法规等相关规定+2年</w:t>
      </w:r>
      <w:r>
        <w:rPr>
          <w:rFonts w:hint="eastAsia"/>
          <w:sz w:val="24"/>
          <w:szCs w:val="24"/>
        </w:rPr>
        <w:t>”，</w:t>
      </w:r>
      <w:r>
        <w:rPr>
          <w:sz w:val="24"/>
          <w:szCs w:val="24"/>
        </w:rPr>
        <w:t>以此类推</w:t>
      </w:r>
      <w:r>
        <w:rPr>
          <w:rFonts w:hint="eastAsia"/>
          <w:sz w:val="24"/>
          <w:szCs w:val="24"/>
        </w:rPr>
        <w:t>。</w:t>
      </w:r>
      <w:r>
        <w:rPr>
          <w:sz w:val="24"/>
          <w:szCs w:val="24"/>
        </w:rPr>
        <w:t>若不增加质保期的可按招标文件</w:t>
      </w:r>
      <w:r>
        <w:rPr>
          <w:rFonts w:hint="eastAsia"/>
          <w:sz w:val="24"/>
          <w:szCs w:val="24"/>
        </w:rPr>
        <w:t>“</w:t>
      </w:r>
      <w:r>
        <w:rPr>
          <w:sz w:val="24"/>
          <w:szCs w:val="24"/>
        </w:rPr>
        <w:t>以产品本身国家法律、行政法规等相关规定为准</w:t>
      </w:r>
      <w:r>
        <w:rPr>
          <w:rFonts w:hint="eastAsia"/>
          <w:sz w:val="24"/>
          <w:szCs w:val="24"/>
        </w:rPr>
        <w:t>”</w:t>
      </w:r>
      <w:r>
        <w:rPr>
          <w:sz w:val="24"/>
          <w:szCs w:val="24"/>
        </w:rPr>
        <w:t>填写</w:t>
      </w:r>
      <w:r>
        <w:rPr>
          <w:rFonts w:hint="eastAsia"/>
          <w:sz w:val="24"/>
          <w:szCs w:val="24"/>
        </w:rPr>
        <w:t>。</w:t>
      </w:r>
    </w:p>
    <w:p>
      <w:pPr>
        <w:pStyle w:val="7"/>
        <w:spacing w:line="283" w:lineRule="auto"/>
      </w:pPr>
    </w:p>
    <w:p>
      <w:pPr>
        <w:pStyle w:val="7"/>
        <w:spacing w:line="283" w:lineRule="auto"/>
      </w:pPr>
    </w:p>
    <w:p>
      <w:pPr>
        <w:pStyle w:val="7"/>
        <w:spacing w:line="283" w:lineRule="auto"/>
        <w:jc w:val="center"/>
      </w:pPr>
    </w:p>
    <w:p>
      <w:pPr>
        <w:jc w:val="left"/>
        <w:rPr>
          <w:sz w:val="24"/>
          <w:szCs w:val="24"/>
        </w:rPr>
      </w:pPr>
      <w:r>
        <w:rPr>
          <w:sz w:val="24"/>
          <w:szCs w:val="24"/>
        </w:rPr>
        <w:t>投标人(</w:t>
      </w:r>
      <w:r>
        <w:rPr>
          <w:rFonts w:hint="eastAsia"/>
          <w:sz w:val="24"/>
          <w:szCs w:val="24"/>
        </w:rPr>
        <w:t>电子签</w:t>
      </w:r>
      <w:r>
        <w:rPr>
          <w:sz w:val="24"/>
          <w:szCs w:val="24"/>
        </w:rPr>
        <w:t>章)：</w:t>
      </w:r>
    </w:p>
    <w:p>
      <w:pPr>
        <w:jc w:val="left"/>
        <w:rPr>
          <w:sz w:val="24"/>
          <w:szCs w:val="24"/>
        </w:rPr>
      </w:pPr>
      <w:r>
        <w:rPr>
          <w:sz w:val="24"/>
          <w:szCs w:val="24"/>
        </w:rPr>
        <w:drawing>
          <wp:anchor distT="0" distB="0" distL="0" distR="0" simplePos="0" relativeHeight="251661312" behindDoc="0" locked="0" layoutInCell="1" allowOverlap="1">
            <wp:simplePos x="0" y="0"/>
            <wp:positionH relativeFrom="column">
              <wp:posOffset>5208270</wp:posOffset>
            </wp:positionH>
            <wp:positionV relativeFrom="paragraph">
              <wp:posOffset>219710</wp:posOffset>
            </wp:positionV>
            <wp:extent cx="77470" cy="7620"/>
            <wp:effectExtent l="0" t="0" r="0" b="0"/>
            <wp:wrapNone/>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29"/>
                    <a:stretch>
                      <a:fillRect/>
                    </a:stretch>
                  </pic:blipFill>
                  <pic:spPr>
                    <a:xfrm>
                      <a:off x="0" y="0"/>
                      <a:ext cx="77723" cy="7620"/>
                    </a:xfrm>
                    <a:prstGeom prst="rect">
                      <a:avLst/>
                    </a:prstGeom>
                  </pic:spPr>
                </pic:pic>
              </a:graphicData>
            </a:graphic>
          </wp:anchor>
        </w:drawing>
      </w:r>
      <w:r>
        <w:rPr>
          <w:sz w:val="24"/>
          <w:szCs w:val="24"/>
        </w:rPr>
        <w:t>法定代表人或被授权代表(</w:t>
      </w:r>
      <w:r>
        <w:rPr>
          <w:rFonts w:hint="eastAsia"/>
          <w:sz w:val="24"/>
          <w:szCs w:val="24"/>
        </w:rPr>
        <w:t>电子签</w:t>
      </w:r>
      <w:r>
        <w:rPr>
          <w:sz w:val="24"/>
          <w:szCs w:val="24"/>
        </w:rPr>
        <w:t>章)：</w:t>
      </w:r>
    </w:p>
    <w:p>
      <w:pPr>
        <w:jc w:val="left"/>
        <w:rPr>
          <w:sz w:val="24"/>
          <w:szCs w:val="24"/>
        </w:rPr>
      </w:pPr>
      <w:r>
        <w:rPr>
          <w:sz w:val="24"/>
          <w:szCs w:val="24"/>
        </w:rPr>
        <w:t>日期：</w:t>
      </w:r>
    </w:p>
    <w:p>
      <w:pPr>
        <w:jc w:val="left"/>
        <w:rPr>
          <w:sz w:val="24"/>
          <w:szCs w:val="24"/>
        </w:rPr>
        <w:sectPr>
          <w:headerReference r:id="rId10" w:type="default"/>
          <w:footerReference r:id="rId11" w:type="default"/>
          <w:pgSz w:w="11906" w:h="16840"/>
          <w:pgMar w:top="1166" w:right="983" w:bottom="1351" w:left="1785" w:header="849" w:footer="1186" w:gutter="0"/>
          <w:cols w:space="720" w:num="1"/>
        </w:sectPr>
      </w:pPr>
    </w:p>
    <w:p>
      <w:pPr>
        <w:jc w:val="center"/>
        <w:rPr>
          <w:b/>
          <w:bCs/>
          <w:sz w:val="24"/>
          <w:szCs w:val="24"/>
          <w:highlight w:val="none"/>
        </w:rPr>
      </w:pPr>
      <w:r>
        <w:rPr>
          <w:b/>
          <w:bCs/>
          <w:sz w:val="24"/>
          <w:szCs w:val="24"/>
          <w:highlight w:val="none"/>
        </w:rPr>
        <w:t>（三）投标报价明细表</w:t>
      </w:r>
    </w:p>
    <w:p>
      <w:pPr>
        <w:rPr>
          <w:sz w:val="24"/>
          <w:szCs w:val="24"/>
        </w:rPr>
      </w:pPr>
      <w:r>
        <w:rPr>
          <w:sz w:val="24"/>
          <w:szCs w:val="24"/>
        </w:rPr>
        <w:t>投标人名称：</w:t>
      </w:r>
    </w:p>
    <w:tbl>
      <w:tblPr>
        <w:tblStyle w:val="39"/>
        <w:tblW w:w="946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1"/>
        <w:gridCol w:w="707"/>
        <w:gridCol w:w="847"/>
        <w:gridCol w:w="1134"/>
        <w:gridCol w:w="2123"/>
        <w:gridCol w:w="567"/>
        <w:gridCol w:w="567"/>
        <w:gridCol w:w="709"/>
        <w:gridCol w:w="989"/>
        <w:gridCol w:w="774"/>
        <w:gridCol w:w="50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2" w:hRule="atLeast"/>
          <w:jc w:val="center"/>
        </w:trPr>
        <w:tc>
          <w:tcPr>
            <w:tcW w:w="541" w:type="dxa"/>
            <w:textDirection w:val="tbRlV"/>
            <w:vAlign w:val="center"/>
          </w:tcPr>
          <w:p>
            <w:pPr>
              <w:pStyle w:val="38"/>
              <w:jc w:val="center"/>
              <w:rPr>
                <w:sz w:val="24"/>
                <w:szCs w:val="24"/>
              </w:rPr>
            </w:pPr>
            <w:r>
              <w:rPr>
                <w:sz w:val="24"/>
                <w:szCs w:val="24"/>
              </w:rPr>
              <w:t>序号</w:t>
            </w:r>
          </w:p>
        </w:tc>
        <w:tc>
          <w:tcPr>
            <w:tcW w:w="707" w:type="dxa"/>
            <w:vAlign w:val="center"/>
          </w:tcPr>
          <w:p>
            <w:pPr>
              <w:pStyle w:val="38"/>
              <w:jc w:val="center"/>
              <w:rPr>
                <w:sz w:val="24"/>
                <w:szCs w:val="24"/>
              </w:rPr>
            </w:pPr>
            <w:r>
              <w:rPr>
                <w:rFonts w:hint="eastAsia"/>
                <w:sz w:val="24"/>
                <w:szCs w:val="24"/>
                <w:lang w:eastAsia="zh-CN"/>
              </w:rPr>
              <w:t>项目</w:t>
            </w:r>
          </w:p>
        </w:tc>
        <w:tc>
          <w:tcPr>
            <w:tcW w:w="847" w:type="dxa"/>
            <w:vAlign w:val="center"/>
          </w:tcPr>
          <w:p>
            <w:pPr>
              <w:pStyle w:val="38"/>
              <w:jc w:val="center"/>
              <w:rPr>
                <w:sz w:val="24"/>
                <w:szCs w:val="24"/>
              </w:rPr>
            </w:pPr>
            <w:r>
              <w:rPr>
                <w:sz w:val="24"/>
                <w:szCs w:val="24"/>
              </w:rPr>
              <w:t>品牌规格型号</w:t>
            </w:r>
          </w:p>
        </w:tc>
        <w:tc>
          <w:tcPr>
            <w:tcW w:w="1134" w:type="dxa"/>
            <w:vAlign w:val="center"/>
          </w:tcPr>
          <w:p>
            <w:pPr>
              <w:pStyle w:val="38"/>
              <w:jc w:val="center"/>
              <w:rPr>
                <w:sz w:val="24"/>
                <w:szCs w:val="24"/>
              </w:rPr>
            </w:pPr>
            <w:r>
              <w:rPr>
                <w:sz w:val="24"/>
                <w:szCs w:val="24"/>
              </w:rPr>
              <w:t>原产地及制造商</w:t>
            </w:r>
          </w:p>
        </w:tc>
        <w:tc>
          <w:tcPr>
            <w:tcW w:w="2123" w:type="dxa"/>
            <w:vAlign w:val="center"/>
          </w:tcPr>
          <w:p>
            <w:pPr>
              <w:pStyle w:val="38"/>
              <w:jc w:val="center"/>
              <w:rPr>
                <w:sz w:val="24"/>
                <w:szCs w:val="24"/>
                <w:lang w:eastAsia="zh-CN"/>
              </w:rPr>
            </w:pPr>
            <w:r>
              <w:rPr>
                <w:sz w:val="24"/>
                <w:szCs w:val="24"/>
                <w:lang w:eastAsia="zh-CN"/>
              </w:rPr>
              <w:t>制造商类型（填小型/微型/监狱/残疾人福</w:t>
            </w:r>
          </w:p>
          <w:p>
            <w:pPr>
              <w:pStyle w:val="38"/>
              <w:jc w:val="center"/>
              <w:rPr>
                <w:sz w:val="24"/>
                <w:szCs w:val="24"/>
              </w:rPr>
            </w:pPr>
            <w:r>
              <w:rPr>
                <w:sz w:val="24"/>
                <w:szCs w:val="24"/>
              </w:rPr>
              <w:t>利性单位）</w:t>
            </w:r>
          </w:p>
        </w:tc>
        <w:tc>
          <w:tcPr>
            <w:tcW w:w="567" w:type="dxa"/>
            <w:textDirection w:val="tbRlV"/>
            <w:vAlign w:val="center"/>
          </w:tcPr>
          <w:p>
            <w:pPr>
              <w:pStyle w:val="38"/>
              <w:jc w:val="center"/>
              <w:rPr>
                <w:sz w:val="24"/>
                <w:szCs w:val="24"/>
              </w:rPr>
            </w:pPr>
            <w:r>
              <w:rPr>
                <w:sz w:val="24"/>
                <w:szCs w:val="24"/>
              </w:rPr>
              <w:t>单位</w:t>
            </w:r>
          </w:p>
        </w:tc>
        <w:tc>
          <w:tcPr>
            <w:tcW w:w="567" w:type="dxa"/>
            <w:textDirection w:val="tbRlV"/>
            <w:vAlign w:val="center"/>
          </w:tcPr>
          <w:p>
            <w:pPr>
              <w:pStyle w:val="38"/>
              <w:jc w:val="center"/>
              <w:rPr>
                <w:sz w:val="24"/>
                <w:szCs w:val="24"/>
              </w:rPr>
            </w:pPr>
            <w:r>
              <w:rPr>
                <w:sz w:val="24"/>
                <w:szCs w:val="24"/>
              </w:rPr>
              <w:t>数量</w:t>
            </w:r>
          </w:p>
        </w:tc>
        <w:tc>
          <w:tcPr>
            <w:tcW w:w="709" w:type="dxa"/>
            <w:vAlign w:val="center"/>
          </w:tcPr>
          <w:p>
            <w:pPr>
              <w:pStyle w:val="38"/>
              <w:jc w:val="center"/>
              <w:rPr>
                <w:sz w:val="24"/>
                <w:szCs w:val="24"/>
              </w:rPr>
            </w:pPr>
            <w:r>
              <w:rPr>
                <w:sz w:val="24"/>
                <w:szCs w:val="24"/>
              </w:rPr>
              <w:t>单价</w:t>
            </w:r>
          </w:p>
          <w:p>
            <w:pPr>
              <w:pStyle w:val="38"/>
              <w:jc w:val="center"/>
              <w:rPr>
                <w:sz w:val="24"/>
                <w:szCs w:val="24"/>
              </w:rPr>
            </w:pPr>
            <w:r>
              <w:rPr>
                <w:sz w:val="24"/>
                <w:szCs w:val="24"/>
              </w:rPr>
              <w:t>（元)</w:t>
            </w:r>
          </w:p>
        </w:tc>
        <w:tc>
          <w:tcPr>
            <w:tcW w:w="989" w:type="dxa"/>
            <w:vAlign w:val="center"/>
          </w:tcPr>
          <w:p>
            <w:pPr>
              <w:pStyle w:val="38"/>
              <w:jc w:val="center"/>
              <w:rPr>
                <w:sz w:val="24"/>
                <w:szCs w:val="24"/>
              </w:rPr>
            </w:pPr>
          </w:p>
          <w:p>
            <w:pPr>
              <w:pStyle w:val="38"/>
              <w:jc w:val="center"/>
              <w:rPr>
                <w:sz w:val="24"/>
                <w:szCs w:val="24"/>
              </w:rPr>
            </w:pPr>
            <w:r>
              <w:rPr>
                <w:sz w:val="24"/>
                <w:szCs w:val="24"/>
              </w:rPr>
              <w:t>综合单价（元）</w:t>
            </w:r>
          </w:p>
        </w:tc>
        <w:tc>
          <w:tcPr>
            <w:tcW w:w="774" w:type="dxa"/>
            <w:vAlign w:val="center"/>
          </w:tcPr>
          <w:p>
            <w:pPr>
              <w:pStyle w:val="38"/>
              <w:jc w:val="center"/>
              <w:rPr>
                <w:sz w:val="24"/>
                <w:szCs w:val="24"/>
              </w:rPr>
            </w:pPr>
          </w:p>
          <w:p>
            <w:pPr>
              <w:pStyle w:val="38"/>
              <w:jc w:val="center"/>
              <w:rPr>
                <w:sz w:val="24"/>
                <w:szCs w:val="24"/>
              </w:rPr>
            </w:pPr>
            <w:r>
              <w:rPr>
                <w:sz w:val="24"/>
                <w:szCs w:val="24"/>
              </w:rPr>
              <w:t>总价（元）</w:t>
            </w:r>
          </w:p>
        </w:tc>
        <w:tc>
          <w:tcPr>
            <w:tcW w:w="508" w:type="dxa"/>
            <w:textDirection w:val="tbRlV"/>
            <w:vAlign w:val="center"/>
          </w:tcPr>
          <w:p>
            <w:pPr>
              <w:pStyle w:val="38"/>
              <w:jc w:val="center"/>
              <w:rPr>
                <w:sz w:val="24"/>
                <w:szCs w:val="24"/>
              </w:rPr>
            </w:pPr>
            <w:r>
              <w:rPr>
                <w:sz w:val="24"/>
                <w:szCs w:val="24"/>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jc w:val="center"/>
        </w:trPr>
        <w:tc>
          <w:tcPr>
            <w:tcW w:w="541" w:type="dxa"/>
          </w:tcPr>
          <w:p>
            <w:pPr>
              <w:rPr>
                <w:rFonts w:ascii="Arial"/>
                <w:sz w:val="24"/>
                <w:szCs w:val="24"/>
              </w:rPr>
            </w:pPr>
          </w:p>
        </w:tc>
        <w:tc>
          <w:tcPr>
            <w:tcW w:w="707" w:type="dxa"/>
          </w:tcPr>
          <w:p>
            <w:pPr>
              <w:rPr>
                <w:rFonts w:ascii="Arial"/>
                <w:sz w:val="24"/>
                <w:szCs w:val="24"/>
              </w:rPr>
            </w:pPr>
          </w:p>
        </w:tc>
        <w:tc>
          <w:tcPr>
            <w:tcW w:w="847" w:type="dxa"/>
          </w:tcPr>
          <w:p>
            <w:pPr>
              <w:rPr>
                <w:rFonts w:ascii="Arial"/>
                <w:sz w:val="24"/>
                <w:szCs w:val="24"/>
              </w:rPr>
            </w:pPr>
          </w:p>
        </w:tc>
        <w:tc>
          <w:tcPr>
            <w:tcW w:w="1134" w:type="dxa"/>
          </w:tcPr>
          <w:p>
            <w:pPr>
              <w:rPr>
                <w:rFonts w:ascii="Arial"/>
                <w:sz w:val="24"/>
                <w:szCs w:val="24"/>
              </w:rPr>
            </w:pPr>
          </w:p>
        </w:tc>
        <w:tc>
          <w:tcPr>
            <w:tcW w:w="2123" w:type="dxa"/>
          </w:tcPr>
          <w:p>
            <w:pPr>
              <w:rPr>
                <w:rFonts w:ascii="Arial"/>
                <w:sz w:val="24"/>
                <w:szCs w:val="24"/>
              </w:rPr>
            </w:pPr>
          </w:p>
        </w:tc>
        <w:tc>
          <w:tcPr>
            <w:tcW w:w="567" w:type="dxa"/>
          </w:tcPr>
          <w:p>
            <w:pPr>
              <w:rPr>
                <w:rFonts w:ascii="Arial"/>
                <w:sz w:val="24"/>
                <w:szCs w:val="24"/>
              </w:rPr>
            </w:pPr>
          </w:p>
        </w:tc>
        <w:tc>
          <w:tcPr>
            <w:tcW w:w="567" w:type="dxa"/>
          </w:tcPr>
          <w:p>
            <w:pPr>
              <w:rPr>
                <w:rFonts w:ascii="Arial"/>
                <w:sz w:val="24"/>
                <w:szCs w:val="24"/>
              </w:rPr>
            </w:pPr>
          </w:p>
        </w:tc>
        <w:tc>
          <w:tcPr>
            <w:tcW w:w="709" w:type="dxa"/>
          </w:tcPr>
          <w:p>
            <w:pPr>
              <w:rPr>
                <w:rFonts w:ascii="Arial"/>
                <w:sz w:val="24"/>
                <w:szCs w:val="24"/>
              </w:rPr>
            </w:pPr>
          </w:p>
        </w:tc>
        <w:tc>
          <w:tcPr>
            <w:tcW w:w="989" w:type="dxa"/>
          </w:tcPr>
          <w:p>
            <w:pPr>
              <w:rPr>
                <w:rFonts w:ascii="Arial"/>
                <w:sz w:val="24"/>
                <w:szCs w:val="24"/>
              </w:rPr>
            </w:pPr>
          </w:p>
        </w:tc>
        <w:tc>
          <w:tcPr>
            <w:tcW w:w="774" w:type="dxa"/>
          </w:tcPr>
          <w:p>
            <w:pPr>
              <w:rPr>
                <w:rFonts w:ascii="Arial"/>
                <w:sz w:val="24"/>
                <w:szCs w:val="24"/>
              </w:rPr>
            </w:pPr>
          </w:p>
        </w:tc>
        <w:tc>
          <w:tcPr>
            <w:tcW w:w="508" w:type="dxa"/>
          </w:tcPr>
          <w:p>
            <w:pPr>
              <w:rPr>
                <w:rFonts w:ascii="Arial"/>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jc w:val="center"/>
        </w:trPr>
        <w:tc>
          <w:tcPr>
            <w:tcW w:w="541" w:type="dxa"/>
          </w:tcPr>
          <w:p>
            <w:pPr>
              <w:rPr>
                <w:rFonts w:ascii="Arial"/>
                <w:sz w:val="24"/>
                <w:szCs w:val="24"/>
              </w:rPr>
            </w:pPr>
          </w:p>
        </w:tc>
        <w:tc>
          <w:tcPr>
            <w:tcW w:w="707" w:type="dxa"/>
          </w:tcPr>
          <w:p>
            <w:pPr>
              <w:rPr>
                <w:rFonts w:ascii="Arial"/>
                <w:sz w:val="24"/>
                <w:szCs w:val="24"/>
              </w:rPr>
            </w:pPr>
          </w:p>
        </w:tc>
        <w:tc>
          <w:tcPr>
            <w:tcW w:w="847" w:type="dxa"/>
          </w:tcPr>
          <w:p>
            <w:pPr>
              <w:rPr>
                <w:rFonts w:ascii="Arial"/>
                <w:sz w:val="24"/>
                <w:szCs w:val="24"/>
              </w:rPr>
            </w:pPr>
          </w:p>
        </w:tc>
        <w:tc>
          <w:tcPr>
            <w:tcW w:w="1134" w:type="dxa"/>
          </w:tcPr>
          <w:p>
            <w:pPr>
              <w:rPr>
                <w:rFonts w:ascii="Arial"/>
                <w:sz w:val="24"/>
                <w:szCs w:val="24"/>
              </w:rPr>
            </w:pPr>
          </w:p>
        </w:tc>
        <w:tc>
          <w:tcPr>
            <w:tcW w:w="2123" w:type="dxa"/>
          </w:tcPr>
          <w:p>
            <w:pPr>
              <w:rPr>
                <w:rFonts w:ascii="Arial"/>
                <w:sz w:val="24"/>
                <w:szCs w:val="24"/>
              </w:rPr>
            </w:pPr>
          </w:p>
        </w:tc>
        <w:tc>
          <w:tcPr>
            <w:tcW w:w="567" w:type="dxa"/>
          </w:tcPr>
          <w:p>
            <w:pPr>
              <w:rPr>
                <w:rFonts w:ascii="Arial"/>
                <w:sz w:val="24"/>
                <w:szCs w:val="24"/>
              </w:rPr>
            </w:pPr>
          </w:p>
        </w:tc>
        <w:tc>
          <w:tcPr>
            <w:tcW w:w="567" w:type="dxa"/>
          </w:tcPr>
          <w:p>
            <w:pPr>
              <w:rPr>
                <w:rFonts w:ascii="Arial"/>
                <w:sz w:val="24"/>
                <w:szCs w:val="24"/>
              </w:rPr>
            </w:pPr>
          </w:p>
        </w:tc>
        <w:tc>
          <w:tcPr>
            <w:tcW w:w="709" w:type="dxa"/>
          </w:tcPr>
          <w:p>
            <w:pPr>
              <w:rPr>
                <w:rFonts w:ascii="Arial"/>
                <w:sz w:val="24"/>
                <w:szCs w:val="24"/>
              </w:rPr>
            </w:pPr>
          </w:p>
        </w:tc>
        <w:tc>
          <w:tcPr>
            <w:tcW w:w="989" w:type="dxa"/>
          </w:tcPr>
          <w:p>
            <w:pPr>
              <w:rPr>
                <w:rFonts w:ascii="Arial"/>
                <w:sz w:val="24"/>
                <w:szCs w:val="24"/>
              </w:rPr>
            </w:pPr>
          </w:p>
        </w:tc>
        <w:tc>
          <w:tcPr>
            <w:tcW w:w="774" w:type="dxa"/>
          </w:tcPr>
          <w:p>
            <w:pPr>
              <w:rPr>
                <w:rFonts w:ascii="Arial"/>
                <w:sz w:val="24"/>
                <w:szCs w:val="24"/>
              </w:rPr>
            </w:pPr>
          </w:p>
        </w:tc>
        <w:tc>
          <w:tcPr>
            <w:tcW w:w="508" w:type="dxa"/>
          </w:tcPr>
          <w:p>
            <w:pPr>
              <w:rPr>
                <w:rFonts w:ascii="Arial"/>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jc w:val="center"/>
        </w:trPr>
        <w:tc>
          <w:tcPr>
            <w:tcW w:w="541" w:type="dxa"/>
          </w:tcPr>
          <w:p>
            <w:pPr>
              <w:rPr>
                <w:rFonts w:ascii="Arial"/>
                <w:sz w:val="24"/>
                <w:szCs w:val="24"/>
              </w:rPr>
            </w:pPr>
          </w:p>
        </w:tc>
        <w:tc>
          <w:tcPr>
            <w:tcW w:w="707" w:type="dxa"/>
          </w:tcPr>
          <w:p>
            <w:pPr>
              <w:rPr>
                <w:rFonts w:ascii="Arial"/>
                <w:sz w:val="24"/>
                <w:szCs w:val="24"/>
              </w:rPr>
            </w:pPr>
          </w:p>
        </w:tc>
        <w:tc>
          <w:tcPr>
            <w:tcW w:w="847" w:type="dxa"/>
          </w:tcPr>
          <w:p>
            <w:pPr>
              <w:rPr>
                <w:rFonts w:ascii="Arial"/>
                <w:sz w:val="24"/>
                <w:szCs w:val="24"/>
              </w:rPr>
            </w:pPr>
          </w:p>
        </w:tc>
        <w:tc>
          <w:tcPr>
            <w:tcW w:w="1134" w:type="dxa"/>
          </w:tcPr>
          <w:p>
            <w:pPr>
              <w:rPr>
                <w:rFonts w:ascii="Arial"/>
                <w:sz w:val="24"/>
                <w:szCs w:val="24"/>
              </w:rPr>
            </w:pPr>
          </w:p>
        </w:tc>
        <w:tc>
          <w:tcPr>
            <w:tcW w:w="2123" w:type="dxa"/>
          </w:tcPr>
          <w:p>
            <w:pPr>
              <w:rPr>
                <w:rFonts w:ascii="Arial"/>
                <w:sz w:val="24"/>
                <w:szCs w:val="24"/>
              </w:rPr>
            </w:pPr>
          </w:p>
        </w:tc>
        <w:tc>
          <w:tcPr>
            <w:tcW w:w="567" w:type="dxa"/>
          </w:tcPr>
          <w:p>
            <w:pPr>
              <w:rPr>
                <w:rFonts w:ascii="Arial"/>
                <w:sz w:val="24"/>
                <w:szCs w:val="24"/>
              </w:rPr>
            </w:pPr>
          </w:p>
        </w:tc>
        <w:tc>
          <w:tcPr>
            <w:tcW w:w="567" w:type="dxa"/>
          </w:tcPr>
          <w:p>
            <w:pPr>
              <w:rPr>
                <w:rFonts w:ascii="Arial"/>
                <w:sz w:val="24"/>
                <w:szCs w:val="24"/>
              </w:rPr>
            </w:pPr>
          </w:p>
        </w:tc>
        <w:tc>
          <w:tcPr>
            <w:tcW w:w="709" w:type="dxa"/>
          </w:tcPr>
          <w:p>
            <w:pPr>
              <w:rPr>
                <w:rFonts w:ascii="Arial"/>
                <w:sz w:val="24"/>
                <w:szCs w:val="24"/>
              </w:rPr>
            </w:pPr>
          </w:p>
        </w:tc>
        <w:tc>
          <w:tcPr>
            <w:tcW w:w="989" w:type="dxa"/>
          </w:tcPr>
          <w:p>
            <w:pPr>
              <w:rPr>
                <w:rFonts w:ascii="Arial"/>
                <w:sz w:val="24"/>
                <w:szCs w:val="24"/>
              </w:rPr>
            </w:pPr>
          </w:p>
        </w:tc>
        <w:tc>
          <w:tcPr>
            <w:tcW w:w="774" w:type="dxa"/>
          </w:tcPr>
          <w:p>
            <w:pPr>
              <w:rPr>
                <w:rFonts w:ascii="Arial"/>
                <w:sz w:val="24"/>
                <w:szCs w:val="24"/>
              </w:rPr>
            </w:pPr>
          </w:p>
        </w:tc>
        <w:tc>
          <w:tcPr>
            <w:tcW w:w="508" w:type="dxa"/>
          </w:tcPr>
          <w:p>
            <w:pPr>
              <w:rPr>
                <w:rFonts w:ascii="Arial"/>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jc w:val="center"/>
        </w:trPr>
        <w:tc>
          <w:tcPr>
            <w:tcW w:w="541" w:type="dxa"/>
          </w:tcPr>
          <w:p>
            <w:pPr>
              <w:rPr>
                <w:rFonts w:ascii="Arial"/>
                <w:sz w:val="24"/>
                <w:szCs w:val="24"/>
              </w:rPr>
            </w:pPr>
          </w:p>
        </w:tc>
        <w:tc>
          <w:tcPr>
            <w:tcW w:w="707" w:type="dxa"/>
          </w:tcPr>
          <w:p>
            <w:pPr>
              <w:rPr>
                <w:rFonts w:ascii="Arial"/>
                <w:sz w:val="24"/>
                <w:szCs w:val="24"/>
              </w:rPr>
            </w:pPr>
          </w:p>
        </w:tc>
        <w:tc>
          <w:tcPr>
            <w:tcW w:w="847" w:type="dxa"/>
          </w:tcPr>
          <w:p>
            <w:pPr>
              <w:rPr>
                <w:rFonts w:ascii="Arial"/>
                <w:sz w:val="24"/>
                <w:szCs w:val="24"/>
              </w:rPr>
            </w:pPr>
          </w:p>
        </w:tc>
        <w:tc>
          <w:tcPr>
            <w:tcW w:w="1134" w:type="dxa"/>
          </w:tcPr>
          <w:p>
            <w:pPr>
              <w:rPr>
                <w:rFonts w:ascii="Arial"/>
                <w:sz w:val="24"/>
                <w:szCs w:val="24"/>
              </w:rPr>
            </w:pPr>
          </w:p>
        </w:tc>
        <w:tc>
          <w:tcPr>
            <w:tcW w:w="2123" w:type="dxa"/>
          </w:tcPr>
          <w:p>
            <w:pPr>
              <w:rPr>
                <w:rFonts w:ascii="Arial"/>
                <w:sz w:val="24"/>
                <w:szCs w:val="24"/>
              </w:rPr>
            </w:pPr>
          </w:p>
        </w:tc>
        <w:tc>
          <w:tcPr>
            <w:tcW w:w="567" w:type="dxa"/>
          </w:tcPr>
          <w:p>
            <w:pPr>
              <w:rPr>
                <w:rFonts w:ascii="Arial"/>
                <w:sz w:val="24"/>
                <w:szCs w:val="24"/>
              </w:rPr>
            </w:pPr>
          </w:p>
        </w:tc>
        <w:tc>
          <w:tcPr>
            <w:tcW w:w="567" w:type="dxa"/>
          </w:tcPr>
          <w:p>
            <w:pPr>
              <w:rPr>
                <w:rFonts w:ascii="Arial"/>
                <w:sz w:val="24"/>
                <w:szCs w:val="24"/>
              </w:rPr>
            </w:pPr>
          </w:p>
        </w:tc>
        <w:tc>
          <w:tcPr>
            <w:tcW w:w="709" w:type="dxa"/>
          </w:tcPr>
          <w:p>
            <w:pPr>
              <w:rPr>
                <w:rFonts w:ascii="Arial"/>
                <w:sz w:val="24"/>
                <w:szCs w:val="24"/>
              </w:rPr>
            </w:pPr>
          </w:p>
        </w:tc>
        <w:tc>
          <w:tcPr>
            <w:tcW w:w="989" w:type="dxa"/>
          </w:tcPr>
          <w:p>
            <w:pPr>
              <w:rPr>
                <w:rFonts w:ascii="Arial"/>
                <w:sz w:val="24"/>
                <w:szCs w:val="24"/>
              </w:rPr>
            </w:pPr>
          </w:p>
        </w:tc>
        <w:tc>
          <w:tcPr>
            <w:tcW w:w="774" w:type="dxa"/>
          </w:tcPr>
          <w:p>
            <w:pPr>
              <w:rPr>
                <w:rFonts w:ascii="Arial"/>
                <w:sz w:val="24"/>
                <w:szCs w:val="24"/>
              </w:rPr>
            </w:pPr>
          </w:p>
        </w:tc>
        <w:tc>
          <w:tcPr>
            <w:tcW w:w="508" w:type="dxa"/>
          </w:tcPr>
          <w:p>
            <w:pPr>
              <w:rPr>
                <w:rFonts w:ascii="Arial"/>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jc w:val="center"/>
        </w:trPr>
        <w:tc>
          <w:tcPr>
            <w:tcW w:w="541" w:type="dxa"/>
          </w:tcPr>
          <w:p>
            <w:pPr>
              <w:rPr>
                <w:rFonts w:ascii="Arial"/>
                <w:sz w:val="24"/>
                <w:szCs w:val="24"/>
              </w:rPr>
            </w:pPr>
          </w:p>
        </w:tc>
        <w:tc>
          <w:tcPr>
            <w:tcW w:w="707" w:type="dxa"/>
          </w:tcPr>
          <w:p>
            <w:pPr>
              <w:rPr>
                <w:rFonts w:ascii="Arial"/>
                <w:sz w:val="24"/>
                <w:szCs w:val="24"/>
              </w:rPr>
            </w:pPr>
          </w:p>
        </w:tc>
        <w:tc>
          <w:tcPr>
            <w:tcW w:w="847" w:type="dxa"/>
          </w:tcPr>
          <w:p>
            <w:pPr>
              <w:rPr>
                <w:rFonts w:ascii="Arial"/>
                <w:sz w:val="24"/>
                <w:szCs w:val="24"/>
              </w:rPr>
            </w:pPr>
          </w:p>
        </w:tc>
        <w:tc>
          <w:tcPr>
            <w:tcW w:w="1134" w:type="dxa"/>
          </w:tcPr>
          <w:p>
            <w:pPr>
              <w:rPr>
                <w:rFonts w:ascii="Arial"/>
                <w:sz w:val="24"/>
                <w:szCs w:val="24"/>
              </w:rPr>
            </w:pPr>
          </w:p>
        </w:tc>
        <w:tc>
          <w:tcPr>
            <w:tcW w:w="2123" w:type="dxa"/>
          </w:tcPr>
          <w:p>
            <w:pPr>
              <w:rPr>
                <w:rFonts w:ascii="Arial"/>
                <w:sz w:val="24"/>
                <w:szCs w:val="24"/>
              </w:rPr>
            </w:pPr>
          </w:p>
        </w:tc>
        <w:tc>
          <w:tcPr>
            <w:tcW w:w="567" w:type="dxa"/>
          </w:tcPr>
          <w:p>
            <w:pPr>
              <w:rPr>
                <w:rFonts w:ascii="Arial"/>
                <w:sz w:val="24"/>
                <w:szCs w:val="24"/>
              </w:rPr>
            </w:pPr>
          </w:p>
        </w:tc>
        <w:tc>
          <w:tcPr>
            <w:tcW w:w="567" w:type="dxa"/>
          </w:tcPr>
          <w:p>
            <w:pPr>
              <w:rPr>
                <w:rFonts w:ascii="Arial"/>
                <w:sz w:val="24"/>
                <w:szCs w:val="24"/>
              </w:rPr>
            </w:pPr>
          </w:p>
        </w:tc>
        <w:tc>
          <w:tcPr>
            <w:tcW w:w="709" w:type="dxa"/>
          </w:tcPr>
          <w:p>
            <w:pPr>
              <w:rPr>
                <w:rFonts w:ascii="Arial"/>
                <w:sz w:val="24"/>
                <w:szCs w:val="24"/>
              </w:rPr>
            </w:pPr>
          </w:p>
        </w:tc>
        <w:tc>
          <w:tcPr>
            <w:tcW w:w="989" w:type="dxa"/>
          </w:tcPr>
          <w:p>
            <w:pPr>
              <w:rPr>
                <w:rFonts w:ascii="Arial"/>
                <w:sz w:val="24"/>
                <w:szCs w:val="24"/>
              </w:rPr>
            </w:pPr>
          </w:p>
        </w:tc>
        <w:tc>
          <w:tcPr>
            <w:tcW w:w="774" w:type="dxa"/>
          </w:tcPr>
          <w:p>
            <w:pPr>
              <w:rPr>
                <w:rFonts w:ascii="Arial"/>
                <w:sz w:val="24"/>
                <w:szCs w:val="24"/>
              </w:rPr>
            </w:pPr>
          </w:p>
        </w:tc>
        <w:tc>
          <w:tcPr>
            <w:tcW w:w="508" w:type="dxa"/>
          </w:tcPr>
          <w:p>
            <w:pPr>
              <w:rPr>
                <w:rFonts w:ascii="Arial"/>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jc w:val="center"/>
        </w:trPr>
        <w:tc>
          <w:tcPr>
            <w:tcW w:w="541" w:type="dxa"/>
          </w:tcPr>
          <w:p>
            <w:pPr>
              <w:rPr>
                <w:rFonts w:ascii="Arial"/>
                <w:sz w:val="24"/>
                <w:szCs w:val="24"/>
              </w:rPr>
            </w:pPr>
          </w:p>
        </w:tc>
        <w:tc>
          <w:tcPr>
            <w:tcW w:w="707" w:type="dxa"/>
          </w:tcPr>
          <w:p>
            <w:pPr>
              <w:rPr>
                <w:rFonts w:ascii="Arial"/>
                <w:sz w:val="24"/>
                <w:szCs w:val="24"/>
              </w:rPr>
            </w:pPr>
          </w:p>
        </w:tc>
        <w:tc>
          <w:tcPr>
            <w:tcW w:w="847" w:type="dxa"/>
          </w:tcPr>
          <w:p>
            <w:pPr>
              <w:rPr>
                <w:rFonts w:ascii="Arial"/>
                <w:sz w:val="24"/>
                <w:szCs w:val="24"/>
              </w:rPr>
            </w:pPr>
          </w:p>
        </w:tc>
        <w:tc>
          <w:tcPr>
            <w:tcW w:w="1134" w:type="dxa"/>
          </w:tcPr>
          <w:p>
            <w:pPr>
              <w:rPr>
                <w:rFonts w:ascii="Arial"/>
                <w:sz w:val="24"/>
                <w:szCs w:val="24"/>
              </w:rPr>
            </w:pPr>
          </w:p>
        </w:tc>
        <w:tc>
          <w:tcPr>
            <w:tcW w:w="2123" w:type="dxa"/>
          </w:tcPr>
          <w:p>
            <w:pPr>
              <w:rPr>
                <w:rFonts w:ascii="Arial"/>
                <w:sz w:val="24"/>
                <w:szCs w:val="24"/>
              </w:rPr>
            </w:pPr>
          </w:p>
        </w:tc>
        <w:tc>
          <w:tcPr>
            <w:tcW w:w="567" w:type="dxa"/>
          </w:tcPr>
          <w:p>
            <w:pPr>
              <w:rPr>
                <w:rFonts w:ascii="Arial"/>
                <w:sz w:val="24"/>
                <w:szCs w:val="24"/>
              </w:rPr>
            </w:pPr>
          </w:p>
        </w:tc>
        <w:tc>
          <w:tcPr>
            <w:tcW w:w="567" w:type="dxa"/>
          </w:tcPr>
          <w:p>
            <w:pPr>
              <w:rPr>
                <w:rFonts w:ascii="Arial"/>
                <w:sz w:val="24"/>
                <w:szCs w:val="24"/>
              </w:rPr>
            </w:pPr>
          </w:p>
        </w:tc>
        <w:tc>
          <w:tcPr>
            <w:tcW w:w="709" w:type="dxa"/>
          </w:tcPr>
          <w:p>
            <w:pPr>
              <w:rPr>
                <w:rFonts w:ascii="Arial"/>
                <w:sz w:val="24"/>
                <w:szCs w:val="24"/>
              </w:rPr>
            </w:pPr>
          </w:p>
        </w:tc>
        <w:tc>
          <w:tcPr>
            <w:tcW w:w="989" w:type="dxa"/>
          </w:tcPr>
          <w:p>
            <w:pPr>
              <w:rPr>
                <w:rFonts w:ascii="Arial"/>
                <w:sz w:val="24"/>
                <w:szCs w:val="24"/>
              </w:rPr>
            </w:pPr>
          </w:p>
        </w:tc>
        <w:tc>
          <w:tcPr>
            <w:tcW w:w="774" w:type="dxa"/>
          </w:tcPr>
          <w:p>
            <w:pPr>
              <w:rPr>
                <w:rFonts w:ascii="Arial"/>
                <w:sz w:val="24"/>
                <w:szCs w:val="24"/>
              </w:rPr>
            </w:pPr>
          </w:p>
        </w:tc>
        <w:tc>
          <w:tcPr>
            <w:tcW w:w="508" w:type="dxa"/>
          </w:tcPr>
          <w:p>
            <w:pPr>
              <w:rPr>
                <w:rFonts w:ascii="Arial"/>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2" w:hRule="atLeast"/>
          <w:jc w:val="center"/>
        </w:trPr>
        <w:tc>
          <w:tcPr>
            <w:tcW w:w="541" w:type="dxa"/>
          </w:tcPr>
          <w:p>
            <w:pPr>
              <w:spacing w:line="249" w:lineRule="auto"/>
              <w:rPr>
                <w:rFonts w:ascii="Arial"/>
                <w:sz w:val="24"/>
                <w:szCs w:val="24"/>
              </w:rPr>
            </w:pPr>
          </w:p>
          <w:p>
            <w:pPr>
              <w:pStyle w:val="38"/>
              <w:spacing w:before="58" w:line="294" w:lineRule="exact"/>
              <w:ind w:left="167"/>
              <w:rPr>
                <w:sz w:val="24"/>
                <w:szCs w:val="24"/>
              </w:rPr>
            </w:pPr>
            <w:r>
              <w:rPr>
                <w:position w:val="2"/>
                <w:sz w:val="24"/>
                <w:szCs w:val="24"/>
              </w:rPr>
              <w:t>…</w:t>
            </w:r>
          </w:p>
          <w:p>
            <w:pPr>
              <w:pStyle w:val="38"/>
              <w:spacing w:before="54" w:line="220" w:lineRule="auto"/>
              <w:ind w:left="167"/>
              <w:rPr>
                <w:sz w:val="24"/>
                <w:szCs w:val="24"/>
              </w:rPr>
            </w:pPr>
            <w:r>
              <w:rPr>
                <w:sz w:val="24"/>
                <w:szCs w:val="24"/>
              </w:rPr>
              <w:t>…</w:t>
            </w:r>
          </w:p>
        </w:tc>
        <w:tc>
          <w:tcPr>
            <w:tcW w:w="707" w:type="dxa"/>
          </w:tcPr>
          <w:p>
            <w:pPr>
              <w:rPr>
                <w:rFonts w:ascii="Arial"/>
                <w:sz w:val="24"/>
                <w:szCs w:val="24"/>
              </w:rPr>
            </w:pPr>
          </w:p>
        </w:tc>
        <w:tc>
          <w:tcPr>
            <w:tcW w:w="847" w:type="dxa"/>
          </w:tcPr>
          <w:p>
            <w:pPr>
              <w:rPr>
                <w:rFonts w:ascii="Arial"/>
                <w:sz w:val="24"/>
                <w:szCs w:val="24"/>
              </w:rPr>
            </w:pPr>
          </w:p>
        </w:tc>
        <w:tc>
          <w:tcPr>
            <w:tcW w:w="1134" w:type="dxa"/>
          </w:tcPr>
          <w:p>
            <w:pPr>
              <w:rPr>
                <w:rFonts w:ascii="Arial"/>
                <w:sz w:val="24"/>
                <w:szCs w:val="24"/>
              </w:rPr>
            </w:pPr>
          </w:p>
        </w:tc>
        <w:tc>
          <w:tcPr>
            <w:tcW w:w="2123" w:type="dxa"/>
          </w:tcPr>
          <w:p>
            <w:pPr>
              <w:rPr>
                <w:rFonts w:ascii="Arial"/>
                <w:sz w:val="24"/>
                <w:szCs w:val="24"/>
              </w:rPr>
            </w:pPr>
          </w:p>
        </w:tc>
        <w:tc>
          <w:tcPr>
            <w:tcW w:w="567" w:type="dxa"/>
          </w:tcPr>
          <w:p>
            <w:pPr>
              <w:rPr>
                <w:rFonts w:ascii="Arial"/>
                <w:sz w:val="24"/>
                <w:szCs w:val="24"/>
              </w:rPr>
            </w:pPr>
          </w:p>
        </w:tc>
        <w:tc>
          <w:tcPr>
            <w:tcW w:w="567" w:type="dxa"/>
          </w:tcPr>
          <w:p>
            <w:pPr>
              <w:rPr>
                <w:rFonts w:ascii="Arial"/>
                <w:sz w:val="24"/>
                <w:szCs w:val="24"/>
              </w:rPr>
            </w:pPr>
          </w:p>
        </w:tc>
        <w:tc>
          <w:tcPr>
            <w:tcW w:w="709" w:type="dxa"/>
          </w:tcPr>
          <w:p>
            <w:pPr>
              <w:rPr>
                <w:rFonts w:ascii="Arial"/>
                <w:sz w:val="24"/>
                <w:szCs w:val="24"/>
              </w:rPr>
            </w:pPr>
          </w:p>
        </w:tc>
        <w:tc>
          <w:tcPr>
            <w:tcW w:w="989" w:type="dxa"/>
          </w:tcPr>
          <w:p>
            <w:pPr>
              <w:rPr>
                <w:rFonts w:ascii="Arial"/>
                <w:sz w:val="24"/>
                <w:szCs w:val="24"/>
              </w:rPr>
            </w:pPr>
          </w:p>
        </w:tc>
        <w:tc>
          <w:tcPr>
            <w:tcW w:w="774" w:type="dxa"/>
          </w:tcPr>
          <w:p>
            <w:pPr>
              <w:rPr>
                <w:rFonts w:ascii="Arial"/>
                <w:sz w:val="24"/>
                <w:szCs w:val="24"/>
              </w:rPr>
            </w:pPr>
          </w:p>
        </w:tc>
        <w:tc>
          <w:tcPr>
            <w:tcW w:w="508" w:type="dxa"/>
          </w:tcPr>
          <w:p>
            <w:pPr>
              <w:rPr>
                <w:rFonts w:ascii="Arial"/>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jc w:val="center"/>
        </w:trPr>
        <w:tc>
          <w:tcPr>
            <w:tcW w:w="1248" w:type="dxa"/>
            <w:gridSpan w:val="2"/>
            <w:vMerge w:val="restart"/>
            <w:tcBorders>
              <w:bottom w:val="nil"/>
            </w:tcBorders>
            <w:vAlign w:val="center"/>
          </w:tcPr>
          <w:p>
            <w:pPr>
              <w:pStyle w:val="38"/>
              <w:jc w:val="center"/>
              <w:rPr>
                <w:sz w:val="24"/>
                <w:szCs w:val="24"/>
              </w:rPr>
            </w:pPr>
            <w:r>
              <w:rPr>
                <w:sz w:val="24"/>
                <w:szCs w:val="24"/>
              </w:rPr>
              <w:t>投标报价</w:t>
            </w:r>
          </w:p>
        </w:tc>
        <w:tc>
          <w:tcPr>
            <w:tcW w:w="8218" w:type="dxa"/>
            <w:gridSpan w:val="9"/>
          </w:tcPr>
          <w:p>
            <w:pPr>
              <w:pStyle w:val="38"/>
              <w:rPr>
                <w:sz w:val="24"/>
                <w:szCs w:val="24"/>
              </w:rPr>
            </w:pPr>
            <w:r>
              <w:rPr>
                <w:sz w:val="24"/>
                <w:szCs w:val="24"/>
              </w:rPr>
              <w:t>大写：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jc w:val="center"/>
        </w:trPr>
        <w:tc>
          <w:tcPr>
            <w:tcW w:w="1248" w:type="dxa"/>
            <w:gridSpan w:val="2"/>
            <w:vMerge w:val="continue"/>
            <w:tcBorders>
              <w:top w:val="nil"/>
            </w:tcBorders>
          </w:tcPr>
          <w:p>
            <w:pPr>
              <w:pStyle w:val="38"/>
              <w:rPr>
                <w:sz w:val="24"/>
                <w:szCs w:val="24"/>
              </w:rPr>
            </w:pPr>
          </w:p>
        </w:tc>
        <w:tc>
          <w:tcPr>
            <w:tcW w:w="8218" w:type="dxa"/>
            <w:gridSpan w:val="9"/>
          </w:tcPr>
          <w:p>
            <w:pPr>
              <w:pStyle w:val="38"/>
              <w:rPr>
                <w:sz w:val="24"/>
                <w:szCs w:val="24"/>
              </w:rPr>
            </w:pPr>
            <w:r>
              <w:rPr>
                <w:sz w:val="24"/>
                <w:szCs w:val="24"/>
              </w:rPr>
              <w:t>小写：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jc w:val="center"/>
        </w:trPr>
        <w:tc>
          <w:tcPr>
            <w:tcW w:w="9466" w:type="dxa"/>
            <w:gridSpan w:val="11"/>
          </w:tcPr>
          <w:p>
            <w:pPr>
              <w:pStyle w:val="38"/>
              <w:rPr>
                <w:sz w:val="24"/>
                <w:szCs w:val="24"/>
                <w:lang w:eastAsia="zh-CN"/>
              </w:rPr>
            </w:pPr>
            <w:r>
              <w:rPr>
                <w:sz w:val="24"/>
                <w:szCs w:val="24"/>
                <w:lang w:eastAsia="zh-CN"/>
              </w:rPr>
              <w:t>强制节能产品/节能产品/环境标志产品报价总合计元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5" w:hRule="atLeast"/>
          <w:jc w:val="center"/>
        </w:trPr>
        <w:tc>
          <w:tcPr>
            <w:tcW w:w="9466" w:type="dxa"/>
            <w:gridSpan w:val="11"/>
          </w:tcPr>
          <w:p>
            <w:pPr>
              <w:pStyle w:val="38"/>
              <w:rPr>
                <w:sz w:val="24"/>
                <w:szCs w:val="24"/>
                <w:lang w:eastAsia="zh-CN"/>
              </w:rPr>
            </w:pPr>
            <w:r>
              <w:rPr>
                <w:sz w:val="24"/>
                <w:szCs w:val="24"/>
                <w:lang w:eastAsia="zh-CN"/>
              </w:rPr>
              <w:t>报价要求:</w:t>
            </w:r>
            <w:r>
              <w:rPr>
                <w:rFonts w:hint="eastAsia"/>
                <w:sz w:val="24"/>
                <w:szCs w:val="24"/>
                <w:lang w:eastAsia="zh-CN"/>
              </w:rPr>
              <w:t>1</w:t>
            </w:r>
            <w:r>
              <w:rPr>
                <w:sz w:val="24"/>
                <w:szCs w:val="24"/>
                <w:lang w:eastAsia="zh-CN"/>
              </w:rPr>
              <w:t>、投标人的投标报价应包括货物、随配附件、备品备件、专用工具、包装费、仓储费、运输费、装卸费、保险费、安装调试费、售后服务费、技术培训费、人工费、垃圾清运费、利润、税金、第三方验收费用及其他所有费用的总和。</w:t>
            </w:r>
          </w:p>
          <w:p>
            <w:pPr>
              <w:pStyle w:val="38"/>
              <w:rPr>
                <w:sz w:val="24"/>
                <w:szCs w:val="24"/>
                <w:lang w:eastAsia="zh-CN"/>
              </w:rPr>
            </w:pPr>
            <w:r>
              <w:rPr>
                <w:rFonts w:hint="eastAsia"/>
                <w:sz w:val="24"/>
                <w:szCs w:val="24"/>
                <w:lang w:eastAsia="zh-CN"/>
              </w:rPr>
              <w:t>2</w:t>
            </w:r>
            <w:r>
              <w:rPr>
                <w:sz w:val="24"/>
                <w:szCs w:val="24"/>
                <w:lang w:eastAsia="zh-CN"/>
              </w:rPr>
              <w:t>、本项目采购文件中未明确，但项目实施过程中所发生的费用由供应商在相应综合单价中综合考虑，以后不得调整。</w:t>
            </w:r>
          </w:p>
          <w:p>
            <w:pPr>
              <w:pStyle w:val="38"/>
              <w:rPr>
                <w:sz w:val="24"/>
                <w:szCs w:val="24"/>
                <w:lang w:eastAsia="zh-CN"/>
              </w:rPr>
            </w:pPr>
            <w:r>
              <w:rPr>
                <w:rFonts w:hint="eastAsia"/>
                <w:sz w:val="24"/>
                <w:szCs w:val="24"/>
                <w:lang w:eastAsia="zh-CN"/>
              </w:rPr>
              <w:t>3</w:t>
            </w:r>
            <w:r>
              <w:rPr>
                <w:sz w:val="24"/>
                <w:szCs w:val="24"/>
                <w:lang w:eastAsia="zh-CN"/>
              </w:rPr>
              <w:t>.所有价格以人民币表示。</w:t>
            </w:r>
          </w:p>
        </w:tc>
      </w:tr>
    </w:tbl>
    <w:p>
      <w:pPr>
        <w:rPr>
          <w:sz w:val="24"/>
          <w:szCs w:val="24"/>
        </w:rPr>
      </w:pPr>
      <w:r>
        <w:rPr>
          <w:rFonts w:hint="eastAsia"/>
          <w:sz w:val="24"/>
          <w:szCs w:val="24"/>
        </w:rPr>
        <w:t>1、</w:t>
      </w:r>
      <w:r>
        <w:rPr>
          <w:sz w:val="24"/>
          <w:szCs w:val="24"/>
        </w:rPr>
        <w:t>填报要求:</w:t>
      </w:r>
    </w:p>
    <w:p>
      <w:pPr>
        <w:rPr>
          <w:sz w:val="24"/>
          <w:szCs w:val="24"/>
        </w:rPr>
      </w:pPr>
      <w:r>
        <w:rPr>
          <w:rFonts w:hint="eastAsia"/>
          <w:sz w:val="24"/>
          <w:szCs w:val="24"/>
        </w:rPr>
        <w:t>（</w:t>
      </w:r>
      <w:r>
        <w:rPr>
          <w:sz w:val="24"/>
          <w:szCs w:val="24"/>
        </w:rPr>
        <w:t>1</w:t>
      </w:r>
      <w:r>
        <w:rPr>
          <w:rFonts w:hint="eastAsia"/>
          <w:sz w:val="24"/>
          <w:szCs w:val="24"/>
        </w:rPr>
        <w:t>）</w:t>
      </w:r>
      <w:r>
        <w:rPr>
          <w:sz w:val="24"/>
          <w:szCs w:val="24"/>
        </w:rPr>
        <w:t>若投标人属于残疾人福利性单位的，则投标人类型应如实勾选，若不属于则投标人类型可不勾选。制造商类型属于小型企业/微型企业/监狱企业/残疾人福利性单位，则制造商类型应如实填写。</w:t>
      </w:r>
    </w:p>
    <w:p>
      <w:pPr>
        <w:rPr>
          <w:sz w:val="24"/>
          <w:szCs w:val="24"/>
        </w:rPr>
      </w:pPr>
      <w:r>
        <w:rPr>
          <w:rFonts w:hint="eastAsia"/>
          <w:sz w:val="24"/>
          <w:szCs w:val="24"/>
        </w:rPr>
        <w:t>（</w:t>
      </w:r>
      <w:r>
        <w:rPr>
          <w:sz w:val="24"/>
          <w:szCs w:val="24"/>
        </w:rPr>
        <w:t>2</w:t>
      </w:r>
      <w:r>
        <w:rPr>
          <w:rFonts w:hint="eastAsia"/>
          <w:sz w:val="24"/>
          <w:szCs w:val="24"/>
        </w:rPr>
        <w:t>）</w:t>
      </w:r>
      <w:r>
        <w:rPr>
          <w:sz w:val="24"/>
          <w:szCs w:val="24"/>
        </w:rPr>
        <w:t>备注写清楚所投产品是否属于强制节能产品/节能产品/环境标志产品（若是填写清楚产品类型，若不是，可不填）</w:t>
      </w:r>
    </w:p>
    <w:p>
      <w:pPr>
        <w:rPr>
          <w:sz w:val="24"/>
          <w:szCs w:val="24"/>
        </w:rPr>
      </w:pPr>
      <w:r>
        <w:rPr>
          <w:rFonts w:hint="eastAsia"/>
          <w:sz w:val="24"/>
          <w:szCs w:val="24"/>
        </w:rPr>
        <w:t>2、</w:t>
      </w:r>
      <w:r>
        <w:rPr>
          <w:sz w:val="24"/>
          <w:szCs w:val="24"/>
        </w:rPr>
        <w:t>需提供材料：</w:t>
      </w:r>
    </w:p>
    <w:p>
      <w:pPr>
        <w:rPr>
          <w:sz w:val="24"/>
          <w:szCs w:val="24"/>
        </w:rPr>
      </w:pPr>
      <w:bookmarkStart w:id="178" w:name="bookmark57"/>
      <w:bookmarkEnd w:id="178"/>
      <w:r>
        <w:rPr>
          <w:rFonts w:hint="eastAsia"/>
          <w:sz w:val="24"/>
          <w:szCs w:val="24"/>
        </w:rPr>
        <w:t>（1）</w:t>
      </w:r>
      <w:r>
        <w:rPr>
          <w:sz w:val="24"/>
          <w:szCs w:val="24"/>
        </w:rPr>
        <w:t>投标人所投产品全部为监狱企业生产的且使用监狱企业商号或者注册商标的应如实填写本表。制造商为监狱企业的须提供由省级以上监狱管理局、戒毒管理局(含新疆生产建设兵团)出具的属于监狱企业的证明文件复印件加盖制造商公章。投标人对所报相关内容的真实性负责,采购代理机构有权将相关内容进行公示。</w:t>
      </w:r>
    </w:p>
    <w:p>
      <w:pPr>
        <w:rPr>
          <w:sz w:val="24"/>
          <w:szCs w:val="24"/>
        </w:rPr>
      </w:pPr>
      <w:r>
        <w:rPr>
          <w:rFonts w:hint="eastAsia"/>
          <w:sz w:val="24"/>
          <w:szCs w:val="24"/>
        </w:rPr>
        <w:t>（2）</w:t>
      </w:r>
      <w:r>
        <w:rPr>
          <w:sz w:val="24"/>
          <w:szCs w:val="24"/>
        </w:rPr>
        <w:t>后附相应的国家确定的认证机构出具的处于有效期内的中国节能产品认证证书复印件加盖制造商公章、中国环境标志产品认证证书复印件加盖制造商公章。如未按要求提供上述证明材料或相关内容表述不清的，则该部分不予价格扣除。参与实施政府采购节能产品认证机构名录和参与实施政府采购环境标志产品认证机构名录详见《市场监管总局关于发布参与实施政府采购节能产品、环境标志产品认证机构名录的公告》（2019年第16号）。</w:t>
      </w:r>
    </w:p>
    <w:p>
      <w:pPr>
        <w:rPr>
          <w:sz w:val="24"/>
          <w:szCs w:val="24"/>
        </w:rPr>
      </w:pPr>
      <w:r>
        <w:rPr>
          <w:rFonts w:hint="eastAsia"/>
          <w:sz w:val="24"/>
          <w:szCs w:val="24"/>
        </w:rPr>
        <w:t>3、</w:t>
      </w:r>
      <w:r>
        <w:rPr>
          <w:sz w:val="24"/>
          <w:szCs w:val="24"/>
        </w:rPr>
        <w:t>备注：</w:t>
      </w:r>
      <w:r>
        <w:rPr>
          <w:rFonts w:hint="eastAsia"/>
          <w:sz w:val="24"/>
          <w:szCs w:val="24"/>
        </w:rPr>
        <w:t>（1）</w:t>
      </w:r>
      <w:r>
        <w:rPr>
          <w:sz w:val="24"/>
          <w:szCs w:val="24"/>
        </w:rPr>
        <w:t>本表栏数不够可自行添加。</w:t>
      </w:r>
      <w:r>
        <w:rPr>
          <w:rFonts w:hint="eastAsia"/>
          <w:sz w:val="24"/>
          <w:szCs w:val="24"/>
        </w:rPr>
        <w:t>（2）</w:t>
      </w:r>
      <w:r>
        <w:rPr>
          <w:sz w:val="24"/>
          <w:szCs w:val="24"/>
        </w:rPr>
        <w:t>相关证明资料附后。</w:t>
      </w:r>
    </w:p>
    <w:p>
      <w:pPr>
        <w:rPr>
          <w:sz w:val="24"/>
          <w:szCs w:val="24"/>
        </w:rPr>
      </w:pPr>
    </w:p>
    <w:p>
      <w:pPr>
        <w:rPr>
          <w:sz w:val="24"/>
          <w:szCs w:val="24"/>
        </w:rPr>
      </w:pPr>
    </w:p>
    <w:p>
      <w:pPr>
        <w:rPr>
          <w:sz w:val="24"/>
          <w:szCs w:val="24"/>
        </w:rPr>
      </w:pPr>
      <w:r>
        <w:rPr>
          <w:sz w:val="24"/>
          <w:szCs w:val="24"/>
        </w:rPr>
        <w:t>投标人(</w:t>
      </w:r>
      <w:r>
        <w:rPr>
          <w:rFonts w:hint="eastAsia"/>
          <w:sz w:val="24"/>
          <w:szCs w:val="24"/>
        </w:rPr>
        <w:t>电子签</w:t>
      </w:r>
      <w:r>
        <w:rPr>
          <w:sz w:val="24"/>
          <w:szCs w:val="24"/>
        </w:rPr>
        <w:t>章)：</w:t>
      </w:r>
    </w:p>
    <w:p>
      <w:pPr>
        <w:rPr>
          <w:sz w:val="24"/>
          <w:szCs w:val="24"/>
        </w:rPr>
      </w:pPr>
      <w:r>
        <w:rPr>
          <w:sz w:val="24"/>
          <w:szCs w:val="24"/>
        </w:rPr>
        <w:drawing>
          <wp:anchor distT="0" distB="0" distL="0" distR="0" simplePos="0" relativeHeight="251662336" behindDoc="0" locked="0" layoutInCell="1" allowOverlap="1">
            <wp:simplePos x="0" y="0"/>
            <wp:positionH relativeFrom="column">
              <wp:posOffset>5208270</wp:posOffset>
            </wp:positionH>
            <wp:positionV relativeFrom="paragraph">
              <wp:posOffset>218440</wp:posOffset>
            </wp:positionV>
            <wp:extent cx="77470" cy="7620"/>
            <wp:effectExtent l="0" t="0" r="0" b="0"/>
            <wp:wrapNone/>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30"/>
                    <a:stretch>
                      <a:fillRect/>
                    </a:stretch>
                  </pic:blipFill>
                  <pic:spPr>
                    <a:xfrm>
                      <a:off x="0" y="0"/>
                      <a:ext cx="77723" cy="7620"/>
                    </a:xfrm>
                    <a:prstGeom prst="rect">
                      <a:avLst/>
                    </a:prstGeom>
                  </pic:spPr>
                </pic:pic>
              </a:graphicData>
            </a:graphic>
          </wp:anchor>
        </w:drawing>
      </w:r>
      <w:r>
        <w:rPr>
          <w:sz w:val="24"/>
          <w:szCs w:val="24"/>
        </w:rPr>
        <w:t>法定代表人或被授权代表(</w:t>
      </w:r>
      <w:r>
        <w:rPr>
          <w:rFonts w:hint="eastAsia"/>
          <w:sz w:val="24"/>
          <w:szCs w:val="24"/>
        </w:rPr>
        <w:t>电子签</w:t>
      </w:r>
      <w:r>
        <w:rPr>
          <w:sz w:val="24"/>
          <w:szCs w:val="24"/>
        </w:rPr>
        <w:t>章)：</w:t>
      </w:r>
    </w:p>
    <w:p>
      <w:pPr>
        <w:rPr>
          <w:sz w:val="24"/>
          <w:szCs w:val="24"/>
        </w:rPr>
      </w:pPr>
      <w:r>
        <w:rPr>
          <w:sz w:val="24"/>
          <w:szCs w:val="24"/>
        </w:rPr>
        <w:t>日期：</w:t>
      </w:r>
    </w:p>
    <w:p>
      <w:pPr>
        <w:rPr>
          <w:sz w:val="24"/>
          <w:szCs w:val="24"/>
        </w:rPr>
        <w:sectPr>
          <w:headerReference r:id="rId12" w:type="default"/>
          <w:footerReference r:id="rId13" w:type="default"/>
          <w:pgSz w:w="11906" w:h="16840"/>
          <w:pgMar w:top="1474" w:right="1417" w:bottom="1247" w:left="1417" w:header="849" w:footer="1186" w:gutter="0"/>
          <w:cols w:space="720" w:num="1"/>
        </w:sectPr>
      </w:pPr>
    </w:p>
    <w:p>
      <w:pPr>
        <w:jc w:val="center"/>
        <w:rPr>
          <w:rFonts w:ascii="Times New Roman" w:hAnsi="Times New Roman" w:eastAsia="宋体" w:cs="Times New Roman"/>
          <w:b/>
          <w:bCs/>
          <w:sz w:val="24"/>
          <w:szCs w:val="24"/>
          <w:highlight w:val="none"/>
        </w:rPr>
      </w:pPr>
      <w:bookmarkStart w:id="179" w:name="_Toc31694"/>
      <w:r>
        <w:rPr>
          <w:rFonts w:hint="eastAsia" w:ascii="Times New Roman" w:hAnsi="Times New Roman" w:eastAsia="宋体" w:cs="Times New Roman"/>
          <w:b/>
          <w:bCs/>
          <w:sz w:val="24"/>
          <w:szCs w:val="24"/>
          <w:highlight w:val="none"/>
        </w:rPr>
        <w:t>（</w:t>
      </w:r>
      <w:r>
        <w:rPr>
          <w:rFonts w:hint="eastAsia" w:ascii="Times New Roman" w:hAnsi="Times New Roman" w:eastAsia="宋体" w:cs="Times New Roman"/>
          <w:b/>
          <w:bCs/>
          <w:sz w:val="24"/>
          <w:szCs w:val="24"/>
          <w:highlight w:val="none"/>
          <w:lang w:val="en-US" w:eastAsia="zh-CN"/>
        </w:rPr>
        <w:t>四</w:t>
      </w:r>
      <w:r>
        <w:rPr>
          <w:rFonts w:hint="eastAsia" w:ascii="Times New Roman" w:hAnsi="Times New Roman" w:eastAsia="宋体" w:cs="Times New Roman"/>
          <w:b/>
          <w:bCs/>
          <w:sz w:val="24"/>
          <w:szCs w:val="24"/>
          <w:highlight w:val="none"/>
        </w:rPr>
        <w:t>）技术规格偏离表</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2068"/>
        <w:gridCol w:w="2407"/>
        <w:gridCol w:w="1884"/>
        <w:gridCol w:w="1099"/>
        <w:gridCol w:w="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0"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s="宋体"/>
                <w:szCs w:val="21"/>
              </w:rPr>
            </w:pPr>
            <w:r>
              <w:rPr>
                <w:rFonts w:hint="eastAsia" w:ascii="宋体" w:hAnsi="宋体" w:cs="宋体"/>
                <w:szCs w:val="21"/>
              </w:rPr>
              <w:t>序号</w:t>
            </w:r>
          </w:p>
        </w:tc>
        <w:tc>
          <w:tcPr>
            <w:tcW w:w="2068" w:type="dxa"/>
            <w:tcBorders>
              <w:top w:val="single" w:color="auto" w:sz="4" w:space="0"/>
              <w:left w:val="nil"/>
              <w:bottom w:val="single" w:color="auto" w:sz="4" w:space="0"/>
              <w:right w:val="single" w:color="auto" w:sz="4" w:space="0"/>
            </w:tcBorders>
            <w:vAlign w:val="center"/>
          </w:tcPr>
          <w:p>
            <w:pPr>
              <w:spacing w:line="480" w:lineRule="exact"/>
              <w:jc w:val="center"/>
              <w:rPr>
                <w:rFonts w:hint="eastAsia" w:ascii="宋体" w:hAnsi="宋体" w:cs="宋体" w:eastAsiaTheme="minorEastAsia"/>
                <w:szCs w:val="21"/>
                <w:lang w:eastAsia="zh-CN"/>
              </w:rPr>
            </w:pPr>
            <w:r>
              <w:rPr>
                <w:rFonts w:hint="eastAsia" w:ascii="宋体" w:hAnsi="宋体" w:cs="宋体"/>
                <w:szCs w:val="21"/>
                <w:lang w:val="en-US" w:eastAsia="zh-CN"/>
              </w:rPr>
              <w:t>产品名称</w:t>
            </w:r>
          </w:p>
        </w:tc>
        <w:tc>
          <w:tcPr>
            <w:tcW w:w="2407"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Cs w:val="21"/>
              </w:rPr>
            </w:pPr>
            <w:r>
              <w:rPr>
                <w:rFonts w:hint="eastAsia" w:ascii="宋体" w:hAnsi="宋体" w:cs="宋体"/>
                <w:szCs w:val="21"/>
              </w:rPr>
              <w:t>招标文件要求规格或参数</w:t>
            </w:r>
          </w:p>
        </w:tc>
        <w:tc>
          <w:tcPr>
            <w:tcW w:w="1884"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Cs w:val="21"/>
              </w:rPr>
            </w:pPr>
            <w:r>
              <w:rPr>
                <w:rFonts w:hint="eastAsia" w:ascii="宋体" w:hAnsi="宋体" w:cs="宋体"/>
                <w:szCs w:val="21"/>
              </w:rPr>
              <w:t>投标货物规格或参数</w:t>
            </w:r>
          </w:p>
        </w:tc>
        <w:tc>
          <w:tcPr>
            <w:tcW w:w="1099"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Cs w:val="21"/>
              </w:rPr>
            </w:pPr>
            <w:r>
              <w:rPr>
                <w:rFonts w:hint="eastAsia" w:ascii="宋体" w:hAnsi="宋体" w:cs="宋体"/>
                <w:szCs w:val="21"/>
              </w:rPr>
              <w:t>偏离</w:t>
            </w:r>
          </w:p>
          <w:p>
            <w:pPr>
              <w:spacing w:line="480" w:lineRule="exact"/>
              <w:jc w:val="center"/>
              <w:rPr>
                <w:rFonts w:ascii="宋体" w:hAnsi="宋体" w:cs="宋体"/>
                <w:szCs w:val="21"/>
              </w:rPr>
            </w:pPr>
            <w:r>
              <w:rPr>
                <w:rFonts w:hint="eastAsia" w:ascii="宋体" w:hAnsi="宋体" w:cs="宋体"/>
                <w:szCs w:val="21"/>
              </w:rPr>
              <w:t>(正)</w:t>
            </w:r>
          </w:p>
        </w:tc>
        <w:tc>
          <w:tcPr>
            <w:tcW w:w="904"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Cs w:val="21"/>
              </w:rPr>
            </w:pPr>
            <w:r>
              <w:rPr>
                <w:rFonts w:hint="eastAsia" w:ascii="宋体" w:hAnsi="宋体" w:cs="宋体"/>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s="宋体"/>
                <w:szCs w:val="21"/>
              </w:rPr>
            </w:pPr>
            <w:r>
              <w:rPr>
                <w:rFonts w:hint="eastAsia" w:ascii="宋体" w:hAnsi="宋体" w:cs="宋体"/>
                <w:szCs w:val="21"/>
              </w:rPr>
              <w:t>1</w:t>
            </w:r>
          </w:p>
        </w:tc>
        <w:tc>
          <w:tcPr>
            <w:tcW w:w="2068"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Cs w:val="21"/>
              </w:rPr>
            </w:pPr>
          </w:p>
        </w:tc>
        <w:tc>
          <w:tcPr>
            <w:tcW w:w="2407"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Cs w:val="21"/>
              </w:rPr>
            </w:pPr>
          </w:p>
        </w:tc>
        <w:tc>
          <w:tcPr>
            <w:tcW w:w="1884"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Cs w:val="21"/>
              </w:rPr>
            </w:pPr>
          </w:p>
        </w:tc>
        <w:tc>
          <w:tcPr>
            <w:tcW w:w="1099"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Cs w:val="21"/>
              </w:rPr>
            </w:pPr>
          </w:p>
        </w:tc>
        <w:tc>
          <w:tcPr>
            <w:tcW w:w="904"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s="宋体"/>
                <w:szCs w:val="21"/>
              </w:rPr>
            </w:pPr>
            <w:r>
              <w:rPr>
                <w:rFonts w:hint="eastAsia" w:ascii="宋体" w:hAnsi="宋体" w:cs="宋体"/>
                <w:szCs w:val="21"/>
              </w:rPr>
              <w:t>2</w:t>
            </w:r>
          </w:p>
        </w:tc>
        <w:tc>
          <w:tcPr>
            <w:tcW w:w="2068"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Cs w:val="21"/>
              </w:rPr>
            </w:pPr>
          </w:p>
        </w:tc>
        <w:tc>
          <w:tcPr>
            <w:tcW w:w="2407"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Cs w:val="21"/>
              </w:rPr>
            </w:pPr>
          </w:p>
        </w:tc>
        <w:tc>
          <w:tcPr>
            <w:tcW w:w="1884"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Cs w:val="21"/>
              </w:rPr>
            </w:pPr>
          </w:p>
        </w:tc>
        <w:tc>
          <w:tcPr>
            <w:tcW w:w="1099"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Cs w:val="21"/>
              </w:rPr>
            </w:pPr>
          </w:p>
        </w:tc>
        <w:tc>
          <w:tcPr>
            <w:tcW w:w="904"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s="宋体"/>
                <w:szCs w:val="21"/>
              </w:rPr>
            </w:pPr>
            <w:r>
              <w:rPr>
                <w:rFonts w:hint="eastAsia" w:ascii="宋体" w:hAnsi="宋体" w:cs="宋体"/>
                <w:szCs w:val="21"/>
              </w:rPr>
              <w:t>3</w:t>
            </w:r>
          </w:p>
        </w:tc>
        <w:tc>
          <w:tcPr>
            <w:tcW w:w="2068"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Cs w:val="21"/>
              </w:rPr>
            </w:pPr>
          </w:p>
        </w:tc>
        <w:tc>
          <w:tcPr>
            <w:tcW w:w="2407"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Cs w:val="21"/>
              </w:rPr>
            </w:pPr>
          </w:p>
        </w:tc>
        <w:tc>
          <w:tcPr>
            <w:tcW w:w="1884"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Cs w:val="21"/>
              </w:rPr>
            </w:pPr>
          </w:p>
        </w:tc>
        <w:tc>
          <w:tcPr>
            <w:tcW w:w="1099"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Cs w:val="21"/>
              </w:rPr>
            </w:pPr>
          </w:p>
        </w:tc>
        <w:tc>
          <w:tcPr>
            <w:tcW w:w="904"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hint="eastAsia" w:ascii="宋体" w:hAnsi="宋体" w:cs="宋体" w:eastAsiaTheme="minorEastAsia"/>
                <w:szCs w:val="21"/>
                <w:lang w:val="en-US" w:eastAsia="zh-CN"/>
              </w:rPr>
            </w:pPr>
            <w:r>
              <w:rPr>
                <w:rFonts w:hint="eastAsia" w:ascii="宋体" w:hAnsi="宋体" w:cs="宋体"/>
                <w:szCs w:val="21"/>
                <w:lang w:val="en-US" w:eastAsia="zh-CN"/>
              </w:rPr>
              <w:t>4</w:t>
            </w:r>
          </w:p>
        </w:tc>
        <w:tc>
          <w:tcPr>
            <w:tcW w:w="2068"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Cs w:val="21"/>
              </w:rPr>
            </w:pPr>
          </w:p>
        </w:tc>
        <w:tc>
          <w:tcPr>
            <w:tcW w:w="2407"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Cs w:val="21"/>
              </w:rPr>
            </w:pPr>
          </w:p>
        </w:tc>
        <w:tc>
          <w:tcPr>
            <w:tcW w:w="1884"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Cs w:val="21"/>
              </w:rPr>
            </w:pPr>
          </w:p>
        </w:tc>
        <w:tc>
          <w:tcPr>
            <w:tcW w:w="1099"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Cs w:val="21"/>
              </w:rPr>
            </w:pPr>
          </w:p>
        </w:tc>
        <w:tc>
          <w:tcPr>
            <w:tcW w:w="904"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hint="eastAsia" w:ascii="宋体" w:hAnsi="宋体" w:cs="宋体" w:eastAsiaTheme="minorEastAsia"/>
                <w:szCs w:val="21"/>
                <w:lang w:val="en-US" w:eastAsia="zh-CN"/>
              </w:rPr>
            </w:pPr>
            <w:r>
              <w:rPr>
                <w:rFonts w:hint="eastAsia" w:ascii="宋体" w:hAnsi="宋体" w:cs="宋体"/>
                <w:szCs w:val="21"/>
                <w:lang w:val="en-US" w:eastAsia="zh-CN"/>
              </w:rPr>
              <w:t>5</w:t>
            </w:r>
          </w:p>
        </w:tc>
        <w:tc>
          <w:tcPr>
            <w:tcW w:w="2068"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Cs w:val="21"/>
              </w:rPr>
            </w:pPr>
          </w:p>
        </w:tc>
        <w:tc>
          <w:tcPr>
            <w:tcW w:w="2407"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Cs w:val="21"/>
              </w:rPr>
            </w:pPr>
          </w:p>
        </w:tc>
        <w:tc>
          <w:tcPr>
            <w:tcW w:w="1884"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Cs w:val="21"/>
              </w:rPr>
            </w:pPr>
          </w:p>
        </w:tc>
        <w:tc>
          <w:tcPr>
            <w:tcW w:w="1099"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Cs w:val="21"/>
              </w:rPr>
            </w:pPr>
          </w:p>
        </w:tc>
        <w:tc>
          <w:tcPr>
            <w:tcW w:w="904"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s="宋体"/>
                <w:szCs w:val="21"/>
              </w:rPr>
            </w:pPr>
            <w:r>
              <w:rPr>
                <w:rFonts w:hint="eastAsia" w:ascii="宋体" w:hAnsi="宋体" w:cs="宋体"/>
                <w:szCs w:val="21"/>
              </w:rPr>
              <w:t>…</w:t>
            </w:r>
          </w:p>
        </w:tc>
        <w:tc>
          <w:tcPr>
            <w:tcW w:w="2068"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Cs w:val="21"/>
              </w:rPr>
            </w:pPr>
          </w:p>
        </w:tc>
        <w:tc>
          <w:tcPr>
            <w:tcW w:w="2407"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Cs w:val="21"/>
              </w:rPr>
            </w:pPr>
          </w:p>
        </w:tc>
        <w:tc>
          <w:tcPr>
            <w:tcW w:w="1884"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Cs w:val="21"/>
              </w:rPr>
            </w:pPr>
          </w:p>
        </w:tc>
        <w:tc>
          <w:tcPr>
            <w:tcW w:w="1099"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Cs w:val="21"/>
              </w:rPr>
            </w:pPr>
          </w:p>
        </w:tc>
        <w:tc>
          <w:tcPr>
            <w:tcW w:w="904"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Cs w:val="21"/>
              </w:rPr>
            </w:pPr>
          </w:p>
        </w:tc>
      </w:tr>
    </w:tbl>
    <w:p>
      <w:pPr>
        <w:spacing w:line="360" w:lineRule="auto"/>
        <w:jc w:val="right"/>
        <w:rPr>
          <w:rFonts w:ascii="宋体" w:hAnsi="宋体" w:cs="宋体"/>
          <w:bCs/>
          <w:szCs w:val="21"/>
        </w:rPr>
      </w:pPr>
    </w:p>
    <w:p>
      <w:pPr>
        <w:spacing w:line="360" w:lineRule="auto"/>
        <w:jc w:val="left"/>
        <w:rPr>
          <w:rFonts w:hint="eastAsia" w:ascii="宋体" w:hAnsi="宋体" w:cs="宋体"/>
        </w:rPr>
      </w:pPr>
      <w:r>
        <w:rPr>
          <w:rFonts w:hint="eastAsia" w:ascii="宋体" w:hAnsi="宋体" w:cs="宋体"/>
        </w:rPr>
        <w:t>注：投标供应商应对照招标文件技术规格要求，反映所提供货物和服务对招标文件的技术规格要求的全部正/负偏离（优于招标文件要求的为正偏离、低于招标文件要求得为负偏离）情况。未在本表中做出偏离说明的项目，视为与招标文件要求一致；在本表中做出偏离说明的项目，投标供应商必须提供所投设备的具体参数值，并在技术标中提供详细资料。</w:t>
      </w:r>
    </w:p>
    <w:p>
      <w:pPr>
        <w:spacing w:line="360" w:lineRule="auto"/>
        <w:jc w:val="left"/>
        <w:rPr>
          <w:rFonts w:ascii="宋体" w:hAnsi="宋体" w:cs="宋体"/>
          <w:bCs/>
          <w:color w:val="FF0000"/>
          <w:szCs w:val="21"/>
        </w:rPr>
      </w:pPr>
      <w:r>
        <w:rPr>
          <w:rFonts w:hint="eastAsia" w:ascii="宋体" w:hAnsi="宋体" w:cs="宋体"/>
        </w:rPr>
        <w:t>注：此表格若不够用，可根据实际自行扩展表格。</w:t>
      </w:r>
    </w:p>
    <w:p>
      <w:pPr>
        <w:spacing w:line="360" w:lineRule="auto"/>
        <w:jc w:val="right"/>
        <w:rPr>
          <w:rFonts w:ascii="宋体" w:hAnsi="宋体" w:cs="宋体"/>
          <w:bCs/>
          <w:szCs w:val="21"/>
        </w:rPr>
      </w:pPr>
    </w:p>
    <w:p>
      <w:pPr>
        <w:rPr>
          <w:sz w:val="24"/>
          <w:szCs w:val="24"/>
        </w:rPr>
      </w:pPr>
      <w:bookmarkStart w:id="180" w:name="_Toc71269880"/>
      <w:bookmarkStart w:id="181" w:name="_Toc31944"/>
      <w:bookmarkStart w:id="182" w:name="_Toc70398874"/>
      <w:r>
        <w:rPr>
          <w:sz w:val="24"/>
          <w:szCs w:val="24"/>
        </w:rPr>
        <w:t>投标人(</w:t>
      </w:r>
      <w:r>
        <w:rPr>
          <w:rFonts w:hint="eastAsia"/>
          <w:sz w:val="24"/>
          <w:szCs w:val="24"/>
        </w:rPr>
        <w:t>电子签</w:t>
      </w:r>
      <w:r>
        <w:rPr>
          <w:sz w:val="24"/>
          <w:szCs w:val="24"/>
        </w:rPr>
        <w:t>章)：</w:t>
      </w:r>
    </w:p>
    <w:p>
      <w:pPr>
        <w:rPr>
          <w:sz w:val="24"/>
          <w:szCs w:val="24"/>
        </w:rPr>
      </w:pPr>
      <w:r>
        <w:rPr>
          <w:sz w:val="24"/>
          <w:szCs w:val="24"/>
        </w:rPr>
        <w:drawing>
          <wp:anchor distT="0" distB="0" distL="0" distR="0" simplePos="0" relativeHeight="251668480" behindDoc="0" locked="0" layoutInCell="1" allowOverlap="1">
            <wp:simplePos x="0" y="0"/>
            <wp:positionH relativeFrom="column">
              <wp:posOffset>5208270</wp:posOffset>
            </wp:positionH>
            <wp:positionV relativeFrom="paragraph">
              <wp:posOffset>218440</wp:posOffset>
            </wp:positionV>
            <wp:extent cx="77470" cy="7620"/>
            <wp:effectExtent l="0" t="0" r="0" b="0"/>
            <wp:wrapNone/>
            <wp:docPr id="2" name="IM 58"/>
            <wp:cNvGraphicFramePr/>
            <a:graphic xmlns:a="http://schemas.openxmlformats.org/drawingml/2006/main">
              <a:graphicData uri="http://schemas.openxmlformats.org/drawingml/2006/picture">
                <pic:pic xmlns:pic="http://schemas.openxmlformats.org/drawingml/2006/picture">
                  <pic:nvPicPr>
                    <pic:cNvPr id="2" name="IM 58"/>
                    <pic:cNvPicPr/>
                  </pic:nvPicPr>
                  <pic:blipFill>
                    <a:blip r:embed="rId30"/>
                    <a:stretch>
                      <a:fillRect/>
                    </a:stretch>
                  </pic:blipFill>
                  <pic:spPr>
                    <a:xfrm>
                      <a:off x="0" y="0"/>
                      <a:ext cx="77723" cy="7620"/>
                    </a:xfrm>
                    <a:prstGeom prst="rect">
                      <a:avLst/>
                    </a:prstGeom>
                  </pic:spPr>
                </pic:pic>
              </a:graphicData>
            </a:graphic>
          </wp:anchor>
        </w:drawing>
      </w:r>
      <w:r>
        <w:rPr>
          <w:sz w:val="24"/>
          <w:szCs w:val="24"/>
        </w:rPr>
        <w:t>法定代表人或被授权代表(</w:t>
      </w:r>
      <w:r>
        <w:rPr>
          <w:rFonts w:hint="eastAsia"/>
          <w:sz w:val="24"/>
          <w:szCs w:val="24"/>
        </w:rPr>
        <w:t>电子签</w:t>
      </w:r>
      <w:r>
        <w:rPr>
          <w:sz w:val="24"/>
          <w:szCs w:val="24"/>
        </w:rPr>
        <w:t>章)：</w:t>
      </w:r>
    </w:p>
    <w:p>
      <w:pPr>
        <w:rPr>
          <w:sz w:val="24"/>
          <w:szCs w:val="24"/>
        </w:rPr>
      </w:pPr>
      <w:r>
        <w:rPr>
          <w:sz w:val="24"/>
          <w:szCs w:val="24"/>
        </w:rPr>
        <w:t>日期：</w:t>
      </w:r>
    </w:p>
    <w:p>
      <w:pPr>
        <w:keepNext w:val="0"/>
        <w:keepLines w:val="0"/>
        <w:pageBreakBefore w:val="0"/>
        <w:widowControl w:val="0"/>
        <w:kinsoku/>
        <w:wordWrap/>
        <w:overflowPunct/>
        <w:topLinePunct w:val="0"/>
        <w:autoSpaceDE/>
        <w:autoSpaceDN/>
        <w:bidi w:val="0"/>
        <w:adjustRightInd/>
        <w:snapToGrid/>
        <w:spacing w:before="120" w:beforeLines="50" w:line="480" w:lineRule="exact"/>
        <w:ind w:firstLine="3600" w:firstLineChars="1500"/>
        <w:textAlignment w:val="auto"/>
        <w:rPr>
          <w:rFonts w:hint="eastAsia" w:ascii="宋体" w:hAnsi="宋体" w:cs="宋体"/>
          <w:b w:val="0"/>
          <w:bCs w:val="0"/>
          <w:color w:val="auto"/>
          <w:sz w:val="24"/>
          <w:szCs w:val="24"/>
          <w:highlight w:val="none"/>
        </w:rPr>
      </w:pPr>
    </w:p>
    <w:p>
      <w:pPr>
        <w:spacing w:line="360" w:lineRule="auto"/>
        <w:jc w:val="center"/>
        <w:rPr>
          <w:rFonts w:ascii="宋体" w:hAnsi="宋体" w:cs="宋体"/>
          <w:kern w:val="0"/>
          <w:sz w:val="28"/>
          <w:szCs w:val="28"/>
        </w:rPr>
      </w:pPr>
    </w:p>
    <w:p>
      <w:pPr>
        <w:spacing w:line="360" w:lineRule="auto"/>
        <w:jc w:val="center"/>
        <w:rPr>
          <w:rFonts w:hint="eastAsia" w:ascii="宋体" w:hAnsi="宋体" w:cs="宋体"/>
          <w:kern w:val="0"/>
          <w:sz w:val="28"/>
          <w:szCs w:val="28"/>
        </w:rPr>
      </w:pPr>
    </w:p>
    <w:p>
      <w:pPr>
        <w:pStyle w:val="7"/>
        <w:rPr>
          <w:rFonts w:hint="eastAsia" w:ascii="宋体" w:hAnsi="宋体" w:cs="宋体"/>
          <w:kern w:val="0"/>
          <w:sz w:val="28"/>
          <w:szCs w:val="28"/>
        </w:rPr>
      </w:pPr>
    </w:p>
    <w:p>
      <w:pPr>
        <w:pStyle w:val="7"/>
        <w:rPr>
          <w:rFonts w:hint="eastAsia" w:ascii="宋体" w:hAnsi="宋体" w:cs="宋体"/>
          <w:kern w:val="0"/>
          <w:sz w:val="28"/>
          <w:szCs w:val="28"/>
        </w:rPr>
      </w:pPr>
    </w:p>
    <w:p>
      <w:pPr>
        <w:spacing w:line="360" w:lineRule="auto"/>
        <w:jc w:val="center"/>
        <w:rPr>
          <w:rFonts w:hint="eastAsia" w:ascii="宋体" w:hAnsi="宋体" w:cs="宋体"/>
          <w:kern w:val="0"/>
          <w:sz w:val="28"/>
          <w:szCs w:val="28"/>
        </w:rPr>
      </w:pPr>
    </w:p>
    <w:p>
      <w:pPr>
        <w:jc w:val="center"/>
        <w:rPr>
          <w:rFonts w:hint="eastAsia" w:ascii="Times New Roman" w:hAnsi="Times New Roman" w:eastAsia="宋体" w:cs="Times New Roman"/>
          <w:b/>
          <w:bCs/>
          <w:sz w:val="24"/>
          <w:szCs w:val="24"/>
          <w:highlight w:val="none"/>
        </w:rPr>
      </w:pPr>
      <w:r>
        <w:rPr>
          <w:rFonts w:hint="eastAsia" w:ascii="Times New Roman" w:hAnsi="Times New Roman" w:eastAsia="宋体" w:cs="Times New Roman"/>
          <w:b/>
          <w:bCs/>
          <w:sz w:val="24"/>
          <w:szCs w:val="24"/>
          <w:highlight w:val="none"/>
        </w:rPr>
        <w:t>（</w:t>
      </w:r>
      <w:r>
        <w:rPr>
          <w:rFonts w:hint="eastAsia" w:ascii="Times New Roman" w:hAnsi="Times New Roman" w:eastAsia="宋体" w:cs="Times New Roman"/>
          <w:b/>
          <w:bCs/>
          <w:sz w:val="24"/>
          <w:szCs w:val="24"/>
          <w:highlight w:val="none"/>
          <w:lang w:val="en-US" w:eastAsia="zh-CN"/>
        </w:rPr>
        <w:t>五</w:t>
      </w:r>
      <w:r>
        <w:rPr>
          <w:rFonts w:hint="eastAsia" w:ascii="Times New Roman" w:hAnsi="Times New Roman" w:eastAsia="宋体" w:cs="Times New Roman"/>
          <w:b/>
          <w:bCs/>
          <w:sz w:val="24"/>
          <w:szCs w:val="24"/>
          <w:highlight w:val="none"/>
        </w:rPr>
        <w:t>）商务条款偏离表</w:t>
      </w:r>
      <w:bookmarkEnd w:id="180"/>
      <w:bookmarkEnd w:id="181"/>
      <w:bookmarkEnd w:id="182"/>
    </w:p>
    <w:tbl>
      <w:tblPr>
        <w:tblStyle w:val="23"/>
        <w:tblW w:w="88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1"/>
        <w:gridCol w:w="2582"/>
        <w:gridCol w:w="2583"/>
        <w:gridCol w:w="1565"/>
        <w:gridCol w:w="11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8"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s="宋体"/>
                <w:sz w:val="24"/>
                <w:szCs w:val="24"/>
              </w:rPr>
            </w:pPr>
            <w:r>
              <w:rPr>
                <w:rFonts w:hint="eastAsia" w:ascii="宋体" w:hAnsi="宋体" w:cs="宋体"/>
                <w:sz w:val="24"/>
                <w:szCs w:val="24"/>
              </w:rPr>
              <w:t>序号</w:t>
            </w:r>
          </w:p>
        </w:tc>
        <w:tc>
          <w:tcPr>
            <w:tcW w:w="2582"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 w:val="24"/>
                <w:szCs w:val="24"/>
              </w:rPr>
            </w:pPr>
            <w:r>
              <w:rPr>
                <w:rFonts w:hint="eastAsia" w:ascii="宋体" w:hAnsi="宋体" w:cs="宋体"/>
                <w:sz w:val="24"/>
                <w:szCs w:val="24"/>
              </w:rPr>
              <w:t>招标文件要求</w:t>
            </w:r>
          </w:p>
        </w:tc>
        <w:tc>
          <w:tcPr>
            <w:tcW w:w="2583"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 w:val="24"/>
                <w:szCs w:val="24"/>
              </w:rPr>
            </w:pPr>
            <w:r>
              <w:rPr>
                <w:rFonts w:hint="eastAsia" w:ascii="宋体" w:hAnsi="宋体" w:cs="宋体"/>
                <w:sz w:val="24"/>
                <w:szCs w:val="24"/>
              </w:rPr>
              <w:t>响应情况</w:t>
            </w:r>
          </w:p>
        </w:tc>
        <w:tc>
          <w:tcPr>
            <w:tcW w:w="1565"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 w:val="24"/>
                <w:szCs w:val="24"/>
              </w:rPr>
            </w:pPr>
            <w:r>
              <w:rPr>
                <w:rFonts w:hint="eastAsia" w:ascii="宋体" w:hAnsi="宋体" w:cs="宋体"/>
                <w:sz w:val="24"/>
                <w:szCs w:val="24"/>
              </w:rPr>
              <w:t>偏离</w:t>
            </w:r>
          </w:p>
          <w:p>
            <w:pPr>
              <w:spacing w:line="480" w:lineRule="exact"/>
              <w:jc w:val="center"/>
              <w:rPr>
                <w:rFonts w:ascii="宋体" w:hAnsi="宋体" w:cs="宋体"/>
                <w:sz w:val="24"/>
                <w:szCs w:val="24"/>
              </w:rPr>
            </w:pPr>
            <w:r>
              <w:rPr>
                <w:rFonts w:hint="eastAsia" w:ascii="宋体" w:hAnsi="宋体" w:cs="宋体"/>
                <w:sz w:val="24"/>
                <w:szCs w:val="24"/>
              </w:rPr>
              <w:t>(正)</w:t>
            </w:r>
          </w:p>
        </w:tc>
        <w:tc>
          <w:tcPr>
            <w:tcW w:w="1129"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 w:val="24"/>
                <w:szCs w:val="24"/>
              </w:rPr>
            </w:pPr>
            <w:r>
              <w:rPr>
                <w:rFonts w:hint="eastAsia" w:ascii="宋体" w:hAnsi="宋体" w:cs="宋体"/>
                <w:sz w:val="24"/>
                <w:szCs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s="宋体"/>
                <w:sz w:val="24"/>
                <w:szCs w:val="24"/>
              </w:rPr>
            </w:pPr>
            <w:r>
              <w:rPr>
                <w:rFonts w:hint="eastAsia" w:ascii="宋体" w:hAnsi="宋体" w:cs="宋体"/>
                <w:sz w:val="24"/>
                <w:szCs w:val="24"/>
              </w:rPr>
              <w:t>1</w:t>
            </w:r>
          </w:p>
        </w:tc>
        <w:tc>
          <w:tcPr>
            <w:tcW w:w="2582"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 w:val="24"/>
                <w:szCs w:val="24"/>
              </w:rPr>
            </w:pPr>
            <w:r>
              <w:rPr>
                <w:rFonts w:hint="eastAsia" w:ascii="宋体" w:hAnsi="宋体" w:cs="宋体"/>
                <w:sz w:val="24"/>
                <w:szCs w:val="24"/>
              </w:rPr>
              <w:t>质量要求</w:t>
            </w:r>
          </w:p>
        </w:tc>
        <w:tc>
          <w:tcPr>
            <w:tcW w:w="2583"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 w:val="24"/>
                <w:szCs w:val="24"/>
              </w:rPr>
            </w:pPr>
          </w:p>
        </w:tc>
        <w:tc>
          <w:tcPr>
            <w:tcW w:w="1565"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 w:val="24"/>
                <w:szCs w:val="24"/>
              </w:rPr>
            </w:pPr>
          </w:p>
        </w:tc>
        <w:tc>
          <w:tcPr>
            <w:tcW w:w="1129"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s="宋体"/>
                <w:sz w:val="24"/>
                <w:szCs w:val="24"/>
              </w:rPr>
            </w:pPr>
            <w:r>
              <w:rPr>
                <w:rFonts w:hint="eastAsia" w:ascii="宋体" w:hAnsi="宋体" w:cs="宋体"/>
                <w:sz w:val="24"/>
                <w:szCs w:val="24"/>
              </w:rPr>
              <w:t>2</w:t>
            </w:r>
          </w:p>
        </w:tc>
        <w:tc>
          <w:tcPr>
            <w:tcW w:w="2582"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 w:val="24"/>
                <w:szCs w:val="24"/>
              </w:rPr>
            </w:pPr>
            <w:r>
              <w:rPr>
                <w:rFonts w:hint="eastAsia" w:ascii="宋体" w:hAnsi="宋体" w:cs="宋体"/>
                <w:sz w:val="24"/>
                <w:szCs w:val="24"/>
                <w:lang w:val="en-US" w:eastAsia="zh-CN"/>
              </w:rPr>
              <w:t>交</w:t>
            </w:r>
            <w:r>
              <w:rPr>
                <w:rFonts w:hint="eastAsia" w:ascii="宋体" w:hAnsi="宋体" w:cs="宋体"/>
                <w:sz w:val="24"/>
                <w:szCs w:val="24"/>
              </w:rPr>
              <w:t>货期限</w:t>
            </w:r>
          </w:p>
        </w:tc>
        <w:tc>
          <w:tcPr>
            <w:tcW w:w="2583"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 w:val="24"/>
                <w:szCs w:val="24"/>
              </w:rPr>
            </w:pPr>
          </w:p>
        </w:tc>
        <w:tc>
          <w:tcPr>
            <w:tcW w:w="1565"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 w:val="24"/>
                <w:szCs w:val="24"/>
              </w:rPr>
            </w:pPr>
          </w:p>
        </w:tc>
        <w:tc>
          <w:tcPr>
            <w:tcW w:w="1129"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s="宋体"/>
                <w:sz w:val="24"/>
                <w:szCs w:val="24"/>
              </w:rPr>
            </w:pPr>
            <w:r>
              <w:rPr>
                <w:rFonts w:hint="eastAsia" w:ascii="宋体" w:hAnsi="宋体" w:cs="宋体"/>
                <w:sz w:val="24"/>
                <w:szCs w:val="24"/>
              </w:rPr>
              <w:t>3</w:t>
            </w:r>
          </w:p>
        </w:tc>
        <w:tc>
          <w:tcPr>
            <w:tcW w:w="2582"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 w:val="24"/>
                <w:szCs w:val="24"/>
              </w:rPr>
            </w:pPr>
            <w:r>
              <w:rPr>
                <w:rFonts w:hint="eastAsia" w:ascii="宋体" w:hAnsi="宋体" w:cs="宋体"/>
                <w:sz w:val="24"/>
                <w:szCs w:val="24"/>
              </w:rPr>
              <w:t>质保期</w:t>
            </w:r>
          </w:p>
        </w:tc>
        <w:tc>
          <w:tcPr>
            <w:tcW w:w="2583"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 w:val="24"/>
                <w:szCs w:val="24"/>
              </w:rPr>
            </w:pPr>
          </w:p>
        </w:tc>
        <w:tc>
          <w:tcPr>
            <w:tcW w:w="1565"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 w:val="24"/>
                <w:szCs w:val="24"/>
              </w:rPr>
            </w:pPr>
          </w:p>
        </w:tc>
        <w:tc>
          <w:tcPr>
            <w:tcW w:w="1129"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s="宋体"/>
                <w:sz w:val="24"/>
                <w:szCs w:val="24"/>
              </w:rPr>
            </w:pPr>
            <w:r>
              <w:rPr>
                <w:rFonts w:hint="eastAsia" w:ascii="宋体" w:hAnsi="宋体" w:cs="宋体"/>
                <w:sz w:val="24"/>
                <w:szCs w:val="24"/>
              </w:rPr>
              <w:t>4</w:t>
            </w:r>
          </w:p>
        </w:tc>
        <w:tc>
          <w:tcPr>
            <w:tcW w:w="2582"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 w:val="24"/>
                <w:szCs w:val="24"/>
              </w:rPr>
            </w:pPr>
            <w:r>
              <w:rPr>
                <w:rFonts w:hint="eastAsia" w:ascii="宋体" w:hAnsi="宋体" w:cs="宋体"/>
                <w:sz w:val="24"/>
                <w:szCs w:val="24"/>
              </w:rPr>
              <w:t>投标有效期</w:t>
            </w:r>
          </w:p>
        </w:tc>
        <w:tc>
          <w:tcPr>
            <w:tcW w:w="2583"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 w:val="24"/>
                <w:szCs w:val="24"/>
              </w:rPr>
            </w:pPr>
          </w:p>
        </w:tc>
        <w:tc>
          <w:tcPr>
            <w:tcW w:w="1565"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 w:val="24"/>
                <w:szCs w:val="24"/>
              </w:rPr>
            </w:pPr>
          </w:p>
        </w:tc>
        <w:tc>
          <w:tcPr>
            <w:tcW w:w="1129"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s="宋体"/>
                <w:sz w:val="24"/>
                <w:szCs w:val="24"/>
              </w:rPr>
            </w:pPr>
            <w:r>
              <w:rPr>
                <w:rFonts w:hint="eastAsia" w:ascii="宋体" w:hAnsi="宋体" w:cs="宋体"/>
                <w:sz w:val="24"/>
                <w:szCs w:val="24"/>
              </w:rPr>
              <w:t>.....</w:t>
            </w:r>
          </w:p>
        </w:tc>
        <w:tc>
          <w:tcPr>
            <w:tcW w:w="2582"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 w:val="24"/>
                <w:szCs w:val="24"/>
              </w:rPr>
            </w:pPr>
          </w:p>
        </w:tc>
        <w:tc>
          <w:tcPr>
            <w:tcW w:w="2583"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 w:val="24"/>
                <w:szCs w:val="24"/>
              </w:rPr>
            </w:pPr>
          </w:p>
        </w:tc>
        <w:tc>
          <w:tcPr>
            <w:tcW w:w="1565"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 w:val="24"/>
                <w:szCs w:val="24"/>
              </w:rPr>
            </w:pPr>
          </w:p>
        </w:tc>
        <w:tc>
          <w:tcPr>
            <w:tcW w:w="1129"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s="宋体"/>
                <w:sz w:val="24"/>
                <w:szCs w:val="24"/>
              </w:rPr>
            </w:pPr>
          </w:p>
        </w:tc>
        <w:tc>
          <w:tcPr>
            <w:tcW w:w="2582"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 w:val="24"/>
                <w:szCs w:val="24"/>
              </w:rPr>
            </w:pPr>
          </w:p>
        </w:tc>
        <w:tc>
          <w:tcPr>
            <w:tcW w:w="2583"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 w:val="24"/>
                <w:szCs w:val="24"/>
              </w:rPr>
            </w:pPr>
          </w:p>
        </w:tc>
        <w:tc>
          <w:tcPr>
            <w:tcW w:w="1565"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 w:val="24"/>
                <w:szCs w:val="24"/>
              </w:rPr>
            </w:pPr>
          </w:p>
        </w:tc>
        <w:tc>
          <w:tcPr>
            <w:tcW w:w="1129"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s="宋体"/>
                <w:sz w:val="24"/>
                <w:szCs w:val="24"/>
              </w:rPr>
            </w:pPr>
          </w:p>
        </w:tc>
        <w:tc>
          <w:tcPr>
            <w:tcW w:w="2582"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 w:val="24"/>
                <w:szCs w:val="24"/>
              </w:rPr>
            </w:pPr>
          </w:p>
        </w:tc>
        <w:tc>
          <w:tcPr>
            <w:tcW w:w="2583"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 w:val="24"/>
                <w:szCs w:val="24"/>
              </w:rPr>
            </w:pPr>
          </w:p>
        </w:tc>
        <w:tc>
          <w:tcPr>
            <w:tcW w:w="1565"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 w:val="24"/>
                <w:szCs w:val="24"/>
              </w:rPr>
            </w:pPr>
          </w:p>
        </w:tc>
        <w:tc>
          <w:tcPr>
            <w:tcW w:w="1129"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4"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s="宋体"/>
                <w:sz w:val="24"/>
                <w:szCs w:val="24"/>
              </w:rPr>
            </w:pPr>
          </w:p>
        </w:tc>
        <w:tc>
          <w:tcPr>
            <w:tcW w:w="2582"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 w:val="24"/>
                <w:szCs w:val="24"/>
              </w:rPr>
            </w:pPr>
          </w:p>
        </w:tc>
        <w:tc>
          <w:tcPr>
            <w:tcW w:w="2583"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 w:val="24"/>
                <w:szCs w:val="24"/>
              </w:rPr>
            </w:pPr>
          </w:p>
        </w:tc>
        <w:tc>
          <w:tcPr>
            <w:tcW w:w="1565"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 w:val="24"/>
                <w:szCs w:val="24"/>
              </w:rPr>
            </w:pPr>
          </w:p>
        </w:tc>
        <w:tc>
          <w:tcPr>
            <w:tcW w:w="1129" w:type="dxa"/>
            <w:tcBorders>
              <w:top w:val="single" w:color="auto" w:sz="4" w:space="0"/>
              <w:left w:val="nil"/>
              <w:bottom w:val="single" w:color="auto" w:sz="4" w:space="0"/>
              <w:right w:val="single" w:color="auto" w:sz="4" w:space="0"/>
            </w:tcBorders>
            <w:vAlign w:val="center"/>
          </w:tcPr>
          <w:p>
            <w:pPr>
              <w:spacing w:line="480" w:lineRule="exact"/>
              <w:jc w:val="center"/>
              <w:rPr>
                <w:rFonts w:ascii="宋体" w:hAnsi="宋体" w:cs="宋体"/>
                <w:sz w:val="24"/>
                <w:szCs w:val="24"/>
              </w:rPr>
            </w:pPr>
          </w:p>
        </w:tc>
      </w:tr>
    </w:tbl>
    <w:p>
      <w:pPr>
        <w:spacing w:line="360" w:lineRule="auto"/>
        <w:jc w:val="right"/>
        <w:rPr>
          <w:rFonts w:ascii="宋体" w:hAnsi="宋体" w:cs="宋体"/>
          <w:bCs/>
          <w:szCs w:val="21"/>
        </w:rPr>
      </w:pPr>
    </w:p>
    <w:p>
      <w:pPr>
        <w:spacing w:line="360" w:lineRule="auto"/>
        <w:jc w:val="right"/>
        <w:rPr>
          <w:rFonts w:ascii="宋体" w:hAnsi="宋体" w:cs="宋体"/>
          <w:bCs/>
          <w:szCs w:val="21"/>
        </w:rPr>
      </w:pPr>
    </w:p>
    <w:p>
      <w:pPr>
        <w:spacing w:line="360" w:lineRule="auto"/>
        <w:jc w:val="right"/>
        <w:rPr>
          <w:rFonts w:ascii="宋体" w:hAnsi="宋体" w:cs="宋体"/>
          <w:bCs/>
          <w:szCs w:val="21"/>
        </w:rPr>
      </w:pPr>
    </w:p>
    <w:p>
      <w:pPr>
        <w:rPr>
          <w:sz w:val="24"/>
          <w:szCs w:val="24"/>
        </w:rPr>
      </w:pPr>
      <w:r>
        <w:rPr>
          <w:sz w:val="24"/>
          <w:szCs w:val="24"/>
        </w:rPr>
        <w:t>投标人(</w:t>
      </w:r>
      <w:r>
        <w:rPr>
          <w:rFonts w:hint="eastAsia"/>
          <w:sz w:val="24"/>
          <w:szCs w:val="24"/>
        </w:rPr>
        <w:t>电子签</w:t>
      </w:r>
      <w:r>
        <w:rPr>
          <w:sz w:val="24"/>
          <w:szCs w:val="24"/>
        </w:rPr>
        <w:t>章)：</w:t>
      </w:r>
    </w:p>
    <w:p>
      <w:pPr>
        <w:rPr>
          <w:sz w:val="24"/>
          <w:szCs w:val="24"/>
        </w:rPr>
      </w:pPr>
      <w:r>
        <w:rPr>
          <w:sz w:val="24"/>
          <w:szCs w:val="24"/>
        </w:rPr>
        <w:drawing>
          <wp:anchor distT="0" distB="0" distL="0" distR="0" simplePos="0" relativeHeight="251676672" behindDoc="0" locked="0" layoutInCell="1" allowOverlap="1">
            <wp:simplePos x="0" y="0"/>
            <wp:positionH relativeFrom="column">
              <wp:posOffset>5208270</wp:posOffset>
            </wp:positionH>
            <wp:positionV relativeFrom="paragraph">
              <wp:posOffset>218440</wp:posOffset>
            </wp:positionV>
            <wp:extent cx="77470" cy="7620"/>
            <wp:effectExtent l="0" t="0" r="0" b="0"/>
            <wp:wrapNone/>
            <wp:docPr id="3" name="IM 58"/>
            <wp:cNvGraphicFramePr/>
            <a:graphic xmlns:a="http://schemas.openxmlformats.org/drawingml/2006/main">
              <a:graphicData uri="http://schemas.openxmlformats.org/drawingml/2006/picture">
                <pic:pic xmlns:pic="http://schemas.openxmlformats.org/drawingml/2006/picture">
                  <pic:nvPicPr>
                    <pic:cNvPr id="3" name="IM 58"/>
                    <pic:cNvPicPr/>
                  </pic:nvPicPr>
                  <pic:blipFill>
                    <a:blip r:embed="rId30"/>
                    <a:stretch>
                      <a:fillRect/>
                    </a:stretch>
                  </pic:blipFill>
                  <pic:spPr>
                    <a:xfrm>
                      <a:off x="0" y="0"/>
                      <a:ext cx="77723" cy="7620"/>
                    </a:xfrm>
                    <a:prstGeom prst="rect">
                      <a:avLst/>
                    </a:prstGeom>
                  </pic:spPr>
                </pic:pic>
              </a:graphicData>
            </a:graphic>
          </wp:anchor>
        </w:drawing>
      </w:r>
      <w:r>
        <w:rPr>
          <w:sz w:val="24"/>
          <w:szCs w:val="24"/>
        </w:rPr>
        <w:t>法定代表人或被授权代表(</w:t>
      </w:r>
      <w:r>
        <w:rPr>
          <w:rFonts w:hint="eastAsia"/>
          <w:sz w:val="24"/>
          <w:szCs w:val="24"/>
        </w:rPr>
        <w:t>电子签</w:t>
      </w:r>
      <w:r>
        <w:rPr>
          <w:sz w:val="24"/>
          <w:szCs w:val="24"/>
        </w:rPr>
        <w:t>章)：</w:t>
      </w:r>
    </w:p>
    <w:p>
      <w:pPr>
        <w:rPr>
          <w:sz w:val="24"/>
          <w:szCs w:val="24"/>
        </w:rPr>
      </w:pPr>
      <w:r>
        <w:rPr>
          <w:sz w:val="24"/>
          <w:szCs w:val="24"/>
        </w:rPr>
        <w:t>日期：</w:t>
      </w:r>
    </w:p>
    <w:p>
      <w:pPr>
        <w:spacing w:line="480" w:lineRule="exact"/>
        <w:rPr>
          <w:rFonts w:ascii="宋体" w:hAnsi="宋体" w:cs="宋体"/>
          <w:kern w:val="0"/>
          <w:sz w:val="28"/>
          <w:szCs w:val="28"/>
        </w:rPr>
      </w:pPr>
    </w:p>
    <w:p>
      <w:pPr>
        <w:pStyle w:val="7"/>
        <w:rPr>
          <w:rFonts w:ascii="宋体" w:hAnsi="宋体" w:cs="宋体"/>
          <w:kern w:val="0"/>
          <w:sz w:val="28"/>
          <w:szCs w:val="28"/>
        </w:rPr>
      </w:pPr>
    </w:p>
    <w:p>
      <w:pPr>
        <w:pStyle w:val="3"/>
        <w:jc w:val="center"/>
        <w:rPr>
          <w:rFonts w:hint="eastAsia"/>
          <w:sz w:val="24"/>
          <w:szCs w:val="24"/>
        </w:rPr>
      </w:pPr>
    </w:p>
    <w:p>
      <w:pPr>
        <w:pStyle w:val="3"/>
        <w:jc w:val="center"/>
        <w:rPr>
          <w:rFonts w:hint="eastAsia"/>
          <w:sz w:val="24"/>
          <w:szCs w:val="24"/>
        </w:rPr>
      </w:pPr>
    </w:p>
    <w:p>
      <w:pPr>
        <w:rPr>
          <w:rFonts w:hint="eastAsia"/>
        </w:rPr>
      </w:pPr>
    </w:p>
    <w:p>
      <w:pPr>
        <w:pStyle w:val="3"/>
        <w:jc w:val="center"/>
        <w:rPr>
          <w:rFonts w:hint="eastAsia"/>
          <w:sz w:val="24"/>
          <w:szCs w:val="24"/>
        </w:rPr>
      </w:pPr>
    </w:p>
    <w:p>
      <w:pPr>
        <w:pStyle w:val="3"/>
        <w:jc w:val="center"/>
        <w:rPr>
          <w:rFonts w:hint="eastAsia"/>
          <w:sz w:val="24"/>
          <w:szCs w:val="24"/>
        </w:rPr>
      </w:pPr>
    </w:p>
    <w:p>
      <w:pPr>
        <w:pStyle w:val="3"/>
        <w:jc w:val="center"/>
        <w:rPr>
          <w:rFonts w:hint="eastAsia"/>
          <w:sz w:val="24"/>
          <w:szCs w:val="24"/>
        </w:rPr>
      </w:pPr>
    </w:p>
    <w:p>
      <w:pPr>
        <w:pStyle w:val="3"/>
        <w:jc w:val="center"/>
        <w:rPr>
          <w:rFonts w:hint="eastAsia"/>
          <w:sz w:val="24"/>
          <w:szCs w:val="24"/>
        </w:rPr>
      </w:pPr>
    </w:p>
    <w:p>
      <w:pPr>
        <w:pStyle w:val="3"/>
        <w:jc w:val="center"/>
        <w:rPr>
          <w:sz w:val="24"/>
          <w:szCs w:val="24"/>
        </w:rPr>
      </w:pPr>
      <w:r>
        <w:rPr>
          <w:rFonts w:hint="eastAsia"/>
          <w:sz w:val="24"/>
          <w:szCs w:val="24"/>
        </w:rPr>
        <w:t>2</w:t>
      </w:r>
      <w:r>
        <w:rPr>
          <w:sz w:val="24"/>
          <w:szCs w:val="24"/>
        </w:rPr>
        <w:t>、法定代表人身份证明</w:t>
      </w:r>
      <w:bookmarkEnd w:id="179"/>
    </w:p>
    <w:p>
      <w:pPr>
        <w:rPr>
          <w:sz w:val="24"/>
          <w:szCs w:val="24"/>
        </w:rPr>
      </w:pPr>
      <w:r>
        <w:rPr>
          <w:sz w:val="24"/>
          <w:szCs w:val="24"/>
        </w:rPr>
        <w:t>投标人名称：</w:t>
      </w:r>
    </w:p>
    <w:p>
      <w:pPr>
        <w:rPr>
          <w:sz w:val="24"/>
          <w:szCs w:val="24"/>
        </w:rPr>
      </w:pPr>
      <w:r>
        <w:rPr>
          <w:sz w:val="24"/>
          <w:szCs w:val="24"/>
        </w:rPr>
        <w:t>单位性质：</w:t>
      </w:r>
    </w:p>
    <w:p>
      <w:pPr>
        <w:rPr>
          <w:sz w:val="24"/>
          <w:szCs w:val="24"/>
        </w:rPr>
      </w:pPr>
      <w:r>
        <w:rPr>
          <w:sz w:val="24"/>
          <w:szCs w:val="24"/>
        </w:rPr>
        <w:t>地址：</w:t>
      </w:r>
      <w:r>
        <w:rPr>
          <w:rFonts w:hint="eastAsia"/>
          <w:sz w:val="24"/>
          <w:szCs w:val="24"/>
        </w:rPr>
        <w:t xml:space="preserve"> </w:t>
      </w:r>
    </w:p>
    <w:p>
      <w:pPr>
        <w:rPr>
          <w:sz w:val="24"/>
          <w:szCs w:val="24"/>
        </w:rPr>
      </w:pPr>
      <w:r>
        <w:rPr>
          <w:sz w:val="24"/>
          <w:szCs w:val="24"/>
        </w:rPr>
        <w:t>成立时间：</w:t>
      </w:r>
      <w:r>
        <w:rPr>
          <w:rFonts w:hint="eastAsia"/>
          <w:sz w:val="24"/>
          <w:szCs w:val="24"/>
        </w:rPr>
        <w:t xml:space="preserve">   年  月  日</w:t>
      </w:r>
    </w:p>
    <w:p>
      <w:pPr>
        <w:rPr>
          <w:sz w:val="24"/>
          <w:szCs w:val="24"/>
        </w:rPr>
      </w:pPr>
      <w:r>
        <w:rPr>
          <w:sz w:val="24"/>
          <w:szCs w:val="24"/>
        </w:rPr>
        <w:t>经营期限：</w:t>
      </w:r>
    </w:p>
    <w:p>
      <w:pPr>
        <w:rPr>
          <w:sz w:val="24"/>
          <w:szCs w:val="24"/>
        </w:rPr>
      </w:pPr>
      <w:r>
        <w:rPr>
          <w:sz w:val="24"/>
          <w:szCs w:val="24"/>
        </w:rPr>
        <w:t>姓名：</w:t>
      </w:r>
    </w:p>
    <w:p>
      <w:pPr>
        <w:rPr>
          <w:sz w:val="24"/>
          <w:szCs w:val="24"/>
        </w:rPr>
      </w:pPr>
      <w:r>
        <w:rPr>
          <w:sz w:val="24"/>
          <w:szCs w:val="24"/>
        </w:rPr>
        <w:t>性别：</w:t>
      </w:r>
    </w:p>
    <w:p>
      <w:pPr>
        <w:rPr>
          <w:sz w:val="24"/>
          <w:szCs w:val="24"/>
        </w:rPr>
      </w:pPr>
      <w:r>
        <w:rPr>
          <w:sz w:val="24"/>
          <w:szCs w:val="24"/>
        </w:rPr>
        <w:t>年龄：</w:t>
      </w:r>
    </w:p>
    <w:p>
      <w:pPr>
        <w:rPr>
          <w:sz w:val="24"/>
          <w:szCs w:val="24"/>
        </w:rPr>
      </w:pPr>
      <w:r>
        <w:rPr>
          <w:sz w:val="24"/>
          <w:szCs w:val="24"/>
        </w:rPr>
        <w:t>身份证号码：</w:t>
      </w:r>
    </w:p>
    <w:p>
      <w:pPr>
        <w:rPr>
          <w:sz w:val="24"/>
          <w:szCs w:val="24"/>
        </w:rPr>
      </w:pPr>
      <w:r>
        <w:rPr>
          <w:sz w:val="24"/>
          <w:szCs w:val="24"/>
        </w:rPr>
        <w:t>职务：</w:t>
      </w:r>
    </w:p>
    <w:p>
      <w:pPr>
        <w:rPr>
          <w:sz w:val="24"/>
          <w:szCs w:val="24"/>
        </w:rPr>
      </w:pPr>
      <w:r>
        <w:rPr>
          <w:sz w:val="24"/>
          <w:szCs w:val="24"/>
        </w:rPr>
        <w:t>系（投标人名称）的法定代表人。</w:t>
      </w:r>
    </w:p>
    <w:p>
      <w:pPr>
        <w:rPr>
          <w:sz w:val="24"/>
          <w:szCs w:val="24"/>
        </w:rPr>
      </w:pPr>
      <w:r>
        <w:rPr>
          <w:sz w:val="24"/>
          <w:szCs w:val="24"/>
        </w:rPr>
        <w:t>特此证明。</w:t>
      </w:r>
    </w:p>
    <w:p>
      <w:pPr>
        <w:rPr>
          <w:sz w:val="24"/>
          <w:szCs w:val="24"/>
        </w:rPr>
      </w:pPr>
      <w:r>
        <w:rPr>
          <w:sz w:val="24"/>
          <w:szCs w:val="24"/>
        </w:rPr>
        <w:t>附法定代表人身份证复印件。</w:t>
      </w:r>
    </w:p>
    <w:p>
      <w:pPr>
        <w:pStyle w:val="7"/>
        <w:spacing w:line="257" w:lineRule="auto"/>
      </w:pPr>
    </w:p>
    <w:p>
      <w:pPr>
        <w:pStyle w:val="7"/>
        <w:spacing w:line="257" w:lineRule="auto"/>
      </w:pPr>
    </w:p>
    <w:p>
      <w:pPr>
        <w:pStyle w:val="7"/>
        <w:spacing w:line="258" w:lineRule="auto"/>
      </w:pPr>
    </w:p>
    <w:p>
      <w:pPr>
        <w:pStyle w:val="7"/>
        <w:spacing w:line="258" w:lineRule="auto"/>
      </w:pPr>
    </w:p>
    <w:p>
      <w:pPr>
        <w:rPr>
          <w:sz w:val="24"/>
          <w:szCs w:val="24"/>
        </w:rPr>
      </w:pPr>
    </w:p>
    <w:p>
      <w:pPr>
        <w:jc w:val="right"/>
        <w:rPr>
          <w:sz w:val="24"/>
          <w:szCs w:val="24"/>
        </w:rPr>
      </w:pPr>
      <w:r>
        <w:rPr>
          <w:sz w:val="24"/>
          <w:szCs w:val="24"/>
        </w:rPr>
        <w:t>投标人：（</w:t>
      </w:r>
      <w:r>
        <w:rPr>
          <w:rFonts w:hint="eastAsia"/>
          <w:sz w:val="24"/>
          <w:szCs w:val="24"/>
        </w:rPr>
        <w:t>电子签</w:t>
      </w:r>
      <w:r>
        <w:rPr>
          <w:sz w:val="24"/>
          <w:szCs w:val="24"/>
        </w:rPr>
        <w:t>章）</w:t>
      </w:r>
      <w:r>
        <w:rPr>
          <w:sz w:val="24"/>
          <w:szCs w:val="24"/>
        </w:rPr>
        <w:tab/>
      </w:r>
    </w:p>
    <w:p>
      <w:pPr>
        <w:jc w:val="right"/>
        <w:rPr>
          <w:sz w:val="24"/>
          <w:szCs w:val="24"/>
        </w:rPr>
        <w:sectPr>
          <w:footerReference r:id="rId14" w:type="default"/>
          <w:pgSz w:w="11906" w:h="16840"/>
          <w:pgMar w:top="1474" w:right="1417" w:bottom="1247" w:left="1417" w:header="849" w:footer="1186" w:gutter="0"/>
          <w:cols w:space="720" w:num="1"/>
        </w:sectPr>
      </w:pPr>
    </w:p>
    <w:p>
      <w:pPr>
        <w:pStyle w:val="3"/>
        <w:jc w:val="center"/>
        <w:rPr>
          <w:sz w:val="24"/>
          <w:szCs w:val="24"/>
        </w:rPr>
      </w:pPr>
      <w:bookmarkStart w:id="183" w:name="_Toc24090"/>
      <w:r>
        <w:rPr>
          <w:rFonts w:hint="eastAsia"/>
          <w:sz w:val="24"/>
          <w:szCs w:val="24"/>
        </w:rPr>
        <w:t>3</w:t>
      </w:r>
      <w:r>
        <w:rPr>
          <w:sz w:val="24"/>
          <w:szCs w:val="24"/>
        </w:rPr>
        <w:t>、</w:t>
      </w:r>
      <w:r>
        <w:rPr>
          <w:rFonts w:hint="eastAsia"/>
          <w:sz w:val="24"/>
          <w:szCs w:val="24"/>
        </w:rPr>
        <w:t>法定代表人</w:t>
      </w:r>
      <w:r>
        <w:rPr>
          <w:sz w:val="24"/>
          <w:szCs w:val="24"/>
        </w:rPr>
        <w:t>授权委托书</w:t>
      </w:r>
      <w:bookmarkEnd w:id="183"/>
    </w:p>
    <w:p>
      <w:pPr>
        <w:ind w:firstLine="480" w:firstLineChars="200"/>
        <w:rPr>
          <w:sz w:val="24"/>
          <w:szCs w:val="24"/>
        </w:rPr>
      </w:pPr>
      <w:r>
        <w:rPr>
          <w:sz w:val="24"/>
          <w:szCs w:val="24"/>
        </w:rPr>
        <w:t>本人</w:t>
      </w:r>
      <w:r>
        <w:rPr>
          <w:rFonts w:hint="eastAsia"/>
          <w:sz w:val="24"/>
          <w:szCs w:val="24"/>
          <w:u w:val="single"/>
        </w:rPr>
        <w:t xml:space="preserve">                </w:t>
      </w:r>
      <w:r>
        <w:rPr>
          <w:sz w:val="24"/>
          <w:szCs w:val="24"/>
        </w:rPr>
        <w:t>（姓名）系</w:t>
      </w:r>
      <w:r>
        <w:rPr>
          <w:rFonts w:hint="eastAsia"/>
          <w:sz w:val="24"/>
          <w:szCs w:val="24"/>
          <w:u w:val="single"/>
        </w:rPr>
        <w:t xml:space="preserve">                </w:t>
      </w:r>
      <w:r>
        <w:rPr>
          <w:sz w:val="24"/>
          <w:szCs w:val="24"/>
        </w:rPr>
        <w:t>（投标人名称）的法定代表人，现委托</w:t>
      </w:r>
      <w:r>
        <w:rPr>
          <w:rFonts w:hint="eastAsia"/>
          <w:sz w:val="24"/>
          <w:szCs w:val="24"/>
          <w:u w:val="single"/>
        </w:rPr>
        <w:t xml:space="preserve">                </w:t>
      </w:r>
      <w:r>
        <w:rPr>
          <w:sz w:val="24"/>
          <w:szCs w:val="24"/>
        </w:rPr>
        <w:t>（姓名）为我方代理人。代理人根据授权，以我方名义签署、澄清、说明、补正、递交、撤回、修改</w:t>
      </w:r>
      <w:r>
        <w:rPr>
          <w:rFonts w:hint="eastAsia"/>
          <w:sz w:val="24"/>
          <w:szCs w:val="24"/>
          <w:u w:val="single"/>
        </w:rPr>
        <w:t xml:space="preserve">                </w:t>
      </w:r>
      <w:r>
        <w:rPr>
          <w:sz w:val="24"/>
          <w:szCs w:val="24"/>
        </w:rPr>
        <w:t>（项目名称）投标文件、签订合同和处理有关事宜，其法律后果由我方承担。</w:t>
      </w:r>
    </w:p>
    <w:p>
      <w:pPr>
        <w:rPr>
          <w:sz w:val="24"/>
          <w:szCs w:val="24"/>
        </w:rPr>
      </w:pPr>
      <w:r>
        <w:rPr>
          <w:sz w:val="24"/>
          <w:szCs w:val="24"/>
        </w:rPr>
        <w:t>委托期限：</w:t>
      </w:r>
      <w:r>
        <w:rPr>
          <w:rFonts w:hint="eastAsia"/>
          <w:sz w:val="24"/>
          <w:szCs w:val="24"/>
          <w:u w:val="single"/>
        </w:rPr>
        <w:t xml:space="preserve">                             </w:t>
      </w:r>
    </w:p>
    <w:p>
      <w:pPr>
        <w:rPr>
          <w:sz w:val="24"/>
          <w:szCs w:val="24"/>
        </w:rPr>
      </w:pPr>
      <w:r>
        <w:rPr>
          <w:sz w:val="24"/>
          <w:szCs w:val="24"/>
        </w:rPr>
        <w:t>代理人无转委托权。</w:t>
      </w:r>
    </w:p>
    <w:p>
      <w:pPr>
        <w:rPr>
          <w:sz w:val="24"/>
          <w:szCs w:val="24"/>
        </w:rPr>
      </w:pPr>
      <w:r>
        <w:rPr>
          <w:sz w:val="24"/>
          <w:szCs w:val="24"/>
        </w:rPr>
        <w:t>附：法定代表人身份证复印件和被授权代表身份证复印件</w:t>
      </w:r>
    </w:p>
    <w:p>
      <w:pPr>
        <w:pStyle w:val="7"/>
        <w:spacing w:line="247" w:lineRule="auto"/>
      </w:pPr>
    </w:p>
    <w:p>
      <w:pPr>
        <w:pStyle w:val="7"/>
        <w:spacing w:line="247" w:lineRule="auto"/>
      </w:pPr>
    </w:p>
    <w:p>
      <w:pPr>
        <w:pStyle w:val="7"/>
        <w:spacing w:line="247" w:lineRule="auto"/>
      </w:pPr>
    </w:p>
    <w:p>
      <w:pPr>
        <w:pStyle w:val="7"/>
        <w:spacing w:line="247" w:lineRule="auto"/>
      </w:pPr>
    </w:p>
    <w:p>
      <w:pPr>
        <w:pStyle w:val="7"/>
        <w:spacing w:line="247" w:lineRule="auto"/>
      </w:pPr>
    </w:p>
    <w:p>
      <w:pPr>
        <w:pStyle w:val="7"/>
        <w:spacing w:line="248" w:lineRule="auto"/>
      </w:pPr>
    </w:p>
    <w:p>
      <w:pPr>
        <w:pStyle w:val="7"/>
        <w:spacing w:line="248" w:lineRule="auto"/>
      </w:pPr>
    </w:p>
    <w:p>
      <w:pPr>
        <w:pStyle w:val="7"/>
        <w:spacing w:line="248" w:lineRule="auto"/>
      </w:pPr>
    </w:p>
    <w:p>
      <w:pPr>
        <w:pStyle w:val="7"/>
        <w:spacing w:line="248" w:lineRule="auto"/>
        <w:jc w:val="center"/>
      </w:pPr>
    </w:p>
    <w:p>
      <w:pPr>
        <w:pStyle w:val="7"/>
        <w:spacing w:line="248" w:lineRule="auto"/>
        <w:jc w:val="center"/>
      </w:pPr>
    </w:p>
    <w:p>
      <w:pPr>
        <w:jc w:val="left"/>
        <w:rPr>
          <w:sz w:val="24"/>
          <w:szCs w:val="24"/>
        </w:rPr>
      </w:pPr>
      <w:r>
        <w:rPr>
          <w:sz w:val="24"/>
          <w:szCs w:val="24"/>
        </w:rPr>
        <w:t>投标人：（</w:t>
      </w:r>
      <w:r>
        <w:rPr>
          <w:rFonts w:hint="eastAsia"/>
          <w:sz w:val="24"/>
          <w:szCs w:val="24"/>
        </w:rPr>
        <w:t>电子签</w:t>
      </w:r>
      <w:r>
        <w:rPr>
          <w:sz w:val="24"/>
          <w:szCs w:val="24"/>
        </w:rPr>
        <w:t>章）</w:t>
      </w:r>
    </w:p>
    <w:p>
      <w:pPr>
        <w:jc w:val="left"/>
        <w:rPr>
          <w:sz w:val="24"/>
          <w:szCs w:val="24"/>
        </w:rPr>
      </w:pPr>
      <w:r>
        <w:rPr>
          <w:sz w:val="24"/>
          <w:szCs w:val="24"/>
        </w:rPr>
        <w:t>法定代表人：（</w:t>
      </w:r>
      <w:r>
        <w:rPr>
          <w:rFonts w:hint="eastAsia"/>
          <w:sz w:val="24"/>
          <w:szCs w:val="24"/>
        </w:rPr>
        <w:t>电子签</w:t>
      </w:r>
      <w:r>
        <w:rPr>
          <w:sz w:val="24"/>
          <w:szCs w:val="24"/>
        </w:rPr>
        <w:t>章）</w:t>
      </w:r>
    </w:p>
    <w:p>
      <w:pPr>
        <w:jc w:val="left"/>
        <w:rPr>
          <w:sz w:val="24"/>
          <w:szCs w:val="24"/>
        </w:rPr>
      </w:pPr>
      <w:r>
        <w:rPr>
          <w:sz w:val="24"/>
          <w:szCs w:val="24"/>
        </w:rPr>
        <w:t>身份证号码：</w:t>
      </w:r>
    </w:p>
    <w:p>
      <w:pPr>
        <w:jc w:val="left"/>
        <w:rPr>
          <w:sz w:val="24"/>
          <w:szCs w:val="24"/>
        </w:rPr>
      </w:pPr>
      <w:r>
        <w:rPr>
          <w:sz w:val="24"/>
          <w:szCs w:val="24"/>
        </w:rPr>
        <w:t>被授权代表：（</w:t>
      </w:r>
      <w:r>
        <w:rPr>
          <w:rFonts w:hint="eastAsia"/>
          <w:sz w:val="24"/>
          <w:szCs w:val="24"/>
        </w:rPr>
        <w:t>电子签</w:t>
      </w:r>
      <w:r>
        <w:rPr>
          <w:sz w:val="24"/>
          <w:szCs w:val="24"/>
        </w:rPr>
        <w:t>章）</w:t>
      </w:r>
    </w:p>
    <w:p>
      <w:pPr>
        <w:jc w:val="left"/>
        <w:rPr>
          <w:sz w:val="24"/>
          <w:szCs w:val="24"/>
        </w:rPr>
      </w:pPr>
      <w:r>
        <w:rPr>
          <w:sz w:val="24"/>
          <w:szCs w:val="24"/>
        </w:rPr>
        <w:t>身份证号码：</w:t>
      </w:r>
    </w:p>
    <w:p>
      <w:pPr>
        <w:jc w:val="left"/>
        <w:rPr>
          <w:sz w:val="24"/>
          <w:szCs w:val="24"/>
        </w:rPr>
      </w:pPr>
    </w:p>
    <w:p>
      <w:pPr>
        <w:jc w:val="left"/>
        <w:rPr>
          <w:sz w:val="24"/>
          <w:szCs w:val="24"/>
        </w:rPr>
        <w:sectPr>
          <w:headerReference r:id="rId15" w:type="default"/>
          <w:footerReference r:id="rId16" w:type="default"/>
          <w:pgSz w:w="11906" w:h="16840"/>
          <w:pgMar w:top="1474" w:right="1417" w:bottom="1247" w:left="1417" w:header="849" w:footer="1186" w:gutter="0"/>
          <w:cols w:space="720" w:num="1"/>
        </w:sectPr>
      </w:pPr>
    </w:p>
    <w:p>
      <w:pPr>
        <w:pStyle w:val="3"/>
        <w:jc w:val="center"/>
        <w:rPr>
          <w:sz w:val="24"/>
          <w:szCs w:val="24"/>
        </w:rPr>
      </w:pPr>
      <w:bookmarkStart w:id="184" w:name="_Toc1439"/>
      <w:r>
        <w:rPr>
          <w:rFonts w:hint="eastAsia"/>
          <w:sz w:val="24"/>
          <w:szCs w:val="24"/>
        </w:rPr>
        <w:t>4</w:t>
      </w:r>
      <w:r>
        <w:rPr>
          <w:sz w:val="24"/>
          <w:szCs w:val="24"/>
        </w:rPr>
        <w:t>、投标承诺函</w:t>
      </w:r>
      <w:bookmarkEnd w:id="184"/>
    </w:p>
    <w:p>
      <w:pPr>
        <w:rPr>
          <w:sz w:val="24"/>
          <w:szCs w:val="24"/>
        </w:rPr>
      </w:pPr>
      <w:r>
        <w:rPr>
          <w:sz w:val="24"/>
          <w:szCs w:val="24"/>
        </w:rPr>
        <w:t>致（采购人名称）：</w:t>
      </w:r>
      <w:r>
        <w:rPr>
          <w:rFonts w:hint="eastAsia"/>
          <w:sz w:val="24"/>
          <w:szCs w:val="24"/>
          <w:u w:val="single"/>
        </w:rPr>
        <w:t xml:space="preserve">                             </w:t>
      </w:r>
    </w:p>
    <w:p>
      <w:pPr>
        <w:rPr>
          <w:sz w:val="24"/>
          <w:szCs w:val="24"/>
        </w:rPr>
      </w:pPr>
      <w:r>
        <w:rPr>
          <w:sz w:val="24"/>
          <w:szCs w:val="24"/>
        </w:rPr>
        <w:t>我公司作为本次采购项目的投标人，根据招标文件要求，现郑重承诺如下：</w:t>
      </w:r>
    </w:p>
    <w:p>
      <w:pPr>
        <w:rPr>
          <w:sz w:val="24"/>
          <w:szCs w:val="24"/>
        </w:rPr>
      </w:pPr>
      <w:r>
        <w:rPr>
          <w:sz w:val="24"/>
          <w:szCs w:val="24"/>
        </w:rPr>
        <w:t>一、具备《中华人民共和国政府采购法》第二十二条第一款和本项目规定的条件</w:t>
      </w:r>
      <w:r>
        <w:rPr>
          <w:rFonts w:hint="eastAsia"/>
          <w:sz w:val="24"/>
          <w:szCs w:val="24"/>
        </w:rPr>
        <w:t>：</w:t>
      </w:r>
    </w:p>
    <w:p>
      <w:pPr>
        <w:rPr>
          <w:sz w:val="24"/>
          <w:szCs w:val="24"/>
        </w:rPr>
      </w:pPr>
      <w:r>
        <w:rPr>
          <w:sz w:val="24"/>
          <w:szCs w:val="24"/>
        </w:rPr>
        <w:t>（一）具有独立承担民事责任的能力；</w:t>
      </w:r>
    </w:p>
    <w:p>
      <w:pPr>
        <w:rPr>
          <w:sz w:val="24"/>
          <w:szCs w:val="24"/>
        </w:rPr>
      </w:pPr>
      <w:r>
        <w:rPr>
          <w:sz w:val="24"/>
          <w:szCs w:val="24"/>
        </w:rPr>
        <w:t>（二）具有良好的商业信誉和健全的财务会计制度；</w:t>
      </w:r>
    </w:p>
    <w:p>
      <w:pPr>
        <w:rPr>
          <w:sz w:val="24"/>
          <w:szCs w:val="24"/>
        </w:rPr>
      </w:pPr>
      <w:r>
        <w:rPr>
          <w:sz w:val="24"/>
          <w:szCs w:val="24"/>
        </w:rPr>
        <w:t>（三）具有履行合同所必需的相应能力；</w:t>
      </w:r>
    </w:p>
    <w:p>
      <w:pPr>
        <w:rPr>
          <w:sz w:val="24"/>
          <w:szCs w:val="24"/>
        </w:rPr>
      </w:pPr>
      <w:r>
        <w:rPr>
          <w:sz w:val="24"/>
          <w:szCs w:val="24"/>
        </w:rPr>
        <w:t>（四）有依法缴纳税收和社会保障资金的良好记录；</w:t>
      </w:r>
    </w:p>
    <w:p>
      <w:pPr>
        <w:rPr>
          <w:sz w:val="24"/>
          <w:szCs w:val="24"/>
        </w:rPr>
      </w:pPr>
      <w:r>
        <w:rPr>
          <w:sz w:val="24"/>
          <w:szCs w:val="24"/>
        </w:rPr>
        <w:t>（五）参加政府采购活动前三年内，在经营活动中没有重大违法记录；</w:t>
      </w:r>
    </w:p>
    <w:p>
      <w:pPr>
        <w:rPr>
          <w:sz w:val="24"/>
          <w:szCs w:val="24"/>
        </w:rPr>
      </w:pPr>
      <w:r>
        <w:rPr>
          <w:sz w:val="24"/>
          <w:szCs w:val="24"/>
        </w:rPr>
        <w:t>（六）法律、行政法规规定的其他条件；</w:t>
      </w:r>
    </w:p>
    <w:p>
      <w:pPr>
        <w:rPr>
          <w:sz w:val="24"/>
          <w:szCs w:val="24"/>
        </w:rPr>
      </w:pPr>
      <w:r>
        <w:rPr>
          <w:sz w:val="24"/>
          <w:szCs w:val="24"/>
        </w:rPr>
        <w:t>（七）根据采购项目提出的特殊条件。</w:t>
      </w:r>
    </w:p>
    <w:p>
      <w:pPr>
        <w:rPr>
          <w:sz w:val="24"/>
          <w:szCs w:val="24"/>
        </w:rPr>
      </w:pPr>
      <w:r>
        <w:rPr>
          <w:sz w:val="24"/>
          <w:szCs w:val="24"/>
        </w:rPr>
        <w:t>二、完全接受和满足本项目招标文件中规定的实质性要求，如对招标文件有异议，已经在投标截止时间届满前依法进行维权救济，不存在对招标文件有异议的同时又参加投标以求侥幸中标或者为实现其他非法目的的行为。</w:t>
      </w:r>
    </w:p>
    <w:p>
      <w:pPr>
        <w:rPr>
          <w:sz w:val="24"/>
          <w:szCs w:val="24"/>
        </w:rPr>
      </w:pPr>
      <w:r>
        <w:rPr>
          <w:sz w:val="24"/>
          <w:szCs w:val="24"/>
        </w:rPr>
        <w:t>三、参加本次招标采购活动，不存在与单位负责人为同一人或者存在直接控股、管理关系的其他供应商参与同一合同项下的政府采购活动的行为。</w:t>
      </w:r>
    </w:p>
    <w:p>
      <w:pPr>
        <w:rPr>
          <w:sz w:val="24"/>
          <w:szCs w:val="24"/>
        </w:rPr>
      </w:pPr>
      <w:r>
        <w:rPr>
          <w:sz w:val="24"/>
          <w:szCs w:val="24"/>
        </w:rPr>
        <w:t>四、参加本次招标采购活动，不存在为采购项目提供整体设计、规范编制或者项目管理、监理、检测等服务的行为。</w:t>
      </w:r>
    </w:p>
    <w:p>
      <w:pPr>
        <w:rPr>
          <w:sz w:val="24"/>
          <w:szCs w:val="24"/>
        </w:rPr>
      </w:pPr>
      <w:r>
        <w:rPr>
          <w:sz w:val="24"/>
          <w:szCs w:val="24"/>
        </w:rPr>
        <w:t>五、参加本次招标采购活动，不存在和其他供应商在同一合同项下的采购项目中</w:t>
      </w:r>
      <w:r>
        <w:rPr>
          <w:rFonts w:hint="eastAsia"/>
          <w:sz w:val="24"/>
          <w:szCs w:val="24"/>
        </w:rPr>
        <w:t>，</w:t>
      </w:r>
      <w:r>
        <w:rPr>
          <w:sz w:val="24"/>
          <w:szCs w:val="24"/>
        </w:rPr>
        <w:t>同时委托同一个自然人、同一家庭的人员、同一单位的人员作为代理人的行为。</w:t>
      </w:r>
    </w:p>
    <w:p>
      <w:pPr>
        <w:rPr>
          <w:sz w:val="24"/>
          <w:szCs w:val="24"/>
        </w:rPr>
      </w:pPr>
      <w:r>
        <w:rPr>
          <w:sz w:val="24"/>
          <w:szCs w:val="24"/>
        </w:rPr>
        <w:t>六、投标人参加本次政府采购活动在近三年内投标人和其法定代表人没有行贿犯罪行为。</w:t>
      </w:r>
    </w:p>
    <w:p>
      <w:pPr>
        <w:rPr>
          <w:sz w:val="24"/>
          <w:szCs w:val="24"/>
        </w:rPr>
      </w:pPr>
      <w:r>
        <w:rPr>
          <w:sz w:val="24"/>
          <w:szCs w:val="24"/>
        </w:rPr>
        <w:t>七、参加本次招标采购活动，不存在联合体投标。</w:t>
      </w:r>
    </w:p>
    <w:p>
      <w:pPr>
        <w:rPr>
          <w:sz w:val="24"/>
          <w:szCs w:val="24"/>
        </w:rPr>
      </w:pPr>
      <w:r>
        <w:rPr>
          <w:sz w:val="24"/>
          <w:szCs w:val="24"/>
        </w:rPr>
        <w:t>八、投标文件中提供的能够给予我公司带来优惠、好处的任何材料资料和技术、服务、商务等响应承诺情况都是真实的、有效的、合法的。</w:t>
      </w:r>
    </w:p>
    <w:p>
      <w:pPr>
        <w:rPr>
          <w:sz w:val="24"/>
          <w:szCs w:val="24"/>
        </w:rPr>
      </w:pPr>
      <w:r>
        <w:rPr>
          <w:sz w:val="24"/>
          <w:szCs w:val="24"/>
        </w:rPr>
        <w:t>九、如本项目评标过程中需要提供样品，则我公司提供的样品即为中标后将要提供的中标产品，我公司对提供样品的性能和质量负责，因样品存在缺陷或者不符合招标文件要求导致未能中标的，我公司愿意承担相应不利后果。（如提供样品）</w:t>
      </w:r>
    </w:p>
    <w:p>
      <w:pPr>
        <w:rPr>
          <w:sz w:val="24"/>
          <w:szCs w:val="24"/>
        </w:rPr>
      </w:pPr>
      <w:r>
        <w:rPr>
          <w:sz w:val="24"/>
          <w:szCs w:val="24"/>
        </w:rPr>
        <w:t>十、存在以下行为之一的愿意接受相关部门的处理：</w:t>
      </w:r>
    </w:p>
    <w:p>
      <w:pPr>
        <w:rPr>
          <w:sz w:val="24"/>
          <w:szCs w:val="24"/>
        </w:rPr>
      </w:pPr>
      <w:r>
        <w:rPr>
          <w:sz w:val="24"/>
          <w:szCs w:val="24"/>
        </w:rPr>
        <w:t>（一）投标有效期内撤销投标文件的；</w:t>
      </w:r>
    </w:p>
    <w:p>
      <w:pPr>
        <w:rPr>
          <w:sz w:val="24"/>
          <w:szCs w:val="24"/>
        </w:rPr>
      </w:pPr>
      <w:r>
        <w:rPr>
          <w:sz w:val="24"/>
          <w:szCs w:val="24"/>
        </w:rPr>
        <w:t>（二）在采购人确定中标人以前放弃中标候选人资格的；</w:t>
      </w:r>
    </w:p>
    <w:p>
      <w:pPr>
        <w:rPr>
          <w:sz w:val="24"/>
          <w:szCs w:val="24"/>
        </w:rPr>
      </w:pPr>
      <w:r>
        <w:rPr>
          <w:sz w:val="24"/>
          <w:szCs w:val="24"/>
        </w:rPr>
        <w:t>（三）由于中标人的原因未能按照招标文件的规定与采购人签订合同；</w:t>
      </w:r>
    </w:p>
    <w:p>
      <w:pPr>
        <w:rPr>
          <w:sz w:val="24"/>
          <w:szCs w:val="24"/>
        </w:rPr>
      </w:pPr>
      <w:r>
        <w:rPr>
          <w:sz w:val="24"/>
          <w:szCs w:val="24"/>
        </w:rPr>
        <w:t>（四）在投标文件中提供虚假材料谋取中标；</w:t>
      </w:r>
    </w:p>
    <w:p>
      <w:pPr>
        <w:rPr>
          <w:sz w:val="24"/>
          <w:szCs w:val="24"/>
        </w:rPr>
      </w:pPr>
      <w:r>
        <w:rPr>
          <w:sz w:val="24"/>
          <w:szCs w:val="24"/>
        </w:rPr>
        <w:t>（五）与采购人、其他供应商或者采购代理机构恶意串通的；</w:t>
      </w:r>
    </w:p>
    <w:p>
      <w:pPr>
        <w:rPr>
          <w:sz w:val="24"/>
          <w:szCs w:val="24"/>
        </w:rPr>
      </w:pPr>
      <w:bookmarkStart w:id="185" w:name="bookmark58"/>
      <w:bookmarkEnd w:id="185"/>
      <w:r>
        <w:rPr>
          <w:sz w:val="24"/>
          <w:szCs w:val="24"/>
        </w:rPr>
        <w:t>（六）投标有效期内，投标人在政府采购活动中有违法、违规、违纪行为。</w:t>
      </w:r>
    </w:p>
    <w:p>
      <w:pPr>
        <w:rPr>
          <w:sz w:val="24"/>
          <w:szCs w:val="24"/>
        </w:rPr>
      </w:pPr>
      <w:r>
        <w:rPr>
          <w:sz w:val="24"/>
          <w:szCs w:val="24"/>
        </w:rPr>
        <w:t>由此产生的一切法律后果和责任由我公司承担。我公司声明放弃对此提出任何异议和追索的权利。</w:t>
      </w:r>
    </w:p>
    <w:p>
      <w:pPr>
        <w:rPr>
          <w:sz w:val="24"/>
          <w:szCs w:val="24"/>
        </w:rPr>
      </w:pPr>
      <w:r>
        <w:rPr>
          <w:sz w:val="24"/>
          <w:szCs w:val="24"/>
        </w:rPr>
        <w:t>本公司对上述承诺的内容事项真实性负责。如经查实上述承诺的内容事项存在虚假，我公司愿意接受以提供虚假材料谋取中标的法律责任。</w:t>
      </w:r>
    </w:p>
    <w:p>
      <w:pPr>
        <w:rPr>
          <w:sz w:val="24"/>
          <w:szCs w:val="24"/>
        </w:rPr>
      </w:pPr>
    </w:p>
    <w:p>
      <w:pPr>
        <w:rPr>
          <w:sz w:val="24"/>
          <w:szCs w:val="24"/>
        </w:rPr>
      </w:pPr>
    </w:p>
    <w:p>
      <w:pPr>
        <w:rPr>
          <w:sz w:val="24"/>
          <w:szCs w:val="24"/>
        </w:rPr>
      </w:pPr>
    </w:p>
    <w:p>
      <w:pPr>
        <w:rPr>
          <w:sz w:val="24"/>
          <w:szCs w:val="24"/>
        </w:rPr>
      </w:pPr>
    </w:p>
    <w:p>
      <w:pPr>
        <w:rPr>
          <w:sz w:val="24"/>
          <w:szCs w:val="24"/>
        </w:rPr>
      </w:pPr>
      <w:r>
        <w:rPr>
          <w:sz w:val="24"/>
          <w:szCs w:val="24"/>
        </w:rPr>
        <w:t>投标人(</w:t>
      </w:r>
      <w:r>
        <w:rPr>
          <w:rFonts w:hint="eastAsia"/>
          <w:sz w:val="24"/>
          <w:szCs w:val="24"/>
        </w:rPr>
        <w:t>电子签</w:t>
      </w:r>
      <w:r>
        <w:rPr>
          <w:sz w:val="24"/>
          <w:szCs w:val="24"/>
        </w:rPr>
        <w:t>章)：</w:t>
      </w:r>
    </w:p>
    <w:p>
      <w:pPr>
        <w:rPr>
          <w:sz w:val="24"/>
          <w:szCs w:val="24"/>
        </w:rPr>
      </w:pPr>
      <w:r>
        <w:rPr>
          <w:sz w:val="24"/>
          <w:szCs w:val="24"/>
        </w:rPr>
        <w:drawing>
          <wp:anchor distT="0" distB="0" distL="0" distR="0" simplePos="0" relativeHeight="251663360" behindDoc="0" locked="0" layoutInCell="1" allowOverlap="1">
            <wp:simplePos x="0" y="0"/>
            <wp:positionH relativeFrom="column">
              <wp:posOffset>5208270</wp:posOffset>
            </wp:positionH>
            <wp:positionV relativeFrom="paragraph">
              <wp:posOffset>221615</wp:posOffset>
            </wp:positionV>
            <wp:extent cx="77470" cy="7620"/>
            <wp:effectExtent l="0" t="0" r="0" b="0"/>
            <wp:wrapNone/>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31"/>
                    <a:stretch>
                      <a:fillRect/>
                    </a:stretch>
                  </pic:blipFill>
                  <pic:spPr>
                    <a:xfrm>
                      <a:off x="0" y="0"/>
                      <a:ext cx="77723" cy="7619"/>
                    </a:xfrm>
                    <a:prstGeom prst="rect">
                      <a:avLst/>
                    </a:prstGeom>
                  </pic:spPr>
                </pic:pic>
              </a:graphicData>
            </a:graphic>
          </wp:anchor>
        </w:drawing>
      </w:r>
      <w:r>
        <w:rPr>
          <w:sz w:val="24"/>
          <w:szCs w:val="24"/>
        </w:rPr>
        <w:t>法定代表人或被授权代表(</w:t>
      </w:r>
      <w:r>
        <w:rPr>
          <w:rFonts w:hint="eastAsia"/>
          <w:sz w:val="24"/>
          <w:szCs w:val="24"/>
        </w:rPr>
        <w:t>电子签</w:t>
      </w:r>
      <w:r>
        <w:rPr>
          <w:sz w:val="24"/>
          <w:szCs w:val="24"/>
        </w:rPr>
        <w:t>章)：</w:t>
      </w:r>
    </w:p>
    <w:p>
      <w:pPr>
        <w:rPr>
          <w:sz w:val="24"/>
          <w:szCs w:val="24"/>
        </w:rPr>
      </w:pPr>
      <w:r>
        <w:rPr>
          <w:sz w:val="24"/>
          <w:szCs w:val="24"/>
        </w:rPr>
        <w:t>日期：</w:t>
      </w:r>
    </w:p>
    <w:p>
      <w:pPr>
        <w:rPr>
          <w:sz w:val="24"/>
          <w:szCs w:val="24"/>
        </w:rPr>
        <w:sectPr>
          <w:headerReference r:id="rId17" w:type="default"/>
          <w:footerReference r:id="rId18" w:type="default"/>
          <w:pgSz w:w="11906" w:h="16840"/>
          <w:pgMar w:top="1474" w:right="1417" w:bottom="1247" w:left="1417" w:header="849" w:footer="1186" w:gutter="0"/>
          <w:cols w:space="720" w:num="1"/>
        </w:sectPr>
      </w:pPr>
    </w:p>
    <w:p>
      <w:pPr>
        <w:pStyle w:val="3"/>
        <w:jc w:val="center"/>
        <w:rPr>
          <w:sz w:val="24"/>
          <w:szCs w:val="24"/>
        </w:rPr>
      </w:pPr>
      <w:bookmarkStart w:id="186" w:name="_Toc30785"/>
      <w:r>
        <w:rPr>
          <w:rFonts w:hint="eastAsia"/>
          <w:sz w:val="24"/>
          <w:szCs w:val="24"/>
        </w:rPr>
        <w:t>5</w:t>
      </w:r>
      <w:r>
        <w:rPr>
          <w:sz w:val="24"/>
          <w:szCs w:val="24"/>
        </w:rPr>
        <w:t>、资格审查资料</w:t>
      </w:r>
      <w:bookmarkEnd w:id="186"/>
    </w:p>
    <w:p>
      <w:pPr>
        <w:jc w:val="center"/>
        <w:rPr>
          <w:b/>
          <w:bCs/>
          <w:sz w:val="24"/>
          <w:szCs w:val="24"/>
        </w:rPr>
      </w:pPr>
      <w:r>
        <w:rPr>
          <w:b/>
          <w:bCs/>
          <w:sz w:val="24"/>
          <w:szCs w:val="24"/>
        </w:rPr>
        <w:t>（一）投标人基本情况表</w:t>
      </w:r>
    </w:p>
    <w:p>
      <w:pPr>
        <w:jc w:val="center"/>
        <w:rPr>
          <w:sz w:val="24"/>
          <w:szCs w:val="24"/>
        </w:rPr>
      </w:pPr>
    </w:p>
    <w:tbl>
      <w:tblPr>
        <w:tblStyle w:val="39"/>
        <w:tblW w:w="893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34"/>
        <w:gridCol w:w="895"/>
        <w:gridCol w:w="948"/>
        <w:gridCol w:w="1257"/>
        <w:gridCol w:w="311"/>
        <w:gridCol w:w="1075"/>
        <w:gridCol w:w="490"/>
        <w:gridCol w:w="860"/>
        <w:gridCol w:w="136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1734" w:type="dxa"/>
            <w:vAlign w:val="center"/>
          </w:tcPr>
          <w:p>
            <w:pPr>
              <w:pStyle w:val="38"/>
              <w:jc w:val="center"/>
              <w:rPr>
                <w:sz w:val="24"/>
                <w:szCs w:val="24"/>
              </w:rPr>
            </w:pPr>
            <w:r>
              <w:rPr>
                <w:sz w:val="24"/>
                <w:szCs w:val="24"/>
              </w:rPr>
              <w:t>投标人名称</w:t>
            </w:r>
          </w:p>
        </w:tc>
        <w:tc>
          <w:tcPr>
            <w:tcW w:w="7196" w:type="dxa"/>
            <w:gridSpan w:val="8"/>
          </w:tcPr>
          <w:p>
            <w:pPr>
              <w:pStyle w:val="38"/>
              <w:rPr>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1734" w:type="dxa"/>
            <w:vAlign w:val="center"/>
          </w:tcPr>
          <w:p>
            <w:pPr>
              <w:pStyle w:val="38"/>
              <w:jc w:val="center"/>
              <w:rPr>
                <w:sz w:val="24"/>
                <w:szCs w:val="24"/>
              </w:rPr>
            </w:pPr>
            <w:r>
              <w:rPr>
                <w:sz w:val="24"/>
                <w:szCs w:val="24"/>
              </w:rPr>
              <w:t>注册地址</w:t>
            </w:r>
          </w:p>
        </w:tc>
        <w:tc>
          <w:tcPr>
            <w:tcW w:w="3411" w:type="dxa"/>
            <w:gridSpan w:val="4"/>
          </w:tcPr>
          <w:p>
            <w:pPr>
              <w:pStyle w:val="38"/>
              <w:rPr>
                <w:sz w:val="24"/>
                <w:szCs w:val="24"/>
              </w:rPr>
            </w:pPr>
          </w:p>
        </w:tc>
        <w:tc>
          <w:tcPr>
            <w:tcW w:w="1075" w:type="dxa"/>
            <w:vAlign w:val="center"/>
          </w:tcPr>
          <w:p>
            <w:pPr>
              <w:pStyle w:val="38"/>
              <w:jc w:val="center"/>
              <w:rPr>
                <w:sz w:val="24"/>
                <w:szCs w:val="24"/>
              </w:rPr>
            </w:pPr>
            <w:r>
              <w:rPr>
                <w:sz w:val="24"/>
                <w:szCs w:val="24"/>
              </w:rPr>
              <w:t>邮政编码</w:t>
            </w:r>
          </w:p>
        </w:tc>
        <w:tc>
          <w:tcPr>
            <w:tcW w:w="2710" w:type="dxa"/>
            <w:gridSpan w:val="3"/>
          </w:tcPr>
          <w:p>
            <w:pPr>
              <w:pStyle w:val="38"/>
              <w:rPr>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1734" w:type="dxa"/>
            <w:vMerge w:val="restart"/>
            <w:tcBorders>
              <w:bottom w:val="nil"/>
            </w:tcBorders>
            <w:vAlign w:val="center"/>
          </w:tcPr>
          <w:p>
            <w:pPr>
              <w:pStyle w:val="38"/>
              <w:jc w:val="center"/>
              <w:rPr>
                <w:sz w:val="24"/>
                <w:szCs w:val="24"/>
              </w:rPr>
            </w:pPr>
          </w:p>
          <w:p>
            <w:pPr>
              <w:pStyle w:val="38"/>
              <w:jc w:val="center"/>
              <w:rPr>
                <w:sz w:val="24"/>
                <w:szCs w:val="24"/>
              </w:rPr>
            </w:pPr>
          </w:p>
          <w:p>
            <w:pPr>
              <w:pStyle w:val="38"/>
              <w:jc w:val="center"/>
              <w:rPr>
                <w:sz w:val="24"/>
                <w:szCs w:val="24"/>
              </w:rPr>
            </w:pPr>
            <w:r>
              <w:rPr>
                <w:sz w:val="24"/>
                <w:szCs w:val="24"/>
              </w:rPr>
              <w:t>联系方式</w:t>
            </w:r>
          </w:p>
        </w:tc>
        <w:tc>
          <w:tcPr>
            <w:tcW w:w="895" w:type="dxa"/>
            <w:vAlign w:val="center"/>
          </w:tcPr>
          <w:p>
            <w:pPr>
              <w:pStyle w:val="38"/>
              <w:jc w:val="center"/>
              <w:rPr>
                <w:sz w:val="24"/>
                <w:szCs w:val="24"/>
              </w:rPr>
            </w:pPr>
            <w:r>
              <w:rPr>
                <w:sz w:val="24"/>
                <w:szCs w:val="24"/>
              </w:rPr>
              <w:t>联系人</w:t>
            </w:r>
          </w:p>
        </w:tc>
        <w:tc>
          <w:tcPr>
            <w:tcW w:w="2516" w:type="dxa"/>
            <w:gridSpan w:val="3"/>
          </w:tcPr>
          <w:p>
            <w:pPr>
              <w:pStyle w:val="38"/>
              <w:rPr>
                <w:sz w:val="24"/>
                <w:szCs w:val="24"/>
              </w:rPr>
            </w:pPr>
          </w:p>
        </w:tc>
        <w:tc>
          <w:tcPr>
            <w:tcW w:w="1075" w:type="dxa"/>
            <w:vAlign w:val="center"/>
          </w:tcPr>
          <w:p>
            <w:pPr>
              <w:pStyle w:val="38"/>
              <w:jc w:val="center"/>
              <w:rPr>
                <w:sz w:val="24"/>
                <w:szCs w:val="24"/>
              </w:rPr>
            </w:pPr>
            <w:r>
              <w:rPr>
                <w:sz w:val="24"/>
                <w:szCs w:val="24"/>
              </w:rPr>
              <w:t>电话</w:t>
            </w:r>
          </w:p>
        </w:tc>
        <w:tc>
          <w:tcPr>
            <w:tcW w:w="2710" w:type="dxa"/>
            <w:gridSpan w:val="3"/>
          </w:tcPr>
          <w:p>
            <w:pPr>
              <w:pStyle w:val="38"/>
              <w:rPr>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trPr>
        <w:tc>
          <w:tcPr>
            <w:tcW w:w="1734" w:type="dxa"/>
            <w:vMerge w:val="continue"/>
            <w:tcBorders>
              <w:top w:val="nil"/>
            </w:tcBorders>
            <w:vAlign w:val="center"/>
          </w:tcPr>
          <w:p>
            <w:pPr>
              <w:pStyle w:val="38"/>
              <w:jc w:val="center"/>
              <w:rPr>
                <w:sz w:val="24"/>
                <w:szCs w:val="24"/>
              </w:rPr>
            </w:pPr>
          </w:p>
        </w:tc>
        <w:tc>
          <w:tcPr>
            <w:tcW w:w="895" w:type="dxa"/>
            <w:vAlign w:val="center"/>
          </w:tcPr>
          <w:p>
            <w:pPr>
              <w:pStyle w:val="38"/>
              <w:jc w:val="center"/>
              <w:rPr>
                <w:sz w:val="24"/>
                <w:szCs w:val="24"/>
              </w:rPr>
            </w:pPr>
            <w:r>
              <w:rPr>
                <w:sz w:val="24"/>
                <w:szCs w:val="24"/>
              </w:rPr>
              <w:t>传真</w:t>
            </w:r>
          </w:p>
        </w:tc>
        <w:tc>
          <w:tcPr>
            <w:tcW w:w="2516" w:type="dxa"/>
            <w:gridSpan w:val="3"/>
          </w:tcPr>
          <w:p>
            <w:pPr>
              <w:pStyle w:val="38"/>
              <w:rPr>
                <w:sz w:val="24"/>
                <w:szCs w:val="24"/>
              </w:rPr>
            </w:pPr>
          </w:p>
        </w:tc>
        <w:tc>
          <w:tcPr>
            <w:tcW w:w="1075" w:type="dxa"/>
            <w:vAlign w:val="center"/>
          </w:tcPr>
          <w:p>
            <w:pPr>
              <w:pStyle w:val="38"/>
              <w:jc w:val="center"/>
              <w:rPr>
                <w:sz w:val="24"/>
                <w:szCs w:val="24"/>
              </w:rPr>
            </w:pPr>
            <w:r>
              <w:rPr>
                <w:sz w:val="24"/>
                <w:szCs w:val="24"/>
              </w:rPr>
              <w:t>网址</w:t>
            </w:r>
          </w:p>
        </w:tc>
        <w:tc>
          <w:tcPr>
            <w:tcW w:w="2710" w:type="dxa"/>
            <w:gridSpan w:val="3"/>
          </w:tcPr>
          <w:p>
            <w:pPr>
              <w:pStyle w:val="38"/>
              <w:rPr>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1734" w:type="dxa"/>
            <w:vAlign w:val="center"/>
          </w:tcPr>
          <w:p>
            <w:pPr>
              <w:pStyle w:val="38"/>
              <w:jc w:val="center"/>
              <w:rPr>
                <w:sz w:val="24"/>
                <w:szCs w:val="24"/>
              </w:rPr>
            </w:pPr>
            <w:r>
              <w:rPr>
                <w:sz w:val="24"/>
                <w:szCs w:val="24"/>
              </w:rPr>
              <w:t>企业性质</w:t>
            </w:r>
          </w:p>
        </w:tc>
        <w:tc>
          <w:tcPr>
            <w:tcW w:w="7196" w:type="dxa"/>
            <w:gridSpan w:val="8"/>
          </w:tcPr>
          <w:p>
            <w:pPr>
              <w:pStyle w:val="38"/>
              <w:rPr>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1734" w:type="dxa"/>
            <w:vAlign w:val="center"/>
          </w:tcPr>
          <w:p>
            <w:pPr>
              <w:pStyle w:val="38"/>
              <w:jc w:val="center"/>
              <w:rPr>
                <w:sz w:val="24"/>
                <w:szCs w:val="24"/>
              </w:rPr>
            </w:pPr>
            <w:r>
              <w:rPr>
                <w:sz w:val="24"/>
                <w:szCs w:val="24"/>
              </w:rPr>
              <w:t>法定代表人</w:t>
            </w:r>
          </w:p>
        </w:tc>
        <w:tc>
          <w:tcPr>
            <w:tcW w:w="895" w:type="dxa"/>
            <w:vAlign w:val="center"/>
          </w:tcPr>
          <w:p>
            <w:pPr>
              <w:pStyle w:val="38"/>
              <w:jc w:val="center"/>
              <w:rPr>
                <w:sz w:val="24"/>
                <w:szCs w:val="24"/>
              </w:rPr>
            </w:pPr>
            <w:r>
              <w:rPr>
                <w:sz w:val="24"/>
                <w:szCs w:val="24"/>
              </w:rPr>
              <w:t>姓名</w:t>
            </w:r>
          </w:p>
        </w:tc>
        <w:tc>
          <w:tcPr>
            <w:tcW w:w="948" w:type="dxa"/>
          </w:tcPr>
          <w:p>
            <w:pPr>
              <w:pStyle w:val="38"/>
              <w:rPr>
                <w:sz w:val="24"/>
                <w:szCs w:val="24"/>
              </w:rPr>
            </w:pPr>
          </w:p>
        </w:tc>
        <w:tc>
          <w:tcPr>
            <w:tcW w:w="1257" w:type="dxa"/>
            <w:vAlign w:val="center"/>
          </w:tcPr>
          <w:p>
            <w:pPr>
              <w:pStyle w:val="38"/>
              <w:jc w:val="center"/>
              <w:rPr>
                <w:sz w:val="24"/>
                <w:szCs w:val="24"/>
              </w:rPr>
            </w:pPr>
            <w:r>
              <w:rPr>
                <w:sz w:val="24"/>
                <w:szCs w:val="24"/>
              </w:rPr>
              <w:t>技术职称</w:t>
            </w:r>
          </w:p>
        </w:tc>
        <w:tc>
          <w:tcPr>
            <w:tcW w:w="1876" w:type="dxa"/>
            <w:gridSpan w:val="3"/>
            <w:vAlign w:val="center"/>
          </w:tcPr>
          <w:p>
            <w:pPr>
              <w:pStyle w:val="38"/>
              <w:jc w:val="center"/>
              <w:rPr>
                <w:sz w:val="24"/>
                <w:szCs w:val="24"/>
              </w:rPr>
            </w:pPr>
          </w:p>
        </w:tc>
        <w:tc>
          <w:tcPr>
            <w:tcW w:w="860" w:type="dxa"/>
            <w:vAlign w:val="center"/>
          </w:tcPr>
          <w:p>
            <w:pPr>
              <w:pStyle w:val="38"/>
              <w:jc w:val="center"/>
              <w:rPr>
                <w:sz w:val="24"/>
                <w:szCs w:val="24"/>
              </w:rPr>
            </w:pPr>
            <w:r>
              <w:rPr>
                <w:sz w:val="24"/>
                <w:szCs w:val="24"/>
              </w:rPr>
              <w:t>电话</w:t>
            </w:r>
          </w:p>
        </w:tc>
        <w:tc>
          <w:tcPr>
            <w:tcW w:w="1360" w:type="dxa"/>
          </w:tcPr>
          <w:p>
            <w:pPr>
              <w:pStyle w:val="38"/>
              <w:rPr>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1734" w:type="dxa"/>
            <w:vAlign w:val="center"/>
          </w:tcPr>
          <w:p>
            <w:pPr>
              <w:pStyle w:val="38"/>
              <w:jc w:val="center"/>
              <w:rPr>
                <w:sz w:val="24"/>
                <w:szCs w:val="24"/>
              </w:rPr>
            </w:pPr>
            <w:r>
              <w:rPr>
                <w:sz w:val="24"/>
                <w:szCs w:val="24"/>
              </w:rPr>
              <w:t>成立时间</w:t>
            </w:r>
          </w:p>
        </w:tc>
        <w:tc>
          <w:tcPr>
            <w:tcW w:w="1843" w:type="dxa"/>
            <w:gridSpan w:val="2"/>
          </w:tcPr>
          <w:p>
            <w:pPr>
              <w:pStyle w:val="38"/>
              <w:jc w:val="center"/>
              <w:rPr>
                <w:sz w:val="24"/>
                <w:szCs w:val="24"/>
              </w:rPr>
            </w:pPr>
          </w:p>
        </w:tc>
        <w:tc>
          <w:tcPr>
            <w:tcW w:w="5353" w:type="dxa"/>
            <w:gridSpan w:val="6"/>
          </w:tcPr>
          <w:p>
            <w:pPr>
              <w:pStyle w:val="38"/>
              <w:rPr>
                <w:sz w:val="24"/>
                <w:szCs w:val="24"/>
              </w:rPr>
            </w:pPr>
            <w:r>
              <w:rPr>
                <w:sz w:val="24"/>
                <w:szCs w:val="24"/>
              </w:rPr>
              <w:t>员工总人数：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trPr>
        <w:tc>
          <w:tcPr>
            <w:tcW w:w="1734" w:type="dxa"/>
            <w:vAlign w:val="center"/>
          </w:tcPr>
          <w:p>
            <w:pPr>
              <w:pStyle w:val="38"/>
              <w:jc w:val="center"/>
              <w:rPr>
                <w:sz w:val="24"/>
                <w:szCs w:val="24"/>
              </w:rPr>
            </w:pPr>
            <w:r>
              <w:rPr>
                <w:sz w:val="24"/>
                <w:szCs w:val="24"/>
              </w:rPr>
              <w:t>营业执照号</w:t>
            </w:r>
          </w:p>
        </w:tc>
        <w:tc>
          <w:tcPr>
            <w:tcW w:w="7196" w:type="dxa"/>
            <w:gridSpan w:val="8"/>
          </w:tcPr>
          <w:p>
            <w:pPr>
              <w:pStyle w:val="38"/>
              <w:rPr>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1734" w:type="dxa"/>
            <w:vAlign w:val="center"/>
          </w:tcPr>
          <w:p>
            <w:pPr>
              <w:pStyle w:val="38"/>
              <w:jc w:val="center"/>
              <w:rPr>
                <w:sz w:val="24"/>
                <w:szCs w:val="24"/>
              </w:rPr>
            </w:pPr>
            <w:r>
              <w:rPr>
                <w:sz w:val="24"/>
                <w:szCs w:val="24"/>
              </w:rPr>
              <w:t>注册资金</w:t>
            </w:r>
          </w:p>
        </w:tc>
        <w:tc>
          <w:tcPr>
            <w:tcW w:w="7196" w:type="dxa"/>
            <w:gridSpan w:val="8"/>
          </w:tcPr>
          <w:p>
            <w:pPr>
              <w:pStyle w:val="38"/>
              <w:rPr>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734" w:type="dxa"/>
            <w:vAlign w:val="center"/>
          </w:tcPr>
          <w:p>
            <w:pPr>
              <w:pStyle w:val="38"/>
              <w:jc w:val="center"/>
              <w:rPr>
                <w:sz w:val="24"/>
                <w:szCs w:val="24"/>
              </w:rPr>
            </w:pPr>
            <w:r>
              <w:rPr>
                <w:sz w:val="24"/>
                <w:szCs w:val="24"/>
              </w:rPr>
              <w:t>开户银行</w:t>
            </w:r>
          </w:p>
        </w:tc>
        <w:tc>
          <w:tcPr>
            <w:tcW w:w="7196" w:type="dxa"/>
            <w:gridSpan w:val="8"/>
          </w:tcPr>
          <w:p>
            <w:pPr>
              <w:pStyle w:val="38"/>
              <w:rPr>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trPr>
        <w:tc>
          <w:tcPr>
            <w:tcW w:w="1734" w:type="dxa"/>
            <w:vAlign w:val="center"/>
          </w:tcPr>
          <w:p>
            <w:pPr>
              <w:pStyle w:val="38"/>
              <w:jc w:val="center"/>
              <w:rPr>
                <w:sz w:val="24"/>
                <w:szCs w:val="24"/>
              </w:rPr>
            </w:pPr>
            <w:r>
              <w:rPr>
                <w:sz w:val="24"/>
                <w:szCs w:val="24"/>
              </w:rPr>
              <w:t>账号</w:t>
            </w:r>
          </w:p>
        </w:tc>
        <w:tc>
          <w:tcPr>
            <w:tcW w:w="7196" w:type="dxa"/>
            <w:gridSpan w:val="8"/>
          </w:tcPr>
          <w:p>
            <w:pPr>
              <w:pStyle w:val="38"/>
              <w:rPr>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2" w:hRule="atLeast"/>
        </w:trPr>
        <w:tc>
          <w:tcPr>
            <w:tcW w:w="1734" w:type="dxa"/>
            <w:vAlign w:val="center"/>
          </w:tcPr>
          <w:p>
            <w:pPr>
              <w:pStyle w:val="38"/>
              <w:jc w:val="center"/>
              <w:rPr>
                <w:sz w:val="24"/>
                <w:szCs w:val="24"/>
              </w:rPr>
            </w:pPr>
            <w:r>
              <w:rPr>
                <w:sz w:val="24"/>
                <w:szCs w:val="24"/>
              </w:rPr>
              <w:t>经营范围</w:t>
            </w:r>
          </w:p>
        </w:tc>
        <w:tc>
          <w:tcPr>
            <w:tcW w:w="7196" w:type="dxa"/>
            <w:gridSpan w:val="8"/>
          </w:tcPr>
          <w:p>
            <w:pPr>
              <w:pStyle w:val="38"/>
              <w:rPr>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1734" w:type="dxa"/>
          </w:tcPr>
          <w:p>
            <w:pPr>
              <w:pStyle w:val="38"/>
              <w:jc w:val="center"/>
              <w:rPr>
                <w:sz w:val="24"/>
                <w:szCs w:val="24"/>
              </w:rPr>
            </w:pPr>
            <w:r>
              <w:rPr>
                <w:sz w:val="24"/>
                <w:szCs w:val="24"/>
              </w:rPr>
              <w:t>备注</w:t>
            </w:r>
          </w:p>
        </w:tc>
        <w:tc>
          <w:tcPr>
            <w:tcW w:w="7196" w:type="dxa"/>
            <w:gridSpan w:val="8"/>
          </w:tcPr>
          <w:p>
            <w:pPr>
              <w:pStyle w:val="38"/>
              <w:rPr>
                <w:sz w:val="24"/>
                <w:szCs w:val="24"/>
              </w:rPr>
            </w:pPr>
          </w:p>
        </w:tc>
      </w:tr>
    </w:tbl>
    <w:p>
      <w:pPr>
        <w:pStyle w:val="7"/>
      </w:pPr>
    </w:p>
    <w:p>
      <w:pPr>
        <w:rPr>
          <w:sz w:val="24"/>
          <w:szCs w:val="24"/>
        </w:rPr>
        <w:sectPr>
          <w:headerReference r:id="rId19" w:type="default"/>
          <w:footerReference r:id="rId20" w:type="default"/>
          <w:pgSz w:w="11906" w:h="16840"/>
          <w:pgMar w:top="1474" w:right="1417" w:bottom="1247" w:left="1417" w:header="849" w:footer="1186" w:gutter="0"/>
          <w:cols w:space="720" w:num="1"/>
        </w:sectPr>
      </w:pPr>
    </w:p>
    <w:p>
      <w:pPr>
        <w:jc w:val="center"/>
        <w:rPr>
          <w:b/>
          <w:bCs/>
          <w:sz w:val="24"/>
          <w:szCs w:val="24"/>
        </w:rPr>
      </w:pPr>
      <w:r>
        <w:rPr>
          <w:b/>
          <w:bCs/>
          <w:sz w:val="24"/>
          <w:szCs w:val="24"/>
        </w:rPr>
        <w:t>（二）投标人资格证明材料</w:t>
      </w:r>
    </w:p>
    <w:p>
      <w:pPr>
        <w:pStyle w:val="7"/>
      </w:pPr>
    </w:p>
    <w:p>
      <w:pPr>
        <w:rPr>
          <w:sz w:val="24"/>
          <w:szCs w:val="24"/>
        </w:rPr>
        <w:sectPr>
          <w:headerReference r:id="rId21" w:type="default"/>
          <w:footerReference r:id="rId22" w:type="default"/>
          <w:pgSz w:w="11906" w:h="16840"/>
          <w:pgMar w:top="1474" w:right="1417" w:bottom="1247" w:left="1417" w:header="849" w:footer="1186" w:gutter="0"/>
          <w:cols w:space="720" w:num="1"/>
        </w:sectPr>
      </w:pPr>
      <w:r>
        <w:rPr>
          <w:rFonts w:hint="eastAsia"/>
          <w:sz w:val="24"/>
          <w:szCs w:val="24"/>
        </w:rPr>
        <w:t>注：后附</w:t>
      </w:r>
    </w:p>
    <w:p>
      <w:pPr>
        <w:numPr>
          <w:ilvl w:val="0"/>
          <w:numId w:val="3"/>
        </w:numPr>
        <w:jc w:val="center"/>
        <w:rPr>
          <w:b/>
          <w:bCs/>
          <w:sz w:val="24"/>
          <w:szCs w:val="24"/>
        </w:rPr>
      </w:pPr>
      <w:bookmarkStart w:id="187" w:name="bookmark59"/>
      <w:bookmarkEnd w:id="187"/>
      <w:r>
        <w:rPr>
          <w:b/>
          <w:bCs/>
          <w:sz w:val="24"/>
          <w:szCs w:val="24"/>
        </w:rPr>
        <w:t>供应商自202</w:t>
      </w:r>
      <w:r>
        <w:rPr>
          <w:rFonts w:hint="eastAsia"/>
          <w:b/>
          <w:bCs/>
          <w:sz w:val="24"/>
          <w:szCs w:val="24"/>
        </w:rPr>
        <w:t>3</w:t>
      </w:r>
      <w:r>
        <w:rPr>
          <w:b/>
          <w:bCs/>
          <w:sz w:val="24"/>
          <w:szCs w:val="24"/>
        </w:rPr>
        <w:t>年1月1日以来的类似项目业绩</w:t>
      </w:r>
    </w:p>
    <w:p>
      <w:pPr>
        <w:rPr>
          <w:sz w:val="24"/>
          <w:szCs w:val="24"/>
        </w:rPr>
      </w:pPr>
      <w:r>
        <w:rPr>
          <w:sz w:val="24"/>
          <w:szCs w:val="24"/>
        </w:rPr>
        <w:t>格式自拟</w:t>
      </w:r>
    </w:p>
    <w:p>
      <w:pPr>
        <w:rPr>
          <w:sz w:val="24"/>
          <w:szCs w:val="24"/>
        </w:rPr>
        <w:sectPr>
          <w:footerReference r:id="rId23" w:type="default"/>
          <w:pgSz w:w="11906" w:h="16840"/>
          <w:pgMar w:top="1166" w:right="1785" w:bottom="1350" w:left="1785" w:header="849" w:footer="1186" w:gutter="0"/>
          <w:cols w:space="720" w:num="1"/>
        </w:sectPr>
      </w:pPr>
    </w:p>
    <w:p>
      <w:pPr>
        <w:pStyle w:val="3"/>
        <w:jc w:val="center"/>
        <w:rPr>
          <w:sz w:val="24"/>
          <w:szCs w:val="24"/>
        </w:rPr>
      </w:pPr>
      <w:bookmarkStart w:id="188" w:name="bookmark60"/>
      <w:bookmarkEnd w:id="188"/>
      <w:bookmarkStart w:id="189" w:name="_Toc10104"/>
      <w:r>
        <w:rPr>
          <w:rFonts w:hint="eastAsia"/>
          <w:sz w:val="24"/>
          <w:szCs w:val="24"/>
        </w:rPr>
        <w:t>6</w:t>
      </w:r>
      <w:r>
        <w:rPr>
          <w:sz w:val="24"/>
          <w:szCs w:val="24"/>
        </w:rPr>
        <w:t>、项目实施方案</w:t>
      </w:r>
      <w:bookmarkEnd w:id="189"/>
    </w:p>
    <w:p>
      <w:pPr>
        <w:rPr>
          <w:sz w:val="24"/>
          <w:szCs w:val="24"/>
        </w:rPr>
      </w:pPr>
      <w:r>
        <w:rPr>
          <w:sz w:val="24"/>
          <w:szCs w:val="24"/>
        </w:rPr>
        <w:t>格式自拟</w:t>
      </w:r>
    </w:p>
    <w:p>
      <w:pPr>
        <w:rPr>
          <w:sz w:val="24"/>
          <w:szCs w:val="24"/>
        </w:rPr>
        <w:sectPr>
          <w:footerReference r:id="rId24" w:type="default"/>
          <w:pgSz w:w="11906" w:h="16840"/>
          <w:pgMar w:top="1166" w:right="1785" w:bottom="1351" w:left="1785" w:header="849" w:footer="1186" w:gutter="0"/>
          <w:cols w:space="720" w:num="1"/>
        </w:sectPr>
      </w:pPr>
    </w:p>
    <w:p>
      <w:pPr>
        <w:pStyle w:val="3"/>
        <w:numPr>
          <w:ilvl w:val="0"/>
          <w:numId w:val="4"/>
        </w:numPr>
        <w:jc w:val="center"/>
        <w:rPr>
          <w:sz w:val="24"/>
          <w:szCs w:val="24"/>
        </w:rPr>
      </w:pPr>
      <w:bookmarkStart w:id="190" w:name="OLE_LINK1"/>
      <w:bookmarkStart w:id="191" w:name="OLE_LINK2"/>
      <w:bookmarkStart w:id="192" w:name="_Toc31853"/>
      <w:r>
        <w:rPr>
          <w:rFonts w:hint="eastAsia"/>
          <w:sz w:val="24"/>
          <w:szCs w:val="24"/>
        </w:rPr>
        <w:t>售后服务方案</w:t>
      </w:r>
      <w:bookmarkEnd w:id="190"/>
    </w:p>
    <w:bookmarkEnd w:id="191"/>
    <w:p>
      <w:pPr>
        <w:rPr>
          <w:sz w:val="24"/>
          <w:szCs w:val="24"/>
        </w:rPr>
      </w:pPr>
      <w:r>
        <w:rPr>
          <w:rFonts w:hint="eastAsia"/>
          <w:sz w:val="24"/>
          <w:szCs w:val="24"/>
        </w:rPr>
        <w:t>格式自拟</w:t>
      </w:r>
    </w:p>
    <w:p>
      <w:pPr>
        <w:rPr>
          <w:sz w:val="24"/>
          <w:szCs w:val="24"/>
        </w:rPr>
      </w:pPr>
      <w:r>
        <w:rPr>
          <w:rFonts w:hint="eastAsia"/>
          <w:sz w:val="24"/>
          <w:szCs w:val="24"/>
        </w:rPr>
        <w:br w:type="page"/>
      </w:r>
    </w:p>
    <w:p>
      <w:pPr>
        <w:pStyle w:val="3"/>
        <w:jc w:val="center"/>
        <w:rPr>
          <w:sz w:val="24"/>
          <w:szCs w:val="24"/>
        </w:rPr>
      </w:pPr>
      <w:r>
        <w:rPr>
          <w:rFonts w:hint="eastAsia"/>
          <w:sz w:val="24"/>
          <w:szCs w:val="24"/>
        </w:rPr>
        <w:t>8</w:t>
      </w:r>
      <w:r>
        <w:rPr>
          <w:sz w:val="24"/>
          <w:szCs w:val="24"/>
        </w:rPr>
        <w:t>、其它材料</w:t>
      </w:r>
      <w:bookmarkEnd w:id="192"/>
    </w:p>
    <w:p>
      <w:pPr>
        <w:rPr>
          <w:sz w:val="24"/>
          <w:szCs w:val="24"/>
        </w:rPr>
      </w:pPr>
      <w:r>
        <w:rPr>
          <w:sz w:val="24"/>
          <w:szCs w:val="24"/>
        </w:rPr>
        <w:t>投标人认为有必要提供的其它材料</w:t>
      </w: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rPr>
          <w:sz w:val="24"/>
          <w:szCs w:val="24"/>
        </w:rPr>
      </w:pPr>
      <w:r>
        <w:rPr>
          <w:sz w:val="24"/>
          <w:szCs w:val="24"/>
        </w:rPr>
        <w:br w:type="page"/>
      </w:r>
    </w:p>
    <w:p>
      <w:pPr>
        <w:spacing w:line="480" w:lineRule="auto"/>
        <w:rPr>
          <w:rFonts w:ascii="宋体" w:hAnsi="宋体" w:cs="宋体"/>
          <w:b/>
          <w:bCs/>
          <w:kern w:val="0"/>
          <w:sz w:val="28"/>
          <w:szCs w:val="28"/>
        </w:rPr>
      </w:pPr>
      <w:r>
        <w:rPr>
          <w:rFonts w:hint="eastAsia" w:ascii="宋体" w:hAnsi="宋体" w:cs="宋体"/>
          <w:b/>
          <w:bCs/>
          <w:kern w:val="0"/>
          <w:sz w:val="28"/>
          <w:szCs w:val="28"/>
        </w:rPr>
        <w:t>附件1：</w:t>
      </w:r>
    </w:p>
    <w:p>
      <w:pPr>
        <w:spacing w:line="480" w:lineRule="auto"/>
        <w:jc w:val="center"/>
        <w:rPr>
          <w:rFonts w:ascii="宋体" w:hAnsi="宋体" w:cs="宋体"/>
          <w:kern w:val="0"/>
          <w:sz w:val="28"/>
          <w:szCs w:val="28"/>
        </w:rPr>
      </w:pPr>
      <w:r>
        <w:rPr>
          <w:rFonts w:hint="eastAsia" w:ascii="宋体" w:hAnsi="宋体" w:cs="宋体"/>
          <w:kern w:val="0"/>
          <w:sz w:val="28"/>
          <w:szCs w:val="28"/>
        </w:rPr>
        <w:t>中小企业声明函</w:t>
      </w:r>
    </w:p>
    <w:p>
      <w:pPr>
        <w:snapToGrid w:val="0"/>
        <w:spacing w:line="360" w:lineRule="auto"/>
        <w:ind w:right="482"/>
        <w:jc w:val="left"/>
        <w:rPr>
          <w:rFonts w:ascii="宋体" w:hAnsi="宋体" w:cs="宋体"/>
          <w:sz w:val="24"/>
          <w:szCs w:val="20"/>
        </w:rPr>
      </w:pPr>
    </w:p>
    <w:p>
      <w:pPr>
        <w:spacing w:line="500" w:lineRule="exact"/>
        <w:ind w:firstLine="480" w:firstLineChars="200"/>
        <w:rPr>
          <w:rFonts w:ascii="宋体" w:hAnsi="宋体" w:cs="宋体"/>
          <w:sz w:val="24"/>
        </w:rPr>
      </w:pPr>
      <w:r>
        <w:rPr>
          <w:rFonts w:hint="eastAsia" w:ascii="宋体" w:hAnsi="宋体" w:cs="宋体"/>
          <w:sz w:val="24"/>
        </w:rPr>
        <w:t>本公司（联合体）郑重声明，参考《政府采购促进中小企业发展管理办法》（财库﹝2020﹞46号）的规定，本公司（联合体）参加</w:t>
      </w:r>
      <w:r>
        <w:rPr>
          <w:rFonts w:hint="eastAsia" w:ascii="宋体" w:hAnsi="宋体" w:cs="宋体"/>
          <w:sz w:val="24"/>
          <w:u w:val="single"/>
        </w:rPr>
        <w:t>（单位名称）</w:t>
      </w:r>
      <w:r>
        <w:rPr>
          <w:rFonts w:hint="eastAsia" w:ascii="宋体" w:hAnsi="宋体" w:cs="宋体"/>
          <w:sz w:val="24"/>
        </w:rPr>
        <w:t>的</w:t>
      </w:r>
      <w:r>
        <w:rPr>
          <w:rFonts w:hint="eastAsia" w:ascii="宋体" w:hAnsi="宋体" w:cs="宋体"/>
          <w:sz w:val="24"/>
          <w:u w:val="single"/>
        </w:rPr>
        <w:t>（项目名称）</w:t>
      </w:r>
      <w:r>
        <w:rPr>
          <w:rFonts w:hint="eastAsia" w:ascii="宋体" w:hAnsi="宋体" w:cs="宋体"/>
          <w:sz w:val="24"/>
        </w:rPr>
        <w:t>采购活动，工程的施工单位全部为符合政策要求的中小企业。相关企业（含联合体中的中小企业、签订分包意向协议的中小企业）的具体情况如下：</w:t>
      </w:r>
    </w:p>
    <w:p>
      <w:pPr>
        <w:spacing w:line="500" w:lineRule="exact"/>
        <w:ind w:firstLine="480" w:firstLineChars="200"/>
        <w:rPr>
          <w:rFonts w:ascii="宋体" w:hAnsi="宋体" w:cs="宋体"/>
          <w:sz w:val="24"/>
        </w:rPr>
      </w:pPr>
      <w:r>
        <w:rPr>
          <w:rFonts w:hint="eastAsia" w:ascii="宋体" w:hAnsi="宋体" w:cs="宋体"/>
          <w:sz w:val="24"/>
          <w:u w:val="single"/>
        </w:rPr>
        <w:t>（标的名称）</w:t>
      </w:r>
      <w:r>
        <w:rPr>
          <w:rFonts w:hint="eastAsia" w:ascii="宋体" w:hAnsi="宋体" w:cs="宋体"/>
          <w:sz w:val="24"/>
        </w:rPr>
        <w:t>，属于</w:t>
      </w:r>
      <w:r>
        <w:rPr>
          <w:rFonts w:hint="eastAsia" w:ascii="宋体" w:hAnsi="宋体" w:cs="宋体"/>
          <w:sz w:val="24"/>
          <w:u w:val="single"/>
        </w:rPr>
        <w:t>（采购文件中明确的所属行业）</w:t>
      </w:r>
      <w:r>
        <w:rPr>
          <w:rFonts w:hint="eastAsia" w:ascii="宋体" w:hAnsi="宋体" w:cs="宋体"/>
          <w:sz w:val="24"/>
        </w:rPr>
        <w:t>；承建（承接）企业为</w:t>
      </w:r>
      <w:r>
        <w:rPr>
          <w:rFonts w:hint="eastAsia" w:ascii="宋体" w:hAnsi="宋体" w:cs="宋体"/>
          <w:sz w:val="24"/>
          <w:u w:val="single"/>
        </w:rPr>
        <w:t>（企业名称）</w:t>
      </w:r>
      <w:r>
        <w:rPr>
          <w:rFonts w:hint="eastAsia" w:ascii="宋体" w:hAnsi="宋体" w:cs="宋体"/>
          <w:sz w:val="24"/>
        </w:rPr>
        <w:t>，从业人员</w:t>
      </w:r>
      <w:r>
        <w:rPr>
          <w:rFonts w:hint="eastAsia" w:ascii="宋体" w:hAnsi="宋体" w:cs="宋体"/>
          <w:sz w:val="24"/>
          <w:u w:val="single"/>
        </w:rPr>
        <w:t xml:space="preserve">      </w:t>
      </w:r>
      <w:r>
        <w:rPr>
          <w:rFonts w:hint="eastAsia" w:ascii="宋体" w:hAnsi="宋体" w:cs="宋体"/>
          <w:sz w:val="24"/>
        </w:rPr>
        <w:t>人，营业收入为</w:t>
      </w:r>
      <w:r>
        <w:rPr>
          <w:rFonts w:hint="eastAsia" w:ascii="宋体" w:hAnsi="宋体" w:cs="宋体"/>
          <w:sz w:val="24"/>
          <w:u w:val="single"/>
        </w:rPr>
        <w:t xml:space="preserve">    </w:t>
      </w:r>
      <w:r>
        <w:rPr>
          <w:rFonts w:hint="eastAsia" w:ascii="宋体" w:hAnsi="宋体" w:cs="宋体"/>
          <w:sz w:val="24"/>
        </w:rPr>
        <w:t>万元，资产总额为</w:t>
      </w:r>
      <w:r>
        <w:rPr>
          <w:rFonts w:hint="eastAsia" w:ascii="宋体" w:hAnsi="宋体" w:cs="宋体"/>
          <w:sz w:val="24"/>
          <w:u w:val="single"/>
        </w:rPr>
        <w:t xml:space="preserve">    </w:t>
      </w:r>
      <w:r>
        <w:rPr>
          <w:rFonts w:hint="eastAsia" w:ascii="宋体" w:hAnsi="宋体" w:cs="宋体"/>
          <w:sz w:val="24"/>
        </w:rPr>
        <w:t>万元</w:t>
      </w:r>
      <w:r>
        <w:rPr>
          <w:rFonts w:hint="eastAsia" w:ascii="宋体" w:hAnsi="宋体" w:cs="宋体"/>
          <w:sz w:val="24"/>
          <w:vertAlign w:val="superscript"/>
        </w:rPr>
        <w:t>1</w:t>
      </w:r>
      <w:r>
        <w:rPr>
          <w:rFonts w:hint="eastAsia" w:ascii="宋体" w:hAnsi="宋体" w:cs="宋体"/>
          <w:sz w:val="24"/>
        </w:rPr>
        <w:t>，属于</w:t>
      </w:r>
      <w:r>
        <w:rPr>
          <w:rFonts w:hint="eastAsia" w:ascii="宋体" w:hAnsi="宋体" w:cs="宋体"/>
          <w:sz w:val="24"/>
          <w:u w:val="single"/>
        </w:rPr>
        <w:t>（中型企业、小型企业、微型企业）</w:t>
      </w:r>
      <w:r>
        <w:rPr>
          <w:rFonts w:hint="eastAsia" w:ascii="宋体" w:hAnsi="宋体" w:cs="宋体"/>
          <w:sz w:val="24"/>
        </w:rPr>
        <w:t xml:space="preserve">； </w:t>
      </w:r>
    </w:p>
    <w:p>
      <w:pPr>
        <w:spacing w:line="500" w:lineRule="exact"/>
        <w:ind w:firstLine="480" w:firstLineChars="200"/>
        <w:rPr>
          <w:rFonts w:ascii="宋体" w:hAnsi="宋体" w:cs="宋体"/>
          <w:sz w:val="24"/>
        </w:rPr>
      </w:pPr>
      <w:r>
        <w:rPr>
          <w:rFonts w:hint="eastAsia" w:ascii="宋体" w:hAnsi="宋体" w:cs="宋体"/>
          <w:sz w:val="24"/>
        </w:rPr>
        <w:t xml:space="preserve">以上企业，不属于大企业的分支机构，不存在控股股东为大企业的情形，也不存在与大企业的负责人为同一人的情 形。 </w:t>
      </w:r>
    </w:p>
    <w:p>
      <w:pPr>
        <w:spacing w:line="500" w:lineRule="exact"/>
        <w:ind w:firstLine="480" w:firstLineChars="200"/>
        <w:rPr>
          <w:rFonts w:ascii="宋体" w:hAnsi="宋体" w:cs="宋体"/>
          <w:sz w:val="24"/>
        </w:rPr>
      </w:pPr>
      <w:r>
        <w:rPr>
          <w:rFonts w:hint="eastAsia" w:ascii="宋体" w:hAnsi="宋体" w:cs="宋体"/>
          <w:sz w:val="24"/>
        </w:rPr>
        <w:t>本企业对上述声明内容的真实性负责。如有虚假，将依 法承担相应责任。</w:t>
      </w:r>
    </w:p>
    <w:p>
      <w:pPr>
        <w:spacing w:line="500" w:lineRule="exact"/>
        <w:ind w:firstLine="6240" w:firstLineChars="2600"/>
        <w:rPr>
          <w:rFonts w:ascii="宋体" w:hAnsi="宋体" w:cs="宋体"/>
          <w:sz w:val="24"/>
        </w:rPr>
      </w:pPr>
      <w:r>
        <w:rPr>
          <w:rFonts w:hint="eastAsia" w:ascii="宋体" w:hAnsi="宋体" w:cs="宋体"/>
          <w:sz w:val="24"/>
        </w:rPr>
        <w:t>企业名称（盖单位公章）：</w:t>
      </w:r>
    </w:p>
    <w:p>
      <w:pPr>
        <w:spacing w:line="500" w:lineRule="exact"/>
        <w:ind w:firstLine="6240" w:firstLineChars="2600"/>
        <w:rPr>
          <w:rFonts w:ascii="宋体" w:hAnsi="宋体" w:cs="宋体"/>
          <w:sz w:val="24"/>
        </w:rPr>
      </w:pPr>
      <w:r>
        <w:rPr>
          <w:rFonts w:hint="eastAsia" w:ascii="宋体" w:hAnsi="宋体" w:cs="宋体"/>
          <w:sz w:val="24"/>
        </w:rPr>
        <w:t>日 期：</w:t>
      </w:r>
    </w:p>
    <w:p>
      <w:pPr>
        <w:spacing w:line="500" w:lineRule="exact"/>
        <w:ind w:firstLine="480" w:firstLineChars="200"/>
        <w:rPr>
          <w:rFonts w:ascii="宋体" w:hAnsi="宋体" w:cs="宋体"/>
          <w:sz w:val="24"/>
        </w:rPr>
      </w:pPr>
    </w:p>
    <w:p>
      <w:pPr>
        <w:spacing w:line="500" w:lineRule="exact"/>
        <w:ind w:firstLine="480" w:firstLineChars="200"/>
        <w:rPr>
          <w:rFonts w:ascii="宋体" w:hAnsi="宋体" w:cs="宋体"/>
          <w:sz w:val="24"/>
        </w:rPr>
      </w:pPr>
      <w:r>
        <w:rPr>
          <w:rFonts w:hint="eastAsia" w:ascii="宋体" w:hAnsi="宋体" w:cs="宋体"/>
          <w:sz w:val="24"/>
        </w:rPr>
        <w:t>注：从业人员、 营业收入、 资产总额填报上一年度数据， 无上一年度数据的新成立企业可不填报。</w:t>
      </w:r>
    </w:p>
    <w:p>
      <w:pPr>
        <w:pStyle w:val="10"/>
        <w:rPr>
          <w:rFonts w:ascii="宋体" w:hAnsi="宋体" w:eastAsia="宋体"/>
        </w:rPr>
      </w:pPr>
    </w:p>
    <w:p>
      <w:pPr>
        <w:spacing w:line="360" w:lineRule="auto"/>
        <w:jc w:val="left"/>
        <w:rPr>
          <w:rFonts w:ascii="宋体" w:hAnsi="宋体" w:cs="宋体"/>
          <w:b/>
          <w:bCs/>
          <w:sz w:val="24"/>
          <w:szCs w:val="20"/>
        </w:rPr>
      </w:pPr>
      <w:r>
        <w:rPr>
          <w:rFonts w:hint="eastAsia" w:ascii="宋体" w:hAnsi="宋体" w:cs="宋体"/>
          <w:b/>
          <w:bCs/>
          <w:sz w:val="24"/>
          <w:szCs w:val="20"/>
        </w:rPr>
        <w:t>注：1、从业人员、营业收入、资产总额填报上一年度数据，无上一年度数据的新成立企业可不填报。</w:t>
      </w:r>
    </w:p>
    <w:p>
      <w:pPr>
        <w:numPr>
          <w:ilvl w:val="0"/>
          <w:numId w:val="5"/>
        </w:numPr>
        <w:spacing w:line="360" w:lineRule="auto"/>
        <w:ind w:firstLine="482" w:firstLineChars="200"/>
        <w:rPr>
          <w:rFonts w:ascii="宋体" w:hAnsi="宋体" w:cs="宋体"/>
          <w:b/>
          <w:bCs/>
          <w:sz w:val="24"/>
          <w:szCs w:val="20"/>
        </w:rPr>
      </w:pPr>
      <w:r>
        <w:rPr>
          <w:rFonts w:hint="eastAsia" w:ascii="宋体" w:hAnsi="宋体" w:cs="宋体"/>
          <w:b/>
          <w:bCs/>
          <w:sz w:val="24"/>
          <w:szCs w:val="20"/>
        </w:rPr>
        <w:t>中小企业划分标准见工业和信息化部国家统计局国家发展和改革委员财政部《关于印发中小企业划型标准规定的通知》（工信部联企业【2011】300号）。</w:t>
      </w:r>
    </w:p>
    <w:p>
      <w:pPr>
        <w:pStyle w:val="22"/>
        <w:ind w:left="0" w:leftChars="0" w:firstLine="0" w:firstLineChars="0"/>
      </w:pPr>
    </w:p>
    <w:p/>
    <w:p>
      <w:pPr>
        <w:pStyle w:val="22"/>
        <w:ind w:firstLine="440"/>
      </w:pPr>
    </w:p>
    <w:p/>
    <w:p>
      <w:pPr>
        <w:pStyle w:val="22"/>
        <w:ind w:firstLine="440"/>
      </w:pPr>
    </w:p>
    <w:p/>
    <w:p>
      <w:pPr>
        <w:pStyle w:val="22"/>
        <w:ind w:firstLine="440"/>
      </w:pPr>
    </w:p>
    <w:p>
      <w:pPr>
        <w:spacing w:line="480" w:lineRule="auto"/>
        <w:rPr>
          <w:rFonts w:ascii="宋体" w:hAnsi="宋体" w:cs="宋体"/>
          <w:b/>
          <w:bCs/>
          <w:kern w:val="0"/>
          <w:sz w:val="28"/>
          <w:szCs w:val="28"/>
        </w:rPr>
      </w:pPr>
      <w:r>
        <w:rPr>
          <w:rFonts w:hint="eastAsia" w:ascii="宋体" w:hAnsi="宋体" w:cs="宋体"/>
          <w:b/>
          <w:bCs/>
          <w:kern w:val="0"/>
          <w:sz w:val="28"/>
          <w:szCs w:val="28"/>
        </w:rPr>
        <w:t>附件2：</w:t>
      </w:r>
    </w:p>
    <w:p>
      <w:pPr>
        <w:pStyle w:val="3"/>
        <w:numPr>
          <w:ilvl w:val="1"/>
          <w:numId w:val="0"/>
        </w:numPr>
        <w:wordWrap w:val="0"/>
        <w:topLinePunct/>
        <w:spacing w:before="0" w:after="0" w:line="360" w:lineRule="auto"/>
        <w:jc w:val="center"/>
        <w:rPr>
          <w:rFonts w:hAnsi="宋体"/>
          <w:bCs/>
          <w:szCs w:val="24"/>
        </w:rPr>
      </w:pPr>
      <w:r>
        <w:rPr>
          <w:rFonts w:hint="eastAsia" w:hAnsi="宋体"/>
          <w:bCs/>
          <w:szCs w:val="24"/>
        </w:rPr>
        <w:t>残疾人福利性单位声明函</w:t>
      </w:r>
    </w:p>
    <w:p/>
    <w:p>
      <w:pPr>
        <w:spacing w:line="360" w:lineRule="auto"/>
        <w:ind w:firstLine="504" w:firstLineChars="200"/>
        <w:rPr>
          <w:rFonts w:ascii="宋体" w:hAnsi="宋体" w:cs="宋体"/>
          <w:spacing w:val="6"/>
          <w:sz w:val="24"/>
          <w:szCs w:val="24"/>
        </w:rPr>
      </w:pPr>
      <w:r>
        <w:rPr>
          <w:rFonts w:hint="eastAsia" w:ascii="宋体" w:hAnsi="宋体" w:cs="宋体"/>
          <w:spacing w:val="6"/>
          <w:sz w:val="24"/>
          <w:szCs w:val="24"/>
        </w:rPr>
        <w:t>本单位郑重声明，根据《财政部 民政部 中国残疾人联合会关于促进残疾人就业政府采购政策的通知》（财库</w:t>
      </w:r>
      <w:r>
        <w:rPr>
          <w:rFonts w:hint="eastAsia" w:ascii="宋体" w:hAnsi="宋体" w:cs="宋体"/>
          <w:sz w:val="24"/>
          <w:szCs w:val="24"/>
        </w:rPr>
        <w:t>〔2017〕141</w:t>
      </w:r>
      <w:r>
        <w:rPr>
          <w:rFonts w:hint="eastAsia" w:ascii="宋体" w:hAnsi="宋体" w:cs="宋体"/>
          <w:spacing w:val="6"/>
          <w:sz w:val="24"/>
          <w:szCs w:val="24"/>
        </w:rPr>
        <w:t>号）的规定，本单位为符合条件的残疾人福利性单位，且本单位参加</w:t>
      </w:r>
      <w:r>
        <w:rPr>
          <w:rFonts w:hint="eastAsia" w:ascii="宋体" w:hAnsi="宋体" w:cs="宋体"/>
          <w:spacing w:val="6"/>
          <w:sz w:val="24"/>
          <w:szCs w:val="24"/>
          <w:u w:val="single"/>
        </w:rPr>
        <w:t xml:space="preserve">       </w:t>
      </w:r>
      <w:r>
        <w:rPr>
          <w:rFonts w:hint="eastAsia" w:ascii="宋体" w:hAnsi="宋体" w:cs="宋体"/>
          <w:spacing w:val="6"/>
          <w:sz w:val="24"/>
          <w:szCs w:val="24"/>
        </w:rPr>
        <w:t>单位的</w:t>
      </w:r>
      <w:r>
        <w:rPr>
          <w:rFonts w:hint="eastAsia" w:ascii="宋体" w:hAnsi="宋体" w:cs="宋体"/>
          <w:spacing w:val="6"/>
          <w:sz w:val="24"/>
          <w:szCs w:val="24"/>
          <w:u w:val="single"/>
        </w:rPr>
        <w:t xml:space="preserve">      </w:t>
      </w:r>
      <w:r>
        <w:rPr>
          <w:rFonts w:hint="eastAsia" w:ascii="宋体" w:hAnsi="宋体" w:cs="宋体"/>
          <w:spacing w:val="6"/>
          <w:sz w:val="24"/>
          <w:szCs w:val="24"/>
        </w:rPr>
        <w:t>项目采购活动提供本单位制造的货物（由本单位承担工程/提供服务），或者提供其他残疾人福利性单位制造的货物（不包括使用非残疾人福利性单位注册商标的货物）。</w:t>
      </w:r>
    </w:p>
    <w:p>
      <w:pPr>
        <w:spacing w:line="360" w:lineRule="auto"/>
        <w:ind w:firstLine="504" w:firstLineChars="200"/>
        <w:rPr>
          <w:rFonts w:ascii="宋体" w:hAnsi="宋体" w:cs="宋体"/>
          <w:spacing w:val="6"/>
          <w:sz w:val="24"/>
          <w:szCs w:val="24"/>
        </w:rPr>
      </w:pPr>
      <w:r>
        <w:rPr>
          <w:rFonts w:hint="eastAsia" w:ascii="宋体" w:hAnsi="宋体" w:cs="宋体"/>
          <w:spacing w:val="6"/>
          <w:sz w:val="24"/>
          <w:szCs w:val="24"/>
        </w:rPr>
        <w:t>本单位对上述声明的真实性负责。如有虚假，将依法承担相应责任。</w:t>
      </w:r>
    </w:p>
    <w:p>
      <w:pPr>
        <w:spacing w:line="360" w:lineRule="auto"/>
        <w:ind w:firstLine="504" w:firstLineChars="200"/>
        <w:rPr>
          <w:rFonts w:ascii="宋体" w:hAnsi="宋体" w:cs="宋体"/>
          <w:spacing w:val="6"/>
          <w:sz w:val="24"/>
          <w:szCs w:val="24"/>
        </w:rPr>
      </w:pPr>
    </w:p>
    <w:p>
      <w:pPr>
        <w:tabs>
          <w:tab w:val="left" w:pos="4860"/>
        </w:tabs>
        <w:spacing w:line="360" w:lineRule="auto"/>
        <w:ind w:right="1560" w:firstLine="504" w:firstLineChars="200"/>
        <w:jc w:val="center"/>
        <w:rPr>
          <w:rFonts w:ascii="宋体" w:hAnsi="宋体" w:cs="宋体"/>
          <w:spacing w:val="6"/>
          <w:sz w:val="24"/>
          <w:szCs w:val="24"/>
          <w:u w:val="single"/>
        </w:rPr>
      </w:pPr>
      <w:r>
        <w:rPr>
          <w:rFonts w:hint="eastAsia" w:ascii="宋体" w:hAnsi="宋体" w:cs="宋体"/>
          <w:spacing w:val="6"/>
          <w:sz w:val="24"/>
          <w:szCs w:val="24"/>
        </w:rPr>
        <w:t xml:space="preserve">               单位名称（盖章）：</w:t>
      </w:r>
      <w:r>
        <w:rPr>
          <w:rFonts w:hint="eastAsia" w:ascii="宋体" w:hAnsi="宋体" w:cs="宋体"/>
          <w:spacing w:val="6"/>
          <w:sz w:val="24"/>
          <w:szCs w:val="24"/>
          <w:u w:val="single"/>
        </w:rPr>
        <w:t xml:space="preserve">                </w:t>
      </w:r>
    </w:p>
    <w:p>
      <w:pPr>
        <w:tabs>
          <w:tab w:val="left" w:pos="4860"/>
        </w:tabs>
        <w:spacing w:line="360" w:lineRule="auto"/>
        <w:ind w:right="1560" w:firstLine="504" w:firstLineChars="200"/>
        <w:jc w:val="center"/>
        <w:rPr>
          <w:rFonts w:ascii="宋体" w:hAnsi="宋体" w:cs="宋体"/>
          <w:spacing w:val="6"/>
          <w:sz w:val="24"/>
          <w:szCs w:val="24"/>
        </w:rPr>
      </w:pPr>
      <w:r>
        <w:rPr>
          <w:rFonts w:hint="eastAsia" w:ascii="宋体" w:hAnsi="宋体" w:cs="宋体"/>
          <w:spacing w:val="6"/>
          <w:sz w:val="24"/>
          <w:szCs w:val="24"/>
        </w:rPr>
        <w:t xml:space="preserve">       日  期：</w:t>
      </w:r>
    </w:p>
    <w:p>
      <w:pPr>
        <w:widowControl/>
        <w:spacing w:line="360" w:lineRule="auto"/>
        <w:rPr>
          <w:rFonts w:ascii="宋体" w:hAnsi="宋体" w:cs="宋体"/>
          <w:b/>
          <w:sz w:val="24"/>
          <w:szCs w:val="24"/>
        </w:rPr>
      </w:pPr>
      <w:r>
        <w:rPr>
          <w:rFonts w:hint="eastAsia" w:ascii="宋体" w:hAnsi="宋体" w:cs="宋体"/>
          <w:b/>
          <w:sz w:val="24"/>
          <w:szCs w:val="24"/>
        </w:rPr>
        <w:t>（提醒：如果响应人</w:t>
      </w:r>
      <w:r>
        <w:rPr>
          <w:rFonts w:hint="eastAsia" w:ascii="宋体" w:hAnsi="宋体" w:cs="宋体"/>
          <w:b/>
          <w:spacing w:val="10"/>
          <w:kern w:val="0"/>
          <w:sz w:val="24"/>
          <w:szCs w:val="24"/>
        </w:rPr>
        <w:t>不是残疾人福利性单位</w:t>
      </w:r>
      <w:r>
        <w:rPr>
          <w:rFonts w:hint="eastAsia" w:ascii="宋体" w:hAnsi="宋体" w:cs="宋体"/>
          <w:b/>
          <w:sz w:val="24"/>
          <w:szCs w:val="24"/>
        </w:rPr>
        <w:t>，则不需要提供《残疾人福利性单位声明函》。否则，因此导致虚假投标的后果由响应人自行承担。）</w:t>
      </w:r>
    </w:p>
    <w:p>
      <w:pPr>
        <w:spacing w:line="480" w:lineRule="auto"/>
        <w:rPr>
          <w:rFonts w:ascii="宋体" w:hAnsi="宋体" w:cs="宋体"/>
          <w:b/>
          <w:bCs/>
          <w:kern w:val="0"/>
          <w:sz w:val="28"/>
          <w:szCs w:val="28"/>
        </w:rPr>
      </w:pPr>
    </w:p>
    <w:p>
      <w:pPr>
        <w:spacing w:line="480" w:lineRule="auto"/>
        <w:rPr>
          <w:rFonts w:ascii="宋体" w:hAnsi="宋体" w:cs="宋体"/>
          <w:b/>
          <w:bCs/>
          <w:kern w:val="0"/>
          <w:sz w:val="28"/>
          <w:szCs w:val="28"/>
        </w:rPr>
      </w:pPr>
    </w:p>
    <w:p>
      <w:pPr>
        <w:spacing w:line="480" w:lineRule="auto"/>
        <w:rPr>
          <w:rFonts w:ascii="宋体" w:hAnsi="宋体" w:cs="宋体"/>
          <w:b/>
          <w:bCs/>
          <w:kern w:val="0"/>
          <w:sz w:val="28"/>
          <w:szCs w:val="28"/>
        </w:rPr>
      </w:pPr>
    </w:p>
    <w:p>
      <w:pPr>
        <w:spacing w:line="480" w:lineRule="auto"/>
        <w:rPr>
          <w:rFonts w:ascii="宋体" w:hAnsi="宋体" w:cs="宋体"/>
          <w:b/>
          <w:bCs/>
          <w:kern w:val="0"/>
          <w:sz w:val="28"/>
          <w:szCs w:val="28"/>
        </w:rPr>
      </w:pPr>
    </w:p>
    <w:p>
      <w:pPr>
        <w:spacing w:line="480" w:lineRule="auto"/>
        <w:rPr>
          <w:rFonts w:ascii="宋体" w:hAnsi="宋体" w:cs="宋体"/>
          <w:b/>
          <w:bCs/>
          <w:kern w:val="0"/>
          <w:sz w:val="28"/>
          <w:szCs w:val="28"/>
        </w:rPr>
      </w:pPr>
    </w:p>
    <w:p>
      <w:pPr>
        <w:spacing w:line="480" w:lineRule="auto"/>
        <w:rPr>
          <w:rFonts w:ascii="宋体" w:hAnsi="宋体" w:cs="宋体"/>
          <w:b/>
          <w:bCs/>
          <w:kern w:val="0"/>
          <w:sz w:val="28"/>
          <w:szCs w:val="28"/>
        </w:rPr>
      </w:pPr>
    </w:p>
    <w:p>
      <w:pPr>
        <w:spacing w:line="480" w:lineRule="auto"/>
        <w:rPr>
          <w:rFonts w:ascii="宋体" w:hAnsi="宋体" w:cs="宋体"/>
          <w:b/>
          <w:bCs/>
          <w:kern w:val="0"/>
          <w:sz w:val="28"/>
          <w:szCs w:val="28"/>
        </w:rPr>
      </w:pPr>
    </w:p>
    <w:p>
      <w:pPr>
        <w:spacing w:line="480" w:lineRule="auto"/>
        <w:rPr>
          <w:rFonts w:ascii="宋体" w:hAnsi="宋体" w:cs="宋体"/>
          <w:b/>
          <w:bCs/>
          <w:kern w:val="0"/>
          <w:sz w:val="28"/>
          <w:szCs w:val="28"/>
        </w:rPr>
      </w:pPr>
    </w:p>
    <w:p>
      <w:pPr>
        <w:spacing w:line="480" w:lineRule="auto"/>
        <w:rPr>
          <w:rFonts w:ascii="宋体" w:hAnsi="宋体" w:cs="宋体"/>
          <w:b/>
          <w:bCs/>
          <w:kern w:val="0"/>
          <w:sz w:val="28"/>
          <w:szCs w:val="28"/>
        </w:rPr>
      </w:pPr>
    </w:p>
    <w:p>
      <w:pPr>
        <w:spacing w:line="480" w:lineRule="auto"/>
        <w:rPr>
          <w:rFonts w:ascii="宋体" w:hAnsi="宋体" w:cs="宋体"/>
          <w:b/>
          <w:bCs/>
          <w:kern w:val="0"/>
          <w:sz w:val="28"/>
          <w:szCs w:val="28"/>
        </w:rPr>
      </w:pPr>
      <w:r>
        <w:rPr>
          <w:rFonts w:hint="eastAsia" w:ascii="宋体" w:hAnsi="宋体" w:cs="宋体"/>
          <w:b/>
          <w:bCs/>
          <w:kern w:val="0"/>
          <w:sz w:val="28"/>
          <w:szCs w:val="28"/>
        </w:rPr>
        <w:t>附件3：</w:t>
      </w:r>
    </w:p>
    <w:p>
      <w:pPr>
        <w:pStyle w:val="3"/>
        <w:numPr>
          <w:ilvl w:val="1"/>
          <w:numId w:val="0"/>
        </w:numPr>
        <w:wordWrap w:val="0"/>
        <w:topLinePunct/>
        <w:spacing w:before="0" w:after="0" w:line="360" w:lineRule="auto"/>
        <w:jc w:val="center"/>
        <w:rPr>
          <w:rFonts w:hAnsi="宋体"/>
          <w:bCs/>
          <w:szCs w:val="24"/>
        </w:rPr>
      </w:pPr>
      <w:r>
        <w:rPr>
          <w:rFonts w:hint="eastAsia" w:hAnsi="宋体"/>
          <w:bCs/>
          <w:szCs w:val="24"/>
        </w:rPr>
        <w:t>监狱企业证明文件（如需）</w:t>
      </w:r>
    </w:p>
    <w:p>
      <w:pPr>
        <w:pStyle w:val="7"/>
        <w:ind w:firstLine="554"/>
        <w:rPr>
          <w:sz w:val="28"/>
          <w:szCs w:val="28"/>
          <w:lang w:eastAsia="zh-CN"/>
        </w:rPr>
      </w:pPr>
    </w:p>
    <w:p>
      <w:pPr>
        <w:pStyle w:val="12"/>
        <w:ind w:firstLine="567"/>
        <w:rPr>
          <w:rFonts w:hint="eastAsia" w:ascii="宋体" w:hAnsi="宋体" w:eastAsia="宋体" w:cs="宋体"/>
          <w:spacing w:val="6"/>
          <w:sz w:val="24"/>
          <w:szCs w:val="24"/>
        </w:rPr>
      </w:pPr>
      <w:r>
        <w:rPr>
          <w:rFonts w:hint="eastAsia" w:ascii="宋体" w:hAnsi="宋体" w:eastAsia="宋体" w:cs="宋体"/>
          <w:spacing w:val="6"/>
          <w:sz w:val="24"/>
          <w:szCs w:val="24"/>
        </w:rPr>
        <w:t>（监狱企业参加政府采购活动时，应当提供由省级以上监狱管理局、戒毒管理局(含新疆生产建设兵团)出具的属于监狱企业的证明文。</w:t>
      </w:r>
    </w:p>
    <w:p>
      <w:pPr>
        <w:pStyle w:val="12"/>
        <w:ind w:firstLine="567"/>
        <w:rPr>
          <w:rFonts w:hint="eastAsia" w:ascii="宋体" w:hAnsi="宋体" w:eastAsia="宋体" w:cs="宋体"/>
          <w:spacing w:val="6"/>
          <w:sz w:val="24"/>
          <w:szCs w:val="24"/>
        </w:rPr>
      </w:pPr>
    </w:p>
    <w:p>
      <w:pPr>
        <w:pStyle w:val="12"/>
        <w:ind w:firstLine="567"/>
        <w:rPr>
          <w:rFonts w:hint="eastAsia" w:ascii="宋体" w:hAnsi="宋体" w:eastAsia="宋体" w:cs="宋体"/>
          <w:spacing w:val="6"/>
          <w:sz w:val="24"/>
          <w:szCs w:val="24"/>
        </w:rPr>
      </w:pPr>
    </w:p>
    <w:p>
      <w:pPr>
        <w:pStyle w:val="12"/>
        <w:ind w:firstLine="567"/>
        <w:rPr>
          <w:rFonts w:hint="eastAsia" w:ascii="宋体" w:hAnsi="宋体" w:eastAsia="宋体" w:cs="宋体"/>
          <w:spacing w:val="6"/>
          <w:sz w:val="24"/>
          <w:szCs w:val="24"/>
        </w:rPr>
      </w:pPr>
    </w:p>
    <w:p>
      <w:pPr>
        <w:pStyle w:val="12"/>
        <w:ind w:firstLine="567"/>
        <w:rPr>
          <w:rFonts w:hint="eastAsia" w:ascii="宋体" w:hAnsi="宋体" w:eastAsia="宋体" w:cs="宋体"/>
          <w:spacing w:val="6"/>
          <w:sz w:val="24"/>
          <w:szCs w:val="24"/>
        </w:rPr>
      </w:pPr>
    </w:p>
    <w:p>
      <w:pPr>
        <w:pStyle w:val="12"/>
        <w:ind w:firstLine="567"/>
        <w:rPr>
          <w:rFonts w:hint="eastAsia" w:ascii="宋体" w:hAnsi="宋体" w:eastAsia="宋体" w:cs="宋体"/>
          <w:spacing w:val="6"/>
          <w:sz w:val="24"/>
          <w:szCs w:val="24"/>
        </w:rPr>
      </w:pPr>
    </w:p>
    <w:p>
      <w:pPr>
        <w:pStyle w:val="12"/>
        <w:ind w:firstLine="567"/>
        <w:rPr>
          <w:rFonts w:hint="eastAsia" w:ascii="宋体" w:hAnsi="宋体" w:eastAsia="宋体" w:cs="宋体"/>
          <w:spacing w:val="6"/>
          <w:sz w:val="24"/>
          <w:szCs w:val="24"/>
        </w:rPr>
      </w:pPr>
    </w:p>
    <w:p>
      <w:pPr>
        <w:pStyle w:val="12"/>
        <w:ind w:firstLine="567"/>
        <w:rPr>
          <w:rFonts w:hint="eastAsia" w:ascii="宋体" w:hAnsi="宋体" w:eastAsia="宋体" w:cs="宋体"/>
          <w:spacing w:val="6"/>
          <w:sz w:val="24"/>
          <w:szCs w:val="24"/>
        </w:rPr>
      </w:pPr>
    </w:p>
    <w:p>
      <w:pPr>
        <w:pStyle w:val="12"/>
        <w:ind w:firstLine="567"/>
        <w:rPr>
          <w:rFonts w:hint="eastAsia" w:ascii="宋体" w:hAnsi="宋体" w:eastAsia="宋体" w:cs="宋体"/>
          <w:spacing w:val="6"/>
          <w:sz w:val="24"/>
          <w:szCs w:val="24"/>
        </w:rPr>
      </w:pPr>
    </w:p>
    <w:p>
      <w:pPr>
        <w:pStyle w:val="12"/>
        <w:ind w:firstLine="567"/>
        <w:rPr>
          <w:rFonts w:hint="eastAsia" w:ascii="宋体" w:hAnsi="宋体" w:eastAsia="宋体" w:cs="宋体"/>
          <w:spacing w:val="6"/>
          <w:sz w:val="24"/>
          <w:szCs w:val="24"/>
        </w:rPr>
      </w:pPr>
    </w:p>
    <w:p>
      <w:pPr>
        <w:pStyle w:val="12"/>
        <w:ind w:firstLine="567"/>
        <w:rPr>
          <w:rFonts w:hint="eastAsia" w:ascii="宋体" w:hAnsi="宋体" w:eastAsia="宋体" w:cs="宋体"/>
          <w:spacing w:val="6"/>
          <w:sz w:val="24"/>
          <w:szCs w:val="24"/>
        </w:rPr>
      </w:pPr>
    </w:p>
    <w:p>
      <w:pPr>
        <w:pStyle w:val="12"/>
        <w:ind w:firstLine="567"/>
        <w:rPr>
          <w:rFonts w:hint="eastAsia" w:ascii="宋体" w:hAnsi="宋体" w:eastAsia="宋体" w:cs="宋体"/>
          <w:spacing w:val="6"/>
          <w:sz w:val="24"/>
          <w:szCs w:val="24"/>
        </w:rPr>
      </w:pPr>
    </w:p>
    <w:p>
      <w:pPr>
        <w:pStyle w:val="12"/>
        <w:ind w:firstLine="567"/>
        <w:rPr>
          <w:rFonts w:hint="eastAsia" w:ascii="宋体" w:hAnsi="宋体" w:eastAsia="宋体" w:cs="宋体"/>
          <w:spacing w:val="6"/>
          <w:sz w:val="24"/>
          <w:szCs w:val="24"/>
        </w:rPr>
      </w:pPr>
    </w:p>
    <w:p>
      <w:pPr>
        <w:pStyle w:val="12"/>
        <w:ind w:firstLine="567"/>
        <w:rPr>
          <w:rFonts w:hint="eastAsia" w:ascii="宋体" w:hAnsi="宋体" w:eastAsia="宋体" w:cs="宋体"/>
          <w:spacing w:val="6"/>
          <w:sz w:val="24"/>
          <w:szCs w:val="24"/>
        </w:rPr>
      </w:pPr>
    </w:p>
    <w:p>
      <w:pPr>
        <w:pStyle w:val="12"/>
        <w:ind w:firstLine="567"/>
        <w:rPr>
          <w:rFonts w:hint="eastAsia" w:ascii="宋体" w:hAnsi="宋体" w:eastAsia="宋体" w:cs="宋体"/>
          <w:spacing w:val="6"/>
          <w:sz w:val="24"/>
          <w:szCs w:val="24"/>
        </w:rPr>
      </w:pPr>
    </w:p>
    <w:p>
      <w:pPr>
        <w:pStyle w:val="12"/>
        <w:ind w:firstLine="567"/>
        <w:rPr>
          <w:rFonts w:hint="eastAsia" w:ascii="宋体" w:hAnsi="宋体" w:eastAsia="宋体" w:cs="宋体"/>
          <w:spacing w:val="6"/>
          <w:sz w:val="24"/>
          <w:szCs w:val="24"/>
        </w:rPr>
      </w:pPr>
    </w:p>
    <w:p>
      <w:pPr>
        <w:pStyle w:val="12"/>
        <w:ind w:firstLine="567"/>
        <w:rPr>
          <w:rFonts w:hint="eastAsia" w:ascii="宋体" w:hAnsi="宋体" w:eastAsia="宋体" w:cs="宋体"/>
          <w:spacing w:val="6"/>
          <w:sz w:val="24"/>
          <w:szCs w:val="24"/>
        </w:rPr>
      </w:pPr>
    </w:p>
    <w:p>
      <w:pPr>
        <w:pStyle w:val="12"/>
        <w:ind w:firstLine="567"/>
        <w:rPr>
          <w:rFonts w:hint="eastAsia" w:ascii="宋体" w:hAnsi="宋体" w:eastAsia="宋体" w:cs="宋体"/>
          <w:spacing w:val="6"/>
          <w:sz w:val="24"/>
          <w:szCs w:val="24"/>
        </w:rPr>
      </w:pPr>
    </w:p>
    <w:p>
      <w:pPr>
        <w:pStyle w:val="12"/>
        <w:ind w:firstLine="567"/>
        <w:rPr>
          <w:rFonts w:hint="eastAsia" w:ascii="宋体" w:hAnsi="宋体" w:eastAsia="宋体" w:cs="宋体"/>
          <w:spacing w:val="6"/>
          <w:sz w:val="24"/>
          <w:szCs w:val="24"/>
        </w:rPr>
      </w:pPr>
    </w:p>
    <w:p>
      <w:pPr>
        <w:pStyle w:val="12"/>
        <w:ind w:firstLine="567"/>
        <w:rPr>
          <w:rFonts w:hint="eastAsia" w:ascii="宋体" w:hAnsi="宋体" w:eastAsia="宋体" w:cs="宋体"/>
          <w:spacing w:val="6"/>
          <w:sz w:val="24"/>
          <w:szCs w:val="24"/>
        </w:rPr>
      </w:pPr>
    </w:p>
    <w:p>
      <w:pPr>
        <w:pStyle w:val="12"/>
        <w:ind w:firstLine="567"/>
        <w:rPr>
          <w:rFonts w:hint="eastAsia" w:ascii="宋体" w:hAnsi="宋体" w:eastAsia="宋体" w:cs="宋体"/>
          <w:spacing w:val="6"/>
          <w:sz w:val="24"/>
          <w:szCs w:val="24"/>
        </w:rPr>
      </w:pPr>
    </w:p>
    <w:p>
      <w:pPr>
        <w:pStyle w:val="12"/>
        <w:ind w:firstLine="567"/>
        <w:rPr>
          <w:rFonts w:hint="eastAsia" w:ascii="宋体" w:hAnsi="宋体" w:eastAsia="宋体" w:cs="宋体"/>
          <w:spacing w:val="6"/>
          <w:sz w:val="24"/>
          <w:szCs w:val="24"/>
        </w:rPr>
      </w:pPr>
    </w:p>
    <w:p>
      <w:pPr>
        <w:pStyle w:val="12"/>
        <w:ind w:firstLine="567"/>
        <w:rPr>
          <w:rFonts w:hint="eastAsia" w:ascii="宋体" w:hAnsi="宋体" w:eastAsia="宋体" w:cs="宋体"/>
          <w:spacing w:val="6"/>
          <w:sz w:val="24"/>
          <w:szCs w:val="24"/>
        </w:rPr>
      </w:pPr>
    </w:p>
    <w:p>
      <w:pPr>
        <w:spacing w:line="480" w:lineRule="auto"/>
        <w:rPr>
          <w:rFonts w:hint="default" w:ascii="宋体" w:hAnsi="宋体" w:eastAsia="宋体" w:cs="宋体"/>
          <w:b/>
          <w:bCs/>
          <w:kern w:val="0"/>
          <w:sz w:val="28"/>
          <w:szCs w:val="28"/>
          <w:lang w:val="en-US" w:eastAsia="zh-CN"/>
        </w:rPr>
      </w:pPr>
      <w:r>
        <w:rPr>
          <w:rFonts w:hint="eastAsia" w:ascii="宋体" w:hAnsi="宋体" w:eastAsia="宋体" w:cs="宋体"/>
          <w:b/>
          <w:bCs/>
          <w:kern w:val="0"/>
          <w:sz w:val="28"/>
          <w:szCs w:val="28"/>
          <w:lang w:val="en-US" w:eastAsia="zh-CN"/>
        </w:rPr>
        <w:t>附件4：</w:t>
      </w:r>
    </w:p>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黑体" w:hAnsi="黑体" w:eastAsia="黑体" w:cs="宋体"/>
          <w:bCs/>
          <w:kern w:val="0"/>
          <w:sz w:val="28"/>
          <w:szCs w:val="28"/>
          <w:lang w:val="en-US" w:eastAsia="zh-CN"/>
        </w:rPr>
      </w:pPr>
      <w:r>
        <w:rPr>
          <w:rFonts w:hint="default" w:ascii="黑体" w:hAnsi="黑体" w:eastAsia="黑体" w:cs="宋体"/>
          <w:bCs/>
          <w:kern w:val="0"/>
          <w:sz w:val="28"/>
          <w:szCs w:val="28"/>
          <w:lang w:val="en-US" w:eastAsia="zh-CN"/>
        </w:rPr>
        <w:t>关于符合本国产品标准的声明函</w:t>
      </w:r>
      <w:r>
        <w:rPr>
          <w:rFonts w:hint="eastAsia" w:ascii="黑体" w:hAnsi="黑体" w:eastAsia="黑体" w:cs="宋体"/>
          <w:bCs/>
          <w:kern w:val="0"/>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312" w:beforeLines="100" w:line="420" w:lineRule="exact"/>
        <w:ind w:firstLine="482"/>
        <w:jc w:val="left"/>
        <w:textAlignment w:val="auto"/>
        <w:rPr>
          <w:rFonts w:hint="eastAsia" w:ascii="宋体" w:hAnsi="宋体"/>
          <w:sz w:val="24"/>
          <w:szCs w:val="20"/>
          <w:lang w:val="en-US" w:eastAsia="zh-CN"/>
        </w:rPr>
      </w:pPr>
      <w:r>
        <w:rPr>
          <w:rFonts w:hint="eastAsia" w:ascii="宋体" w:hAnsi="宋体"/>
          <w:sz w:val="24"/>
          <w:szCs w:val="20"/>
          <w:lang w:val="en-US" w:eastAsia="zh-CN"/>
        </w:rPr>
        <w:t>本公司（单位）郑重声明，根据《国务院办公厅关于在政府采购中实施本国产品标准及相关政策的通知》（国办发〔2025〕34号）的规定，本公司（单位）提供的以下产品属于本国产品。具体情况如下：</w:t>
      </w:r>
    </w:p>
    <w:p>
      <w:pPr>
        <w:keepNext w:val="0"/>
        <w:keepLines w:val="0"/>
        <w:pageBreakBefore w:val="0"/>
        <w:widowControl w:val="0"/>
        <w:kinsoku/>
        <w:wordWrap/>
        <w:overflowPunct/>
        <w:topLinePunct w:val="0"/>
        <w:autoSpaceDE/>
        <w:autoSpaceDN/>
        <w:bidi w:val="0"/>
        <w:adjustRightInd/>
        <w:snapToGrid/>
        <w:spacing w:before="312" w:beforeLines="100" w:line="420" w:lineRule="exact"/>
        <w:ind w:firstLine="482"/>
        <w:jc w:val="left"/>
        <w:textAlignment w:val="auto"/>
        <w:rPr>
          <w:rFonts w:hint="eastAsia" w:ascii="宋体" w:hAnsi="宋体"/>
          <w:sz w:val="24"/>
          <w:szCs w:val="20"/>
          <w:lang w:val="en-US" w:eastAsia="zh-CN"/>
        </w:rPr>
      </w:pPr>
      <w:r>
        <w:rPr>
          <w:rFonts w:hint="eastAsia" w:ascii="宋体" w:hAnsi="宋体"/>
          <w:sz w:val="24"/>
          <w:szCs w:val="20"/>
          <w:u w:val="none"/>
          <w:lang w:val="en-US" w:eastAsia="zh-CN"/>
        </w:rPr>
        <w:t>1、</w:t>
      </w:r>
      <w:r>
        <w:rPr>
          <w:rFonts w:hint="eastAsia" w:ascii="宋体" w:hAnsi="宋体"/>
          <w:sz w:val="24"/>
          <w:szCs w:val="20"/>
          <w:u w:val="single"/>
          <w:lang w:val="en-US" w:eastAsia="zh-CN"/>
        </w:rPr>
        <w:t>（产品名称1）</w:t>
      </w:r>
      <w:r>
        <w:rPr>
          <w:rFonts w:hint="eastAsia" w:ascii="宋体" w:hAnsi="宋体"/>
          <w:sz w:val="24"/>
          <w:szCs w:val="20"/>
          <w:lang w:val="en-US" w:eastAsia="zh-CN"/>
        </w:rPr>
        <w:t>¹，生产厂为</w:t>
      </w:r>
      <w:r>
        <w:rPr>
          <w:rFonts w:hint="eastAsia" w:ascii="宋体" w:hAnsi="宋体"/>
          <w:sz w:val="24"/>
          <w:szCs w:val="20"/>
          <w:u w:val="single"/>
          <w:lang w:val="en-US" w:eastAsia="zh-CN"/>
        </w:rPr>
        <w:t>（厂名）</w:t>
      </w:r>
      <w:r>
        <w:rPr>
          <w:rFonts w:hint="eastAsia" w:ascii="宋体" w:hAnsi="宋体"/>
          <w:sz w:val="24"/>
          <w:szCs w:val="20"/>
          <w:lang w:val="en-US" w:eastAsia="zh-CN"/>
        </w:rPr>
        <w:t>²，厂址为</w:t>
      </w:r>
      <w:r>
        <w:rPr>
          <w:rFonts w:hint="eastAsia" w:ascii="宋体" w:hAnsi="宋体"/>
          <w:sz w:val="24"/>
          <w:szCs w:val="20"/>
          <w:u w:val="single"/>
          <w:lang w:val="en-US" w:eastAsia="zh-CN"/>
        </w:rPr>
        <w:t>（生产厂址）</w:t>
      </w:r>
      <w:r>
        <w:rPr>
          <w:rFonts w:hint="eastAsia" w:ascii="宋体" w:hAnsi="宋体"/>
          <w:sz w:val="24"/>
          <w:szCs w:val="20"/>
          <w:lang w:val="en-US" w:eastAsia="zh-CN"/>
        </w:rPr>
        <w:t>。</w:t>
      </w:r>
      <w:r>
        <w:rPr>
          <w:rFonts w:hint="eastAsia" w:ascii="宋体" w:hAnsi="宋体"/>
          <w:sz w:val="24"/>
          <w:szCs w:val="20"/>
          <w:u w:val="single"/>
          <w:lang w:val="en-US" w:eastAsia="zh-CN"/>
        </w:rPr>
        <w:t>（产品名称1）</w:t>
      </w:r>
      <w:r>
        <w:rPr>
          <w:rFonts w:hint="eastAsia" w:ascii="宋体" w:hAnsi="宋体"/>
          <w:sz w:val="24"/>
          <w:szCs w:val="20"/>
          <w:lang w:val="en-US" w:eastAsia="zh-CN"/>
        </w:rPr>
        <w:t>的中国境内生产的组件成本占比≥</w:t>
      </w:r>
      <w:r>
        <w:rPr>
          <w:rFonts w:hint="eastAsia" w:ascii="宋体" w:hAnsi="宋体"/>
          <w:sz w:val="24"/>
          <w:szCs w:val="20"/>
          <w:u w:val="single"/>
          <w:lang w:val="en-US" w:eastAsia="zh-CN"/>
        </w:rPr>
        <w:t>（规定比例）</w:t>
      </w:r>
      <w:r>
        <w:rPr>
          <w:rFonts w:hint="eastAsia" w:ascii="宋体" w:hAnsi="宋体"/>
          <w:sz w:val="24"/>
          <w:szCs w:val="20"/>
          <w:lang w:val="en-US" w:eastAsia="zh-CN"/>
        </w:rPr>
        <w:t>³。</w:t>
      </w:r>
      <w:r>
        <w:rPr>
          <w:rFonts w:hint="eastAsia" w:ascii="宋体" w:hAnsi="宋体"/>
          <w:sz w:val="24"/>
          <w:szCs w:val="20"/>
          <w:u w:val="single"/>
          <w:lang w:val="en-US" w:eastAsia="zh-CN"/>
        </w:rPr>
        <w:t>（产品名称1）</w:t>
      </w:r>
      <w:r>
        <w:rPr>
          <w:rFonts w:hint="eastAsia" w:ascii="宋体" w:hAnsi="宋体"/>
          <w:sz w:val="24"/>
          <w:szCs w:val="20"/>
          <w:lang w:val="en-US" w:eastAsia="zh-CN"/>
        </w:rPr>
        <w:t>的</w:t>
      </w:r>
      <w:r>
        <w:rPr>
          <w:rFonts w:hint="eastAsia" w:ascii="宋体" w:hAnsi="宋体"/>
          <w:sz w:val="24"/>
          <w:szCs w:val="20"/>
          <w:u w:val="single"/>
          <w:lang w:val="en-US" w:eastAsia="zh-CN"/>
        </w:rPr>
        <w:t>（关键组件）</w:t>
      </w:r>
      <w:r>
        <w:rPr>
          <w:rFonts w:hint="eastAsia" w:ascii="宋体" w:hAnsi="宋体"/>
          <w:sz w:val="24"/>
          <w:szCs w:val="20"/>
          <w:lang w:val="en-US" w:eastAsia="zh-CN"/>
        </w:rPr>
        <w:t>⁴在中国境内生产。</w:t>
      </w:r>
      <w:r>
        <w:rPr>
          <w:rFonts w:hint="eastAsia" w:ascii="宋体" w:hAnsi="宋体"/>
          <w:sz w:val="24"/>
          <w:szCs w:val="20"/>
          <w:u w:val="single"/>
          <w:lang w:val="en-US" w:eastAsia="zh-CN"/>
        </w:rPr>
        <w:t>（产品名称1）</w:t>
      </w:r>
      <w:r>
        <w:rPr>
          <w:rFonts w:hint="eastAsia" w:ascii="宋体" w:hAnsi="宋体"/>
          <w:sz w:val="24"/>
          <w:szCs w:val="20"/>
          <w:lang w:val="en-US" w:eastAsia="zh-CN"/>
        </w:rPr>
        <w:t>的</w:t>
      </w:r>
      <w:r>
        <w:rPr>
          <w:rFonts w:hint="eastAsia" w:ascii="宋体" w:hAnsi="宋体"/>
          <w:sz w:val="24"/>
          <w:szCs w:val="20"/>
          <w:u w:val="single"/>
          <w:lang w:val="en-US" w:eastAsia="zh-CN"/>
        </w:rPr>
        <w:t>（关键工序）</w:t>
      </w:r>
      <w:r>
        <w:rPr>
          <w:rFonts w:hint="eastAsia" w:ascii="宋体" w:hAnsi="宋体"/>
          <w:sz w:val="24"/>
          <w:szCs w:val="20"/>
          <w:lang w:val="en-US" w:eastAsia="zh-CN"/>
        </w:rPr>
        <w:t>⁵在中国境内完成。</w:t>
      </w:r>
    </w:p>
    <w:p>
      <w:pPr>
        <w:keepNext w:val="0"/>
        <w:keepLines w:val="0"/>
        <w:pageBreakBefore w:val="0"/>
        <w:widowControl w:val="0"/>
        <w:kinsoku/>
        <w:wordWrap/>
        <w:overflowPunct/>
        <w:topLinePunct w:val="0"/>
        <w:autoSpaceDE/>
        <w:autoSpaceDN/>
        <w:bidi w:val="0"/>
        <w:adjustRightInd/>
        <w:snapToGrid/>
        <w:spacing w:before="312" w:beforeLines="100" w:line="420" w:lineRule="exact"/>
        <w:ind w:firstLine="482"/>
        <w:jc w:val="left"/>
        <w:textAlignment w:val="auto"/>
        <w:rPr>
          <w:rFonts w:hint="eastAsia" w:ascii="宋体" w:hAnsi="宋体"/>
          <w:sz w:val="24"/>
          <w:szCs w:val="20"/>
          <w:lang w:val="en-US" w:eastAsia="zh-CN"/>
        </w:rPr>
      </w:pPr>
      <w:r>
        <w:rPr>
          <w:rFonts w:hint="eastAsia" w:ascii="宋体" w:hAnsi="宋体"/>
          <w:sz w:val="24"/>
          <w:szCs w:val="20"/>
          <w:lang w:val="en-US" w:eastAsia="zh-CN"/>
        </w:rPr>
        <w:t>2、</w:t>
      </w:r>
      <w:r>
        <w:rPr>
          <w:rFonts w:hint="eastAsia" w:ascii="宋体" w:hAnsi="宋体"/>
          <w:sz w:val="24"/>
          <w:szCs w:val="20"/>
          <w:u w:val="single"/>
          <w:lang w:val="en-US" w:eastAsia="zh-CN"/>
        </w:rPr>
        <w:t>（产品名称2）</w:t>
      </w:r>
      <w:r>
        <w:rPr>
          <w:rFonts w:hint="eastAsia" w:ascii="宋体" w:hAnsi="宋体"/>
          <w:sz w:val="24"/>
          <w:szCs w:val="20"/>
          <w:lang w:val="en-US" w:eastAsia="zh-CN"/>
        </w:rPr>
        <w:t>，生产厂为</w:t>
      </w:r>
      <w:r>
        <w:rPr>
          <w:rFonts w:hint="eastAsia" w:ascii="宋体" w:hAnsi="宋体"/>
          <w:sz w:val="24"/>
          <w:szCs w:val="20"/>
          <w:u w:val="single"/>
          <w:lang w:val="en-US" w:eastAsia="zh-CN"/>
        </w:rPr>
        <w:t>（厂名）</w:t>
      </w:r>
      <w:r>
        <w:rPr>
          <w:rFonts w:hint="eastAsia" w:ascii="宋体" w:hAnsi="宋体"/>
          <w:sz w:val="24"/>
          <w:szCs w:val="20"/>
          <w:lang w:val="en-US" w:eastAsia="zh-CN"/>
        </w:rPr>
        <w:t>²，厂址为</w:t>
      </w:r>
      <w:r>
        <w:rPr>
          <w:rFonts w:hint="eastAsia" w:ascii="宋体" w:hAnsi="宋体"/>
          <w:sz w:val="24"/>
          <w:szCs w:val="20"/>
          <w:u w:val="single"/>
          <w:lang w:val="en-US" w:eastAsia="zh-CN"/>
        </w:rPr>
        <w:t>（生产厂址）</w:t>
      </w:r>
      <w:r>
        <w:rPr>
          <w:rFonts w:hint="eastAsia" w:ascii="宋体" w:hAnsi="宋体"/>
          <w:sz w:val="24"/>
          <w:szCs w:val="20"/>
          <w:lang w:val="en-US" w:eastAsia="zh-CN"/>
        </w:rPr>
        <w:t>。</w:t>
      </w:r>
      <w:r>
        <w:rPr>
          <w:rFonts w:hint="eastAsia" w:ascii="宋体" w:hAnsi="宋体"/>
          <w:sz w:val="24"/>
          <w:szCs w:val="20"/>
          <w:u w:val="single"/>
          <w:lang w:val="en-US" w:eastAsia="zh-CN"/>
        </w:rPr>
        <w:t>（产品名称2）</w:t>
      </w:r>
      <w:r>
        <w:rPr>
          <w:rFonts w:hint="eastAsia" w:ascii="宋体" w:hAnsi="宋体"/>
          <w:sz w:val="24"/>
          <w:szCs w:val="20"/>
          <w:lang w:val="en-US" w:eastAsia="zh-CN"/>
        </w:rPr>
        <w:t>的中国境内生产的组件成本占比≥</w:t>
      </w:r>
      <w:r>
        <w:rPr>
          <w:rFonts w:hint="eastAsia" w:ascii="宋体" w:hAnsi="宋体"/>
          <w:sz w:val="24"/>
          <w:szCs w:val="20"/>
          <w:u w:val="single"/>
          <w:lang w:val="en-US" w:eastAsia="zh-CN"/>
        </w:rPr>
        <w:t>（规定比例）</w:t>
      </w:r>
      <w:r>
        <w:rPr>
          <w:rFonts w:hint="eastAsia" w:ascii="宋体" w:hAnsi="宋体"/>
          <w:sz w:val="24"/>
          <w:szCs w:val="20"/>
          <w:lang w:val="en-US" w:eastAsia="zh-CN"/>
        </w:rPr>
        <w:t>³。</w:t>
      </w:r>
      <w:r>
        <w:rPr>
          <w:rFonts w:hint="eastAsia" w:ascii="宋体" w:hAnsi="宋体"/>
          <w:sz w:val="24"/>
          <w:szCs w:val="20"/>
          <w:u w:val="single"/>
          <w:lang w:val="en-US" w:eastAsia="zh-CN"/>
        </w:rPr>
        <w:t>（产品名称2）</w:t>
      </w:r>
      <w:r>
        <w:rPr>
          <w:rFonts w:hint="eastAsia" w:ascii="宋体" w:hAnsi="宋体"/>
          <w:sz w:val="24"/>
          <w:szCs w:val="20"/>
          <w:lang w:val="en-US" w:eastAsia="zh-CN"/>
        </w:rPr>
        <w:t>的</w:t>
      </w:r>
      <w:r>
        <w:rPr>
          <w:rFonts w:hint="eastAsia" w:ascii="宋体" w:hAnsi="宋体"/>
          <w:sz w:val="24"/>
          <w:szCs w:val="20"/>
          <w:u w:val="single"/>
          <w:lang w:val="en-US" w:eastAsia="zh-CN"/>
        </w:rPr>
        <w:t>（关键组件）</w:t>
      </w:r>
      <w:r>
        <w:rPr>
          <w:rFonts w:hint="eastAsia" w:ascii="宋体" w:hAnsi="宋体"/>
          <w:sz w:val="24"/>
          <w:szCs w:val="20"/>
          <w:lang w:val="en-US" w:eastAsia="zh-CN"/>
        </w:rPr>
        <w:t>⁴在中国境内生产。</w:t>
      </w:r>
      <w:r>
        <w:rPr>
          <w:rFonts w:hint="eastAsia" w:ascii="宋体" w:hAnsi="宋体"/>
          <w:sz w:val="24"/>
          <w:szCs w:val="20"/>
          <w:u w:val="single"/>
          <w:lang w:val="en-US" w:eastAsia="zh-CN"/>
        </w:rPr>
        <w:t>（产品名称2）</w:t>
      </w:r>
      <w:r>
        <w:rPr>
          <w:rFonts w:hint="eastAsia" w:ascii="宋体" w:hAnsi="宋体"/>
          <w:sz w:val="24"/>
          <w:szCs w:val="20"/>
          <w:lang w:val="en-US" w:eastAsia="zh-CN"/>
        </w:rPr>
        <w:t>的</w:t>
      </w:r>
      <w:r>
        <w:rPr>
          <w:rFonts w:hint="eastAsia" w:ascii="宋体" w:hAnsi="宋体"/>
          <w:sz w:val="24"/>
          <w:szCs w:val="20"/>
          <w:u w:val="single"/>
          <w:lang w:val="en-US" w:eastAsia="zh-CN"/>
        </w:rPr>
        <w:t>（关键工序）</w:t>
      </w:r>
      <w:r>
        <w:rPr>
          <w:rFonts w:hint="eastAsia" w:ascii="宋体" w:hAnsi="宋体"/>
          <w:sz w:val="24"/>
          <w:szCs w:val="20"/>
          <w:lang w:val="en-US" w:eastAsia="zh-CN"/>
        </w:rPr>
        <w:t>⁵在中国境内完成。</w:t>
      </w:r>
    </w:p>
    <w:p>
      <w:pPr>
        <w:keepNext w:val="0"/>
        <w:keepLines w:val="0"/>
        <w:pageBreakBefore w:val="0"/>
        <w:widowControl w:val="0"/>
        <w:kinsoku/>
        <w:wordWrap/>
        <w:overflowPunct/>
        <w:topLinePunct w:val="0"/>
        <w:autoSpaceDE/>
        <w:autoSpaceDN/>
        <w:bidi w:val="0"/>
        <w:adjustRightInd/>
        <w:snapToGrid/>
        <w:spacing w:before="312" w:beforeLines="100" w:line="420" w:lineRule="exact"/>
        <w:ind w:firstLine="482"/>
        <w:jc w:val="left"/>
        <w:textAlignment w:val="auto"/>
        <w:rPr>
          <w:rFonts w:hint="eastAsia" w:ascii="宋体" w:hAnsi="宋体"/>
          <w:sz w:val="24"/>
          <w:szCs w:val="20"/>
          <w:lang w:val="en-US" w:eastAsia="zh-CN"/>
        </w:rPr>
      </w:pPr>
      <w:r>
        <w:rPr>
          <w:rFonts w:hint="eastAsia" w:ascii="宋体" w:hAnsi="宋体"/>
          <w:sz w:val="24"/>
          <w:szCs w:val="20"/>
          <w:lang w:val="en-US" w:eastAsia="zh-CN"/>
        </w:rPr>
        <w:t>……</w:t>
      </w:r>
    </w:p>
    <w:p>
      <w:pPr>
        <w:keepNext w:val="0"/>
        <w:keepLines w:val="0"/>
        <w:pageBreakBefore w:val="0"/>
        <w:widowControl w:val="0"/>
        <w:kinsoku/>
        <w:wordWrap/>
        <w:overflowPunct/>
        <w:topLinePunct w:val="0"/>
        <w:autoSpaceDE/>
        <w:autoSpaceDN/>
        <w:bidi w:val="0"/>
        <w:adjustRightInd/>
        <w:snapToGrid/>
        <w:spacing w:before="312" w:beforeLines="100" w:line="420" w:lineRule="exact"/>
        <w:ind w:firstLine="482"/>
        <w:jc w:val="left"/>
        <w:textAlignment w:val="auto"/>
        <w:rPr>
          <w:rFonts w:hint="eastAsia" w:ascii="宋体" w:hAnsi="宋体"/>
          <w:sz w:val="24"/>
          <w:szCs w:val="20"/>
          <w:lang w:val="en-US" w:eastAsia="zh-CN"/>
        </w:rPr>
      </w:pPr>
      <w:r>
        <w:rPr>
          <w:rFonts w:hint="eastAsia" w:ascii="宋体" w:hAnsi="宋体"/>
          <w:sz w:val="24"/>
          <w:szCs w:val="20"/>
          <w:lang w:val="en-US" w:eastAsia="zh-CN"/>
        </w:rPr>
        <w:t>本公司（单位）对上述声明内容的真实性负责。如有虚假，愿承担相应法律责任。</w:t>
      </w:r>
    </w:p>
    <w:p>
      <w:pPr>
        <w:keepNext w:val="0"/>
        <w:keepLines w:val="0"/>
        <w:pageBreakBefore w:val="0"/>
        <w:widowControl w:val="0"/>
        <w:kinsoku/>
        <w:wordWrap/>
        <w:overflowPunct/>
        <w:topLinePunct w:val="0"/>
        <w:autoSpaceDE/>
        <w:autoSpaceDN/>
        <w:bidi w:val="0"/>
        <w:adjustRightInd/>
        <w:snapToGrid/>
        <w:spacing w:before="312" w:beforeLines="100" w:line="420" w:lineRule="exact"/>
        <w:ind w:firstLine="482"/>
        <w:jc w:val="left"/>
        <w:textAlignment w:val="auto"/>
        <w:rPr>
          <w:rFonts w:hint="eastAsia" w:ascii="宋体" w:hAnsi="宋体"/>
          <w:sz w:val="24"/>
          <w:szCs w:val="20"/>
          <w:lang w:val="en-US" w:eastAsia="zh-CN"/>
        </w:rPr>
      </w:pPr>
      <w:r>
        <w:rPr>
          <w:rFonts w:hint="eastAsia" w:ascii="宋体" w:hAnsi="宋体"/>
          <w:sz w:val="24"/>
          <w:szCs w:val="20"/>
          <w:lang w:val="en-US" w:eastAsia="zh-CN"/>
        </w:rPr>
        <w:t>公司（单位）名称（盖章）：</w:t>
      </w:r>
    </w:p>
    <w:p>
      <w:pPr>
        <w:keepNext w:val="0"/>
        <w:keepLines w:val="0"/>
        <w:pageBreakBefore w:val="0"/>
        <w:widowControl w:val="0"/>
        <w:kinsoku/>
        <w:wordWrap/>
        <w:overflowPunct/>
        <w:topLinePunct w:val="0"/>
        <w:autoSpaceDE/>
        <w:autoSpaceDN/>
        <w:bidi w:val="0"/>
        <w:adjustRightInd/>
        <w:snapToGrid/>
        <w:spacing w:before="312" w:beforeLines="100" w:line="420" w:lineRule="exact"/>
        <w:ind w:firstLine="482"/>
        <w:jc w:val="left"/>
        <w:textAlignment w:val="auto"/>
        <w:rPr>
          <w:rFonts w:hint="eastAsia" w:ascii="宋体" w:hAnsi="宋体"/>
          <w:sz w:val="24"/>
          <w:szCs w:val="20"/>
          <w:lang w:val="en-US" w:eastAsia="zh-CN"/>
        </w:rPr>
      </w:pPr>
      <w:r>
        <w:rPr>
          <w:rFonts w:hint="eastAsia" w:ascii="宋体" w:hAnsi="宋体"/>
          <w:sz w:val="24"/>
          <w:szCs w:val="20"/>
          <w:lang w:val="en-US" w:eastAsia="zh-CN"/>
        </w:rPr>
        <w:t>日期： 年 月 日</w:t>
      </w:r>
    </w:p>
    <w:p>
      <w:pPr>
        <w:keepNext w:val="0"/>
        <w:keepLines w:val="0"/>
        <w:pageBreakBefore w:val="0"/>
        <w:widowControl w:val="0"/>
        <w:kinsoku/>
        <w:wordWrap/>
        <w:overflowPunct/>
        <w:topLinePunct w:val="0"/>
        <w:autoSpaceDE/>
        <w:autoSpaceDN/>
        <w:bidi w:val="0"/>
        <w:adjustRightInd/>
        <w:snapToGrid/>
        <w:spacing w:before="312" w:beforeLines="100" w:line="420" w:lineRule="exact"/>
        <w:ind w:firstLine="482"/>
        <w:jc w:val="left"/>
        <w:textAlignment w:val="auto"/>
        <w:rPr>
          <w:rFonts w:hint="eastAsia" w:ascii="宋体" w:hAnsi="宋体"/>
          <w:sz w:val="24"/>
          <w:szCs w:val="20"/>
          <w:lang w:val="en-US" w:eastAsia="zh-CN"/>
        </w:rPr>
      </w:pPr>
      <w:r>
        <w:rPr>
          <w:rFonts w:hint="eastAsia" w:ascii="宋体" w:hAnsi="宋体"/>
          <w:sz w:val="24"/>
          <w:szCs w:val="20"/>
          <w:lang w:val="en-US" w:eastAsia="zh-CN"/>
        </w:rPr>
        <w:t>备注</w:t>
      </w:r>
    </w:p>
    <w:p>
      <w:pPr>
        <w:keepNext w:val="0"/>
        <w:keepLines w:val="0"/>
        <w:pageBreakBefore w:val="0"/>
        <w:widowControl w:val="0"/>
        <w:kinsoku/>
        <w:wordWrap/>
        <w:overflowPunct/>
        <w:topLinePunct w:val="0"/>
        <w:autoSpaceDE/>
        <w:autoSpaceDN/>
        <w:bidi w:val="0"/>
        <w:adjustRightInd/>
        <w:snapToGrid/>
        <w:spacing w:before="312" w:beforeLines="100" w:line="420" w:lineRule="exact"/>
        <w:ind w:firstLine="482"/>
        <w:jc w:val="left"/>
        <w:textAlignment w:val="auto"/>
        <w:rPr>
          <w:rFonts w:hint="eastAsia" w:ascii="宋体" w:hAnsi="宋体"/>
          <w:sz w:val="24"/>
          <w:szCs w:val="20"/>
          <w:lang w:val="en-US" w:eastAsia="zh-CN"/>
        </w:rPr>
      </w:pPr>
      <w:r>
        <w:rPr>
          <w:rFonts w:hint="eastAsia" w:ascii="宋体" w:hAnsi="宋体"/>
          <w:sz w:val="24"/>
          <w:szCs w:val="20"/>
          <w:lang w:val="en-US" w:eastAsia="zh-CN"/>
        </w:rPr>
        <w:t>产品如有型号，请在“产品名称”栏一并填写。</w:t>
      </w:r>
    </w:p>
    <w:p>
      <w:pPr>
        <w:keepNext w:val="0"/>
        <w:keepLines w:val="0"/>
        <w:pageBreakBefore w:val="0"/>
        <w:widowControl w:val="0"/>
        <w:kinsoku/>
        <w:wordWrap/>
        <w:overflowPunct/>
        <w:topLinePunct w:val="0"/>
        <w:autoSpaceDE/>
        <w:autoSpaceDN/>
        <w:bidi w:val="0"/>
        <w:adjustRightInd/>
        <w:snapToGrid/>
        <w:spacing w:before="312" w:beforeLines="100" w:line="420" w:lineRule="exact"/>
        <w:ind w:firstLine="482"/>
        <w:jc w:val="left"/>
        <w:textAlignment w:val="auto"/>
        <w:rPr>
          <w:rFonts w:hint="eastAsia" w:ascii="宋体" w:hAnsi="宋体"/>
          <w:sz w:val="24"/>
          <w:szCs w:val="20"/>
          <w:lang w:val="en-US" w:eastAsia="zh-CN"/>
        </w:rPr>
      </w:pPr>
      <w:r>
        <w:rPr>
          <w:rFonts w:hint="eastAsia" w:ascii="宋体" w:hAnsi="宋体"/>
          <w:sz w:val="24"/>
          <w:szCs w:val="20"/>
          <w:lang w:val="en-US" w:eastAsia="zh-CN"/>
        </w:rPr>
        <w:t>生产厂名与厂址应与生产厂营业执照载明的相关信息保持一致。</w:t>
      </w:r>
    </w:p>
    <w:p>
      <w:pPr>
        <w:keepNext w:val="0"/>
        <w:keepLines w:val="0"/>
        <w:pageBreakBefore w:val="0"/>
        <w:widowControl w:val="0"/>
        <w:kinsoku/>
        <w:wordWrap/>
        <w:overflowPunct/>
        <w:topLinePunct w:val="0"/>
        <w:autoSpaceDE/>
        <w:autoSpaceDN/>
        <w:bidi w:val="0"/>
        <w:adjustRightInd/>
        <w:snapToGrid/>
        <w:spacing w:before="312" w:beforeLines="100" w:line="420" w:lineRule="exact"/>
        <w:ind w:firstLine="482"/>
        <w:jc w:val="left"/>
        <w:textAlignment w:val="auto"/>
        <w:rPr>
          <w:rFonts w:hint="eastAsia" w:ascii="宋体" w:hAnsi="宋体"/>
          <w:sz w:val="24"/>
          <w:szCs w:val="20"/>
          <w:lang w:val="en-US" w:eastAsia="zh-CN"/>
        </w:rPr>
      </w:pPr>
      <w:r>
        <w:rPr>
          <w:rFonts w:hint="eastAsia" w:ascii="宋体" w:hAnsi="宋体"/>
          <w:sz w:val="24"/>
          <w:szCs w:val="20"/>
          <w:lang w:val="en-US" w:eastAsia="zh-CN"/>
        </w:rPr>
        <w:t>该产品的中国境内生产的组件成本占比相关要求实施前，“规定比例”栏可不填，下同。</w:t>
      </w:r>
    </w:p>
    <w:p>
      <w:pPr>
        <w:keepNext w:val="0"/>
        <w:keepLines w:val="0"/>
        <w:pageBreakBefore w:val="0"/>
        <w:widowControl w:val="0"/>
        <w:kinsoku/>
        <w:wordWrap/>
        <w:overflowPunct/>
        <w:topLinePunct w:val="0"/>
        <w:autoSpaceDE/>
        <w:autoSpaceDN/>
        <w:bidi w:val="0"/>
        <w:adjustRightInd/>
        <w:snapToGrid/>
        <w:spacing w:before="312" w:beforeLines="100" w:line="420" w:lineRule="exact"/>
        <w:ind w:firstLine="482"/>
        <w:jc w:val="left"/>
        <w:textAlignment w:val="auto"/>
        <w:rPr>
          <w:rFonts w:hint="eastAsia" w:ascii="宋体" w:hAnsi="宋体"/>
          <w:sz w:val="24"/>
          <w:szCs w:val="20"/>
          <w:lang w:val="en-US" w:eastAsia="zh-CN"/>
        </w:rPr>
      </w:pPr>
      <w:r>
        <w:rPr>
          <w:rFonts w:hint="eastAsia" w:ascii="宋体" w:hAnsi="宋体"/>
          <w:sz w:val="24"/>
          <w:szCs w:val="20"/>
          <w:lang w:val="en-US" w:eastAsia="zh-CN"/>
        </w:rPr>
        <w:t>该产品的关键组件要求实施前，“关键组件”栏可不填，下同。</w:t>
      </w:r>
    </w:p>
    <w:p>
      <w:pPr>
        <w:keepNext w:val="0"/>
        <w:keepLines w:val="0"/>
        <w:pageBreakBefore w:val="0"/>
        <w:widowControl w:val="0"/>
        <w:kinsoku/>
        <w:wordWrap/>
        <w:overflowPunct/>
        <w:topLinePunct w:val="0"/>
        <w:autoSpaceDE/>
        <w:autoSpaceDN/>
        <w:bidi w:val="0"/>
        <w:adjustRightInd/>
        <w:snapToGrid/>
        <w:spacing w:before="312" w:beforeLines="100" w:line="420" w:lineRule="exact"/>
        <w:ind w:firstLine="482"/>
        <w:jc w:val="left"/>
        <w:textAlignment w:val="auto"/>
        <w:rPr>
          <w:rFonts w:hint="eastAsia" w:ascii="宋体" w:hAnsi="宋体" w:eastAsia="宋体" w:cs="宋体"/>
          <w:spacing w:val="6"/>
          <w:sz w:val="24"/>
          <w:szCs w:val="24"/>
        </w:rPr>
      </w:pPr>
      <w:r>
        <w:rPr>
          <w:rFonts w:hint="eastAsia" w:ascii="宋体" w:hAnsi="宋体"/>
          <w:sz w:val="24"/>
          <w:szCs w:val="20"/>
          <w:lang w:val="en-US" w:eastAsia="zh-CN"/>
        </w:rPr>
        <w:t>该产品的关键工序要求实施前，“关键工序”栏可不填，下同。</w:t>
      </w:r>
    </w:p>
    <w:sectPr>
      <w:headerReference r:id="rId25" w:type="default"/>
      <w:footerReference r:id="rId26" w:type="default"/>
      <w:pgSz w:w="11900" w:h="16838"/>
      <w:pgMar w:top="1134" w:right="1270" w:bottom="992" w:left="1559" w:header="567" w:footer="567" w:gutter="0"/>
      <w:pgNumType w:start="1"/>
      <w:cols w:space="0" w:num="1"/>
      <w:docGrid w:type="lines" w:linePitch="36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angal">
    <w:altName w:val="Segoe Print"/>
    <w:panose1 w:val="00000400000000000000"/>
    <w:charset w:val="01"/>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63795"/>
      <w:showingPlcHdr/>
    </w:sdtPr>
    <w:sdtContent>
      <w:p>
        <w:pPr>
          <w:pStyle w:val="14"/>
        </w:pPr>
        <w:r>
          <w:rPr>
            <w:rFonts w:hint="eastAsia"/>
          </w:rPr>
          <w:t xml:space="preserve">     </w:t>
        </w:r>
      </w:p>
    </w:sdtContent>
  </w:sdt>
  <w:p>
    <w:pPr>
      <w:pStyle w:val="14"/>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8" w:lineRule="auto"/>
      <w:ind w:left="4088"/>
      <w:rPr>
        <w:rFonts w:ascii="Calibri" w:hAnsi="Calibri" w:eastAsia="Calibri" w:cs="Calibri"/>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tabs>
                              <w:tab w:val="center" w:pos="4153"/>
                              <w:tab w:val="right" w:pos="8306"/>
                            </w:tabs>
                          </w:pPr>
                          <w:r>
                            <w:fldChar w:fldCharType="begin"/>
                          </w:r>
                          <w:r>
                            <w:instrText xml:space="preserve"> PAGE  \* MERGEFORMAT </w:instrText>
                          </w:r>
                          <w:r>
                            <w:fldChar w:fldCharType="separate"/>
                          </w:r>
                          <w:r>
                            <w:t>97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1nbycsAgAAVwQAAA4AAABkcnMvZTJvRG9jLnhtbK1UzY7TMBC+I/EO&#10;lu80bVes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n31dpwuXDwAlxo5Iomu2GiFdtf2zHam&#10;OIGYM91seMs3NZJvmQ/3zGEYUDCeS7jDUkqDJKa3KKmM+/qv8xiPHsFLSYPhyqnGW6JEftDoHQDD&#10;YLjB2A2GPqhbg2lFO1BLMnHBBTmYpTPqC97QKuaAi2mOTDkNg3kbugHHG+RitUpBmDbLwlY/WB6h&#10;o3jerg4BAiZdoyidEr1WmLfUmf5txIH+c5+inv4Hy0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DWdvJywCAABXBAAADgAAAAAAAAABACAAAAAfAQAAZHJzL2Uyb0RvYy54bWxQSwUGAAAAAAYA&#10;BgBZAQAAvQUAAAAA&#10;">
              <v:fill on="f" focussize="0,0"/>
              <v:stroke on="f" weight="0.5pt"/>
              <v:imagedata o:title=""/>
              <o:lock v:ext="edit" aspectratio="f"/>
              <v:textbox inset="0mm,0mm,0mm,0mm" style="mso-fit-shape-to-text:t;">
                <w:txbxContent>
                  <w:p>
                    <w:pPr>
                      <w:pStyle w:val="14"/>
                      <w:tabs>
                        <w:tab w:val="center" w:pos="4153"/>
                        <w:tab w:val="right" w:pos="8306"/>
                      </w:tabs>
                    </w:pPr>
                    <w:r>
                      <w:fldChar w:fldCharType="begin"/>
                    </w:r>
                    <w:r>
                      <w:instrText xml:space="preserve"> PAGE  \* MERGEFORMAT </w:instrText>
                    </w:r>
                    <w:r>
                      <w:fldChar w:fldCharType="separate"/>
                    </w:r>
                    <w:r>
                      <w:t>97</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191"/>
      <w:rPr>
        <w:rFonts w:ascii="Calibri" w:hAnsi="Calibri" w:eastAsia="Calibri" w:cs="Calibri"/>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tabs>
                              <w:tab w:val="center" w:pos="4153"/>
                              <w:tab w:val="right" w:pos="8306"/>
                            </w:tabs>
                          </w:pPr>
                          <w:r>
                            <w:fldChar w:fldCharType="begin"/>
                          </w:r>
                          <w:r>
                            <w:instrText xml:space="preserve"> PAGE  \* MERGEFORMAT </w:instrText>
                          </w:r>
                          <w:r>
                            <w:fldChar w:fldCharType="separate"/>
                          </w:r>
                          <w:r>
                            <w:t>98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38yactAgAAV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F38yactAgAAVwQAAA4AAAAAAAAAAQAgAAAAHwEAAGRycy9lMm9Eb2MueG1sUEsFBgAAAAAG&#10;AAYAWQEAAL4FAAAAAA==&#10;">
              <v:fill on="f" focussize="0,0"/>
              <v:stroke on="f" weight="0.5pt"/>
              <v:imagedata o:title=""/>
              <o:lock v:ext="edit" aspectratio="f"/>
              <v:textbox inset="0mm,0mm,0mm,0mm" style="mso-fit-shape-to-text:t;">
                <w:txbxContent>
                  <w:p>
                    <w:pPr>
                      <w:pStyle w:val="14"/>
                      <w:tabs>
                        <w:tab w:val="center" w:pos="4153"/>
                        <w:tab w:val="right" w:pos="8306"/>
                      </w:tabs>
                    </w:pPr>
                    <w:r>
                      <w:fldChar w:fldCharType="begin"/>
                    </w:r>
                    <w:r>
                      <w:instrText xml:space="preserve"> PAGE  \* MERGEFORMAT </w:instrText>
                    </w:r>
                    <w:r>
                      <w:fldChar w:fldCharType="separate"/>
                    </w:r>
                    <w:r>
                      <w:t>98</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088"/>
      <w:rPr>
        <w:rFonts w:ascii="Calibri" w:hAnsi="Calibri" w:eastAsia="Calibri" w:cs="Calibri"/>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tabs>
                              <w:tab w:val="center" w:pos="4153"/>
                              <w:tab w:val="right" w:pos="8306"/>
                            </w:tabs>
                          </w:pPr>
                          <w:r>
                            <w:fldChar w:fldCharType="begin"/>
                          </w:r>
                          <w:r>
                            <w:instrText xml:space="preserve"> PAGE  \* MERGEFORMAT </w:instrText>
                          </w:r>
                          <w:r>
                            <w:fldChar w:fldCharType="separate"/>
                          </w:r>
                          <w:r>
                            <w:t>99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xXU/0tAgAAVwQAAA4AAAAAAAAAAQAgAAAAHwEAAGRycy9lMm9Eb2MueG1sUEsFBgAAAAAG&#10;AAYAWQEAAL4FAAAAAA==&#10;">
              <v:fill on="f" focussize="0,0"/>
              <v:stroke on="f" weight="0.5pt"/>
              <v:imagedata o:title=""/>
              <o:lock v:ext="edit" aspectratio="f"/>
              <v:textbox inset="0mm,0mm,0mm,0mm" style="mso-fit-shape-to-text:t;">
                <w:txbxContent>
                  <w:p>
                    <w:pPr>
                      <w:pStyle w:val="14"/>
                      <w:tabs>
                        <w:tab w:val="center" w:pos="4153"/>
                        <w:tab w:val="right" w:pos="8306"/>
                      </w:tabs>
                    </w:pPr>
                    <w:r>
                      <w:fldChar w:fldCharType="begin"/>
                    </w:r>
                    <w:r>
                      <w:instrText xml:space="preserve"> PAGE  \* MERGEFORMAT </w:instrText>
                    </w:r>
                    <w:r>
                      <w:fldChar w:fldCharType="separate"/>
                    </w:r>
                    <w:r>
                      <w:t>99</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8" w:lineRule="auto"/>
      <w:ind w:left="4083"/>
      <w:rPr>
        <w:rFonts w:ascii="Calibri" w:hAnsi="Calibri" w:eastAsia="Calibri" w:cs="Calibri"/>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tabs>
                              <w:tab w:val="center" w:pos="4153"/>
                              <w:tab w:val="right" w:pos="8306"/>
                            </w:tabs>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NNQg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n31dpwuXDwAlxo5IonusdEK7a7tme1M&#10;cQIxZ7re8JZvaiTfMh/umUMz4MEYl3CHpZQGSUxvUVIZ9/Vf5zEeNYKXkgbNlVONWaJEftCoHQDD&#10;YLjB2A2GPqhbg26dYAwtTyYuuCAHs3RGfcEMrWIOuJjmyJTTMJi3oWtwzCAXq1UKQrdZFrb6wfII&#10;HcXzdnUIEDDpGkXplOi1Qr+lyvSzERv6z32Kevof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ZNNQgtAgAAVwQAAA4AAAAAAAAAAQAgAAAAHwEAAGRycy9lMm9Eb2MueG1sUEsFBgAAAAAG&#10;AAYAWQEAAL4FAAAAAA==&#10;">
              <v:fill on="f" focussize="0,0"/>
              <v:stroke on="f" weight="0.5pt"/>
              <v:imagedata o:title=""/>
              <o:lock v:ext="edit" aspectratio="f"/>
              <v:textbox inset="0mm,0mm,0mm,0mm" style="mso-fit-shape-to-text:t;">
                <w:txbxContent>
                  <w:p>
                    <w:pPr>
                      <w:pStyle w:val="14"/>
                      <w:tabs>
                        <w:tab w:val="center" w:pos="4153"/>
                        <w:tab w:val="right" w:pos="8306"/>
                      </w:tabs>
                    </w:pPr>
                    <w:r>
                      <w:fldChar w:fldCharType="begin"/>
                    </w:r>
                    <w:r>
                      <w:instrText xml:space="preserve"> PAGE  \* MERGEFORMAT </w:instrText>
                    </w:r>
                    <w:r>
                      <w:fldChar w:fldCharType="separate"/>
                    </w:r>
                    <w:r>
                      <w:t>100</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083"/>
      <w:rPr>
        <w:rFonts w:ascii="Calibri" w:hAnsi="Calibri" w:eastAsia="Calibri" w:cs="Calibri"/>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tabs>
                              <w:tab w:val="center" w:pos="4153"/>
                              <w:tab w:val="right" w:pos="8306"/>
                            </w:tabs>
                          </w:pPr>
                          <w:r>
                            <w:fldChar w:fldCharType="begin"/>
                          </w:r>
                          <w:r>
                            <w:instrText xml:space="preserve"> PAGE  \* MERGEFORMAT </w:instrText>
                          </w:r>
                          <w:r>
                            <w:fldChar w:fldCharType="separate"/>
                          </w:r>
                          <w:r>
                            <w:t>101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4AZkgtAgAAVwQAAA4AAABkcnMvZTJvRG9jLnhtbK1UzY7TMBC+I/EO&#10;lu80aVes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b56n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I4AZkgtAgAAVwQAAA4AAAAAAAAAAQAgAAAAHwEAAGRycy9lMm9Eb2MueG1sUEsFBgAAAAAG&#10;AAYAWQEAAL4FAAAAAA==&#10;">
              <v:fill on="f" focussize="0,0"/>
              <v:stroke on="f" weight="0.5pt"/>
              <v:imagedata o:title=""/>
              <o:lock v:ext="edit" aspectratio="f"/>
              <v:textbox inset="0mm,0mm,0mm,0mm" style="mso-fit-shape-to-text:t;">
                <w:txbxContent>
                  <w:p>
                    <w:pPr>
                      <w:pStyle w:val="14"/>
                      <w:tabs>
                        <w:tab w:val="center" w:pos="4153"/>
                        <w:tab w:val="right" w:pos="8306"/>
                      </w:tabs>
                    </w:pPr>
                    <w:r>
                      <w:fldChar w:fldCharType="begin"/>
                    </w:r>
                    <w:r>
                      <w:instrText xml:space="preserve"> PAGE  \* MERGEFORMAT </w:instrText>
                    </w:r>
                    <w:r>
                      <w:fldChar w:fldCharType="separate"/>
                    </w:r>
                    <w:r>
                      <w:t>101</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83592"/>
                          </w:sdtPr>
                          <w:sdtContent>
                            <w:p>
                              <w:pPr>
                                <w:pStyle w:val="14"/>
                              </w:pPr>
                              <w:r>
                                <w:fldChar w:fldCharType="begin"/>
                              </w:r>
                              <w:r>
                                <w:instrText xml:space="preserve"> PAGE   \* MERGEFORMAT </w:instrText>
                              </w:r>
                              <w:r>
                                <w:fldChar w:fldCharType="separate"/>
                              </w:r>
                              <w:r>
                                <w:rPr>
                                  <w:lang w:val="zh-CN"/>
                                </w:rPr>
                                <w:t>5</w:t>
                              </w:r>
                              <w:r>
                                <w:rPr>
                                  <w:lang w:val="zh-CN"/>
                                </w:rPr>
                                <w:fldChar w:fldCharType="end"/>
                              </w:r>
                            </w:p>
                          </w:sdtContent>
                        </w:sd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sdt>
                    <w:sdtPr>
                      <w:id w:val="147483592"/>
                    </w:sdtPr>
                    <w:sdtContent>
                      <w:p>
                        <w:pPr>
                          <w:pStyle w:val="14"/>
                        </w:pPr>
                        <w:r>
                          <w:fldChar w:fldCharType="begin"/>
                        </w:r>
                        <w:r>
                          <w:instrText xml:space="preserve"> PAGE   \* MERGEFORMAT </w:instrText>
                        </w:r>
                        <w:r>
                          <w:fldChar w:fldCharType="separate"/>
                        </w:r>
                        <w:r>
                          <w:rPr>
                            <w:lang w:val="zh-CN"/>
                          </w:rPr>
                          <w:t>5</w:t>
                        </w:r>
                        <w:r>
                          <w:rPr>
                            <w:lang w:val="zh-CN"/>
                          </w:rPr>
                          <w:fldChar w:fldCharType="end"/>
                        </w:r>
                      </w:p>
                    </w:sdtContent>
                  </w:sdt>
                  <w:p/>
                </w:txbxContent>
              </v:textbox>
            </v:shape>
          </w:pict>
        </mc:Fallback>
      </mc:AlternateContent>
    </w:r>
  </w:p>
  <w:p>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098"/>
      <w:rPr>
        <w:rFonts w:ascii="Calibri" w:hAnsi="Calibri" w:eastAsia="Calibri" w:cs="Calibri"/>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tabs>
                              <w:tab w:val="center" w:pos="4153"/>
                              <w:tab w:val="right" w:pos="8306"/>
                            </w:tabs>
                          </w:pPr>
                          <w:r>
                            <w:fldChar w:fldCharType="begin"/>
                          </w:r>
                          <w:r>
                            <w:instrText xml:space="preserve"> PAGE  \* MERGEFORMAT </w:instrText>
                          </w:r>
                          <w:r>
                            <w:fldChar w:fldCharType="separate"/>
                          </w:r>
                          <w:r>
                            <w:t>89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pPr>
                      <w:pStyle w:val="14"/>
                      <w:tabs>
                        <w:tab w:val="center" w:pos="4153"/>
                        <w:tab w:val="right" w:pos="8306"/>
                      </w:tabs>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098"/>
      <w:rPr>
        <w:rFonts w:ascii="Calibri" w:hAnsi="Calibri" w:eastAsia="Calibri" w:cs="Calibri"/>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tabs>
                              <w:tab w:val="center" w:pos="4153"/>
                              <w:tab w:val="right" w:pos="8306"/>
                            </w:tabs>
                          </w:pPr>
                          <w:r>
                            <w:fldChar w:fldCharType="begin"/>
                          </w:r>
                          <w:r>
                            <w:instrText xml:space="preserve"> PAGE  \* MERGEFORMAT </w:instrText>
                          </w:r>
                          <w:r>
                            <w:fldChar w:fldCharType="separate"/>
                          </w:r>
                          <w:r>
                            <w:t>90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pPr>
                      <w:pStyle w:val="14"/>
                      <w:tabs>
                        <w:tab w:val="center" w:pos="4153"/>
                        <w:tab w:val="right" w:pos="8306"/>
                      </w:tabs>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rPr>
        <w:rFonts w:ascii="Calibri" w:hAnsi="Calibri" w:eastAsia="Calibri" w:cs="Calibri"/>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tabs>
                              <w:tab w:val="center" w:pos="4153"/>
                              <w:tab w:val="right" w:pos="8306"/>
                            </w:tabs>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JScb8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yUnG/KwIAAFcEAAAOAAAAAAAAAAEAIAAAAB8BAABkcnMvZTJvRG9jLnhtbFBLBQYAAAAABgAG&#10;AFkBAAC8BQAAAAA=&#10;">
              <v:fill on="f" focussize="0,0"/>
              <v:stroke on="f" weight="0.5pt"/>
              <v:imagedata o:title=""/>
              <o:lock v:ext="edit" aspectratio="f"/>
              <v:textbox inset="0mm,0mm,0mm,0mm" style="mso-fit-shape-to-text:t;">
                <w:txbxContent>
                  <w:p>
                    <w:pPr>
                      <w:pStyle w:val="14"/>
                      <w:tabs>
                        <w:tab w:val="center" w:pos="4153"/>
                        <w:tab w:val="right" w:pos="8306"/>
                      </w:tabs>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098"/>
      <w:rPr>
        <w:rFonts w:ascii="Calibri" w:hAnsi="Calibri" w:eastAsia="Calibri" w:cs="Calibri"/>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tabs>
                              <w:tab w:val="center" w:pos="4153"/>
                              <w:tab w:val="right" w:pos="8306"/>
                            </w:tabs>
                          </w:pPr>
                          <w:r>
                            <w:fldChar w:fldCharType="begin"/>
                          </w:r>
                          <w:r>
                            <w:instrText xml:space="preserve"> PAGE  \* MERGEFORMAT </w:instrText>
                          </w:r>
                          <w:r>
                            <w:fldChar w:fldCharType="separate"/>
                          </w:r>
                          <w:r>
                            <w:t>92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fIv8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NXJEEl2x0Qrtvu2Z7U1x&#10;BjFnutnwlm9qJN8yHx6YwzCgYDyXcI+llAZJTG9RUhn35V/nMR49gpeSBsOVU423RIl8r9E7AIbB&#10;cIOxHwx9VHcG04p2oJZk4oILcjBLZ9RnvKFVzAEX0xyZchoG8y50A443yMVqlYIwbZaFrd5ZHqGj&#10;eN6ujgECJl2jKJ0SvVaYt9SZ/m3Egf5zn6Ie/wf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HyL/KwIAAFcEAAAOAAAAAAAAAAEAIAAAAB8BAABkcnMvZTJvRG9jLnhtbFBLBQYAAAAABgAG&#10;AFkBAAC8BQAAAAA=&#10;">
              <v:fill on="f" focussize="0,0"/>
              <v:stroke on="f" weight="0.5pt"/>
              <v:imagedata o:title=""/>
              <o:lock v:ext="edit" aspectratio="f"/>
              <v:textbox inset="0mm,0mm,0mm,0mm" style="mso-fit-shape-to-text:t;">
                <w:txbxContent>
                  <w:p>
                    <w:pPr>
                      <w:pStyle w:val="14"/>
                      <w:tabs>
                        <w:tab w:val="center" w:pos="4153"/>
                        <w:tab w:val="right" w:pos="8306"/>
                      </w:tabs>
                    </w:pPr>
                    <w:r>
                      <w:fldChar w:fldCharType="begin"/>
                    </w:r>
                    <w:r>
                      <w:instrText xml:space="preserve"> PAGE  \* MERGEFORMAT </w:instrText>
                    </w:r>
                    <w:r>
                      <w:fldChar w:fldCharType="separate"/>
                    </w:r>
                    <w:r>
                      <w:t>92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098"/>
      <w:rPr>
        <w:rFonts w:ascii="Calibri" w:hAnsi="Calibri" w:eastAsia="Calibri" w:cs="Calibri"/>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tabs>
                              <w:tab w:val="center" w:pos="4153"/>
                              <w:tab w:val="right" w:pos="8306"/>
                            </w:tabs>
                          </w:pPr>
                          <w:r>
                            <w:fldChar w:fldCharType="begin"/>
                          </w:r>
                          <w:r>
                            <w:instrText xml:space="preserve"> PAGE  \* MERGEFORMAT </w:instrText>
                          </w:r>
                          <w:r>
                            <w:fldChar w:fldCharType="separate"/>
                          </w:r>
                          <w:r>
                            <w:t>94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EhH8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qEhH8tAgAAVwQAAA4AAAAAAAAAAQAgAAAAHwEAAGRycy9lMm9Eb2MueG1sUEsFBgAAAAAG&#10;AAYAWQEAAL4FAAAAAA==&#10;">
              <v:fill on="f" focussize="0,0"/>
              <v:stroke on="f" weight="0.5pt"/>
              <v:imagedata o:title=""/>
              <o:lock v:ext="edit" aspectratio="f"/>
              <v:textbox inset="0mm,0mm,0mm,0mm" style="mso-fit-shape-to-text:t;">
                <w:txbxContent>
                  <w:p>
                    <w:pPr>
                      <w:pStyle w:val="14"/>
                      <w:tabs>
                        <w:tab w:val="center" w:pos="4153"/>
                        <w:tab w:val="right" w:pos="8306"/>
                      </w:tabs>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098"/>
      <w:rPr>
        <w:rFonts w:ascii="Calibri" w:hAnsi="Calibri" w:eastAsia="Calibri" w:cs="Calibri"/>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tabs>
                              <w:tab w:val="center" w:pos="4153"/>
                              <w:tab w:val="right" w:pos="8306"/>
                            </w:tabs>
                          </w:pPr>
                          <w:r>
                            <w:fldChar w:fldCharType="begin"/>
                          </w:r>
                          <w:r>
                            <w:instrText xml:space="preserve"> PAGE  \* MERGEFORMAT </w:instrText>
                          </w:r>
                          <w:r>
                            <w:fldChar w:fldCharType="separate"/>
                          </w:r>
                          <w:r>
                            <w:t>95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svHiUt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3V+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svHiUtAgAAVwQAAA4AAAAAAAAAAQAgAAAAHwEAAGRycy9lMm9Eb2MueG1sUEsFBgAAAAAG&#10;AAYAWQEAAL4FAAAAAA==&#10;">
              <v:fill on="f" focussize="0,0"/>
              <v:stroke on="f" weight="0.5pt"/>
              <v:imagedata o:title=""/>
              <o:lock v:ext="edit" aspectratio="f"/>
              <v:textbox inset="0mm,0mm,0mm,0mm" style="mso-fit-shape-to-text:t;">
                <w:txbxContent>
                  <w:p>
                    <w:pPr>
                      <w:pStyle w:val="14"/>
                      <w:tabs>
                        <w:tab w:val="center" w:pos="4153"/>
                        <w:tab w:val="right" w:pos="8306"/>
                      </w:tabs>
                    </w:pPr>
                    <w:r>
                      <w:fldChar w:fldCharType="begin"/>
                    </w:r>
                    <w:r>
                      <w:instrText xml:space="preserve"> PAGE  \* MERGEFORMAT </w:instrText>
                    </w:r>
                    <w:r>
                      <w:fldChar w:fldCharType="separate"/>
                    </w:r>
                    <w:r>
                      <w:t>95</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093"/>
      <w:rPr>
        <w:rFonts w:ascii="Calibri" w:hAnsi="Calibri" w:eastAsia="Calibri" w:cs="Calibri"/>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tabs>
                              <w:tab w:val="center" w:pos="4153"/>
                              <w:tab w:val="right" w:pos="8306"/>
                            </w:tabs>
                          </w:pPr>
                          <w:r>
                            <w:fldChar w:fldCharType="begin"/>
                          </w:r>
                          <w:r>
                            <w:instrText xml:space="preserve"> PAGE  \* MERGEFORMAT </w:instrText>
                          </w:r>
                          <w:r>
                            <w:fldChar w:fldCharType="separate"/>
                          </w:r>
                          <w:r>
                            <w:t>96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0uKUt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q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u0uKUtAgAAVwQAAA4AAAAAAAAAAQAgAAAAHwEAAGRycy9lMm9Eb2MueG1sUEsFBgAAAAAG&#10;AAYAWQEAAL4FAAAAAA==&#10;">
              <v:fill on="f" focussize="0,0"/>
              <v:stroke on="f" weight="0.5pt"/>
              <v:imagedata o:title=""/>
              <o:lock v:ext="edit" aspectratio="f"/>
              <v:textbox inset="0mm,0mm,0mm,0mm" style="mso-fit-shape-to-text:t;">
                <w:txbxContent>
                  <w:p>
                    <w:pPr>
                      <w:pStyle w:val="14"/>
                      <w:tabs>
                        <w:tab w:val="center" w:pos="4153"/>
                        <w:tab w:val="right" w:pos="8306"/>
                      </w:tabs>
                    </w:pPr>
                    <w:r>
                      <w:fldChar w:fldCharType="begin"/>
                    </w:r>
                    <w:r>
                      <w:instrText xml:space="preserve"> PAGE  \* MERGEFORMAT </w:instrText>
                    </w:r>
                    <w:r>
                      <w:fldChar w:fldCharType="separate"/>
                    </w:r>
                    <w:r>
                      <w:t>96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rPr>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ind w:right="-512" w:rightChars="-244"/>
      <w:jc w:val="left"/>
      <w:rPr>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1837"/>
      </w:tabs>
      <w:spacing w:before="48" w:line="219" w:lineRule="auto"/>
      <w:ind w:left="225"/>
      <w:rPr>
        <w:rFonts w:ascii="宋体" w:hAnsi="宋体" w:cs="宋体"/>
        <w:sz w:val="18"/>
        <w:szCs w:val="18"/>
      </w:rPr>
    </w:pPr>
    <w:r>
      <w:rPr>
        <w:rFonts w:hint="eastAsia" w:ascii="宋体" w:hAnsi="宋体" w:cs="宋体"/>
        <w:sz w:val="18"/>
        <w:szCs w:val="18"/>
      </w:rPr>
      <w:tab/>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ind w:right="-512" w:rightChars="-244"/>
      <w:jc w:val="left"/>
      <w:rPr>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3C3136"/>
    <w:multiLevelType w:val="singleLevel"/>
    <w:tmpl w:val="A93C3136"/>
    <w:lvl w:ilvl="0" w:tentative="0">
      <w:start w:val="3"/>
      <w:numFmt w:val="chineseCounting"/>
      <w:suff w:val="nothing"/>
      <w:lvlText w:val="（%1）"/>
      <w:lvlJc w:val="left"/>
      <w:rPr>
        <w:rFonts w:hint="eastAsia"/>
      </w:rPr>
    </w:lvl>
  </w:abstractNum>
  <w:abstractNum w:abstractNumId="1">
    <w:nsid w:val="C1ACDD98"/>
    <w:multiLevelType w:val="singleLevel"/>
    <w:tmpl w:val="C1ACDD98"/>
    <w:lvl w:ilvl="0" w:tentative="0">
      <w:start w:val="2"/>
      <w:numFmt w:val="decimal"/>
      <w:suff w:val="nothing"/>
      <w:lvlText w:val="%1、"/>
      <w:lvlJc w:val="left"/>
    </w:lvl>
  </w:abstractNum>
  <w:abstractNum w:abstractNumId="2">
    <w:nsid w:val="19253043"/>
    <w:multiLevelType w:val="singleLevel"/>
    <w:tmpl w:val="19253043"/>
    <w:lvl w:ilvl="0" w:tentative="0">
      <w:start w:val="7"/>
      <w:numFmt w:val="decimal"/>
      <w:suff w:val="nothing"/>
      <w:lvlText w:val="%1、"/>
      <w:lvlJc w:val="left"/>
    </w:lvl>
  </w:abstractNum>
  <w:abstractNum w:abstractNumId="3">
    <w:nsid w:val="1F6B0F53"/>
    <w:multiLevelType w:val="multilevel"/>
    <w:tmpl w:val="1F6B0F53"/>
    <w:lvl w:ilvl="0" w:tentative="0">
      <w:start w:val="3"/>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34C1B8C"/>
    <w:multiLevelType w:val="singleLevel"/>
    <w:tmpl w:val="734C1B8C"/>
    <w:lvl w:ilvl="0" w:tentative="0">
      <w:start w:val="1"/>
      <w:numFmt w:val="decimal"/>
      <w:lvlText w:val="%1."/>
      <w:lvlJc w:val="left"/>
      <w:pPr>
        <w:ind w:left="425" w:hanging="425"/>
      </w:pPr>
      <w:rPr>
        <w:rFonts w:hint="default"/>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00A26C22"/>
    <w:rsid w:val="000972D5"/>
    <w:rsid w:val="00150EAD"/>
    <w:rsid w:val="00151B33"/>
    <w:rsid w:val="001B3362"/>
    <w:rsid w:val="00292369"/>
    <w:rsid w:val="00295278"/>
    <w:rsid w:val="003036B5"/>
    <w:rsid w:val="003F35D8"/>
    <w:rsid w:val="0044390B"/>
    <w:rsid w:val="00537AEF"/>
    <w:rsid w:val="0062634C"/>
    <w:rsid w:val="006C7F75"/>
    <w:rsid w:val="0073625C"/>
    <w:rsid w:val="00742A23"/>
    <w:rsid w:val="008B3FDE"/>
    <w:rsid w:val="00932465"/>
    <w:rsid w:val="009A287B"/>
    <w:rsid w:val="009D672C"/>
    <w:rsid w:val="009E5347"/>
    <w:rsid w:val="00A26C22"/>
    <w:rsid w:val="00B15919"/>
    <w:rsid w:val="00BD38C8"/>
    <w:rsid w:val="00E03BE7"/>
    <w:rsid w:val="00E14B60"/>
    <w:rsid w:val="00F2569A"/>
    <w:rsid w:val="00F25A70"/>
    <w:rsid w:val="00FD3E33"/>
    <w:rsid w:val="010351AA"/>
    <w:rsid w:val="012A0989"/>
    <w:rsid w:val="01396E1E"/>
    <w:rsid w:val="01FD455A"/>
    <w:rsid w:val="0214186D"/>
    <w:rsid w:val="025F4662"/>
    <w:rsid w:val="02693733"/>
    <w:rsid w:val="02E35293"/>
    <w:rsid w:val="02FE1BB2"/>
    <w:rsid w:val="031713E0"/>
    <w:rsid w:val="036B7036"/>
    <w:rsid w:val="036C7BB6"/>
    <w:rsid w:val="047A1B7B"/>
    <w:rsid w:val="055E0E7C"/>
    <w:rsid w:val="057C0B96"/>
    <w:rsid w:val="059544A9"/>
    <w:rsid w:val="05A96FBC"/>
    <w:rsid w:val="05C23886"/>
    <w:rsid w:val="061816F7"/>
    <w:rsid w:val="063858F6"/>
    <w:rsid w:val="06436049"/>
    <w:rsid w:val="073065CD"/>
    <w:rsid w:val="07F910B5"/>
    <w:rsid w:val="082B6330"/>
    <w:rsid w:val="083F3A9B"/>
    <w:rsid w:val="08760957"/>
    <w:rsid w:val="08FA6E92"/>
    <w:rsid w:val="09287EA3"/>
    <w:rsid w:val="096E162E"/>
    <w:rsid w:val="09A137B2"/>
    <w:rsid w:val="09FC4E8C"/>
    <w:rsid w:val="0A132A60"/>
    <w:rsid w:val="0A524AAA"/>
    <w:rsid w:val="0B17368B"/>
    <w:rsid w:val="0B325009"/>
    <w:rsid w:val="0B57681E"/>
    <w:rsid w:val="0C1E733C"/>
    <w:rsid w:val="0C3703FE"/>
    <w:rsid w:val="0C7B44EA"/>
    <w:rsid w:val="0CC76308"/>
    <w:rsid w:val="0CD45C4C"/>
    <w:rsid w:val="0CE71E24"/>
    <w:rsid w:val="0CE95B9C"/>
    <w:rsid w:val="0CF54172"/>
    <w:rsid w:val="0CFA1B57"/>
    <w:rsid w:val="0E926198"/>
    <w:rsid w:val="0EA16002"/>
    <w:rsid w:val="0ECD6DF7"/>
    <w:rsid w:val="0FDF3286"/>
    <w:rsid w:val="10B63FE7"/>
    <w:rsid w:val="10B82020"/>
    <w:rsid w:val="10D058BF"/>
    <w:rsid w:val="10D73F5D"/>
    <w:rsid w:val="111F7DDE"/>
    <w:rsid w:val="11336C74"/>
    <w:rsid w:val="11827F8E"/>
    <w:rsid w:val="11D706B9"/>
    <w:rsid w:val="11D835F9"/>
    <w:rsid w:val="12710D18"/>
    <w:rsid w:val="130C43DC"/>
    <w:rsid w:val="131214C7"/>
    <w:rsid w:val="13653AA2"/>
    <w:rsid w:val="13663179"/>
    <w:rsid w:val="13D36C5E"/>
    <w:rsid w:val="140A6DEE"/>
    <w:rsid w:val="14200E89"/>
    <w:rsid w:val="1457163D"/>
    <w:rsid w:val="14C6405D"/>
    <w:rsid w:val="14DE5AA5"/>
    <w:rsid w:val="15352772"/>
    <w:rsid w:val="158E5532"/>
    <w:rsid w:val="15F33E1C"/>
    <w:rsid w:val="162E2871"/>
    <w:rsid w:val="165D60E2"/>
    <w:rsid w:val="17103D25"/>
    <w:rsid w:val="171C12C4"/>
    <w:rsid w:val="18251A52"/>
    <w:rsid w:val="183C74C7"/>
    <w:rsid w:val="1859016B"/>
    <w:rsid w:val="18756535"/>
    <w:rsid w:val="187D188E"/>
    <w:rsid w:val="18806870"/>
    <w:rsid w:val="19567F39"/>
    <w:rsid w:val="19FE255B"/>
    <w:rsid w:val="1A94246B"/>
    <w:rsid w:val="1B132036"/>
    <w:rsid w:val="1B1C713C"/>
    <w:rsid w:val="1BB630ED"/>
    <w:rsid w:val="1BE84AC8"/>
    <w:rsid w:val="1C071B9A"/>
    <w:rsid w:val="1C7220C5"/>
    <w:rsid w:val="1CC96E50"/>
    <w:rsid w:val="1D440BCC"/>
    <w:rsid w:val="1D6E17A5"/>
    <w:rsid w:val="1D8067E1"/>
    <w:rsid w:val="1D8965DF"/>
    <w:rsid w:val="1D9C4564"/>
    <w:rsid w:val="1DA10FA1"/>
    <w:rsid w:val="1DE06B47"/>
    <w:rsid w:val="1E4C7D38"/>
    <w:rsid w:val="1EAF3E2F"/>
    <w:rsid w:val="1EC05AB5"/>
    <w:rsid w:val="1ED41378"/>
    <w:rsid w:val="1EF1268E"/>
    <w:rsid w:val="1F6B41EE"/>
    <w:rsid w:val="20174376"/>
    <w:rsid w:val="20971013"/>
    <w:rsid w:val="20BB1AF2"/>
    <w:rsid w:val="213C765F"/>
    <w:rsid w:val="219C0FD7"/>
    <w:rsid w:val="21AD6D40"/>
    <w:rsid w:val="21DA565B"/>
    <w:rsid w:val="22020F26"/>
    <w:rsid w:val="224420DA"/>
    <w:rsid w:val="230706D2"/>
    <w:rsid w:val="23203542"/>
    <w:rsid w:val="23645B24"/>
    <w:rsid w:val="236553F8"/>
    <w:rsid w:val="23EB7FF4"/>
    <w:rsid w:val="244B57BE"/>
    <w:rsid w:val="247578BD"/>
    <w:rsid w:val="24E32A79"/>
    <w:rsid w:val="25076767"/>
    <w:rsid w:val="25461985"/>
    <w:rsid w:val="2547125A"/>
    <w:rsid w:val="25BE3468"/>
    <w:rsid w:val="26121868"/>
    <w:rsid w:val="263243D5"/>
    <w:rsid w:val="26920BFA"/>
    <w:rsid w:val="26AD77E2"/>
    <w:rsid w:val="26BE72FA"/>
    <w:rsid w:val="26C66CE8"/>
    <w:rsid w:val="279A7D67"/>
    <w:rsid w:val="27A6670B"/>
    <w:rsid w:val="27AC5CEC"/>
    <w:rsid w:val="28494DF9"/>
    <w:rsid w:val="28B10DBB"/>
    <w:rsid w:val="28E55011"/>
    <w:rsid w:val="293B10D5"/>
    <w:rsid w:val="29613BD4"/>
    <w:rsid w:val="297F5466"/>
    <w:rsid w:val="29910CF5"/>
    <w:rsid w:val="29E4351B"/>
    <w:rsid w:val="2A0E67EA"/>
    <w:rsid w:val="2A140649"/>
    <w:rsid w:val="2A6E7289"/>
    <w:rsid w:val="2A84085A"/>
    <w:rsid w:val="2AE35581"/>
    <w:rsid w:val="2AFD07B4"/>
    <w:rsid w:val="2B001316"/>
    <w:rsid w:val="2B3F52B5"/>
    <w:rsid w:val="2B9C199A"/>
    <w:rsid w:val="2BDD0E63"/>
    <w:rsid w:val="2C372028"/>
    <w:rsid w:val="2CF06959"/>
    <w:rsid w:val="2DC77DED"/>
    <w:rsid w:val="2E556795"/>
    <w:rsid w:val="2F4800A8"/>
    <w:rsid w:val="2FBA0A7A"/>
    <w:rsid w:val="2FC35981"/>
    <w:rsid w:val="305810C7"/>
    <w:rsid w:val="305846E7"/>
    <w:rsid w:val="30C61BCC"/>
    <w:rsid w:val="30ED53AB"/>
    <w:rsid w:val="30ED645B"/>
    <w:rsid w:val="312132A7"/>
    <w:rsid w:val="31552F50"/>
    <w:rsid w:val="31557E7B"/>
    <w:rsid w:val="31A812D2"/>
    <w:rsid w:val="323434BD"/>
    <w:rsid w:val="323F199E"/>
    <w:rsid w:val="326276D3"/>
    <w:rsid w:val="32D54349"/>
    <w:rsid w:val="33232BFD"/>
    <w:rsid w:val="33CF0D98"/>
    <w:rsid w:val="33DB598F"/>
    <w:rsid w:val="343F7C2D"/>
    <w:rsid w:val="34806536"/>
    <w:rsid w:val="34B63D06"/>
    <w:rsid w:val="34C226AB"/>
    <w:rsid w:val="35064C8D"/>
    <w:rsid w:val="351A4295"/>
    <w:rsid w:val="358F4C83"/>
    <w:rsid w:val="35983450"/>
    <w:rsid w:val="361777E3"/>
    <w:rsid w:val="362D624A"/>
    <w:rsid w:val="363C023B"/>
    <w:rsid w:val="36A84DB7"/>
    <w:rsid w:val="36D84407"/>
    <w:rsid w:val="37122FC3"/>
    <w:rsid w:val="372C100E"/>
    <w:rsid w:val="37A83DDA"/>
    <w:rsid w:val="38064FA4"/>
    <w:rsid w:val="381C20D2"/>
    <w:rsid w:val="386F2B4A"/>
    <w:rsid w:val="389425B0"/>
    <w:rsid w:val="38DD5D05"/>
    <w:rsid w:val="39094D4C"/>
    <w:rsid w:val="39326597"/>
    <w:rsid w:val="396401D4"/>
    <w:rsid w:val="39E92488"/>
    <w:rsid w:val="39EB6200"/>
    <w:rsid w:val="3A4B4EF0"/>
    <w:rsid w:val="3AA80595"/>
    <w:rsid w:val="3AD66EB0"/>
    <w:rsid w:val="3BA82A38"/>
    <w:rsid w:val="3BD333EF"/>
    <w:rsid w:val="3BDA1980"/>
    <w:rsid w:val="3C936DE0"/>
    <w:rsid w:val="3C9622DE"/>
    <w:rsid w:val="3CC50F8A"/>
    <w:rsid w:val="3D3323D1"/>
    <w:rsid w:val="3D4C5207"/>
    <w:rsid w:val="3DC6320C"/>
    <w:rsid w:val="3DEA67CE"/>
    <w:rsid w:val="3DEE62BF"/>
    <w:rsid w:val="3ED43706"/>
    <w:rsid w:val="3EEC59CA"/>
    <w:rsid w:val="3F8073EA"/>
    <w:rsid w:val="3FBD419A"/>
    <w:rsid w:val="401A2E55"/>
    <w:rsid w:val="40A54AE4"/>
    <w:rsid w:val="41041C20"/>
    <w:rsid w:val="4114428E"/>
    <w:rsid w:val="41683BDD"/>
    <w:rsid w:val="420D71AC"/>
    <w:rsid w:val="4214206C"/>
    <w:rsid w:val="42435110"/>
    <w:rsid w:val="431E7646"/>
    <w:rsid w:val="436C03B1"/>
    <w:rsid w:val="43B03E7E"/>
    <w:rsid w:val="43DB4716"/>
    <w:rsid w:val="43F263DD"/>
    <w:rsid w:val="448E2F1B"/>
    <w:rsid w:val="44E4041B"/>
    <w:rsid w:val="44FF34A7"/>
    <w:rsid w:val="45107462"/>
    <w:rsid w:val="45905EAD"/>
    <w:rsid w:val="45C049E4"/>
    <w:rsid w:val="460074D7"/>
    <w:rsid w:val="4669507C"/>
    <w:rsid w:val="47613FA5"/>
    <w:rsid w:val="476830E8"/>
    <w:rsid w:val="47B22649"/>
    <w:rsid w:val="47B265AF"/>
    <w:rsid w:val="47C32F89"/>
    <w:rsid w:val="488E4926"/>
    <w:rsid w:val="489547EA"/>
    <w:rsid w:val="48A57EC2"/>
    <w:rsid w:val="492536D0"/>
    <w:rsid w:val="49817A3E"/>
    <w:rsid w:val="4A61284F"/>
    <w:rsid w:val="4A91416B"/>
    <w:rsid w:val="4AD4683C"/>
    <w:rsid w:val="4B1F3F5B"/>
    <w:rsid w:val="4B3317B5"/>
    <w:rsid w:val="4B38501D"/>
    <w:rsid w:val="4B493A19"/>
    <w:rsid w:val="4C0A0767"/>
    <w:rsid w:val="4C207F8B"/>
    <w:rsid w:val="4C24269D"/>
    <w:rsid w:val="4C2A0E0A"/>
    <w:rsid w:val="4C2F6F4B"/>
    <w:rsid w:val="4C7B78B7"/>
    <w:rsid w:val="4C9E5354"/>
    <w:rsid w:val="4CEA0599"/>
    <w:rsid w:val="4CFE5DF2"/>
    <w:rsid w:val="4D6E11CA"/>
    <w:rsid w:val="4E7E71EB"/>
    <w:rsid w:val="4EAD7AD0"/>
    <w:rsid w:val="4ED22F22"/>
    <w:rsid w:val="4ED82D9F"/>
    <w:rsid w:val="4EF31987"/>
    <w:rsid w:val="4F053468"/>
    <w:rsid w:val="4FBA34DD"/>
    <w:rsid w:val="50224A90"/>
    <w:rsid w:val="50697A27"/>
    <w:rsid w:val="506A5C79"/>
    <w:rsid w:val="507E1724"/>
    <w:rsid w:val="508C3655"/>
    <w:rsid w:val="5095081C"/>
    <w:rsid w:val="50A0169A"/>
    <w:rsid w:val="51A0391C"/>
    <w:rsid w:val="51CC64BF"/>
    <w:rsid w:val="51CD7005"/>
    <w:rsid w:val="51D84E64"/>
    <w:rsid w:val="521F1304"/>
    <w:rsid w:val="522A6A42"/>
    <w:rsid w:val="526A09A4"/>
    <w:rsid w:val="52833022"/>
    <w:rsid w:val="533802B0"/>
    <w:rsid w:val="53456529"/>
    <w:rsid w:val="534704F3"/>
    <w:rsid w:val="53670B95"/>
    <w:rsid w:val="536B275A"/>
    <w:rsid w:val="537B63EF"/>
    <w:rsid w:val="54330A77"/>
    <w:rsid w:val="54A31759"/>
    <w:rsid w:val="553B5E36"/>
    <w:rsid w:val="55453A67"/>
    <w:rsid w:val="5563713A"/>
    <w:rsid w:val="55EA2224"/>
    <w:rsid w:val="565A678F"/>
    <w:rsid w:val="56A1616C"/>
    <w:rsid w:val="56DC181A"/>
    <w:rsid w:val="56FC7846"/>
    <w:rsid w:val="57415259"/>
    <w:rsid w:val="57743881"/>
    <w:rsid w:val="57FD5624"/>
    <w:rsid w:val="58A74F04"/>
    <w:rsid w:val="58C01272"/>
    <w:rsid w:val="594556B2"/>
    <w:rsid w:val="595E0345"/>
    <w:rsid w:val="5996188C"/>
    <w:rsid w:val="59DA5094"/>
    <w:rsid w:val="5A294680"/>
    <w:rsid w:val="5A4B6B1B"/>
    <w:rsid w:val="5A6E746B"/>
    <w:rsid w:val="5AB50438"/>
    <w:rsid w:val="5AF32D0E"/>
    <w:rsid w:val="5AF50835"/>
    <w:rsid w:val="5B323837"/>
    <w:rsid w:val="5BFB00CD"/>
    <w:rsid w:val="5C324BCA"/>
    <w:rsid w:val="5D8B722E"/>
    <w:rsid w:val="5DAC23BB"/>
    <w:rsid w:val="5E0019CA"/>
    <w:rsid w:val="5E1611EE"/>
    <w:rsid w:val="5E79177D"/>
    <w:rsid w:val="5E8720EC"/>
    <w:rsid w:val="5F032186"/>
    <w:rsid w:val="5F795ED8"/>
    <w:rsid w:val="60966616"/>
    <w:rsid w:val="60A30D33"/>
    <w:rsid w:val="612466A4"/>
    <w:rsid w:val="61DC274E"/>
    <w:rsid w:val="629152E7"/>
    <w:rsid w:val="62A25746"/>
    <w:rsid w:val="631479D4"/>
    <w:rsid w:val="63CF256B"/>
    <w:rsid w:val="64033FC2"/>
    <w:rsid w:val="6477050C"/>
    <w:rsid w:val="65DF6369"/>
    <w:rsid w:val="664B7EA3"/>
    <w:rsid w:val="66682BCB"/>
    <w:rsid w:val="67395F4D"/>
    <w:rsid w:val="67E97973"/>
    <w:rsid w:val="68CA50AF"/>
    <w:rsid w:val="694D7A8E"/>
    <w:rsid w:val="69990F25"/>
    <w:rsid w:val="69A2427D"/>
    <w:rsid w:val="69E805B8"/>
    <w:rsid w:val="6A114F5F"/>
    <w:rsid w:val="6AA61B4B"/>
    <w:rsid w:val="6B601CFA"/>
    <w:rsid w:val="6B76227F"/>
    <w:rsid w:val="6B8F25DF"/>
    <w:rsid w:val="6C1B186B"/>
    <w:rsid w:val="6C315445"/>
    <w:rsid w:val="6CBC7404"/>
    <w:rsid w:val="6D4F69FE"/>
    <w:rsid w:val="6D77332B"/>
    <w:rsid w:val="6DD31A92"/>
    <w:rsid w:val="6DE22BC1"/>
    <w:rsid w:val="6E162B44"/>
    <w:rsid w:val="6E677844"/>
    <w:rsid w:val="6ED547AD"/>
    <w:rsid w:val="6F173018"/>
    <w:rsid w:val="6F467459"/>
    <w:rsid w:val="6FD9651F"/>
    <w:rsid w:val="704C564D"/>
    <w:rsid w:val="70B52AE8"/>
    <w:rsid w:val="70B825D8"/>
    <w:rsid w:val="70E92792"/>
    <w:rsid w:val="715B3690"/>
    <w:rsid w:val="718C3033"/>
    <w:rsid w:val="71A36DE5"/>
    <w:rsid w:val="72CB1731"/>
    <w:rsid w:val="730438B3"/>
    <w:rsid w:val="739827F0"/>
    <w:rsid w:val="7399049F"/>
    <w:rsid w:val="74100036"/>
    <w:rsid w:val="74324450"/>
    <w:rsid w:val="74EB4D6C"/>
    <w:rsid w:val="752A076E"/>
    <w:rsid w:val="76984A3E"/>
    <w:rsid w:val="7712703F"/>
    <w:rsid w:val="772862B6"/>
    <w:rsid w:val="775F6EEC"/>
    <w:rsid w:val="77671BED"/>
    <w:rsid w:val="7820118F"/>
    <w:rsid w:val="786C11AF"/>
    <w:rsid w:val="79773031"/>
    <w:rsid w:val="79A454A8"/>
    <w:rsid w:val="79AB4A88"/>
    <w:rsid w:val="7A122D59"/>
    <w:rsid w:val="7A132778"/>
    <w:rsid w:val="7A7B26AD"/>
    <w:rsid w:val="7A875C50"/>
    <w:rsid w:val="7AC027B5"/>
    <w:rsid w:val="7B041F22"/>
    <w:rsid w:val="7B057AEC"/>
    <w:rsid w:val="7B2729C3"/>
    <w:rsid w:val="7B4E1B6F"/>
    <w:rsid w:val="7C2F7BF3"/>
    <w:rsid w:val="7C673A31"/>
    <w:rsid w:val="7C75137E"/>
    <w:rsid w:val="7C7E0232"/>
    <w:rsid w:val="7C8C119A"/>
    <w:rsid w:val="7DFB58B2"/>
    <w:rsid w:val="7E5C45A3"/>
    <w:rsid w:val="7E682F48"/>
    <w:rsid w:val="7EA877E8"/>
    <w:rsid w:val="7F852B16"/>
    <w:rsid w:val="7FE239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99"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nhideWhenUsed="0" w:uiPriority="35"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35"/>
    <w:qFormat/>
    <w:uiPriority w:val="0"/>
    <w:pPr>
      <w:keepNext/>
      <w:keepLines/>
      <w:spacing w:before="340" w:after="330" w:line="576" w:lineRule="auto"/>
      <w:outlineLvl w:val="0"/>
    </w:pPr>
    <w:rPr>
      <w:b/>
      <w:bCs/>
      <w:kern w:val="44"/>
      <w:sz w:val="44"/>
      <w:szCs w:val="44"/>
    </w:rPr>
  </w:style>
  <w:style w:type="paragraph" w:styleId="3">
    <w:name w:val="heading 2"/>
    <w:basedOn w:val="1"/>
    <w:next w:val="1"/>
    <w:qFormat/>
    <w:uiPriority w:val="9"/>
    <w:pPr>
      <w:spacing w:before="60" w:after="60"/>
      <w:outlineLvl w:val="1"/>
    </w:pPr>
    <w:rPr>
      <w:rFonts w:ascii="宋体" w:hAnsi="Arial" w:cs="宋体"/>
      <w:sz w:val="28"/>
      <w:szCs w:val="28"/>
    </w:rPr>
  </w:style>
  <w:style w:type="paragraph" w:styleId="4">
    <w:name w:val="heading 3"/>
    <w:basedOn w:val="1"/>
    <w:next w:val="1"/>
    <w:qFormat/>
    <w:uiPriority w:val="0"/>
    <w:pPr>
      <w:keepNext/>
      <w:keepLines/>
      <w:spacing w:before="120" w:after="120"/>
      <w:ind w:firstLine="480"/>
      <w:outlineLvl w:val="2"/>
    </w:pPr>
    <w:rPr>
      <w:sz w:val="24"/>
      <w:szCs w:val="24"/>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qFormat/>
    <w:uiPriority w:val="35"/>
    <w:pPr>
      <w:widowControl/>
      <w:ind w:firstLine="360"/>
    </w:pPr>
    <w:rPr>
      <w:b/>
      <w:bCs/>
      <w:kern w:val="0"/>
      <w:sz w:val="18"/>
      <w:szCs w:val="18"/>
      <w:lang w:eastAsia="en-US" w:bidi="en-US"/>
    </w:rPr>
  </w:style>
  <w:style w:type="paragraph" w:styleId="6">
    <w:name w:val="annotation text"/>
    <w:basedOn w:val="1"/>
    <w:link w:val="41"/>
    <w:qFormat/>
    <w:uiPriority w:val="0"/>
    <w:pPr>
      <w:jc w:val="left"/>
    </w:pPr>
  </w:style>
  <w:style w:type="paragraph" w:styleId="7">
    <w:name w:val="Body Text"/>
    <w:basedOn w:val="1"/>
    <w:qFormat/>
    <w:uiPriority w:val="0"/>
    <w:pPr>
      <w:spacing w:line="276" w:lineRule="auto"/>
      <w:ind w:firstLine="474" w:firstLineChars="200"/>
    </w:pPr>
    <w:rPr>
      <w:rFonts w:cs="Mangal" w:asciiTheme="minorEastAsia" w:hAnsiTheme="minorEastAsia" w:eastAsiaTheme="minorEastAsia"/>
      <w:b/>
      <w:spacing w:val="-2"/>
      <w:sz w:val="24"/>
      <w:szCs w:val="24"/>
      <w:lang w:eastAsia="hi-IN" w:bidi="hi-IN"/>
    </w:rPr>
  </w:style>
  <w:style w:type="paragraph" w:styleId="8">
    <w:name w:val="Body Text Indent"/>
    <w:basedOn w:val="1"/>
    <w:next w:val="9"/>
    <w:unhideWhenUsed/>
    <w:qFormat/>
    <w:uiPriority w:val="99"/>
    <w:pPr>
      <w:spacing w:after="120"/>
      <w:ind w:left="420" w:leftChars="200"/>
    </w:pPr>
  </w:style>
  <w:style w:type="paragraph" w:styleId="9">
    <w:name w:val="envelope return"/>
    <w:basedOn w:val="1"/>
    <w:qFormat/>
    <w:uiPriority w:val="0"/>
    <w:pPr>
      <w:snapToGrid w:val="0"/>
    </w:pPr>
    <w:rPr>
      <w:rFonts w:ascii="Arial" w:hAnsi="Arial"/>
    </w:rPr>
  </w:style>
  <w:style w:type="paragraph" w:styleId="10">
    <w:name w:val="Plain Text"/>
    <w:basedOn w:val="1"/>
    <w:next w:val="11"/>
    <w:unhideWhenUsed/>
    <w:qFormat/>
    <w:uiPriority w:val="0"/>
    <w:pPr>
      <w:spacing w:line="276" w:lineRule="auto"/>
      <w:ind w:firstLine="470" w:firstLineChars="196"/>
      <w:jc w:val="center"/>
    </w:pPr>
    <w:rPr>
      <w:rFonts w:cs="宋体" w:asciiTheme="minorEastAsia" w:hAnsiTheme="minorEastAsia" w:eastAsiaTheme="minorEastAsia"/>
      <w:sz w:val="24"/>
      <w:szCs w:val="24"/>
    </w:rPr>
  </w:style>
  <w:style w:type="paragraph" w:styleId="11">
    <w:name w:val="index 9"/>
    <w:basedOn w:val="1"/>
    <w:next w:val="1"/>
    <w:qFormat/>
    <w:uiPriority w:val="99"/>
    <w:pPr>
      <w:ind w:left="3360"/>
    </w:pPr>
    <w:rPr>
      <w:rFonts w:cs="等线"/>
    </w:rPr>
  </w:style>
  <w:style w:type="paragraph" w:styleId="12">
    <w:name w:val="Body Text Indent 2"/>
    <w:basedOn w:val="1"/>
    <w:qFormat/>
    <w:uiPriority w:val="0"/>
    <w:pPr>
      <w:spacing w:line="540" w:lineRule="exact"/>
      <w:ind w:firstLine="720" w:firstLineChars="225"/>
      <w:jc w:val="left"/>
    </w:pPr>
    <w:rPr>
      <w:rFonts w:ascii="仿宋_GB2312" w:eastAsia="仿宋_GB2312"/>
      <w:sz w:val="32"/>
    </w:rPr>
  </w:style>
  <w:style w:type="paragraph" w:styleId="13">
    <w:name w:val="Balloon Text"/>
    <w:basedOn w:val="1"/>
    <w:link w:val="40"/>
    <w:qFormat/>
    <w:uiPriority w:val="0"/>
    <w:rPr>
      <w:sz w:val="18"/>
      <w:szCs w:val="18"/>
    </w:rPr>
  </w:style>
  <w:style w:type="paragraph" w:styleId="14">
    <w:name w:val="footer"/>
    <w:basedOn w:val="1"/>
    <w:unhideWhenUsed/>
    <w:qFormat/>
    <w:uiPriority w:val="99"/>
    <w:pPr>
      <w:snapToGrid w:val="0"/>
      <w:jc w:val="center"/>
    </w:pPr>
    <w:rPr>
      <w:sz w:val="18"/>
      <w:szCs w:val="18"/>
    </w:rPr>
  </w:style>
  <w:style w:type="paragraph" w:styleId="15">
    <w:name w:val="header"/>
    <w:basedOn w:val="1"/>
    <w:unhideWhenUsed/>
    <w:qFormat/>
    <w:uiPriority w:val="99"/>
    <w:pPr>
      <w:pBdr>
        <w:bottom w:val="single" w:color="auto" w:sz="6" w:space="1"/>
      </w:pBdr>
      <w:snapToGrid w:val="0"/>
      <w:jc w:val="center"/>
    </w:pPr>
    <w:rPr>
      <w:sz w:val="18"/>
      <w:szCs w:val="18"/>
    </w:rPr>
  </w:style>
  <w:style w:type="paragraph" w:styleId="16">
    <w:name w:val="toc 1"/>
    <w:basedOn w:val="1"/>
    <w:next w:val="1"/>
    <w:unhideWhenUsed/>
    <w:qFormat/>
    <w:uiPriority w:val="39"/>
    <w:pPr>
      <w:spacing w:line="400" w:lineRule="exact"/>
      <w:jc w:val="left"/>
    </w:pPr>
    <w:rPr>
      <w:rFonts w:ascii="宋体" w:hAnsi="宋体" w:cs="宋体"/>
      <w:b/>
      <w:bCs/>
      <w:caps/>
      <w:color w:val="000000"/>
    </w:rPr>
  </w:style>
  <w:style w:type="paragraph" w:styleId="17">
    <w:name w:val="toc 2"/>
    <w:basedOn w:val="1"/>
    <w:next w:val="1"/>
    <w:unhideWhenUsed/>
    <w:qFormat/>
    <w:uiPriority w:val="39"/>
    <w:pPr>
      <w:spacing w:before="100" w:beforeAutospacing="1" w:after="100" w:afterAutospacing="1"/>
      <w:ind w:left="210"/>
      <w:jc w:val="center"/>
    </w:pPr>
    <w:rPr>
      <w:rFonts w:ascii="Calibri" w:hAnsi="Calibri" w:cs="宋体"/>
      <w:smallCaps/>
      <w:sz w:val="20"/>
      <w:szCs w:val="20"/>
    </w:rPr>
  </w:style>
  <w:style w:type="paragraph" w:styleId="18">
    <w:name w:val="Body Text 2"/>
    <w:basedOn w:val="1"/>
    <w:next w:val="7"/>
    <w:qFormat/>
    <w:uiPriority w:val="99"/>
    <w:pPr>
      <w:spacing w:line="900" w:lineRule="exact"/>
      <w:jc w:val="center"/>
    </w:pPr>
    <w:rPr>
      <w:rFonts w:eastAsia="楷体_GB2312"/>
      <w:b/>
      <w:bCs/>
      <w:sz w:val="36"/>
      <w:szCs w:val="36"/>
    </w:rPr>
  </w:style>
  <w:style w:type="paragraph" w:styleId="1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20">
    <w:name w:val="annotation subject"/>
    <w:basedOn w:val="6"/>
    <w:next w:val="6"/>
    <w:link w:val="42"/>
    <w:qFormat/>
    <w:uiPriority w:val="0"/>
    <w:rPr>
      <w:b/>
      <w:bCs/>
    </w:rPr>
  </w:style>
  <w:style w:type="paragraph" w:styleId="21">
    <w:name w:val="Body Text First Indent"/>
    <w:basedOn w:val="7"/>
    <w:next w:val="22"/>
    <w:unhideWhenUsed/>
    <w:qFormat/>
    <w:uiPriority w:val="99"/>
    <w:pPr>
      <w:ind w:firstLine="420" w:firstLineChars="100"/>
    </w:pPr>
  </w:style>
  <w:style w:type="paragraph" w:styleId="22">
    <w:name w:val="Body Text First Indent 2"/>
    <w:basedOn w:val="8"/>
    <w:next w:val="1"/>
    <w:qFormat/>
    <w:uiPriority w:val="0"/>
    <w:pPr>
      <w:widowControl/>
      <w:adjustRightInd w:val="0"/>
      <w:snapToGrid w:val="0"/>
      <w:ind w:firstLine="420" w:firstLineChars="200"/>
      <w:jc w:val="left"/>
    </w:pPr>
    <w:rPr>
      <w:rFonts w:ascii="Tahoma" w:hAnsi="Tahoma" w:eastAsia="微软雅黑"/>
      <w:kern w:val="0"/>
      <w:sz w:val="22"/>
      <w:szCs w:val="22"/>
    </w:rPr>
  </w:style>
  <w:style w:type="table" w:styleId="24">
    <w:name w:val="Table Grid"/>
    <w:basedOn w:val="2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22"/>
    <w:rPr>
      <w:b/>
      <w:bCs/>
    </w:rPr>
  </w:style>
  <w:style w:type="character" w:styleId="27">
    <w:name w:val="Hyperlink"/>
    <w:basedOn w:val="25"/>
    <w:unhideWhenUsed/>
    <w:qFormat/>
    <w:uiPriority w:val="99"/>
    <w:rPr>
      <w:color w:val="000000"/>
      <w:sz w:val="16"/>
      <w:szCs w:val="16"/>
      <w:u w:val="none"/>
    </w:rPr>
  </w:style>
  <w:style w:type="character" w:styleId="28">
    <w:name w:val="annotation reference"/>
    <w:basedOn w:val="25"/>
    <w:qFormat/>
    <w:uiPriority w:val="0"/>
    <w:rPr>
      <w:sz w:val="21"/>
      <w:szCs w:val="21"/>
    </w:rPr>
  </w:style>
  <w:style w:type="paragraph" w:customStyle="1" w:styleId="29">
    <w:name w:val="_Style 2"/>
    <w:basedOn w:val="1"/>
    <w:qFormat/>
    <w:uiPriority w:val="0"/>
    <w:rPr>
      <w:sz w:val="24"/>
    </w:rPr>
  </w:style>
  <w:style w:type="paragraph" w:customStyle="1" w:styleId="30">
    <w:name w:val="_Style 43"/>
    <w:qFormat/>
    <w:uiPriority w:val="0"/>
    <w:pPr>
      <w:jc w:val="center"/>
    </w:pPr>
    <w:rPr>
      <w:rFonts w:ascii="Times New Roman" w:hAnsi="Times New Roman" w:eastAsia="宋体" w:cs="Times New Roman"/>
      <w:b/>
      <w:sz w:val="32"/>
      <w:lang w:val="en-US" w:eastAsia="zh-CN" w:bidi="ar-SA"/>
    </w:rPr>
  </w:style>
  <w:style w:type="paragraph" w:customStyle="1" w:styleId="31">
    <w:name w:val="Default"/>
    <w:qFormat/>
    <w:uiPriority w:val="0"/>
    <w:pPr>
      <w:widowControl w:val="0"/>
      <w:autoSpaceDE w:val="0"/>
      <w:autoSpaceDN w:val="0"/>
      <w:adjustRightInd w:val="0"/>
    </w:pPr>
    <w:rPr>
      <w:rFonts w:ascii="宋体" w:hAnsi="Times New Roman" w:eastAsia="宋体" w:cs="Times New Roman"/>
      <w:color w:val="000000"/>
      <w:kern w:val="2"/>
      <w:sz w:val="24"/>
      <w:szCs w:val="24"/>
      <w:lang w:val="en-US" w:eastAsia="zh-CN" w:bidi="ar-SA"/>
    </w:rPr>
  </w:style>
  <w:style w:type="paragraph" w:customStyle="1" w:styleId="32">
    <w:name w:val="样式 标题 2 + Times New Roman 四号 非加粗 段前: 5 磅 段后: 0 磅 行距: 固定值 20..."/>
    <w:basedOn w:val="3"/>
    <w:qFormat/>
    <w:uiPriority w:val="0"/>
    <w:pPr>
      <w:spacing w:before="100" w:after="0" w:line="400" w:lineRule="exact"/>
    </w:pPr>
    <w:rPr>
      <w:rFonts w:ascii="Times New Roman" w:hAnsi="Times New Roman" w:eastAsia="黑体"/>
    </w:rPr>
  </w:style>
  <w:style w:type="paragraph" w:customStyle="1" w:styleId="33">
    <w:name w:val="样式 标题 3 + (中文) 黑体 小四 非加粗 段前: 7.8 磅 段后: 0 磅 行距: 固定值 20 磅"/>
    <w:basedOn w:val="4"/>
    <w:qFormat/>
    <w:uiPriority w:val="0"/>
    <w:pPr>
      <w:spacing w:before="0" w:after="0" w:line="400" w:lineRule="exact"/>
      <w:ind w:firstLine="0"/>
    </w:pPr>
    <w:rPr>
      <w:rFonts w:eastAsia="黑体" w:cs="宋体"/>
    </w:rPr>
  </w:style>
  <w:style w:type="paragraph" w:customStyle="1" w:styleId="34">
    <w:name w:val="*正文"/>
    <w:basedOn w:val="1"/>
    <w:next w:val="1"/>
    <w:qFormat/>
    <w:uiPriority w:val="0"/>
    <w:pPr>
      <w:widowControl/>
      <w:jc w:val="center"/>
    </w:pPr>
    <w:rPr>
      <w:rFonts w:ascii="宋体" w:hAnsi="宋体"/>
    </w:rPr>
  </w:style>
  <w:style w:type="character" w:customStyle="1" w:styleId="35">
    <w:name w:val="标题 1 Char"/>
    <w:basedOn w:val="25"/>
    <w:link w:val="2"/>
    <w:qFormat/>
    <w:uiPriority w:val="0"/>
    <w:rPr>
      <w:b/>
      <w:bCs/>
      <w:kern w:val="44"/>
      <w:sz w:val="44"/>
      <w:szCs w:val="44"/>
    </w:rPr>
  </w:style>
  <w:style w:type="paragraph" w:customStyle="1" w:styleId="36">
    <w:name w:val="Table Paragraph"/>
    <w:basedOn w:val="1"/>
    <w:qFormat/>
    <w:uiPriority w:val="1"/>
    <w:rPr>
      <w:rFonts w:ascii="宋体" w:hAnsi="宋体" w:cs="宋体"/>
      <w:lang w:val="zh-CN" w:bidi="zh-CN"/>
    </w:rPr>
  </w:style>
  <w:style w:type="paragraph" w:customStyle="1" w:styleId="37">
    <w:name w:val="cjk"/>
    <w:basedOn w:val="1"/>
    <w:qFormat/>
    <w:uiPriority w:val="0"/>
    <w:pPr>
      <w:widowControl/>
      <w:spacing w:before="100" w:beforeAutospacing="1" w:after="100" w:afterAutospacing="1"/>
      <w:jc w:val="left"/>
    </w:pPr>
    <w:rPr>
      <w:rFonts w:ascii="宋体" w:hAnsi="宋体" w:cs="宋体"/>
      <w:kern w:val="0"/>
      <w:sz w:val="24"/>
    </w:rPr>
  </w:style>
  <w:style w:type="paragraph" w:customStyle="1" w:styleId="38">
    <w:name w:val="Table Text"/>
    <w:basedOn w:val="1"/>
    <w:semiHidden/>
    <w:qFormat/>
    <w:uiPriority w:val="0"/>
    <w:rPr>
      <w:rFonts w:ascii="宋体" w:hAnsi="宋体" w:cs="宋体"/>
      <w:lang w:eastAsia="en-US"/>
    </w:rPr>
  </w:style>
  <w:style w:type="table" w:customStyle="1" w:styleId="39">
    <w:name w:val="Table Normal"/>
    <w:semiHidden/>
    <w:unhideWhenUsed/>
    <w:qFormat/>
    <w:uiPriority w:val="0"/>
    <w:tblPr>
      <w:tblCellMar>
        <w:top w:w="0" w:type="dxa"/>
        <w:left w:w="0" w:type="dxa"/>
        <w:bottom w:w="0" w:type="dxa"/>
        <w:right w:w="0" w:type="dxa"/>
      </w:tblCellMar>
    </w:tblPr>
  </w:style>
  <w:style w:type="character" w:customStyle="1" w:styleId="40">
    <w:name w:val="批注框文本 Char"/>
    <w:basedOn w:val="25"/>
    <w:link w:val="13"/>
    <w:qFormat/>
    <w:uiPriority w:val="0"/>
    <w:rPr>
      <w:kern w:val="2"/>
      <w:sz w:val="18"/>
      <w:szCs w:val="18"/>
    </w:rPr>
  </w:style>
  <w:style w:type="character" w:customStyle="1" w:styleId="41">
    <w:name w:val="批注文字 Char"/>
    <w:basedOn w:val="25"/>
    <w:link w:val="6"/>
    <w:qFormat/>
    <w:uiPriority w:val="0"/>
    <w:rPr>
      <w:kern w:val="2"/>
      <w:sz w:val="21"/>
      <w:szCs w:val="21"/>
    </w:rPr>
  </w:style>
  <w:style w:type="character" w:customStyle="1" w:styleId="42">
    <w:name w:val="批注主题 Char"/>
    <w:basedOn w:val="41"/>
    <w:link w:val="20"/>
    <w:qFormat/>
    <w:uiPriority w:val="0"/>
    <w:rPr>
      <w:b/>
      <w:bCs/>
      <w:kern w:val="2"/>
      <w:sz w:val="21"/>
      <w:szCs w:val="21"/>
    </w:rPr>
  </w:style>
  <w:style w:type="character" w:customStyle="1" w:styleId="43">
    <w:name w:val="font41"/>
    <w:basedOn w:val="25"/>
    <w:qFormat/>
    <w:uiPriority w:val="0"/>
    <w:rPr>
      <w:rFonts w:ascii="仿宋" w:hAnsi="仿宋" w:eastAsia="仿宋" w:cs="仿宋"/>
      <w:b/>
      <w:bCs/>
      <w:color w:val="000000"/>
      <w:sz w:val="24"/>
      <w:szCs w:val="24"/>
      <w:u w:val="none"/>
    </w:rPr>
  </w:style>
  <w:style w:type="character" w:customStyle="1" w:styleId="44">
    <w:name w:val="font61"/>
    <w:basedOn w:val="25"/>
    <w:qFormat/>
    <w:uiPriority w:val="0"/>
    <w:rPr>
      <w:rFonts w:hint="eastAsia" w:ascii="仿宋" w:hAnsi="仿宋" w:eastAsia="仿宋" w:cs="仿宋"/>
      <w:color w:val="000000"/>
      <w:sz w:val="24"/>
      <w:szCs w:val="24"/>
      <w:u w:val="none"/>
    </w:rPr>
  </w:style>
  <w:style w:type="character" w:customStyle="1" w:styleId="45">
    <w:name w:val="font51"/>
    <w:basedOn w:val="25"/>
    <w:qFormat/>
    <w:uiPriority w:val="0"/>
    <w:rPr>
      <w:rFonts w:hint="default" w:ascii="Times New Roman" w:hAnsi="Times New Roman" w:cs="Times New Roman"/>
      <w:color w:val="000000"/>
      <w:sz w:val="24"/>
      <w:szCs w:val="24"/>
      <w:u w:val="none"/>
    </w:rPr>
  </w:style>
  <w:style w:type="character" w:customStyle="1" w:styleId="46">
    <w:name w:val="font121"/>
    <w:basedOn w:val="25"/>
    <w:qFormat/>
    <w:uiPriority w:val="0"/>
    <w:rPr>
      <w:rFonts w:hint="eastAsia" w:ascii="仿宋" w:hAnsi="仿宋" w:eastAsia="仿宋" w:cs="仿宋"/>
      <w:color w:val="000000"/>
      <w:sz w:val="24"/>
      <w:szCs w:val="24"/>
      <w:u w:val="none"/>
    </w:rPr>
  </w:style>
  <w:style w:type="character" w:customStyle="1" w:styleId="47">
    <w:name w:val="font131"/>
    <w:basedOn w:val="25"/>
    <w:qFormat/>
    <w:uiPriority w:val="0"/>
    <w:rPr>
      <w:rFonts w:hint="eastAsia" w:ascii="仿宋" w:hAnsi="仿宋" w:eastAsia="仿宋" w:cs="仿宋"/>
      <w:color w:val="000000"/>
      <w:sz w:val="24"/>
      <w:szCs w:val="24"/>
      <w:u w:val="none"/>
    </w:rPr>
  </w:style>
  <w:style w:type="character" w:customStyle="1" w:styleId="48">
    <w:name w:val="font81"/>
    <w:basedOn w:val="25"/>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4" Type="http://schemas.openxmlformats.org/officeDocument/2006/relationships/fontTable" Target="fontTable.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4.png"/><Relationship Id="rId30" Type="http://schemas.openxmlformats.org/officeDocument/2006/relationships/image" Target="media/image3.png"/><Relationship Id="rId3" Type="http://schemas.openxmlformats.org/officeDocument/2006/relationships/header" Target="header1.xml"/><Relationship Id="rId29" Type="http://schemas.openxmlformats.org/officeDocument/2006/relationships/image" Target="media/image2.png"/><Relationship Id="rId28" Type="http://schemas.openxmlformats.org/officeDocument/2006/relationships/image" Target="media/image1.jpeg"/><Relationship Id="rId27" Type="http://schemas.openxmlformats.org/officeDocument/2006/relationships/theme" Target="theme/theme1.xml"/><Relationship Id="rId26" Type="http://schemas.openxmlformats.org/officeDocument/2006/relationships/footer" Target="footer15.xml"/><Relationship Id="rId25" Type="http://schemas.openxmlformats.org/officeDocument/2006/relationships/header" Target="header9.xml"/><Relationship Id="rId24" Type="http://schemas.openxmlformats.org/officeDocument/2006/relationships/footer" Target="footer14.xml"/><Relationship Id="rId23" Type="http://schemas.openxmlformats.org/officeDocument/2006/relationships/footer" Target="footer13.xml"/><Relationship Id="rId22" Type="http://schemas.openxmlformats.org/officeDocument/2006/relationships/footer" Target="footer12.xml"/><Relationship Id="rId21" Type="http://schemas.openxmlformats.org/officeDocument/2006/relationships/header" Target="header8.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footer" Target="footer10.xml"/><Relationship Id="rId17" Type="http://schemas.openxmlformats.org/officeDocument/2006/relationships/header" Target="header6.xml"/><Relationship Id="rId16" Type="http://schemas.openxmlformats.org/officeDocument/2006/relationships/footer" Target="footer9.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82</Pages>
  <Words>38828</Words>
  <Characters>41810</Characters>
  <Lines>417</Lines>
  <Paragraphs>117</Paragraphs>
  <TotalTime>8</TotalTime>
  <ScaleCrop>false</ScaleCrop>
  <LinksUpToDate>false</LinksUpToDate>
  <CharactersWithSpaces>42663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2026-05-26T09:10:00Z</dcterms:created>
  <dc:creator>Administrator</dc:creator>
  <cp:lastModifiedBy>别来无恙ヽ</cp:lastModifiedBy>
  <cp:lastPrinted>2026-01-22T06:39:00Z</cp:lastPrinted>
  <dcterms:modified xsi:type="dcterms:W3CDTF">2026-07-09T09:53:49Z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TemplateDocerSaveRecord">
    <vt:lpwstr>eyJoZGlkIjoiYjNhODI2OGIwN2Y0MWI5NTM2YWM0YmQ1MjNkYTJjZmUiLCJ1c2VySWQiOiI1MzU2MDE4MTEifQ==</vt:lpwstr>
  </property>
  <property fmtid="{D5CDD505-2E9C-101B-9397-08002B2CF9AE}" pid="4" name="ICV">
    <vt:lpwstr>1F3299FD36B5486092188FA3A252E3B2_13</vt:lpwstr>
  </property>
</Properties>
</file>