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23258">
      <w:pPr>
        <w:keepNext w:val="0"/>
        <w:keepLines w:val="0"/>
        <w:pageBreakBefore w:val="0"/>
        <w:widowControl w:val="0"/>
        <w:kinsoku/>
        <w:wordWrap/>
        <w:overflowPunct/>
        <w:topLinePunct w:val="0"/>
        <w:autoSpaceDE/>
        <w:autoSpaceDN/>
        <w:bidi w:val="0"/>
        <w:adjustRightInd/>
        <w:snapToGrid/>
        <w:spacing w:line="1000" w:lineRule="exact"/>
        <w:jc w:val="center"/>
        <w:textAlignment w:val="auto"/>
        <w:rPr>
          <w:rFonts w:hint="eastAsia" w:ascii="宋体" w:hAnsi="宋体" w:eastAsia="宋体" w:cs="宋体"/>
          <w:b/>
          <w:bCs/>
          <w:sz w:val="48"/>
          <w:szCs w:val="48"/>
          <w:highlight w:val="none"/>
          <w:lang w:eastAsia="zh-CN"/>
        </w:rPr>
      </w:pPr>
      <w:r>
        <w:rPr>
          <w:rFonts w:hint="eastAsia" w:ascii="宋体" w:hAnsi="宋体" w:eastAsia="宋体" w:cs="宋体"/>
          <w:b/>
          <w:bCs/>
          <w:sz w:val="48"/>
          <w:szCs w:val="48"/>
          <w:highlight w:val="none"/>
          <w:lang w:eastAsia="zh-CN"/>
        </w:rPr>
        <w:t>三门峡湖滨区智慧教育新基建项目等专项债券咨询服务项目</w:t>
      </w:r>
    </w:p>
    <w:p w14:paraId="52B2487D">
      <w:pPr>
        <w:jc w:val="center"/>
        <w:rPr>
          <w:rFonts w:hint="eastAsia" w:ascii="宋体" w:hAnsi="宋体" w:eastAsia="宋体" w:cs="宋体"/>
          <w:b/>
          <w:bCs/>
          <w:sz w:val="28"/>
          <w:szCs w:val="28"/>
          <w:highlight w:val="none"/>
        </w:rPr>
      </w:pPr>
    </w:p>
    <w:p w14:paraId="1C93BA41">
      <w:pPr>
        <w:spacing w:line="360" w:lineRule="auto"/>
        <w:ind w:firstLine="420"/>
        <w:rPr>
          <w:rFonts w:hint="eastAsia" w:ascii="宋体" w:hAnsi="宋体" w:eastAsia="宋体" w:cs="宋体"/>
          <w:b/>
          <w:kern w:val="1"/>
          <w:sz w:val="24"/>
          <w:szCs w:val="21"/>
          <w:highlight w:val="none"/>
        </w:rPr>
      </w:pPr>
    </w:p>
    <w:p w14:paraId="104BD880">
      <w:pPr>
        <w:spacing w:line="360" w:lineRule="auto"/>
        <w:jc w:val="center"/>
        <w:rPr>
          <w:rFonts w:hint="eastAsia" w:ascii="宋体" w:hAnsi="宋体" w:eastAsia="宋体" w:cs="宋体"/>
          <w:kern w:val="0"/>
          <w:sz w:val="28"/>
          <w:szCs w:val="28"/>
          <w:highlight w:val="none"/>
        </w:rPr>
      </w:pPr>
      <w:r>
        <w:rPr>
          <w:rFonts w:hint="eastAsia" w:ascii="宋体" w:hAnsi="宋体" w:eastAsia="宋体" w:cs="宋体"/>
          <w:b/>
          <w:bCs/>
          <w:sz w:val="52"/>
          <w:szCs w:val="52"/>
          <w:highlight w:val="none"/>
        </w:rPr>
        <w:t>竞争性磋商文件</w:t>
      </w:r>
    </w:p>
    <w:p w14:paraId="24F4E931">
      <w:pPr>
        <w:jc w:val="cente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rPr>
        <w:t>项目编号：</w:t>
      </w:r>
      <w:r>
        <w:rPr>
          <w:rFonts w:hint="eastAsia" w:ascii="宋体" w:hAnsi="宋体" w:eastAsia="宋体" w:cs="宋体"/>
          <w:b/>
          <w:bCs/>
          <w:sz w:val="28"/>
          <w:szCs w:val="28"/>
          <w:highlight w:val="none"/>
          <w:lang w:eastAsia="zh-CN"/>
        </w:rPr>
        <w:t>湖滨竞磋采购</w:t>
      </w:r>
      <w:r>
        <w:rPr>
          <w:rFonts w:hint="eastAsia" w:ascii="宋体" w:hAnsi="宋体" w:eastAsia="宋体" w:cs="宋体"/>
          <w:b/>
          <w:bCs/>
          <w:sz w:val="28"/>
          <w:szCs w:val="28"/>
          <w:highlight w:val="none"/>
          <w:lang w:val="en-US" w:eastAsia="zh-CN"/>
        </w:rPr>
        <w:t>-2026-24</w:t>
      </w:r>
    </w:p>
    <w:p w14:paraId="0D3225E6">
      <w:pPr>
        <w:jc w:val="center"/>
        <w:rPr>
          <w:rFonts w:hint="default" w:ascii="宋体" w:hAnsi="宋体" w:eastAsia="宋体" w:cs="宋体"/>
          <w:b/>
          <w:bCs/>
          <w:sz w:val="30"/>
          <w:szCs w:val="30"/>
          <w:highlight w:val="none"/>
          <w:lang w:val="en-US" w:eastAsia="zh-CN"/>
        </w:rPr>
      </w:pPr>
      <w:r>
        <w:rPr>
          <w:rFonts w:hint="eastAsia" w:ascii="宋体" w:hAnsi="宋体" w:eastAsia="宋体" w:cs="宋体"/>
          <w:b/>
          <w:bCs/>
          <w:sz w:val="28"/>
          <w:szCs w:val="28"/>
          <w:highlight w:val="none"/>
          <w:lang w:val="en-US" w:eastAsia="zh-CN"/>
        </w:rPr>
        <w:t xml:space="preserve">        </w:t>
      </w:r>
      <w:r>
        <w:rPr>
          <w:rFonts w:hint="default" w:ascii="宋体" w:hAnsi="宋体" w:eastAsia="宋体" w:cs="宋体"/>
          <w:b/>
          <w:bCs/>
          <w:sz w:val="28"/>
          <w:szCs w:val="28"/>
          <w:highlight w:val="none"/>
          <w:lang w:val="en-US" w:eastAsia="zh-CN"/>
        </w:rPr>
        <w:t>SGZ[2026]215-ZC146</w:t>
      </w:r>
    </w:p>
    <w:p w14:paraId="6A20413E">
      <w:pPr>
        <w:jc w:val="center"/>
        <w:rPr>
          <w:rFonts w:hint="eastAsia" w:ascii="宋体" w:hAnsi="宋体" w:eastAsia="宋体" w:cs="宋体"/>
          <w:b/>
          <w:bCs/>
          <w:sz w:val="30"/>
          <w:szCs w:val="30"/>
          <w:highlight w:val="none"/>
        </w:rPr>
      </w:pPr>
    </w:p>
    <w:p w14:paraId="1207C9FD">
      <w:pPr>
        <w:jc w:val="center"/>
        <w:rPr>
          <w:rFonts w:hint="eastAsia" w:ascii="宋体" w:hAnsi="宋体" w:eastAsia="宋体" w:cs="宋体"/>
          <w:b/>
          <w:kern w:val="1"/>
          <w:sz w:val="24"/>
          <w:szCs w:val="21"/>
          <w:highlight w:val="none"/>
        </w:rPr>
      </w:pPr>
      <w:r>
        <w:rPr>
          <w:rFonts w:hint="eastAsia" w:ascii="宋体" w:hAnsi="宋体" w:eastAsia="宋体" w:cs="宋体"/>
          <w:b/>
          <w:bCs/>
          <w:sz w:val="30"/>
          <w:szCs w:val="30"/>
          <w:highlight w:val="none"/>
          <w:lang w:eastAsia="zh-CN"/>
        </w:rPr>
        <w:drawing>
          <wp:inline distT="0" distB="0" distL="114300" distR="114300">
            <wp:extent cx="2157730" cy="2096770"/>
            <wp:effectExtent l="0" t="0" r="0" b="17780"/>
            <wp:docPr id="1" name="图片 1" descr="1331326ca91788bd1f91b8f7242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331326ca91788bd1f91b8f72421874"/>
                    <pic:cNvPicPr>
                      <a:picLocks noChangeAspect="1"/>
                    </pic:cNvPicPr>
                  </pic:nvPicPr>
                  <pic:blipFill>
                    <a:blip r:embed="rId14"/>
                    <a:stretch>
                      <a:fillRect/>
                    </a:stretch>
                  </pic:blipFill>
                  <pic:spPr>
                    <a:xfrm>
                      <a:off x="0" y="0"/>
                      <a:ext cx="2157730" cy="2096770"/>
                    </a:xfrm>
                    <a:prstGeom prst="rect">
                      <a:avLst/>
                    </a:prstGeom>
                  </pic:spPr>
                </pic:pic>
              </a:graphicData>
            </a:graphic>
          </wp:inline>
        </w:drawing>
      </w:r>
    </w:p>
    <w:p w14:paraId="4FDCA1B6">
      <w:pPr>
        <w:spacing w:line="360" w:lineRule="auto"/>
        <w:ind w:firstLine="420"/>
        <w:jc w:val="center"/>
        <w:rPr>
          <w:rFonts w:hint="eastAsia" w:ascii="宋体" w:hAnsi="宋体" w:eastAsia="宋体" w:cs="宋体"/>
          <w:b/>
          <w:kern w:val="1"/>
          <w:sz w:val="24"/>
          <w:szCs w:val="21"/>
          <w:highlight w:val="none"/>
        </w:rPr>
      </w:pPr>
    </w:p>
    <w:p w14:paraId="2243EDB6">
      <w:pPr>
        <w:spacing w:line="360" w:lineRule="auto"/>
        <w:jc w:val="both"/>
        <w:rPr>
          <w:rFonts w:hint="eastAsia" w:ascii="宋体" w:hAnsi="宋体" w:eastAsia="宋体" w:cs="宋体"/>
          <w:b/>
          <w:kern w:val="1"/>
          <w:sz w:val="24"/>
          <w:szCs w:val="21"/>
          <w:highlight w:val="none"/>
        </w:rPr>
      </w:pPr>
    </w:p>
    <w:p w14:paraId="23032434">
      <w:pPr>
        <w:spacing w:line="360" w:lineRule="auto"/>
        <w:ind w:firstLine="420"/>
        <w:jc w:val="center"/>
        <w:rPr>
          <w:rFonts w:hint="eastAsia" w:ascii="宋体" w:hAnsi="宋体" w:eastAsia="宋体" w:cs="宋体"/>
          <w:b/>
          <w:kern w:val="1"/>
          <w:sz w:val="24"/>
          <w:szCs w:val="21"/>
          <w:highlight w:val="none"/>
        </w:rPr>
      </w:pPr>
    </w:p>
    <w:p w14:paraId="4A90A480">
      <w:pPr>
        <w:spacing w:line="360" w:lineRule="auto"/>
        <w:ind w:firstLine="420"/>
        <w:jc w:val="center"/>
        <w:rPr>
          <w:rFonts w:hint="eastAsia" w:ascii="宋体" w:hAnsi="宋体" w:eastAsia="宋体" w:cs="宋体"/>
          <w:b/>
          <w:kern w:val="1"/>
          <w:sz w:val="24"/>
          <w:szCs w:val="21"/>
          <w:highlight w:val="none"/>
        </w:rPr>
      </w:pPr>
    </w:p>
    <w:p w14:paraId="2A039286">
      <w:pPr>
        <w:spacing w:line="360" w:lineRule="auto"/>
        <w:ind w:left="0" w:leftChars="0" w:firstLine="2107" w:firstLineChars="656"/>
        <w:jc w:val="both"/>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 xml:space="preserve">采   购   人: </w:t>
      </w:r>
      <w:r>
        <w:rPr>
          <w:rFonts w:hint="eastAsia" w:ascii="宋体" w:hAnsi="宋体" w:eastAsia="宋体" w:cs="宋体"/>
          <w:b/>
          <w:bCs/>
          <w:sz w:val="32"/>
          <w:szCs w:val="32"/>
          <w:highlight w:val="none"/>
        </w:rPr>
        <w:t>三门峡市湖滨区财政局</w:t>
      </w:r>
    </w:p>
    <w:p w14:paraId="6618F838">
      <w:pPr>
        <w:spacing w:line="360" w:lineRule="auto"/>
        <w:ind w:left="0" w:leftChars="0" w:firstLine="2107" w:firstLineChars="656"/>
        <w:jc w:val="both"/>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采购代理机构：河南友拓工程管理有限公司</w:t>
      </w:r>
    </w:p>
    <w:p w14:paraId="66F75881">
      <w:pPr>
        <w:widowControl/>
        <w:spacing w:line="360" w:lineRule="auto"/>
        <w:ind w:left="0" w:leftChars="0" w:firstLine="2107" w:firstLineChars="656"/>
        <w:rPr>
          <w:rFonts w:hint="eastAsia" w:ascii="宋体" w:hAnsi="宋体" w:eastAsia="宋体" w:cs="宋体"/>
          <w:szCs w:val="21"/>
          <w:highlight w:val="none"/>
        </w:rPr>
      </w:pPr>
      <w:r>
        <w:rPr>
          <w:rFonts w:hint="eastAsia" w:ascii="宋体" w:hAnsi="宋体" w:eastAsia="宋体" w:cs="宋体"/>
          <w:b/>
          <w:bCs/>
          <w:kern w:val="0"/>
          <w:sz w:val="32"/>
          <w:szCs w:val="32"/>
          <w:highlight w:val="none"/>
        </w:rPr>
        <w:t>日        期：二零二</w:t>
      </w:r>
      <w:r>
        <w:rPr>
          <w:rFonts w:hint="eastAsia" w:ascii="宋体" w:hAnsi="宋体" w:eastAsia="宋体" w:cs="宋体"/>
          <w:b/>
          <w:bCs/>
          <w:kern w:val="0"/>
          <w:sz w:val="32"/>
          <w:szCs w:val="32"/>
          <w:highlight w:val="none"/>
          <w:lang w:eastAsia="zh-CN"/>
        </w:rPr>
        <w:t>六</w:t>
      </w:r>
      <w:r>
        <w:rPr>
          <w:rFonts w:hint="eastAsia" w:ascii="宋体" w:hAnsi="宋体" w:eastAsia="宋体" w:cs="宋体"/>
          <w:b/>
          <w:bCs/>
          <w:kern w:val="0"/>
          <w:sz w:val="32"/>
          <w:szCs w:val="32"/>
          <w:highlight w:val="none"/>
        </w:rPr>
        <w:t>年</w:t>
      </w:r>
      <w:r>
        <w:rPr>
          <w:rFonts w:hint="eastAsia" w:ascii="宋体" w:hAnsi="宋体" w:eastAsia="宋体" w:cs="宋体"/>
          <w:b/>
          <w:bCs/>
          <w:kern w:val="0"/>
          <w:sz w:val="32"/>
          <w:szCs w:val="32"/>
          <w:highlight w:val="none"/>
          <w:lang w:eastAsia="zh-CN"/>
        </w:rPr>
        <w:t>七</w:t>
      </w:r>
      <w:r>
        <w:rPr>
          <w:rFonts w:hint="eastAsia" w:ascii="宋体" w:hAnsi="宋体" w:eastAsia="宋体" w:cs="宋体"/>
          <w:b/>
          <w:bCs/>
          <w:kern w:val="0"/>
          <w:sz w:val="32"/>
          <w:szCs w:val="32"/>
          <w:highlight w:val="none"/>
        </w:rPr>
        <w:t>月</w:t>
      </w:r>
    </w:p>
    <w:p w14:paraId="545642BB">
      <w:pPr>
        <w:spacing w:line="360" w:lineRule="auto"/>
        <w:rPr>
          <w:rFonts w:hint="eastAsia" w:ascii="宋体" w:hAnsi="宋体" w:eastAsia="宋体" w:cs="宋体"/>
          <w:kern w:val="2"/>
          <w:sz w:val="21"/>
          <w:szCs w:val="22"/>
          <w:highlight w:val="none"/>
          <w:lang w:val="en-US" w:eastAsia="zh-CN" w:bidi="ar-SA"/>
        </w:rPr>
        <w:sectPr>
          <w:headerReference r:id="rId3" w:type="default"/>
          <w:pgSz w:w="11906" w:h="16838"/>
          <w:pgMar w:top="1134" w:right="1134" w:bottom="1134" w:left="1134" w:header="624" w:footer="624" w:gutter="0"/>
          <w:pgBorders>
            <w:top w:val="none" w:sz="0" w:space="0"/>
            <w:left w:val="none" w:sz="0" w:space="0"/>
            <w:bottom w:val="none" w:sz="0" w:space="0"/>
            <w:right w:val="none" w:sz="0" w:space="0"/>
          </w:pgBorders>
          <w:cols w:space="0" w:num="1"/>
          <w:rtlGutter w:val="0"/>
          <w:docGrid w:type="lines" w:linePitch="312" w:charSpace="0"/>
        </w:sectPr>
      </w:pPr>
    </w:p>
    <w:sdt>
      <w:sdtPr>
        <w:rPr>
          <w:rFonts w:hint="eastAsia" w:ascii="宋体" w:hAnsi="宋体" w:eastAsia="宋体" w:cs="宋体"/>
          <w:kern w:val="2"/>
          <w:sz w:val="32"/>
          <w:szCs w:val="32"/>
          <w:highlight w:val="none"/>
          <w:lang w:val="en-US" w:eastAsia="zh-CN" w:bidi="ar-SA"/>
        </w:rPr>
        <w:id w:val="147453220"/>
        <w15:color w:val="DBDBDB"/>
        <w:docPartObj>
          <w:docPartGallery w:val="Table of Contents"/>
          <w:docPartUnique/>
        </w:docPartObj>
      </w:sdtPr>
      <w:sdtEndPr>
        <w:rPr>
          <w:rFonts w:hint="eastAsia" w:ascii="宋体" w:hAnsi="宋体" w:eastAsia="宋体" w:cs="宋体"/>
          <w:bCs/>
          <w:kern w:val="0"/>
          <w:sz w:val="21"/>
          <w:szCs w:val="44"/>
          <w:highlight w:val="none"/>
          <w:shd w:val="clear" w:color="auto" w:fill="FFFFFF"/>
          <w:lang w:val="en-US" w:eastAsia="zh-CN" w:bidi="ar-SA"/>
        </w:rPr>
      </w:sdtEndPr>
      <w:sdtContent>
        <w:p w14:paraId="59BF5FCE">
          <w:pPr>
            <w:spacing w:before="0" w:beforeLines="0" w:after="0" w:afterLines="0" w:line="240" w:lineRule="auto"/>
            <w:ind w:left="0" w:leftChars="0" w:right="0" w:rightChars="0" w:firstLine="0" w:firstLineChars="0"/>
            <w:jc w:val="center"/>
            <w:rPr>
              <w:rFonts w:hint="eastAsia" w:ascii="宋体" w:hAnsi="宋体" w:eastAsia="宋体" w:cs="宋体"/>
              <w:sz w:val="32"/>
              <w:szCs w:val="32"/>
              <w:highlight w:val="none"/>
            </w:rPr>
            <w:sectPr>
              <w:headerReference r:id="rId6" w:type="first"/>
              <w:footerReference r:id="rId9" w:type="first"/>
              <w:headerReference r:id="rId4" w:type="default"/>
              <w:footerReference r:id="rId7" w:type="default"/>
              <w:headerReference r:id="rId5" w:type="even"/>
              <w:footerReference r:id="rId8" w:type="even"/>
              <w:type w:val="continuous"/>
              <w:pgSz w:w="11906" w:h="16838"/>
              <w:pgMar w:top="1134" w:right="1134" w:bottom="1134" w:left="1134" w:header="851" w:footer="850" w:gutter="0"/>
              <w:cols w:space="425" w:num="1"/>
              <w:docGrid w:type="lines" w:linePitch="312" w:charSpace="0"/>
            </w:sectPr>
          </w:pPr>
        </w:p>
        <w:p w14:paraId="6AC36486">
          <w:pPr>
            <w:spacing w:before="0" w:beforeLines="0" w:after="0" w:afterLines="0" w:line="240" w:lineRule="auto"/>
            <w:ind w:left="0" w:leftChars="0" w:right="0" w:rightChars="0" w:firstLine="0" w:firstLineChars="0"/>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目录</w:t>
          </w:r>
        </w:p>
        <w:p w14:paraId="4D335946">
          <w:pPr>
            <w:pStyle w:val="18"/>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TOC \o "1-2" \h \u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_Toc21344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rPr>
            <w:t>第一章 竞争性磋商公告</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_Toc21344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1CB49C9D">
          <w:pPr>
            <w:pStyle w:val="18"/>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_Toc23170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rPr>
            <w:t>第二章 供应商须知及前附表</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_Toc23170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6</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5FB67C71">
          <w:pPr>
            <w:pStyle w:val="18"/>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_Toc25852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sz w:val="28"/>
              <w:szCs w:val="28"/>
              <w:highlight w:val="none"/>
            </w:rPr>
            <w:t>第三章 采购内容及服务要求</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_Toc25852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21</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20F9A941">
          <w:pPr>
            <w:pStyle w:val="18"/>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_Toc671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val="0"/>
              <w:kern w:val="0"/>
              <w:sz w:val="28"/>
              <w:szCs w:val="28"/>
              <w:highlight w:val="none"/>
              <w:shd w:val="clear" w:fill="FFFFFF"/>
              <w:lang w:val="en-US" w:eastAsia="zh-CN" w:bidi="ar-SA"/>
            </w:rPr>
            <w:t xml:space="preserve">第四章 </w:t>
          </w:r>
          <w:r>
            <w:rPr>
              <w:rFonts w:hint="eastAsia" w:ascii="宋体" w:hAnsi="宋体" w:eastAsia="宋体" w:cs="宋体"/>
              <w:bCs w:val="0"/>
              <w:kern w:val="0"/>
              <w:sz w:val="28"/>
              <w:szCs w:val="28"/>
              <w:highlight w:val="none"/>
              <w:shd w:val="clear" w:color="auto" w:fill="FFFFFF"/>
            </w:rPr>
            <w:t>评审办法</w:t>
          </w:r>
          <w:r>
            <w:rPr>
              <w:rFonts w:hint="eastAsia" w:ascii="宋体" w:hAnsi="宋体" w:eastAsia="宋体" w:cs="宋体"/>
              <w:bCs w:val="0"/>
              <w:kern w:val="0"/>
              <w:sz w:val="28"/>
              <w:szCs w:val="28"/>
              <w:highlight w:val="none"/>
              <w:shd w:val="clear" w:color="auto" w:fill="FFFFFF"/>
              <w:lang w:eastAsia="zh-CN"/>
            </w:rPr>
            <w:t>（综合评分法）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_Toc671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22</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71BCAFB9">
          <w:pPr>
            <w:pStyle w:val="18"/>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_Toc23665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kern w:val="44"/>
              <w:sz w:val="28"/>
              <w:szCs w:val="28"/>
              <w:highlight w:val="none"/>
            </w:rPr>
            <w:t>第五章</w:t>
          </w:r>
          <w:r>
            <w:rPr>
              <w:rFonts w:hint="eastAsia" w:ascii="宋体" w:hAnsi="宋体" w:eastAsia="宋体" w:cs="宋体"/>
              <w:bCs/>
              <w:kern w:val="44"/>
              <w:sz w:val="28"/>
              <w:szCs w:val="28"/>
              <w:highlight w:val="none"/>
              <w:lang w:val="en-US" w:eastAsia="zh-CN"/>
            </w:rPr>
            <w:t xml:space="preserve"> </w:t>
          </w:r>
          <w:r>
            <w:rPr>
              <w:rFonts w:hint="eastAsia" w:ascii="宋体" w:hAnsi="宋体" w:eastAsia="宋体" w:cs="宋体"/>
              <w:bCs/>
              <w:kern w:val="44"/>
              <w:sz w:val="28"/>
              <w:szCs w:val="28"/>
              <w:highlight w:val="none"/>
            </w:rPr>
            <w:t>合同主要条款及格式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_Toc23665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30</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6B04C1F4">
          <w:pPr>
            <w:pStyle w:val="18"/>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_Toc14587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kern w:val="0"/>
              <w:sz w:val="28"/>
              <w:szCs w:val="28"/>
              <w:highlight w:val="none"/>
              <w:shd w:val="clear" w:color="auto" w:fill="FFFFFF"/>
            </w:rPr>
            <w:t>第六章  响应文件格式</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_Toc14587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35</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7A03025F">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_Toc7886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lang w:eastAsia="zh-CN"/>
            </w:rPr>
            <w:t>一、</w:t>
          </w:r>
          <w:r>
            <w:rPr>
              <w:rFonts w:hint="eastAsia" w:ascii="宋体" w:hAnsi="宋体" w:eastAsia="宋体" w:cs="宋体"/>
              <w:bCs/>
              <w:sz w:val="28"/>
              <w:szCs w:val="28"/>
              <w:highlight w:val="none"/>
              <w:lang w:eastAsia="zh-CN" w:bidi="ar"/>
            </w:rPr>
            <w:t>响应</w:t>
          </w:r>
          <w:r>
            <w:rPr>
              <w:rFonts w:hint="eastAsia" w:ascii="宋体" w:hAnsi="宋体" w:eastAsia="宋体" w:cs="宋体"/>
              <w:bCs/>
              <w:sz w:val="28"/>
              <w:szCs w:val="28"/>
              <w:highlight w:val="none"/>
              <w:lang w:bidi="ar"/>
            </w:rPr>
            <w:t>函及</w:t>
          </w:r>
          <w:r>
            <w:rPr>
              <w:rFonts w:hint="eastAsia" w:ascii="宋体" w:hAnsi="宋体" w:eastAsia="宋体" w:cs="宋体"/>
              <w:bCs/>
              <w:sz w:val="28"/>
              <w:szCs w:val="28"/>
              <w:highlight w:val="none"/>
              <w:lang w:eastAsia="zh-CN" w:bidi="ar"/>
            </w:rPr>
            <w:t>响应</w:t>
          </w:r>
          <w:r>
            <w:rPr>
              <w:rFonts w:hint="eastAsia" w:ascii="宋体" w:hAnsi="宋体" w:eastAsia="宋体" w:cs="宋体"/>
              <w:bCs/>
              <w:sz w:val="28"/>
              <w:szCs w:val="28"/>
              <w:highlight w:val="none"/>
              <w:lang w:bidi="ar"/>
            </w:rPr>
            <w:t>函附录</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_Toc7886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37</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0460DA51">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_Toc3761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kern w:val="0"/>
              <w:sz w:val="28"/>
              <w:szCs w:val="28"/>
              <w:highlight w:val="none"/>
              <w:lang w:bidi="ar"/>
            </w:rPr>
            <w:t>二、法定代表人身份证明</w:t>
          </w:r>
          <w:r>
            <w:rPr>
              <w:rFonts w:hint="eastAsia" w:ascii="宋体" w:hAnsi="宋体" w:eastAsia="宋体" w:cs="宋体"/>
              <w:kern w:val="0"/>
              <w:sz w:val="28"/>
              <w:szCs w:val="28"/>
              <w:highlight w:val="none"/>
              <w:lang w:eastAsia="zh-CN" w:bidi="ar"/>
            </w:rPr>
            <w:t>或</w:t>
          </w:r>
          <w:r>
            <w:rPr>
              <w:rFonts w:hint="eastAsia" w:ascii="宋体" w:hAnsi="宋体" w:eastAsia="宋体" w:cs="宋体"/>
              <w:bCs/>
              <w:sz w:val="28"/>
              <w:szCs w:val="28"/>
              <w:highlight w:val="none"/>
            </w:rPr>
            <w:t>法定代表人授权委托书</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_Toc3761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39</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22B139B2">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_Toc24548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lang w:eastAsia="zh-CN"/>
            </w:rPr>
            <w:t>三</w:t>
          </w:r>
          <w:r>
            <w:rPr>
              <w:rFonts w:hint="eastAsia" w:ascii="宋体" w:hAnsi="宋体" w:eastAsia="宋体" w:cs="宋体"/>
              <w:bCs/>
              <w:sz w:val="28"/>
              <w:szCs w:val="28"/>
              <w:highlight w:val="none"/>
            </w:rPr>
            <w:t>、供应商资格审查资料</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_Toc24548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41</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7645467F">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_Toc15083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lang w:eastAsia="zh-CN"/>
            </w:rPr>
            <w:t>四、技术部分</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_Toc15083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52</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2AD8C634">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_Toc27236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kern w:val="2"/>
              <w:sz w:val="28"/>
              <w:szCs w:val="28"/>
              <w:highlight w:val="none"/>
              <w:lang w:val="en-US" w:eastAsia="zh-CN" w:bidi="ar-SA"/>
            </w:rPr>
            <w:t>五、企业</w:t>
          </w:r>
          <w:r>
            <w:rPr>
              <w:rFonts w:hint="eastAsia" w:ascii="宋体" w:hAnsi="宋体" w:eastAsia="宋体" w:cs="宋体"/>
              <w:bCs/>
              <w:sz w:val="28"/>
              <w:szCs w:val="28"/>
              <w:highlight w:val="none"/>
              <w:lang w:eastAsia="zh-CN"/>
            </w:rPr>
            <w:t>业绩</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_Toc27236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53</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2522CBE6">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_Toc21755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lang w:val="en-US" w:eastAsia="zh-CN"/>
            </w:rPr>
            <w:t>六、项目组成人员</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_Toc21755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54</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3C3D61C1">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_Toc14878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lang w:val="en-US" w:eastAsia="zh-CN"/>
            </w:rPr>
            <w:t>七、服务承诺</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_Toc14878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55</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1F98AAAA">
          <w:pPr>
            <w:pStyle w:val="20"/>
            <w:tabs>
              <w:tab w:val="right" w:leader="dot" w:pos="9638"/>
            </w:tabs>
            <w:rPr>
              <w:rFonts w:hint="eastAsia" w:ascii="宋体" w:hAnsi="宋体" w:eastAsia="宋体" w:cs="宋体"/>
              <w:sz w:val="28"/>
              <w:szCs w:val="28"/>
              <w:highlight w:val="none"/>
            </w:rPr>
          </w:pPr>
          <w:r>
            <w:rPr>
              <w:rFonts w:hint="eastAsia" w:ascii="宋体" w:hAnsi="宋体" w:eastAsia="宋体" w:cs="宋体"/>
              <w:bCs/>
              <w:kern w:val="0"/>
              <w:sz w:val="28"/>
              <w:szCs w:val="28"/>
              <w:highlight w:val="none"/>
              <w:shd w:val="clear" w:color="auto" w:fill="FFFFFF"/>
              <w:lang w:val="en-US" w:eastAsia="zh-CN" w:bidi="ar-SA"/>
            </w:rPr>
            <w:fldChar w:fldCharType="begin"/>
          </w:r>
          <w:r>
            <w:rPr>
              <w:rFonts w:hint="eastAsia" w:ascii="宋体" w:hAnsi="宋体" w:eastAsia="宋体" w:cs="宋体"/>
              <w:bCs/>
              <w:kern w:val="0"/>
              <w:sz w:val="28"/>
              <w:szCs w:val="28"/>
              <w:highlight w:val="none"/>
              <w:shd w:val="clear" w:color="auto" w:fill="FFFFFF"/>
              <w:lang w:val="en-US" w:eastAsia="zh-CN" w:bidi="ar-SA"/>
            </w:rPr>
            <w:instrText xml:space="preserve"> HYPERLINK \l _Toc11315 </w:instrText>
          </w:r>
          <w:r>
            <w:rPr>
              <w:rFonts w:hint="eastAsia" w:ascii="宋体" w:hAnsi="宋体" w:eastAsia="宋体" w:cs="宋体"/>
              <w:bCs/>
              <w:kern w:val="0"/>
              <w:sz w:val="28"/>
              <w:szCs w:val="28"/>
              <w:highlight w:val="none"/>
              <w:shd w:val="clear" w:color="auto" w:fill="FFFFFF"/>
              <w:lang w:val="en-US" w:eastAsia="zh-CN" w:bidi="ar-SA"/>
            </w:rPr>
            <w:fldChar w:fldCharType="separate"/>
          </w:r>
          <w:r>
            <w:rPr>
              <w:rFonts w:hint="eastAsia" w:ascii="宋体" w:hAnsi="宋体" w:eastAsia="宋体" w:cs="宋体"/>
              <w:bCs/>
              <w:sz w:val="28"/>
              <w:szCs w:val="28"/>
              <w:highlight w:val="none"/>
              <w:lang w:eastAsia="zh-CN"/>
            </w:rPr>
            <w:t>八</w:t>
          </w:r>
          <w:r>
            <w:rPr>
              <w:rFonts w:hint="eastAsia" w:ascii="宋体" w:hAnsi="宋体" w:eastAsia="宋体" w:cs="宋体"/>
              <w:bCs/>
              <w:sz w:val="28"/>
              <w:szCs w:val="28"/>
              <w:highlight w:val="none"/>
            </w:rPr>
            <w:t>、供应商认为需要提供的其他材料</w:t>
          </w:r>
          <w:r>
            <w:rPr>
              <w:rFonts w:hint="eastAsia" w:ascii="宋体" w:hAnsi="宋体" w:eastAsia="宋体" w:cs="宋体"/>
              <w:sz w:val="28"/>
              <w:szCs w:val="28"/>
              <w:highlight w:val="none"/>
            </w:rPr>
            <w:tab/>
          </w:r>
          <w:r>
            <w:rPr>
              <w:rFonts w:hint="eastAsia" w:ascii="宋体" w:hAnsi="宋体" w:eastAsia="宋体" w:cs="宋体"/>
              <w:sz w:val="28"/>
              <w:szCs w:val="28"/>
              <w:highlight w:val="none"/>
            </w:rPr>
            <w:fldChar w:fldCharType="begin"/>
          </w:r>
          <w:r>
            <w:rPr>
              <w:rFonts w:hint="eastAsia" w:ascii="宋体" w:hAnsi="宋体" w:eastAsia="宋体" w:cs="宋体"/>
              <w:sz w:val="28"/>
              <w:szCs w:val="28"/>
              <w:highlight w:val="none"/>
            </w:rPr>
            <w:instrText xml:space="preserve"> PAGEREF _Toc11315 \h </w:instrText>
          </w:r>
          <w:r>
            <w:rPr>
              <w:rFonts w:hint="eastAsia" w:ascii="宋体" w:hAnsi="宋体" w:eastAsia="宋体" w:cs="宋体"/>
              <w:sz w:val="28"/>
              <w:szCs w:val="28"/>
              <w:highlight w:val="none"/>
            </w:rPr>
            <w:fldChar w:fldCharType="separate"/>
          </w:r>
          <w:r>
            <w:rPr>
              <w:rFonts w:hint="eastAsia" w:ascii="宋体" w:hAnsi="宋体" w:eastAsia="宋体" w:cs="宋体"/>
              <w:sz w:val="28"/>
              <w:szCs w:val="28"/>
              <w:highlight w:val="none"/>
            </w:rPr>
            <w:t>56</w:t>
          </w:r>
          <w:r>
            <w:rPr>
              <w:rFonts w:hint="eastAsia" w:ascii="宋体" w:hAnsi="宋体" w:eastAsia="宋体" w:cs="宋体"/>
              <w:sz w:val="28"/>
              <w:szCs w:val="28"/>
              <w:highlight w:val="none"/>
            </w:rPr>
            <w:fldChar w:fldCharType="end"/>
          </w:r>
          <w:r>
            <w:rPr>
              <w:rFonts w:hint="eastAsia" w:ascii="宋体" w:hAnsi="宋体" w:eastAsia="宋体" w:cs="宋体"/>
              <w:bCs/>
              <w:kern w:val="0"/>
              <w:sz w:val="28"/>
              <w:szCs w:val="28"/>
              <w:highlight w:val="none"/>
              <w:shd w:val="clear" w:color="auto" w:fill="FFFFFF"/>
              <w:lang w:val="en-US" w:eastAsia="zh-CN" w:bidi="ar-SA"/>
            </w:rPr>
            <w:fldChar w:fldCharType="end"/>
          </w:r>
        </w:p>
        <w:p w14:paraId="3329D2C6">
          <w:pPr>
            <w:spacing w:line="360" w:lineRule="auto"/>
            <w:rPr>
              <w:rFonts w:hint="eastAsia" w:ascii="宋体" w:hAnsi="宋体" w:eastAsia="宋体" w:cs="宋体"/>
              <w:bCs/>
              <w:kern w:val="0"/>
              <w:sz w:val="21"/>
              <w:szCs w:val="44"/>
              <w:highlight w:val="none"/>
              <w:shd w:val="clear" w:color="auto" w:fill="FFFFFF"/>
              <w:lang w:val="en-US" w:eastAsia="zh-CN" w:bidi="ar-SA"/>
            </w:rPr>
          </w:pPr>
          <w:r>
            <w:rPr>
              <w:rFonts w:hint="eastAsia" w:ascii="宋体" w:hAnsi="宋体" w:eastAsia="宋体" w:cs="宋体"/>
              <w:bCs/>
              <w:kern w:val="0"/>
              <w:sz w:val="28"/>
              <w:szCs w:val="28"/>
              <w:highlight w:val="none"/>
              <w:shd w:val="clear" w:color="auto" w:fill="FFFFFF"/>
              <w:lang w:val="en-US" w:eastAsia="zh-CN" w:bidi="ar-SA"/>
            </w:rPr>
            <w:fldChar w:fldCharType="end"/>
          </w:r>
        </w:p>
      </w:sdtContent>
    </w:sdt>
    <w:p w14:paraId="75ADD599">
      <w:pPr>
        <w:spacing w:line="360" w:lineRule="auto"/>
        <w:rPr>
          <w:rFonts w:hint="eastAsia" w:ascii="宋体" w:hAnsi="宋体" w:eastAsia="宋体" w:cs="宋体"/>
          <w:bCs/>
          <w:kern w:val="0"/>
          <w:sz w:val="21"/>
          <w:szCs w:val="44"/>
          <w:highlight w:val="none"/>
          <w:shd w:val="clear" w:color="auto" w:fill="FFFFFF"/>
          <w:lang w:val="en-US" w:eastAsia="zh-CN" w:bidi="ar-SA"/>
        </w:rPr>
      </w:pPr>
    </w:p>
    <w:p w14:paraId="4D57DBEA">
      <w:pPr>
        <w:spacing w:line="360" w:lineRule="auto"/>
        <w:rPr>
          <w:rFonts w:hint="eastAsia" w:ascii="宋体" w:hAnsi="宋体" w:eastAsia="宋体" w:cs="宋体"/>
          <w:bCs/>
          <w:kern w:val="0"/>
          <w:sz w:val="21"/>
          <w:szCs w:val="44"/>
          <w:highlight w:val="none"/>
          <w:shd w:val="clear" w:color="auto" w:fill="FFFFFF"/>
          <w:lang w:val="en-US" w:eastAsia="zh-CN" w:bidi="ar-SA"/>
        </w:rPr>
      </w:pPr>
    </w:p>
    <w:p w14:paraId="75F2145C">
      <w:pPr>
        <w:spacing w:line="360" w:lineRule="auto"/>
        <w:ind w:firstLine="853" w:firstLineChars="236"/>
        <w:rPr>
          <w:rFonts w:hint="eastAsia" w:ascii="宋体" w:hAnsi="宋体" w:eastAsia="宋体" w:cs="宋体"/>
          <w:b/>
          <w:bCs/>
          <w:sz w:val="36"/>
          <w:szCs w:val="36"/>
          <w:highlight w:val="none"/>
        </w:rPr>
      </w:pPr>
    </w:p>
    <w:p w14:paraId="63040861">
      <w:pPr>
        <w:keepNext/>
        <w:keepLines/>
        <w:pageBreakBefore w:val="0"/>
        <w:kinsoku/>
        <w:overflowPunct/>
        <w:topLinePunct w:val="0"/>
        <w:autoSpaceDE/>
        <w:autoSpaceDN/>
        <w:bidi w:val="0"/>
        <w:adjustRightInd/>
        <w:snapToGrid/>
        <w:spacing w:before="340" w:after="330" w:line="500" w:lineRule="exact"/>
        <w:jc w:val="center"/>
        <w:textAlignment w:val="auto"/>
        <w:outlineLvl w:val="0"/>
        <w:rPr>
          <w:rFonts w:hint="eastAsia" w:ascii="宋体" w:hAnsi="宋体" w:eastAsia="宋体" w:cs="宋体"/>
          <w:b/>
          <w:bCs/>
          <w:sz w:val="30"/>
          <w:szCs w:val="30"/>
          <w:highlight w:val="none"/>
        </w:rPr>
      </w:pPr>
      <w:r>
        <w:rPr>
          <w:rFonts w:hint="eastAsia" w:ascii="宋体" w:hAnsi="宋体" w:eastAsia="宋体" w:cs="宋体"/>
          <w:kern w:val="44"/>
          <w:sz w:val="36"/>
          <w:szCs w:val="36"/>
          <w:highlight w:val="none"/>
        </w:rPr>
        <w:br w:type="page"/>
      </w:r>
      <w:bookmarkStart w:id="0" w:name="_Toc25896"/>
      <w:bookmarkStart w:id="1" w:name="_Toc21344"/>
      <w:bookmarkStart w:id="2" w:name="_Toc103592353"/>
      <w:r>
        <w:rPr>
          <w:rFonts w:hint="eastAsia" w:ascii="宋体" w:hAnsi="宋体" w:eastAsia="宋体" w:cs="宋体"/>
          <w:b/>
          <w:bCs/>
          <w:sz w:val="32"/>
          <w:szCs w:val="32"/>
          <w:highlight w:val="none"/>
        </w:rPr>
        <w:t>第一章 竞争性磋商公告</w:t>
      </w:r>
      <w:bookmarkEnd w:id="0"/>
      <w:bookmarkEnd w:id="1"/>
      <w:bookmarkEnd w:id="2"/>
    </w:p>
    <w:p w14:paraId="2CC24DED">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项目概况</w:t>
      </w:r>
    </w:p>
    <w:p w14:paraId="35344B06">
      <w:pPr>
        <w:pageBreakBefore w:val="0"/>
        <w:kinsoku/>
        <w:overflowPunct/>
        <w:topLinePunct w:val="0"/>
        <w:autoSpaceDE/>
        <w:autoSpaceDN/>
        <w:bidi w:val="0"/>
        <w:adjustRightInd/>
        <w:snapToGrid/>
        <w:spacing w:line="500" w:lineRule="exact"/>
        <w:ind w:firstLine="566" w:firstLineChars="236"/>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三门峡湖滨区智慧教育新基建项目等专项债券咨询服务项目</w:t>
      </w:r>
      <w:r>
        <w:rPr>
          <w:rFonts w:hint="eastAsia" w:ascii="宋体" w:hAnsi="宋体" w:eastAsia="宋体" w:cs="宋体"/>
          <w:sz w:val="24"/>
          <w:szCs w:val="24"/>
          <w:highlight w:val="none"/>
        </w:rPr>
        <w:t>的潜在供应商应在三门峡市公共资源交易中心网上获取竞争性磋商文件，并于202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日8时20分（北京时间）前递交响应文件。</w:t>
      </w:r>
    </w:p>
    <w:p w14:paraId="322EFB6C">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一、项目基本情况</w:t>
      </w:r>
    </w:p>
    <w:p w14:paraId="4F703AB2">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1.项目编号: 湖滨竞磋采</w:t>
      </w:r>
      <w:bookmarkStart w:id="800" w:name="_GoBack"/>
      <w:bookmarkEnd w:id="800"/>
      <w:r>
        <w:rPr>
          <w:rFonts w:hint="eastAsia" w:ascii="宋体" w:hAnsi="宋体" w:eastAsia="宋体" w:cs="宋体"/>
          <w:sz w:val="24"/>
          <w:szCs w:val="24"/>
          <w:highlight w:val="none"/>
        </w:rPr>
        <w:t>购-2026-24</w:t>
      </w:r>
    </w:p>
    <w:p w14:paraId="1F889E0D">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2.项目名称：三门峡湖滨区智慧教育新基建项目等专项债券咨询服务项目 </w:t>
      </w:r>
    </w:p>
    <w:p w14:paraId="572414F7">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3.采购方式：竞争性磋商</w:t>
      </w:r>
    </w:p>
    <w:p w14:paraId="1E452312">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4.预算金额：</w:t>
      </w:r>
      <w:r>
        <w:rPr>
          <w:rFonts w:hint="eastAsia" w:ascii="宋体" w:hAnsi="宋体" w:eastAsia="宋体" w:cs="宋体"/>
          <w:sz w:val="24"/>
          <w:szCs w:val="24"/>
          <w:highlight w:val="none"/>
          <w:lang w:val="en-US" w:eastAsia="zh-CN"/>
        </w:rPr>
        <w:t>420000.00</w:t>
      </w:r>
      <w:r>
        <w:rPr>
          <w:rFonts w:hint="eastAsia" w:ascii="宋体" w:hAnsi="宋体" w:eastAsia="宋体" w:cs="宋体"/>
          <w:sz w:val="24"/>
          <w:szCs w:val="24"/>
          <w:highlight w:val="none"/>
        </w:rPr>
        <w:t>元</w:t>
      </w:r>
    </w:p>
    <w:p w14:paraId="5D5F2D1F">
      <w:pPr>
        <w:pageBreakBefore w:val="0"/>
        <w:kinsoku/>
        <w:overflowPunct/>
        <w:topLinePunct w:val="0"/>
        <w:autoSpaceDE/>
        <w:autoSpaceDN/>
        <w:bidi w:val="0"/>
        <w:adjustRightInd/>
        <w:snapToGrid/>
        <w:spacing w:line="500" w:lineRule="exact"/>
        <w:ind w:firstLine="722" w:firstLineChars="301"/>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最高限价：</w:t>
      </w:r>
      <w:r>
        <w:rPr>
          <w:rFonts w:hint="eastAsia" w:ascii="宋体" w:hAnsi="宋体" w:eastAsia="宋体" w:cs="宋体"/>
          <w:sz w:val="24"/>
          <w:szCs w:val="24"/>
          <w:highlight w:val="none"/>
          <w:lang w:val="en-US" w:eastAsia="zh-CN"/>
        </w:rPr>
        <w:t>420000.00</w:t>
      </w:r>
      <w:r>
        <w:rPr>
          <w:rFonts w:hint="eastAsia" w:ascii="宋体" w:hAnsi="宋体" w:eastAsia="宋体" w:cs="宋体"/>
          <w:sz w:val="24"/>
          <w:szCs w:val="24"/>
          <w:highlight w:val="none"/>
        </w:rPr>
        <w:t>元</w:t>
      </w:r>
    </w:p>
    <w:tbl>
      <w:tblPr>
        <w:tblStyle w:val="26"/>
        <w:tblW w:w="10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572"/>
        <w:gridCol w:w="2079"/>
        <w:gridCol w:w="1516"/>
        <w:gridCol w:w="1623"/>
        <w:gridCol w:w="1527"/>
        <w:gridCol w:w="1473"/>
      </w:tblGrid>
      <w:tr w14:paraId="5A5B9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621" w:type="dxa"/>
            <w:noWrap w:val="0"/>
            <w:vAlign w:val="center"/>
          </w:tcPr>
          <w:p w14:paraId="5B28F56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1572" w:type="dxa"/>
            <w:noWrap w:val="0"/>
            <w:vAlign w:val="center"/>
          </w:tcPr>
          <w:p w14:paraId="076FB3CF">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包号</w:t>
            </w:r>
          </w:p>
        </w:tc>
        <w:tc>
          <w:tcPr>
            <w:tcW w:w="2079" w:type="dxa"/>
            <w:noWrap w:val="0"/>
            <w:vAlign w:val="center"/>
          </w:tcPr>
          <w:p w14:paraId="42A6C13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包名称</w:t>
            </w:r>
          </w:p>
        </w:tc>
        <w:tc>
          <w:tcPr>
            <w:tcW w:w="1516" w:type="dxa"/>
            <w:noWrap w:val="0"/>
            <w:vAlign w:val="center"/>
          </w:tcPr>
          <w:p w14:paraId="0B63E8B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包预算</w:t>
            </w:r>
          </w:p>
          <w:p w14:paraId="60150859">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（元）</w:t>
            </w:r>
          </w:p>
        </w:tc>
        <w:tc>
          <w:tcPr>
            <w:tcW w:w="1623" w:type="dxa"/>
            <w:noWrap w:val="0"/>
            <w:vAlign w:val="center"/>
          </w:tcPr>
          <w:p w14:paraId="25B17C1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包最高限价</w:t>
            </w:r>
          </w:p>
          <w:p w14:paraId="0DF3438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（元）</w:t>
            </w:r>
          </w:p>
        </w:tc>
        <w:tc>
          <w:tcPr>
            <w:tcW w:w="1527" w:type="dxa"/>
            <w:noWrap w:val="0"/>
            <w:vAlign w:val="center"/>
          </w:tcPr>
          <w:p w14:paraId="032E6DE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是否专门面向中小企业</w:t>
            </w:r>
          </w:p>
        </w:tc>
        <w:tc>
          <w:tcPr>
            <w:tcW w:w="1473" w:type="dxa"/>
            <w:noWrap w:val="0"/>
            <w:vAlign w:val="center"/>
          </w:tcPr>
          <w:p w14:paraId="64E9A90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采购预留金额（元）</w:t>
            </w:r>
          </w:p>
        </w:tc>
      </w:tr>
      <w:tr w14:paraId="6C791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1" w:type="dxa"/>
            <w:noWrap w:val="0"/>
            <w:vAlign w:val="center"/>
          </w:tcPr>
          <w:p w14:paraId="4811C26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572" w:type="dxa"/>
            <w:noWrap w:val="0"/>
            <w:vAlign w:val="center"/>
          </w:tcPr>
          <w:p w14:paraId="237C37F7">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SGZ[2026]215-ZC146-1</w:t>
            </w:r>
          </w:p>
        </w:tc>
        <w:tc>
          <w:tcPr>
            <w:tcW w:w="2079" w:type="dxa"/>
            <w:noWrap w:val="0"/>
            <w:vAlign w:val="center"/>
          </w:tcPr>
          <w:p w14:paraId="6B38080D">
            <w:pPr>
              <w:pageBreakBefore w:val="0"/>
              <w:kinsoku/>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三门峡湖滨区智慧教育新基建项目等专项债券咨询服务项目</w:t>
            </w:r>
          </w:p>
        </w:tc>
        <w:tc>
          <w:tcPr>
            <w:tcW w:w="1516" w:type="dxa"/>
            <w:noWrap w:val="0"/>
            <w:vAlign w:val="center"/>
          </w:tcPr>
          <w:p w14:paraId="22D86A7B">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b w:val="0"/>
                <w:bCs/>
                <w:color w:val="auto"/>
                <w:sz w:val="24"/>
                <w:szCs w:val="24"/>
                <w:highlight w:val="none"/>
                <w:lang w:val="en-US" w:eastAsia="zh-CN" w:bidi="ar"/>
              </w:rPr>
              <w:t>420000.00</w:t>
            </w:r>
          </w:p>
        </w:tc>
        <w:tc>
          <w:tcPr>
            <w:tcW w:w="1623" w:type="dxa"/>
            <w:noWrap w:val="0"/>
            <w:vAlign w:val="center"/>
          </w:tcPr>
          <w:p w14:paraId="634C2108">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kern w:val="0"/>
                <w:sz w:val="24"/>
                <w:szCs w:val="24"/>
                <w:highlight w:val="none"/>
                <w:lang w:val="en-US"/>
              </w:rPr>
            </w:pPr>
            <w:r>
              <w:rPr>
                <w:rFonts w:hint="eastAsia" w:ascii="宋体" w:hAnsi="宋体" w:eastAsia="宋体" w:cs="宋体"/>
                <w:b w:val="0"/>
                <w:bCs/>
                <w:color w:val="auto"/>
                <w:sz w:val="24"/>
                <w:szCs w:val="24"/>
                <w:highlight w:val="none"/>
                <w:lang w:val="en-US" w:eastAsia="zh-CN" w:bidi="ar"/>
              </w:rPr>
              <w:t>420000.00</w:t>
            </w:r>
          </w:p>
        </w:tc>
        <w:tc>
          <w:tcPr>
            <w:tcW w:w="1527" w:type="dxa"/>
            <w:noWrap w:val="0"/>
            <w:vAlign w:val="center"/>
          </w:tcPr>
          <w:p w14:paraId="4517722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是</w:t>
            </w:r>
          </w:p>
        </w:tc>
        <w:tc>
          <w:tcPr>
            <w:tcW w:w="1473" w:type="dxa"/>
            <w:noWrap w:val="0"/>
            <w:vAlign w:val="center"/>
          </w:tcPr>
          <w:p w14:paraId="3BBD27C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bidi="ar"/>
              </w:rPr>
              <w:t>420000.00</w:t>
            </w:r>
          </w:p>
        </w:tc>
      </w:tr>
    </w:tbl>
    <w:p w14:paraId="2738347E">
      <w:pPr>
        <w:pageBreakBefore w:val="0"/>
        <w:kinsoku/>
        <w:overflowPunct/>
        <w:topLinePunct w:val="0"/>
        <w:autoSpaceDE/>
        <w:autoSpaceDN/>
        <w:bidi w:val="0"/>
        <w:adjustRightInd/>
        <w:snapToGrid/>
        <w:spacing w:line="500" w:lineRule="exact"/>
        <w:ind w:firstLine="424" w:firstLineChars="177"/>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5.采购需求（包括但不限于标的的名称、数量、简要技术需求或服务要求等）</w:t>
      </w:r>
    </w:p>
    <w:p w14:paraId="32428504">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5.1采购范围：为三门峡市湖滨区政府专项债券项目提供综合咨询服务，以申请政府专项债方式筹集资金，按照财政部及河南省关于新增专项债券信息披露要求，针对政府专项债券2个项目牵头完成项目可行性研究报告、事前绩效评估、实施方案、法律意见书、财务评估报告等评审资料。具体采购内容及服务要求详见竞争性磋商文件。</w:t>
      </w:r>
    </w:p>
    <w:p w14:paraId="3CF5A99E">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5.2资金来源：财政资金。</w:t>
      </w:r>
    </w:p>
    <w:p w14:paraId="3778F0F5">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5.3服务期限：合同签署生效后起至项目通过省财政厅一审评审止</w:t>
      </w:r>
    </w:p>
    <w:p w14:paraId="35C0C9AF">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5.4</w:t>
      </w:r>
      <w:r>
        <w:rPr>
          <w:rFonts w:hint="eastAsia" w:ascii="宋体" w:hAnsi="宋体" w:eastAsia="宋体" w:cs="宋体"/>
          <w:sz w:val="24"/>
          <w:szCs w:val="24"/>
          <w:highlight w:val="none"/>
          <w:lang w:eastAsia="zh-CN"/>
        </w:rPr>
        <w:t>服务</w:t>
      </w:r>
      <w:r>
        <w:rPr>
          <w:rFonts w:hint="eastAsia" w:ascii="宋体" w:hAnsi="宋体" w:eastAsia="宋体" w:cs="宋体"/>
          <w:sz w:val="24"/>
          <w:szCs w:val="24"/>
          <w:highlight w:val="none"/>
        </w:rPr>
        <w:t>要求：满足国家和行业相关标准，并通过相关部门的审核。</w:t>
      </w:r>
    </w:p>
    <w:p w14:paraId="400620E1">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6、合同履行期限：同服务期限 </w:t>
      </w:r>
    </w:p>
    <w:p w14:paraId="46283D91">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7、本项目是否接受联合体投标：否 </w:t>
      </w:r>
    </w:p>
    <w:p w14:paraId="10CEB7C0">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8、是否接受进口产品：否 </w:t>
      </w:r>
    </w:p>
    <w:p w14:paraId="656BEC95">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9、是否专门面向中小企业：是</w:t>
      </w:r>
    </w:p>
    <w:p w14:paraId="785FF3EE">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二、申请人资格要求</w:t>
      </w:r>
    </w:p>
    <w:p w14:paraId="141DEF91">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5B7C5C20">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2.落实政府采购政策满足的资格要求：本项目专门面向中小微企业采购项目,执行促进中小企业（监狱企业、残疾人福利性企业）发展等政府采购政策。</w:t>
      </w:r>
    </w:p>
    <w:p w14:paraId="4CE71848">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3481B63B">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1根据《关于在政府采购活动中查询及使用信用记录有关问题的通知》(财库[2016]125号)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和豫财购【2016】15号的规定，对列入失信被执行人、重大税收违法失信主体、政府采购严重违法失信行为记录名单的供应商，拒绝参与本项目政府采购活动。【开标时由采购人或采购代理机构通过</w:t>
      </w:r>
      <w:r>
        <w:rPr>
          <w:rFonts w:hint="eastAsia" w:ascii="宋体" w:hAnsi="宋体" w:eastAsia="宋体" w:cs="宋体"/>
          <w:color w:val="000000"/>
          <w:sz w:val="24"/>
          <w:szCs w:val="24"/>
          <w:highlight w:val="none"/>
        </w:rPr>
        <w:t>“中国执行信息公开网（zxgk.court.gov.cn/shixin）</w:t>
      </w:r>
      <w:r>
        <w:rPr>
          <w:rFonts w:hint="eastAsia" w:ascii="宋体" w:hAnsi="宋体" w:eastAsia="宋体" w:cs="宋体"/>
          <w:color w:val="000000"/>
          <w:sz w:val="24"/>
          <w:szCs w:val="24"/>
          <w:highlight w:val="none"/>
          <w:lang w:eastAsia="zh-CN"/>
        </w:rPr>
        <w:t>、</w:t>
      </w:r>
      <w:r>
        <w:rPr>
          <w:rFonts w:hint="eastAsia" w:ascii="宋体" w:hAnsi="宋体" w:eastAsia="宋体" w:cs="宋体"/>
          <w:sz w:val="24"/>
          <w:szCs w:val="24"/>
          <w:highlight w:val="none"/>
          <w:lang w:val="en-US" w:eastAsia="zh-CN"/>
        </w:rPr>
        <w:t>“信用中国”网站（www.creditchina.gov.cn）、中国政府采购网（http://www.ccgp.gov.cn）等渠道查询相关主体信用记录,信用信息查询记录及相关证据与其他采购文件一并保存。查询时间：本项目评审结束之前（相关网站有最新规定的，按最新规定执行）】。</w:t>
      </w:r>
    </w:p>
    <w:p w14:paraId="018B0D61">
      <w:pPr>
        <w:pageBreakBefore w:val="0"/>
        <w:kinsoku/>
        <w:overflowPunct/>
        <w:topLinePunct w:val="0"/>
        <w:autoSpaceDE/>
        <w:autoSpaceDN/>
        <w:bidi w:val="0"/>
        <w:adjustRightInd/>
        <w:snapToGrid/>
        <w:spacing w:line="500" w:lineRule="exact"/>
        <w:ind w:firstLine="566" w:firstLineChars="236"/>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单位负责人为同一人或者存在控股、管理关系的不同单位，不得同时参加本项目的采购。</w:t>
      </w:r>
    </w:p>
    <w:p w14:paraId="39E47CB0">
      <w:pPr>
        <w:pageBreakBefore w:val="0"/>
        <w:kinsoku/>
        <w:overflowPunct/>
        <w:topLinePunct w:val="0"/>
        <w:autoSpaceDE/>
        <w:autoSpaceDN/>
        <w:bidi w:val="0"/>
        <w:adjustRightInd/>
        <w:snapToGrid/>
        <w:spacing w:line="500" w:lineRule="exact"/>
        <w:ind w:firstLine="566" w:firstLineChars="236"/>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3.3为采购项目提供整体设计、规范编制或者项目管理、监理、检测等服务的供应商，不得再参加该采购项目的其他采购活动。</w:t>
      </w:r>
    </w:p>
    <w:p w14:paraId="4E8D006E">
      <w:pPr>
        <w:pageBreakBefore w:val="0"/>
        <w:kinsoku/>
        <w:overflowPunct/>
        <w:topLinePunct w:val="0"/>
        <w:autoSpaceDE/>
        <w:autoSpaceDN/>
        <w:bidi w:val="0"/>
        <w:adjustRightInd/>
        <w:snapToGrid/>
        <w:spacing w:line="500" w:lineRule="exact"/>
        <w:ind w:firstLine="566" w:firstLineChars="236"/>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三、获取</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文件</w:t>
      </w:r>
    </w:p>
    <w:p w14:paraId="12564CAA">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1.时间：</w:t>
      </w: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18</w:t>
      </w:r>
      <w:r>
        <w:rPr>
          <w:rFonts w:hint="eastAsia" w:ascii="宋体" w:hAnsi="宋体" w:eastAsia="宋体" w:cs="宋体"/>
          <w:sz w:val="24"/>
          <w:szCs w:val="24"/>
          <w:highlight w:val="none"/>
        </w:rPr>
        <w:t>日至</w:t>
      </w:r>
      <w:r>
        <w:rPr>
          <w:rFonts w:hint="eastAsia" w:ascii="宋体" w:hAnsi="宋体" w:eastAsia="宋体" w:cs="宋体"/>
          <w:sz w:val="24"/>
          <w:szCs w:val="24"/>
          <w:highlight w:val="none"/>
          <w:lang w:val="en-US" w:eastAsia="zh-CN"/>
        </w:rPr>
        <w:t>2026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29</w:t>
      </w:r>
      <w:r>
        <w:rPr>
          <w:rFonts w:hint="eastAsia" w:ascii="宋体" w:hAnsi="宋体" w:eastAsia="宋体" w:cs="宋体"/>
          <w:sz w:val="24"/>
          <w:szCs w:val="24"/>
          <w:highlight w:val="none"/>
        </w:rPr>
        <w:t>日，每天上午00:00至12:00，下午12:00至23:59（北京时间）</w:t>
      </w:r>
    </w:p>
    <w:p w14:paraId="13C7C664">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2.地点：三门峡市公共资源交易中心网上</w:t>
      </w:r>
    </w:p>
    <w:p w14:paraId="4E932123">
      <w:pPr>
        <w:keepNext w:val="0"/>
        <w:keepLines w:val="0"/>
        <w:pageBreakBefore w:val="0"/>
        <w:widowControl w:val="0"/>
        <w:kinsoku/>
        <w:wordWrap w:val="0"/>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3.方式：供应商凭CA数字证书通过三门峡市公共资源交易中心网（网址：http://gzjy.smx.gov.cn），点击交易平台选择“交易主体登录”，在所参与项目右侧点击参与投标，即可直接下载本项目竞争性磋商文件。</w:t>
      </w:r>
    </w:p>
    <w:p w14:paraId="1103BB0F">
      <w:pPr>
        <w:keepNext w:val="0"/>
        <w:keepLines w:val="0"/>
        <w:pageBreakBefore w:val="0"/>
        <w:widowControl w:val="0"/>
        <w:kinsoku/>
        <w:wordWrap w:val="0"/>
        <w:overflowPunct/>
        <w:topLinePunct w:val="0"/>
        <w:autoSpaceDE/>
        <w:autoSpaceDN/>
        <w:bidi w:val="0"/>
        <w:adjustRightInd/>
        <w:snapToGrid/>
        <w:spacing w:line="500" w:lineRule="exact"/>
        <w:ind w:firstLine="484" w:firstLineChars="202"/>
        <w:textAlignment w:val="auto"/>
      </w:pPr>
      <w:r>
        <w:rPr>
          <w:rFonts w:hint="eastAsia" w:ascii="宋体" w:hAnsi="宋体" w:eastAsia="宋体" w:cs="宋体"/>
          <w:sz w:val="24"/>
          <w:szCs w:val="24"/>
          <w:highlight w:val="none"/>
          <w:lang w:val="en-US" w:eastAsia="zh-CN"/>
        </w:rPr>
        <w:t>办理CA证书链接：</w:t>
      </w:r>
    </w:p>
    <w:p w14:paraId="38BD54F7">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http://gzjy.smx.gov.cn/bzzx/008001/20231102/4defc9b5-408e-47f2-9e9f-1f376a06ee1f.html</w:t>
      </w:r>
    </w:p>
    <w:p w14:paraId="7D6B2223">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p>
    <w:p w14:paraId="1209A489">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四、响应文件提交</w:t>
      </w:r>
    </w:p>
    <w:p w14:paraId="16F9CD26">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日8时20分（北京时间）</w:t>
      </w:r>
    </w:p>
    <w:p w14:paraId="083FF92F">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2.地点：加密电子竞争性磋商响应文件须在磋商截止时间前通过三门峡市公共资源交易中心电子交易平台加密上传。</w:t>
      </w:r>
    </w:p>
    <w:p w14:paraId="19473367">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五、响应文件开启</w:t>
      </w:r>
    </w:p>
    <w:p w14:paraId="5B8BBA27">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30</w:t>
      </w:r>
      <w:r>
        <w:rPr>
          <w:rFonts w:hint="eastAsia" w:ascii="宋体" w:hAnsi="宋体" w:eastAsia="宋体" w:cs="宋体"/>
          <w:sz w:val="24"/>
          <w:szCs w:val="24"/>
          <w:highlight w:val="none"/>
        </w:rPr>
        <w:t>日8时20分（北京时间）</w:t>
      </w:r>
    </w:p>
    <w:p w14:paraId="1A714BCD">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2.地点：三门峡市公共资源交易中心五楼开标区</w:t>
      </w:r>
    </w:p>
    <w:p w14:paraId="0775C4F4">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六、发布公告的媒介及公告期限</w:t>
      </w:r>
    </w:p>
    <w:p w14:paraId="4C117113">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本次公告在《河南省政府采购网》、《中国招标投标公共服务平台》、《三门峡市公共资源交易中心网》上发布</w:t>
      </w:r>
      <w:r>
        <w:rPr>
          <w:rFonts w:hint="eastAsia" w:ascii="宋体" w:hAnsi="宋体" w:eastAsia="宋体" w:cs="宋体"/>
          <w:color w:val="auto"/>
          <w:sz w:val="24"/>
          <w:szCs w:val="24"/>
          <w:highlight w:val="none"/>
          <w:lang w:eastAsia="zh-CN"/>
        </w:rPr>
        <w:t>，公告期限为三个工作日</w:t>
      </w:r>
      <w:r>
        <w:rPr>
          <w:rFonts w:hint="eastAsia" w:ascii="宋体" w:hAnsi="宋体" w:eastAsia="宋体" w:cs="宋体"/>
          <w:color w:val="auto"/>
          <w:sz w:val="24"/>
          <w:szCs w:val="24"/>
          <w:highlight w:val="none"/>
        </w:rPr>
        <w:t>。</w:t>
      </w:r>
    </w:p>
    <w:p w14:paraId="542BB4BA">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七、其他补充事宜</w:t>
      </w:r>
    </w:p>
    <w:p w14:paraId="2BC120B5">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响应文件解密等。每位供应商的解密时间为开标时间起30分钟内完成。因供应商原因未能解密、解密失败或解密超时的将被拒绝。</w:t>
      </w:r>
    </w:p>
    <w:p w14:paraId="2B109121">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2.本项目为电子化、无纸化交易项目，开标时不再接受任何纸质资料，为保证您能投标成功，请需仔细阅读竞争性磋商文件和三门峡市公共资源交易中心官网业务办理指南。</w:t>
      </w:r>
    </w:p>
    <w:p w14:paraId="359C5C81">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3.根据《河南省财政厅关于优化政府采购营商环境有关问题的通知》（豫财购【2019】4号）第6条的规定，磋商保证金不再收取。</w:t>
      </w:r>
    </w:p>
    <w:p w14:paraId="4A959F93">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4.本项目实行资格后审，审查内容以响应文件为准，其上传资料真实性由供应商自行承担。同时，供应商应在开标前自行完善主体库信息。</w:t>
      </w:r>
    </w:p>
    <w:p w14:paraId="691794A7">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5.评标打分部分：评标打分部分仍按照100分制原则进行，涉及到资格审查、企业荣誉、企业业绩等计分部分时，以供应商自行上传到响应文件中的各类相应内容为准。</w:t>
      </w:r>
    </w:p>
    <w:p w14:paraId="48AECB18">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在竞争性磋商文件中要求供应商按照响应文件格式进行响应文件编制，在响应文件编制时，应明确将供应商企业基本情况、资质情况、人员情况、财务情况、业绩情况编入响应文件，便于进行资格审查及评标打分。</w:t>
      </w:r>
    </w:p>
    <w:p w14:paraId="74B23E4B">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7、我单位（采购人）严格按三财购【2021】9号文要求的时限发布中标结果公告，发出中标通知书，签订采购合同，上传采购合同。</w:t>
      </w:r>
    </w:p>
    <w:p w14:paraId="750CB6A2">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8、监督单位：三门峡市湖滨区政府采购管理办公室</w:t>
      </w:r>
    </w:p>
    <w:p w14:paraId="03C75A91">
      <w:pPr>
        <w:pageBreakBefore w:val="0"/>
        <w:kinsoku/>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联系方式：0398-2957328</w:t>
      </w:r>
    </w:p>
    <w:p w14:paraId="11EA2DF1">
      <w:pPr>
        <w:pageBreakBefore w:val="0"/>
        <w:kinsoku/>
        <w:overflowPunct/>
        <w:topLinePunct w:val="0"/>
        <w:autoSpaceDE/>
        <w:autoSpaceDN/>
        <w:bidi w:val="0"/>
        <w:adjustRightInd/>
        <w:snapToGrid/>
        <w:spacing w:line="500" w:lineRule="exact"/>
        <w:ind w:firstLine="484" w:firstLineChars="202"/>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八、凡对本次招标提出询问，请按照以下方式联系</w:t>
      </w:r>
    </w:p>
    <w:p w14:paraId="5FF1320B">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 采购人信息</w:t>
      </w:r>
    </w:p>
    <w:p w14:paraId="4319B261">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名称：三门峡市湖滨区财政局 </w:t>
      </w:r>
    </w:p>
    <w:p w14:paraId="4BDCF9AC">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地址：三门峡市湖滨区河堤路中段 </w:t>
      </w:r>
    </w:p>
    <w:p w14:paraId="77630B6E">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eastAsia="zh-CN"/>
        </w:rPr>
        <w:t>郭女士</w:t>
      </w:r>
    </w:p>
    <w:p w14:paraId="2DBA73E6">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联系方式：0398-29573</w:t>
      </w:r>
      <w:r>
        <w:rPr>
          <w:rFonts w:hint="eastAsia" w:ascii="宋体" w:hAnsi="宋体" w:eastAsia="宋体" w:cs="宋体"/>
          <w:sz w:val="24"/>
          <w:szCs w:val="24"/>
          <w:highlight w:val="none"/>
          <w:lang w:val="en-US" w:eastAsia="zh-CN"/>
        </w:rPr>
        <w:t>33</w:t>
      </w:r>
    </w:p>
    <w:p w14:paraId="64FCF89F">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2.采购代理机构：河南友拓工程管理有限公司</w:t>
      </w:r>
    </w:p>
    <w:p w14:paraId="57DAE332">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地址：三门峡市河堤北路伟业大厦905室</w:t>
      </w:r>
    </w:p>
    <w:p w14:paraId="034AE38A">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eastAsia="zh-CN"/>
        </w:rPr>
        <w:t>朱磊</w:t>
      </w:r>
    </w:p>
    <w:p w14:paraId="6B07C799">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lang w:val="en-US" w:eastAsia="zh-CN"/>
        </w:rPr>
        <w:t>19603980926</w:t>
      </w:r>
    </w:p>
    <w:p w14:paraId="248127B4">
      <w:pPr>
        <w:pageBreakBefore w:val="0"/>
        <w:kinsoku/>
        <w:overflowPunct/>
        <w:topLinePunct w:val="0"/>
        <w:autoSpaceDE/>
        <w:autoSpaceDN/>
        <w:bidi w:val="0"/>
        <w:adjustRightInd/>
        <w:snapToGrid/>
        <w:spacing w:line="500" w:lineRule="exact"/>
        <w:ind w:firstLine="540" w:firstLineChars="22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3.项目联系方式</w:t>
      </w:r>
    </w:p>
    <w:p w14:paraId="09DCFD2F">
      <w:pPr>
        <w:pageBreakBefore w:val="0"/>
        <w:kinsoku/>
        <w:overflowPunct/>
        <w:topLinePunct w:val="0"/>
        <w:autoSpaceDE/>
        <w:autoSpaceDN/>
        <w:bidi w:val="0"/>
        <w:adjustRightInd/>
        <w:snapToGrid/>
        <w:spacing w:line="500" w:lineRule="exact"/>
        <w:ind w:firstLine="566" w:firstLineChars="236"/>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lang w:eastAsia="zh-CN"/>
        </w:rPr>
        <w:t>朱磊</w:t>
      </w:r>
    </w:p>
    <w:p w14:paraId="7DE9B0EA">
      <w:pPr>
        <w:pageBreakBefore w:val="0"/>
        <w:kinsoku/>
        <w:overflowPunct/>
        <w:topLinePunct w:val="0"/>
        <w:autoSpaceDE/>
        <w:autoSpaceDN/>
        <w:bidi w:val="0"/>
        <w:adjustRightInd/>
        <w:snapToGrid/>
        <w:spacing w:line="500" w:lineRule="exact"/>
        <w:ind w:firstLine="600" w:firstLineChars="250"/>
        <w:textAlignment w:val="auto"/>
        <w:rPr>
          <w:rFonts w:hint="eastAsia" w:ascii="宋体" w:hAnsi="宋体" w:eastAsia="宋体" w:cs="宋体"/>
          <w:b/>
          <w:bCs/>
          <w:kern w:val="0"/>
          <w:sz w:val="24"/>
          <w:szCs w:val="24"/>
          <w:highlight w:val="none"/>
          <w:shd w:val="clear" w:color="auto" w:fill="FFFFFF"/>
        </w:rPr>
      </w:pPr>
      <w:r>
        <w:rPr>
          <w:rFonts w:hint="eastAsia" w:ascii="宋体" w:hAnsi="宋体" w:eastAsia="宋体" w:cs="宋体"/>
          <w:sz w:val="24"/>
          <w:szCs w:val="24"/>
          <w:highlight w:val="none"/>
        </w:rPr>
        <w:t>联系方式：</w:t>
      </w:r>
      <w:r>
        <w:rPr>
          <w:rFonts w:hint="eastAsia" w:ascii="宋体" w:hAnsi="宋体" w:eastAsia="宋体" w:cs="宋体"/>
          <w:sz w:val="24"/>
          <w:szCs w:val="24"/>
          <w:highlight w:val="none"/>
          <w:lang w:val="en-US" w:eastAsia="zh-CN"/>
        </w:rPr>
        <w:t>19603980926</w:t>
      </w:r>
    </w:p>
    <w:p w14:paraId="0934EDBC">
      <w:pPr>
        <w:jc w:val="center"/>
        <w:outlineLvl w:val="0"/>
        <w:rPr>
          <w:rFonts w:hint="eastAsia" w:ascii="宋体" w:hAnsi="宋体" w:eastAsia="宋体" w:cs="宋体"/>
          <w:b/>
          <w:bCs/>
          <w:sz w:val="30"/>
          <w:szCs w:val="30"/>
          <w:highlight w:val="none"/>
        </w:rPr>
      </w:pPr>
      <w:r>
        <w:rPr>
          <w:rFonts w:hint="eastAsia" w:ascii="宋体" w:hAnsi="宋体" w:eastAsia="宋体" w:cs="宋体"/>
          <w:kern w:val="0"/>
          <w:sz w:val="32"/>
          <w:szCs w:val="32"/>
          <w:highlight w:val="none"/>
          <w:shd w:val="clear" w:color="auto" w:fill="FFFFFF"/>
        </w:rPr>
        <w:br w:type="page"/>
      </w:r>
      <w:bookmarkStart w:id="3" w:name="_Toc23170"/>
      <w:bookmarkStart w:id="4" w:name="_Toc103592354"/>
      <w:r>
        <w:rPr>
          <w:rFonts w:hint="eastAsia" w:ascii="宋体" w:hAnsi="宋体" w:eastAsia="宋体" w:cs="宋体"/>
          <w:b/>
          <w:bCs/>
          <w:sz w:val="32"/>
          <w:szCs w:val="32"/>
          <w:highlight w:val="none"/>
        </w:rPr>
        <w:t>第二章 供应商须知及前附表</w:t>
      </w:r>
      <w:bookmarkEnd w:id="3"/>
      <w:bookmarkEnd w:id="4"/>
    </w:p>
    <w:p w14:paraId="4E90E7FD">
      <w:pPr>
        <w:jc w:val="center"/>
        <w:rPr>
          <w:rFonts w:hint="eastAsia" w:ascii="宋体" w:hAnsi="宋体" w:eastAsia="宋体" w:cs="宋体"/>
          <w:b/>
          <w:bCs/>
          <w:sz w:val="30"/>
          <w:szCs w:val="30"/>
          <w:highlight w:val="none"/>
        </w:rPr>
      </w:pPr>
      <w:r>
        <w:rPr>
          <w:rFonts w:hint="eastAsia" w:ascii="宋体" w:hAnsi="宋体" w:eastAsia="宋体" w:cs="宋体"/>
          <w:b/>
          <w:bCs/>
          <w:sz w:val="30"/>
          <w:szCs w:val="30"/>
          <w:highlight w:val="none"/>
        </w:rPr>
        <w:t>供应商须知前附表</w:t>
      </w:r>
    </w:p>
    <w:tbl>
      <w:tblPr>
        <w:tblStyle w:val="26"/>
        <w:tblW w:w="9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701"/>
        <w:gridCol w:w="6782"/>
      </w:tblGrid>
      <w:tr w14:paraId="57CA9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01" w:type="dxa"/>
            <w:vAlign w:val="center"/>
          </w:tcPr>
          <w:p w14:paraId="2820B293">
            <w:pPr>
              <w:spacing w:line="46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条款号</w:t>
            </w:r>
          </w:p>
        </w:tc>
        <w:tc>
          <w:tcPr>
            <w:tcW w:w="1701" w:type="dxa"/>
            <w:vAlign w:val="center"/>
          </w:tcPr>
          <w:p w14:paraId="096F66D4">
            <w:pPr>
              <w:spacing w:line="46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条款名称</w:t>
            </w:r>
          </w:p>
        </w:tc>
        <w:tc>
          <w:tcPr>
            <w:tcW w:w="6782" w:type="dxa"/>
            <w:vAlign w:val="center"/>
          </w:tcPr>
          <w:p w14:paraId="11C89A0D">
            <w:pPr>
              <w:spacing w:line="460" w:lineRule="exact"/>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编列内容</w:t>
            </w:r>
          </w:p>
        </w:tc>
      </w:tr>
      <w:tr w14:paraId="4EAB3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101" w:type="dxa"/>
            <w:vAlign w:val="center"/>
          </w:tcPr>
          <w:p w14:paraId="135D2145">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1.1</w:t>
            </w:r>
          </w:p>
        </w:tc>
        <w:tc>
          <w:tcPr>
            <w:tcW w:w="1701" w:type="dxa"/>
            <w:vAlign w:val="center"/>
          </w:tcPr>
          <w:p w14:paraId="76D210FB">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采购人</w:t>
            </w:r>
          </w:p>
        </w:tc>
        <w:tc>
          <w:tcPr>
            <w:tcW w:w="6782" w:type="dxa"/>
            <w:vAlign w:val="center"/>
          </w:tcPr>
          <w:p w14:paraId="1C0DEDBD">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名称：三门峡市湖滨区财政局 </w:t>
            </w:r>
          </w:p>
          <w:p w14:paraId="23890DDF">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地址：三门峡市湖滨区河堤路中段 </w:t>
            </w:r>
          </w:p>
          <w:p w14:paraId="71942CE1">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联系人：郭女士</w:t>
            </w:r>
          </w:p>
          <w:p w14:paraId="7E54CB60">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联系方式：0398-2957333</w:t>
            </w:r>
          </w:p>
        </w:tc>
      </w:tr>
      <w:tr w14:paraId="61AA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101" w:type="dxa"/>
            <w:vAlign w:val="center"/>
          </w:tcPr>
          <w:p w14:paraId="76A4CC26">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1.2</w:t>
            </w:r>
          </w:p>
        </w:tc>
        <w:tc>
          <w:tcPr>
            <w:tcW w:w="1701" w:type="dxa"/>
            <w:vAlign w:val="center"/>
          </w:tcPr>
          <w:p w14:paraId="2B38BF79">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采购代理机构</w:t>
            </w:r>
          </w:p>
        </w:tc>
        <w:tc>
          <w:tcPr>
            <w:tcW w:w="6782" w:type="dxa"/>
            <w:vAlign w:val="center"/>
          </w:tcPr>
          <w:p w14:paraId="1F4EB4BB">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采购代理机构：河南友拓工程管理有限公司</w:t>
            </w:r>
          </w:p>
          <w:p w14:paraId="013A400A">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地址：三门峡市河堤北路伟业大厦905室</w:t>
            </w:r>
          </w:p>
          <w:p w14:paraId="2E02278E">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联系人：朱磊</w:t>
            </w:r>
          </w:p>
          <w:p w14:paraId="7B9DBB8E">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联系方式：19603980926</w:t>
            </w:r>
          </w:p>
        </w:tc>
      </w:tr>
      <w:tr w14:paraId="68066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101" w:type="dxa"/>
            <w:vAlign w:val="center"/>
          </w:tcPr>
          <w:p w14:paraId="39C9D919">
            <w:pPr>
              <w:widowControl/>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1.3</w:t>
            </w:r>
          </w:p>
        </w:tc>
        <w:tc>
          <w:tcPr>
            <w:tcW w:w="1701" w:type="dxa"/>
            <w:vAlign w:val="center"/>
          </w:tcPr>
          <w:p w14:paraId="0F9A5BDE">
            <w:pPr>
              <w:widowControl/>
              <w:spacing w:line="460" w:lineRule="exact"/>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预算资金</w:t>
            </w:r>
          </w:p>
        </w:tc>
        <w:tc>
          <w:tcPr>
            <w:tcW w:w="6782" w:type="dxa"/>
            <w:vAlign w:val="center"/>
          </w:tcPr>
          <w:p w14:paraId="33018F15">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0000.00元</w:t>
            </w:r>
          </w:p>
        </w:tc>
      </w:tr>
      <w:tr w14:paraId="784A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101" w:type="dxa"/>
            <w:vAlign w:val="center"/>
          </w:tcPr>
          <w:p w14:paraId="58BE4057">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1.4</w:t>
            </w:r>
          </w:p>
        </w:tc>
        <w:tc>
          <w:tcPr>
            <w:tcW w:w="1701" w:type="dxa"/>
            <w:vAlign w:val="center"/>
          </w:tcPr>
          <w:p w14:paraId="15B74072">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项目名称</w:t>
            </w:r>
          </w:p>
        </w:tc>
        <w:tc>
          <w:tcPr>
            <w:tcW w:w="6782" w:type="dxa"/>
            <w:vAlign w:val="center"/>
          </w:tcPr>
          <w:p w14:paraId="32300C0A">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三门峡湖滨区智慧教育新基建项目等专项债券咨询服务项目 </w:t>
            </w:r>
          </w:p>
        </w:tc>
      </w:tr>
      <w:tr w14:paraId="58610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101" w:type="dxa"/>
            <w:vAlign w:val="center"/>
          </w:tcPr>
          <w:p w14:paraId="61C53B4C">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1.5</w:t>
            </w:r>
          </w:p>
        </w:tc>
        <w:tc>
          <w:tcPr>
            <w:tcW w:w="1701" w:type="dxa"/>
            <w:vAlign w:val="center"/>
          </w:tcPr>
          <w:p w14:paraId="6680B0A4">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资金来源及落实情况</w:t>
            </w:r>
          </w:p>
        </w:tc>
        <w:tc>
          <w:tcPr>
            <w:tcW w:w="6782" w:type="dxa"/>
            <w:vAlign w:val="center"/>
          </w:tcPr>
          <w:p w14:paraId="72058234">
            <w:pPr>
              <w:spacing w:line="360"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财政资金</w:t>
            </w:r>
            <w:r>
              <w:rPr>
                <w:rFonts w:hint="eastAsia" w:ascii="宋体" w:hAnsi="宋体" w:eastAsia="宋体" w:cs="宋体"/>
                <w:sz w:val="21"/>
                <w:szCs w:val="21"/>
                <w:highlight w:val="none"/>
                <w:lang w:eastAsia="zh-CN"/>
              </w:rPr>
              <w:t>，已落实</w:t>
            </w:r>
          </w:p>
        </w:tc>
      </w:tr>
      <w:tr w14:paraId="6616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01" w:type="dxa"/>
            <w:vAlign w:val="center"/>
          </w:tcPr>
          <w:p w14:paraId="1CE4FD47">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1.6</w:t>
            </w:r>
          </w:p>
        </w:tc>
        <w:tc>
          <w:tcPr>
            <w:tcW w:w="1701" w:type="dxa"/>
            <w:vAlign w:val="center"/>
          </w:tcPr>
          <w:p w14:paraId="17D55A1F">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服务地点</w:t>
            </w:r>
          </w:p>
        </w:tc>
        <w:tc>
          <w:tcPr>
            <w:tcW w:w="6782" w:type="dxa"/>
            <w:vAlign w:val="center"/>
          </w:tcPr>
          <w:p w14:paraId="6EEF1C1E">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三门峡市湖滨区</w:t>
            </w:r>
          </w:p>
        </w:tc>
      </w:tr>
      <w:tr w14:paraId="0946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101" w:type="dxa"/>
            <w:vAlign w:val="center"/>
          </w:tcPr>
          <w:p w14:paraId="0E447B0E">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1.7</w:t>
            </w:r>
          </w:p>
        </w:tc>
        <w:tc>
          <w:tcPr>
            <w:tcW w:w="1701" w:type="dxa"/>
            <w:vAlign w:val="center"/>
          </w:tcPr>
          <w:p w14:paraId="74318812">
            <w:pPr>
              <w:keepLines/>
              <w:spacing w:line="460" w:lineRule="exac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采购范围</w:t>
            </w:r>
          </w:p>
        </w:tc>
        <w:tc>
          <w:tcPr>
            <w:tcW w:w="6782" w:type="dxa"/>
            <w:vAlign w:val="center"/>
          </w:tcPr>
          <w:p w14:paraId="3BFF2115">
            <w:pPr>
              <w:spacing w:line="460" w:lineRule="exact"/>
              <w:rPr>
                <w:rFonts w:hint="eastAsia" w:ascii="宋体" w:hAnsi="宋体" w:eastAsia="宋体" w:cs="宋体"/>
                <w:color w:val="FF0000"/>
                <w:sz w:val="21"/>
                <w:szCs w:val="21"/>
                <w:highlight w:val="none"/>
              </w:rPr>
            </w:pPr>
            <w:r>
              <w:rPr>
                <w:rFonts w:hint="eastAsia" w:ascii="宋体" w:hAnsi="宋体" w:eastAsia="宋体" w:cs="宋体"/>
                <w:color w:val="000000"/>
                <w:kern w:val="0"/>
                <w:sz w:val="21"/>
                <w:szCs w:val="21"/>
                <w:highlight w:val="none"/>
              </w:rPr>
              <w:t>为三门峡市湖滨区政府专项债券项目提供综合咨询服务，以申请政府专项债方式筹集资金，按照财政部及河南省关于新增专项债券信息披露要求，针对政府专项债券2个项目牵头完成项目可行性研究报告、事前绩效评估、实施方案、法律意见书、财务评估报告等评审资料。具体采购内容及服务要求详见竞争性磋商文件。</w:t>
            </w:r>
          </w:p>
        </w:tc>
      </w:tr>
      <w:tr w14:paraId="7C076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101" w:type="dxa"/>
            <w:vAlign w:val="center"/>
          </w:tcPr>
          <w:p w14:paraId="02285726">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1.8</w:t>
            </w:r>
          </w:p>
        </w:tc>
        <w:tc>
          <w:tcPr>
            <w:tcW w:w="1701" w:type="dxa"/>
            <w:vAlign w:val="center"/>
          </w:tcPr>
          <w:p w14:paraId="60A407C6">
            <w:pPr>
              <w:keepLines/>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服务期限</w:t>
            </w:r>
          </w:p>
        </w:tc>
        <w:tc>
          <w:tcPr>
            <w:tcW w:w="6782" w:type="dxa"/>
            <w:vAlign w:val="center"/>
          </w:tcPr>
          <w:p w14:paraId="0FCB0EE7">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合同签署生效后起至项目通过省财政厅一审评审止</w:t>
            </w:r>
          </w:p>
        </w:tc>
      </w:tr>
      <w:tr w14:paraId="56BD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1101" w:type="dxa"/>
            <w:vAlign w:val="center"/>
          </w:tcPr>
          <w:p w14:paraId="42334995">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1.9</w:t>
            </w:r>
          </w:p>
        </w:tc>
        <w:tc>
          <w:tcPr>
            <w:tcW w:w="1701" w:type="dxa"/>
            <w:vAlign w:val="center"/>
          </w:tcPr>
          <w:p w14:paraId="449A9EE3">
            <w:pPr>
              <w:keepLines/>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服务</w:t>
            </w:r>
            <w:r>
              <w:rPr>
                <w:rFonts w:hint="eastAsia" w:ascii="宋体" w:hAnsi="宋体" w:eastAsia="宋体" w:cs="宋体"/>
                <w:sz w:val="21"/>
                <w:szCs w:val="21"/>
                <w:highlight w:val="none"/>
              </w:rPr>
              <w:t>要求</w:t>
            </w:r>
          </w:p>
        </w:tc>
        <w:tc>
          <w:tcPr>
            <w:tcW w:w="6782" w:type="dxa"/>
            <w:vAlign w:val="center"/>
          </w:tcPr>
          <w:p w14:paraId="7ACE486C">
            <w:pPr>
              <w:keepLines/>
              <w:spacing w:line="4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满足国家和行业相关标准，并通过相关部门的审核。</w:t>
            </w:r>
          </w:p>
        </w:tc>
      </w:tr>
      <w:tr w14:paraId="5AC8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01" w:type="dxa"/>
            <w:vAlign w:val="center"/>
          </w:tcPr>
          <w:p w14:paraId="3788842E">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2.0</w:t>
            </w:r>
          </w:p>
        </w:tc>
        <w:tc>
          <w:tcPr>
            <w:tcW w:w="1701" w:type="dxa"/>
            <w:vAlign w:val="center"/>
          </w:tcPr>
          <w:p w14:paraId="0B439C26">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供应商资格要求</w:t>
            </w:r>
          </w:p>
        </w:tc>
        <w:tc>
          <w:tcPr>
            <w:tcW w:w="6782" w:type="dxa"/>
            <w:vAlign w:val="center"/>
          </w:tcPr>
          <w:p w14:paraId="248699D6">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详见竞争性磋商公告“二、申请人资格要求”的内容</w:t>
            </w:r>
          </w:p>
        </w:tc>
      </w:tr>
      <w:tr w14:paraId="489C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101" w:type="dxa"/>
            <w:vAlign w:val="center"/>
          </w:tcPr>
          <w:p w14:paraId="53C9A18C">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2.1</w:t>
            </w:r>
          </w:p>
        </w:tc>
        <w:tc>
          <w:tcPr>
            <w:tcW w:w="1701" w:type="dxa"/>
            <w:vAlign w:val="center"/>
          </w:tcPr>
          <w:p w14:paraId="7947695F">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供应商提出问题的截止时间</w:t>
            </w:r>
          </w:p>
        </w:tc>
        <w:tc>
          <w:tcPr>
            <w:tcW w:w="6782" w:type="dxa"/>
            <w:vAlign w:val="center"/>
          </w:tcPr>
          <w:p w14:paraId="43A268D5">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递交响应文件截止之日5日前</w:t>
            </w:r>
          </w:p>
        </w:tc>
      </w:tr>
      <w:tr w14:paraId="0BA6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101" w:type="dxa"/>
            <w:vAlign w:val="center"/>
          </w:tcPr>
          <w:p w14:paraId="39276BEA">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2.2</w:t>
            </w:r>
          </w:p>
        </w:tc>
        <w:tc>
          <w:tcPr>
            <w:tcW w:w="1701" w:type="dxa"/>
            <w:vAlign w:val="center"/>
          </w:tcPr>
          <w:p w14:paraId="63DF428F">
            <w:pPr>
              <w:spacing w:line="460" w:lineRule="exact"/>
              <w:jc w:val="center"/>
              <w:rPr>
                <w:rFonts w:hint="eastAsia" w:ascii="宋体" w:hAnsi="宋体" w:eastAsia="宋体" w:cs="宋体"/>
                <w:sz w:val="21"/>
                <w:szCs w:val="21"/>
                <w:highlight w:val="none"/>
              </w:rPr>
            </w:pPr>
            <w:r>
              <w:rPr>
                <w:rFonts w:hint="eastAsia" w:ascii="宋体" w:hAnsi="宋体" w:eastAsia="宋体" w:cs="宋体"/>
                <w:color w:val="auto"/>
                <w:kern w:val="0"/>
                <w:sz w:val="21"/>
                <w:szCs w:val="21"/>
                <w:highlight w:val="none"/>
              </w:rPr>
              <w:t>采购人或采购代理机构对竞争性磋商文件的澄清、修改的截止时间</w:t>
            </w:r>
          </w:p>
        </w:tc>
        <w:tc>
          <w:tcPr>
            <w:tcW w:w="6782" w:type="dxa"/>
            <w:vAlign w:val="center"/>
          </w:tcPr>
          <w:p w14:paraId="07095247">
            <w:pPr>
              <w:spacing w:line="4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递交响应文件截止之日5日前</w:t>
            </w:r>
          </w:p>
        </w:tc>
      </w:tr>
      <w:tr w14:paraId="666B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101" w:type="dxa"/>
            <w:vAlign w:val="center"/>
          </w:tcPr>
          <w:p w14:paraId="7DE4566B">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2.3</w:t>
            </w:r>
          </w:p>
        </w:tc>
        <w:tc>
          <w:tcPr>
            <w:tcW w:w="1701" w:type="dxa"/>
            <w:vAlign w:val="center"/>
          </w:tcPr>
          <w:p w14:paraId="3BD44128">
            <w:pPr>
              <w:spacing w:line="460" w:lineRule="exact"/>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eastAsia="zh-CN"/>
              </w:rPr>
              <w:t>响应文件递交截止时间及地点</w:t>
            </w:r>
          </w:p>
        </w:tc>
        <w:tc>
          <w:tcPr>
            <w:tcW w:w="6782" w:type="dxa"/>
            <w:vAlign w:val="center"/>
          </w:tcPr>
          <w:p w14:paraId="48849779">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同</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lang w:val="en-US"/>
              </w:rPr>
              <w:t>公告告知的时间及地点。</w:t>
            </w:r>
          </w:p>
          <w:p w14:paraId="1FFC2094">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文件（加密版）递交地点：在</w:t>
            </w:r>
            <w:r>
              <w:rPr>
                <w:rFonts w:hint="eastAsia" w:ascii="宋体" w:hAnsi="宋体" w:eastAsia="宋体" w:cs="宋体"/>
                <w:color w:val="auto"/>
                <w:sz w:val="21"/>
                <w:szCs w:val="21"/>
                <w:highlight w:val="none"/>
                <w:lang w:eastAsia="zh-CN"/>
              </w:rPr>
              <w:t>响应文件递交截止时间</w:t>
            </w:r>
            <w:r>
              <w:rPr>
                <w:rFonts w:hint="eastAsia" w:ascii="宋体" w:hAnsi="宋体" w:eastAsia="宋体" w:cs="宋体"/>
                <w:color w:val="auto"/>
                <w:sz w:val="21"/>
                <w:szCs w:val="21"/>
                <w:highlight w:val="none"/>
              </w:rPr>
              <w:t>前通过全国公共资源交易平台（河南省·三门峡市）系统中在线完成上传加密的电子</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w:t>
            </w:r>
          </w:p>
          <w:p w14:paraId="767B192E">
            <w:pPr>
              <w:spacing w:line="460" w:lineRule="exact"/>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提醒：</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应考虑投标数据传输耗时以及意外情况的影响，适当提前上传。</w:t>
            </w:r>
          </w:p>
        </w:tc>
      </w:tr>
      <w:tr w14:paraId="12C51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101" w:type="dxa"/>
            <w:vAlign w:val="center"/>
          </w:tcPr>
          <w:p w14:paraId="4CF5B6F4">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2.4</w:t>
            </w:r>
          </w:p>
        </w:tc>
        <w:tc>
          <w:tcPr>
            <w:tcW w:w="1701" w:type="dxa"/>
            <w:vAlign w:val="center"/>
          </w:tcPr>
          <w:p w14:paraId="09788410">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磋商有效期</w:t>
            </w:r>
          </w:p>
        </w:tc>
        <w:tc>
          <w:tcPr>
            <w:tcW w:w="6782" w:type="dxa"/>
            <w:vAlign w:val="center"/>
          </w:tcPr>
          <w:p w14:paraId="6F6F0FFC">
            <w:pPr>
              <w:spacing w:line="460" w:lineRule="exact"/>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响应文件递交截止之日起60日历天</w:t>
            </w:r>
          </w:p>
        </w:tc>
      </w:tr>
      <w:tr w14:paraId="1C33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101" w:type="dxa"/>
            <w:vAlign w:val="center"/>
          </w:tcPr>
          <w:p w14:paraId="2EF28231">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2.5</w:t>
            </w:r>
          </w:p>
        </w:tc>
        <w:tc>
          <w:tcPr>
            <w:tcW w:w="1701" w:type="dxa"/>
            <w:vAlign w:val="center"/>
          </w:tcPr>
          <w:p w14:paraId="28795517">
            <w:pPr>
              <w:widowControl/>
              <w:spacing w:line="460" w:lineRule="exact"/>
              <w:jc w:val="center"/>
              <w:rPr>
                <w:rFonts w:hint="eastAsia" w:ascii="宋体" w:hAnsi="宋体" w:eastAsia="宋体" w:cs="宋体"/>
                <w:kern w:val="0"/>
                <w:sz w:val="21"/>
                <w:szCs w:val="21"/>
                <w:highlight w:val="none"/>
              </w:rPr>
            </w:pPr>
            <w:r>
              <w:rPr>
                <w:rFonts w:hint="eastAsia" w:ascii="宋体" w:hAnsi="宋体" w:eastAsia="宋体" w:cs="宋体"/>
                <w:kern w:val="44"/>
                <w:sz w:val="21"/>
                <w:szCs w:val="21"/>
                <w:highlight w:val="none"/>
              </w:rPr>
              <w:t>磋商保证金</w:t>
            </w:r>
          </w:p>
        </w:tc>
        <w:tc>
          <w:tcPr>
            <w:tcW w:w="6782" w:type="dxa"/>
            <w:vAlign w:val="center"/>
          </w:tcPr>
          <w:p w14:paraId="51C20B2D">
            <w:pPr>
              <w:widowControl/>
              <w:spacing w:line="460" w:lineRule="exact"/>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按照《河南省财政厅关于优化政府采购营商环境有关问题的通知》（豫财购[2020]4号文）的要求本项目不再收取保证金。</w:t>
            </w:r>
          </w:p>
        </w:tc>
      </w:tr>
      <w:tr w14:paraId="78AF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4" w:hRule="atLeast"/>
          <w:jc w:val="center"/>
        </w:trPr>
        <w:tc>
          <w:tcPr>
            <w:tcW w:w="1101" w:type="dxa"/>
            <w:vAlign w:val="center"/>
          </w:tcPr>
          <w:p w14:paraId="041628C6">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2.6</w:t>
            </w:r>
          </w:p>
        </w:tc>
        <w:tc>
          <w:tcPr>
            <w:tcW w:w="1701" w:type="dxa"/>
            <w:vAlign w:val="center"/>
          </w:tcPr>
          <w:p w14:paraId="6126F185">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签字或盖章</w:t>
            </w:r>
          </w:p>
          <w:p w14:paraId="2E0C60FF">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要求</w:t>
            </w:r>
          </w:p>
        </w:tc>
        <w:tc>
          <w:tcPr>
            <w:tcW w:w="6782" w:type="dxa"/>
            <w:vAlign w:val="center"/>
          </w:tcPr>
          <w:p w14:paraId="2BF1DCC5">
            <w:pPr>
              <w:spacing w:line="460" w:lineRule="exact"/>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供应商在进行电子化响应文件签章时，竞争性磋商文件中要求供应商盖章的，以签盖单位</w:t>
            </w:r>
            <w:r>
              <w:rPr>
                <w:rFonts w:hint="eastAsia" w:ascii="宋体" w:hAnsi="宋体" w:eastAsia="宋体" w:cs="宋体"/>
                <w:color w:val="auto"/>
                <w:sz w:val="21"/>
                <w:szCs w:val="21"/>
                <w:highlight w:val="none"/>
                <w:lang w:eastAsia="zh-CN"/>
              </w:rPr>
              <w:t>公</w:t>
            </w:r>
            <w:r>
              <w:rPr>
                <w:rFonts w:hint="eastAsia" w:ascii="宋体" w:hAnsi="宋体" w:eastAsia="宋体" w:cs="宋体"/>
                <w:color w:val="auto"/>
                <w:sz w:val="21"/>
                <w:szCs w:val="21"/>
                <w:highlight w:val="none"/>
              </w:rPr>
              <w:t>章为准。</w:t>
            </w:r>
          </w:p>
        </w:tc>
      </w:tr>
      <w:tr w14:paraId="5871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101" w:type="dxa"/>
            <w:vAlign w:val="center"/>
          </w:tcPr>
          <w:p w14:paraId="7803A56A">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2.7</w:t>
            </w:r>
          </w:p>
        </w:tc>
        <w:tc>
          <w:tcPr>
            <w:tcW w:w="1701" w:type="dxa"/>
            <w:vAlign w:val="center"/>
          </w:tcPr>
          <w:p w14:paraId="3EEDD8CE">
            <w:pPr>
              <w:keepNext w:val="0"/>
              <w:keepLines w:val="0"/>
              <w:pageBreakBefore w:val="0"/>
              <w:kinsoku/>
              <w:wordWrap/>
              <w:overflowPunct/>
              <w:topLinePunct w:val="0"/>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lang w:eastAsia="zh-CN"/>
              </w:rPr>
              <w:t>响应文件开启时间</w:t>
            </w:r>
            <w:r>
              <w:rPr>
                <w:rFonts w:hint="eastAsia" w:ascii="宋体" w:hAnsi="宋体" w:eastAsia="宋体" w:cs="宋体"/>
                <w:color w:val="auto"/>
                <w:sz w:val="21"/>
                <w:szCs w:val="21"/>
                <w:highlight w:val="none"/>
              </w:rPr>
              <w:t>和地点</w:t>
            </w:r>
          </w:p>
        </w:tc>
        <w:tc>
          <w:tcPr>
            <w:tcW w:w="6782" w:type="dxa"/>
            <w:vAlign w:val="center"/>
          </w:tcPr>
          <w:p w14:paraId="4DC02CB4">
            <w:pPr>
              <w:keepNext w:val="0"/>
              <w:keepLines w:val="0"/>
              <w:pageBreakBefore w:val="0"/>
              <w:kinsoku/>
              <w:wordWrap/>
              <w:overflowPunct/>
              <w:topLinePunct w:val="0"/>
              <w:bidi w:val="0"/>
              <w:snapToGrid/>
              <w:spacing w:line="42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lang w:eastAsia="zh-CN"/>
              </w:rPr>
              <w:t>同响应文件提交截止时间</w:t>
            </w:r>
          </w:p>
          <w:p w14:paraId="0FB6AB9B">
            <w:pPr>
              <w:keepNext w:val="0"/>
              <w:keepLines w:val="0"/>
              <w:pageBreakBefore w:val="0"/>
              <w:kinsoku/>
              <w:wordWrap/>
              <w:overflowPunct/>
              <w:topLinePunct w:val="0"/>
              <w:bidi w:val="0"/>
              <w:snapToGrid/>
              <w:spacing w:line="42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地点：三门峡市公共资源交易中心开标</w:t>
            </w:r>
            <w:r>
              <w:rPr>
                <w:rFonts w:hint="eastAsia" w:ascii="宋体" w:hAnsi="宋体" w:eastAsia="宋体" w:cs="宋体"/>
                <w:color w:val="auto"/>
                <w:sz w:val="21"/>
                <w:szCs w:val="21"/>
                <w:highlight w:val="none"/>
                <w:lang w:eastAsia="zh-CN"/>
              </w:rPr>
              <w:t>二</w:t>
            </w:r>
            <w:r>
              <w:rPr>
                <w:rFonts w:hint="eastAsia" w:ascii="宋体" w:hAnsi="宋体" w:eastAsia="宋体" w:cs="宋体"/>
                <w:color w:val="auto"/>
                <w:sz w:val="21"/>
                <w:szCs w:val="21"/>
                <w:highlight w:val="none"/>
              </w:rPr>
              <w:t>室评标</w:t>
            </w:r>
            <w:r>
              <w:rPr>
                <w:rFonts w:hint="eastAsia" w:ascii="宋体" w:hAnsi="宋体" w:eastAsia="宋体" w:cs="宋体"/>
                <w:color w:val="auto"/>
                <w:sz w:val="21"/>
                <w:szCs w:val="21"/>
                <w:highlight w:val="none"/>
                <w:lang w:eastAsia="zh-CN"/>
              </w:rPr>
              <w:t>四</w:t>
            </w:r>
            <w:r>
              <w:rPr>
                <w:rFonts w:hint="eastAsia" w:ascii="宋体" w:hAnsi="宋体" w:eastAsia="宋体" w:cs="宋体"/>
                <w:color w:val="auto"/>
                <w:sz w:val="21"/>
                <w:szCs w:val="21"/>
                <w:highlight w:val="none"/>
              </w:rPr>
              <w:t>室</w:t>
            </w:r>
          </w:p>
        </w:tc>
      </w:tr>
      <w:tr w14:paraId="47B4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01" w:type="dxa"/>
            <w:vAlign w:val="center"/>
          </w:tcPr>
          <w:p w14:paraId="24813981">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2.8</w:t>
            </w:r>
          </w:p>
        </w:tc>
        <w:tc>
          <w:tcPr>
            <w:tcW w:w="1701" w:type="dxa"/>
            <w:vAlign w:val="center"/>
          </w:tcPr>
          <w:p w14:paraId="54066443">
            <w:pPr>
              <w:keepNext w:val="0"/>
              <w:keepLines w:val="0"/>
              <w:pageBreakBefore w:val="0"/>
              <w:kinsoku/>
              <w:wordWrap/>
              <w:overflowPunct/>
              <w:topLinePunct w:val="0"/>
              <w:bidi w:val="0"/>
              <w:snapToGrid/>
              <w:spacing w:line="420" w:lineRule="exact"/>
              <w:jc w:val="center"/>
              <w:textAlignment w:val="auto"/>
              <w:rPr>
                <w:rFonts w:hint="eastAsia" w:ascii="宋体" w:hAnsi="宋体" w:eastAsia="宋体" w:cs="宋体"/>
                <w:sz w:val="21"/>
                <w:szCs w:val="21"/>
                <w:highlight w:val="none"/>
              </w:rPr>
            </w:pPr>
            <w:r>
              <w:rPr>
                <w:rFonts w:hint="eastAsia" w:ascii="宋体" w:hAnsi="宋体" w:eastAsia="宋体" w:cs="宋体"/>
                <w:strike w:val="0"/>
                <w:dstrike w:val="0"/>
                <w:color w:val="auto"/>
                <w:sz w:val="21"/>
                <w:szCs w:val="21"/>
                <w:highlight w:val="none"/>
                <w:lang w:val="en-US" w:eastAsia="zh-CN"/>
              </w:rPr>
              <w:t>响应文件开启</w:t>
            </w:r>
            <w:r>
              <w:rPr>
                <w:rFonts w:hint="eastAsia" w:ascii="宋体" w:hAnsi="宋体" w:eastAsia="宋体" w:cs="宋体"/>
                <w:color w:val="auto"/>
                <w:sz w:val="21"/>
                <w:szCs w:val="21"/>
                <w:highlight w:val="none"/>
              </w:rPr>
              <w:t>顺序</w:t>
            </w:r>
          </w:p>
        </w:tc>
        <w:tc>
          <w:tcPr>
            <w:tcW w:w="6782" w:type="dxa"/>
            <w:shd w:val="clear" w:color="auto" w:fill="auto"/>
            <w:vAlign w:val="center"/>
          </w:tcPr>
          <w:p w14:paraId="400E54BD">
            <w:pPr>
              <w:keepNext/>
              <w:keepLines w:val="0"/>
              <w:pageBreakBefore w:val="0"/>
              <w:kinsoku/>
              <w:overflowPunct/>
              <w:topLinePunct w:val="0"/>
              <w:autoSpaceDE/>
              <w:autoSpaceDN/>
              <w:bidi w:val="0"/>
              <w:spacing w:line="3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按电子文件上传的逆顺序开标。</w:t>
            </w:r>
          </w:p>
          <w:p w14:paraId="5DF8C8CC">
            <w:pPr>
              <w:keepNext/>
              <w:keepLines w:val="0"/>
              <w:pageBreakBefore w:val="0"/>
              <w:widowControl/>
              <w:kinsoku/>
              <w:wordWrap w:val="0"/>
              <w:overflowPunct/>
              <w:topLinePunct w:val="0"/>
              <w:autoSpaceDE/>
              <w:autoSpaceDN/>
              <w:bidi w:val="0"/>
              <w:spacing w:line="380" w:lineRule="exact"/>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本项目采用电子化、无纸化进行招标，开标当日，</w:t>
            </w:r>
            <w:r>
              <w:rPr>
                <w:rFonts w:hint="eastAsia" w:ascii="宋体" w:hAnsi="宋体" w:eastAsia="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无需到开标现场参加开标会议，</w:t>
            </w:r>
            <w:r>
              <w:rPr>
                <w:rFonts w:hint="eastAsia" w:ascii="宋体" w:hAnsi="宋体" w:eastAsia="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应当在投标截止时间前，登陆不见面开标大厅选择登陆三门峡市公共资源电子招投标系统进行登陆（网址为http://120.194.249.36:10094/BidOpening/bidopeninghallaction/hall/login）,在线准时参加开标活动并进行投标文件解密等。</w:t>
            </w:r>
          </w:p>
          <w:p w14:paraId="116BE9EE">
            <w:pPr>
              <w:keepNext/>
              <w:keepLines w:val="0"/>
              <w:pageBreakBefore w:val="0"/>
              <w:widowControl/>
              <w:kinsoku/>
              <w:wordWrap w:val="0"/>
              <w:overflowPunct/>
              <w:topLinePunct w:val="0"/>
              <w:autoSpaceDE/>
              <w:autoSpaceDN/>
              <w:bidi w:val="0"/>
              <w:spacing w:line="380" w:lineRule="exact"/>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每位</w:t>
            </w:r>
            <w:r>
              <w:rPr>
                <w:rFonts w:hint="eastAsia" w:ascii="宋体" w:hAnsi="宋体" w:eastAsia="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的解密时间为开标时间起30分钟内完成。因</w:t>
            </w:r>
            <w:r>
              <w:rPr>
                <w:rFonts w:hint="eastAsia" w:ascii="宋体" w:hAnsi="宋体" w:eastAsia="宋体" w:cs="宋体"/>
                <w:color w:val="auto"/>
                <w:kern w:val="0"/>
                <w:sz w:val="21"/>
                <w:szCs w:val="21"/>
                <w:highlight w:val="none"/>
                <w:lang w:eastAsia="zh-CN"/>
              </w:rPr>
              <w:t>供应商</w:t>
            </w:r>
            <w:r>
              <w:rPr>
                <w:rFonts w:hint="eastAsia" w:ascii="宋体" w:hAnsi="宋体" w:eastAsia="宋体" w:cs="宋体"/>
                <w:color w:val="auto"/>
                <w:kern w:val="0"/>
                <w:sz w:val="21"/>
                <w:szCs w:val="21"/>
                <w:highlight w:val="none"/>
              </w:rPr>
              <w:t>原因未能解密、解密失败或解密超时的将被拒绝。</w:t>
            </w:r>
          </w:p>
        </w:tc>
      </w:tr>
      <w:tr w14:paraId="4F09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101" w:type="dxa"/>
            <w:vAlign w:val="center"/>
          </w:tcPr>
          <w:p w14:paraId="6BEF813C">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2.9</w:t>
            </w:r>
          </w:p>
        </w:tc>
        <w:tc>
          <w:tcPr>
            <w:tcW w:w="1701" w:type="dxa"/>
            <w:vAlign w:val="center"/>
          </w:tcPr>
          <w:p w14:paraId="5E3DC232">
            <w:pPr>
              <w:keepNext w:val="0"/>
              <w:keepLines w:val="0"/>
              <w:pageBreakBefore w:val="0"/>
              <w:kinsoku/>
              <w:wordWrap/>
              <w:overflowPunct/>
              <w:topLinePunct w:val="0"/>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磋商小组的组建</w:t>
            </w:r>
          </w:p>
        </w:tc>
        <w:tc>
          <w:tcPr>
            <w:tcW w:w="6782" w:type="dxa"/>
            <w:vAlign w:val="center"/>
          </w:tcPr>
          <w:p w14:paraId="024FEB7C">
            <w:pPr>
              <w:keepNext w:val="0"/>
              <w:keepLines w:val="0"/>
              <w:pageBreakBefore w:val="0"/>
              <w:kinsoku/>
              <w:wordWrap/>
              <w:overflowPunct/>
              <w:topLinePunct w:val="0"/>
              <w:bidi w:val="0"/>
              <w:snapToGrid/>
              <w:spacing w:line="42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磋商小组由采购人代表和评审专家共3人以上单数组成，其中采购人代表1人，其余评审专家2人从</w:t>
            </w:r>
            <w:r>
              <w:rPr>
                <w:rFonts w:hint="eastAsia" w:ascii="宋体" w:hAnsi="宋体" w:eastAsia="宋体" w:cs="宋体"/>
                <w:color w:val="auto"/>
                <w:sz w:val="21"/>
                <w:szCs w:val="21"/>
                <w:highlight w:val="none"/>
                <w:lang w:val="en-US" w:eastAsia="zh-CN"/>
              </w:rPr>
              <w:t>河南省政府采购评审专家库</w:t>
            </w:r>
            <w:r>
              <w:rPr>
                <w:rFonts w:hint="eastAsia" w:ascii="宋体" w:hAnsi="宋体" w:eastAsia="宋体" w:cs="宋体"/>
                <w:color w:val="auto"/>
                <w:sz w:val="21"/>
                <w:szCs w:val="21"/>
                <w:highlight w:val="none"/>
              </w:rPr>
              <w:t>中随机抽取（业主评委无评标劳务费用）。</w:t>
            </w:r>
          </w:p>
        </w:tc>
      </w:tr>
      <w:tr w14:paraId="12D7B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101" w:type="dxa"/>
            <w:vAlign w:val="center"/>
          </w:tcPr>
          <w:p w14:paraId="3DCECF7D">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3.0</w:t>
            </w:r>
          </w:p>
        </w:tc>
        <w:tc>
          <w:tcPr>
            <w:tcW w:w="1701" w:type="dxa"/>
            <w:vAlign w:val="center"/>
          </w:tcPr>
          <w:p w14:paraId="4AADAA45">
            <w:pPr>
              <w:keepNext w:val="0"/>
              <w:keepLines w:val="0"/>
              <w:pageBreakBefore w:val="0"/>
              <w:kinsoku/>
              <w:wordWrap/>
              <w:overflowPunct/>
              <w:topLinePunct w:val="0"/>
              <w:bidi w:val="0"/>
              <w:snapToGrid/>
              <w:spacing w:line="42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是否授权磋商小组确定</w:t>
            </w:r>
            <w:r>
              <w:rPr>
                <w:rFonts w:hint="eastAsia" w:ascii="宋体" w:hAnsi="宋体" w:eastAsia="宋体" w:cs="宋体"/>
                <w:color w:val="auto"/>
                <w:sz w:val="21"/>
                <w:szCs w:val="21"/>
                <w:highlight w:val="none"/>
                <w:lang w:eastAsia="zh-CN"/>
              </w:rPr>
              <w:t>成交供应商</w:t>
            </w:r>
          </w:p>
        </w:tc>
        <w:tc>
          <w:tcPr>
            <w:tcW w:w="6782" w:type="dxa"/>
            <w:vAlign w:val="center"/>
          </w:tcPr>
          <w:p w14:paraId="0369F48F">
            <w:pPr>
              <w:keepNext w:val="0"/>
              <w:keepLines w:val="0"/>
              <w:pageBreakBefore w:val="0"/>
              <w:kinsoku/>
              <w:wordWrap/>
              <w:overflowPunct/>
              <w:topLinePunct w:val="0"/>
              <w:bidi w:val="0"/>
              <w:snapToGrid/>
              <w:spacing w:line="420" w:lineRule="exact"/>
              <w:jc w:val="left"/>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否，按顺序推荐的</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候选</w:t>
            </w:r>
            <w:r>
              <w:rPr>
                <w:rFonts w:hint="eastAsia" w:ascii="宋体" w:hAnsi="宋体" w:eastAsia="宋体" w:cs="宋体"/>
                <w:color w:val="auto"/>
                <w:sz w:val="21"/>
                <w:szCs w:val="21"/>
                <w:highlight w:val="none"/>
                <w:lang w:eastAsia="zh-CN"/>
              </w:rPr>
              <w:t>供应商人</w:t>
            </w:r>
            <w:r>
              <w:rPr>
                <w:rFonts w:hint="eastAsia" w:ascii="宋体" w:hAnsi="宋体" w:eastAsia="宋体" w:cs="宋体"/>
                <w:color w:val="auto"/>
                <w:sz w:val="21"/>
                <w:szCs w:val="21"/>
                <w:highlight w:val="none"/>
              </w:rPr>
              <w:t>数：</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u w:val="single"/>
              </w:rPr>
              <w:t>名</w:t>
            </w:r>
          </w:p>
        </w:tc>
      </w:tr>
      <w:tr w14:paraId="0F53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101" w:type="dxa"/>
            <w:vAlign w:val="center"/>
          </w:tcPr>
          <w:p w14:paraId="797EA69F">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3.1</w:t>
            </w:r>
          </w:p>
        </w:tc>
        <w:tc>
          <w:tcPr>
            <w:tcW w:w="1701" w:type="dxa"/>
            <w:vAlign w:val="center"/>
          </w:tcPr>
          <w:p w14:paraId="0ACB1E99">
            <w:pPr>
              <w:keepNext w:val="0"/>
              <w:keepLines w:val="0"/>
              <w:pageBreakBefore w:val="0"/>
              <w:kinsoku/>
              <w:wordWrap/>
              <w:overflowPunct/>
              <w:topLinePunct w:val="0"/>
              <w:bidi w:val="0"/>
              <w:snapToGrid/>
              <w:spacing w:line="420" w:lineRule="exact"/>
              <w:jc w:val="center"/>
              <w:textAlignment w:val="auto"/>
              <w:rPr>
                <w:rFonts w:hint="eastAsia" w:ascii="宋体" w:hAnsi="宋体" w:eastAsia="宋体" w:cs="宋体"/>
                <w:sz w:val="21"/>
                <w:szCs w:val="21"/>
                <w:highlight w:val="none"/>
              </w:rPr>
            </w:pPr>
            <w:r>
              <w:rPr>
                <w:rFonts w:hint="eastAsia" w:ascii="宋体" w:hAnsi="宋体" w:eastAsia="宋体" w:cs="宋体"/>
                <w:color w:val="auto"/>
                <w:sz w:val="21"/>
                <w:szCs w:val="21"/>
                <w:highlight w:val="none"/>
                <w:lang w:eastAsia="zh-CN"/>
              </w:rPr>
              <w:t>付款方式</w:t>
            </w:r>
          </w:p>
        </w:tc>
        <w:tc>
          <w:tcPr>
            <w:tcW w:w="6782" w:type="dxa"/>
            <w:vAlign w:val="center"/>
          </w:tcPr>
          <w:p w14:paraId="0048EA03">
            <w:pPr>
              <w:keepNext w:val="0"/>
              <w:keepLines w:val="0"/>
              <w:pageBreakBefore w:val="0"/>
              <w:kinsoku/>
              <w:wordWrap/>
              <w:overflowPunct/>
              <w:topLinePunct w:val="0"/>
              <w:bidi w:val="0"/>
              <w:snapToGrid/>
              <w:spacing w:line="420" w:lineRule="exact"/>
              <w:jc w:val="left"/>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本</w:t>
            </w:r>
            <w:r>
              <w:rPr>
                <w:rFonts w:hint="eastAsia" w:ascii="宋体" w:hAnsi="宋体" w:eastAsia="宋体" w:cs="宋体"/>
                <w:sz w:val="21"/>
                <w:szCs w:val="21"/>
                <w:highlight w:val="none"/>
              </w:rPr>
              <w:t>项目通过河南省财政厅一审评审</w:t>
            </w:r>
            <w:r>
              <w:rPr>
                <w:rFonts w:hint="eastAsia" w:ascii="宋体" w:hAnsi="宋体" w:eastAsia="宋体" w:cs="宋体"/>
                <w:sz w:val="21"/>
                <w:szCs w:val="21"/>
                <w:highlight w:val="none"/>
                <w:lang w:eastAsia="zh-CN"/>
              </w:rPr>
              <w:t>止</w:t>
            </w:r>
            <w:r>
              <w:rPr>
                <w:rFonts w:hint="eastAsia" w:ascii="宋体" w:hAnsi="宋体" w:eastAsia="宋体" w:cs="宋体"/>
                <w:sz w:val="21"/>
                <w:szCs w:val="21"/>
                <w:highlight w:val="none"/>
              </w:rPr>
              <w:t>之日起5日内，甲方支付乙方</w:t>
            </w:r>
            <w:r>
              <w:rPr>
                <w:rFonts w:hint="eastAsia" w:ascii="宋体" w:hAnsi="宋体" w:eastAsia="宋体" w:cs="宋体"/>
                <w:sz w:val="21"/>
                <w:szCs w:val="21"/>
                <w:highlight w:val="none"/>
                <w:lang w:eastAsia="zh-CN"/>
              </w:rPr>
              <w:t>成交价</w:t>
            </w:r>
            <w:r>
              <w:rPr>
                <w:rFonts w:hint="eastAsia" w:ascii="宋体" w:hAnsi="宋体" w:eastAsia="宋体" w:cs="宋体"/>
                <w:sz w:val="21"/>
                <w:szCs w:val="21"/>
                <w:highlight w:val="none"/>
              </w:rPr>
              <w:t>的100%</w:t>
            </w:r>
            <w:r>
              <w:rPr>
                <w:rFonts w:hint="eastAsia" w:ascii="宋体" w:hAnsi="宋体" w:eastAsia="宋体" w:cs="宋体"/>
                <w:sz w:val="21"/>
                <w:szCs w:val="21"/>
                <w:highlight w:val="none"/>
                <w:lang w:eastAsia="zh-CN"/>
              </w:rPr>
              <w:t>。</w:t>
            </w:r>
          </w:p>
        </w:tc>
      </w:tr>
      <w:tr w14:paraId="2CBB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19659815">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3.2</w:t>
            </w:r>
          </w:p>
        </w:tc>
        <w:tc>
          <w:tcPr>
            <w:tcW w:w="1701" w:type="dxa"/>
            <w:vAlign w:val="center"/>
          </w:tcPr>
          <w:p w14:paraId="69882F26">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采购</w:t>
            </w:r>
            <w:r>
              <w:rPr>
                <w:rFonts w:hint="eastAsia" w:ascii="宋体" w:hAnsi="宋体" w:eastAsia="宋体" w:cs="宋体"/>
                <w:sz w:val="21"/>
                <w:szCs w:val="21"/>
                <w:highlight w:val="none"/>
              </w:rPr>
              <w:t>最高限价</w:t>
            </w:r>
          </w:p>
        </w:tc>
        <w:tc>
          <w:tcPr>
            <w:tcW w:w="6782" w:type="dxa"/>
            <w:vAlign w:val="center"/>
          </w:tcPr>
          <w:p w14:paraId="71471629">
            <w:pPr>
              <w:widowControl/>
              <w:spacing w:line="46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大写：肆拾贰万元整</w:t>
            </w:r>
          </w:p>
          <w:p w14:paraId="417243E9">
            <w:pPr>
              <w:widowControl/>
              <w:spacing w:line="460" w:lineRule="exact"/>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小写：</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0000.00元</w:t>
            </w:r>
          </w:p>
          <w:p w14:paraId="05B72E27">
            <w:pPr>
              <w:widowControl/>
              <w:spacing w:line="460" w:lineRule="exact"/>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采购最高限价是本项目的最高限价，大于采购最高限价的报价视为无效报价，其响应将被否决。有效报价是指不超过采购最高限价的报价。</w:t>
            </w:r>
          </w:p>
        </w:tc>
      </w:tr>
      <w:tr w14:paraId="3A8A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3AFD4A70">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3.3</w:t>
            </w:r>
          </w:p>
        </w:tc>
        <w:tc>
          <w:tcPr>
            <w:tcW w:w="1701" w:type="dxa"/>
            <w:vAlign w:val="center"/>
          </w:tcPr>
          <w:p w14:paraId="221D7DB6">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其他</w:t>
            </w:r>
          </w:p>
        </w:tc>
        <w:tc>
          <w:tcPr>
            <w:tcW w:w="6782" w:type="dxa"/>
            <w:vAlign w:val="center"/>
          </w:tcPr>
          <w:p w14:paraId="606C6C7B">
            <w:pPr>
              <w:widowControl/>
              <w:spacing w:line="460" w:lineRule="exact"/>
              <w:jc w:val="left"/>
              <w:rPr>
                <w:rFonts w:hint="eastAsia" w:ascii="宋体" w:hAnsi="宋体" w:eastAsia="宋体" w:cs="宋体"/>
                <w:b/>
                <w:sz w:val="21"/>
                <w:szCs w:val="21"/>
                <w:highlight w:val="none"/>
              </w:rPr>
            </w:pPr>
            <w:r>
              <w:rPr>
                <w:rFonts w:hint="eastAsia" w:ascii="宋体" w:hAnsi="宋体" w:eastAsia="宋体" w:cs="宋体"/>
                <w:sz w:val="21"/>
                <w:szCs w:val="21"/>
                <w:highlight w:val="none"/>
              </w:rPr>
              <w:t>我单位（采购人）严格按三财购【2021】9号文要求的时限发布中标结果公告，发出中标通知书，签订采购合同，上传采购合同。</w:t>
            </w:r>
          </w:p>
        </w:tc>
      </w:tr>
      <w:tr w14:paraId="76321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736EC7C8">
            <w:pPr>
              <w:spacing w:line="4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3.4</w:t>
            </w:r>
          </w:p>
        </w:tc>
        <w:tc>
          <w:tcPr>
            <w:tcW w:w="1701" w:type="dxa"/>
            <w:vAlign w:val="center"/>
          </w:tcPr>
          <w:p w14:paraId="7BF34355">
            <w:pPr>
              <w:widowControl/>
              <w:spacing w:line="460" w:lineRule="exact"/>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电子化交易</w:t>
            </w:r>
          </w:p>
          <w:p w14:paraId="3E6B0180">
            <w:pPr>
              <w:spacing w:line="460" w:lineRule="exact"/>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注意事项</w:t>
            </w:r>
          </w:p>
        </w:tc>
        <w:tc>
          <w:tcPr>
            <w:tcW w:w="6782" w:type="dxa"/>
            <w:shd w:val="clear" w:color="auto" w:fill="auto"/>
            <w:vAlign w:val="center"/>
          </w:tcPr>
          <w:p w14:paraId="401570F9">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具体要求：本项目为电子化、无纸化交易项目，</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是</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、供应商（以下简称“</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”）通过中心</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制作系统制作，并经过签章和加密后生成的电子版</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w:t>
            </w:r>
          </w:p>
          <w:p w14:paraId="3BB14291">
            <w:pPr>
              <w:keepNext/>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具体制作文件请点击https://download.bqpoint.com/download/downloaddetail.html?SourceFrom=Ztb&amp;ZtbSoftXiaQuCode=1506&amp;ZtbSoftType=tballinclusive进行下载。</w:t>
            </w:r>
          </w:p>
          <w:p w14:paraId="0710A60C">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温馨提示：本项目为电子化、无纸化交易项目，为保证您能投标成功，请需仔细阅读以下条款。</w:t>
            </w:r>
          </w:p>
          <w:p w14:paraId="5AD91389">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一、电子化投标</w:t>
            </w:r>
          </w:p>
          <w:p w14:paraId="270375DF">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（一）网上投标保证金的缴纳</w:t>
            </w:r>
          </w:p>
          <w:p w14:paraId="09B03AF2">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1、递交形式: </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的投标保证金必须通过</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的基本账户转账的形式缴纳（账户必须是已加入三门峡市公共资源交易</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的账户）。</w:t>
            </w:r>
          </w:p>
          <w:p w14:paraId="284294CF">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在成功缴纳后，可以将银行回单制作在</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中，作为缴纳保证金的依据。</w:t>
            </w:r>
          </w:p>
          <w:p w14:paraId="39629B99">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应仔细阅读操作手册并充分考虑异地跨行转账到账时间等因素，因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操作不当或银行到账时间等问题造成开标时间未到达指定账户影响投标的，由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自行承担后果。</w:t>
            </w:r>
          </w:p>
          <w:p w14:paraId="3A1B4760">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未中标</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的投标保证金在项目结束后，将通过中心交易平台退还。</w:t>
            </w:r>
          </w:p>
          <w:p w14:paraId="71FD815C">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的签章</w:t>
            </w:r>
          </w:p>
          <w:p w14:paraId="62FD0B62">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在生成电子化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后，应对电子化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进行签章，未进行签章的视为无效投标。</w:t>
            </w:r>
          </w:p>
          <w:p w14:paraId="494EE18D">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中要求</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盖章的，以签</w:t>
            </w:r>
            <w:r>
              <w:rPr>
                <w:rFonts w:hint="eastAsia" w:ascii="宋体" w:hAnsi="宋体" w:eastAsia="宋体" w:cs="宋体"/>
                <w:color w:val="auto"/>
                <w:sz w:val="21"/>
                <w:szCs w:val="21"/>
                <w:highlight w:val="none"/>
                <w:lang w:eastAsia="zh-CN"/>
              </w:rPr>
              <w:t>盖单位公章</w:t>
            </w:r>
            <w:r>
              <w:rPr>
                <w:rFonts w:hint="eastAsia" w:ascii="宋体" w:hAnsi="宋体" w:eastAsia="宋体" w:cs="宋体"/>
                <w:color w:val="auto"/>
                <w:sz w:val="21"/>
                <w:szCs w:val="21"/>
                <w:highlight w:val="none"/>
              </w:rPr>
              <w:t>为准；要求法定代表人或授权代理人签章的，以签盖法定代表人签章为准。</w:t>
            </w:r>
          </w:p>
          <w:p w14:paraId="78E673B5">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的格式及上传投标</w:t>
            </w:r>
          </w:p>
          <w:p w14:paraId="045E0FC8">
            <w:pPr>
              <w:keepNext/>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所上传的电子化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，应是通过中心</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制作系统制作的（</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制作工具下载地址：https://download.bqpoint.com/download/downloaddetail.html?SourceFrom=Ztb&amp;ZtbSoftXiaQuCode=1506&amp;ZtbSoftType=tballinclusive），经过签章和加密后生成的电子版</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。其中包含用于</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上传的主文件（后缀为.smxtf）和用于应急补救的</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备份文件（后缀为.nsmxtf）。</w:t>
            </w:r>
          </w:p>
          <w:p w14:paraId="4BC644EF">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应在投标截止时间前成功上传至三门峡市公共资源电子化交易系统。至投标截止时间止，仍未上传成功的电子化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将不予接收。</w:t>
            </w:r>
          </w:p>
          <w:p w14:paraId="4650A136">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注：如按照电子化投标操作教材制作完成的电子化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无法上传的，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应在投标截止时间前尽早的联系中心技术人员，以便有充分的时间进行处理。</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应充分考虑到处理技术问题和上传数据等工作所需的时间问题，</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未在投标截止时间前成功上传的，其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不予接收。</w:t>
            </w:r>
          </w:p>
          <w:p w14:paraId="7381BF3C">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（四）电子化项目开标、解密、唱标、评标</w:t>
            </w:r>
          </w:p>
          <w:p w14:paraId="0148EBD9">
            <w:pPr>
              <w:keepNext/>
              <w:keepLines w:val="0"/>
              <w:pageBreakBefore w:val="0"/>
              <w:widowControl w:val="0"/>
              <w:kinsoku/>
              <w:wordWrap w:val="0"/>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1、本项目采用电子化、无纸化进行招标，开标当日，</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无需到开标现场参加开标会议，</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应当在投标截止时间前，登陆不见面开标大厅选择登陆三门峡市公共资源电子招投标系统进行登陆（网址为http://120.194.249.36:10094/BidOpening/bidopeninghallaction/hall/login）,在线准时参加开标活动并进行</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解密等</w:t>
            </w:r>
            <w:r>
              <w:rPr>
                <w:rFonts w:hint="eastAsia" w:ascii="宋体" w:hAnsi="宋体" w:eastAsia="宋体" w:cs="宋体"/>
                <w:color w:val="auto"/>
                <w:sz w:val="21"/>
                <w:szCs w:val="21"/>
                <w:highlight w:val="none"/>
                <w:lang w:eastAsia="zh-CN"/>
              </w:rPr>
              <w:t>。</w:t>
            </w:r>
          </w:p>
          <w:p w14:paraId="064F67EF">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采用一次加密方式。开标时，由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使用CA 证书，在规定时间内对其电子化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进行解密。每位</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的解密时间为开标时间起30 分钟内，如在规定时间内未完成解密的，其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不予开标、唱标。</w:t>
            </w:r>
          </w:p>
          <w:p w14:paraId="75710B43">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解密异常的处理</w:t>
            </w:r>
          </w:p>
          <w:p w14:paraId="442837F7">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如出现</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的电子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无法解密等异常情况，</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应及时致电中介服务机构说明。</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异常，按以下步骤进行处理：</w:t>
            </w:r>
          </w:p>
          <w:p w14:paraId="0817F107">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（1）首先由技术人员进行问题排查。</w:t>
            </w:r>
          </w:p>
          <w:p w14:paraId="2A424B7C">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（2）经技术人员排查后，是</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文件自身问题导致</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无法解密的，该</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将不予接收、解密和唱标。开标会议继续进行。</w:t>
            </w:r>
          </w:p>
          <w:p w14:paraId="0902A6AF">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（3）经技术人员排查后，如果是电子化交易系统问题造成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无法解密的，将由技术人员对问题进行处理。如短时间内问题无法解决的，将由中介服务机构向监督部门申请，经监督部门同意后，暂停开标会议，待问题解决后继续开标。</w:t>
            </w:r>
          </w:p>
          <w:p w14:paraId="2941C26B">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4、待所有</w:t>
            </w:r>
            <w:r>
              <w:rPr>
                <w:rFonts w:hint="eastAsia" w:ascii="宋体" w:hAnsi="宋体" w:eastAsia="宋体" w:cs="宋体"/>
                <w:color w:val="auto"/>
                <w:sz w:val="21"/>
                <w:szCs w:val="21"/>
                <w:highlight w:val="none"/>
                <w:lang w:eastAsia="zh-CN"/>
              </w:rPr>
              <w:t>供应商响应文件</w:t>
            </w:r>
            <w:r>
              <w:rPr>
                <w:rFonts w:hint="eastAsia" w:ascii="宋体" w:hAnsi="宋体" w:eastAsia="宋体" w:cs="宋体"/>
                <w:color w:val="auto"/>
                <w:sz w:val="21"/>
                <w:szCs w:val="21"/>
                <w:highlight w:val="none"/>
              </w:rPr>
              <w:t>解密完成后，由中介服务机构操作，对所有已解密</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进行唱标。</w:t>
            </w:r>
          </w:p>
          <w:p w14:paraId="1AC8F3AD">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应保证在开标期间电话、电脑、网络能够正常工作，</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因停电、电脑病毒、网络堵塞等原因，未在规定的解密时间内对</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进行解密的，其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不予接收、唱标。</w:t>
            </w:r>
          </w:p>
          <w:p w14:paraId="38783827">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5、开标时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可登录到交易系统中在开标解密栏中点击报价一览表查看自己的投标报价。如对自己的唱标内容有异议的，应在</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解密成功后10分钟内向中介服务机构电话质疑。中介服务机构应在监督人员的监督下进行免提通话接受</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的质疑并做好书面记录。</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未在规定时间内提出质疑的，视为认可唱标内容。</w:t>
            </w:r>
          </w:p>
          <w:p w14:paraId="5124D490">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6、评标时，</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对电子化</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有质疑的，将通过电子化交易系统对</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发起质疑，并在监督人员的监督下，用免提模式致电需要答复的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对质疑进行回复。</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的回复文件必须以经过</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和其法定代表人签章的PDF格式文件为准，并通过电子化交易系统提交至</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w:t>
            </w:r>
          </w:p>
          <w:p w14:paraId="77EB5AAB">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7、如</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对需要回复的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连续三次致电未接通的，视为</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放弃回复，</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将自行对需要回复的内容进行认定。</w:t>
            </w:r>
          </w:p>
          <w:p w14:paraId="00B6CA32">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二、相关证书原件的提交</w:t>
            </w:r>
          </w:p>
          <w:p w14:paraId="255FB7C7">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本项目实行资格后审，</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中要求</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提交资质、业绩、荣誉及单位人员等相关资料原件的，</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需将扫描件制作到电子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对原件的核验工作按以下条款进行：</w:t>
            </w:r>
          </w:p>
          <w:p w14:paraId="20BFDDF3">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本项目需要提交的</w:t>
            </w:r>
            <w:r>
              <w:rPr>
                <w:rFonts w:hint="eastAsia" w:ascii="宋体" w:hAnsi="宋体" w:eastAsia="宋体" w:cs="宋体"/>
                <w:color w:val="auto"/>
                <w:sz w:val="21"/>
                <w:szCs w:val="21"/>
                <w:highlight w:val="none"/>
                <w:lang w:eastAsia="zh-CN"/>
              </w:rPr>
              <w:t>原件</w:t>
            </w:r>
            <w:r>
              <w:rPr>
                <w:rFonts w:hint="eastAsia" w:ascii="宋体" w:hAnsi="宋体" w:eastAsia="宋体" w:cs="宋体"/>
                <w:color w:val="auto"/>
                <w:sz w:val="21"/>
                <w:szCs w:val="21"/>
                <w:highlight w:val="none"/>
              </w:rPr>
              <w:t>以</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中成功上传的信息为准。开评标现场不接受</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所提交的任何原件。</w:t>
            </w:r>
          </w:p>
          <w:p w14:paraId="26088AB4">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需应仔细阅读操作手册，保证上传内容齐全，真实有效，扫描件清晰可辨。因</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上传原因导致应得分项而未得分或资格审查不合格等情况的，由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自行承担责任。</w:t>
            </w:r>
          </w:p>
          <w:p w14:paraId="5C2E94C1">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提示：本项目为电子化、无纸化交易项目，为保证您能投标成功，请需仔细阅读以上条款。</w:t>
            </w:r>
          </w:p>
          <w:p w14:paraId="7E8F1DD4">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三、</w:t>
            </w:r>
            <w:r>
              <w:rPr>
                <w:rFonts w:hint="eastAsia" w:ascii="宋体" w:hAnsi="宋体" w:eastAsia="宋体" w:cs="宋体"/>
                <w:color w:val="auto"/>
                <w:sz w:val="21"/>
                <w:szCs w:val="21"/>
                <w:highlight w:val="none"/>
              </w:rPr>
              <w:t>根据优化营商环境的要求，评标时以</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为准：</w:t>
            </w:r>
          </w:p>
          <w:p w14:paraId="4C700E38">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（1）资格评（预）审部分：资格评（预）以</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为准，其上传资料真实性由</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自行承担，同时，</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应在开标前自行完善主体库信息。</w:t>
            </w:r>
          </w:p>
          <w:p w14:paraId="24686253">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（2）评标打分部分：评标打分部分按照100分制原则进行，涉及到资格审查、企业荣誉、人员业绩、企业业绩等计分部分时，以投标单位自行上传到</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中的各类相应内容为准。</w:t>
            </w:r>
          </w:p>
          <w:p w14:paraId="280B3E7B">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编制部分：在</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中要求</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按照</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格式进行</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编制，在</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编制时，应明确将投标单位企业基本情况、资质情况、人员情况、财务情况、业绩情况编入</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，便于进行资格审查及评标打分。</w:t>
            </w:r>
          </w:p>
          <w:p w14:paraId="2AE4FB46">
            <w:pPr>
              <w:keepNext/>
              <w:keepLines w:val="0"/>
              <w:pageBreakBefore w:val="0"/>
              <w:widowControl/>
              <w:kinsoku/>
              <w:wordWrap/>
              <w:overflowPunct/>
              <w:topLinePunct w:val="0"/>
              <w:autoSpaceDE/>
              <w:autoSpaceDN/>
              <w:bidi w:val="0"/>
              <w:adjustRightInd/>
              <w:snapToGrid/>
              <w:spacing w:line="42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递交的资料和</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不论中标与否均不予退还。</w:t>
            </w:r>
          </w:p>
        </w:tc>
      </w:tr>
      <w:tr w14:paraId="1938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70CDCE10">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3.5</w:t>
            </w:r>
          </w:p>
        </w:tc>
        <w:tc>
          <w:tcPr>
            <w:tcW w:w="1701" w:type="dxa"/>
            <w:vAlign w:val="center"/>
          </w:tcPr>
          <w:p w14:paraId="0F237702">
            <w:pPr>
              <w:keepNext w:val="0"/>
              <w:keepLines w:val="0"/>
              <w:pageBreakBefore w:val="0"/>
              <w:kinsoku/>
              <w:wordWrap/>
              <w:overflowPunct/>
              <w:topLinePunct w:val="0"/>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答疑</w:t>
            </w:r>
          </w:p>
        </w:tc>
        <w:tc>
          <w:tcPr>
            <w:tcW w:w="6782" w:type="dxa"/>
            <w:shd w:val="clear" w:color="auto" w:fill="auto"/>
            <w:vAlign w:val="center"/>
          </w:tcPr>
          <w:p w14:paraId="44EBF032">
            <w:pPr>
              <w:keepNext w:val="0"/>
              <w:keepLines w:val="0"/>
              <w:pageBreakBefore w:val="0"/>
              <w:kinsoku/>
              <w:wordWrap/>
              <w:overflowPunct/>
              <w:topLinePunct w:val="0"/>
              <w:bidi w:val="0"/>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需要解答的疑问以书面形式加盖单位公章递交至采购人或采购代理机构，如在交易系统内提交疑问，供应商须电话联系采购代理公司。逾期提交的问题概不做回复。采购人代理机构将需要解答的内容以公告形式发至所有潜在供应商。</w:t>
            </w:r>
          </w:p>
        </w:tc>
      </w:tr>
      <w:tr w14:paraId="6DFE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594AE854">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3.6</w:t>
            </w:r>
          </w:p>
        </w:tc>
        <w:tc>
          <w:tcPr>
            <w:tcW w:w="1701" w:type="dxa"/>
            <w:vAlign w:val="center"/>
          </w:tcPr>
          <w:p w14:paraId="6D6439EE">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lang w:eastAsia="zh-CN" w:bidi="ar"/>
              </w:rPr>
              <w:t>成交结果公告</w:t>
            </w:r>
          </w:p>
        </w:tc>
        <w:tc>
          <w:tcPr>
            <w:tcW w:w="6782" w:type="dxa"/>
            <w:shd w:val="clear" w:color="auto" w:fill="auto"/>
            <w:vAlign w:val="center"/>
          </w:tcPr>
          <w:p w14:paraId="2835838A">
            <w:pPr>
              <w:keepNext w:val="0"/>
              <w:keepLines w:val="0"/>
              <w:pageBreakBefore w:val="0"/>
              <w:kinsoku/>
              <w:wordWrap/>
              <w:overflowPunct/>
              <w:topLinePunct w:val="0"/>
              <w:autoSpaceDE/>
              <w:autoSpaceDN/>
              <w:bidi w:val="0"/>
              <w:snapToGrid/>
              <w:spacing w:line="4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bidi="ar"/>
              </w:rPr>
              <w:t>在</w:t>
            </w:r>
            <w:r>
              <w:rPr>
                <w:rFonts w:hint="eastAsia" w:ascii="宋体" w:hAnsi="宋体" w:eastAsia="宋体" w:cs="宋体"/>
                <w:color w:val="auto"/>
                <w:sz w:val="21"/>
                <w:szCs w:val="21"/>
                <w:highlight w:val="none"/>
                <w:lang w:eastAsia="zh-CN"/>
              </w:rPr>
              <w:t>《河南省政府采购网》、《中国招标投标公共服务平台》和《三门峡市公共资源交易中心网》等</w:t>
            </w:r>
            <w:r>
              <w:rPr>
                <w:rFonts w:hint="eastAsia" w:ascii="宋体" w:hAnsi="宋体" w:eastAsia="宋体" w:cs="宋体"/>
                <w:color w:val="auto"/>
                <w:sz w:val="21"/>
                <w:szCs w:val="21"/>
                <w:highlight w:val="none"/>
              </w:rPr>
              <w:t>网</w:t>
            </w:r>
            <w:r>
              <w:rPr>
                <w:rFonts w:hint="eastAsia" w:ascii="宋体" w:hAnsi="宋体" w:eastAsia="宋体" w:cs="宋体"/>
                <w:color w:val="auto"/>
                <w:sz w:val="21"/>
                <w:szCs w:val="21"/>
                <w:highlight w:val="none"/>
                <w:lang w:eastAsia="zh-CN"/>
              </w:rPr>
              <w:t>站</w:t>
            </w:r>
            <w:r>
              <w:rPr>
                <w:rFonts w:hint="eastAsia" w:ascii="宋体" w:hAnsi="宋体" w:eastAsia="宋体" w:cs="宋体"/>
                <w:color w:val="auto"/>
                <w:sz w:val="21"/>
                <w:szCs w:val="21"/>
                <w:highlight w:val="none"/>
              </w:rPr>
              <w:t>上发布</w:t>
            </w:r>
            <w:r>
              <w:rPr>
                <w:rFonts w:hint="eastAsia" w:ascii="宋体" w:hAnsi="宋体" w:eastAsia="宋体" w:cs="宋体"/>
                <w:color w:val="auto"/>
                <w:sz w:val="21"/>
                <w:szCs w:val="21"/>
                <w:highlight w:val="none"/>
                <w:lang w:eastAsia="zh-CN"/>
              </w:rPr>
              <w:t>。公示期限一个工作日。</w:t>
            </w:r>
          </w:p>
        </w:tc>
      </w:tr>
      <w:tr w14:paraId="12584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321AD7BF">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3.7</w:t>
            </w:r>
          </w:p>
        </w:tc>
        <w:tc>
          <w:tcPr>
            <w:tcW w:w="1701" w:type="dxa"/>
            <w:vAlign w:val="center"/>
          </w:tcPr>
          <w:p w14:paraId="5E5F93CA">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知识产权</w:t>
            </w:r>
          </w:p>
        </w:tc>
        <w:tc>
          <w:tcPr>
            <w:tcW w:w="6782" w:type="dxa"/>
            <w:shd w:val="clear" w:color="auto" w:fill="auto"/>
            <w:vAlign w:val="center"/>
          </w:tcPr>
          <w:p w14:paraId="1FA0F399">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构成本</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各个组成部分的文件，未经</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书面同意，</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不得擅自复印和用于非本项目所需的其他目的。</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全部或者部分使用未</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中的技术成果或技术方案时，需征得其书面同意，并不得擅自复印或提供给第三人。</w:t>
            </w:r>
          </w:p>
        </w:tc>
      </w:tr>
      <w:tr w14:paraId="1AA16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3BFC0895">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3.8</w:t>
            </w:r>
          </w:p>
        </w:tc>
        <w:tc>
          <w:tcPr>
            <w:tcW w:w="1701" w:type="dxa"/>
            <w:vAlign w:val="center"/>
          </w:tcPr>
          <w:p w14:paraId="460DF965">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解释权</w:t>
            </w:r>
          </w:p>
        </w:tc>
        <w:tc>
          <w:tcPr>
            <w:tcW w:w="6782" w:type="dxa"/>
            <w:shd w:val="clear" w:color="auto" w:fill="auto"/>
            <w:vAlign w:val="top"/>
          </w:tcPr>
          <w:p w14:paraId="07DE7CB4">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构成本</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的各个组成文件应互为解释，互为说明；如有不明确或不一致，构成合同文件组成内容的，以合同文件约定内容为准，且以专用合同条款约定的合同文件优先顺序解释；</w:t>
            </w:r>
          </w:p>
          <w:p w14:paraId="45FDBBB1">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除</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中有特别规定外，仅适用于招标投标阶段的规定，按</w:t>
            </w:r>
            <w:r>
              <w:rPr>
                <w:rFonts w:hint="eastAsia" w:ascii="宋体" w:hAnsi="宋体" w:eastAsia="宋体" w:cs="宋体"/>
                <w:color w:val="auto"/>
                <w:sz w:val="21"/>
                <w:szCs w:val="21"/>
                <w:highlight w:val="none"/>
                <w:lang w:eastAsia="zh-CN"/>
              </w:rPr>
              <w:t>磋商公告</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须知、</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范围、评</w:t>
            </w:r>
            <w:r>
              <w:rPr>
                <w:rFonts w:hint="eastAsia" w:ascii="宋体" w:hAnsi="宋体" w:eastAsia="宋体" w:cs="宋体"/>
                <w:color w:val="auto"/>
                <w:sz w:val="21"/>
                <w:szCs w:val="21"/>
                <w:highlight w:val="none"/>
                <w:lang w:eastAsia="zh-CN"/>
              </w:rPr>
              <w:t>审</w:t>
            </w:r>
            <w:r>
              <w:rPr>
                <w:rFonts w:hint="eastAsia" w:ascii="宋体" w:hAnsi="宋体" w:eastAsia="宋体" w:cs="宋体"/>
                <w:color w:val="auto"/>
                <w:sz w:val="21"/>
                <w:szCs w:val="21"/>
                <w:highlight w:val="none"/>
              </w:rPr>
              <w:t>办法、合同文件、</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格式的先后顺序解释；</w:t>
            </w:r>
          </w:p>
          <w:p w14:paraId="509ED358">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同一组成文件中就同一事项的规定或约定不一致的，以编排顺序在后者为准；</w:t>
            </w:r>
          </w:p>
          <w:p w14:paraId="16AAEC27">
            <w:pPr>
              <w:keepNext/>
              <w:keepLines w:val="0"/>
              <w:pageBreakBefore w:val="0"/>
              <w:widowControl w:val="0"/>
              <w:kinsoku/>
              <w:overflowPunct/>
              <w:topLinePunct w:val="0"/>
              <w:autoSpaceDE/>
              <w:autoSpaceDN/>
              <w:bidi w:val="0"/>
              <w:snapToGrid/>
              <w:spacing w:line="42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同一组成文件不同版本之间有不一致的，以形成时间在后者为准。按本款前述规定仍不能形成结论的，由</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人或</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代理机构负责解释。</w:t>
            </w:r>
          </w:p>
        </w:tc>
      </w:tr>
      <w:tr w14:paraId="16DB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06744561">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3.9</w:t>
            </w:r>
          </w:p>
        </w:tc>
        <w:tc>
          <w:tcPr>
            <w:tcW w:w="1701" w:type="dxa"/>
            <w:vAlign w:val="center"/>
          </w:tcPr>
          <w:p w14:paraId="542F4EE0">
            <w:pPr>
              <w:keepNext/>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lang w:val="en-US"/>
              </w:rPr>
              <w:t>电子</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val="en-US"/>
              </w:rPr>
              <w:t>文件雷同性检查提示</w:t>
            </w:r>
          </w:p>
        </w:tc>
        <w:tc>
          <w:tcPr>
            <w:tcW w:w="6782" w:type="dxa"/>
            <w:shd w:val="clear" w:color="auto" w:fill="auto"/>
            <w:vAlign w:val="top"/>
          </w:tcPr>
          <w:p w14:paraId="76CDF0B7">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rPr>
              <w:t>1</w:t>
            </w:r>
            <w:r>
              <w:rPr>
                <w:rFonts w:hint="eastAsia" w:ascii="宋体" w:hAnsi="宋体" w:eastAsia="宋体" w:cs="宋体"/>
                <w:color w:val="auto"/>
                <w:sz w:val="21"/>
                <w:szCs w:val="21"/>
                <w:highlight w:val="none"/>
              </w:rPr>
              <w:t>）下列情形，</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应认定为“不同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由同一单位或者个人编制的”情形；</w:t>
            </w:r>
          </w:p>
          <w:p w14:paraId="5D8074F2">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 xml:space="preserve">    </w:t>
            </w:r>
            <w:r>
              <w:rPr>
                <w:rFonts w:hint="eastAsia" w:ascii="宋体" w:hAnsi="宋体" w:eastAsia="宋体" w:cs="宋体"/>
                <w:color w:val="auto"/>
                <w:sz w:val="21"/>
                <w:szCs w:val="21"/>
                <w:highlight w:val="none"/>
              </w:rPr>
              <w:t>①电子开评标系统提示不同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的电子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的文件制作机器码、文件创建标识码等软硬件信息，有一条及以上相同的；</w:t>
            </w:r>
          </w:p>
          <w:p w14:paraId="6DDDC202">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 xml:space="preserve">    </w:t>
            </w:r>
            <w:r>
              <w:rPr>
                <w:rFonts w:hint="eastAsia" w:ascii="宋体" w:hAnsi="宋体" w:eastAsia="宋体" w:cs="宋体"/>
                <w:color w:val="auto"/>
                <w:sz w:val="21"/>
                <w:szCs w:val="21"/>
                <w:highlight w:val="none"/>
              </w:rPr>
              <w:t>②电子开评标系统提示不同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文件存在内容高度一致的、</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报价或报价组成出现非正常一致或者呈规律性变化的，</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可以要求</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作出澄清，</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集体表决认定属于“不同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异常一致或者投标报价呈规律性差异”。</w:t>
            </w:r>
          </w:p>
          <w:p w14:paraId="3A5B0072">
            <w:pPr>
              <w:keepNext/>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注：电子开评标系统对不同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的电子</w:t>
            </w:r>
            <w:r>
              <w:rPr>
                <w:rFonts w:hint="eastAsia" w:ascii="宋体" w:hAnsi="宋体" w:eastAsia="宋体" w:cs="宋体"/>
                <w:color w:val="auto"/>
                <w:sz w:val="21"/>
                <w:szCs w:val="21"/>
                <w:highlight w:val="none"/>
                <w:lang w:eastAsia="zh-CN"/>
              </w:rPr>
              <w:t>响应文件</w:t>
            </w:r>
            <w:r>
              <w:rPr>
                <w:rFonts w:hint="eastAsia" w:ascii="宋体" w:hAnsi="宋体" w:eastAsia="宋体" w:cs="宋体"/>
                <w:color w:val="auto"/>
                <w:sz w:val="21"/>
                <w:szCs w:val="21"/>
                <w:highlight w:val="none"/>
              </w:rPr>
              <w:t>作出雷同性提示或预警的，资格评审委员会或</w:t>
            </w:r>
            <w:r>
              <w:rPr>
                <w:rFonts w:hint="eastAsia" w:ascii="宋体" w:hAnsi="宋体" w:eastAsia="宋体" w:cs="宋体"/>
                <w:color w:val="auto"/>
                <w:sz w:val="21"/>
                <w:szCs w:val="21"/>
                <w:highlight w:val="none"/>
                <w:lang w:eastAsia="zh-CN"/>
              </w:rPr>
              <w:t>磋商小组</w:t>
            </w:r>
            <w:r>
              <w:rPr>
                <w:rFonts w:hint="eastAsia" w:ascii="宋体" w:hAnsi="宋体" w:eastAsia="宋体" w:cs="宋体"/>
                <w:color w:val="auto"/>
                <w:sz w:val="21"/>
                <w:szCs w:val="21"/>
                <w:highlight w:val="none"/>
              </w:rPr>
              <w:t>集体表决认定属于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视为</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相互串通投标”的情形，同时写出串（围）标行为认定报告并签字的，按废标处理。</w:t>
            </w:r>
          </w:p>
        </w:tc>
      </w:tr>
      <w:tr w14:paraId="4188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730C8839">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4.0</w:t>
            </w:r>
          </w:p>
        </w:tc>
        <w:tc>
          <w:tcPr>
            <w:tcW w:w="1701" w:type="dxa"/>
            <w:vAlign w:val="center"/>
          </w:tcPr>
          <w:p w14:paraId="440FF252">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rPr>
              <w:t>监  督</w:t>
            </w:r>
          </w:p>
        </w:tc>
        <w:tc>
          <w:tcPr>
            <w:tcW w:w="6782" w:type="dxa"/>
            <w:shd w:val="clear" w:color="auto" w:fill="auto"/>
            <w:vAlign w:val="center"/>
          </w:tcPr>
          <w:p w14:paraId="56E79051">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活动及其相关当事人应当接受有管辖权的</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监督部门</w:t>
            </w:r>
            <w:r>
              <w:rPr>
                <w:rFonts w:hint="eastAsia" w:ascii="宋体" w:hAnsi="宋体" w:eastAsia="宋体" w:cs="宋体"/>
                <w:color w:val="auto"/>
                <w:sz w:val="21"/>
                <w:szCs w:val="21"/>
                <w:highlight w:val="none"/>
                <w:lang w:eastAsia="zh-CN"/>
              </w:rPr>
              <w:t>或单位</w:t>
            </w:r>
            <w:r>
              <w:rPr>
                <w:rFonts w:hint="eastAsia" w:ascii="宋体" w:hAnsi="宋体" w:eastAsia="宋体" w:cs="宋体"/>
                <w:color w:val="auto"/>
                <w:sz w:val="21"/>
                <w:szCs w:val="21"/>
                <w:highlight w:val="none"/>
              </w:rPr>
              <w:t>依法实施的监督。</w:t>
            </w:r>
          </w:p>
        </w:tc>
      </w:tr>
      <w:tr w14:paraId="058F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5239EB30">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4.1</w:t>
            </w:r>
          </w:p>
        </w:tc>
        <w:tc>
          <w:tcPr>
            <w:tcW w:w="1701" w:type="dxa"/>
            <w:vAlign w:val="center"/>
          </w:tcPr>
          <w:p w14:paraId="7D1959A4">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sz w:val="21"/>
                <w:szCs w:val="21"/>
                <w:highlight w:val="none"/>
                <w:lang w:val="en-US" w:eastAsia="zh-CN"/>
              </w:rPr>
              <w:t>本项目中小企业所属行业</w:t>
            </w:r>
          </w:p>
        </w:tc>
        <w:tc>
          <w:tcPr>
            <w:tcW w:w="6782" w:type="dxa"/>
            <w:shd w:val="clear" w:color="auto" w:fill="auto"/>
            <w:vAlign w:val="center"/>
          </w:tcPr>
          <w:p w14:paraId="1DD1E47E">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其他未列明行业</w:t>
            </w:r>
          </w:p>
        </w:tc>
      </w:tr>
      <w:tr w14:paraId="1EB62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265A9CFB">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4.2</w:t>
            </w:r>
          </w:p>
        </w:tc>
        <w:tc>
          <w:tcPr>
            <w:tcW w:w="1701" w:type="dxa"/>
            <w:vAlign w:val="center"/>
          </w:tcPr>
          <w:p w14:paraId="5221F2E7">
            <w:pPr>
              <w:keepNext w:val="0"/>
              <w:keepLines w:val="0"/>
              <w:pageBreakBefore w:val="0"/>
              <w:kinsoku/>
              <w:wordWrap/>
              <w:overflowPunct/>
              <w:topLinePunct w:val="0"/>
              <w:autoSpaceDE/>
              <w:autoSpaceDN/>
              <w:bidi w:val="0"/>
              <w:adjustRightInd/>
              <w:snapToGrid/>
              <w:spacing w:line="420" w:lineRule="exact"/>
              <w:ind w:left="38" w:leftChars="18"/>
              <w:jc w:val="center"/>
              <w:textAlignment w:val="auto"/>
              <w:rPr>
                <w:rFonts w:hint="eastAsia" w:ascii="宋体" w:hAnsi="宋体" w:eastAsia="宋体" w:cs="宋体"/>
                <w:kern w:val="0"/>
                <w:sz w:val="21"/>
                <w:szCs w:val="21"/>
                <w:highlight w:val="none"/>
              </w:rPr>
            </w:pPr>
            <w:r>
              <w:rPr>
                <w:rFonts w:hint="eastAsia" w:ascii="宋体" w:hAnsi="宋体" w:eastAsia="宋体" w:cs="宋体"/>
                <w:color w:val="auto"/>
                <w:kern w:val="0"/>
                <w:sz w:val="21"/>
                <w:szCs w:val="21"/>
                <w:highlight w:val="none"/>
                <w:lang w:val="en-US" w:eastAsia="zh-CN" w:bidi="ar"/>
              </w:rPr>
              <w:t>采购代理服务费</w:t>
            </w:r>
          </w:p>
        </w:tc>
        <w:tc>
          <w:tcPr>
            <w:tcW w:w="6782" w:type="dxa"/>
            <w:shd w:val="clear" w:color="auto" w:fill="auto"/>
            <w:vAlign w:val="center"/>
          </w:tcPr>
          <w:p w14:paraId="413B2E51">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1.采购代理服务费及相关费用</w:t>
            </w:r>
          </w:p>
          <w:p w14:paraId="75B6DF9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代理服务费：参考按河南省招标代理服务收费指导意见（豫招协[2023]002号），向成交供应商收取代理服务费。</w:t>
            </w:r>
          </w:p>
          <w:p w14:paraId="216D6E4F">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2.收取方式</w:t>
            </w:r>
          </w:p>
          <w:p w14:paraId="62CB8BA5">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采购代理服务费均由成交供应商在领取成交通知书时，以现金或转账的方式一次性向代理机构缴纳。</w:t>
            </w:r>
          </w:p>
          <w:p w14:paraId="0018247D">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户名：河南友拓工程管理有限公司</w:t>
            </w:r>
          </w:p>
          <w:p w14:paraId="7115D72B">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账号：41050169610800000001</w:t>
            </w:r>
          </w:p>
          <w:p w14:paraId="0A2DB46F">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开户行：建行三门峡崤山路支行</w:t>
            </w:r>
          </w:p>
        </w:tc>
      </w:tr>
      <w:tr w14:paraId="20CA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101" w:type="dxa"/>
            <w:vAlign w:val="center"/>
          </w:tcPr>
          <w:p w14:paraId="55CD5DAE">
            <w:pPr>
              <w:spacing w:line="460" w:lineRule="exact"/>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4.3</w:t>
            </w:r>
          </w:p>
        </w:tc>
        <w:tc>
          <w:tcPr>
            <w:tcW w:w="1701" w:type="dxa"/>
            <w:vAlign w:val="center"/>
          </w:tcPr>
          <w:p w14:paraId="27DA0E08">
            <w:pPr>
              <w:keepNext w:val="0"/>
              <w:keepLines w:val="0"/>
              <w:pageBreakBefore w:val="0"/>
              <w:kinsoku/>
              <w:wordWrap/>
              <w:overflowPunct/>
              <w:topLinePunct w:val="0"/>
              <w:autoSpaceDE/>
              <w:autoSpaceDN/>
              <w:bidi w:val="0"/>
              <w:adjustRightInd/>
              <w:snapToGrid/>
              <w:spacing w:line="420" w:lineRule="exact"/>
              <w:ind w:left="38" w:leftChars="18"/>
              <w:jc w:val="center"/>
              <w:textAlignment w:val="auto"/>
              <w:rPr>
                <w:rFonts w:hint="eastAsia" w:ascii="宋体" w:hAnsi="宋体" w:eastAsia="宋体" w:cs="宋体"/>
                <w:kern w:val="0"/>
                <w:sz w:val="21"/>
                <w:szCs w:val="21"/>
                <w:highlight w:val="none"/>
              </w:rPr>
            </w:pPr>
            <w:r>
              <w:rPr>
                <w:rFonts w:hint="eastAsia" w:ascii="宋体" w:hAnsi="宋体" w:eastAsia="宋体" w:cs="宋体"/>
                <w:b/>
                <w:bCs/>
                <w:color w:val="auto"/>
                <w:kern w:val="0"/>
                <w:sz w:val="21"/>
                <w:szCs w:val="21"/>
                <w:highlight w:val="none"/>
                <w:lang w:val="en-US" w:eastAsia="zh-CN" w:bidi="ar"/>
              </w:rPr>
              <w:t>三门峡市湖滨区采购合同融资政策告知函</w:t>
            </w:r>
          </w:p>
        </w:tc>
        <w:tc>
          <w:tcPr>
            <w:tcW w:w="6782" w:type="dxa"/>
            <w:shd w:val="clear" w:color="auto" w:fill="auto"/>
            <w:vAlign w:val="center"/>
          </w:tcPr>
          <w:p w14:paraId="40528EBF">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各供应商：欢迎贵公司参与三门峡市湖滨区采购活动！</w:t>
            </w:r>
          </w:p>
          <w:p w14:paraId="2528FE2E">
            <w:pPr>
              <w:keepNext w:val="0"/>
              <w:keepLines w:val="0"/>
              <w:pageBreakBefore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采购合同融资是三门峡市湖滨区财政局支持中小微企业发展，针对参与采购活动的供应商融资难、融资贵问题推出的一项融资政策。贵公司若成为本次采购项目的成交供应商，可持采购合同向金融机构申请贷款，无需抵押、担保，融资机构将根据《河南省政府采购合同融资工作实施方案》（豫财购〔2017〕10号）和《三门峡市湖滨区财政局关于进一步推进“政采贷”工作的通知》（三湖财〔20</w:t>
            </w:r>
            <w:r>
              <w:rPr>
                <w:rFonts w:hint="eastAsia" w:ascii="宋体" w:hAnsi="宋体" w:eastAsia="宋体" w:cs="宋体"/>
                <w:b/>
                <w:bCs/>
                <w:color w:val="auto"/>
                <w:sz w:val="21"/>
                <w:szCs w:val="21"/>
                <w:highlight w:val="none"/>
                <w:lang w:val="en-US" w:eastAsia="zh-CN"/>
              </w:rPr>
              <w:t>24</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72</w:t>
            </w:r>
            <w:r>
              <w:rPr>
                <w:rFonts w:hint="eastAsia" w:ascii="宋体" w:hAnsi="宋体" w:eastAsia="宋体" w:cs="宋体"/>
                <w:b/>
                <w:bCs/>
                <w:color w:val="auto"/>
                <w:sz w:val="21"/>
                <w:szCs w:val="21"/>
                <w:highlight w:val="none"/>
                <w:lang w:eastAsia="zh-CN"/>
              </w:rPr>
              <w:t>号），按照双方自愿的原则提供便捷、优惠的贷款服务。贷款渠道和提供贷款的金融机构，可在三门峡市政府采购网“河南省政府采购合同融资平台”查询联系。</w:t>
            </w:r>
          </w:p>
        </w:tc>
      </w:tr>
    </w:tbl>
    <w:p w14:paraId="70FC238B">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2"/>
          <w:szCs w:val="22"/>
          <w:highlight w:val="none"/>
          <w:lang w:val="en-US" w:eastAsia="zh-CN"/>
        </w:rPr>
      </w:pPr>
      <w:bookmarkStart w:id="5" w:name="_Toc6"/>
      <w:bookmarkStart w:id="6" w:name="_Toc31820"/>
      <w:bookmarkStart w:id="7" w:name="_Toc312133543"/>
      <w:bookmarkStart w:id="8" w:name="_Toc1129"/>
      <w:bookmarkStart w:id="9" w:name="_Toc10553"/>
      <w:bookmarkStart w:id="10" w:name="_Toc31849"/>
      <w:bookmarkStart w:id="11" w:name="_Toc26128"/>
      <w:bookmarkStart w:id="12" w:name="_Toc8309"/>
      <w:bookmarkStart w:id="13" w:name="_Toc15226"/>
      <w:bookmarkStart w:id="14" w:name="_Toc3283"/>
      <w:bookmarkStart w:id="15" w:name="_Toc114667870"/>
      <w:bookmarkStart w:id="16" w:name="_Toc111997497"/>
      <w:bookmarkStart w:id="17" w:name="_Toc111997214"/>
      <w:bookmarkStart w:id="18" w:name="_Toc829"/>
      <w:bookmarkStart w:id="19" w:name="_Toc378"/>
      <w:bookmarkStart w:id="20" w:name="_Toc8870"/>
    </w:p>
    <w:p w14:paraId="15E2E193">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总则</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3C038BC">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21" w:name="_Toc31656"/>
      <w:bookmarkStart w:id="22" w:name="_Toc5358"/>
      <w:bookmarkStart w:id="23" w:name="_Toc23738"/>
      <w:bookmarkStart w:id="24" w:name="_Toc9227"/>
      <w:bookmarkStart w:id="25" w:name="_Toc111997215"/>
      <w:bookmarkStart w:id="26" w:name="_Toc6992"/>
      <w:bookmarkStart w:id="27" w:name="_Toc4828"/>
      <w:bookmarkStart w:id="28" w:name="_Toc28377"/>
      <w:bookmarkStart w:id="29" w:name="_Toc30513"/>
      <w:bookmarkStart w:id="30" w:name="_Toc13150040"/>
      <w:bookmarkStart w:id="31" w:name="_Toc24769"/>
      <w:bookmarkStart w:id="32" w:name="_Toc5828"/>
      <w:bookmarkStart w:id="33" w:name="_Toc20743"/>
      <w:bookmarkStart w:id="34" w:name="_Toc14496"/>
      <w:bookmarkStart w:id="35" w:name="_Toc28200"/>
      <w:bookmarkStart w:id="36" w:name="_Toc6347"/>
      <w:r>
        <w:rPr>
          <w:rFonts w:hint="eastAsia" w:ascii="宋体" w:hAnsi="宋体" w:eastAsia="宋体" w:cs="宋体"/>
          <w:b/>
          <w:bCs/>
          <w:color w:val="000000"/>
          <w:sz w:val="21"/>
          <w:szCs w:val="21"/>
          <w:highlight w:val="none"/>
          <w:lang w:val="en-US" w:eastAsia="zh-CN"/>
        </w:rPr>
        <w:t>1.1</w:t>
      </w:r>
      <w:r>
        <w:rPr>
          <w:rFonts w:hint="eastAsia" w:ascii="宋体" w:hAnsi="宋体" w:eastAsia="宋体" w:cs="宋体"/>
          <w:b/>
          <w:bCs/>
          <w:color w:val="000000"/>
          <w:sz w:val="21"/>
          <w:szCs w:val="21"/>
          <w:highlight w:val="none"/>
        </w:rPr>
        <w:t>适用范围</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752F3A0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1.1.1</w:t>
      </w:r>
      <w:r>
        <w:rPr>
          <w:rFonts w:hint="eastAsia" w:ascii="宋体" w:hAnsi="宋体" w:eastAsia="宋体" w:cs="宋体"/>
          <w:color w:val="000000"/>
          <w:sz w:val="21"/>
          <w:szCs w:val="21"/>
          <w:highlight w:val="none"/>
        </w:rPr>
        <w:t>本竞争性磋商文件仅适用于本次竞争性磋商文件中所述的服务。</w:t>
      </w:r>
    </w:p>
    <w:p w14:paraId="23A2A6F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1.1.2</w:t>
      </w:r>
      <w:r>
        <w:rPr>
          <w:rFonts w:hint="eastAsia" w:ascii="宋体" w:hAnsi="宋体" w:eastAsia="宋体" w:cs="宋体"/>
          <w:color w:val="000000"/>
          <w:sz w:val="21"/>
          <w:szCs w:val="21"/>
          <w:highlight w:val="none"/>
        </w:rPr>
        <w:t>本竞争性磋商文件的解释权归采购人所有。</w:t>
      </w:r>
    </w:p>
    <w:p w14:paraId="4DBB7099">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37" w:name="_Toc23240"/>
      <w:bookmarkStart w:id="38" w:name="_Toc13150041"/>
      <w:bookmarkStart w:id="39" w:name="_Toc13223"/>
      <w:bookmarkStart w:id="40" w:name="_Toc13726"/>
      <w:bookmarkStart w:id="41" w:name="_Toc19830"/>
      <w:bookmarkStart w:id="42" w:name="_Toc4906"/>
      <w:bookmarkStart w:id="43" w:name="_Toc2056"/>
      <w:bookmarkStart w:id="44" w:name="_Toc31067"/>
      <w:bookmarkStart w:id="45" w:name="_Toc7606"/>
      <w:bookmarkStart w:id="46" w:name="_Toc19994"/>
      <w:bookmarkStart w:id="47" w:name="_Toc12346"/>
      <w:bookmarkStart w:id="48" w:name="_Toc11835"/>
      <w:bookmarkStart w:id="49" w:name="_Toc111997216"/>
      <w:bookmarkStart w:id="50" w:name="_Toc13473"/>
      <w:bookmarkStart w:id="51" w:name="_Toc17774"/>
      <w:bookmarkStart w:id="52" w:name="_Toc17529"/>
      <w:r>
        <w:rPr>
          <w:rFonts w:hint="eastAsia" w:ascii="宋体" w:hAnsi="宋体" w:eastAsia="宋体" w:cs="宋体"/>
          <w:b/>
          <w:bCs/>
          <w:color w:val="000000"/>
          <w:sz w:val="21"/>
          <w:szCs w:val="21"/>
          <w:highlight w:val="none"/>
          <w:lang w:val="en-US" w:eastAsia="zh-CN"/>
        </w:rPr>
        <w:t>1.2</w:t>
      </w:r>
      <w:r>
        <w:rPr>
          <w:rFonts w:hint="eastAsia" w:ascii="宋体" w:hAnsi="宋体" w:eastAsia="宋体" w:cs="宋体"/>
          <w:b/>
          <w:bCs/>
          <w:color w:val="000000"/>
          <w:sz w:val="21"/>
          <w:szCs w:val="21"/>
          <w:highlight w:val="none"/>
        </w:rPr>
        <w:t>项目概况</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3C3F36A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1.2.1</w:t>
      </w:r>
      <w:r>
        <w:rPr>
          <w:rFonts w:hint="eastAsia" w:ascii="宋体" w:hAnsi="宋体" w:eastAsia="宋体" w:cs="宋体"/>
          <w:color w:val="000000"/>
          <w:sz w:val="21"/>
          <w:szCs w:val="21"/>
          <w:highlight w:val="none"/>
        </w:rPr>
        <w:t>采购人：供应商须知前附表中所述的、依法进行政府采购的国家机关、事业单位、团体组织。</w:t>
      </w:r>
    </w:p>
    <w:p w14:paraId="496E437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1.2.2</w:t>
      </w:r>
      <w:r>
        <w:rPr>
          <w:rFonts w:hint="eastAsia" w:ascii="宋体" w:hAnsi="宋体" w:eastAsia="宋体" w:cs="宋体"/>
          <w:color w:val="000000"/>
          <w:sz w:val="21"/>
          <w:szCs w:val="21"/>
          <w:highlight w:val="none"/>
        </w:rPr>
        <w:t>采购代理机构：受采购人委托组织磋商活动，在磋商过程中负有相应责任的社会中介组织。</w:t>
      </w:r>
    </w:p>
    <w:p w14:paraId="3273252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1.2.3</w:t>
      </w:r>
      <w:r>
        <w:rPr>
          <w:rFonts w:hint="eastAsia" w:ascii="宋体" w:hAnsi="宋体" w:eastAsia="宋体" w:cs="宋体"/>
          <w:color w:val="000000"/>
          <w:sz w:val="21"/>
          <w:szCs w:val="21"/>
          <w:highlight w:val="none"/>
        </w:rPr>
        <w:t>项目名称：见供应商须知前附表。</w:t>
      </w:r>
    </w:p>
    <w:p w14:paraId="5F99E84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1.2.4</w:t>
      </w:r>
      <w:r>
        <w:rPr>
          <w:rFonts w:hint="eastAsia" w:ascii="宋体" w:hAnsi="宋体" w:eastAsia="宋体" w:cs="宋体"/>
          <w:color w:val="000000"/>
          <w:sz w:val="21"/>
          <w:szCs w:val="21"/>
          <w:highlight w:val="none"/>
          <w:lang w:eastAsia="zh-CN"/>
        </w:rPr>
        <w:t>采购</w:t>
      </w:r>
      <w:r>
        <w:rPr>
          <w:rFonts w:hint="eastAsia" w:ascii="宋体" w:hAnsi="宋体" w:eastAsia="宋体" w:cs="宋体"/>
          <w:color w:val="000000"/>
          <w:sz w:val="21"/>
          <w:szCs w:val="21"/>
          <w:highlight w:val="none"/>
        </w:rPr>
        <w:t>内容：见供应商须知前附表。</w:t>
      </w:r>
    </w:p>
    <w:p w14:paraId="12B8D6C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1.2.5</w:t>
      </w:r>
      <w:r>
        <w:rPr>
          <w:rFonts w:hint="eastAsia" w:ascii="宋体" w:hAnsi="宋体" w:eastAsia="宋体" w:cs="宋体"/>
          <w:color w:val="000000"/>
          <w:sz w:val="21"/>
          <w:szCs w:val="21"/>
          <w:highlight w:val="none"/>
        </w:rPr>
        <w:t>资金来源及</w:t>
      </w:r>
      <w:r>
        <w:rPr>
          <w:rFonts w:hint="eastAsia" w:ascii="宋体" w:hAnsi="宋体" w:eastAsia="宋体" w:cs="宋体"/>
          <w:color w:val="000000"/>
          <w:sz w:val="21"/>
          <w:szCs w:val="21"/>
          <w:highlight w:val="none"/>
          <w:lang w:eastAsia="zh-CN"/>
        </w:rPr>
        <w:t>落实情况</w:t>
      </w:r>
      <w:r>
        <w:rPr>
          <w:rFonts w:hint="eastAsia" w:ascii="宋体" w:hAnsi="宋体" w:eastAsia="宋体" w:cs="宋体"/>
          <w:color w:val="000000"/>
          <w:sz w:val="21"/>
          <w:szCs w:val="21"/>
          <w:highlight w:val="none"/>
        </w:rPr>
        <w:t>：见供应商须知前附表。</w:t>
      </w:r>
    </w:p>
    <w:p w14:paraId="5367D3E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1.2.6</w:t>
      </w:r>
      <w:r>
        <w:rPr>
          <w:rFonts w:hint="eastAsia" w:ascii="宋体" w:hAnsi="宋体" w:eastAsia="宋体" w:cs="宋体"/>
          <w:color w:val="000000"/>
          <w:sz w:val="21"/>
          <w:szCs w:val="21"/>
          <w:highlight w:val="none"/>
        </w:rPr>
        <w:t>服务期限：见供应商须知前附表。</w:t>
      </w:r>
    </w:p>
    <w:p w14:paraId="7FD17CB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1.2.7服务</w:t>
      </w:r>
      <w:r>
        <w:rPr>
          <w:rFonts w:hint="eastAsia" w:ascii="宋体" w:hAnsi="宋体" w:eastAsia="宋体" w:cs="宋体"/>
          <w:color w:val="000000"/>
          <w:sz w:val="21"/>
          <w:szCs w:val="21"/>
          <w:highlight w:val="none"/>
          <w:lang w:eastAsia="zh-CN"/>
        </w:rPr>
        <w:t>要求</w:t>
      </w:r>
      <w:r>
        <w:rPr>
          <w:rFonts w:hint="eastAsia" w:ascii="宋体" w:hAnsi="宋体" w:eastAsia="宋体" w:cs="宋体"/>
          <w:color w:val="000000"/>
          <w:sz w:val="21"/>
          <w:szCs w:val="21"/>
          <w:highlight w:val="none"/>
        </w:rPr>
        <w:t>：见供应商须知前附表。</w:t>
      </w:r>
    </w:p>
    <w:p w14:paraId="644B9D1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1.2.8</w:t>
      </w:r>
      <w:r>
        <w:rPr>
          <w:rFonts w:hint="eastAsia" w:ascii="宋体" w:hAnsi="宋体" w:eastAsia="宋体" w:cs="宋体"/>
          <w:color w:val="000000"/>
          <w:sz w:val="21"/>
          <w:szCs w:val="21"/>
          <w:highlight w:val="none"/>
        </w:rPr>
        <w:t>供应商资格要求</w:t>
      </w:r>
    </w:p>
    <w:p w14:paraId="496A531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1.2.8.1</w:t>
      </w:r>
      <w:r>
        <w:rPr>
          <w:rFonts w:hint="eastAsia" w:ascii="宋体" w:hAnsi="宋体" w:eastAsia="宋体" w:cs="宋体"/>
          <w:color w:val="000000"/>
          <w:sz w:val="21"/>
          <w:szCs w:val="21"/>
          <w:highlight w:val="none"/>
        </w:rPr>
        <w:t>供应商应具备承担本项目的资质条件见前附表。</w:t>
      </w:r>
    </w:p>
    <w:p w14:paraId="060CCDEB">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1.2.9供应商须知前附表规定：不接受联合体</w:t>
      </w:r>
      <w:r>
        <w:rPr>
          <w:rFonts w:hint="eastAsia" w:ascii="宋体" w:hAnsi="宋体" w:eastAsia="宋体" w:cs="宋体"/>
          <w:color w:val="000000"/>
          <w:sz w:val="21"/>
          <w:szCs w:val="21"/>
          <w:highlight w:val="none"/>
          <w:lang w:eastAsia="zh-CN"/>
        </w:rPr>
        <w:t>磋商</w:t>
      </w:r>
      <w:r>
        <w:rPr>
          <w:rFonts w:hint="eastAsia" w:ascii="宋体" w:hAnsi="宋体" w:eastAsia="宋体" w:cs="宋体"/>
          <w:color w:val="000000"/>
          <w:sz w:val="21"/>
          <w:szCs w:val="21"/>
          <w:highlight w:val="none"/>
        </w:rPr>
        <w:t>。</w:t>
      </w:r>
    </w:p>
    <w:p w14:paraId="2B316641">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1.2.10供应商不得存在下列情形之一：</w:t>
      </w:r>
    </w:p>
    <w:p w14:paraId="4A566E4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（1）与</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存在利害关系且可能影响采购公正性；</w:t>
      </w:r>
    </w:p>
    <w:p w14:paraId="6E35164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（2）与本采购项目的其他供应商为同一个单位负责人；</w:t>
      </w:r>
    </w:p>
    <w:p w14:paraId="04F2EBC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（3）与本采购项目的其他供应商存在控股、管理关系；</w:t>
      </w:r>
    </w:p>
    <w:p w14:paraId="5D9D9EF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（4）为本采购项目提供过整体设计、规范编制或者项目管理、监理、检测等服务；</w:t>
      </w:r>
    </w:p>
    <w:p w14:paraId="72D0027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（5）为本采购项目的采购代理机构；</w:t>
      </w:r>
    </w:p>
    <w:p w14:paraId="4373F1B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（6）与本采购项目的采购代理机构同为一个法定代表人；</w:t>
      </w:r>
    </w:p>
    <w:p w14:paraId="455C823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（7）与本采购项目的采购代理机构存在控股或参股关系。</w:t>
      </w:r>
    </w:p>
    <w:p w14:paraId="7E350F9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1.2.11成交供应商：接到并接受成交通知，最终被授予合同的供应商。</w:t>
      </w:r>
    </w:p>
    <w:p w14:paraId="3BCF1B5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1.2.12响应文件：指供应商根据竞争性磋商文件提交的所有文件。</w:t>
      </w:r>
    </w:p>
    <w:p w14:paraId="42A553D0">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53" w:name="_Toc15721"/>
      <w:bookmarkStart w:id="54" w:name="_Toc15243"/>
      <w:bookmarkStart w:id="55" w:name="_Toc22289"/>
      <w:bookmarkStart w:id="56" w:name="_Toc7848"/>
      <w:bookmarkStart w:id="57" w:name="_Toc29415"/>
      <w:bookmarkStart w:id="58" w:name="_Toc10943"/>
      <w:bookmarkStart w:id="59" w:name="_Toc30844"/>
      <w:bookmarkStart w:id="60" w:name="_Toc111997217"/>
      <w:bookmarkStart w:id="61" w:name="_Toc13150042"/>
      <w:bookmarkStart w:id="62" w:name="_Toc6127"/>
      <w:bookmarkStart w:id="63" w:name="_Toc10741"/>
      <w:bookmarkStart w:id="64" w:name="_Toc17327"/>
      <w:bookmarkStart w:id="65" w:name="_Toc21690"/>
      <w:bookmarkStart w:id="66" w:name="_Toc9366"/>
      <w:bookmarkStart w:id="67" w:name="_Toc24344"/>
      <w:bookmarkStart w:id="68" w:name="_Toc25383"/>
      <w:r>
        <w:rPr>
          <w:rFonts w:hint="eastAsia" w:ascii="宋体" w:hAnsi="宋体" w:eastAsia="宋体" w:cs="宋体"/>
          <w:b/>
          <w:bCs/>
          <w:color w:val="000000"/>
          <w:sz w:val="21"/>
          <w:szCs w:val="21"/>
          <w:highlight w:val="none"/>
          <w:lang w:val="en-US" w:eastAsia="zh-CN"/>
        </w:rPr>
        <w:t>1.3</w:t>
      </w:r>
      <w:r>
        <w:rPr>
          <w:rFonts w:hint="eastAsia" w:ascii="宋体" w:hAnsi="宋体" w:eastAsia="宋体" w:cs="宋体"/>
          <w:b/>
          <w:bCs/>
          <w:color w:val="000000"/>
          <w:sz w:val="21"/>
          <w:szCs w:val="21"/>
          <w:highlight w:val="none"/>
        </w:rPr>
        <w:t>磋商费用</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27B2FFB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供应商准备和参加磋商活动发生的费用自理。</w:t>
      </w:r>
    </w:p>
    <w:p w14:paraId="5D765F8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69" w:name="_Toc20429"/>
      <w:bookmarkStart w:id="70" w:name="_Toc31440"/>
      <w:bookmarkStart w:id="71" w:name="_Toc28577"/>
      <w:bookmarkStart w:id="72" w:name="_Toc30990"/>
      <w:bookmarkStart w:id="73" w:name="_Toc16426"/>
      <w:bookmarkStart w:id="74" w:name="_Toc32164"/>
      <w:bookmarkStart w:id="75" w:name="_Toc6898"/>
      <w:bookmarkStart w:id="76" w:name="_Toc1130"/>
      <w:bookmarkStart w:id="77" w:name="_Toc13150043"/>
      <w:bookmarkStart w:id="78" w:name="_Toc23865"/>
      <w:bookmarkStart w:id="79" w:name="_Toc27047"/>
      <w:bookmarkStart w:id="80" w:name="_Toc111997218"/>
      <w:bookmarkStart w:id="81" w:name="_Toc27895"/>
      <w:bookmarkStart w:id="82" w:name="_Toc17852"/>
      <w:bookmarkStart w:id="83" w:name="_Toc1248"/>
      <w:bookmarkStart w:id="84" w:name="_Toc13179"/>
      <w:r>
        <w:rPr>
          <w:rFonts w:hint="eastAsia" w:ascii="宋体" w:hAnsi="宋体" w:eastAsia="宋体" w:cs="宋体"/>
          <w:color w:val="000000"/>
          <w:sz w:val="21"/>
          <w:szCs w:val="21"/>
          <w:highlight w:val="none"/>
          <w:lang w:val="en-US" w:eastAsia="zh-CN"/>
        </w:rPr>
        <w:t>1.4</w:t>
      </w:r>
      <w:r>
        <w:rPr>
          <w:rFonts w:hint="eastAsia" w:ascii="宋体" w:hAnsi="宋体" w:eastAsia="宋体" w:cs="宋体"/>
          <w:color w:val="000000"/>
          <w:sz w:val="21"/>
          <w:szCs w:val="21"/>
          <w:highlight w:val="none"/>
        </w:rPr>
        <w:t>现场考察或答疑会</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00030EA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1.4.1</w:t>
      </w:r>
      <w:r>
        <w:rPr>
          <w:rFonts w:hint="eastAsia" w:ascii="宋体" w:hAnsi="宋体" w:eastAsia="宋体" w:cs="宋体"/>
          <w:color w:val="000000"/>
          <w:sz w:val="21"/>
          <w:szCs w:val="21"/>
          <w:highlight w:val="none"/>
        </w:rPr>
        <w:t>现场考察：见供应商须知前附表。</w:t>
      </w:r>
    </w:p>
    <w:p w14:paraId="1F103D6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1.4.2</w:t>
      </w:r>
      <w:r>
        <w:rPr>
          <w:rFonts w:hint="eastAsia" w:ascii="宋体" w:hAnsi="宋体" w:eastAsia="宋体" w:cs="宋体"/>
          <w:color w:val="000000"/>
          <w:sz w:val="21"/>
          <w:szCs w:val="21"/>
          <w:highlight w:val="none"/>
        </w:rPr>
        <w:t>答疑会：见供应商须知前附表。</w:t>
      </w:r>
    </w:p>
    <w:p w14:paraId="2058065F">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85" w:name="_Toc8265"/>
      <w:bookmarkStart w:id="86" w:name="_Toc3470"/>
      <w:bookmarkStart w:id="87" w:name="_Toc7448"/>
      <w:bookmarkStart w:id="88" w:name="_Toc10737"/>
      <w:bookmarkStart w:id="89" w:name="_Toc20467"/>
      <w:bookmarkStart w:id="90" w:name="_Toc13150044"/>
      <w:bookmarkStart w:id="91" w:name="_Toc9223"/>
      <w:bookmarkStart w:id="92" w:name="_Toc19551"/>
      <w:bookmarkStart w:id="93" w:name="_Toc27635"/>
      <w:bookmarkStart w:id="94" w:name="_Toc9561"/>
      <w:bookmarkStart w:id="95" w:name="_Toc1374"/>
      <w:bookmarkStart w:id="96" w:name="_Toc2320"/>
      <w:bookmarkStart w:id="97" w:name="_Toc111997219"/>
      <w:bookmarkStart w:id="98" w:name="_Toc21313"/>
      <w:bookmarkStart w:id="99" w:name="_Toc22071"/>
      <w:bookmarkStart w:id="100" w:name="_Toc26711"/>
      <w:r>
        <w:rPr>
          <w:rFonts w:hint="eastAsia" w:ascii="宋体" w:hAnsi="宋体" w:eastAsia="宋体" w:cs="宋体"/>
          <w:b/>
          <w:bCs/>
          <w:color w:val="000000"/>
          <w:sz w:val="21"/>
          <w:szCs w:val="21"/>
          <w:highlight w:val="none"/>
          <w:lang w:val="en-US" w:eastAsia="zh-CN"/>
        </w:rPr>
        <w:t>1.5</w:t>
      </w:r>
      <w:r>
        <w:rPr>
          <w:rFonts w:hint="eastAsia" w:ascii="宋体" w:hAnsi="宋体" w:eastAsia="宋体" w:cs="宋体"/>
          <w:b/>
          <w:bCs/>
          <w:color w:val="000000"/>
          <w:sz w:val="21"/>
          <w:szCs w:val="21"/>
          <w:highlight w:val="none"/>
        </w:rPr>
        <w:t>分包</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2BEFDBA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1.5.1分包：不允许</w:t>
      </w:r>
    </w:p>
    <w:p w14:paraId="72042122">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101" w:name="_Toc2167"/>
      <w:bookmarkStart w:id="102" w:name="_Toc111997220"/>
      <w:bookmarkStart w:id="103" w:name="_Toc6725"/>
      <w:bookmarkStart w:id="104" w:name="_Toc12631"/>
      <w:bookmarkStart w:id="105" w:name="_Toc9963"/>
      <w:bookmarkStart w:id="106" w:name="_Toc5121"/>
      <w:bookmarkStart w:id="107" w:name="_Toc13150045"/>
      <w:bookmarkStart w:id="108" w:name="_Toc28651"/>
      <w:bookmarkStart w:id="109" w:name="_Toc11954"/>
      <w:bookmarkStart w:id="110" w:name="_Toc31207"/>
      <w:bookmarkStart w:id="111" w:name="_Toc26863"/>
      <w:bookmarkStart w:id="112" w:name="_Toc20874"/>
      <w:bookmarkStart w:id="113" w:name="_Toc26753"/>
      <w:bookmarkStart w:id="114" w:name="_Toc16222"/>
      <w:bookmarkStart w:id="115" w:name="_Toc17091"/>
      <w:bookmarkStart w:id="116" w:name="_Toc15187"/>
      <w:bookmarkStart w:id="117" w:name="_Toc8669"/>
      <w:bookmarkStart w:id="118" w:name="_Toc29383"/>
      <w:r>
        <w:rPr>
          <w:rFonts w:hint="eastAsia" w:ascii="宋体" w:hAnsi="宋体" w:eastAsia="宋体" w:cs="宋体"/>
          <w:b/>
          <w:bCs/>
          <w:color w:val="000000"/>
          <w:sz w:val="21"/>
          <w:szCs w:val="21"/>
          <w:highlight w:val="none"/>
          <w:lang w:val="en-US" w:eastAsia="zh-CN"/>
        </w:rPr>
        <w:t>1.6</w:t>
      </w:r>
      <w:r>
        <w:rPr>
          <w:rFonts w:hint="eastAsia" w:ascii="宋体" w:hAnsi="宋体" w:eastAsia="宋体" w:cs="宋体"/>
          <w:b/>
          <w:bCs/>
          <w:color w:val="000000"/>
          <w:sz w:val="21"/>
          <w:szCs w:val="21"/>
          <w:highlight w:val="none"/>
        </w:rPr>
        <w:t>响应和偏差</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14:paraId="7FCFF58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1.6.1</w:t>
      </w:r>
      <w:r>
        <w:rPr>
          <w:rFonts w:hint="eastAsia" w:ascii="宋体" w:hAnsi="宋体" w:eastAsia="宋体" w:cs="宋体"/>
          <w:color w:val="000000"/>
          <w:sz w:val="21"/>
          <w:szCs w:val="21"/>
          <w:highlight w:val="none"/>
        </w:rPr>
        <w:t>响应文件应当对竞争性磋商文件的实质性要求和条件作出满足性或更有利于采购人的响应，否则，</w:t>
      </w:r>
      <w:r>
        <w:rPr>
          <w:rFonts w:hint="eastAsia" w:ascii="宋体" w:hAnsi="宋体" w:eastAsia="宋体" w:cs="宋体"/>
          <w:color w:val="000000"/>
          <w:sz w:val="21"/>
          <w:szCs w:val="21"/>
          <w:highlight w:val="none"/>
          <w:lang w:eastAsia="zh-CN"/>
        </w:rPr>
        <w:t>其响应</w:t>
      </w:r>
      <w:r>
        <w:rPr>
          <w:rFonts w:hint="eastAsia" w:ascii="宋体" w:hAnsi="宋体" w:eastAsia="宋体" w:cs="宋体"/>
          <w:color w:val="000000"/>
          <w:sz w:val="21"/>
          <w:szCs w:val="21"/>
          <w:highlight w:val="none"/>
        </w:rPr>
        <w:t>将被否决。</w:t>
      </w:r>
    </w:p>
    <w:p w14:paraId="64682B2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1.6.2</w:t>
      </w:r>
      <w:r>
        <w:rPr>
          <w:rFonts w:hint="eastAsia" w:ascii="宋体" w:hAnsi="宋体" w:eastAsia="宋体" w:cs="宋体"/>
          <w:color w:val="000000"/>
          <w:sz w:val="21"/>
          <w:szCs w:val="21"/>
          <w:highlight w:val="none"/>
        </w:rPr>
        <w:t>供应商应根据竞争性磋商文件的要求提供服务方案等内容以对竞争性磋商文件作出响应。</w:t>
      </w:r>
    </w:p>
    <w:p w14:paraId="1E26602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1.6.3</w:t>
      </w:r>
      <w:r>
        <w:rPr>
          <w:rFonts w:hint="eastAsia" w:ascii="宋体" w:hAnsi="宋体" w:eastAsia="宋体" w:cs="宋体"/>
          <w:color w:val="000000"/>
          <w:sz w:val="21"/>
          <w:szCs w:val="21"/>
          <w:highlight w:val="none"/>
        </w:rPr>
        <w:t>允许响应文件偏离竞争性磋商文件某些要求的，偏差应当符合竞争性磋商文件规定的偏差范围和幅度。</w:t>
      </w:r>
    </w:p>
    <w:p w14:paraId="3F2BB774">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119" w:name="_Toc27360"/>
      <w:bookmarkStart w:id="120" w:name="_Toc15630"/>
      <w:bookmarkStart w:id="121" w:name="_Toc14740"/>
      <w:bookmarkStart w:id="122" w:name="_Toc14571"/>
      <w:bookmarkStart w:id="123" w:name="_Toc9588"/>
      <w:bookmarkStart w:id="124" w:name="_Toc111997221"/>
      <w:bookmarkStart w:id="125" w:name="_Toc28955"/>
      <w:bookmarkStart w:id="126" w:name="_Toc13150046"/>
      <w:bookmarkStart w:id="127" w:name="_Toc12963"/>
      <w:bookmarkStart w:id="128" w:name="_Toc9147"/>
      <w:bookmarkStart w:id="129" w:name="_Toc394"/>
      <w:bookmarkStart w:id="130" w:name="_Toc29202"/>
      <w:bookmarkStart w:id="131" w:name="_Toc16595"/>
      <w:bookmarkStart w:id="132" w:name="_Toc10942"/>
      <w:bookmarkStart w:id="133" w:name="_Toc18321"/>
      <w:bookmarkStart w:id="134" w:name="_Toc15540"/>
      <w:r>
        <w:rPr>
          <w:rFonts w:hint="eastAsia" w:ascii="宋体" w:hAnsi="宋体" w:eastAsia="宋体" w:cs="宋体"/>
          <w:b/>
          <w:bCs/>
          <w:color w:val="000000"/>
          <w:sz w:val="21"/>
          <w:szCs w:val="21"/>
          <w:highlight w:val="none"/>
          <w:lang w:val="en-US" w:eastAsia="zh-CN"/>
        </w:rPr>
        <w:t>1.7</w:t>
      </w:r>
      <w:r>
        <w:rPr>
          <w:rFonts w:hint="eastAsia" w:ascii="宋体" w:hAnsi="宋体" w:eastAsia="宋体" w:cs="宋体"/>
          <w:b/>
          <w:bCs/>
          <w:color w:val="000000"/>
          <w:sz w:val="21"/>
          <w:szCs w:val="21"/>
          <w:highlight w:val="none"/>
        </w:rPr>
        <w:t>磋商语言</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14:paraId="14BA997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响应性文件使用的语言文字为中文。专用术语使用外文的，应附有中文注释。</w:t>
      </w:r>
    </w:p>
    <w:p w14:paraId="71140C3A">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135" w:name="_Toc14186"/>
      <w:bookmarkStart w:id="136" w:name="_Toc13150047"/>
      <w:bookmarkStart w:id="137" w:name="_Toc30395"/>
      <w:bookmarkStart w:id="138" w:name="_Toc11853"/>
      <w:bookmarkStart w:id="139" w:name="_Toc19599"/>
      <w:bookmarkStart w:id="140" w:name="_Toc30202"/>
      <w:bookmarkStart w:id="141" w:name="_Toc14812"/>
      <w:bookmarkStart w:id="142" w:name="_Toc20418"/>
      <w:bookmarkStart w:id="143" w:name="_Toc7027"/>
      <w:bookmarkStart w:id="144" w:name="_Toc111997222"/>
      <w:bookmarkStart w:id="145" w:name="_Toc1695"/>
      <w:bookmarkStart w:id="146" w:name="_Toc22605"/>
      <w:bookmarkStart w:id="147" w:name="_Toc21374"/>
      <w:bookmarkStart w:id="148" w:name="_Toc26140"/>
      <w:bookmarkStart w:id="149" w:name="_Toc19104"/>
      <w:bookmarkStart w:id="150" w:name="_Toc15679"/>
      <w:r>
        <w:rPr>
          <w:rFonts w:hint="eastAsia" w:ascii="宋体" w:hAnsi="宋体" w:eastAsia="宋体" w:cs="宋体"/>
          <w:b/>
          <w:bCs/>
          <w:color w:val="000000"/>
          <w:sz w:val="21"/>
          <w:szCs w:val="21"/>
          <w:highlight w:val="none"/>
          <w:lang w:val="en-US" w:eastAsia="zh-CN"/>
        </w:rPr>
        <w:t>1.8</w:t>
      </w:r>
      <w:r>
        <w:rPr>
          <w:rFonts w:hint="eastAsia" w:ascii="宋体" w:hAnsi="宋体" w:eastAsia="宋体" w:cs="宋体"/>
          <w:b/>
          <w:bCs/>
          <w:color w:val="000000"/>
          <w:sz w:val="21"/>
          <w:szCs w:val="21"/>
          <w:highlight w:val="none"/>
        </w:rPr>
        <w:t>响应文件计量单位</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1812EA4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除在竞争性磋商文件的技术文件中另有规定外，计量单位均使用中华人民共和国法定计量</w:t>
      </w:r>
    </w:p>
    <w:p w14:paraId="2F5DBEFD">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标准单位。</w:t>
      </w:r>
    </w:p>
    <w:p w14:paraId="4AFFB1A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151" w:name="_Toc16349"/>
      <w:bookmarkStart w:id="152" w:name="_Toc13150048"/>
      <w:bookmarkStart w:id="153" w:name="_Toc111997223"/>
      <w:bookmarkStart w:id="154" w:name="_Toc15754"/>
      <w:bookmarkStart w:id="155" w:name="_Toc23957"/>
      <w:bookmarkStart w:id="156" w:name="_Toc16602"/>
      <w:bookmarkStart w:id="157" w:name="_Toc23880"/>
      <w:bookmarkStart w:id="158" w:name="_Toc4326"/>
      <w:bookmarkStart w:id="159" w:name="_Toc20117"/>
      <w:bookmarkStart w:id="160" w:name="_Toc10538"/>
      <w:bookmarkStart w:id="161" w:name="_Toc22110"/>
      <w:bookmarkStart w:id="162" w:name="_Toc12071"/>
      <w:bookmarkStart w:id="163" w:name="_Toc19923"/>
      <w:bookmarkStart w:id="164" w:name="_Toc4322"/>
      <w:bookmarkStart w:id="165" w:name="_Toc31590"/>
      <w:bookmarkStart w:id="166" w:name="_Toc20160"/>
      <w:r>
        <w:rPr>
          <w:rFonts w:hint="eastAsia" w:ascii="宋体" w:hAnsi="宋体" w:eastAsia="宋体" w:cs="宋体"/>
          <w:color w:val="000000"/>
          <w:sz w:val="21"/>
          <w:szCs w:val="21"/>
          <w:highlight w:val="none"/>
          <w:lang w:val="en-US" w:eastAsia="zh-CN"/>
        </w:rPr>
        <w:t>1.9</w:t>
      </w:r>
      <w:r>
        <w:rPr>
          <w:rFonts w:hint="eastAsia" w:ascii="宋体" w:hAnsi="宋体" w:eastAsia="宋体" w:cs="宋体"/>
          <w:color w:val="000000"/>
          <w:sz w:val="21"/>
          <w:szCs w:val="21"/>
          <w:highlight w:val="none"/>
        </w:rPr>
        <w:t>磋商货币</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02DECF9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除非另有规定，供应商提供的所有服务用人民币报价。</w:t>
      </w:r>
    </w:p>
    <w:p w14:paraId="75896070">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167" w:name="_Toc4030"/>
      <w:bookmarkStart w:id="168" w:name="_Toc26021"/>
      <w:bookmarkStart w:id="169" w:name="_Toc30804"/>
      <w:bookmarkStart w:id="170" w:name="_Toc141"/>
      <w:bookmarkStart w:id="171" w:name="_Toc31058"/>
      <w:bookmarkStart w:id="172" w:name="_Toc12030"/>
      <w:bookmarkStart w:id="173" w:name="_Toc28184"/>
      <w:bookmarkStart w:id="174" w:name="_Toc111997224"/>
      <w:bookmarkStart w:id="175" w:name="_Toc19335"/>
      <w:bookmarkStart w:id="176" w:name="_Toc10284"/>
      <w:bookmarkStart w:id="177" w:name="_Toc24561"/>
      <w:bookmarkStart w:id="178" w:name="_Toc16853"/>
      <w:bookmarkStart w:id="179" w:name="_Toc4873"/>
      <w:bookmarkStart w:id="180" w:name="_Toc7123"/>
      <w:bookmarkStart w:id="181" w:name="_Toc13150049"/>
      <w:bookmarkStart w:id="182" w:name="_Toc22325"/>
      <w:bookmarkStart w:id="183" w:name="_Toc20536"/>
      <w:bookmarkStart w:id="184" w:name="_Toc12048"/>
      <w:r>
        <w:rPr>
          <w:rFonts w:hint="eastAsia" w:ascii="宋体" w:hAnsi="宋体" w:eastAsia="宋体" w:cs="宋体"/>
          <w:color w:val="000000"/>
          <w:sz w:val="21"/>
          <w:szCs w:val="21"/>
          <w:highlight w:val="none"/>
          <w:lang w:val="en-US" w:eastAsia="zh-CN"/>
        </w:rPr>
        <w:t>1.10</w:t>
      </w:r>
      <w:r>
        <w:rPr>
          <w:rFonts w:hint="eastAsia" w:ascii="宋体" w:hAnsi="宋体" w:eastAsia="宋体" w:cs="宋体"/>
          <w:color w:val="000000"/>
          <w:sz w:val="21"/>
          <w:szCs w:val="21"/>
          <w:highlight w:val="none"/>
        </w:rPr>
        <w:t>保密</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4A60423E">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参与</w:t>
      </w:r>
      <w:r>
        <w:rPr>
          <w:rFonts w:hint="eastAsia" w:ascii="宋体" w:hAnsi="宋体" w:eastAsia="宋体" w:cs="宋体"/>
          <w:color w:val="000000"/>
          <w:sz w:val="21"/>
          <w:szCs w:val="21"/>
          <w:highlight w:val="none"/>
          <w:lang w:eastAsia="zh-CN"/>
        </w:rPr>
        <w:t>采购</w:t>
      </w:r>
      <w:r>
        <w:rPr>
          <w:rFonts w:hint="eastAsia" w:ascii="宋体" w:hAnsi="宋体" w:eastAsia="宋体" w:cs="宋体"/>
          <w:color w:val="000000"/>
          <w:sz w:val="21"/>
          <w:szCs w:val="21"/>
          <w:highlight w:val="none"/>
        </w:rPr>
        <w:t>活动的各方应对竞争性磋商文件和响应文件中的商业和技术等秘密保密，否则应承担相应的法律责任。</w:t>
      </w:r>
    </w:p>
    <w:p w14:paraId="1848FE0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185" w:name="_Toc111997225"/>
      <w:r>
        <w:rPr>
          <w:rFonts w:hint="eastAsia" w:ascii="宋体" w:hAnsi="宋体" w:eastAsia="宋体" w:cs="宋体"/>
          <w:color w:val="000000"/>
          <w:sz w:val="21"/>
          <w:szCs w:val="21"/>
          <w:highlight w:val="none"/>
        </w:rPr>
        <w:t>1.11是否允许递交备选</w:t>
      </w:r>
      <w:r>
        <w:rPr>
          <w:rFonts w:hint="eastAsia" w:ascii="宋体" w:hAnsi="宋体" w:eastAsia="宋体" w:cs="宋体"/>
          <w:color w:val="000000"/>
          <w:sz w:val="21"/>
          <w:szCs w:val="21"/>
          <w:highlight w:val="none"/>
          <w:lang w:eastAsia="zh-CN"/>
        </w:rPr>
        <w:t>磋商</w:t>
      </w:r>
      <w:r>
        <w:rPr>
          <w:rFonts w:hint="eastAsia" w:ascii="宋体" w:hAnsi="宋体" w:eastAsia="宋体" w:cs="宋体"/>
          <w:color w:val="000000"/>
          <w:sz w:val="21"/>
          <w:szCs w:val="21"/>
          <w:highlight w:val="none"/>
        </w:rPr>
        <w:t>方案：见供应商须知前附表。</w:t>
      </w:r>
      <w:bookmarkEnd w:id="185"/>
    </w:p>
    <w:p w14:paraId="6DE9CCE9">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rPr>
      </w:pPr>
      <w:bookmarkStart w:id="186" w:name="_Toc22953398"/>
      <w:bookmarkEnd w:id="186"/>
      <w:bookmarkStart w:id="187" w:name="_Toc10998"/>
      <w:bookmarkStart w:id="188" w:name="_Toc3815"/>
      <w:bookmarkStart w:id="189" w:name="_Toc28711"/>
      <w:bookmarkStart w:id="190" w:name="_Toc22741"/>
      <w:bookmarkStart w:id="191" w:name="_Toc8988"/>
      <w:bookmarkStart w:id="192" w:name="_Toc111997498"/>
      <w:bookmarkStart w:id="193" w:name="_Toc14245"/>
      <w:bookmarkStart w:id="194" w:name="_Toc9573"/>
      <w:bookmarkStart w:id="195" w:name="_Toc114667871"/>
      <w:bookmarkStart w:id="196" w:name="_Toc111997226"/>
      <w:bookmarkStart w:id="197" w:name="_Toc7859"/>
      <w:bookmarkStart w:id="198" w:name="_Toc19127"/>
      <w:bookmarkStart w:id="199" w:name="_Toc9688"/>
      <w:bookmarkStart w:id="200" w:name="_Toc27532"/>
      <w:bookmarkStart w:id="201" w:name="_Toc11937"/>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竞争性磋商文件</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2201C97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202" w:name="_Toc12094"/>
      <w:bookmarkStart w:id="203" w:name="_Toc341"/>
      <w:bookmarkStart w:id="204" w:name="_Toc13150051"/>
      <w:bookmarkStart w:id="205" w:name="_Toc13820"/>
      <w:bookmarkStart w:id="206" w:name="_Toc111997227"/>
      <w:bookmarkStart w:id="207" w:name="_Toc17016"/>
      <w:bookmarkStart w:id="208" w:name="_Toc22611"/>
      <w:bookmarkStart w:id="209" w:name="_Toc20374"/>
      <w:bookmarkStart w:id="210" w:name="_Toc20718"/>
      <w:bookmarkStart w:id="211" w:name="_Toc27662"/>
      <w:bookmarkStart w:id="212" w:name="_Toc16888"/>
      <w:bookmarkStart w:id="213" w:name="_Toc8809"/>
      <w:bookmarkStart w:id="214" w:name="_Toc19082"/>
      <w:bookmarkStart w:id="215" w:name="_Toc22684"/>
      <w:bookmarkStart w:id="216" w:name="_Toc16865"/>
      <w:bookmarkStart w:id="217" w:name="_Toc23916"/>
      <w:r>
        <w:rPr>
          <w:rFonts w:hint="eastAsia" w:ascii="宋体" w:hAnsi="宋体" w:eastAsia="宋体" w:cs="宋体"/>
          <w:color w:val="000000"/>
          <w:sz w:val="21"/>
          <w:szCs w:val="21"/>
          <w:highlight w:val="none"/>
          <w:lang w:val="en-US" w:eastAsia="zh-CN"/>
        </w:rPr>
        <w:t>2.1</w:t>
      </w:r>
      <w:r>
        <w:rPr>
          <w:rFonts w:hint="eastAsia" w:ascii="宋体" w:hAnsi="宋体" w:eastAsia="宋体" w:cs="宋体"/>
          <w:color w:val="000000"/>
          <w:sz w:val="21"/>
          <w:szCs w:val="21"/>
          <w:highlight w:val="none"/>
        </w:rPr>
        <w:t>竞争性磋商文件的构成</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7C4FBF6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2.1.1</w:t>
      </w:r>
      <w:r>
        <w:rPr>
          <w:rFonts w:hint="eastAsia" w:ascii="宋体" w:hAnsi="宋体" w:eastAsia="宋体" w:cs="宋体"/>
          <w:color w:val="000000"/>
          <w:sz w:val="21"/>
          <w:szCs w:val="21"/>
          <w:highlight w:val="none"/>
        </w:rPr>
        <w:t>竞争性磋商文件用以阐明本次磋商的服务要求、磋商程序和合同条件。</w:t>
      </w:r>
    </w:p>
    <w:p w14:paraId="0C86553E">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竞争性磋商文件由下述部分组成： </w:t>
      </w:r>
    </w:p>
    <w:p w14:paraId="0B77482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218" w:name="_Toc7860"/>
      <w:bookmarkStart w:id="219" w:name="_Toc29432"/>
      <w:bookmarkStart w:id="220" w:name="_Toc10510"/>
      <w:bookmarkStart w:id="221" w:name="_Toc13997"/>
      <w:bookmarkStart w:id="222" w:name="_Toc30758"/>
      <w:bookmarkStart w:id="223" w:name="_Toc9503"/>
      <w:bookmarkStart w:id="224" w:name="_Toc18000"/>
      <w:bookmarkStart w:id="225" w:name="_Toc31666"/>
      <w:bookmarkStart w:id="226" w:name="_Toc74"/>
      <w:bookmarkStart w:id="227" w:name="_Toc31045"/>
      <w:bookmarkStart w:id="228" w:name="_Toc13150052"/>
      <w:bookmarkStart w:id="229" w:name="_Toc9788"/>
      <w:bookmarkStart w:id="230" w:name="_Toc8440"/>
      <w:bookmarkStart w:id="231" w:name="_Toc29748"/>
      <w:bookmarkStart w:id="232" w:name="_Toc14335"/>
      <w:r>
        <w:rPr>
          <w:rFonts w:hint="eastAsia" w:ascii="宋体" w:hAnsi="宋体" w:eastAsia="宋体" w:cs="宋体"/>
          <w:color w:val="000000"/>
          <w:sz w:val="21"/>
          <w:szCs w:val="21"/>
          <w:highlight w:val="none"/>
        </w:rPr>
        <w:t>第一章 竞争性磋商公告</w:t>
      </w:r>
      <w:r>
        <w:rPr>
          <w:rFonts w:hint="eastAsia" w:ascii="宋体" w:hAnsi="宋体" w:eastAsia="宋体" w:cs="宋体"/>
          <w:color w:val="000000"/>
          <w:sz w:val="21"/>
          <w:szCs w:val="21"/>
          <w:highlight w:val="none"/>
        </w:rPr>
        <w:tab/>
      </w:r>
    </w:p>
    <w:p w14:paraId="6BCED421">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第二章 供应商须知及前附表</w:t>
      </w:r>
    </w:p>
    <w:p w14:paraId="324B49A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第三章 采购内容及服务要求</w:t>
      </w:r>
      <w:r>
        <w:rPr>
          <w:rFonts w:hint="eastAsia" w:ascii="宋体" w:hAnsi="宋体" w:eastAsia="宋体" w:cs="宋体"/>
          <w:color w:val="000000"/>
          <w:sz w:val="21"/>
          <w:szCs w:val="21"/>
          <w:highlight w:val="none"/>
        </w:rPr>
        <w:tab/>
      </w:r>
    </w:p>
    <w:p w14:paraId="68B3EFB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第四章 评审办法（综合评分法）</w:t>
      </w:r>
      <w:r>
        <w:rPr>
          <w:rFonts w:hint="eastAsia" w:ascii="宋体" w:hAnsi="宋体" w:eastAsia="宋体" w:cs="宋体"/>
          <w:color w:val="000000"/>
          <w:sz w:val="21"/>
          <w:szCs w:val="21"/>
          <w:highlight w:val="none"/>
        </w:rPr>
        <w:tab/>
      </w:r>
    </w:p>
    <w:p w14:paraId="08408D2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第五章 合同主要条款及格式</w:t>
      </w:r>
      <w:r>
        <w:rPr>
          <w:rFonts w:hint="eastAsia" w:ascii="宋体" w:hAnsi="宋体" w:eastAsia="宋体" w:cs="宋体"/>
          <w:color w:val="000000"/>
          <w:sz w:val="21"/>
          <w:szCs w:val="21"/>
          <w:highlight w:val="none"/>
        </w:rPr>
        <w:tab/>
      </w:r>
    </w:p>
    <w:p w14:paraId="1A29332B">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第六章  响应文件格式</w:t>
      </w:r>
      <w:r>
        <w:rPr>
          <w:rFonts w:hint="eastAsia" w:ascii="宋体" w:hAnsi="宋体" w:eastAsia="宋体" w:cs="宋体"/>
          <w:color w:val="000000"/>
          <w:sz w:val="21"/>
          <w:szCs w:val="21"/>
          <w:highlight w:val="none"/>
        </w:rPr>
        <w:tab/>
      </w:r>
    </w:p>
    <w:p w14:paraId="280FE340">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2.1.2根据本章第2.2款和第2.3款对竞争性磋商文件所作的澄清、修改，构成竞争性磋</w:t>
      </w:r>
    </w:p>
    <w:p w14:paraId="035A35B1">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商文件的组成部分。</w:t>
      </w:r>
    </w:p>
    <w:p w14:paraId="6183B922">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233" w:name="_Toc111997228"/>
      <w:r>
        <w:rPr>
          <w:rFonts w:hint="eastAsia" w:ascii="宋体" w:hAnsi="宋体" w:eastAsia="宋体" w:cs="宋体"/>
          <w:b/>
          <w:bCs/>
          <w:color w:val="000000"/>
          <w:sz w:val="21"/>
          <w:szCs w:val="21"/>
          <w:highlight w:val="none"/>
          <w:lang w:val="en-US" w:eastAsia="zh-CN"/>
        </w:rPr>
        <w:t>2.2</w:t>
      </w:r>
      <w:r>
        <w:rPr>
          <w:rFonts w:hint="eastAsia" w:ascii="宋体" w:hAnsi="宋体" w:eastAsia="宋体" w:cs="宋体"/>
          <w:b/>
          <w:bCs/>
          <w:color w:val="000000"/>
          <w:sz w:val="21"/>
          <w:szCs w:val="21"/>
          <w:highlight w:val="none"/>
        </w:rPr>
        <w:t>竞争性磋商文件的澄清</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5EB40A1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2.2.1</w:t>
      </w:r>
      <w:r>
        <w:rPr>
          <w:rFonts w:hint="eastAsia" w:ascii="宋体" w:hAnsi="宋体" w:eastAsia="宋体" w:cs="宋体"/>
          <w:color w:val="000000"/>
          <w:sz w:val="21"/>
          <w:szCs w:val="21"/>
          <w:highlight w:val="none"/>
        </w:rPr>
        <w:t>供应商应仔细阅读和检查竞争性磋商文件的全部内容。如发现缺页或附件不全，应及时向采购代理代理机构提出，以便补齐。如有疑问，应按供应商须知前附表规定的时间和形式将提出的问题送达采购人，要求采购人对竞争性磋商文件予以澄清。</w:t>
      </w:r>
    </w:p>
    <w:p w14:paraId="1E6DF74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2.2.2</w:t>
      </w:r>
      <w:r>
        <w:rPr>
          <w:rFonts w:hint="eastAsia" w:ascii="宋体" w:hAnsi="宋体" w:eastAsia="宋体" w:cs="宋体"/>
          <w:color w:val="000000"/>
          <w:sz w:val="21"/>
          <w:szCs w:val="21"/>
          <w:highlight w:val="none"/>
        </w:rPr>
        <w:t>竞争性磋商文件的澄清以供应商须知前附表规定的形式在原公告媒体发布澄清公告，但不指明澄清问题的来源。澄清在提交响应文件截止时间至少5日前，以书面形式通知所有获取磋商文件的</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；不足5日的，</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采购代理机构</w:t>
      </w:r>
      <w:r>
        <w:rPr>
          <w:rFonts w:hint="eastAsia" w:ascii="宋体" w:hAnsi="宋体" w:eastAsia="宋体" w:cs="宋体"/>
          <w:color w:val="000000"/>
          <w:sz w:val="21"/>
          <w:szCs w:val="21"/>
          <w:highlight w:val="none"/>
        </w:rPr>
        <w:t>应当顺延提交响应文件截止时间。</w:t>
      </w:r>
    </w:p>
    <w:p w14:paraId="74A32EF7">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234" w:name="_Toc111997229"/>
      <w:bookmarkStart w:id="235" w:name="_Toc21811"/>
      <w:bookmarkStart w:id="236" w:name="_Toc32016"/>
      <w:bookmarkStart w:id="237" w:name="_Toc28275"/>
      <w:bookmarkStart w:id="238" w:name="_Toc17409"/>
      <w:bookmarkStart w:id="239" w:name="_Toc13150053"/>
      <w:bookmarkStart w:id="240" w:name="_Toc30638"/>
      <w:bookmarkStart w:id="241" w:name="_Toc23306"/>
      <w:bookmarkStart w:id="242" w:name="_Toc334"/>
      <w:bookmarkStart w:id="243" w:name="_Toc18772"/>
      <w:bookmarkStart w:id="244" w:name="_Toc5825"/>
      <w:bookmarkStart w:id="245" w:name="_Toc24"/>
      <w:bookmarkStart w:id="246" w:name="_Toc12256"/>
      <w:bookmarkStart w:id="247" w:name="_Toc15286"/>
      <w:bookmarkStart w:id="248" w:name="_Toc6493"/>
      <w:bookmarkStart w:id="249" w:name="_Toc16407"/>
      <w:r>
        <w:rPr>
          <w:rFonts w:hint="eastAsia" w:ascii="宋体" w:hAnsi="宋体" w:eastAsia="宋体" w:cs="宋体"/>
          <w:b/>
          <w:bCs/>
          <w:color w:val="000000"/>
          <w:sz w:val="21"/>
          <w:szCs w:val="21"/>
          <w:highlight w:val="none"/>
          <w:lang w:val="en-US" w:eastAsia="zh-CN"/>
        </w:rPr>
        <w:t>2.3</w:t>
      </w:r>
      <w:r>
        <w:rPr>
          <w:rFonts w:hint="eastAsia" w:ascii="宋体" w:hAnsi="宋体" w:eastAsia="宋体" w:cs="宋体"/>
          <w:b/>
          <w:bCs/>
          <w:color w:val="000000"/>
          <w:sz w:val="21"/>
          <w:szCs w:val="21"/>
          <w:highlight w:val="none"/>
        </w:rPr>
        <w:t>竞争性磋商文件的修改</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4F0062F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250" w:name="_Toc179632567"/>
      <w:bookmarkStart w:id="251" w:name="_Toc246996194"/>
      <w:bookmarkStart w:id="252" w:name="_Toc19907"/>
      <w:bookmarkStart w:id="253" w:name="_Toc144974517"/>
      <w:bookmarkStart w:id="254" w:name="_Toc296602439"/>
      <w:bookmarkStart w:id="255" w:name="_Toc247085708"/>
      <w:bookmarkStart w:id="256" w:name="_Toc152045549"/>
      <w:bookmarkStart w:id="257" w:name="_Toc152042325"/>
      <w:bookmarkStart w:id="258" w:name="_Toc246996937"/>
      <w:bookmarkStart w:id="259" w:name="_Toc25688"/>
      <w:bookmarkStart w:id="260" w:name="_Toc3866"/>
      <w:bookmarkStart w:id="261" w:name="_Toc10809"/>
      <w:bookmarkStart w:id="262" w:name="_Toc15120"/>
      <w:r>
        <w:rPr>
          <w:rFonts w:hint="eastAsia" w:ascii="宋体" w:hAnsi="宋体" w:eastAsia="宋体" w:cs="宋体"/>
          <w:color w:val="000000"/>
          <w:sz w:val="21"/>
          <w:szCs w:val="21"/>
          <w:highlight w:val="none"/>
        </w:rPr>
        <w:t>在提交响应文件截止时间至少5日前，</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可以以书面形式修改竞争性磋商文件，并通知所有已购买竞争性磋商文件的</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。不足5日的，</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采购代理机构</w:t>
      </w:r>
      <w:r>
        <w:rPr>
          <w:rFonts w:hint="eastAsia" w:ascii="宋体" w:hAnsi="宋体" w:eastAsia="宋体" w:cs="宋体"/>
          <w:color w:val="000000"/>
          <w:sz w:val="21"/>
          <w:szCs w:val="21"/>
          <w:highlight w:val="none"/>
        </w:rPr>
        <w:t>应当顺延响应文件</w:t>
      </w:r>
      <w:r>
        <w:rPr>
          <w:rFonts w:hint="eastAsia" w:ascii="宋体" w:hAnsi="宋体" w:eastAsia="宋体" w:cs="宋体"/>
          <w:color w:val="000000"/>
          <w:sz w:val="21"/>
          <w:szCs w:val="21"/>
          <w:highlight w:val="none"/>
          <w:lang w:eastAsia="zh-CN"/>
        </w:rPr>
        <w:t>递交的</w:t>
      </w:r>
      <w:r>
        <w:rPr>
          <w:rFonts w:hint="eastAsia" w:ascii="宋体" w:hAnsi="宋体" w:eastAsia="宋体" w:cs="宋体"/>
          <w:color w:val="000000"/>
          <w:sz w:val="21"/>
          <w:szCs w:val="21"/>
          <w:highlight w:val="none"/>
        </w:rPr>
        <w:t>截止时间。</w:t>
      </w:r>
    </w:p>
    <w:p w14:paraId="283D1704">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2.</w:t>
      </w:r>
      <w:r>
        <w:rPr>
          <w:rFonts w:hint="eastAsia" w:ascii="宋体" w:hAnsi="宋体" w:eastAsia="宋体" w:cs="宋体"/>
          <w:b/>
          <w:bCs/>
          <w:color w:val="000000"/>
          <w:sz w:val="21"/>
          <w:szCs w:val="21"/>
          <w:highlight w:val="none"/>
          <w:lang w:val="en-US" w:eastAsia="zh-CN"/>
        </w:rPr>
        <w:t>4</w:t>
      </w:r>
      <w:r>
        <w:rPr>
          <w:rFonts w:hint="eastAsia" w:ascii="宋体" w:hAnsi="宋体" w:eastAsia="宋体" w:cs="宋体"/>
          <w:b/>
          <w:bCs/>
          <w:color w:val="000000"/>
          <w:sz w:val="21"/>
          <w:szCs w:val="21"/>
          <w:highlight w:val="none"/>
        </w:rPr>
        <w:t xml:space="preserve"> 磋商有效期</w:t>
      </w:r>
      <w:bookmarkEnd w:id="250"/>
      <w:bookmarkEnd w:id="251"/>
      <w:bookmarkEnd w:id="252"/>
      <w:bookmarkEnd w:id="253"/>
      <w:bookmarkEnd w:id="254"/>
      <w:bookmarkEnd w:id="255"/>
      <w:bookmarkEnd w:id="256"/>
      <w:bookmarkEnd w:id="257"/>
      <w:bookmarkEnd w:id="258"/>
    </w:p>
    <w:p w14:paraId="2BB8CA1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 xml:space="preserve">.1 </w:t>
      </w:r>
      <w:r>
        <w:rPr>
          <w:rFonts w:hint="eastAsia" w:ascii="宋体" w:hAnsi="宋体" w:eastAsia="宋体" w:cs="宋体"/>
          <w:color w:val="000000"/>
          <w:sz w:val="21"/>
          <w:szCs w:val="21"/>
          <w:highlight w:val="none"/>
          <w:lang w:eastAsia="zh-CN"/>
        </w:rPr>
        <w:t>提</w:t>
      </w:r>
      <w:r>
        <w:rPr>
          <w:rFonts w:hint="eastAsia" w:ascii="宋体" w:hAnsi="宋体" w:eastAsia="宋体" w:cs="宋体"/>
          <w:color w:val="000000"/>
          <w:sz w:val="21"/>
          <w:szCs w:val="21"/>
          <w:highlight w:val="none"/>
        </w:rPr>
        <w:t>交</w:t>
      </w:r>
      <w:r>
        <w:rPr>
          <w:rFonts w:hint="eastAsia" w:ascii="宋体" w:hAnsi="宋体" w:eastAsia="宋体" w:cs="宋体"/>
          <w:color w:val="000000"/>
          <w:sz w:val="21"/>
          <w:szCs w:val="21"/>
          <w:highlight w:val="none"/>
          <w:lang w:eastAsia="zh-CN"/>
        </w:rPr>
        <w:t>首次</w:t>
      </w:r>
      <w:r>
        <w:rPr>
          <w:rFonts w:hint="eastAsia" w:ascii="宋体" w:hAnsi="宋体" w:eastAsia="宋体" w:cs="宋体"/>
          <w:color w:val="000000"/>
          <w:sz w:val="21"/>
          <w:szCs w:val="21"/>
          <w:highlight w:val="none"/>
        </w:rPr>
        <w:t>响应文件的截止之日起60日历天。</w:t>
      </w:r>
    </w:p>
    <w:p w14:paraId="074B208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.2在磋商有效期内，供应商撤销响应文件的，应承担磋商文件和法律规定的责任。</w:t>
      </w:r>
    </w:p>
    <w:p w14:paraId="60F9439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.3出现特殊情况需要延长</w:t>
      </w:r>
      <w:r>
        <w:rPr>
          <w:rFonts w:hint="eastAsia" w:ascii="宋体" w:hAnsi="宋体" w:eastAsia="宋体" w:cs="宋体"/>
          <w:color w:val="000000"/>
          <w:sz w:val="21"/>
          <w:szCs w:val="21"/>
          <w:highlight w:val="none"/>
          <w:lang w:eastAsia="zh-CN"/>
        </w:rPr>
        <w:t>磋商有效期</w:t>
      </w:r>
      <w:r>
        <w:rPr>
          <w:rFonts w:hint="eastAsia" w:ascii="宋体" w:hAnsi="宋体" w:eastAsia="宋体" w:cs="宋体"/>
          <w:color w:val="000000"/>
          <w:sz w:val="21"/>
          <w:szCs w:val="21"/>
          <w:highlight w:val="none"/>
        </w:rPr>
        <w:t>的，</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以书面形式通知所有</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延长</w:t>
      </w:r>
      <w:r>
        <w:rPr>
          <w:rFonts w:hint="eastAsia" w:ascii="宋体" w:hAnsi="宋体" w:eastAsia="宋体" w:cs="宋体"/>
          <w:color w:val="000000"/>
          <w:sz w:val="21"/>
          <w:szCs w:val="21"/>
          <w:highlight w:val="none"/>
          <w:lang w:eastAsia="zh-CN"/>
        </w:rPr>
        <w:t>磋商有效期</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同意延长的，不得要求或被允许修改或撤销其响应文件；</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拒绝延长的，其</w:t>
      </w:r>
      <w:r>
        <w:rPr>
          <w:rFonts w:hint="eastAsia" w:ascii="宋体" w:hAnsi="宋体" w:eastAsia="宋体" w:cs="宋体"/>
          <w:color w:val="000000"/>
          <w:sz w:val="21"/>
          <w:szCs w:val="21"/>
          <w:highlight w:val="none"/>
          <w:lang w:val="en-US" w:eastAsia="zh-CN"/>
        </w:rPr>
        <w:t>响应</w:t>
      </w:r>
      <w:r>
        <w:rPr>
          <w:rFonts w:hint="eastAsia" w:ascii="宋体" w:hAnsi="宋体" w:eastAsia="宋体" w:cs="宋体"/>
          <w:color w:val="000000"/>
          <w:sz w:val="21"/>
          <w:szCs w:val="21"/>
          <w:highlight w:val="none"/>
        </w:rPr>
        <w:t>失效。</w:t>
      </w:r>
    </w:p>
    <w:p w14:paraId="7DD0996C">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263" w:name="_Toc32291"/>
      <w:bookmarkStart w:id="264" w:name="_Toc13670"/>
      <w:bookmarkStart w:id="265" w:name="_Toc6157"/>
      <w:bookmarkStart w:id="266" w:name="_Toc9293"/>
      <w:bookmarkStart w:id="267" w:name="_Toc111997499"/>
      <w:bookmarkStart w:id="268" w:name="_Toc27628"/>
      <w:bookmarkStart w:id="269" w:name="_Toc111997230"/>
      <w:bookmarkStart w:id="270" w:name="_Toc18906"/>
      <w:bookmarkStart w:id="271" w:name="_Toc114667872"/>
      <w:bookmarkStart w:id="272" w:name="_Toc12138"/>
      <w:bookmarkStart w:id="273" w:name="_Toc21947"/>
      <w:r>
        <w:rPr>
          <w:rFonts w:hint="eastAsia" w:ascii="宋体" w:hAnsi="宋体" w:eastAsia="宋体" w:cs="宋体"/>
          <w:b/>
          <w:bCs/>
          <w:color w:val="000000"/>
          <w:sz w:val="21"/>
          <w:szCs w:val="21"/>
          <w:highlight w:val="none"/>
        </w:rPr>
        <w:t>3.响应文件</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278C989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274" w:name="_Toc29146"/>
      <w:bookmarkStart w:id="275" w:name="_Toc28702"/>
      <w:bookmarkStart w:id="276" w:name="_Toc3534"/>
      <w:bookmarkStart w:id="277" w:name="_Toc20318"/>
      <w:bookmarkStart w:id="278" w:name="_Toc11643"/>
      <w:bookmarkStart w:id="279" w:name="_Toc18886"/>
      <w:bookmarkStart w:id="280" w:name="_Toc21684"/>
      <w:bookmarkStart w:id="281" w:name="_Toc32308"/>
      <w:bookmarkStart w:id="282" w:name="_Toc13150055"/>
      <w:bookmarkStart w:id="283" w:name="_Toc26694"/>
      <w:bookmarkStart w:id="284" w:name="_Toc111997231"/>
      <w:bookmarkStart w:id="285" w:name="_Toc16815"/>
      <w:bookmarkStart w:id="286" w:name="_Toc11933"/>
      <w:bookmarkStart w:id="287" w:name="_Toc29160"/>
      <w:bookmarkStart w:id="288" w:name="_Toc10184"/>
      <w:bookmarkStart w:id="289" w:name="_Toc27918"/>
      <w:r>
        <w:rPr>
          <w:rFonts w:hint="eastAsia" w:ascii="宋体" w:hAnsi="宋体" w:eastAsia="宋体" w:cs="宋体"/>
          <w:color w:val="000000"/>
          <w:sz w:val="21"/>
          <w:szCs w:val="21"/>
          <w:highlight w:val="none"/>
        </w:rPr>
        <w:t>3.1响应文件的组成</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56C197B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一、响应函及响应函附录</w:t>
      </w:r>
      <w:r>
        <w:rPr>
          <w:rFonts w:hint="eastAsia" w:ascii="宋体" w:hAnsi="宋体" w:eastAsia="宋体" w:cs="宋体"/>
          <w:color w:val="000000"/>
          <w:sz w:val="21"/>
          <w:szCs w:val="21"/>
          <w:highlight w:val="none"/>
        </w:rPr>
        <w:tab/>
      </w:r>
    </w:p>
    <w:p w14:paraId="5C70E26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二、法定代表人身份证明</w:t>
      </w:r>
      <w:r>
        <w:rPr>
          <w:rFonts w:hint="eastAsia" w:ascii="宋体" w:hAnsi="宋体" w:eastAsia="宋体" w:cs="宋体"/>
          <w:color w:val="000000"/>
          <w:sz w:val="21"/>
          <w:szCs w:val="21"/>
          <w:highlight w:val="none"/>
        </w:rPr>
        <w:tab/>
      </w:r>
    </w:p>
    <w:p w14:paraId="03501B2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三、供应商资格审查资料</w:t>
      </w:r>
      <w:r>
        <w:rPr>
          <w:rFonts w:hint="eastAsia" w:ascii="宋体" w:hAnsi="宋体" w:eastAsia="宋体" w:cs="宋体"/>
          <w:color w:val="000000"/>
          <w:sz w:val="21"/>
          <w:szCs w:val="21"/>
          <w:highlight w:val="none"/>
        </w:rPr>
        <w:tab/>
      </w:r>
    </w:p>
    <w:p w14:paraId="4972AD8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四、技术部分</w:t>
      </w:r>
      <w:r>
        <w:rPr>
          <w:rFonts w:hint="eastAsia" w:ascii="宋体" w:hAnsi="宋体" w:eastAsia="宋体" w:cs="宋体"/>
          <w:color w:val="000000"/>
          <w:sz w:val="21"/>
          <w:szCs w:val="21"/>
          <w:highlight w:val="none"/>
        </w:rPr>
        <w:tab/>
      </w:r>
    </w:p>
    <w:p w14:paraId="289D484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五、企业业绩</w:t>
      </w:r>
      <w:r>
        <w:rPr>
          <w:rFonts w:hint="eastAsia" w:ascii="宋体" w:hAnsi="宋体" w:eastAsia="宋体" w:cs="宋体"/>
          <w:color w:val="000000"/>
          <w:sz w:val="21"/>
          <w:szCs w:val="21"/>
          <w:highlight w:val="none"/>
        </w:rPr>
        <w:tab/>
      </w:r>
    </w:p>
    <w:p w14:paraId="5EA1B3E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六、项目组成人员</w:t>
      </w:r>
      <w:r>
        <w:rPr>
          <w:rFonts w:hint="eastAsia" w:ascii="宋体" w:hAnsi="宋体" w:eastAsia="宋体" w:cs="宋体"/>
          <w:color w:val="000000"/>
          <w:sz w:val="21"/>
          <w:szCs w:val="21"/>
          <w:highlight w:val="none"/>
        </w:rPr>
        <w:tab/>
      </w:r>
    </w:p>
    <w:p w14:paraId="7236778B">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七、服务承诺</w:t>
      </w:r>
      <w:r>
        <w:rPr>
          <w:rFonts w:hint="eastAsia" w:ascii="宋体" w:hAnsi="宋体" w:eastAsia="宋体" w:cs="宋体"/>
          <w:color w:val="000000"/>
          <w:sz w:val="21"/>
          <w:szCs w:val="21"/>
          <w:highlight w:val="none"/>
        </w:rPr>
        <w:tab/>
      </w:r>
    </w:p>
    <w:p w14:paraId="163D2EA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val="zh-CN"/>
        </w:rPr>
      </w:pPr>
      <w:r>
        <w:rPr>
          <w:rFonts w:hint="eastAsia" w:ascii="宋体" w:hAnsi="宋体" w:eastAsia="宋体" w:cs="宋体"/>
          <w:color w:val="000000"/>
          <w:sz w:val="21"/>
          <w:szCs w:val="21"/>
          <w:highlight w:val="none"/>
        </w:rPr>
        <w:t>八、供应商认为需要提供的其他材料</w:t>
      </w:r>
      <w:r>
        <w:rPr>
          <w:rFonts w:hint="eastAsia" w:ascii="宋体" w:hAnsi="宋体" w:eastAsia="宋体" w:cs="宋体"/>
          <w:color w:val="000000"/>
          <w:sz w:val="21"/>
          <w:szCs w:val="21"/>
          <w:highlight w:val="none"/>
        </w:rPr>
        <w:tab/>
      </w:r>
    </w:p>
    <w:p w14:paraId="22CC680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3.1.2竞争性磋商文件中的每个分包，是项目</w:t>
      </w:r>
      <w:r>
        <w:rPr>
          <w:rFonts w:hint="eastAsia" w:ascii="宋体" w:hAnsi="宋体" w:eastAsia="宋体" w:cs="宋体"/>
          <w:color w:val="000000"/>
          <w:sz w:val="21"/>
          <w:szCs w:val="21"/>
          <w:highlight w:val="none"/>
          <w:lang w:eastAsia="zh-CN"/>
        </w:rPr>
        <w:t>采购</w:t>
      </w:r>
      <w:r>
        <w:rPr>
          <w:rFonts w:hint="eastAsia" w:ascii="宋体" w:hAnsi="宋体" w:eastAsia="宋体" w:cs="宋体"/>
          <w:color w:val="000000"/>
          <w:sz w:val="21"/>
          <w:szCs w:val="21"/>
          <w:highlight w:val="none"/>
        </w:rPr>
        <w:t>不可拆分的最小单元，供应商必须按此分包编制响应文件，提交相应的文件资料，拆包将视为漏项或非实质性响应予以认定为</w:t>
      </w:r>
      <w:r>
        <w:rPr>
          <w:rFonts w:hint="eastAsia" w:ascii="宋体" w:hAnsi="宋体" w:eastAsia="宋体" w:cs="宋体"/>
          <w:color w:val="000000"/>
          <w:sz w:val="21"/>
          <w:szCs w:val="21"/>
          <w:highlight w:val="none"/>
          <w:lang w:eastAsia="zh-CN"/>
        </w:rPr>
        <w:t>响应</w:t>
      </w:r>
      <w:r>
        <w:rPr>
          <w:rFonts w:hint="eastAsia" w:ascii="宋体" w:hAnsi="宋体" w:eastAsia="宋体" w:cs="宋体"/>
          <w:color w:val="000000"/>
          <w:sz w:val="21"/>
          <w:szCs w:val="21"/>
          <w:highlight w:val="none"/>
        </w:rPr>
        <w:t>无效。</w:t>
      </w:r>
    </w:p>
    <w:p w14:paraId="6DFE40DE">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rPr>
      </w:pPr>
      <w:bookmarkStart w:id="290" w:name="_Toc111997232"/>
      <w:bookmarkStart w:id="291" w:name="_Toc29677"/>
      <w:bookmarkStart w:id="292" w:name="_Toc15089"/>
      <w:bookmarkStart w:id="293" w:name="_Toc28730"/>
      <w:r>
        <w:rPr>
          <w:rFonts w:hint="eastAsia" w:ascii="宋体" w:hAnsi="宋体" w:eastAsia="宋体" w:cs="宋体"/>
          <w:color w:val="000000"/>
          <w:sz w:val="21"/>
          <w:szCs w:val="21"/>
          <w:highlight w:val="none"/>
        </w:rPr>
        <w:t>3.2</w:t>
      </w:r>
      <w:bookmarkEnd w:id="290"/>
      <w:bookmarkEnd w:id="291"/>
      <w:bookmarkEnd w:id="292"/>
      <w:bookmarkEnd w:id="293"/>
      <w:r>
        <w:rPr>
          <w:rFonts w:hint="eastAsia" w:ascii="宋体" w:hAnsi="宋体" w:eastAsia="宋体" w:cs="宋体"/>
          <w:color w:val="000000"/>
          <w:sz w:val="21"/>
          <w:szCs w:val="21"/>
          <w:highlight w:val="none"/>
          <w:lang w:eastAsia="zh-CN"/>
        </w:rPr>
        <w:t>采购</w:t>
      </w:r>
      <w:r>
        <w:rPr>
          <w:rFonts w:hint="eastAsia" w:ascii="宋体" w:hAnsi="宋体" w:eastAsia="宋体" w:cs="宋体"/>
          <w:color w:val="000000"/>
          <w:sz w:val="21"/>
          <w:szCs w:val="21"/>
          <w:highlight w:val="none"/>
        </w:rPr>
        <w:t>最高限价</w:t>
      </w:r>
    </w:p>
    <w:p w14:paraId="32A10359">
      <w:pPr>
        <w:widowControl/>
        <w:spacing w:line="460" w:lineRule="exact"/>
        <w:ind w:firstLine="420" w:firstLineChars="200"/>
        <w:jc w:val="left"/>
        <w:rPr>
          <w:rFonts w:hint="eastAsia" w:ascii="宋体" w:hAnsi="宋体" w:eastAsia="宋体" w:cs="宋体"/>
          <w:color w:val="000000"/>
          <w:sz w:val="21"/>
          <w:szCs w:val="21"/>
          <w:highlight w:val="none"/>
        </w:rPr>
      </w:pPr>
      <w:bookmarkStart w:id="294" w:name="_Toc21072"/>
      <w:bookmarkStart w:id="295" w:name="_Toc12326"/>
      <w:bookmarkStart w:id="296" w:name="_Toc26547"/>
      <w:bookmarkStart w:id="297" w:name="_Toc19227"/>
      <w:bookmarkStart w:id="298" w:name="_Toc19375"/>
      <w:bookmarkStart w:id="299" w:name="_Toc31617"/>
      <w:bookmarkStart w:id="300" w:name="_Toc691"/>
      <w:bookmarkStart w:id="301" w:name="_Toc27554"/>
      <w:bookmarkStart w:id="302" w:name="_Toc111997233"/>
      <w:bookmarkStart w:id="303" w:name="_Toc22269"/>
      <w:bookmarkStart w:id="304" w:name="_Toc30724"/>
      <w:bookmarkStart w:id="305" w:name="_Toc20047"/>
      <w:bookmarkStart w:id="306" w:name="_Toc32562"/>
      <w:bookmarkStart w:id="307" w:name="_Toc8364"/>
      <w:bookmarkStart w:id="308" w:name="_Toc11716"/>
      <w:bookmarkStart w:id="309" w:name="_Toc13150057"/>
      <w:r>
        <w:rPr>
          <w:rFonts w:hint="eastAsia" w:ascii="宋体" w:hAnsi="宋体" w:eastAsia="宋体" w:cs="宋体"/>
          <w:color w:val="000000"/>
          <w:sz w:val="21"/>
          <w:szCs w:val="21"/>
          <w:highlight w:val="none"/>
        </w:rPr>
        <w:t>项目设最高限价：</w:t>
      </w:r>
      <w:r>
        <w:rPr>
          <w:rFonts w:hint="eastAsia" w:ascii="宋体" w:hAnsi="宋体" w:eastAsia="宋体" w:cs="宋体"/>
          <w:sz w:val="21"/>
          <w:szCs w:val="21"/>
          <w:highlight w:val="none"/>
          <w:lang w:eastAsia="zh-CN"/>
        </w:rPr>
        <w:t>大写：肆拾贰万元整（小写：</w:t>
      </w:r>
      <w:r>
        <w:rPr>
          <w:rFonts w:hint="eastAsia" w:ascii="宋体" w:hAnsi="宋体" w:eastAsia="宋体" w:cs="宋体"/>
          <w:sz w:val="21"/>
          <w:szCs w:val="21"/>
          <w:highlight w:val="none"/>
        </w:rPr>
        <w:t>4</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0000.00元</w:t>
      </w:r>
      <w:r>
        <w:rPr>
          <w:rFonts w:hint="eastAsia" w:ascii="宋体" w:hAnsi="宋体" w:eastAsia="宋体" w:cs="宋体"/>
          <w:sz w:val="21"/>
          <w:szCs w:val="21"/>
          <w:highlight w:val="none"/>
          <w:lang w:eastAsia="zh-CN"/>
        </w:rPr>
        <w:t>）</w:t>
      </w:r>
    </w:p>
    <w:p w14:paraId="25FACA7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供应商磋商报价超出“最高限价”（不含等于“最高限价”）的，该供应商的响应文件应作无效响应处理。</w:t>
      </w:r>
    </w:p>
    <w:p w14:paraId="204EE2EC">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lang w:eastAsia="zh-CN"/>
        </w:rPr>
      </w:pPr>
      <w:r>
        <w:rPr>
          <w:rFonts w:hint="eastAsia" w:ascii="宋体" w:hAnsi="宋体" w:eastAsia="宋体" w:cs="宋体"/>
          <w:b/>
          <w:bCs/>
          <w:color w:val="000000"/>
          <w:sz w:val="21"/>
          <w:szCs w:val="21"/>
          <w:highlight w:val="none"/>
          <w:lang w:eastAsia="zh-CN"/>
        </w:rPr>
        <w:t>3.3</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rFonts w:hint="eastAsia" w:ascii="宋体" w:hAnsi="宋体" w:eastAsia="宋体" w:cs="宋体"/>
          <w:b/>
          <w:bCs/>
          <w:color w:val="000000"/>
          <w:sz w:val="21"/>
          <w:szCs w:val="21"/>
          <w:highlight w:val="none"/>
          <w:lang w:eastAsia="zh-CN"/>
        </w:rPr>
        <w:t>履约保证金</w:t>
      </w:r>
      <w:r>
        <w:rPr>
          <w:rFonts w:hint="eastAsia" w:ascii="宋体" w:hAnsi="宋体" w:eastAsia="宋体" w:cs="宋体"/>
          <w:color w:val="000000"/>
          <w:sz w:val="21"/>
          <w:szCs w:val="21"/>
          <w:highlight w:val="none"/>
          <w:lang w:eastAsia="zh-CN"/>
        </w:rPr>
        <w:t>：不收取。</w:t>
      </w:r>
    </w:p>
    <w:p w14:paraId="1C2C58C8">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lang w:eastAsia="zh-CN"/>
        </w:rPr>
      </w:pPr>
      <w:bookmarkStart w:id="310" w:name="_Toc10542"/>
      <w:bookmarkStart w:id="311" w:name="_Toc24714"/>
      <w:bookmarkStart w:id="312" w:name="_Toc111997234"/>
      <w:bookmarkStart w:id="313" w:name="_Toc10884"/>
      <w:bookmarkStart w:id="314" w:name="_Toc4082"/>
      <w:bookmarkStart w:id="315" w:name="_Toc17110"/>
      <w:bookmarkStart w:id="316" w:name="_Toc13150059"/>
      <w:bookmarkStart w:id="317" w:name="_Toc14282"/>
      <w:bookmarkStart w:id="318" w:name="_Toc3169"/>
      <w:bookmarkStart w:id="319" w:name="_Toc724"/>
      <w:bookmarkStart w:id="320" w:name="_Toc22106"/>
      <w:bookmarkStart w:id="321" w:name="_Toc24295"/>
      <w:bookmarkStart w:id="322" w:name="_Toc3318"/>
      <w:bookmarkStart w:id="323" w:name="_Toc16044"/>
      <w:bookmarkStart w:id="324" w:name="_Toc30836"/>
      <w:bookmarkStart w:id="325" w:name="_Toc24684"/>
      <w:r>
        <w:rPr>
          <w:rFonts w:hint="eastAsia" w:ascii="宋体" w:hAnsi="宋体" w:eastAsia="宋体" w:cs="宋体"/>
          <w:b/>
          <w:bCs/>
          <w:color w:val="000000"/>
          <w:sz w:val="21"/>
          <w:szCs w:val="21"/>
          <w:highlight w:val="none"/>
          <w:lang w:eastAsia="zh-CN"/>
        </w:rPr>
        <w:t>3.4磋商保证金</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DCF071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按照《河南省财政厅关于优化政府采购营商环境有关问题的通知》（豫财购[2019]4号文）的要求本项目不再收取保证金。</w:t>
      </w:r>
    </w:p>
    <w:p w14:paraId="4D4D5373">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326" w:name="_Toc630"/>
      <w:bookmarkStart w:id="327" w:name="_Toc8554"/>
      <w:bookmarkStart w:id="328" w:name="_Toc13150061"/>
      <w:bookmarkStart w:id="329" w:name="_Toc25186"/>
      <w:bookmarkStart w:id="330" w:name="_Toc1063"/>
      <w:bookmarkStart w:id="331" w:name="_Toc10019"/>
      <w:bookmarkStart w:id="332" w:name="_Toc15520"/>
      <w:bookmarkStart w:id="333" w:name="_Toc111997235"/>
      <w:bookmarkStart w:id="334" w:name="_Toc24210"/>
      <w:bookmarkStart w:id="335" w:name="_Toc21050"/>
      <w:bookmarkStart w:id="336" w:name="_Toc3838"/>
      <w:bookmarkStart w:id="337" w:name="_Toc32415"/>
      <w:bookmarkStart w:id="338" w:name="_Toc14631"/>
      <w:bookmarkStart w:id="339" w:name="_Toc650"/>
      <w:bookmarkStart w:id="340" w:name="_Toc7496"/>
      <w:bookmarkStart w:id="341" w:name="_Toc27913"/>
      <w:r>
        <w:rPr>
          <w:rFonts w:hint="eastAsia" w:ascii="宋体" w:hAnsi="宋体" w:eastAsia="宋体" w:cs="宋体"/>
          <w:b/>
          <w:bCs/>
          <w:color w:val="000000"/>
          <w:sz w:val="21"/>
          <w:szCs w:val="21"/>
          <w:highlight w:val="none"/>
        </w:rPr>
        <w:t>3.5响应文件编制</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14:paraId="5ACC033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3.5.1响应文件应按第六章 “响应文件格式”进行编写，如有必要，可以增加附页，作为响应文件的组成部分。其中，响应函附录在满足竞争性磋商文件实质性要求的基础上，可以提出比竞争性磋商文件要求更有利于采购人的承诺。</w:t>
      </w:r>
    </w:p>
    <w:p w14:paraId="0D5D0A81">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342" w:name="_Toc12292"/>
      <w:bookmarkStart w:id="343" w:name="_Toc24089"/>
      <w:bookmarkStart w:id="344" w:name="_Toc21081"/>
      <w:bookmarkStart w:id="345" w:name="_Toc21288"/>
      <w:bookmarkStart w:id="346" w:name="_Toc8909"/>
      <w:bookmarkStart w:id="347" w:name="_Toc2029"/>
      <w:bookmarkStart w:id="348" w:name="_Toc111997236"/>
      <w:bookmarkStart w:id="349" w:name="_Toc22690"/>
      <w:bookmarkStart w:id="350" w:name="_Toc11217"/>
      <w:bookmarkStart w:id="351" w:name="_Toc2541"/>
      <w:bookmarkStart w:id="352" w:name="_Toc15515"/>
      <w:bookmarkStart w:id="353" w:name="_Toc4336"/>
      <w:bookmarkStart w:id="354" w:name="_Toc7201"/>
      <w:bookmarkStart w:id="355" w:name="_Toc13150063"/>
      <w:bookmarkStart w:id="356" w:name="_Toc17190"/>
      <w:bookmarkStart w:id="357" w:name="_Toc7004"/>
      <w:r>
        <w:rPr>
          <w:rFonts w:hint="eastAsia" w:ascii="宋体" w:hAnsi="宋体" w:eastAsia="宋体" w:cs="宋体"/>
          <w:color w:val="000000"/>
          <w:sz w:val="21"/>
          <w:szCs w:val="21"/>
          <w:highlight w:val="none"/>
          <w:lang w:val="en-US" w:eastAsia="zh-CN"/>
        </w:rPr>
        <w:t>3.5.2</w:t>
      </w:r>
      <w:r>
        <w:rPr>
          <w:rFonts w:hint="eastAsia" w:ascii="宋体" w:hAnsi="宋体" w:eastAsia="宋体" w:cs="宋体"/>
          <w:color w:val="000000"/>
          <w:sz w:val="21"/>
          <w:szCs w:val="21"/>
          <w:highlight w:val="none"/>
        </w:rPr>
        <w:t>供应商在生成电子化响应文件后，应对电子化响应文件进行签章，未进行签章的视为无效响应。</w:t>
      </w:r>
    </w:p>
    <w:p w14:paraId="3389955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3.5.</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 xml:space="preserve"> 资格评审部分</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评审打分部分：以供应商自行上传到响应文件中的各类相应内容为准。</w:t>
      </w:r>
    </w:p>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14:paraId="34FBFF30">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358" w:name="_Toc19523"/>
      <w:bookmarkStart w:id="359" w:name="_Toc10448"/>
      <w:bookmarkStart w:id="360" w:name="_Toc13150064"/>
      <w:bookmarkStart w:id="361" w:name="_Toc8642"/>
      <w:bookmarkStart w:id="362" w:name="_Toc30292"/>
      <w:bookmarkStart w:id="363" w:name="_Toc28937"/>
      <w:bookmarkStart w:id="364" w:name="_Toc17234"/>
      <w:bookmarkStart w:id="365" w:name="_Toc17164"/>
      <w:bookmarkStart w:id="366" w:name="_Toc2727"/>
      <w:bookmarkStart w:id="367" w:name="_Toc2882"/>
      <w:bookmarkStart w:id="368" w:name="_Toc13002"/>
      <w:bookmarkStart w:id="369" w:name="_Toc11445"/>
      <w:bookmarkStart w:id="370" w:name="_Toc7202"/>
      <w:bookmarkStart w:id="371" w:name="_Toc14647"/>
      <w:bookmarkStart w:id="372" w:name="_Toc111997237"/>
      <w:bookmarkStart w:id="373" w:name="_Toc25206"/>
      <w:r>
        <w:rPr>
          <w:rFonts w:hint="eastAsia" w:ascii="宋体" w:hAnsi="宋体" w:eastAsia="宋体" w:cs="宋体"/>
          <w:b/>
          <w:bCs/>
          <w:color w:val="000000"/>
          <w:sz w:val="21"/>
          <w:szCs w:val="21"/>
          <w:highlight w:val="none"/>
          <w:lang w:val="en-US" w:eastAsia="zh-CN"/>
        </w:rPr>
        <w:t>3.6</w:t>
      </w:r>
      <w:r>
        <w:rPr>
          <w:rFonts w:hint="eastAsia" w:ascii="宋体" w:hAnsi="宋体" w:eastAsia="宋体" w:cs="宋体"/>
          <w:b/>
          <w:bCs/>
          <w:color w:val="000000"/>
          <w:sz w:val="21"/>
          <w:szCs w:val="21"/>
          <w:highlight w:val="none"/>
        </w:rPr>
        <w:t>电子化响应文件的签署</w:t>
      </w:r>
    </w:p>
    <w:p w14:paraId="4DC51C5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3.6.1</w:t>
      </w:r>
      <w:r>
        <w:rPr>
          <w:rFonts w:hint="eastAsia" w:ascii="宋体" w:hAnsi="宋体" w:eastAsia="宋体" w:cs="宋体"/>
          <w:color w:val="000000"/>
          <w:sz w:val="21"/>
          <w:szCs w:val="21"/>
          <w:highlight w:val="none"/>
        </w:rPr>
        <w:t>供应商在进行电子化响应文件签章时，竞争性磋商文件中要求供应商盖章的，以签盖</w:t>
      </w:r>
      <w:r>
        <w:rPr>
          <w:rFonts w:hint="eastAsia" w:ascii="宋体" w:hAnsi="宋体" w:eastAsia="宋体" w:cs="宋体"/>
          <w:color w:val="000000"/>
          <w:sz w:val="21"/>
          <w:szCs w:val="21"/>
          <w:highlight w:val="none"/>
          <w:lang w:eastAsia="zh-CN"/>
        </w:rPr>
        <w:t>单位公章</w:t>
      </w:r>
      <w:r>
        <w:rPr>
          <w:rFonts w:hint="eastAsia" w:ascii="宋体" w:hAnsi="宋体" w:eastAsia="宋体" w:cs="宋体"/>
          <w:color w:val="000000"/>
          <w:sz w:val="21"/>
          <w:szCs w:val="21"/>
          <w:highlight w:val="none"/>
        </w:rPr>
        <w:t>为准。</w:t>
      </w:r>
    </w:p>
    <w:p w14:paraId="339DA699">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rPr>
        <w:t>3.</w:t>
      </w:r>
      <w:r>
        <w:rPr>
          <w:rFonts w:hint="eastAsia" w:ascii="宋体" w:hAnsi="宋体" w:eastAsia="宋体" w:cs="宋体"/>
          <w:b/>
          <w:bCs/>
          <w:color w:val="000000"/>
          <w:sz w:val="21"/>
          <w:szCs w:val="21"/>
          <w:highlight w:val="none"/>
          <w:lang w:val="en-US" w:eastAsia="zh-CN"/>
        </w:rPr>
        <w:t>7</w:t>
      </w:r>
      <w:r>
        <w:rPr>
          <w:rFonts w:hint="eastAsia" w:ascii="宋体" w:hAnsi="宋体" w:eastAsia="宋体" w:cs="宋体"/>
          <w:b/>
          <w:bCs/>
          <w:color w:val="000000"/>
          <w:sz w:val="21"/>
          <w:szCs w:val="21"/>
          <w:highlight w:val="none"/>
        </w:rPr>
        <w:t>响应文件的</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Pr>
          <w:rFonts w:hint="eastAsia" w:ascii="宋体" w:hAnsi="宋体" w:eastAsia="宋体" w:cs="宋体"/>
          <w:b/>
          <w:bCs/>
          <w:color w:val="000000"/>
          <w:sz w:val="21"/>
          <w:szCs w:val="21"/>
          <w:highlight w:val="none"/>
          <w:lang w:eastAsia="zh-CN"/>
        </w:rPr>
        <w:t>上传</w:t>
      </w:r>
    </w:p>
    <w:p w14:paraId="0E3C0FE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374" w:name="_Toc30004"/>
      <w:bookmarkStart w:id="375" w:name="_Toc111997238"/>
      <w:bookmarkStart w:id="376" w:name="_Toc32713"/>
      <w:bookmarkStart w:id="377" w:name="_Toc32365"/>
      <w:bookmarkStart w:id="378" w:name="_Toc13609"/>
      <w:bookmarkStart w:id="379" w:name="_Toc23125"/>
      <w:bookmarkStart w:id="380" w:name="_Toc22212"/>
      <w:bookmarkStart w:id="381" w:name="_Toc13150065"/>
      <w:bookmarkStart w:id="382" w:name="_Toc3471"/>
      <w:bookmarkStart w:id="383" w:name="_Toc6900"/>
      <w:bookmarkStart w:id="384" w:name="_Toc4271"/>
      <w:bookmarkStart w:id="385" w:name="_Toc7423"/>
      <w:bookmarkStart w:id="386" w:name="_Toc19554"/>
      <w:bookmarkStart w:id="387" w:name="_Toc1408"/>
      <w:bookmarkStart w:id="388" w:name="_Toc21650"/>
      <w:bookmarkStart w:id="389" w:name="_Toc31018"/>
      <w:r>
        <w:rPr>
          <w:rFonts w:hint="eastAsia" w:ascii="宋体" w:hAnsi="宋体" w:eastAsia="宋体" w:cs="宋体"/>
          <w:color w:val="000000"/>
          <w:sz w:val="21"/>
          <w:szCs w:val="21"/>
          <w:highlight w:val="none"/>
          <w:lang w:val="en-US" w:eastAsia="zh-CN"/>
        </w:rPr>
        <w:t>3.7</w:t>
      </w:r>
      <w:r>
        <w:rPr>
          <w:rFonts w:hint="eastAsia" w:ascii="宋体" w:hAnsi="宋体" w:eastAsia="宋体" w:cs="宋体"/>
          <w:color w:val="000000"/>
          <w:sz w:val="21"/>
          <w:szCs w:val="21"/>
          <w:highlight w:val="none"/>
        </w:rPr>
        <w:t>.1电子化响应文件应在</w:t>
      </w:r>
      <w:r>
        <w:rPr>
          <w:rFonts w:hint="eastAsia" w:ascii="宋体" w:hAnsi="宋体" w:eastAsia="宋体" w:cs="宋体"/>
          <w:color w:val="000000"/>
          <w:sz w:val="21"/>
          <w:szCs w:val="21"/>
          <w:highlight w:val="none"/>
          <w:lang w:eastAsia="zh-CN"/>
        </w:rPr>
        <w:t>提交首次响应文件</w:t>
      </w:r>
      <w:r>
        <w:rPr>
          <w:rFonts w:hint="eastAsia" w:ascii="宋体" w:hAnsi="宋体" w:eastAsia="宋体" w:cs="宋体"/>
          <w:color w:val="000000"/>
          <w:sz w:val="21"/>
          <w:szCs w:val="21"/>
          <w:highlight w:val="none"/>
        </w:rPr>
        <w:t>截止时间前成功上传至三门峡市公共资源电子化交易系统。至</w:t>
      </w:r>
      <w:r>
        <w:rPr>
          <w:rFonts w:hint="eastAsia" w:ascii="宋体" w:hAnsi="宋体" w:eastAsia="宋体" w:cs="宋体"/>
          <w:color w:val="000000"/>
          <w:sz w:val="21"/>
          <w:szCs w:val="21"/>
          <w:highlight w:val="none"/>
          <w:lang w:eastAsia="zh-CN"/>
        </w:rPr>
        <w:t>响提交首次响应文件截止时间</w:t>
      </w:r>
      <w:r>
        <w:rPr>
          <w:rFonts w:hint="eastAsia" w:ascii="宋体" w:hAnsi="宋体" w:eastAsia="宋体" w:cs="宋体"/>
          <w:color w:val="000000"/>
          <w:sz w:val="21"/>
          <w:szCs w:val="21"/>
          <w:highlight w:val="none"/>
        </w:rPr>
        <w:t>止，仍未上传成功的电子化响应文件将不予接收。</w:t>
      </w:r>
    </w:p>
    <w:p w14:paraId="1223B3F0">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注：如按照电子化投标操作教材制作完成的电子化响应文件无法上传的，供应商应在</w:t>
      </w:r>
      <w:r>
        <w:rPr>
          <w:rFonts w:hint="eastAsia" w:ascii="宋体" w:hAnsi="宋体" w:eastAsia="宋体" w:cs="宋体"/>
          <w:color w:val="000000"/>
          <w:sz w:val="21"/>
          <w:szCs w:val="21"/>
          <w:highlight w:val="none"/>
          <w:lang w:eastAsia="zh-CN"/>
        </w:rPr>
        <w:t>提交首次响应文件</w:t>
      </w:r>
      <w:r>
        <w:rPr>
          <w:rFonts w:hint="eastAsia" w:ascii="宋体" w:hAnsi="宋体" w:eastAsia="宋体" w:cs="宋体"/>
          <w:color w:val="000000"/>
          <w:sz w:val="21"/>
          <w:szCs w:val="21"/>
          <w:highlight w:val="none"/>
        </w:rPr>
        <w:t>截止时间前尽早的联系中心技术人员，以便有充分的时间进行处理。供应商应充分考虑到处理技术问题和上传数据等工作所需的时间问题，响应文件未在</w:t>
      </w:r>
      <w:r>
        <w:rPr>
          <w:rFonts w:hint="eastAsia" w:ascii="宋体" w:hAnsi="宋体" w:eastAsia="宋体" w:cs="宋体"/>
          <w:color w:val="000000"/>
          <w:sz w:val="21"/>
          <w:szCs w:val="21"/>
          <w:highlight w:val="none"/>
          <w:lang w:eastAsia="zh-CN"/>
        </w:rPr>
        <w:t>提交首次响应文件</w:t>
      </w:r>
      <w:r>
        <w:rPr>
          <w:rFonts w:hint="eastAsia" w:ascii="宋体" w:hAnsi="宋体" w:eastAsia="宋体" w:cs="宋体"/>
          <w:color w:val="000000"/>
          <w:sz w:val="21"/>
          <w:szCs w:val="21"/>
          <w:highlight w:val="none"/>
        </w:rPr>
        <w:t>截止时间前成功上传的，其响应文件不予接收。</w:t>
      </w:r>
    </w:p>
    <w:p w14:paraId="60BFB3FD">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3.8响应文件的修改和撤回</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1200E4F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390" w:name="_Toc312133547"/>
      <w:r>
        <w:rPr>
          <w:rFonts w:hint="eastAsia" w:ascii="宋体" w:hAnsi="宋体" w:eastAsia="宋体" w:cs="宋体"/>
          <w:color w:val="000000"/>
          <w:sz w:val="21"/>
          <w:szCs w:val="21"/>
          <w:highlight w:val="none"/>
        </w:rPr>
        <w:t>3.8.1在本章规定的</w:t>
      </w:r>
      <w:r>
        <w:rPr>
          <w:rFonts w:hint="eastAsia" w:ascii="宋体" w:hAnsi="宋体" w:eastAsia="宋体" w:cs="宋体"/>
          <w:color w:val="000000"/>
          <w:sz w:val="21"/>
          <w:szCs w:val="21"/>
          <w:highlight w:val="none"/>
          <w:lang w:eastAsia="zh-CN"/>
        </w:rPr>
        <w:t>提交响应文件截止时间</w:t>
      </w:r>
      <w:r>
        <w:rPr>
          <w:rFonts w:hint="eastAsia" w:ascii="宋体" w:hAnsi="宋体" w:eastAsia="宋体" w:cs="宋体"/>
          <w:color w:val="000000"/>
          <w:sz w:val="21"/>
          <w:szCs w:val="21"/>
          <w:highlight w:val="none"/>
        </w:rPr>
        <w:t>前，供应商可以补充、修改或撤回已递交的响应文件。</w:t>
      </w:r>
    </w:p>
    <w:p w14:paraId="58BFDDB6">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391" w:name="_Toc144974516"/>
      <w:bookmarkStart w:id="392" w:name="_Toc11967"/>
      <w:bookmarkStart w:id="393" w:name="_Toc247085707"/>
      <w:bookmarkStart w:id="394" w:name="_Toc296602438"/>
      <w:bookmarkStart w:id="395" w:name="_Toc246996936"/>
      <w:bookmarkStart w:id="396" w:name="_Toc179632566"/>
      <w:bookmarkStart w:id="397" w:name="_Toc152045548"/>
      <w:bookmarkStart w:id="398" w:name="_Toc152042324"/>
      <w:bookmarkStart w:id="399" w:name="_Toc246996193"/>
      <w:r>
        <w:rPr>
          <w:rFonts w:hint="eastAsia" w:ascii="宋体" w:hAnsi="宋体" w:eastAsia="宋体" w:cs="宋体"/>
          <w:b/>
          <w:bCs/>
          <w:color w:val="000000"/>
          <w:sz w:val="21"/>
          <w:szCs w:val="21"/>
          <w:highlight w:val="none"/>
        </w:rPr>
        <w:t>3.9 磋商报价</w:t>
      </w:r>
      <w:bookmarkEnd w:id="391"/>
      <w:bookmarkEnd w:id="392"/>
      <w:bookmarkEnd w:id="393"/>
      <w:bookmarkEnd w:id="394"/>
      <w:bookmarkEnd w:id="395"/>
      <w:bookmarkEnd w:id="396"/>
      <w:bookmarkEnd w:id="397"/>
      <w:bookmarkEnd w:id="398"/>
      <w:bookmarkEnd w:id="399"/>
    </w:p>
    <w:p w14:paraId="092ADEC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3.9.1磋商报价为本项目全过程所发生的全部费用；</w:t>
      </w:r>
    </w:p>
    <w:p w14:paraId="1E066ABB">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3.9.2磋商报价是以人民币为单位的综合报价，供应商应根据</w:t>
      </w:r>
      <w:r>
        <w:rPr>
          <w:rFonts w:hint="eastAsia" w:ascii="宋体" w:hAnsi="宋体" w:eastAsia="宋体" w:cs="宋体"/>
          <w:color w:val="000000"/>
          <w:sz w:val="21"/>
          <w:szCs w:val="21"/>
          <w:highlight w:val="none"/>
          <w:lang w:eastAsia="zh-CN"/>
        </w:rPr>
        <w:t>采购</w:t>
      </w:r>
      <w:r>
        <w:rPr>
          <w:rFonts w:hint="eastAsia" w:ascii="宋体" w:hAnsi="宋体" w:eastAsia="宋体" w:cs="宋体"/>
          <w:color w:val="000000"/>
          <w:sz w:val="21"/>
          <w:szCs w:val="21"/>
          <w:highlight w:val="none"/>
        </w:rPr>
        <w:t>最高限价，结合本项目实际情况，提出不高于</w:t>
      </w:r>
      <w:r>
        <w:rPr>
          <w:rFonts w:hint="eastAsia" w:ascii="宋体" w:hAnsi="宋体" w:eastAsia="宋体" w:cs="宋体"/>
          <w:color w:val="000000"/>
          <w:sz w:val="21"/>
          <w:szCs w:val="21"/>
          <w:highlight w:val="none"/>
          <w:lang w:eastAsia="zh-CN"/>
        </w:rPr>
        <w:t>采购</w:t>
      </w:r>
      <w:r>
        <w:rPr>
          <w:rFonts w:hint="eastAsia" w:ascii="宋体" w:hAnsi="宋体" w:eastAsia="宋体" w:cs="宋体"/>
          <w:color w:val="000000"/>
          <w:sz w:val="21"/>
          <w:szCs w:val="21"/>
          <w:highlight w:val="none"/>
        </w:rPr>
        <w:t>最高限价的报价。任何有选择性的报价将不予接受，每轮只许有一个报价；</w:t>
      </w:r>
    </w:p>
    <w:p w14:paraId="410D3A7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3.9.3供应商应按照竞争性磋商文件提供的磋商报价表格式填写磋商报价；</w:t>
      </w:r>
    </w:p>
    <w:p w14:paraId="0B94BCD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3.9.4磋商过程供应商需二轮报价（首轮报价、最</w:t>
      </w:r>
      <w:r>
        <w:rPr>
          <w:rFonts w:hint="eastAsia" w:ascii="宋体" w:hAnsi="宋体" w:eastAsia="宋体" w:cs="宋体"/>
          <w:color w:val="000000"/>
          <w:sz w:val="21"/>
          <w:szCs w:val="21"/>
          <w:highlight w:val="none"/>
          <w:lang w:eastAsia="zh-CN"/>
        </w:rPr>
        <w:t>后</w:t>
      </w:r>
      <w:r>
        <w:rPr>
          <w:rFonts w:hint="eastAsia" w:ascii="宋体" w:hAnsi="宋体" w:eastAsia="宋体" w:cs="宋体"/>
          <w:color w:val="000000"/>
          <w:sz w:val="21"/>
          <w:szCs w:val="21"/>
          <w:highlight w:val="none"/>
        </w:rPr>
        <w:t>报价。本项目进行两次报价，最</w:t>
      </w:r>
      <w:r>
        <w:rPr>
          <w:rFonts w:hint="eastAsia" w:ascii="宋体" w:hAnsi="宋体" w:eastAsia="宋体" w:cs="宋体"/>
          <w:color w:val="000000"/>
          <w:sz w:val="21"/>
          <w:szCs w:val="21"/>
          <w:highlight w:val="none"/>
          <w:lang w:eastAsia="zh-CN"/>
        </w:rPr>
        <w:t>后</w:t>
      </w:r>
      <w:r>
        <w:rPr>
          <w:rFonts w:hint="eastAsia" w:ascii="宋体" w:hAnsi="宋体" w:eastAsia="宋体" w:cs="宋体"/>
          <w:color w:val="000000"/>
          <w:sz w:val="21"/>
          <w:szCs w:val="21"/>
          <w:highlight w:val="none"/>
        </w:rPr>
        <w:t>报价不能高于上次报价，高于上次报价视为无效</w:t>
      </w:r>
      <w:r>
        <w:rPr>
          <w:rFonts w:hint="eastAsia" w:ascii="宋体" w:hAnsi="宋体" w:eastAsia="宋体" w:cs="宋体"/>
          <w:color w:val="000000"/>
          <w:sz w:val="21"/>
          <w:szCs w:val="21"/>
          <w:highlight w:val="none"/>
          <w:lang w:eastAsia="zh-CN"/>
        </w:rPr>
        <w:t>报价</w:t>
      </w:r>
      <w:r>
        <w:rPr>
          <w:rFonts w:hint="eastAsia" w:ascii="宋体" w:hAnsi="宋体" w:eastAsia="宋体" w:cs="宋体"/>
          <w:color w:val="000000"/>
          <w:sz w:val="21"/>
          <w:szCs w:val="21"/>
          <w:highlight w:val="none"/>
        </w:rPr>
        <w:t>）；</w:t>
      </w:r>
    </w:p>
    <w:p w14:paraId="21FF097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3.9.5供应商任何有选择的报价（首轮报价、最</w:t>
      </w:r>
      <w:r>
        <w:rPr>
          <w:rFonts w:hint="eastAsia" w:ascii="宋体" w:hAnsi="宋体" w:eastAsia="宋体" w:cs="宋体"/>
          <w:color w:val="000000"/>
          <w:sz w:val="21"/>
          <w:szCs w:val="21"/>
          <w:highlight w:val="none"/>
          <w:lang w:eastAsia="zh-CN"/>
        </w:rPr>
        <w:t>后</w:t>
      </w:r>
      <w:r>
        <w:rPr>
          <w:rFonts w:hint="eastAsia" w:ascii="宋体" w:hAnsi="宋体" w:eastAsia="宋体" w:cs="宋体"/>
          <w:color w:val="000000"/>
          <w:sz w:val="21"/>
          <w:szCs w:val="21"/>
          <w:highlight w:val="none"/>
        </w:rPr>
        <w:t>报价）将被拒绝，磋商报价不允许修正和涂改，出现错误或涂改的将以无效报价处理；供应商不得以他人名义磋商或者以其他方式弄虚作假，骗取中标；</w:t>
      </w:r>
    </w:p>
    <w:p w14:paraId="5F18BC1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3.9.6响应文件应对竞争性磋商文件中各项做出实质性响应，否则该磋商将可能被拒绝。</w:t>
      </w:r>
    </w:p>
    <w:p w14:paraId="2385CF46">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供应商服务承诺书应按不低于竞争性磋商文件中的服务要求标准做出响应；</w:t>
      </w:r>
    </w:p>
    <w:p w14:paraId="66E018F1">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3.9.7磋商文件能够详细列明采购标的服务要求的，磋商结束后，磋商小组应当要求所有</w:t>
      </w:r>
    </w:p>
    <w:p w14:paraId="15B5161C">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实质性响应的供应商在规定时间内提交最</w:t>
      </w:r>
      <w:r>
        <w:rPr>
          <w:rFonts w:hint="eastAsia" w:ascii="宋体" w:hAnsi="宋体" w:eastAsia="宋体" w:cs="宋体"/>
          <w:color w:val="000000"/>
          <w:sz w:val="21"/>
          <w:szCs w:val="21"/>
          <w:highlight w:val="none"/>
          <w:lang w:eastAsia="zh-CN"/>
        </w:rPr>
        <w:t>后</w:t>
      </w:r>
      <w:r>
        <w:rPr>
          <w:rFonts w:hint="eastAsia" w:ascii="宋体" w:hAnsi="宋体" w:eastAsia="宋体" w:cs="宋体"/>
          <w:color w:val="000000"/>
          <w:sz w:val="21"/>
          <w:szCs w:val="21"/>
          <w:highlight w:val="none"/>
        </w:rPr>
        <w:t>报价。最</w:t>
      </w:r>
      <w:r>
        <w:rPr>
          <w:rFonts w:hint="eastAsia" w:ascii="宋体" w:hAnsi="宋体" w:eastAsia="宋体" w:cs="宋体"/>
          <w:color w:val="000000"/>
          <w:sz w:val="21"/>
          <w:szCs w:val="21"/>
          <w:highlight w:val="none"/>
          <w:lang w:eastAsia="zh-CN"/>
        </w:rPr>
        <w:t>后</w:t>
      </w:r>
      <w:r>
        <w:rPr>
          <w:rFonts w:hint="eastAsia" w:ascii="宋体" w:hAnsi="宋体" w:eastAsia="宋体" w:cs="宋体"/>
          <w:color w:val="000000"/>
          <w:sz w:val="21"/>
          <w:szCs w:val="21"/>
          <w:highlight w:val="none"/>
        </w:rPr>
        <w:t>报价是供应商响应文件的有效组成部分。</w:t>
      </w:r>
    </w:p>
    <w:p w14:paraId="6CF3F3CD">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lang w:eastAsia="zh-CN"/>
        </w:rPr>
      </w:pPr>
      <w:bookmarkStart w:id="400" w:name="_Toc19974"/>
      <w:bookmarkStart w:id="401" w:name="_Toc31144"/>
      <w:bookmarkStart w:id="402" w:name="_Toc9369"/>
      <w:bookmarkStart w:id="403" w:name="_Toc25246"/>
      <w:bookmarkStart w:id="404" w:name="_Toc21872"/>
      <w:bookmarkStart w:id="405" w:name="_Toc16995"/>
      <w:bookmarkStart w:id="406" w:name="_Toc17947"/>
      <w:bookmarkStart w:id="407" w:name="_Toc20187"/>
      <w:bookmarkStart w:id="408" w:name="_Toc114667873"/>
      <w:bookmarkStart w:id="409" w:name="_Toc111997239"/>
      <w:bookmarkStart w:id="410" w:name="_Toc111997500"/>
      <w:bookmarkStart w:id="411" w:name="_Toc5501"/>
      <w:bookmarkStart w:id="412" w:name="_Toc32729"/>
      <w:bookmarkStart w:id="413" w:name="_Toc12997"/>
      <w:bookmarkStart w:id="414" w:name="_Toc19981"/>
      <w:r>
        <w:rPr>
          <w:rFonts w:hint="eastAsia" w:ascii="宋体" w:hAnsi="宋体" w:eastAsia="宋体" w:cs="宋体"/>
          <w:b/>
          <w:bCs/>
          <w:color w:val="000000"/>
          <w:sz w:val="21"/>
          <w:szCs w:val="21"/>
          <w:highlight w:val="none"/>
        </w:rPr>
        <w:t>4.</w:t>
      </w:r>
      <w:r>
        <w:rPr>
          <w:rFonts w:hint="eastAsia" w:ascii="宋体" w:hAnsi="宋体" w:eastAsia="宋体" w:cs="宋体"/>
          <w:b/>
          <w:bCs/>
          <w:color w:val="000000"/>
          <w:sz w:val="21"/>
          <w:szCs w:val="21"/>
          <w:highlight w:val="none"/>
          <w:lang w:eastAsia="zh-CN"/>
        </w:rPr>
        <w:t>响应文件开启</w:t>
      </w:r>
      <w:r>
        <w:rPr>
          <w:rFonts w:hint="eastAsia" w:ascii="宋体" w:hAnsi="宋体" w:eastAsia="宋体" w:cs="宋体"/>
          <w:b/>
          <w:bCs/>
          <w:color w:val="000000"/>
          <w:sz w:val="21"/>
          <w:szCs w:val="21"/>
          <w:highlight w:val="none"/>
        </w:rPr>
        <w:t>、资格审查与评</w:t>
      </w:r>
      <w:bookmarkEnd w:id="390"/>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r>
        <w:rPr>
          <w:rFonts w:hint="eastAsia" w:ascii="宋体" w:hAnsi="宋体" w:eastAsia="宋体" w:cs="宋体"/>
          <w:b/>
          <w:bCs/>
          <w:color w:val="000000"/>
          <w:sz w:val="21"/>
          <w:szCs w:val="21"/>
          <w:highlight w:val="none"/>
          <w:lang w:eastAsia="zh-CN"/>
        </w:rPr>
        <w:t>审</w:t>
      </w:r>
      <w:bookmarkEnd w:id="414"/>
    </w:p>
    <w:p w14:paraId="58A8B880">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4.1响应文件开启时间和地点</w:t>
      </w:r>
    </w:p>
    <w:p w14:paraId="1522468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采购代理机构在供应商须知前附表中规定的时间和地点组织</w:t>
      </w:r>
      <w:r>
        <w:rPr>
          <w:rFonts w:hint="eastAsia" w:ascii="宋体" w:hAnsi="宋体" w:eastAsia="宋体" w:cs="宋体"/>
          <w:color w:val="000000"/>
          <w:sz w:val="21"/>
          <w:szCs w:val="21"/>
          <w:highlight w:val="none"/>
          <w:lang w:eastAsia="zh-CN"/>
        </w:rPr>
        <w:t>开启会议</w:t>
      </w:r>
      <w:r>
        <w:rPr>
          <w:rFonts w:hint="eastAsia" w:ascii="宋体" w:hAnsi="宋体" w:eastAsia="宋体" w:cs="宋体"/>
          <w:color w:val="000000"/>
          <w:sz w:val="21"/>
          <w:szCs w:val="21"/>
          <w:highlight w:val="none"/>
        </w:rPr>
        <w:t>。供应商不足3</w:t>
      </w:r>
    </w:p>
    <w:p w14:paraId="2E987E6A">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家的，不得开标。开标由采购人委托的采购代理机构主持。</w:t>
      </w:r>
    </w:p>
    <w:p w14:paraId="446B5311">
      <w:pPr>
        <w:keepNext w:val="0"/>
        <w:keepLines w:val="0"/>
        <w:pageBreakBefore w:val="0"/>
        <w:widowControl w:val="0"/>
        <w:numPr>
          <w:ilvl w:val="2"/>
          <w:numId w:val="0"/>
        </w:numPr>
        <w:kinsoku/>
        <w:wordWrap w:val="0"/>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415" w:name="_Toc29637"/>
      <w:bookmarkStart w:id="416" w:name="_Toc5363"/>
      <w:bookmarkStart w:id="417" w:name="_Toc29315"/>
      <w:bookmarkStart w:id="418" w:name="_Toc24277"/>
      <w:bookmarkStart w:id="419" w:name="_Toc18862"/>
      <w:bookmarkStart w:id="420" w:name="_Toc5716"/>
      <w:bookmarkStart w:id="421" w:name="_Toc7616"/>
      <w:bookmarkStart w:id="422" w:name="_Toc32207"/>
      <w:bookmarkStart w:id="423" w:name="_Toc1972"/>
      <w:bookmarkStart w:id="424" w:name="_Toc11192"/>
      <w:bookmarkStart w:id="425" w:name="_Toc22131"/>
      <w:bookmarkStart w:id="426" w:name="_Toc13150068"/>
      <w:bookmarkStart w:id="427" w:name="_Toc29955"/>
      <w:bookmarkStart w:id="428" w:name="_Toc3913"/>
      <w:bookmarkStart w:id="429" w:name="_Toc15735"/>
      <w:r>
        <w:rPr>
          <w:rFonts w:hint="eastAsia" w:ascii="宋体" w:hAnsi="宋体" w:eastAsia="宋体" w:cs="宋体"/>
          <w:color w:val="000000"/>
          <w:sz w:val="21"/>
          <w:szCs w:val="21"/>
          <w:highlight w:val="none"/>
        </w:rPr>
        <w:t>注：本项目为不见面开标项目，开标当日，供应商无需到开</w:t>
      </w:r>
      <w:r>
        <w:rPr>
          <w:rFonts w:hint="eastAsia" w:ascii="宋体" w:hAnsi="宋体" w:eastAsia="宋体" w:cs="宋体"/>
          <w:color w:val="000000"/>
          <w:sz w:val="21"/>
          <w:szCs w:val="21"/>
          <w:highlight w:val="none"/>
          <w:lang w:eastAsia="zh-CN"/>
        </w:rPr>
        <w:t>启</w:t>
      </w:r>
      <w:r>
        <w:rPr>
          <w:rFonts w:hint="eastAsia" w:ascii="宋体" w:hAnsi="宋体" w:eastAsia="宋体" w:cs="宋体"/>
          <w:color w:val="000000"/>
          <w:sz w:val="21"/>
          <w:szCs w:val="21"/>
          <w:highlight w:val="none"/>
        </w:rPr>
        <w:t>现场参加开标会议，供应商应当在</w:t>
      </w:r>
      <w:r>
        <w:rPr>
          <w:rFonts w:hint="eastAsia" w:ascii="宋体" w:hAnsi="宋体" w:eastAsia="宋体" w:cs="宋体"/>
          <w:color w:val="000000"/>
          <w:sz w:val="21"/>
          <w:szCs w:val="21"/>
          <w:highlight w:val="none"/>
          <w:lang w:eastAsia="zh-CN"/>
        </w:rPr>
        <w:t>提交首次</w:t>
      </w:r>
      <w:r>
        <w:rPr>
          <w:rFonts w:hint="eastAsia" w:ascii="宋体" w:hAnsi="宋体" w:eastAsia="宋体" w:cs="宋体"/>
          <w:color w:val="000000"/>
          <w:sz w:val="21"/>
          <w:szCs w:val="21"/>
          <w:highlight w:val="none"/>
        </w:rPr>
        <w:t>响应文件截止时间前，登陆不见面开标大厅选择登陆三门峡市公共资源电子招投标系统进行登陆（网址为</w:t>
      </w:r>
      <w:r>
        <w:rPr>
          <w:rFonts w:hint="eastAsia" w:ascii="宋体" w:hAnsi="宋体" w:eastAsia="宋体" w:cs="宋体"/>
          <w:color w:val="000000"/>
          <w:sz w:val="21"/>
          <w:szCs w:val="21"/>
          <w:highlight w:val="none"/>
        </w:rPr>
        <w:fldChar w:fldCharType="begin"/>
      </w:r>
      <w:r>
        <w:rPr>
          <w:rFonts w:hint="eastAsia" w:ascii="宋体" w:hAnsi="宋体" w:eastAsia="宋体" w:cs="宋体"/>
          <w:color w:val="000000"/>
          <w:sz w:val="21"/>
          <w:szCs w:val="21"/>
          <w:highlight w:val="none"/>
        </w:rPr>
        <w:instrText xml:space="preserve"> HYPERLINK "http://120.194.249.36:10094/BidOpening/" </w:instrText>
      </w:r>
      <w:r>
        <w:rPr>
          <w:rFonts w:hint="eastAsia" w:ascii="宋体" w:hAnsi="宋体" w:eastAsia="宋体" w:cs="宋体"/>
          <w:color w:val="000000"/>
          <w:sz w:val="21"/>
          <w:szCs w:val="21"/>
          <w:highlight w:val="none"/>
        </w:rPr>
        <w:fldChar w:fldCharType="separate"/>
      </w:r>
      <w:r>
        <w:rPr>
          <w:rFonts w:hint="eastAsia" w:ascii="宋体" w:hAnsi="宋体" w:eastAsia="宋体" w:cs="宋体"/>
          <w:color w:val="000000"/>
          <w:sz w:val="21"/>
          <w:szCs w:val="21"/>
          <w:highlight w:val="none"/>
        </w:rPr>
        <w:t>http://120.194.249.36:10094/BidOpening/</w:t>
      </w:r>
      <w:r>
        <w:rPr>
          <w:rFonts w:hint="eastAsia" w:ascii="宋体" w:hAnsi="宋体" w:eastAsia="宋体" w:cs="宋体"/>
          <w:color w:val="000000"/>
          <w:sz w:val="21"/>
          <w:szCs w:val="21"/>
          <w:highlight w:val="none"/>
        </w:rPr>
        <w:fldChar w:fldCharType="end"/>
      </w:r>
      <w:r>
        <w:rPr>
          <w:rFonts w:hint="eastAsia" w:ascii="宋体" w:hAnsi="宋体" w:eastAsia="宋体" w:cs="宋体"/>
          <w:color w:val="000000"/>
          <w:sz w:val="21"/>
          <w:szCs w:val="21"/>
          <w:highlight w:val="none"/>
        </w:rPr>
        <w:t>bidopeninghallaction/hall/login）</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在线准时参加开</w:t>
      </w:r>
      <w:r>
        <w:rPr>
          <w:rFonts w:hint="eastAsia" w:ascii="宋体" w:hAnsi="宋体" w:eastAsia="宋体" w:cs="宋体"/>
          <w:color w:val="000000"/>
          <w:sz w:val="21"/>
          <w:szCs w:val="21"/>
          <w:highlight w:val="none"/>
          <w:lang w:eastAsia="zh-CN"/>
        </w:rPr>
        <w:t>启</w:t>
      </w:r>
      <w:r>
        <w:rPr>
          <w:rFonts w:hint="eastAsia" w:ascii="宋体" w:hAnsi="宋体" w:eastAsia="宋体" w:cs="宋体"/>
          <w:color w:val="000000"/>
          <w:sz w:val="21"/>
          <w:szCs w:val="21"/>
          <w:highlight w:val="none"/>
        </w:rPr>
        <w:t>活动并进行响应文件解密等。每位供应商的解密时间为开</w:t>
      </w:r>
      <w:r>
        <w:rPr>
          <w:rFonts w:hint="eastAsia" w:ascii="宋体" w:hAnsi="宋体" w:eastAsia="宋体" w:cs="宋体"/>
          <w:color w:val="000000"/>
          <w:sz w:val="21"/>
          <w:szCs w:val="21"/>
          <w:highlight w:val="none"/>
          <w:lang w:eastAsia="zh-CN"/>
        </w:rPr>
        <w:t>启</w:t>
      </w:r>
      <w:r>
        <w:rPr>
          <w:rFonts w:hint="eastAsia" w:ascii="宋体" w:hAnsi="宋体" w:eastAsia="宋体" w:cs="宋体"/>
          <w:color w:val="000000"/>
          <w:sz w:val="21"/>
          <w:szCs w:val="21"/>
          <w:highlight w:val="none"/>
        </w:rPr>
        <w:t>时间起30分钟内完成。因供应商原因未能解密、解密失败或解密超时的将被拒绝。</w:t>
      </w:r>
    </w:p>
    <w:p w14:paraId="66D9C61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4.2</w:t>
      </w:r>
      <w:r>
        <w:rPr>
          <w:rFonts w:hint="eastAsia" w:ascii="宋体" w:hAnsi="宋体" w:eastAsia="宋体" w:cs="宋体"/>
          <w:color w:val="000000"/>
          <w:sz w:val="21"/>
          <w:szCs w:val="21"/>
          <w:highlight w:val="none"/>
          <w:lang w:eastAsia="zh-CN"/>
        </w:rPr>
        <w:t>响应文件开启</w:t>
      </w:r>
      <w:r>
        <w:rPr>
          <w:rFonts w:hint="eastAsia" w:ascii="宋体" w:hAnsi="宋体" w:eastAsia="宋体" w:cs="宋体"/>
          <w:color w:val="000000"/>
          <w:sz w:val="21"/>
          <w:szCs w:val="21"/>
          <w:highlight w:val="none"/>
        </w:rPr>
        <w:t>程序</w:t>
      </w:r>
    </w:p>
    <w:p w14:paraId="44B1AD2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宣布</w:t>
      </w:r>
      <w:r>
        <w:rPr>
          <w:rFonts w:hint="eastAsia" w:ascii="宋体" w:hAnsi="宋体" w:eastAsia="宋体" w:cs="宋体"/>
          <w:color w:val="000000"/>
          <w:sz w:val="21"/>
          <w:szCs w:val="21"/>
          <w:highlight w:val="none"/>
          <w:lang w:eastAsia="zh-CN"/>
        </w:rPr>
        <w:t>会议</w:t>
      </w:r>
      <w:r>
        <w:rPr>
          <w:rFonts w:hint="eastAsia" w:ascii="宋体" w:hAnsi="宋体" w:eastAsia="宋体" w:cs="宋体"/>
          <w:color w:val="000000"/>
          <w:sz w:val="21"/>
          <w:szCs w:val="21"/>
          <w:highlight w:val="none"/>
        </w:rPr>
        <w:t>纪律；</w:t>
      </w:r>
    </w:p>
    <w:p w14:paraId="365C399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供应商通过电子招标投标交易服务平台对已递交的电子响应文件进行解密；</w:t>
      </w:r>
    </w:p>
    <w:p w14:paraId="72E6017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电子唱标</w:t>
      </w:r>
      <w:r>
        <w:rPr>
          <w:rFonts w:hint="eastAsia" w:ascii="宋体" w:hAnsi="宋体" w:eastAsia="宋体" w:cs="宋体"/>
          <w:color w:val="000000"/>
          <w:sz w:val="21"/>
          <w:szCs w:val="21"/>
          <w:highlight w:val="none"/>
          <w:lang w:eastAsia="zh-CN"/>
        </w:rPr>
        <w:t>；</w:t>
      </w:r>
    </w:p>
    <w:p w14:paraId="6EB1E43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）开启会议</w:t>
      </w:r>
      <w:r>
        <w:rPr>
          <w:rFonts w:hint="eastAsia" w:ascii="宋体" w:hAnsi="宋体" w:eastAsia="宋体" w:cs="宋体"/>
          <w:color w:val="000000"/>
          <w:sz w:val="21"/>
          <w:szCs w:val="21"/>
          <w:highlight w:val="none"/>
        </w:rPr>
        <w:t>结束。</w:t>
      </w:r>
    </w:p>
    <w:p w14:paraId="0EC6395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.资格审查</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14:paraId="6E62CB0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.1开标结束后，磋商小组依法对</w:t>
      </w:r>
      <w:r>
        <w:rPr>
          <w:rFonts w:hint="eastAsia" w:ascii="宋体" w:hAnsi="宋体" w:eastAsia="宋体" w:cs="宋体"/>
          <w:color w:val="000000"/>
          <w:sz w:val="21"/>
          <w:szCs w:val="21"/>
          <w:highlight w:val="none"/>
          <w:lang w:eastAsia="zh-CN"/>
        </w:rPr>
        <w:t>各</w:t>
      </w:r>
      <w:r>
        <w:rPr>
          <w:rFonts w:hint="eastAsia" w:ascii="宋体" w:hAnsi="宋体" w:eastAsia="宋体" w:cs="宋体"/>
          <w:color w:val="000000"/>
          <w:sz w:val="21"/>
          <w:szCs w:val="21"/>
          <w:highlight w:val="none"/>
        </w:rPr>
        <w:t>供应商进行</w:t>
      </w:r>
      <w:r>
        <w:rPr>
          <w:rFonts w:hint="eastAsia" w:ascii="宋体" w:hAnsi="宋体" w:eastAsia="宋体" w:cs="宋体"/>
          <w:color w:val="000000"/>
          <w:sz w:val="21"/>
          <w:szCs w:val="21"/>
          <w:highlight w:val="none"/>
          <w:lang w:eastAsia="zh-CN"/>
        </w:rPr>
        <w:t>资格</w:t>
      </w:r>
      <w:r>
        <w:rPr>
          <w:rFonts w:hint="eastAsia" w:ascii="宋体" w:hAnsi="宋体" w:eastAsia="宋体" w:cs="宋体"/>
          <w:color w:val="000000"/>
          <w:sz w:val="21"/>
          <w:szCs w:val="21"/>
          <w:highlight w:val="none"/>
        </w:rPr>
        <w:t>审查。</w:t>
      </w:r>
      <w:r>
        <w:rPr>
          <w:rFonts w:hint="eastAsia" w:ascii="宋体" w:hAnsi="宋体" w:eastAsia="宋体" w:cs="宋体"/>
          <w:color w:val="000000"/>
          <w:sz w:val="21"/>
          <w:szCs w:val="21"/>
          <w:highlight w:val="none"/>
          <w:lang w:eastAsia="zh-CN"/>
        </w:rPr>
        <w:t>通过</w:t>
      </w:r>
      <w:r>
        <w:rPr>
          <w:rFonts w:hint="eastAsia" w:ascii="宋体" w:hAnsi="宋体" w:eastAsia="宋体" w:cs="宋体"/>
          <w:color w:val="000000"/>
          <w:sz w:val="21"/>
          <w:szCs w:val="21"/>
          <w:highlight w:val="none"/>
        </w:rPr>
        <w:t>资格</w:t>
      </w:r>
      <w:r>
        <w:rPr>
          <w:rFonts w:hint="eastAsia" w:ascii="宋体" w:hAnsi="宋体" w:eastAsia="宋体" w:cs="宋体"/>
          <w:color w:val="000000"/>
          <w:sz w:val="21"/>
          <w:szCs w:val="21"/>
          <w:highlight w:val="none"/>
          <w:lang w:eastAsia="zh-CN"/>
        </w:rPr>
        <w:t>审查</w:t>
      </w:r>
      <w:r>
        <w:rPr>
          <w:rFonts w:hint="eastAsia" w:ascii="宋体" w:hAnsi="宋体" w:eastAsia="宋体" w:cs="宋体"/>
          <w:color w:val="000000"/>
          <w:sz w:val="21"/>
          <w:szCs w:val="21"/>
          <w:highlight w:val="none"/>
        </w:rPr>
        <w:t>的供应商</w:t>
      </w:r>
      <w:r>
        <w:rPr>
          <w:rFonts w:hint="eastAsia" w:ascii="宋体" w:hAnsi="宋体" w:eastAsia="宋体" w:cs="宋体"/>
          <w:color w:val="000000"/>
          <w:sz w:val="21"/>
          <w:szCs w:val="21"/>
          <w:highlight w:val="none"/>
          <w:lang w:eastAsia="zh-CN"/>
        </w:rPr>
        <w:t>不足</w:t>
      </w:r>
      <w:r>
        <w:rPr>
          <w:rFonts w:hint="eastAsia" w:ascii="宋体" w:hAnsi="宋体" w:eastAsia="宋体" w:cs="宋体"/>
          <w:color w:val="000000"/>
          <w:sz w:val="21"/>
          <w:szCs w:val="21"/>
          <w:highlight w:val="none"/>
        </w:rPr>
        <w:t>3</w:t>
      </w:r>
    </w:p>
    <w:p w14:paraId="79BA0841">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家</w:t>
      </w:r>
      <w:r>
        <w:rPr>
          <w:rFonts w:hint="eastAsia" w:ascii="宋体" w:hAnsi="宋体" w:eastAsia="宋体" w:cs="宋体"/>
          <w:color w:val="000000"/>
          <w:sz w:val="21"/>
          <w:szCs w:val="21"/>
          <w:highlight w:val="none"/>
          <w:lang w:eastAsia="zh-CN"/>
        </w:rPr>
        <w:t>的，不得进入下一阶段评审。</w:t>
      </w:r>
    </w:p>
    <w:p w14:paraId="58002AE0">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430" w:name="_Toc21027"/>
      <w:bookmarkStart w:id="431" w:name="_Toc16143"/>
      <w:bookmarkStart w:id="432" w:name="_Toc10528"/>
      <w:bookmarkStart w:id="433" w:name="_Toc12598"/>
      <w:bookmarkStart w:id="434" w:name="_Toc32305"/>
      <w:bookmarkStart w:id="435" w:name="_Toc4884"/>
      <w:bookmarkStart w:id="436" w:name="_Toc611"/>
      <w:bookmarkStart w:id="437" w:name="_Toc13150069"/>
      <w:bookmarkStart w:id="438" w:name="_Toc111997240"/>
      <w:bookmarkStart w:id="439" w:name="_Toc16180"/>
      <w:bookmarkStart w:id="440" w:name="_Toc19513"/>
      <w:bookmarkStart w:id="441" w:name="_Toc26746"/>
      <w:bookmarkStart w:id="442" w:name="_Toc2042"/>
      <w:bookmarkStart w:id="443" w:name="_Toc31474"/>
      <w:bookmarkStart w:id="444" w:name="_Toc22182"/>
      <w:bookmarkStart w:id="445" w:name="_Toc25889"/>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工作</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7A516EE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.1磋商小组</w:t>
      </w:r>
    </w:p>
    <w:p w14:paraId="57072BA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工作由采购人依法组建的磋商小组负责，对所有供应商的响应文件进行评审，并按</w:t>
      </w:r>
      <w:r>
        <w:rPr>
          <w:rFonts w:hint="eastAsia" w:ascii="宋体" w:hAnsi="宋体" w:eastAsia="宋体" w:cs="宋体"/>
          <w:color w:val="000000"/>
          <w:sz w:val="21"/>
          <w:szCs w:val="21"/>
          <w:highlight w:val="none"/>
          <w:lang w:eastAsia="zh-CN"/>
        </w:rPr>
        <w:t>评审办法</w:t>
      </w:r>
      <w:r>
        <w:rPr>
          <w:rFonts w:hint="eastAsia" w:ascii="宋体" w:hAnsi="宋体" w:eastAsia="宋体" w:cs="宋体"/>
          <w:color w:val="000000"/>
          <w:sz w:val="21"/>
          <w:szCs w:val="21"/>
          <w:highlight w:val="none"/>
        </w:rPr>
        <w:t>规定的方式推荐出供应商须知前附表中载明数量的成交候选</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w:t>
      </w:r>
    </w:p>
    <w:p w14:paraId="17D128D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磋商小组由采购人代表和评审专家共3人以上单数组成，其中评审专家人数不得少于磋商小组成员总数的2/3。</w:t>
      </w:r>
    </w:p>
    <w:p w14:paraId="3D1D3D1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磋商小组对本单位的采购项目只能作为采购人代表参与评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，对技术复杂、专业性强的采购项目，通过随机方式难以确定合适评审专家的情形除外。</w:t>
      </w:r>
    </w:p>
    <w:p w14:paraId="2A01F84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采购代理机构工作人员不得参加由本机构代理的政府采购项目的评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w:t>
      </w:r>
    </w:p>
    <w:p w14:paraId="771D2B8E">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磋商小组成员名单在</w:t>
      </w:r>
      <w:r>
        <w:rPr>
          <w:rFonts w:hint="eastAsia" w:ascii="宋体" w:hAnsi="宋体" w:eastAsia="宋体" w:cs="宋体"/>
          <w:color w:val="000000"/>
          <w:sz w:val="21"/>
          <w:szCs w:val="21"/>
          <w:highlight w:val="none"/>
          <w:lang w:eastAsia="zh-CN"/>
        </w:rPr>
        <w:t>成交</w:t>
      </w:r>
      <w:r>
        <w:rPr>
          <w:rFonts w:hint="eastAsia" w:ascii="宋体" w:hAnsi="宋体" w:eastAsia="宋体" w:cs="宋体"/>
          <w:color w:val="000000"/>
          <w:sz w:val="21"/>
          <w:szCs w:val="21"/>
          <w:highlight w:val="none"/>
        </w:rPr>
        <w:t>结果公告前应当保密。</w:t>
      </w:r>
    </w:p>
    <w:p w14:paraId="4A069DE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.2磋商小组及其成员不得有下列行为：</w:t>
      </w:r>
    </w:p>
    <w:p w14:paraId="017A1C4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确定参与</w:t>
      </w:r>
      <w:r>
        <w:rPr>
          <w:rFonts w:hint="eastAsia" w:ascii="宋体" w:hAnsi="宋体" w:eastAsia="宋体" w:cs="宋体"/>
          <w:color w:val="000000"/>
          <w:sz w:val="21"/>
          <w:szCs w:val="21"/>
          <w:highlight w:val="none"/>
          <w:lang w:eastAsia="zh-CN"/>
        </w:rPr>
        <w:t>评审</w:t>
      </w:r>
      <w:r>
        <w:rPr>
          <w:rFonts w:hint="eastAsia" w:ascii="宋体" w:hAnsi="宋体" w:eastAsia="宋体" w:cs="宋体"/>
          <w:color w:val="000000"/>
          <w:sz w:val="21"/>
          <w:szCs w:val="21"/>
          <w:highlight w:val="none"/>
        </w:rPr>
        <w:t>至</w:t>
      </w:r>
      <w:r>
        <w:rPr>
          <w:rFonts w:hint="eastAsia" w:ascii="宋体" w:hAnsi="宋体" w:eastAsia="宋体" w:cs="宋体"/>
          <w:color w:val="000000"/>
          <w:sz w:val="21"/>
          <w:szCs w:val="21"/>
          <w:highlight w:val="none"/>
          <w:lang w:eastAsia="zh-CN"/>
        </w:rPr>
        <w:t>评审</w:t>
      </w:r>
      <w:r>
        <w:rPr>
          <w:rFonts w:hint="eastAsia" w:ascii="宋体" w:hAnsi="宋体" w:eastAsia="宋体" w:cs="宋体"/>
          <w:color w:val="000000"/>
          <w:sz w:val="21"/>
          <w:szCs w:val="21"/>
          <w:highlight w:val="none"/>
        </w:rPr>
        <w:t>结束前私自接触供应商；</w:t>
      </w:r>
    </w:p>
    <w:p w14:paraId="092C56E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接受供应商提出的与响应文件不一致的澄清或者说明（对于响应文件中含义不明确、同类问题表述不一致或者有明显文字和计算错误的内容，磋商小组以书面形式要求供应商作出必要的澄清、说明或者补正的除外）；</w:t>
      </w:r>
    </w:p>
    <w:p w14:paraId="3AF51B9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违反评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纪律发表倾向性意见或者征询采购人的倾向性意见；</w:t>
      </w:r>
    </w:p>
    <w:p w14:paraId="70EEC40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对需要专业判断的主观评审因素协商评分；</w:t>
      </w:r>
    </w:p>
    <w:p w14:paraId="23E7881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在</w:t>
      </w:r>
      <w:r>
        <w:rPr>
          <w:rFonts w:hint="eastAsia" w:ascii="宋体" w:hAnsi="宋体" w:eastAsia="宋体" w:cs="宋体"/>
          <w:color w:val="000000"/>
          <w:sz w:val="21"/>
          <w:szCs w:val="21"/>
          <w:highlight w:val="none"/>
          <w:lang w:eastAsia="zh-CN"/>
        </w:rPr>
        <w:t>评审</w:t>
      </w:r>
      <w:r>
        <w:rPr>
          <w:rFonts w:hint="eastAsia" w:ascii="宋体" w:hAnsi="宋体" w:eastAsia="宋体" w:cs="宋体"/>
          <w:color w:val="000000"/>
          <w:sz w:val="21"/>
          <w:szCs w:val="21"/>
          <w:highlight w:val="none"/>
        </w:rPr>
        <w:t>过程中擅离职守，影响</w:t>
      </w:r>
      <w:r>
        <w:rPr>
          <w:rFonts w:hint="eastAsia" w:ascii="宋体" w:hAnsi="宋体" w:eastAsia="宋体" w:cs="宋体"/>
          <w:color w:val="000000"/>
          <w:sz w:val="21"/>
          <w:szCs w:val="21"/>
          <w:highlight w:val="none"/>
          <w:lang w:eastAsia="zh-CN"/>
        </w:rPr>
        <w:t>评审</w:t>
      </w:r>
      <w:r>
        <w:rPr>
          <w:rFonts w:hint="eastAsia" w:ascii="宋体" w:hAnsi="宋体" w:eastAsia="宋体" w:cs="宋体"/>
          <w:color w:val="000000"/>
          <w:sz w:val="21"/>
          <w:szCs w:val="21"/>
          <w:highlight w:val="none"/>
        </w:rPr>
        <w:t>程序正常进行的；</w:t>
      </w:r>
    </w:p>
    <w:p w14:paraId="0521647B">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记录、复制或者带走任何</w:t>
      </w:r>
      <w:r>
        <w:rPr>
          <w:rFonts w:hint="eastAsia" w:ascii="宋体" w:hAnsi="宋体" w:eastAsia="宋体" w:cs="宋体"/>
          <w:color w:val="000000"/>
          <w:sz w:val="21"/>
          <w:szCs w:val="21"/>
          <w:highlight w:val="none"/>
          <w:lang w:eastAsia="zh-CN"/>
        </w:rPr>
        <w:t>评审</w:t>
      </w:r>
      <w:r>
        <w:rPr>
          <w:rFonts w:hint="eastAsia" w:ascii="宋体" w:hAnsi="宋体" w:eastAsia="宋体" w:cs="宋体"/>
          <w:color w:val="000000"/>
          <w:sz w:val="21"/>
          <w:szCs w:val="21"/>
          <w:highlight w:val="none"/>
        </w:rPr>
        <w:t>资料；</w:t>
      </w:r>
    </w:p>
    <w:p w14:paraId="6F9A4E3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其他不遵守</w:t>
      </w:r>
      <w:r>
        <w:rPr>
          <w:rFonts w:hint="eastAsia" w:ascii="宋体" w:hAnsi="宋体" w:eastAsia="宋体" w:cs="宋体"/>
          <w:color w:val="000000"/>
          <w:sz w:val="21"/>
          <w:szCs w:val="21"/>
          <w:highlight w:val="none"/>
          <w:lang w:eastAsia="zh-CN"/>
        </w:rPr>
        <w:t>评审</w:t>
      </w:r>
      <w:r>
        <w:rPr>
          <w:rFonts w:hint="eastAsia" w:ascii="宋体" w:hAnsi="宋体" w:eastAsia="宋体" w:cs="宋体"/>
          <w:color w:val="000000"/>
          <w:sz w:val="21"/>
          <w:szCs w:val="21"/>
          <w:highlight w:val="none"/>
        </w:rPr>
        <w:t>纪律的行为。</w:t>
      </w:r>
    </w:p>
    <w:p w14:paraId="4FC8FC0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磋商小组成员有本章第4.5.1项第（1）至（5）行为之一的，其评审意见无效，并不得获取评审劳务报酬和报销异地评审差旅费。</w:t>
      </w:r>
    </w:p>
    <w:p w14:paraId="041EA0A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.3磋商小组成员对需要共同认定的事项存在争议的，应当按照少数服从多数的原则作出结论。持不同意见的磋商小组成员应当在评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报告上签署不同意见及理由，否则视为同意评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报告。</w:t>
      </w:r>
    </w:p>
    <w:p w14:paraId="421D2A3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eastAsia="zh-CN"/>
        </w:rPr>
        <w:t>评审原则</w:t>
      </w:r>
    </w:p>
    <w:p w14:paraId="61C2142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磋商小组成员应当按照客观、公正、审慎的原则，根据竞争性磋商文件规定的评审程序、评审方法和评审标准进行独立评审。竞争性磋商文件中没有规定的评审方法、评审标准，不作为评审依据。</w:t>
      </w:r>
      <w:bookmarkStart w:id="446" w:name="_Toc18846"/>
      <w:bookmarkStart w:id="447" w:name="_Toc12131"/>
      <w:bookmarkStart w:id="448" w:name="_Toc9518"/>
      <w:bookmarkStart w:id="449" w:name="_Toc13138"/>
      <w:bookmarkStart w:id="450" w:name="_Toc5813"/>
      <w:bookmarkStart w:id="451" w:name="_Toc608"/>
      <w:bookmarkStart w:id="452" w:name="_Toc27962"/>
      <w:bookmarkStart w:id="453" w:name="_Toc25530"/>
      <w:bookmarkStart w:id="454" w:name="_Toc111997241"/>
      <w:bookmarkStart w:id="455" w:name="_Toc28834"/>
      <w:bookmarkStart w:id="456" w:name="_Toc10927"/>
      <w:bookmarkStart w:id="457" w:name="_Toc13150070"/>
      <w:bookmarkStart w:id="458" w:name="_Toc7396"/>
      <w:bookmarkStart w:id="459" w:name="_Toc12609"/>
      <w:bookmarkStart w:id="460" w:name="_Toc886"/>
      <w:bookmarkStart w:id="461" w:name="_Toc25755"/>
    </w:p>
    <w:p w14:paraId="30E7DF0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rPr>
        <w:t>保密及其它注意事项</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Start w:id="462" w:name="_Toc7446"/>
      <w:bookmarkStart w:id="463" w:name="_Toc11172"/>
      <w:bookmarkStart w:id="464" w:name="_Toc9665"/>
      <w:bookmarkStart w:id="465" w:name="_Toc24743"/>
      <w:bookmarkStart w:id="466" w:name="_Toc312133548"/>
      <w:bookmarkStart w:id="467" w:name="_Toc16677"/>
      <w:bookmarkStart w:id="468" w:name="_Toc28869"/>
      <w:bookmarkStart w:id="469" w:name="_Toc25463"/>
      <w:bookmarkStart w:id="470" w:name="_Toc30177"/>
      <w:bookmarkStart w:id="471" w:name="_Toc20935"/>
    </w:p>
    <w:p w14:paraId="51A8E37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4.5.1</w:t>
      </w:r>
      <w:r>
        <w:rPr>
          <w:rFonts w:hint="eastAsia" w:ascii="宋体" w:hAnsi="宋体" w:eastAsia="宋体" w:cs="宋体"/>
          <w:color w:val="000000"/>
          <w:sz w:val="21"/>
          <w:szCs w:val="21"/>
          <w:highlight w:val="none"/>
        </w:rPr>
        <w:t>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工作在磋商小组内独立进行</w:t>
      </w:r>
      <w:r>
        <w:rPr>
          <w:rFonts w:hint="eastAsia" w:ascii="宋体" w:hAnsi="宋体" w:eastAsia="宋体" w:cs="宋体"/>
          <w:color w:val="000000"/>
          <w:sz w:val="21"/>
          <w:szCs w:val="21"/>
          <w:highlight w:val="none"/>
          <w:lang w:eastAsia="zh-CN"/>
        </w:rPr>
        <w:t>。</w:t>
      </w:r>
    </w:p>
    <w:p w14:paraId="09A32341">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4.5.2</w:t>
      </w:r>
      <w:r>
        <w:rPr>
          <w:rFonts w:hint="eastAsia" w:ascii="宋体" w:hAnsi="宋体" w:eastAsia="宋体" w:cs="宋体"/>
          <w:color w:val="000000"/>
          <w:sz w:val="21"/>
          <w:szCs w:val="21"/>
          <w:highlight w:val="none"/>
        </w:rPr>
        <w:t>响应文件的审查、澄清和比较的有关资料以及</w:t>
      </w:r>
      <w:r>
        <w:rPr>
          <w:rFonts w:hint="eastAsia" w:ascii="宋体" w:hAnsi="宋体" w:eastAsia="宋体" w:cs="宋体"/>
          <w:color w:val="000000"/>
          <w:sz w:val="21"/>
          <w:szCs w:val="21"/>
          <w:highlight w:val="none"/>
          <w:lang w:eastAsia="zh-CN"/>
        </w:rPr>
        <w:t>成交候选供应商</w:t>
      </w:r>
      <w:r>
        <w:rPr>
          <w:rFonts w:hint="eastAsia" w:ascii="宋体" w:hAnsi="宋体" w:eastAsia="宋体" w:cs="宋体"/>
          <w:color w:val="000000"/>
          <w:sz w:val="21"/>
          <w:szCs w:val="21"/>
          <w:highlight w:val="none"/>
        </w:rPr>
        <w:t>的推荐情况，与评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有关的其他任何情况均应严格保密。</w:t>
      </w:r>
    </w:p>
    <w:p w14:paraId="17750F6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4.5.3</w:t>
      </w:r>
      <w:r>
        <w:rPr>
          <w:rFonts w:hint="eastAsia" w:ascii="宋体" w:hAnsi="宋体" w:eastAsia="宋体" w:cs="宋体"/>
          <w:color w:val="000000"/>
          <w:sz w:val="21"/>
          <w:szCs w:val="21"/>
          <w:highlight w:val="none"/>
        </w:rPr>
        <w:t>在响应文件的评审和比较、</w:t>
      </w:r>
      <w:r>
        <w:rPr>
          <w:rFonts w:hint="eastAsia" w:ascii="宋体" w:hAnsi="宋体" w:eastAsia="宋体" w:cs="宋体"/>
          <w:color w:val="000000"/>
          <w:sz w:val="21"/>
          <w:szCs w:val="21"/>
          <w:highlight w:val="none"/>
          <w:lang w:eastAsia="zh-CN"/>
        </w:rPr>
        <w:t>成交候选供应商</w:t>
      </w:r>
      <w:r>
        <w:rPr>
          <w:rFonts w:hint="eastAsia" w:ascii="宋体" w:hAnsi="宋体" w:eastAsia="宋体" w:cs="宋体"/>
          <w:color w:val="000000"/>
          <w:sz w:val="21"/>
          <w:szCs w:val="21"/>
          <w:highlight w:val="none"/>
        </w:rPr>
        <w:t>推荐以及授予合同的过程中，</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向</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和磋商小组施加影响的任何行为，都将会导致其</w:t>
      </w:r>
      <w:r>
        <w:rPr>
          <w:rFonts w:hint="eastAsia" w:ascii="宋体" w:hAnsi="宋体" w:eastAsia="宋体" w:cs="宋体"/>
          <w:color w:val="000000"/>
          <w:sz w:val="21"/>
          <w:szCs w:val="21"/>
          <w:highlight w:val="none"/>
          <w:lang w:eastAsia="zh-CN"/>
        </w:rPr>
        <w:t>响应</w:t>
      </w:r>
      <w:r>
        <w:rPr>
          <w:rFonts w:hint="eastAsia" w:ascii="宋体" w:hAnsi="宋体" w:eastAsia="宋体" w:cs="宋体"/>
          <w:color w:val="000000"/>
          <w:sz w:val="21"/>
          <w:szCs w:val="21"/>
          <w:highlight w:val="none"/>
        </w:rPr>
        <w:t>被拒绝。</w:t>
      </w:r>
    </w:p>
    <w:p w14:paraId="76E39AD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4.5.4</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不对未成交</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就评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过程以及未能成交原因作出任何解释。未成交</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不得向磋商小组成员和其他有关人员索问评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过程的情况和资料。</w:t>
      </w:r>
    </w:p>
    <w:p w14:paraId="18477ED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4.5.5</w:t>
      </w:r>
      <w:r>
        <w:rPr>
          <w:rFonts w:hint="eastAsia" w:ascii="宋体" w:hAnsi="宋体" w:eastAsia="宋体" w:cs="宋体"/>
          <w:color w:val="000000"/>
          <w:sz w:val="21"/>
          <w:szCs w:val="21"/>
          <w:highlight w:val="none"/>
        </w:rPr>
        <w:t>在评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工作结束后，凡与评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情况有接触的任何人不得擅自将评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情况扩散出评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人员之外</w:t>
      </w:r>
      <w:r>
        <w:rPr>
          <w:rFonts w:hint="eastAsia" w:ascii="宋体" w:hAnsi="宋体" w:eastAsia="宋体" w:cs="宋体"/>
          <w:color w:val="000000"/>
          <w:sz w:val="21"/>
          <w:szCs w:val="21"/>
          <w:highlight w:val="none"/>
          <w:lang w:eastAsia="zh-CN"/>
        </w:rPr>
        <w:t>。</w:t>
      </w:r>
    </w:p>
    <w:p w14:paraId="101E01E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4.5.6</w:t>
      </w:r>
      <w:r>
        <w:rPr>
          <w:rFonts w:hint="eastAsia" w:ascii="宋体" w:hAnsi="宋体" w:eastAsia="宋体" w:cs="宋体"/>
          <w:color w:val="000000"/>
          <w:sz w:val="21"/>
          <w:szCs w:val="21"/>
          <w:highlight w:val="none"/>
        </w:rPr>
        <w:t>评</w:t>
      </w:r>
      <w:r>
        <w:rPr>
          <w:rFonts w:hint="eastAsia" w:ascii="宋体" w:hAnsi="宋体" w:eastAsia="宋体" w:cs="宋体"/>
          <w:color w:val="000000"/>
          <w:sz w:val="21"/>
          <w:szCs w:val="21"/>
          <w:highlight w:val="none"/>
          <w:lang w:eastAsia="zh-CN"/>
        </w:rPr>
        <w:t>审</w:t>
      </w:r>
      <w:r>
        <w:rPr>
          <w:rFonts w:hint="eastAsia" w:ascii="宋体" w:hAnsi="宋体" w:eastAsia="宋体" w:cs="宋体"/>
          <w:color w:val="000000"/>
          <w:sz w:val="21"/>
          <w:szCs w:val="21"/>
          <w:highlight w:val="none"/>
        </w:rPr>
        <w:t>结束后，响应文件概不退还。</w:t>
      </w:r>
    </w:p>
    <w:p w14:paraId="37716BAB">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lang w:eastAsia="zh-CN"/>
        </w:rPr>
      </w:pPr>
      <w:bookmarkStart w:id="472" w:name="_Toc18716"/>
      <w:r>
        <w:rPr>
          <w:rFonts w:hint="eastAsia" w:ascii="宋体" w:hAnsi="宋体" w:eastAsia="宋体" w:cs="宋体"/>
          <w:b/>
          <w:bCs/>
          <w:color w:val="000000"/>
          <w:sz w:val="21"/>
          <w:szCs w:val="21"/>
          <w:highlight w:val="none"/>
          <w:lang w:eastAsia="zh-CN"/>
        </w:rPr>
        <w:t>5</w:t>
      </w:r>
      <w:bookmarkEnd w:id="462"/>
      <w:bookmarkEnd w:id="463"/>
      <w:bookmarkEnd w:id="464"/>
      <w:bookmarkEnd w:id="465"/>
      <w:bookmarkEnd w:id="466"/>
      <w:bookmarkEnd w:id="467"/>
      <w:bookmarkEnd w:id="468"/>
      <w:bookmarkEnd w:id="469"/>
      <w:bookmarkEnd w:id="470"/>
      <w:bookmarkEnd w:id="471"/>
      <w:bookmarkStart w:id="473" w:name="_Toc13150072"/>
      <w:bookmarkStart w:id="474" w:name="_Toc22971"/>
      <w:bookmarkStart w:id="475" w:name="_Toc25368"/>
      <w:bookmarkStart w:id="476" w:name="_Toc14048"/>
      <w:bookmarkStart w:id="477" w:name="_Toc26787"/>
      <w:bookmarkStart w:id="478" w:name="_Toc22245"/>
      <w:bookmarkStart w:id="479" w:name="_Toc3574"/>
      <w:bookmarkStart w:id="480" w:name="_Toc32241"/>
      <w:bookmarkStart w:id="481" w:name="_Toc13599"/>
      <w:bookmarkStart w:id="482" w:name="_Toc6320"/>
      <w:bookmarkStart w:id="483" w:name="_Toc4415"/>
      <w:bookmarkStart w:id="484" w:name="_Toc21756"/>
      <w:bookmarkStart w:id="485" w:name="_Toc22539"/>
      <w:bookmarkStart w:id="486" w:name="_Toc20851"/>
      <w:bookmarkStart w:id="487" w:name="_Toc20199"/>
      <w:bookmarkStart w:id="488" w:name="_Toc26604"/>
      <w:bookmarkStart w:id="489" w:name="_Toc22088"/>
      <w:bookmarkStart w:id="490" w:name="_Toc22457"/>
      <w:bookmarkStart w:id="491" w:name="_Toc17818"/>
      <w:bookmarkStart w:id="492" w:name="_Toc23900"/>
      <w:bookmarkStart w:id="493" w:name="_Toc30644"/>
      <w:r>
        <w:rPr>
          <w:rFonts w:hint="eastAsia" w:ascii="宋体" w:hAnsi="宋体" w:eastAsia="宋体" w:cs="宋体"/>
          <w:b/>
          <w:bCs/>
          <w:color w:val="000000"/>
          <w:sz w:val="21"/>
          <w:szCs w:val="21"/>
          <w:highlight w:val="none"/>
          <w:lang w:eastAsia="zh-CN"/>
        </w:rPr>
        <w:t>、确定成交供应商</w:t>
      </w:r>
      <w:bookmarkEnd w:id="472"/>
    </w:p>
    <w:p w14:paraId="2BCB33F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采购</w:t>
      </w:r>
      <w:r>
        <w:rPr>
          <w:rFonts w:hint="eastAsia" w:ascii="宋体" w:hAnsi="宋体" w:eastAsia="宋体" w:cs="宋体"/>
          <w:color w:val="000000"/>
          <w:sz w:val="21"/>
          <w:szCs w:val="21"/>
          <w:highlight w:val="none"/>
        </w:rPr>
        <w:t>代理机构应当自评审结束之日起2个工作日内将评审报告送交</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应当自收到评审报告之日起5个工作日内在评审报告推荐的成交候选</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中按顺序确定成交</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评审得分相同的，按照最后报价由低到高的顺序推荐。评审得分且最后报价相同的，按照技术指标优劣顺序推荐。</w:t>
      </w:r>
    </w:p>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14:paraId="1FB68DCD">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494" w:name="_Toc20045"/>
      <w:r>
        <w:rPr>
          <w:rFonts w:hint="eastAsia" w:ascii="宋体" w:hAnsi="宋体" w:eastAsia="宋体" w:cs="宋体"/>
          <w:b/>
          <w:bCs/>
          <w:color w:val="000000"/>
          <w:sz w:val="21"/>
          <w:szCs w:val="21"/>
          <w:highlight w:val="none"/>
          <w:lang w:val="en-US" w:eastAsia="zh-CN"/>
        </w:rPr>
        <w:t>6、</w:t>
      </w:r>
      <w:r>
        <w:rPr>
          <w:rFonts w:hint="eastAsia" w:ascii="宋体" w:hAnsi="宋体" w:eastAsia="宋体" w:cs="宋体"/>
          <w:b/>
          <w:bCs/>
          <w:color w:val="000000"/>
          <w:sz w:val="21"/>
          <w:szCs w:val="21"/>
          <w:highlight w:val="none"/>
        </w:rPr>
        <w:t>成交结果公告</w:t>
      </w:r>
      <w:bookmarkEnd w:id="494"/>
    </w:p>
    <w:p w14:paraId="7521889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代理机构应当自成交供应商确定之日起2个工作日内，在省级以上财政部门指定的媒体上公告成交结果，竞争性磋商文件应当随成交结果同时公告。公告期限为1个工作日。</w:t>
      </w:r>
    </w:p>
    <w:p w14:paraId="1E40F3C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成交通知书发出后，采购人不得违法改变成交结果，成交供应商无正当理由不得放弃中标。</w:t>
      </w:r>
    </w:p>
    <w:p w14:paraId="7541B2A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各有关当事人对成交结果有异议的，可以在成交结果公告期限届满之日起七个工作日内，按政府采购质疑和投诉办法（中华人民共和国财政部令第94号）要求以书面形式同时向代理机构提出质疑，逾期提交或未按照要求提交的质疑函将不予受理。</w:t>
      </w:r>
    </w:p>
    <w:bookmarkEnd w:id="488"/>
    <w:bookmarkEnd w:id="489"/>
    <w:bookmarkEnd w:id="490"/>
    <w:bookmarkEnd w:id="491"/>
    <w:bookmarkEnd w:id="492"/>
    <w:bookmarkEnd w:id="493"/>
    <w:p w14:paraId="3E535ABC">
      <w:pPr>
        <w:keepNext w:val="0"/>
        <w:keepLines w:val="0"/>
        <w:pageBreakBefore w:val="0"/>
        <w:widowControl w:val="0"/>
        <w:numPr>
          <w:ilvl w:val="2"/>
          <w:numId w:val="0"/>
        </w:numPr>
        <w:kinsoku/>
        <w:wordWrap/>
        <w:overflowPunct/>
        <w:topLinePunct w:val="0"/>
        <w:autoSpaceDE/>
        <w:autoSpaceDN/>
        <w:bidi w:val="0"/>
        <w:adjustRightInd/>
        <w:snapToGrid/>
        <w:spacing w:line="460" w:lineRule="exact"/>
        <w:jc w:val="left"/>
        <w:textAlignment w:val="auto"/>
        <w:rPr>
          <w:rFonts w:hint="eastAsia" w:ascii="宋体" w:hAnsi="宋体" w:eastAsia="宋体" w:cs="宋体"/>
          <w:b/>
          <w:bCs/>
          <w:color w:val="000000"/>
          <w:sz w:val="21"/>
          <w:szCs w:val="21"/>
          <w:highlight w:val="none"/>
        </w:rPr>
      </w:pPr>
      <w:bookmarkStart w:id="495" w:name="_Toc19371"/>
      <w:bookmarkStart w:id="496" w:name="_Toc13150074"/>
      <w:bookmarkStart w:id="497" w:name="_Toc12305"/>
      <w:bookmarkStart w:id="498" w:name="_Toc12174"/>
      <w:bookmarkStart w:id="499" w:name="_Toc8095"/>
      <w:bookmarkStart w:id="500" w:name="_Toc24223"/>
      <w:bookmarkStart w:id="501" w:name="_Toc15356"/>
      <w:bookmarkStart w:id="502" w:name="_Toc29785"/>
      <w:bookmarkStart w:id="503" w:name="_Toc26351"/>
      <w:bookmarkStart w:id="504" w:name="_Toc26213"/>
      <w:bookmarkStart w:id="505" w:name="_Toc20626"/>
      <w:bookmarkStart w:id="506" w:name="_Toc13392"/>
      <w:bookmarkStart w:id="507" w:name="_Toc3846"/>
      <w:bookmarkStart w:id="508" w:name="_Toc5799"/>
      <w:bookmarkStart w:id="509" w:name="_Toc2339"/>
      <w:bookmarkStart w:id="510" w:name="_Toc111997244"/>
      <w:bookmarkStart w:id="511" w:name="_Toc14610"/>
      <w:bookmarkStart w:id="512" w:name="_Toc23610"/>
      <w:bookmarkStart w:id="513" w:name="_Toc12224"/>
      <w:bookmarkStart w:id="514" w:name="_Toc21786"/>
      <w:bookmarkStart w:id="515" w:name="_Toc25621"/>
      <w:bookmarkStart w:id="516" w:name="_Toc22373"/>
      <w:bookmarkStart w:id="517" w:name="_Toc29117"/>
      <w:bookmarkStart w:id="518" w:name="_Toc22911"/>
      <w:r>
        <w:rPr>
          <w:rFonts w:hint="eastAsia" w:ascii="宋体" w:hAnsi="宋体" w:eastAsia="宋体" w:cs="宋体"/>
          <w:b/>
          <w:bCs/>
          <w:color w:val="000000"/>
          <w:sz w:val="21"/>
          <w:szCs w:val="21"/>
          <w:highlight w:val="none"/>
          <w:lang w:val="en-US" w:eastAsia="zh-CN"/>
        </w:rPr>
        <w:t>7、</w:t>
      </w:r>
      <w:r>
        <w:rPr>
          <w:rFonts w:hint="eastAsia" w:ascii="宋体" w:hAnsi="宋体" w:eastAsia="宋体" w:cs="宋体"/>
          <w:b/>
          <w:bCs/>
          <w:color w:val="000000"/>
          <w:sz w:val="21"/>
          <w:szCs w:val="21"/>
          <w:highlight w:val="none"/>
        </w:rPr>
        <w:t>成交通知书</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72C3B4F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7.1</w:t>
      </w:r>
      <w:r>
        <w:rPr>
          <w:rFonts w:hint="eastAsia" w:ascii="宋体" w:hAnsi="宋体" w:eastAsia="宋体" w:cs="宋体"/>
          <w:color w:val="000000"/>
          <w:sz w:val="21"/>
          <w:szCs w:val="21"/>
          <w:highlight w:val="none"/>
        </w:rPr>
        <w:t>在公告成交结果的同时，采购人或者采购代理机构应当向成交供应商发出成交通知书，成交通知书将作为进行合同谈判和签订合同的依据。</w:t>
      </w:r>
    </w:p>
    <w:p w14:paraId="5ED6DC7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.2</w:t>
      </w:r>
      <w:r>
        <w:rPr>
          <w:rFonts w:hint="eastAsia" w:ascii="宋体" w:hAnsi="宋体" w:eastAsia="宋体" w:cs="宋体"/>
          <w:color w:val="000000"/>
          <w:sz w:val="21"/>
          <w:szCs w:val="21"/>
          <w:highlight w:val="none"/>
          <w:lang w:eastAsia="zh-CN"/>
        </w:rPr>
        <w:t>成交通知书</w:t>
      </w:r>
      <w:r>
        <w:rPr>
          <w:rFonts w:hint="eastAsia" w:ascii="宋体" w:hAnsi="宋体" w:eastAsia="宋体" w:cs="宋体"/>
          <w:color w:val="000000"/>
          <w:sz w:val="21"/>
          <w:szCs w:val="21"/>
          <w:highlight w:val="none"/>
        </w:rPr>
        <w:t>是</w:t>
      </w:r>
      <w:r>
        <w:rPr>
          <w:rFonts w:hint="eastAsia" w:ascii="宋体" w:hAnsi="宋体" w:eastAsia="宋体" w:cs="宋体"/>
          <w:color w:val="000000"/>
          <w:sz w:val="21"/>
          <w:szCs w:val="21"/>
          <w:highlight w:val="none"/>
          <w:lang w:eastAsia="zh-CN"/>
        </w:rPr>
        <w:t>签订</w:t>
      </w:r>
      <w:r>
        <w:rPr>
          <w:rFonts w:hint="eastAsia" w:ascii="宋体" w:hAnsi="宋体" w:eastAsia="宋体" w:cs="宋体"/>
          <w:color w:val="000000"/>
          <w:sz w:val="21"/>
          <w:szCs w:val="21"/>
          <w:highlight w:val="none"/>
        </w:rPr>
        <w:t>合同的组成部分。</w:t>
      </w:r>
    </w:p>
    <w:p w14:paraId="496C0B1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7</w:t>
      </w:r>
      <w:r>
        <w:rPr>
          <w:rFonts w:hint="eastAsia" w:ascii="宋体" w:hAnsi="宋体" w:eastAsia="宋体" w:cs="宋体"/>
          <w:color w:val="000000"/>
          <w:sz w:val="21"/>
          <w:szCs w:val="21"/>
          <w:highlight w:val="none"/>
        </w:rPr>
        <w:t>.3</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将在发出</w:t>
      </w:r>
      <w:r>
        <w:rPr>
          <w:rFonts w:hint="eastAsia" w:ascii="宋体" w:hAnsi="宋体" w:eastAsia="宋体" w:cs="宋体"/>
          <w:color w:val="000000"/>
          <w:sz w:val="21"/>
          <w:szCs w:val="21"/>
          <w:highlight w:val="none"/>
          <w:lang w:eastAsia="zh-CN"/>
        </w:rPr>
        <w:t>成交通知书</w:t>
      </w:r>
      <w:r>
        <w:rPr>
          <w:rFonts w:hint="eastAsia" w:ascii="宋体" w:hAnsi="宋体" w:eastAsia="宋体" w:cs="宋体"/>
          <w:color w:val="000000"/>
          <w:sz w:val="21"/>
          <w:szCs w:val="21"/>
          <w:highlight w:val="none"/>
        </w:rPr>
        <w:t>的同时，将</w:t>
      </w:r>
      <w:r>
        <w:rPr>
          <w:rFonts w:hint="eastAsia" w:ascii="宋体" w:hAnsi="宋体" w:eastAsia="宋体" w:cs="宋体"/>
          <w:color w:val="000000"/>
          <w:sz w:val="21"/>
          <w:szCs w:val="21"/>
          <w:highlight w:val="none"/>
          <w:lang w:eastAsia="zh-CN"/>
        </w:rPr>
        <w:t>成交</w:t>
      </w:r>
      <w:r>
        <w:rPr>
          <w:rFonts w:hint="eastAsia" w:ascii="宋体" w:hAnsi="宋体" w:eastAsia="宋体" w:cs="宋体"/>
          <w:color w:val="000000"/>
          <w:sz w:val="21"/>
          <w:szCs w:val="21"/>
          <w:highlight w:val="none"/>
        </w:rPr>
        <w:t>结果通知所有未</w:t>
      </w:r>
      <w:r>
        <w:rPr>
          <w:rFonts w:hint="eastAsia" w:ascii="宋体" w:hAnsi="宋体" w:eastAsia="宋体" w:cs="宋体"/>
          <w:color w:val="000000"/>
          <w:sz w:val="21"/>
          <w:szCs w:val="21"/>
          <w:highlight w:val="none"/>
          <w:lang w:eastAsia="zh-CN"/>
        </w:rPr>
        <w:t>成交</w:t>
      </w:r>
      <w:r>
        <w:rPr>
          <w:rFonts w:hint="eastAsia" w:ascii="宋体" w:hAnsi="宋体" w:eastAsia="宋体" w:cs="宋体"/>
          <w:color w:val="000000"/>
          <w:sz w:val="21"/>
          <w:szCs w:val="21"/>
          <w:highlight w:val="none"/>
        </w:rPr>
        <w:t>的</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w:t>
      </w:r>
      <w:bookmarkEnd w:id="512"/>
      <w:bookmarkEnd w:id="513"/>
      <w:bookmarkEnd w:id="514"/>
      <w:bookmarkEnd w:id="515"/>
      <w:bookmarkEnd w:id="516"/>
      <w:bookmarkEnd w:id="517"/>
      <w:bookmarkEnd w:id="518"/>
      <w:bookmarkStart w:id="519" w:name="_Toc22392"/>
      <w:bookmarkStart w:id="520" w:name="_Toc28203"/>
      <w:bookmarkStart w:id="521" w:name="_Toc12530"/>
      <w:bookmarkStart w:id="522" w:name="_Toc15061"/>
      <w:bookmarkStart w:id="523" w:name="_Toc1226"/>
      <w:bookmarkStart w:id="524" w:name="_Toc26471"/>
      <w:bookmarkStart w:id="525" w:name="_Toc21533"/>
      <w:bookmarkStart w:id="526" w:name="_Toc10361"/>
      <w:bookmarkStart w:id="527" w:name="_Toc8166"/>
      <w:bookmarkStart w:id="528" w:name="_Toc11221"/>
      <w:bookmarkStart w:id="529" w:name="_Toc15128"/>
      <w:bookmarkStart w:id="530" w:name="_Toc3376"/>
      <w:bookmarkStart w:id="531" w:name="_Toc13150076"/>
      <w:bookmarkStart w:id="532" w:name="_Toc6766"/>
      <w:bookmarkStart w:id="533" w:name="_Toc22384"/>
      <w:bookmarkStart w:id="534" w:name="_Toc111997246"/>
      <w:bookmarkStart w:id="535" w:name="_Toc21638"/>
    </w:p>
    <w:p w14:paraId="4BCB9280">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8.</w:t>
      </w:r>
      <w:r>
        <w:rPr>
          <w:rFonts w:hint="eastAsia" w:ascii="宋体" w:hAnsi="宋体" w:eastAsia="宋体" w:cs="宋体"/>
          <w:b/>
          <w:bCs/>
          <w:color w:val="000000"/>
          <w:sz w:val="21"/>
          <w:szCs w:val="21"/>
          <w:highlight w:val="none"/>
        </w:rPr>
        <w:t>签订合同</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Start w:id="536" w:name="_Toc26749"/>
      <w:bookmarkStart w:id="537" w:name="_Toc8361"/>
      <w:bookmarkStart w:id="538" w:name="_Toc5672"/>
      <w:bookmarkStart w:id="539" w:name="_Toc1417"/>
      <w:bookmarkStart w:id="540" w:name="_Toc21963"/>
    </w:p>
    <w:p w14:paraId="12ED5C3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8.1</w:t>
      </w:r>
      <w:bookmarkEnd w:id="536"/>
      <w:bookmarkEnd w:id="537"/>
      <w:bookmarkEnd w:id="538"/>
      <w:bookmarkStart w:id="541" w:name="_Toc26954"/>
      <w:r>
        <w:rPr>
          <w:rFonts w:hint="eastAsia" w:ascii="宋体" w:hAnsi="宋体" w:eastAsia="宋体" w:cs="宋体"/>
          <w:color w:val="000000"/>
          <w:sz w:val="21"/>
          <w:szCs w:val="21"/>
          <w:highlight w:val="none"/>
          <w:lang w:val="en-US" w:eastAsia="zh-CN"/>
        </w:rPr>
        <w:t>采购人与成交供应商应当在成交通知书发出之日起30日内签订合同。</w:t>
      </w:r>
    </w:p>
    <w:p w14:paraId="720D804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8.2采购人不得向成交供应商提出超出竞争性磋商文件以外的任何要求作为签订合同的条件，不得与成交供应商订立背离竞争性磋商文件确定的合同文本以及采购标的、采购金额、技术和服务要求等实质性内容的协议。</w:t>
      </w:r>
    </w:p>
    <w:bookmarkEnd w:id="541"/>
    <w:p w14:paraId="224E7C9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542" w:name="_Toc10652"/>
      <w:bookmarkStart w:id="543" w:name="_Toc12834"/>
      <w:bookmarkStart w:id="544" w:name="_Toc14039"/>
      <w:bookmarkStart w:id="545" w:name="_Toc21772"/>
      <w:r>
        <w:rPr>
          <w:rFonts w:hint="eastAsia" w:ascii="宋体" w:hAnsi="宋体" w:eastAsia="宋体" w:cs="宋体"/>
          <w:color w:val="000000"/>
          <w:sz w:val="21"/>
          <w:szCs w:val="21"/>
          <w:highlight w:val="none"/>
          <w:lang w:val="en-US" w:eastAsia="zh-CN"/>
        </w:rPr>
        <w:t>8.3</w:t>
      </w:r>
      <w:r>
        <w:rPr>
          <w:rFonts w:hint="eastAsia" w:ascii="宋体" w:hAnsi="宋体" w:eastAsia="宋体" w:cs="宋体"/>
          <w:color w:val="000000"/>
          <w:sz w:val="21"/>
          <w:szCs w:val="21"/>
          <w:highlight w:val="none"/>
        </w:rPr>
        <w:t>竞争性磋商文件、成交</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的响应文件和澄清文件等，均应作为签约的合同文本的基础。</w:t>
      </w:r>
      <w:bookmarkEnd w:id="542"/>
      <w:bookmarkEnd w:id="543"/>
      <w:bookmarkEnd w:id="544"/>
      <w:bookmarkEnd w:id="545"/>
    </w:p>
    <w:p w14:paraId="19D7FD6B">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546" w:name="_Toc18078"/>
      <w:bookmarkStart w:id="547" w:name="_Toc7717"/>
      <w:bookmarkStart w:id="548" w:name="_Toc5311"/>
      <w:bookmarkStart w:id="549" w:name="_Toc6035"/>
      <w:r>
        <w:rPr>
          <w:rFonts w:hint="eastAsia" w:ascii="宋体" w:hAnsi="宋体" w:eastAsia="宋体" w:cs="宋体"/>
          <w:color w:val="000000"/>
          <w:sz w:val="21"/>
          <w:szCs w:val="21"/>
          <w:highlight w:val="none"/>
          <w:lang w:val="en-US" w:eastAsia="zh-CN"/>
        </w:rPr>
        <w:t>8.4</w:t>
      </w:r>
      <w:r>
        <w:rPr>
          <w:rFonts w:hint="eastAsia" w:ascii="宋体" w:hAnsi="宋体" w:eastAsia="宋体" w:cs="宋体"/>
          <w:color w:val="000000"/>
          <w:sz w:val="21"/>
          <w:szCs w:val="21"/>
          <w:highlight w:val="none"/>
        </w:rPr>
        <w:t>如成交</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不按本章第</w:t>
      </w:r>
      <w:r>
        <w:rPr>
          <w:rFonts w:hint="eastAsia" w:ascii="宋体" w:hAnsi="宋体" w:eastAsia="宋体" w:cs="宋体"/>
          <w:color w:val="000000"/>
          <w:sz w:val="21"/>
          <w:szCs w:val="21"/>
          <w:highlight w:val="none"/>
          <w:lang w:val="en-US" w:eastAsia="zh-CN"/>
        </w:rPr>
        <w:t>8</w:t>
      </w:r>
      <w:r>
        <w:rPr>
          <w:rFonts w:hint="eastAsia" w:ascii="宋体" w:hAnsi="宋体" w:eastAsia="宋体" w:cs="宋体"/>
          <w:color w:val="000000"/>
          <w:sz w:val="21"/>
          <w:szCs w:val="21"/>
          <w:highlight w:val="none"/>
        </w:rPr>
        <w:t>.1项约定签订合同，</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将取消其成交决定，</w:t>
      </w:r>
      <w:r>
        <w:rPr>
          <w:rFonts w:hint="eastAsia" w:ascii="宋体" w:hAnsi="宋体" w:eastAsia="宋体" w:cs="宋体"/>
          <w:color w:val="000000"/>
          <w:sz w:val="21"/>
          <w:szCs w:val="21"/>
          <w:highlight w:val="none"/>
          <w:lang w:eastAsia="zh-CN"/>
        </w:rPr>
        <w:t>给采购人造成的损失应承担赔偿责任</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采购人</w:t>
      </w:r>
      <w:r>
        <w:rPr>
          <w:rFonts w:hint="eastAsia" w:ascii="宋体" w:hAnsi="宋体" w:eastAsia="宋体" w:cs="宋体"/>
          <w:color w:val="000000"/>
          <w:sz w:val="21"/>
          <w:szCs w:val="21"/>
          <w:highlight w:val="none"/>
        </w:rPr>
        <w:t>可按照磋商小组推荐的成交候选</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名单排序，确定下一候选</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为成交</w:t>
      </w:r>
      <w:r>
        <w:rPr>
          <w:rFonts w:hint="eastAsia" w:ascii="宋体" w:hAnsi="宋体" w:eastAsia="宋体" w:cs="宋体"/>
          <w:color w:val="000000"/>
          <w:sz w:val="21"/>
          <w:szCs w:val="21"/>
          <w:highlight w:val="none"/>
          <w:lang w:eastAsia="zh-CN"/>
        </w:rPr>
        <w:t>供应商</w:t>
      </w:r>
      <w:r>
        <w:rPr>
          <w:rFonts w:hint="eastAsia" w:ascii="宋体" w:hAnsi="宋体" w:eastAsia="宋体" w:cs="宋体"/>
          <w:color w:val="000000"/>
          <w:sz w:val="21"/>
          <w:szCs w:val="21"/>
          <w:highlight w:val="none"/>
        </w:rPr>
        <w:t>或者重新采购。</w:t>
      </w:r>
      <w:bookmarkEnd w:id="546"/>
      <w:bookmarkEnd w:id="547"/>
      <w:bookmarkEnd w:id="548"/>
      <w:bookmarkEnd w:id="549"/>
    </w:p>
    <w:p w14:paraId="5BE18BCF">
      <w:pPr>
        <w:keepNext w:val="0"/>
        <w:keepLines w:val="0"/>
        <w:pageBreakBefore w:val="0"/>
        <w:widowControl w:val="0"/>
        <w:numPr>
          <w:ilvl w:val="2"/>
          <w:numId w:val="0"/>
        </w:numPr>
        <w:kinsoku/>
        <w:wordWrap/>
        <w:overflowPunct/>
        <w:topLinePunct w:val="0"/>
        <w:autoSpaceDE/>
        <w:autoSpaceDN/>
        <w:bidi w:val="0"/>
        <w:adjustRightInd/>
        <w:snapToGrid/>
        <w:spacing w:line="460" w:lineRule="exact"/>
        <w:textAlignment w:val="auto"/>
        <w:rPr>
          <w:rFonts w:hint="eastAsia" w:ascii="宋体" w:hAnsi="宋体" w:eastAsia="宋体" w:cs="宋体"/>
          <w:b/>
          <w:bCs/>
          <w:color w:val="000000"/>
          <w:sz w:val="21"/>
          <w:szCs w:val="21"/>
          <w:highlight w:val="none"/>
        </w:rPr>
      </w:pPr>
      <w:bookmarkStart w:id="550" w:name="_Toc3226"/>
      <w:r>
        <w:rPr>
          <w:rFonts w:hint="eastAsia" w:ascii="宋体" w:hAnsi="宋体" w:eastAsia="宋体" w:cs="宋体"/>
          <w:b/>
          <w:bCs/>
          <w:color w:val="000000"/>
          <w:sz w:val="21"/>
          <w:szCs w:val="21"/>
          <w:highlight w:val="none"/>
          <w:lang w:val="en-US" w:eastAsia="zh-CN"/>
        </w:rPr>
        <w:t>9</w:t>
      </w:r>
      <w:r>
        <w:rPr>
          <w:rFonts w:hint="eastAsia" w:ascii="宋体" w:hAnsi="宋体" w:eastAsia="宋体" w:cs="宋体"/>
          <w:b/>
          <w:bCs/>
          <w:color w:val="000000"/>
          <w:sz w:val="21"/>
          <w:szCs w:val="21"/>
          <w:highlight w:val="none"/>
        </w:rPr>
        <w:t>、询问、质疑和投诉</w:t>
      </w:r>
      <w:bookmarkEnd w:id="539"/>
      <w:bookmarkEnd w:id="540"/>
      <w:bookmarkEnd w:id="550"/>
    </w:p>
    <w:p w14:paraId="1A834C6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.1、供应商或有关当事人对磋商过程、成交结果有异议的，可以向采购人或者采购代理机构提出询问</w:t>
      </w:r>
      <w:r>
        <w:rPr>
          <w:rFonts w:hint="eastAsia" w:ascii="宋体" w:hAnsi="宋体" w:eastAsia="宋体" w:cs="宋体"/>
          <w:b/>
          <w:bCs/>
          <w:color w:val="000000"/>
          <w:sz w:val="21"/>
          <w:szCs w:val="21"/>
          <w:highlight w:val="none"/>
          <w:lang w:eastAsia="zh-CN"/>
        </w:rPr>
        <w:t>（如在交易系统中提出，供应商须电话联系采购代理机构）</w:t>
      </w:r>
      <w:r>
        <w:rPr>
          <w:rFonts w:hint="eastAsia" w:ascii="宋体" w:hAnsi="宋体" w:eastAsia="宋体" w:cs="宋体"/>
          <w:color w:val="000000"/>
          <w:sz w:val="21"/>
          <w:szCs w:val="21"/>
          <w:highlight w:val="none"/>
        </w:rPr>
        <w:t>。</w:t>
      </w:r>
    </w:p>
    <w:p w14:paraId="566B82D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.2、采购人或者采购代理机构应当在</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个工作日内对供应商依法提出的询问作出答复。</w:t>
      </w:r>
    </w:p>
    <w:p w14:paraId="35A2298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.3、供应商认为竞争性磋商文件、采购过程使自己的权益受到损害的，可以在知道或者应知其权益受到损害之日起七个工作日内，以书面形式向采购人、采购代理机构提出质疑</w:t>
      </w:r>
      <w:r>
        <w:rPr>
          <w:rFonts w:hint="eastAsia" w:ascii="宋体" w:hAnsi="宋体" w:eastAsia="宋体" w:cs="宋体"/>
          <w:b/>
          <w:bCs/>
          <w:color w:val="000000"/>
          <w:sz w:val="21"/>
          <w:szCs w:val="21"/>
          <w:highlight w:val="none"/>
          <w:lang w:eastAsia="zh-CN"/>
        </w:rPr>
        <w:t>（如在交易系统中提出，供应商须电话联系采购代理机构）</w:t>
      </w:r>
      <w:r>
        <w:rPr>
          <w:rFonts w:hint="eastAsia" w:ascii="宋体" w:hAnsi="宋体" w:eastAsia="宋体" w:cs="宋体"/>
          <w:color w:val="000000"/>
          <w:sz w:val="21"/>
          <w:szCs w:val="21"/>
          <w:highlight w:val="none"/>
        </w:rPr>
        <w:t>。</w:t>
      </w:r>
    </w:p>
    <w:p w14:paraId="7988E0E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4、供应商认为成交结果使自己的权益受到损害的，可以在成交结果公告期限届满之日起七个工作日内，以书面形式向采购人、采购代理机构提出质疑，接收质疑函联系部门、电话及地址详见竞争性磋商公告。在法定质疑期内供应商针对同一采购程序环节的质疑应当一次性提出</w:t>
      </w:r>
      <w:r>
        <w:rPr>
          <w:rFonts w:hint="eastAsia" w:ascii="宋体" w:hAnsi="宋体" w:eastAsia="宋体" w:cs="宋体"/>
          <w:b/>
          <w:bCs/>
          <w:color w:val="000000"/>
          <w:sz w:val="21"/>
          <w:szCs w:val="21"/>
          <w:highlight w:val="none"/>
          <w:lang w:eastAsia="zh-CN"/>
        </w:rPr>
        <w:t>（如在交易系统中提出，供应商须电话联系采购代理机构）</w:t>
      </w:r>
      <w:r>
        <w:rPr>
          <w:rFonts w:hint="eastAsia" w:ascii="宋体" w:hAnsi="宋体" w:eastAsia="宋体" w:cs="宋体"/>
          <w:color w:val="000000"/>
          <w:sz w:val="21"/>
          <w:szCs w:val="21"/>
          <w:highlight w:val="none"/>
        </w:rPr>
        <w:t>。</w:t>
      </w:r>
    </w:p>
    <w:p w14:paraId="39BDD45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.5、采购人或者采购代理机构应当在收到供应商的书面质疑后七个工作日内作出答复，并以书面形式通知质疑供应商和其他有关供应商，但答复的内容不得涉及商业秘密。</w:t>
      </w:r>
    </w:p>
    <w:p w14:paraId="1FB7CF7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.6、质疑单位对采购人、采购代理机构的答复不满意或者采购人、采购代理机构未在规定的时间内作出答复的，可以在答复期满后十五个工作日内向</w:t>
      </w:r>
      <w:r>
        <w:rPr>
          <w:rFonts w:hint="eastAsia" w:ascii="宋体" w:hAnsi="宋体" w:eastAsia="宋体" w:cs="宋体"/>
          <w:color w:val="000000"/>
          <w:sz w:val="21"/>
          <w:szCs w:val="21"/>
          <w:highlight w:val="none"/>
          <w:lang w:eastAsia="zh-CN"/>
        </w:rPr>
        <w:t>相关</w:t>
      </w:r>
      <w:r>
        <w:rPr>
          <w:rFonts w:hint="eastAsia" w:ascii="宋体" w:hAnsi="宋体" w:eastAsia="宋体" w:cs="宋体"/>
          <w:color w:val="000000"/>
          <w:sz w:val="21"/>
          <w:szCs w:val="21"/>
          <w:highlight w:val="none"/>
        </w:rPr>
        <w:t>监督管理部门投诉。</w:t>
      </w:r>
    </w:p>
    <w:p w14:paraId="0FE0CC2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.7、供应商质疑、投诉应当有明确的请求和必要的证明材料。供应商投诉的事项不得超出已质疑事项的范围。</w:t>
      </w:r>
    </w:p>
    <w:p w14:paraId="01035446">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.8、供应商应知其权益受到损害之日，是指：</w:t>
      </w:r>
    </w:p>
    <w:p w14:paraId="55987CB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.8.1对可以质疑的</w:t>
      </w:r>
      <w:r>
        <w:rPr>
          <w:rFonts w:hint="eastAsia" w:ascii="宋体" w:hAnsi="宋体" w:eastAsia="宋体" w:cs="宋体"/>
          <w:color w:val="000000"/>
          <w:sz w:val="21"/>
          <w:szCs w:val="21"/>
          <w:highlight w:val="none"/>
          <w:lang w:eastAsia="zh-CN"/>
        </w:rPr>
        <w:t>竞争性磋商</w:t>
      </w:r>
      <w:r>
        <w:rPr>
          <w:rFonts w:hint="eastAsia" w:ascii="宋体" w:hAnsi="宋体" w:eastAsia="宋体" w:cs="宋体"/>
          <w:color w:val="000000"/>
          <w:sz w:val="21"/>
          <w:szCs w:val="21"/>
          <w:highlight w:val="none"/>
        </w:rPr>
        <w:t>文件提出质疑的，为收到</w:t>
      </w:r>
      <w:r>
        <w:rPr>
          <w:rFonts w:hint="eastAsia" w:ascii="宋体" w:hAnsi="宋体" w:eastAsia="宋体" w:cs="宋体"/>
          <w:color w:val="000000"/>
          <w:sz w:val="21"/>
          <w:szCs w:val="21"/>
          <w:highlight w:val="none"/>
          <w:lang w:eastAsia="zh-CN"/>
        </w:rPr>
        <w:t>竞争性磋商</w:t>
      </w:r>
      <w:r>
        <w:rPr>
          <w:rFonts w:hint="eastAsia" w:ascii="宋体" w:hAnsi="宋体" w:eastAsia="宋体" w:cs="宋体"/>
          <w:color w:val="000000"/>
          <w:sz w:val="21"/>
          <w:szCs w:val="21"/>
          <w:highlight w:val="none"/>
        </w:rPr>
        <w:t>文件之日或者</w:t>
      </w:r>
      <w:r>
        <w:rPr>
          <w:rFonts w:hint="eastAsia" w:ascii="宋体" w:hAnsi="宋体" w:eastAsia="宋体" w:cs="宋体"/>
          <w:color w:val="000000"/>
          <w:sz w:val="21"/>
          <w:szCs w:val="21"/>
          <w:highlight w:val="none"/>
          <w:lang w:eastAsia="zh-CN"/>
        </w:rPr>
        <w:t>竞争性磋商</w:t>
      </w:r>
      <w:r>
        <w:rPr>
          <w:rFonts w:hint="eastAsia" w:ascii="宋体" w:hAnsi="宋体" w:eastAsia="宋体" w:cs="宋体"/>
          <w:color w:val="000000"/>
          <w:sz w:val="21"/>
          <w:szCs w:val="21"/>
          <w:highlight w:val="none"/>
        </w:rPr>
        <w:t>公告期限届满之日；</w:t>
      </w:r>
    </w:p>
    <w:p w14:paraId="3D5DD0CA">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.8.2对采购过程提出质疑的，为各采购程序环节结束之日；</w:t>
      </w:r>
    </w:p>
    <w:p w14:paraId="79C7AD0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.8.3对中标或者成交结果提出质疑的，为中标或者成交结果公告期限届满之日。</w:t>
      </w:r>
    </w:p>
    <w:p w14:paraId="20613F3F">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9</w:t>
      </w:r>
      <w:r>
        <w:rPr>
          <w:rFonts w:hint="eastAsia" w:ascii="宋体" w:hAnsi="宋体" w:eastAsia="宋体" w:cs="宋体"/>
          <w:color w:val="000000"/>
          <w:sz w:val="21"/>
          <w:szCs w:val="21"/>
          <w:highlight w:val="none"/>
        </w:rPr>
        <w:t>.9、询问或者质疑事项可能影响中标，成交结果的，采购人应当暂停签订合同，已经签订合同的，应当中止</w:t>
      </w:r>
      <w:r>
        <w:rPr>
          <w:rFonts w:hint="eastAsia" w:ascii="宋体" w:hAnsi="宋体" w:eastAsia="宋体" w:cs="宋体"/>
          <w:color w:val="000000"/>
          <w:sz w:val="21"/>
          <w:szCs w:val="21"/>
          <w:highlight w:val="none"/>
          <w:lang w:eastAsia="zh-CN"/>
        </w:rPr>
        <w:t>履</w:t>
      </w:r>
      <w:r>
        <w:rPr>
          <w:rFonts w:hint="eastAsia" w:ascii="宋体" w:hAnsi="宋体" w:eastAsia="宋体" w:cs="宋体"/>
          <w:color w:val="000000"/>
          <w:sz w:val="21"/>
          <w:szCs w:val="21"/>
          <w:highlight w:val="none"/>
        </w:rPr>
        <w:t>行合同。</w:t>
      </w:r>
    </w:p>
    <w:p w14:paraId="7697874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bookmarkStart w:id="551" w:name="_Toc30421"/>
      <w:r>
        <w:rPr>
          <w:rFonts w:hint="eastAsia" w:ascii="宋体" w:hAnsi="宋体" w:eastAsia="宋体" w:cs="宋体"/>
          <w:color w:val="000000"/>
          <w:sz w:val="21"/>
          <w:szCs w:val="21"/>
          <w:highlight w:val="none"/>
          <w:lang w:val="en-US" w:eastAsia="zh-CN"/>
        </w:rPr>
        <w:t>10、</w:t>
      </w:r>
      <w:r>
        <w:rPr>
          <w:rFonts w:hint="eastAsia" w:ascii="宋体" w:hAnsi="宋体" w:eastAsia="宋体" w:cs="宋体"/>
          <w:color w:val="000000"/>
          <w:sz w:val="21"/>
          <w:szCs w:val="21"/>
          <w:highlight w:val="none"/>
        </w:rPr>
        <w:t>需要补充的其他内容</w:t>
      </w:r>
      <w:bookmarkEnd w:id="551"/>
    </w:p>
    <w:p w14:paraId="521AD23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详见供应商须知前附表</w:t>
      </w:r>
    </w:p>
    <w:p w14:paraId="009A8B96">
      <w:pPr>
        <w:spacing w:line="360" w:lineRule="auto"/>
        <w:jc w:val="center"/>
        <w:outlineLvl w:val="0"/>
        <w:rPr>
          <w:rFonts w:hint="eastAsia" w:ascii="宋体" w:hAnsi="宋体" w:eastAsia="宋体" w:cs="宋体"/>
          <w:b/>
          <w:sz w:val="32"/>
          <w:szCs w:val="32"/>
          <w:highlight w:val="none"/>
        </w:rPr>
      </w:pPr>
      <w:r>
        <w:rPr>
          <w:rFonts w:hint="eastAsia" w:ascii="宋体" w:hAnsi="宋体" w:eastAsia="宋体" w:cs="宋体"/>
          <w:b/>
          <w:sz w:val="36"/>
          <w:szCs w:val="36"/>
          <w:highlight w:val="none"/>
        </w:rPr>
        <w:br w:type="page"/>
      </w:r>
      <w:bookmarkStart w:id="552" w:name="_Toc103592355"/>
      <w:bookmarkStart w:id="553" w:name="_Toc25852"/>
      <w:bookmarkStart w:id="554" w:name="_Toc32315"/>
      <w:r>
        <w:rPr>
          <w:rFonts w:hint="eastAsia" w:ascii="宋体" w:hAnsi="宋体" w:eastAsia="宋体" w:cs="宋体"/>
          <w:b/>
          <w:sz w:val="32"/>
          <w:szCs w:val="32"/>
          <w:highlight w:val="none"/>
        </w:rPr>
        <w:t>第三章 采购内容及服务要求</w:t>
      </w:r>
      <w:bookmarkEnd w:id="552"/>
      <w:bookmarkEnd w:id="553"/>
      <w:bookmarkEnd w:id="554"/>
      <w:r>
        <w:rPr>
          <w:rFonts w:hint="eastAsia" w:ascii="宋体" w:hAnsi="宋体" w:eastAsia="宋体" w:cs="宋体"/>
          <w:b/>
          <w:sz w:val="32"/>
          <w:szCs w:val="32"/>
          <w:highlight w:val="none"/>
        </w:rPr>
        <w:t xml:space="preserve"> </w:t>
      </w:r>
    </w:p>
    <w:p w14:paraId="014C3A9E">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rPr>
        <w:t>服务目标：为三门峡市湖滨区政府专项债券项目提供综合咨询服务，以申请政府专项债方式筹集资金，按照财政部及河南省关于新增专项债券信息披露要求，针对政府专项债券2个项目牵头完成项目可行性研究报告、事前绩效评估、实施方案、法律意见书、财务评估报告等评审资料。</w:t>
      </w:r>
    </w:p>
    <w:p w14:paraId="756DD357">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服务内容</w:t>
      </w:r>
    </w:p>
    <w:p w14:paraId="19B67DA9">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2.1</w:t>
      </w:r>
      <w:r>
        <w:rPr>
          <w:rFonts w:hint="eastAsia" w:ascii="宋体" w:hAnsi="宋体" w:eastAsia="宋体" w:cs="宋体"/>
          <w:color w:val="000000"/>
          <w:sz w:val="21"/>
          <w:szCs w:val="21"/>
          <w:highlight w:val="none"/>
        </w:rPr>
        <w:t>项目全流程咨询</w:t>
      </w:r>
    </w:p>
    <w:p w14:paraId="22D61EB3">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专项债项目梳理、包装与谋划，确保符合专项债支持领域与发行规则。</w:t>
      </w:r>
    </w:p>
    <w:p w14:paraId="6072436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协助完成项目立项、规划、环评、能评、稳评等前期手续，完善合规性材料。</w:t>
      </w:r>
    </w:p>
    <w:p w14:paraId="02ABD291">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构建收益自平衡机制，设计稳定、可追溯的现金流模型，满足“不依赖财政补贴” 要求。</w:t>
      </w:r>
    </w:p>
    <w:p w14:paraId="19263B4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2.2</w:t>
      </w:r>
      <w:r>
        <w:rPr>
          <w:rFonts w:hint="eastAsia" w:ascii="宋体" w:hAnsi="宋体" w:eastAsia="宋体" w:cs="宋体"/>
          <w:color w:val="000000"/>
          <w:sz w:val="21"/>
          <w:szCs w:val="21"/>
          <w:highlight w:val="none"/>
        </w:rPr>
        <w:t>成果文件</w:t>
      </w:r>
    </w:p>
    <w:p w14:paraId="4522A280">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项目可行性研究报告（含投资估算、建设方案、效益分析）。</w:t>
      </w:r>
    </w:p>
    <w:p w14:paraId="13C0B17E">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专项债项目实施方案（含资金筹措、收益测算、偿还计划）。</w:t>
      </w:r>
    </w:p>
    <w:p w14:paraId="0B587EE4">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事前绩效评估报告（含绩效目标设定、指标体系、可行性论证）。</w:t>
      </w:r>
    </w:p>
    <w:p w14:paraId="06D97632">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法律意见书（含合规性审查、风险提示、主体资格确认）。</w:t>
      </w:r>
    </w:p>
    <w:p w14:paraId="3FDE700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5</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财务评估报告（含融资方案比选、成本收益分析、偿债能力评估）。</w:t>
      </w:r>
    </w:p>
    <w:p w14:paraId="76EFF068">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6</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按要求完成信息披露与申报系统填报，对接财政、发改等部门评审。</w:t>
      </w:r>
    </w:p>
    <w:p w14:paraId="3CE40A55">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2.3</w:t>
      </w:r>
      <w:r>
        <w:rPr>
          <w:rFonts w:hint="eastAsia" w:ascii="宋体" w:hAnsi="宋体" w:eastAsia="宋体" w:cs="宋体"/>
          <w:color w:val="000000"/>
          <w:sz w:val="21"/>
          <w:szCs w:val="21"/>
          <w:highlight w:val="none"/>
        </w:rPr>
        <w:t>评审配合与落地支持</w:t>
      </w:r>
    </w:p>
    <w:p w14:paraId="30E606DD">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配合财政部门组织的评审、答疑、现场核查，补充材料并完善论证。</w:t>
      </w:r>
    </w:p>
    <w:p w14:paraId="0CA99A5B">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协助落实专项债资金拨付相关手续，跟踪资金使用合规性。</w:t>
      </w:r>
    </w:p>
    <w:p w14:paraId="0F3F1CCC">
      <w:pPr>
        <w:keepNext w:val="0"/>
        <w:keepLines w:val="0"/>
        <w:pageBreakBefore w:val="0"/>
        <w:widowControl w:val="0"/>
        <w:numPr>
          <w:ilvl w:val="2"/>
          <w:numId w:val="0"/>
        </w:numPr>
        <w:kinsoku/>
        <w:wordWrap/>
        <w:overflowPunct/>
        <w:topLinePunct w:val="0"/>
        <w:autoSpaceDE/>
        <w:autoSpaceDN/>
        <w:bidi w:val="0"/>
        <w:adjustRightInd/>
        <w:snapToGrid/>
        <w:spacing w:line="460" w:lineRule="exact"/>
        <w:ind w:left="0" w:leftChars="0"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提供项目后续运营与绩效监控咨询</w:t>
      </w:r>
      <w:r>
        <w:rPr>
          <w:rFonts w:hint="eastAsia" w:ascii="宋体" w:hAnsi="宋体" w:eastAsia="宋体" w:cs="宋体"/>
          <w:color w:val="000000"/>
          <w:sz w:val="21"/>
          <w:szCs w:val="21"/>
          <w:highlight w:val="none"/>
          <w:lang w:eastAsia="zh-CN"/>
        </w:rPr>
        <w:t>。</w:t>
      </w:r>
    </w:p>
    <w:p w14:paraId="034073D6">
      <w:pPr>
        <w:widowControl/>
        <w:numPr>
          <w:ilvl w:val="0"/>
          <w:numId w:val="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0"/>
        <w:rPr>
          <w:rFonts w:hint="eastAsia" w:ascii="宋体" w:hAnsi="宋体" w:eastAsia="宋体" w:cs="宋体"/>
          <w:bCs/>
          <w:kern w:val="0"/>
          <w:sz w:val="32"/>
          <w:szCs w:val="32"/>
          <w:highlight w:val="none"/>
          <w:shd w:val="clear" w:color="auto" w:fill="FFFFFF"/>
          <w:lang w:eastAsia="zh-CN"/>
        </w:rPr>
      </w:pPr>
      <w:r>
        <w:rPr>
          <w:rFonts w:hint="eastAsia" w:ascii="宋体" w:hAnsi="宋体" w:eastAsia="宋体" w:cs="宋体"/>
          <w:kern w:val="0"/>
          <w:sz w:val="24"/>
          <w:szCs w:val="24"/>
          <w:highlight w:val="none"/>
        </w:rPr>
        <w:br w:type="page"/>
      </w:r>
      <w:bookmarkStart w:id="555" w:name="_Toc103592356"/>
      <w:bookmarkStart w:id="556" w:name="_Toc671"/>
      <w:r>
        <w:rPr>
          <w:rFonts w:hint="eastAsia" w:ascii="宋体" w:hAnsi="宋体" w:eastAsia="宋体" w:cs="宋体"/>
          <w:b/>
          <w:bCs w:val="0"/>
          <w:kern w:val="0"/>
          <w:sz w:val="32"/>
          <w:szCs w:val="32"/>
          <w:highlight w:val="none"/>
          <w:shd w:val="clear" w:fill="FFFFFF"/>
          <w:lang w:val="en-US" w:eastAsia="zh-CN" w:bidi="ar-SA"/>
        </w:rPr>
        <w:t xml:space="preserve">第四章 </w:t>
      </w:r>
      <w:r>
        <w:rPr>
          <w:rFonts w:hint="eastAsia" w:ascii="宋体" w:hAnsi="宋体" w:eastAsia="宋体" w:cs="宋体"/>
          <w:b/>
          <w:bCs w:val="0"/>
          <w:kern w:val="0"/>
          <w:sz w:val="32"/>
          <w:szCs w:val="32"/>
          <w:highlight w:val="none"/>
          <w:shd w:val="clear" w:color="auto" w:fill="FFFFFF"/>
        </w:rPr>
        <w:t>评审办法</w:t>
      </w:r>
      <w:bookmarkEnd w:id="555"/>
      <w:r>
        <w:rPr>
          <w:rFonts w:hint="eastAsia" w:ascii="宋体" w:hAnsi="宋体" w:eastAsia="宋体" w:cs="宋体"/>
          <w:b/>
          <w:bCs w:val="0"/>
          <w:kern w:val="0"/>
          <w:sz w:val="32"/>
          <w:szCs w:val="32"/>
          <w:highlight w:val="none"/>
          <w:shd w:val="clear" w:color="auto" w:fill="FFFFFF"/>
          <w:lang w:eastAsia="zh-CN"/>
        </w:rPr>
        <w:t>（综合评分法）</w:t>
      </w:r>
      <w:bookmarkEnd w:id="556"/>
    </w:p>
    <w:tbl>
      <w:tblPr>
        <w:tblStyle w:val="26"/>
        <w:tblW w:w="10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90"/>
        <w:gridCol w:w="590"/>
        <w:gridCol w:w="1501"/>
        <w:gridCol w:w="6549"/>
      </w:tblGrid>
      <w:tr w14:paraId="3BDF9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70" w:type="dxa"/>
            <w:gridSpan w:val="2"/>
            <w:noWrap w:val="0"/>
            <w:vAlign w:val="center"/>
          </w:tcPr>
          <w:p w14:paraId="66A1756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bookmarkStart w:id="557" w:name="_Toc9836"/>
            <w:r>
              <w:rPr>
                <w:rFonts w:hint="eastAsia" w:ascii="宋体" w:hAnsi="宋体" w:eastAsia="宋体" w:cs="宋体"/>
                <w:color w:val="000000"/>
                <w:sz w:val="21"/>
                <w:szCs w:val="21"/>
                <w:highlight w:val="none"/>
              </w:rPr>
              <w:t>条款号</w:t>
            </w:r>
          </w:p>
        </w:tc>
        <w:tc>
          <w:tcPr>
            <w:tcW w:w="2091" w:type="dxa"/>
            <w:gridSpan w:val="2"/>
            <w:noWrap w:val="0"/>
            <w:vAlign w:val="center"/>
          </w:tcPr>
          <w:p w14:paraId="727B678D">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评审因素</w:t>
            </w:r>
          </w:p>
        </w:tc>
        <w:tc>
          <w:tcPr>
            <w:tcW w:w="6549" w:type="dxa"/>
            <w:noWrap w:val="0"/>
            <w:vAlign w:val="center"/>
          </w:tcPr>
          <w:p w14:paraId="298B4CF1">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评审标准</w:t>
            </w:r>
          </w:p>
        </w:tc>
      </w:tr>
      <w:tr w14:paraId="64C1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restart"/>
            <w:noWrap w:val="0"/>
            <w:vAlign w:val="center"/>
          </w:tcPr>
          <w:p w14:paraId="18332CD3">
            <w:pPr>
              <w:pStyle w:val="25"/>
              <w:keepNext w:val="0"/>
              <w:keepLines w:val="0"/>
              <w:pageBreakBefore w:val="0"/>
              <w:kinsoku/>
              <w:wordWrap/>
              <w:overflowPunct/>
              <w:topLinePunct w:val="0"/>
              <w:bidi w:val="0"/>
              <w:spacing w:line="400" w:lineRule="exact"/>
              <w:ind w:left="0" w:leftChars="0" w:firstLine="0" w:firstLine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w:t>
            </w:r>
          </w:p>
        </w:tc>
        <w:tc>
          <w:tcPr>
            <w:tcW w:w="790" w:type="dxa"/>
            <w:vMerge w:val="restart"/>
            <w:noWrap w:val="0"/>
            <w:vAlign w:val="center"/>
          </w:tcPr>
          <w:p w14:paraId="469E9C0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符合性评审</w:t>
            </w:r>
          </w:p>
        </w:tc>
        <w:tc>
          <w:tcPr>
            <w:tcW w:w="2091" w:type="dxa"/>
            <w:gridSpan w:val="2"/>
            <w:noWrap w:val="0"/>
            <w:vAlign w:val="center"/>
          </w:tcPr>
          <w:p w14:paraId="21ABCBC4">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供应商名称</w:t>
            </w:r>
          </w:p>
        </w:tc>
        <w:tc>
          <w:tcPr>
            <w:tcW w:w="6549" w:type="dxa"/>
            <w:noWrap w:val="0"/>
            <w:vAlign w:val="center"/>
          </w:tcPr>
          <w:p w14:paraId="08DAB61A">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与营业执照一致</w:t>
            </w:r>
          </w:p>
        </w:tc>
      </w:tr>
      <w:tr w14:paraId="09B1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721BB8AC">
            <w:pPr>
              <w:pStyle w:val="25"/>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51F85DD2">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3FABA2EB">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报价唯一</w:t>
            </w:r>
          </w:p>
        </w:tc>
        <w:tc>
          <w:tcPr>
            <w:tcW w:w="6549" w:type="dxa"/>
            <w:noWrap w:val="0"/>
            <w:vAlign w:val="center"/>
          </w:tcPr>
          <w:p w14:paraId="5D5A61B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只有一个有效报价，且</w:t>
            </w:r>
            <w:r>
              <w:rPr>
                <w:rFonts w:hint="eastAsia" w:ascii="宋体" w:hAnsi="宋体" w:eastAsia="宋体" w:cs="宋体"/>
                <w:color w:val="000000"/>
                <w:kern w:val="0"/>
                <w:sz w:val="21"/>
                <w:szCs w:val="21"/>
                <w:highlight w:val="none"/>
              </w:rPr>
              <w:t>不超过采购最高限价，</w:t>
            </w:r>
            <w:r>
              <w:rPr>
                <w:rFonts w:hint="eastAsia" w:ascii="宋体" w:hAnsi="宋体" w:eastAsia="宋体" w:cs="宋体"/>
                <w:color w:val="000000"/>
                <w:kern w:val="0"/>
                <w:sz w:val="21"/>
                <w:szCs w:val="21"/>
                <w:highlight w:val="none"/>
                <w:lang w:eastAsia="zh-CN"/>
              </w:rPr>
              <w:t>超出采购最高限价的供应商</w:t>
            </w:r>
            <w:r>
              <w:rPr>
                <w:rFonts w:hint="eastAsia" w:ascii="宋体" w:hAnsi="宋体" w:eastAsia="宋体" w:cs="宋体"/>
                <w:color w:val="000000"/>
                <w:kern w:val="0"/>
                <w:sz w:val="21"/>
                <w:szCs w:val="21"/>
                <w:highlight w:val="none"/>
              </w:rPr>
              <w:t>其</w:t>
            </w:r>
            <w:r>
              <w:rPr>
                <w:rFonts w:hint="eastAsia" w:ascii="宋体" w:hAnsi="宋体" w:eastAsia="宋体" w:cs="宋体"/>
                <w:color w:val="000000"/>
                <w:kern w:val="0"/>
                <w:sz w:val="21"/>
                <w:szCs w:val="21"/>
                <w:highlight w:val="none"/>
                <w:lang w:eastAsia="zh-CN"/>
              </w:rPr>
              <w:t>响应文件按无效响应处理</w:t>
            </w:r>
          </w:p>
        </w:tc>
      </w:tr>
      <w:tr w14:paraId="6AA0E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5B3CE770">
            <w:pPr>
              <w:pStyle w:val="25"/>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697ACBC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776E375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响应文件签署、盖章</w:t>
            </w:r>
          </w:p>
        </w:tc>
        <w:tc>
          <w:tcPr>
            <w:tcW w:w="6549" w:type="dxa"/>
            <w:noWrap w:val="0"/>
            <w:vAlign w:val="center"/>
          </w:tcPr>
          <w:p w14:paraId="6911111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响应文件按竞争性磋商文件要求签署、盖章的</w:t>
            </w:r>
          </w:p>
        </w:tc>
      </w:tr>
      <w:tr w14:paraId="7BEB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473C9272">
            <w:pPr>
              <w:pStyle w:val="25"/>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1E7F31B4">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3E917180">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采购范围</w:t>
            </w:r>
          </w:p>
        </w:tc>
        <w:tc>
          <w:tcPr>
            <w:tcW w:w="6549" w:type="dxa"/>
            <w:noWrap w:val="0"/>
            <w:vAlign w:val="center"/>
          </w:tcPr>
          <w:p w14:paraId="55C9C7C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auto"/>
                <w:kern w:val="0"/>
                <w:highlight w:val="none"/>
                <w:lang w:val="en-US" w:eastAsia="zh-CN"/>
              </w:rPr>
              <w:t>符合第二章“供应商须知前附表”第1.7项规定</w:t>
            </w:r>
          </w:p>
        </w:tc>
      </w:tr>
      <w:tr w14:paraId="5955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33D50703">
            <w:pPr>
              <w:pStyle w:val="25"/>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3203E61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23BF479B">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服务期限</w:t>
            </w:r>
          </w:p>
        </w:tc>
        <w:tc>
          <w:tcPr>
            <w:tcW w:w="6549" w:type="dxa"/>
            <w:noWrap w:val="0"/>
            <w:vAlign w:val="center"/>
          </w:tcPr>
          <w:p w14:paraId="42E78CA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auto"/>
                <w:kern w:val="0"/>
                <w:highlight w:val="none"/>
                <w:lang w:val="en-US" w:eastAsia="zh-CN"/>
              </w:rPr>
              <w:t>符合第二章“供应商须知前附表”第1.8项规定</w:t>
            </w:r>
          </w:p>
        </w:tc>
      </w:tr>
      <w:tr w14:paraId="47D2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461AA9DB">
            <w:pPr>
              <w:pStyle w:val="25"/>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43B6633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18B28DDD">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服务要求</w:t>
            </w:r>
          </w:p>
        </w:tc>
        <w:tc>
          <w:tcPr>
            <w:tcW w:w="6549" w:type="dxa"/>
            <w:noWrap w:val="0"/>
            <w:vAlign w:val="center"/>
          </w:tcPr>
          <w:p w14:paraId="39A25DF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auto"/>
                <w:kern w:val="0"/>
                <w:highlight w:val="none"/>
                <w:lang w:val="en-US" w:eastAsia="zh-CN"/>
              </w:rPr>
              <w:t>符合第二章“供应商须知前附表”第1.9项规定</w:t>
            </w:r>
          </w:p>
        </w:tc>
      </w:tr>
      <w:tr w14:paraId="51CB7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528CC1FC">
            <w:pPr>
              <w:pStyle w:val="25"/>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57E64BE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795D4464">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磋商有效期</w:t>
            </w:r>
          </w:p>
        </w:tc>
        <w:tc>
          <w:tcPr>
            <w:tcW w:w="6549" w:type="dxa"/>
            <w:noWrap w:val="0"/>
            <w:vAlign w:val="center"/>
          </w:tcPr>
          <w:p w14:paraId="03F29113">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auto"/>
                <w:kern w:val="0"/>
                <w:highlight w:val="none"/>
                <w:lang w:val="en-US" w:eastAsia="zh-CN"/>
              </w:rPr>
              <w:t>符合第二章“供应商须知前附表”第2.4项规定</w:t>
            </w:r>
          </w:p>
        </w:tc>
      </w:tr>
      <w:tr w14:paraId="77C81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4B22935C">
            <w:pPr>
              <w:pStyle w:val="25"/>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0A6114BB">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78D5725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其他实质性内容</w:t>
            </w:r>
          </w:p>
        </w:tc>
        <w:tc>
          <w:tcPr>
            <w:tcW w:w="6549" w:type="dxa"/>
            <w:noWrap w:val="0"/>
            <w:vAlign w:val="center"/>
          </w:tcPr>
          <w:p w14:paraId="432307F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auto"/>
                <w:kern w:val="0"/>
                <w:highlight w:val="none"/>
                <w:lang w:val="en-US" w:eastAsia="zh-CN"/>
              </w:rPr>
            </w:pPr>
            <w:r>
              <w:rPr>
                <w:rFonts w:hint="eastAsia" w:ascii="宋体" w:hAnsi="宋体" w:eastAsia="宋体" w:cs="宋体"/>
                <w:color w:val="auto"/>
                <w:kern w:val="0"/>
                <w:highlight w:val="none"/>
                <w:lang w:val="en-US" w:eastAsia="zh-CN"/>
              </w:rPr>
              <w:t>符合磋商文件要求</w:t>
            </w:r>
          </w:p>
        </w:tc>
      </w:tr>
      <w:tr w14:paraId="28515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restart"/>
            <w:noWrap w:val="0"/>
            <w:vAlign w:val="center"/>
          </w:tcPr>
          <w:p w14:paraId="0C937F47">
            <w:pPr>
              <w:pStyle w:val="25"/>
              <w:keepNext w:val="0"/>
              <w:keepLines w:val="0"/>
              <w:pageBreakBefore w:val="0"/>
              <w:kinsoku/>
              <w:wordWrap/>
              <w:overflowPunct/>
              <w:topLinePunct w:val="0"/>
              <w:bidi w:val="0"/>
              <w:spacing w:line="400" w:lineRule="exact"/>
              <w:ind w:left="0" w:leftChars="0" w:firstLine="0" w:firstLineChars="0"/>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w:t>
            </w:r>
          </w:p>
        </w:tc>
        <w:tc>
          <w:tcPr>
            <w:tcW w:w="790" w:type="dxa"/>
            <w:vMerge w:val="restart"/>
            <w:noWrap w:val="0"/>
            <w:vAlign w:val="center"/>
          </w:tcPr>
          <w:p w14:paraId="081F806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资格评审标准</w:t>
            </w:r>
          </w:p>
        </w:tc>
        <w:tc>
          <w:tcPr>
            <w:tcW w:w="2091" w:type="dxa"/>
            <w:gridSpan w:val="2"/>
            <w:noWrap w:val="0"/>
            <w:vAlign w:val="center"/>
          </w:tcPr>
          <w:p w14:paraId="0ABF703A">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满足《中华人民共和国政府采购法》第二十二条规定</w:t>
            </w:r>
          </w:p>
        </w:tc>
        <w:tc>
          <w:tcPr>
            <w:tcW w:w="6549" w:type="dxa"/>
            <w:noWrap w:val="0"/>
            <w:vAlign w:val="center"/>
          </w:tcPr>
          <w:p w14:paraId="41B38C48">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提供资格承诺声明函</w:t>
            </w:r>
          </w:p>
        </w:tc>
      </w:tr>
      <w:tr w14:paraId="4BCC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03C53343">
            <w:pPr>
              <w:pStyle w:val="25"/>
              <w:keepNext w:val="0"/>
              <w:keepLines w:val="0"/>
              <w:pageBreakBefore w:val="0"/>
              <w:kinsoku/>
              <w:wordWrap/>
              <w:overflowPunct/>
              <w:topLinePunct w:val="0"/>
              <w:bidi w:val="0"/>
              <w:spacing w:line="400" w:lineRule="exact"/>
              <w:ind w:firstLine="0" w:firstLineChars="0"/>
              <w:jc w:val="center"/>
              <w:textAlignment w:val="auto"/>
              <w:rPr>
                <w:rFonts w:hint="eastAsia" w:ascii="宋体" w:hAnsi="宋体" w:eastAsia="宋体" w:cs="宋体"/>
                <w:color w:val="000000"/>
                <w:kern w:val="0"/>
                <w:sz w:val="21"/>
                <w:szCs w:val="21"/>
                <w:highlight w:val="none"/>
              </w:rPr>
            </w:pPr>
          </w:p>
        </w:tc>
        <w:tc>
          <w:tcPr>
            <w:tcW w:w="790" w:type="dxa"/>
            <w:vMerge w:val="continue"/>
            <w:noWrap w:val="0"/>
            <w:vAlign w:val="center"/>
          </w:tcPr>
          <w:p w14:paraId="6FE79BD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2353E57C">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sz w:val="21"/>
                <w:szCs w:val="21"/>
                <w:highlight w:val="none"/>
                <w:lang w:eastAsia="zh-CN"/>
              </w:rPr>
              <w:t>中小企业声明函</w:t>
            </w:r>
          </w:p>
        </w:tc>
        <w:tc>
          <w:tcPr>
            <w:tcW w:w="6549" w:type="dxa"/>
            <w:noWrap w:val="0"/>
            <w:vAlign w:val="center"/>
          </w:tcPr>
          <w:p w14:paraId="6ED0884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提供</w:t>
            </w:r>
            <w:r>
              <w:rPr>
                <w:rFonts w:hint="eastAsia" w:ascii="宋体" w:hAnsi="宋体" w:eastAsia="宋体" w:cs="宋体"/>
                <w:color w:val="000000"/>
                <w:sz w:val="21"/>
                <w:szCs w:val="21"/>
                <w:highlight w:val="none"/>
                <w:lang w:eastAsia="zh-CN"/>
              </w:rPr>
              <w:t>中小企业声明函</w:t>
            </w:r>
          </w:p>
        </w:tc>
      </w:tr>
      <w:tr w14:paraId="62342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3DB663A7">
            <w:pPr>
              <w:pStyle w:val="25"/>
              <w:keepNext w:val="0"/>
              <w:keepLines w:val="0"/>
              <w:pageBreakBefore w:val="0"/>
              <w:kinsoku/>
              <w:wordWrap/>
              <w:overflowPunct/>
              <w:topLinePunct w:val="0"/>
              <w:bidi w:val="0"/>
              <w:spacing w:line="400" w:lineRule="exact"/>
              <w:ind w:firstLine="0" w:firstLineChars="0"/>
              <w:jc w:val="center"/>
              <w:textAlignment w:val="auto"/>
              <w:rPr>
                <w:rFonts w:hint="eastAsia" w:ascii="宋体" w:hAnsi="宋体" w:eastAsia="宋体" w:cs="宋体"/>
                <w:color w:val="000000"/>
                <w:kern w:val="0"/>
                <w:sz w:val="21"/>
                <w:szCs w:val="21"/>
                <w:highlight w:val="none"/>
              </w:rPr>
            </w:pPr>
          </w:p>
        </w:tc>
        <w:tc>
          <w:tcPr>
            <w:tcW w:w="790" w:type="dxa"/>
            <w:vMerge w:val="continue"/>
            <w:noWrap w:val="0"/>
            <w:vAlign w:val="center"/>
          </w:tcPr>
          <w:p w14:paraId="3D80B84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317FCA9B">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lang w:eastAsia="zh-CN"/>
              </w:rPr>
              <w:t>营业执照</w:t>
            </w:r>
          </w:p>
        </w:tc>
        <w:tc>
          <w:tcPr>
            <w:tcW w:w="6549" w:type="dxa"/>
            <w:noWrap w:val="0"/>
            <w:vAlign w:val="center"/>
          </w:tcPr>
          <w:p w14:paraId="63173989">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sz w:val="21"/>
                <w:szCs w:val="21"/>
                <w:highlight w:val="none"/>
                <w:lang w:val="en-US" w:eastAsia="zh-CN"/>
              </w:rPr>
              <w:t>具有有效的营业执照</w:t>
            </w:r>
          </w:p>
        </w:tc>
      </w:tr>
      <w:tr w14:paraId="136A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2C3FAC34">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0C36337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30428049">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sz w:val="21"/>
                <w:szCs w:val="21"/>
                <w:highlight w:val="none"/>
                <w:lang w:eastAsia="zh-CN"/>
              </w:rPr>
              <w:t>相关网站</w:t>
            </w:r>
            <w:r>
              <w:rPr>
                <w:rFonts w:hint="eastAsia" w:ascii="宋体" w:hAnsi="宋体" w:eastAsia="宋体" w:cs="宋体"/>
                <w:color w:val="000000"/>
                <w:kern w:val="0"/>
                <w:sz w:val="21"/>
                <w:szCs w:val="21"/>
                <w:highlight w:val="none"/>
                <w:lang w:eastAsia="zh-CN"/>
              </w:rPr>
              <w:t>查询</w:t>
            </w:r>
          </w:p>
        </w:tc>
        <w:tc>
          <w:tcPr>
            <w:tcW w:w="6549" w:type="dxa"/>
            <w:noWrap w:val="0"/>
            <w:vAlign w:val="center"/>
          </w:tcPr>
          <w:p w14:paraId="465F4AF8">
            <w:pPr>
              <w:keepNext w:val="0"/>
              <w:keepLines w:val="0"/>
              <w:pageBreakBefore w:val="0"/>
              <w:widowControl w:val="0"/>
              <w:kinsoku/>
              <w:wordWrap w:val="0"/>
              <w:overflowPunct/>
              <w:topLinePunct w:val="0"/>
              <w:autoSpaceDE w:val="0"/>
              <w:autoSpaceDN w:val="0"/>
              <w:bidi w:val="0"/>
              <w:adjustRightInd w:val="0"/>
              <w:snapToGrid/>
              <w:spacing w:line="400" w:lineRule="exact"/>
              <w:ind w:left="38" w:leftChars="18"/>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根据《关于在政府采购活动中查询及使用信用记录有关问题的通知》(财库[2016]125号) 和豫财购【2016】15号的规定，对列入失信被执行人、重大税收违法失信主体、政府采购严重违法失信行为记录名单的供应商，拒绝参与本项目政府采购活动。【开标时由采购人或采购代理机构通过“中国执行信息公开网（zxgk.court.gov.cn/shixin）、“信用中国”网站（www.creditchina.gov.cn）、中国政府采购网（http://www.ccgp.gov.cn）等渠道查询相关主体信用记录,信用信息查询记录及相关证据与其他采购文件一并保存。查询时间：本项目评审结束之前（相关网站有最新规定的，按最新规定执行）】。</w:t>
            </w:r>
          </w:p>
        </w:tc>
      </w:tr>
      <w:tr w14:paraId="5D85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5ED32081">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2DB3BC89">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7C93DB66">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单位负责人为同一人或者存在控股、管理关系的不同单位，不得同时参加本项目的采购</w:t>
            </w:r>
          </w:p>
        </w:tc>
        <w:tc>
          <w:tcPr>
            <w:tcW w:w="6549" w:type="dxa"/>
            <w:noWrap w:val="0"/>
            <w:vAlign w:val="center"/>
          </w:tcPr>
          <w:p w14:paraId="689EB32B">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提供响应承诺函</w:t>
            </w:r>
          </w:p>
        </w:tc>
      </w:tr>
      <w:tr w14:paraId="239F0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2F7FC46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73C14665">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6696D32A">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为采购项目提供整体设计、规范编制或者项目管理、监理、检测等服务的供应商，不得再参加该采购项目的其他采购活动</w:t>
            </w:r>
          </w:p>
        </w:tc>
        <w:tc>
          <w:tcPr>
            <w:tcW w:w="6549" w:type="dxa"/>
            <w:noWrap w:val="0"/>
            <w:vAlign w:val="center"/>
          </w:tcPr>
          <w:p w14:paraId="03C9723A">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lang w:eastAsia="zh-CN"/>
              </w:rPr>
            </w:pPr>
            <w:r>
              <w:rPr>
                <w:rFonts w:hint="eastAsia" w:ascii="宋体" w:hAnsi="宋体" w:eastAsia="宋体" w:cs="宋体"/>
                <w:color w:val="000000"/>
                <w:kern w:val="0"/>
                <w:sz w:val="21"/>
                <w:szCs w:val="21"/>
                <w:highlight w:val="none"/>
                <w:lang w:eastAsia="zh-CN"/>
              </w:rPr>
              <w:t>提供响应承诺函</w:t>
            </w:r>
          </w:p>
        </w:tc>
      </w:tr>
      <w:tr w14:paraId="0B98B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70" w:type="dxa"/>
            <w:gridSpan w:val="2"/>
            <w:noWrap w:val="0"/>
            <w:vAlign w:val="center"/>
          </w:tcPr>
          <w:p w14:paraId="47F8257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条款号</w:t>
            </w:r>
          </w:p>
        </w:tc>
        <w:tc>
          <w:tcPr>
            <w:tcW w:w="2091" w:type="dxa"/>
            <w:gridSpan w:val="2"/>
            <w:noWrap w:val="0"/>
            <w:vAlign w:val="center"/>
          </w:tcPr>
          <w:p w14:paraId="657205B6">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条款内容</w:t>
            </w:r>
          </w:p>
        </w:tc>
        <w:tc>
          <w:tcPr>
            <w:tcW w:w="6549" w:type="dxa"/>
            <w:noWrap w:val="0"/>
            <w:vAlign w:val="center"/>
          </w:tcPr>
          <w:p w14:paraId="4EE38313">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编列内容</w:t>
            </w:r>
          </w:p>
        </w:tc>
      </w:tr>
      <w:tr w14:paraId="12DE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70" w:type="dxa"/>
            <w:gridSpan w:val="2"/>
            <w:noWrap w:val="0"/>
            <w:vAlign w:val="center"/>
          </w:tcPr>
          <w:p w14:paraId="56DEFED9">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1.2.1</w:t>
            </w:r>
          </w:p>
        </w:tc>
        <w:tc>
          <w:tcPr>
            <w:tcW w:w="2091" w:type="dxa"/>
            <w:gridSpan w:val="2"/>
            <w:noWrap w:val="0"/>
            <w:vAlign w:val="center"/>
          </w:tcPr>
          <w:p w14:paraId="64E36F72">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分值构成(总分100分)</w:t>
            </w:r>
          </w:p>
        </w:tc>
        <w:tc>
          <w:tcPr>
            <w:tcW w:w="6549" w:type="dxa"/>
            <w:noWrap w:val="0"/>
            <w:vAlign w:val="center"/>
          </w:tcPr>
          <w:p w14:paraId="21BA814C">
            <w:pPr>
              <w:keepNext w:val="0"/>
              <w:keepLines w:val="0"/>
              <w:pageBreakBefore w:val="0"/>
              <w:kinsoku/>
              <w:wordWrap/>
              <w:overflowPunct/>
              <w:topLinePunct w:val="0"/>
              <w:autoSpaceDE w:val="0"/>
              <w:autoSpaceDN w:val="0"/>
              <w:bidi w:val="0"/>
              <w:adjustRightInd w:val="0"/>
              <w:spacing w:line="400" w:lineRule="exact"/>
              <w:ind w:left="38" w:leftChars="18"/>
              <w:jc w:val="left"/>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lang w:eastAsia="zh-CN"/>
              </w:rPr>
              <w:t>磋商</w:t>
            </w:r>
            <w:r>
              <w:rPr>
                <w:rFonts w:hint="eastAsia" w:ascii="宋体" w:hAnsi="宋体" w:eastAsia="宋体" w:cs="宋体"/>
                <w:b/>
                <w:color w:val="000000"/>
                <w:sz w:val="21"/>
                <w:szCs w:val="21"/>
                <w:highlight w:val="none"/>
              </w:rPr>
              <w:t>报价：</w:t>
            </w:r>
            <w:r>
              <w:rPr>
                <w:rFonts w:hint="eastAsia" w:ascii="宋体" w:hAnsi="宋体" w:eastAsia="宋体" w:cs="宋体"/>
                <w:b/>
                <w:color w:val="000000"/>
                <w:sz w:val="21"/>
                <w:szCs w:val="21"/>
                <w:highlight w:val="none"/>
                <w:lang w:val="en-US" w:eastAsia="zh-CN"/>
              </w:rPr>
              <w:t>15</w:t>
            </w:r>
            <w:r>
              <w:rPr>
                <w:rFonts w:hint="eastAsia" w:ascii="宋体" w:hAnsi="宋体" w:eastAsia="宋体" w:cs="宋体"/>
                <w:b/>
                <w:color w:val="000000"/>
                <w:sz w:val="21"/>
                <w:szCs w:val="21"/>
                <w:highlight w:val="none"/>
              </w:rPr>
              <w:t>分</w:t>
            </w:r>
          </w:p>
          <w:p w14:paraId="3A73D9FB">
            <w:pPr>
              <w:keepNext w:val="0"/>
              <w:keepLines w:val="0"/>
              <w:pageBreakBefore w:val="0"/>
              <w:kinsoku/>
              <w:wordWrap/>
              <w:overflowPunct/>
              <w:topLinePunct w:val="0"/>
              <w:autoSpaceDE w:val="0"/>
              <w:autoSpaceDN w:val="0"/>
              <w:bidi w:val="0"/>
              <w:adjustRightInd w:val="0"/>
              <w:spacing w:line="400" w:lineRule="exact"/>
              <w:ind w:left="38" w:leftChars="18"/>
              <w:jc w:val="left"/>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技术部分：</w:t>
            </w:r>
            <w:r>
              <w:rPr>
                <w:rFonts w:hint="eastAsia" w:ascii="宋体" w:hAnsi="宋体" w:eastAsia="宋体" w:cs="宋体"/>
                <w:b/>
                <w:color w:val="000000"/>
                <w:sz w:val="21"/>
                <w:szCs w:val="21"/>
                <w:highlight w:val="none"/>
                <w:lang w:val="en-US" w:eastAsia="zh-CN"/>
              </w:rPr>
              <w:t>55</w:t>
            </w:r>
            <w:r>
              <w:rPr>
                <w:rFonts w:hint="eastAsia" w:ascii="宋体" w:hAnsi="宋体" w:eastAsia="宋体" w:cs="宋体"/>
                <w:b/>
                <w:color w:val="000000"/>
                <w:sz w:val="21"/>
                <w:szCs w:val="21"/>
                <w:highlight w:val="none"/>
              </w:rPr>
              <w:t>分</w:t>
            </w:r>
          </w:p>
          <w:p w14:paraId="01A5A1AC">
            <w:pPr>
              <w:keepNext w:val="0"/>
              <w:keepLines w:val="0"/>
              <w:pageBreakBefore w:val="0"/>
              <w:tabs>
                <w:tab w:val="left" w:pos="2046"/>
              </w:tabs>
              <w:kinsoku/>
              <w:wordWrap/>
              <w:overflowPunct/>
              <w:topLinePunct w:val="0"/>
              <w:autoSpaceDE w:val="0"/>
              <w:autoSpaceDN w:val="0"/>
              <w:bidi w:val="0"/>
              <w:adjustRightInd w:val="0"/>
              <w:spacing w:line="400" w:lineRule="exact"/>
              <w:ind w:left="38" w:leftChars="18"/>
              <w:jc w:val="left"/>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商务部分：</w:t>
            </w:r>
            <w:r>
              <w:rPr>
                <w:rFonts w:hint="eastAsia" w:ascii="宋体" w:hAnsi="宋体" w:eastAsia="宋体" w:cs="宋体"/>
                <w:b/>
                <w:color w:val="000000"/>
                <w:sz w:val="21"/>
                <w:szCs w:val="21"/>
                <w:highlight w:val="none"/>
                <w:lang w:val="en-US" w:eastAsia="zh-CN"/>
              </w:rPr>
              <w:t>30</w:t>
            </w:r>
            <w:r>
              <w:rPr>
                <w:rFonts w:hint="eastAsia" w:ascii="宋体" w:hAnsi="宋体" w:eastAsia="宋体" w:cs="宋体"/>
                <w:b/>
                <w:color w:val="000000"/>
                <w:sz w:val="21"/>
                <w:szCs w:val="21"/>
                <w:highlight w:val="none"/>
              </w:rPr>
              <w:t>分</w:t>
            </w:r>
          </w:p>
        </w:tc>
      </w:tr>
      <w:tr w14:paraId="3AA8C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70" w:type="dxa"/>
            <w:gridSpan w:val="2"/>
            <w:noWrap w:val="0"/>
            <w:vAlign w:val="center"/>
          </w:tcPr>
          <w:p w14:paraId="2BF9F638">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条款号</w:t>
            </w:r>
          </w:p>
        </w:tc>
        <w:tc>
          <w:tcPr>
            <w:tcW w:w="2091" w:type="dxa"/>
            <w:gridSpan w:val="2"/>
            <w:noWrap w:val="0"/>
            <w:vAlign w:val="center"/>
          </w:tcPr>
          <w:p w14:paraId="550EC516">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评分因素</w:t>
            </w:r>
          </w:p>
        </w:tc>
        <w:tc>
          <w:tcPr>
            <w:tcW w:w="6549" w:type="dxa"/>
            <w:noWrap w:val="0"/>
            <w:vAlign w:val="center"/>
          </w:tcPr>
          <w:p w14:paraId="18FEE788">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b/>
                <w:color w:val="000000"/>
                <w:sz w:val="21"/>
                <w:szCs w:val="21"/>
                <w:highlight w:val="none"/>
              </w:rPr>
            </w:pPr>
            <w:r>
              <w:rPr>
                <w:rFonts w:hint="eastAsia" w:ascii="宋体" w:hAnsi="宋体" w:eastAsia="宋体" w:cs="宋体"/>
                <w:color w:val="000000"/>
                <w:kern w:val="0"/>
                <w:sz w:val="21"/>
                <w:szCs w:val="21"/>
                <w:highlight w:val="none"/>
              </w:rPr>
              <w:t>评分标准</w:t>
            </w:r>
          </w:p>
        </w:tc>
      </w:tr>
      <w:tr w14:paraId="5B2DD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noWrap w:val="0"/>
            <w:vAlign w:val="center"/>
          </w:tcPr>
          <w:p w14:paraId="27DE82DA">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1.2.2（1）</w:t>
            </w:r>
          </w:p>
        </w:tc>
        <w:tc>
          <w:tcPr>
            <w:tcW w:w="1380" w:type="dxa"/>
            <w:gridSpan w:val="2"/>
            <w:noWrap w:val="0"/>
            <w:vAlign w:val="center"/>
          </w:tcPr>
          <w:p w14:paraId="52D56E35">
            <w:pPr>
              <w:keepNext w:val="0"/>
              <w:keepLines w:val="0"/>
              <w:pageBreakBefore w:val="0"/>
              <w:kinsoku/>
              <w:wordWrap/>
              <w:overflowPunct/>
              <w:topLinePunct w:val="0"/>
              <w:autoSpaceDE w:val="0"/>
              <w:autoSpaceDN w:val="0"/>
              <w:bidi w:val="0"/>
              <w:adjustRightInd w:val="0"/>
              <w:spacing w:line="400" w:lineRule="exact"/>
              <w:ind w:left="38" w:leftChars="18"/>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b/>
                <w:bCs/>
                <w:color w:val="000000"/>
                <w:kern w:val="0"/>
                <w:sz w:val="21"/>
                <w:szCs w:val="21"/>
                <w:highlight w:val="none"/>
                <w:lang w:eastAsia="zh-CN"/>
              </w:rPr>
              <w:t>磋商</w:t>
            </w:r>
            <w:r>
              <w:rPr>
                <w:rFonts w:hint="eastAsia" w:ascii="宋体" w:hAnsi="宋体" w:eastAsia="宋体" w:cs="宋体"/>
                <w:b/>
                <w:bCs/>
                <w:color w:val="000000"/>
                <w:kern w:val="0"/>
                <w:sz w:val="21"/>
                <w:szCs w:val="21"/>
                <w:highlight w:val="none"/>
              </w:rPr>
              <w:t>报价（</w:t>
            </w:r>
            <w:r>
              <w:rPr>
                <w:rFonts w:hint="eastAsia" w:ascii="宋体" w:hAnsi="宋体" w:eastAsia="宋体" w:cs="宋体"/>
                <w:b/>
                <w:bCs/>
                <w:color w:val="000000"/>
                <w:kern w:val="0"/>
                <w:sz w:val="21"/>
                <w:szCs w:val="21"/>
                <w:highlight w:val="none"/>
                <w:lang w:val="en-US" w:eastAsia="zh-CN"/>
              </w:rPr>
              <w:t>15</w:t>
            </w:r>
            <w:r>
              <w:rPr>
                <w:rFonts w:hint="eastAsia" w:ascii="宋体" w:hAnsi="宋体" w:eastAsia="宋体" w:cs="宋体"/>
                <w:b/>
                <w:bCs/>
                <w:color w:val="000000"/>
                <w:kern w:val="0"/>
                <w:sz w:val="21"/>
                <w:szCs w:val="21"/>
                <w:highlight w:val="none"/>
              </w:rPr>
              <w:t>分）</w:t>
            </w:r>
          </w:p>
        </w:tc>
        <w:tc>
          <w:tcPr>
            <w:tcW w:w="8050" w:type="dxa"/>
            <w:gridSpan w:val="2"/>
            <w:noWrap w:val="0"/>
            <w:vAlign w:val="center"/>
          </w:tcPr>
          <w:p w14:paraId="40D49202">
            <w:pPr>
              <w:keepNext w:val="0"/>
              <w:keepLines w:val="0"/>
              <w:pageBreakBefore w:val="0"/>
              <w:widowControl/>
              <w:kinsoku/>
              <w:wordWrap/>
              <w:overflowPunct/>
              <w:topLinePunct w:val="0"/>
              <w:bidi w:val="0"/>
              <w:spacing w:line="40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无效标原则：1、供应商报价高于最高限价2、磋商小组发现供应商的</w:t>
            </w:r>
            <w:r>
              <w:rPr>
                <w:rFonts w:hint="eastAsia" w:ascii="宋体" w:hAnsi="宋体" w:eastAsia="宋体" w:cs="宋体"/>
                <w:color w:val="000000"/>
                <w:sz w:val="21"/>
                <w:szCs w:val="21"/>
                <w:highlight w:val="none"/>
                <w:lang w:eastAsia="zh-CN"/>
              </w:rPr>
              <w:t>磋商</w:t>
            </w:r>
            <w:r>
              <w:rPr>
                <w:rFonts w:hint="eastAsia" w:ascii="宋体" w:hAnsi="宋体" w:eastAsia="宋体" w:cs="宋体"/>
                <w:color w:val="000000"/>
                <w:sz w:val="21"/>
                <w:szCs w:val="21"/>
                <w:highlight w:val="none"/>
              </w:rPr>
              <w:t>报价明显低于其他</w:t>
            </w:r>
            <w:r>
              <w:rPr>
                <w:rFonts w:hint="eastAsia" w:ascii="宋体" w:hAnsi="宋体" w:eastAsia="宋体" w:cs="宋体"/>
                <w:color w:val="000000"/>
                <w:sz w:val="21"/>
                <w:szCs w:val="21"/>
                <w:highlight w:val="none"/>
                <w:lang w:eastAsia="zh-CN"/>
              </w:rPr>
              <w:t>磋商</w:t>
            </w:r>
            <w:r>
              <w:rPr>
                <w:rFonts w:hint="eastAsia" w:ascii="宋体" w:hAnsi="宋体" w:eastAsia="宋体" w:cs="宋体"/>
                <w:color w:val="000000"/>
                <w:sz w:val="21"/>
                <w:szCs w:val="21"/>
                <w:highlight w:val="none"/>
              </w:rPr>
              <w:t>报价；</w:t>
            </w:r>
          </w:p>
          <w:p w14:paraId="6D991E98">
            <w:pPr>
              <w:keepNext w:val="0"/>
              <w:keepLines w:val="0"/>
              <w:pageBreakBefore w:val="0"/>
              <w:widowControl/>
              <w:kinsoku/>
              <w:wordWrap/>
              <w:overflowPunct/>
              <w:topLinePunct w:val="0"/>
              <w:bidi w:val="0"/>
              <w:spacing w:line="40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综合评分法中的价格分统一采用低价优先法计算，即满足磋商文件要求且最后报价最低的供应商的价格为磋商基准价，其价格分为满分。其他供应商的价格分统一按照下列公式计算：</w:t>
            </w:r>
          </w:p>
          <w:p w14:paraId="30A41580">
            <w:pPr>
              <w:keepNext w:val="0"/>
              <w:keepLines w:val="0"/>
              <w:pageBreakBefore w:val="0"/>
              <w:widowControl/>
              <w:kinsoku/>
              <w:wordWrap/>
              <w:overflowPunct/>
              <w:topLinePunct w:val="0"/>
              <w:bidi w:val="0"/>
              <w:spacing w:line="40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磋商报价得分=（磋商基准价/最</w:t>
            </w:r>
            <w:r>
              <w:rPr>
                <w:rFonts w:hint="eastAsia" w:ascii="宋体" w:hAnsi="宋体" w:eastAsia="宋体" w:cs="宋体"/>
                <w:color w:val="000000"/>
                <w:sz w:val="21"/>
                <w:szCs w:val="21"/>
                <w:highlight w:val="none"/>
                <w:lang w:eastAsia="zh-CN"/>
              </w:rPr>
              <w:t>后</w:t>
            </w:r>
            <w:r>
              <w:rPr>
                <w:rFonts w:hint="eastAsia" w:ascii="宋体" w:hAnsi="宋体" w:eastAsia="宋体" w:cs="宋体"/>
                <w:color w:val="000000"/>
                <w:sz w:val="21"/>
                <w:szCs w:val="21"/>
                <w:highlight w:val="none"/>
              </w:rPr>
              <w:t>磋商报价）×</w:t>
            </w:r>
            <w:r>
              <w:rPr>
                <w:rFonts w:hint="eastAsia" w:ascii="宋体" w:hAnsi="宋体" w:eastAsia="宋体" w:cs="宋体"/>
                <w:color w:val="000000"/>
                <w:sz w:val="21"/>
                <w:szCs w:val="21"/>
                <w:highlight w:val="none"/>
                <w:lang w:val="en-US" w:eastAsia="zh-CN"/>
              </w:rPr>
              <w:t>15</w:t>
            </w:r>
            <w:r>
              <w:rPr>
                <w:rFonts w:hint="eastAsia" w:ascii="宋体" w:hAnsi="宋体" w:eastAsia="宋体" w:cs="宋体"/>
                <w:color w:val="000000"/>
                <w:sz w:val="21"/>
                <w:szCs w:val="21"/>
                <w:highlight w:val="none"/>
              </w:rPr>
              <w:t>%×100</w:t>
            </w:r>
          </w:p>
          <w:p w14:paraId="2DFB555F">
            <w:pPr>
              <w:keepNext w:val="0"/>
              <w:keepLines w:val="0"/>
              <w:pageBreakBefore w:val="0"/>
              <w:widowControl/>
              <w:kinsoku/>
              <w:wordWrap/>
              <w:overflowPunct/>
              <w:topLinePunct w:val="0"/>
              <w:bidi w:val="0"/>
              <w:spacing w:line="400" w:lineRule="exac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项目评审过程中，不得去掉最后报价中的最高报价和最低报价。</w:t>
            </w:r>
          </w:p>
        </w:tc>
      </w:tr>
      <w:tr w14:paraId="596B9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restart"/>
            <w:noWrap w:val="0"/>
            <w:vAlign w:val="center"/>
          </w:tcPr>
          <w:p w14:paraId="7E40089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1.2.2（2）</w:t>
            </w:r>
          </w:p>
        </w:tc>
        <w:tc>
          <w:tcPr>
            <w:tcW w:w="790" w:type="dxa"/>
            <w:vMerge w:val="restart"/>
            <w:noWrap w:val="0"/>
            <w:vAlign w:val="center"/>
          </w:tcPr>
          <w:p w14:paraId="42496FC0">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000000"/>
                <w:sz w:val="21"/>
                <w:szCs w:val="21"/>
                <w:highlight w:val="none"/>
              </w:rPr>
            </w:pPr>
            <w:r>
              <w:rPr>
                <w:rFonts w:hint="eastAsia" w:ascii="宋体" w:hAnsi="宋体" w:eastAsia="宋体" w:cs="宋体"/>
                <w:b/>
                <w:bCs/>
                <w:color w:val="000000"/>
                <w:sz w:val="21"/>
                <w:szCs w:val="21"/>
                <w:highlight w:val="none"/>
              </w:rPr>
              <w:t>技术部分（</w:t>
            </w:r>
            <w:r>
              <w:rPr>
                <w:rFonts w:hint="eastAsia" w:ascii="宋体" w:hAnsi="宋体" w:eastAsia="宋体" w:cs="宋体"/>
                <w:b/>
                <w:bCs/>
                <w:color w:val="000000"/>
                <w:sz w:val="21"/>
                <w:szCs w:val="21"/>
                <w:highlight w:val="none"/>
                <w:lang w:val="en-US" w:eastAsia="zh-CN"/>
              </w:rPr>
              <w:t>55</w:t>
            </w:r>
            <w:r>
              <w:rPr>
                <w:rFonts w:hint="eastAsia" w:ascii="宋体" w:hAnsi="宋体" w:eastAsia="宋体" w:cs="宋体"/>
                <w:b/>
                <w:bCs/>
                <w:color w:val="000000"/>
                <w:sz w:val="21"/>
                <w:szCs w:val="21"/>
                <w:highlight w:val="none"/>
              </w:rPr>
              <w:t>分）</w:t>
            </w:r>
          </w:p>
        </w:tc>
        <w:tc>
          <w:tcPr>
            <w:tcW w:w="2091" w:type="dxa"/>
            <w:gridSpan w:val="2"/>
            <w:noWrap w:val="0"/>
            <w:vAlign w:val="center"/>
          </w:tcPr>
          <w:p w14:paraId="0C418A84">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服务方案</w:t>
            </w:r>
          </w:p>
          <w:p w14:paraId="70A11974">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rPr>
              <w:t>（30分）</w:t>
            </w:r>
          </w:p>
        </w:tc>
        <w:tc>
          <w:tcPr>
            <w:tcW w:w="6549" w:type="dxa"/>
            <w:noWrap w:val="0"/>
            <w:vAlign w:val="center"/>
          </w:tcPr>
          <w:p w14:paraId="08BC95DF">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根据供应商对本项目提出的总体服务方案进行打分：</w:t>
            </w:r>
          </w:p>
          <w:p w14:paraId="156ED87C">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针对本项目实际和特点，咨询服务方案、咨询服务流程科学全面、思路清晰、合理严谨、切实可行。整体思路到位、分析到位、理念先进的得30分；</w:t>
            </w:r>
          </w:p>
          <w:p w14:paraId="79BE2F01">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针对本项目实际和特点，咨询服务方案、咨询服务流程较科学全面、思路较清晰、较合理严谨、较切实可行。整体思路比较到位、分析比较到位、理念比较先进的得20分；</w:t>
            </w:r>
          </w:p>
          <w:p w14:paraId="3605BD50">
            <w:pPr>
              <w:keepNext w:val="0"/>
              <w:keepLines w:val="0"/>
              <w:pageBreakBefore w:val="0"/>
              <w:kinsoku/>
              <w:wordWrap/>
              <w:overflowPunct/>
              <w:topLinePunct w:val="0"/>
              <w:bidi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rPr>
              <w:t>方案欠缺合理性，可操作性一般，且对本项目的理解把握程度和整体思路不够到位、分析不够到位得10分。</w:t>
            </w:r>
          </w:p>
        </w:tc>
      </w:tr>
      <w:tr w14:paraId="15E0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79703B4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4A0A7F35">
            <w:pPr>
              <w:keepNext w:val="0"/>
              <w:keepLines w:val="0"/>
              <w:pageBreakBefore w:val="0"/>
              <w:kinsoku/>
              <w:wordWrap/>
              <w:overflowPunct/>
              <w:topLinePunct w:val="0"/>
              <w:bidi w:val="0"/>
              <w:snapToGrid w:val="0"/>
              <w:spacing w:line="400" w:lineRule="exact"/>
              <w:jc w:val="left"/>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7A5F965E">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重点、难点分析</w:t>
            </w:r>
          </w:p>
          <w:p w14:paraId="7612C5BF">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kern w:val="0"/>
                <w:sz w:val="21"/>
                <w:szCs w:val="21"/>
                <w:highlight w:val="none"/>
              </w:rPr>
              <w:t>（5分）</w:t>
            </w:r>
          </w:p>
        </w:tc>
        <w:tc>
          <w:tcPr>
            <w:tcW w:w="6549" w:type="dxa"/>
            <w:noWrap w:val="0"/>
            <w:vAlign w:val="center"/>
          </w:tcPr>
          <w:p w14:paraId="4816D923">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重点、难点分析论述及对策：有详细的重点、难点分析论述及对策：</w:t>
            </w:r>
          </w:p>
          <w:p w14:paraId="124AA763">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重点、难点分析论述及对策合理、切实可行得5 分；</w:t>
            </w:r>
          </w:p>
          <w:p w14:paraId="5769CD5D">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重点、难点分析论述及对策一般但可行得3 分；</w:t>
            </w:r>
          </w:p>
          <w:p w14:paraId="103E6619">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重点、难点分析论述及对策可行得 1 分；</w:t>
            </w:r>
          </w:p>
          <w:p w14:paraId="2103862D">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color w:val="000000"/>
                <w:sz w:val="21"/>
                <w:szCs w:val="21"/>
                <w:highlight w:val="none"/>
              </w:rPr>
            </w:pPr>
            <w:r>
              <w:rPr>
                <w:rFonts w:hint="eastAsia" w:ascii="宋体" w:hAnsi="宋体" w:eastAsia="宋体" w:cs="宋体"/>
                <w:kern w:val="0"/>
                <w:sz w:val="21"/>
                <w:szCs w:val="21"/>
                <w:highlight w:val="none"/>
              </w:rPr>
              <w:t>不可行或未提供不得分。</w:t>
            </w:r>
          </w:p>
        </w:tc>
      </w:tr>
      <w:tr w14:paraId="0D9C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78828132">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32CF254E">
            <w:pPr>
              <w:keepNext w:val="0"/>
              <w:keepLines w:val="0"/>
              <w:pageBreakBefore w:val="0"/>
              <w:kinsoku/>
              <w:wordWrap/>
              <w:overflowPunct/>
              <w:topLinePunct w:val="0"/>
              <w:bidi w:val="0"/>
              <w:snapToGrid w:val="0"/>
              <w:spacing w:line="400" w:lineRule="exact"/>
              <w:jc w:val="left"/>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2E23F17A">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进度保证措施</w:t>
            </w:r>
          </w:p>
          <w:p w14:paraId="2061701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kern w:val="0"/>
                <w:sz w:val="21"/>
                <w:szCs w:val="21"/>
                <w:highlight w:val="none"/>
              </w:rPr>
              <w:t>（10分）</w:t>
            </w:r>
          </w:p>
        </w:tc>
        <w:tc>
          <w:tcPr>
            <w:tcW w:w="6549" w:type="dxa"/>
            <w:noWrap w:val="0"/>
            <w:vAlign w:val="center"/>
          </w:tcPr>
          <w:p w14:paraId="6373243C">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进度计划方案安排科学合理可行情况：</w:t>
            </w:r>
          </w:p>
          <w:p w14:paraId="378F4CD5">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有完整、合理的进度保证措施及有可行性的进度计划表，针对本项目特点，保证措施精准合理、切实可行得10分；</w:t>
            </w:r>
          </w:p>
          <w:p w14:paraId="2D7B6432">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有较完整、合理的进度保证措施及有可行性的进度计划表，针对本项目特点，保证措施基本合理得5分；</w:t>
            </w:r>
          </w:p>
          <w:p w14:paraId="1E7190A2">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rPr>
              <w:t>进度保证措施不完整，针对性、可行性不强的得3分。</w:t>
            </w:r>
          </w:p>
        </w:tc>
      </w:tr>
      <w:tr w14:paraId="126D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3D4FD2BE">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rPr>
            </w:pPr>
          </w:p>
        </w:tc>
        <w:tc>
          <w:tcPr>
            <w:tcW w:w="790" w:type="dxa"/>
            <w:vMerge w:val="continue"/>
            <w:noWrap w:val="0"/>
            <w:vAlign w:val="center"/>
          </w:tcPr>
          <w:p w14:paraId="62B3F7FE">
            <w:pPr>
              <w:keepNext w:val="0"/>
              <w:keepLines w:val="0"/>
              <w:pageBreakBefore w:val="0"/>
              <w:kinsoku/>
              <w:wordWrap/>
              <w:overflowPunct/>
              <w:topLinePunct w:val="0"/>
              <w:bidi w:val="0"/>
              <w:snapToGrid w:val="0"/>
              <w:spacing w:line="400" w:lineRule="exact"/>
              <w:jc w:val="left"/>
              <w:textAlignment w:val="auto"/>
              <w:rPr>
                <w:rFonts w:hint="eastAsia" w:ascii="宋体" w:hAnsi="宋体" w:eastAsia="宋体" w:cs="宋体"/>
                <w:color w:val="000000"/>
                <w:sz w:val="21"/>
                <w:szCs w:val="21"/>
                <w:highlight w:val="none"/>
              </w:rPr>
            </w:pPr>
          </w:p>
        </w:tc>
        <w:tc>
          <w:tcPr>
            <w:tcW w:w="2091" w:type="dxa"/>
            <w:gridSpan w:val="2"/>
            <w:noWrap w:val="0"/>
            <w:vAlign w:val="center"/>
          </w:tcPr>
          <w:p w14:paraId="57E20E13">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质量保证措施</w:t>
            </w:r>
          </w:p>
          <w:p w14:paraId="4C3BD9B0">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bCs/>
                <w:color w:val="000000"/>
                <w:sz w:val="21"/>
                <w:szCs w:val="21"/>
                <w:highlight w:val="none"/>
              </w:rPr>
            </w:pPr>
            <w:r>
              <w:rPr>
                <w:rFonts w:hint="eastAsia" w:ascii="宋体" w:hAnsi="宋体" w:eastAsia="宋体" w:cs="宋体"/>
                <w:kern w:val="0"/>
                <w:sz w:val="21"/>
                <w:szCs w:val="21"/>
                <w:highlight w:val="none"/>
              </w:rPr>
              <w:t>（10分）</w:t>
            </w:r>
          </w:p>
        </w:tc>
        <w:tc>
          <w:tcPr>
            <w:tcW w:w="6549" w:type="dxa"/>
            <w:noWrap w:val="0"/>
            <w:vAlign w:val="center"/>
          </w:tcPr>
          <w:p w14:paraId="278B5CB2">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项目咨询质量有完整质量控制措施，保障措施合理严谨、措施得当、有针对性和操作性，措施有力得15分；</w:t>
            </w:r>
          </w:p>
          <w:p w14:paraId="7685BC9B">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项目咨询质量有比较完整质量控制措施，保障措施较合理严谨、措施较得当、有一定的针对性和操作性，措施较有力得10分；</w:t>
            </w:r>
          </w:p>
          <w:p w14:paraId="42FA6A22">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color w:val="000000"/>
                <w:sz w:val="21"/>
                <w:szCs w:val="21"/>
                <w:highlight w:val="none"/>
              </w:rPr>
            </w:pPr>
            <w:r>
              <w:rPr>
                <w:rFonts w:hint="eastAsia" w:ascii="宋体" w:hAnsi="宋体" w:eastAsia="宋体" w:cs="宋体"/>
                <w:kern w:val="0"/>
                <w:sz w:val="21"/>
                <w:szCs w:val="21"/>
                <w:highlight w:val="none"/>
              </w:rPr>
              <w:t>项目咨询质量控制措施不完整、方法，措施不详细针对性不强的的得5分。</w:t>
            </w:r>
          </w:p>
        </w:tc>
      </w:tr>
      <w:tr w14:paraId="183D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restart"/>
            <w:noWrap w:val="0"/>
            <w:vAlign w:val="center"/>
          </w:tcPr>
          <w:p w14:paraId="7F887B4F">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1.2.2（3）</w:t>
            </w:r>
          </w:p>
        </w:tc>
        <w:tc>
          <w:tcPr>
            <w:tcW w:w="790" w:type="dxa"/>
            <w:vMerge w:val="restart"/>
            <w:noWrap w:val="0"/>
            <w:vAlign w:val="center"/>
          </w:tcPr>
          <w:p w14:paraId="0B34F0A8">
            <w:pPr>
              <w:keepNext w:val="0"/>
              <w:keepLines w:val="0"/>
              <w:pageBreakBefore w:val="0"/>
              <w:kinsoku/>
              <w:wordWrap/>
              <w:overflowPunct/>
              <w:topLinePunct w:val="0"/>
              <w:bidi w:val="0"/>
              <w:snapToGrid w:val="0"/>
              <w:spacing w:line="400" w:lineRule="exact"/>
              <w:jc w:val="left"/>
              <w:textAlignment w:val="auto"/>
              <w:rPr>
                <w:rFonts w:hint="eastAsia" w:ascii="宋体" w:hAnsi="宋体" w:eastAsia="宋体" w:cs="宋体"/>
                <w:color w:val="000000"/>
                <w:kern w:val="0"/>
                <w:sz w:val="21"/>
                <w:szCs w:val="21"/>
                <w:highlight w:val="none"/>
              </w:rPr>
            </w:pPr>
            <w:r>
              <w:rPr>
                <w:rFonts w:hint="eastAsia" w:ascii="宋体" w:hAnsi="宋体" w:eastAsia="宋体" w:cs="宋体"/>
                <w:b/>
                <w:bCs/>
                <w:color w:val="000000"/>
                <w:kern w:val="0"/>
                <w:sz w:val="21"/>
                <w:szCs w:val="21"/>
                <w:highlight w:val="none"/>
              </w:rPr>
              <w:t>商务部分（</w:t>
            </w:r>
            <w:r>
              <w:rPr>
                <w:rFonts w:hint="eastAsia" w:ascii="宋体" w:hAnsi="宋体" w:eastAsia="宋体" w:cs="宋体"/>
                <w:b/>
                <w:bCs/>
                <w:color w:val="000000"/>
                <w:kern w:val="0"/>
                <w:sz w:val="21"/>
                <w:szCs w:val="21"/>
                <w:highlight w:val="none"/>
                <w:lang w:val="en-US" w:eastAsia="zh-CN"/>
              </w:rPr>
              <w:t>30</w:t>
            </w:r>
            <w:r>
              <w:rPr>
                <w:rFonts w:hint="eastAsia" w:ascii="宋体" w:hAnsi="宋体" w:eastAsia="宋体" w:cs="宋体"/>
                <w:b/>
                <w:bCs/>
                <w:color w:val="000000"/>
                <w:kern w:val="0"/>
                <w:sz w:val="21"/>
                <w:szCs w:val="21"/>
                <w:highlight w:val="none"/>
              </w:rPr>
              <w:t>分）</w:t>
            </w:r>
          </w:p>
        </w:tc>
        <w:tc>
          <w:tcPr>
            <w:tcW w:w="2091" w:type="dxa"/>
            <w:gridSpan w:val="2"/>
            <w:noWrap w:val="0"/>
            <w:vAlign w:val="center"/>
          </w:tcPr>
          <w:p w14:paraId="39D83FB4">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企业业绩</w:t>
            </w:r>
          </w:p>
          <w:p w14:paraId="254CB4F7">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rPr>
              <w:t>（15分）</w:t>
            </w:r>
          </w:p>
        </w:tc>
        <w:tc>
          <w:tcPr>
            <w:tcW w:w="6549" w:type="dxa"/>
            <w:noWrap w:val="0"/>
            <w:vAlign w:val="center"/>
          </w:tcPr>
          <w:p w14:paraId="66661A1B">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202</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年1月1日以来完成类似项目业绩的，每提供一项得3分，最多得15分。</w:t>
            </w:r>
          </w:p>
          <w:p w14:paraId="3CBC1293">
            <w:pPr>
              <w:keepNext w:val="0"/>
              <w:keepLines w:val="0"/>
              <w:pageBreakBefore w:val="0"/>
              <w:widowControl/>
              <w:kinsoku/>
              <w:wordWrap/>
              <w:overflowPunct/>
              <w:topLinePunct w:val="0"/>
              <w:bidi w:val="0"/>
              <w:adjustRightInd w:val="0"/>
              <w:snapToGrid w:val="0"/>
              <w:spacing w:line="400" w:lineRule="exact"/>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kern w:val="0"/>
                <w:sz w:val="21"/>
                <w:szCs w:val="21"/>
                <w:highlight w:val="none"/>
              </w:rPr>
              <w:t>注：响应文件中须提供中标（成交）通知书或合同扫描件，时间以签订日期为准。</w:t>
            </w:r>
            <w:r>
              <w:rPr>
                <w:rFonts w:hint="eastAsia" w:ascii="宋体" w:hAnsi="宋体" w:eastAsia="宋体" w:cs="宋体"/>
                <w:kern w:val="0"/>
                <w:sz w:val="21"/>
                <w:szCs w:val="21"/>
                <w:highlight w:val="none"/>
                <w:lang w:eastAsia="zh-CN"/>
              </w:rPr>
              <w:t>否则不得分。</w:t>
            </w:r>
          </w:p>
        </w:tc>
      </w:tr>
      <w:tr w14:paraId="6D3D1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57563548">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kern w:val="0"/>
                <w:sz w:val="21"/>
                <w:szCs w:val="21"/>
                <w:highlight w:val="none"/>
              </w:rPr>
            </w:pPr>
          </w:p>
        </w:tc>
        <w:tc>
          <w:tcPr>
            <w:tcW w:w="790" w:type="dxa"/>
            <w:vMerge w:val="continue"/>
            <w:noWrap w:val="0"/>
            <w:vAlign w:val="center"/>
          </w:tcPr>
          <w:p w14:paraId="70FDCEFB">
            <w:pPr>
              <w:keepNext w:val="0"/>
              <w:keepLines w:val="0"/>
              <w:pageBreakBefore w:val="0"/>
              <w:kinsoku/>
              <w:wordWrap/>
              <w:overflowPunct/>
              <w:topLinePunct w:val="0"/>
              <w:bidi w:val="0"/>
              <w:snapToGrid w:val="0"/>
              <w:spacing w:line="400" w:lineRule="exact"/>
              <w:jc w:val="left"/>
              <w:textAlignment w:val="auto"/>
              <w:rPr>
                <w:rFonts w:hint="eastAsia" w:ascii="宋体" w:hAnsi="宋体" w:eastAsia="宋体" w:cs="宋体"/>
                <w:color w:val="000000"/>
                <w:kern w:val="0"/>
                <w:sz w:val="21"/>
                <w:szCs w:val="21"/>
                <w:highlight w:val="none"/>
              </w:rPr>
            </w:pPr>
          </w:p>
        </w:tc>
        <w:tc>
          <w:tcPr>
            <w:tcW w:w="2091" w:type="dxa"/>
            <w:gridSpan w:val="2"/>
            <w:noWrap w:val="0"/>
            <w:vAlign w:val="center"/>
          </w:tcPr>
          <w:p w14:paraId="20BA2459">
            <w:pPr>
              <w:keepNext w:val="0"/>
              <w:keepLines w:val="0"/>
              <w:pageBreakBefore w:val="0"/>
              <w:kinsoku/>
              <w:wordWrap/>
              <w:overflowPunct/>
              <w:topLinePunct w:val="0"/>
              <w:bidi w:val="0"/>
              <w:snapToGrid w:val="0"/>
              <w:spacing w:line="400" w:lineRule="exact"/>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项目组成员</w:t>
            </w:r>
          </w:p>
          <w:p w14:paraId="07BAD5DB">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rPr>
              <w:t>（9分）</w:t>
            </w:r>
          </w:p>
        </w:tc>
        <w:tc>
          <w:tcPr>
            <w:tcW w:w="6549" w:type="dxa"/>
            <w:noWrap w:val="0"/>
            <w:vAlign w:val="center"/>
          </w:tcPr>
          <w:p w14:paraId="4999A510">
            <w:pPr>
              <w:keepNext w:val="0"/>
              <w:keepLines w:val="0"/>
              <w:pageBreakBefore w:val="0"/>
              <w:kinsoku/>
              <w:wordWrap/>
              <w:overflowPunct/>
              <w:topLinePunct w:val="0"/>
              <w:bidi w:val="0"/>
              <w:spacing w:line="400" w:lineRule="exact"/>
              <w:textAlignment w:val="auto"/>
              <w:rPr>
                <w:rFonts w:hint="eastAsia" w:ascii="宋体" w:hAnsi="宋体" w:eastAsia="宋体" w:cs="宋体"/>
                <w:kern w:val="0"/>
                <w:sz w:val="21"/>
                <w:szCs w:val="21"/>
                <w:highlight w:val="none"/>
                <w:lang w:val="zh-CN" w:bidi="ar"/>
              </w:rPr>
            </w:pPr>
            <w:r>
              <w:rPr>
                <w:rFonts w:hint="eastAsia" w:ascii="宋体" w:hAnsi="宋体" w:eastAsia="宋体" w:cs="宋体"/>
                <w:kern w:val="0"/>
                <w:sz w:val="21"/>
                <w:szCs w:val="21"/>
                <w:highlight w:val="none"/>
                <w:lang w:val="zh-CN" w:bidi="ar"/>
              </w:rPr>
              <w:t>供应商拟派的项目组成员配备：</w:t>
            </w:r>
          </w:p>
          <w:p w14:paraId="17CEEC58">
            <w:pPr>
              <w:keepNext w:val="0"/>
              <w:keepLines w:val="0"/>
              <w:pageBreakBefore w:val="0"/>
              <w:kinsoku/>
              <w:wordWrap/>
              <w:overflowPunct/>
              <w:topLinePunct w:val="0"/>
              <w:bidi w:val="0"/>
              <w:spacing w:line="400" w:lineRule="exact"/>
              <w:textAlignment w:val="auto"/>
              <w:rPr>
                <w:rFonts w:hint="eastAsia" w:ascii="宋体" w:hAnsi="宋体" w:eastAsia="宋体" w:cs="宋体"/>
                <w:kern w:val="0"/>
                <w:sz w:val="21"/>
                <w:szCs w:val="21"/>
                <w:highlight w:val="none"/>
                <w:lang w:val="zh-CN" w:bidi="ar"/>
              </w:rPr>
            </w:pPr>
            <w:r>
              <w:rPr>
                <w:rFonts w:hint="eastAsia" w:ascii="宋体" w:hAnsi="宋体" w:eastAsia="宋体" w:cs="宋体"/>
                <w:kern w:val="0"/>
                <w:sz w:val="21"/>
                <w:szCs w:val="21"/>
                <w:highlight w:val="none"/>
                <w:lang w:val="zh-CN" w:bidi="ar"/>
              </w:rPr>
              <w:t>具备注册会计师，经济师，工程师，每符合一项专业得3分，同一专业多名人员、同一人具备多个专业不重复计分，最高得 9 分。</w:t>
            </w:r>
          </w:p>
          <w:p w14:paraId="49AD22E5">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1"/>
                <w:szCs w:val="21"/>
                <w:highlight w:val="none"/>
              </w:rPr>
            </w:pPr>
            <w:r>
              <w:rPr>
                <w:rFonts w:hint="eastAsia" w:ascii="宋体" w:hAnsi="宋体" w:eastAsia="宋体" w:cs="宋体"/>
                <w:kern w:val="0"/>
                <w:sz w:val="21"/>
                <w:szCs w:val="21"/>
                <w:highlight w:val="none"/>
                <w:lang w:val="zh-CN" w:bidi="ar"/>
              </w:rPr>
              <w:t>注：须在响应文件中附相关证书，否则不得分。</w:t>
            </w:r>
          </w:p>
        </w:tc>
      </w:tr>
      <w:tr w14:paraId="02070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80" w:type="dxa"/>
            <w:vMerge w:val="continue"/>
            <w:noWrap w:val="0"/>
            <w:vAlign w:val="center"/>
          </w:tcPr>
          <w:p w14:paraId="198D4447">
            <w:pPr>
              <w:keepNext w:val="0"/>
              <w:keepLines w:val="0"/>
              <w:pageBreakBefore w:val="0"/>
              <w:widowControl/>
              <w:kinsoku/>
              <w:wordWrap/>
              <w:overflowPunct/>
              <w:topLinePunct w:val="0"/>
              <w:bidi w:val="0"/>
              <w:spacing w:line="400" w:lineRule="exact"/>
              <w:jc w:val="center"/>
              <w:textAlignment w:val="auto"/>
              <w:rPr>
                <w:rFonts w:hint="eastAsia" w:ascii="宋体" w:hAnsi="宋体" w:eastAsia="宋体" w:cs="宋体"/>
                <w:color w:val="000000"/>
                <w:kern w:val="0"/>
                <w:sz w:val="21"/>
                <w:szCs w:val="21"/>
                <w:highlight w:val="none"/>
              </w:rPr>
            </w:pPr>
            <w:bookmarkStart w:id="558" w:name="_Toc31078"/>
            <w:bookmarkStart w:id="559" w:name="_Toc26309"/>
            <w:bookmarkStart w:id="560" w:name="_Toc111997250"/>
            <w:bookmarkStart w:id="561" w:name="_Toc3589"/>
            <w:bookmarkStart w:id="562" w:name="_Toc711"/>
            <w:bookmarkStart w:id="563" w:name="_Toc30301"/>
            <w:bookmarkStart w:id="564" w:name="_Toc5114"/>
            <w:bookmarkStart w:id="565" w:name="_Toc3242"/>
            <w:bookmarkStart w:id="566" w:name="_Toc5251"/>
            <w:bookmarkStart w:id="567" w:name="_Toc13371"/>
            <w:bookmarkStart w:id="568" w:name="_Toc25637"/>
          </w:p>
        </w:tc>
        <w:tc>
          <w:tcPr>
            <w:tcW w:w="790" w:type="dxa"/>
            <w:vMerge w:val="continue"/>
            <w:noWrap w:val="0"/>
            <w:vAlign w:val="center"/>
          </w:tcPr>
          <w:p w14:paraId="030BEB4A">
            <w:pPr>
              <w:keepNext w:val="0"/>
              <w:keepLines w:val="0"/>
              <w:pageBreakBefore w:val="0"/>
              <w:kinsoku/>
              <w:wordWrap/>
              <w:overflowPunct/>
              <w:topLinePunct w:val="0"/>
              <w:bidi w:val="0"/>
              <w:snapToGrid w:val="0"/>
              <w:spacing w:line="400" w:lineRule="exact"/>
              <w:jc w:val="left"/>
              <w:textAlignment w:val="auto"/>
              <w:rPr>
                <w:rFonts w:hint="eastAsia" w:ascii="宋体" w:hAnsi="宋体" w:eastAsia="宋体" w:cs="宋体"/>
                <w:color w:val="000000"/>
                <w:kern w:val="0"/>
                <w:sz w:val="21"/>
                <w:szCs w:val="21"/>
                <w:highlight w:val="none"/>
              </w:rPr>
            </w:pPr>
          </w:p>
        </w:tc>
        <w:tc>
          <w:tcPr>
            <w:tcW w:w="2091" w:type="dxa"/>
            <w:gridSpan w:val="2"/>
            <w:noWrap w:val="0"/>
            <w:vAlign w:val="center"/>
          </w:tcPr>
          <w:p w14:paraId="79129173">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kern w:val="0"/>
                <w:sz w:val="21"/>
                <w:szCs w:val="21"/>
                <w:highlight w:val="none"/>
                <w:lang w:val="zh-CN" w:bidi="ar"/>
              </w:rPr>
            </w:pPr>
            <w:r>
              <w:rPr>
                <w:rFonts w:hint="eastAsia" w:ascii="宋体" w:hAnsi="宋体" w:eastAsia="宋体" w:cs="宋体"/>
                <w:kern w:val="0"/>
                <w:sz w:val="21"/>
                <w:szCs w:val="21"/>
                <w:highlight w:val="none"/>
                <w:lang w:val="zh-CN" w:bidi="ar"/>
              </w:rPr>
              <w:t>服务承诺</w:t>
            </w:r>
          </w:p>
          <w:p w14:paraId="28855C75">
            <w:pPr>
              <w:keepNext w:val="0"/>
              <w:keepLines w:val="0"/>
              <w:pageBreakBefore w:val="0"/>
              <w:kinsoku/>
              <w:wordWrap/>
              <w:overflowPunct/>
              <w:topLinePunct w:val="0"/>
              <w:bidi w:val="0"/>
              <w:spacing w:line="400" w:lineRule="exact"/>
              <w:jc w:val="center"/>
              <w:textAlignment w:val="auto"/>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kern w:val="0"/>
                <w:sz w:val="21"/>
                <w:szCs w:val="21"/>
                <w:highlight w:val="none"/>
                <w:lang w:val="zh-CN" w:bidi="ar"/>
              </w:rPr>
              <w:t>（6分）</w:t>
            </w:r>
          </w:p>
        </w:tc>
        <w:tc>
          <w:tcPr>
            <w:tcW w:w="6549" w:type="dxa"/>
            <w:noWrap w:val="0"/>
            <w:vAlign w:val="center"/>
          </w:tcPr>
          <w:p w14:paraId="012C3E71">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①供应商积极配合采购人的工作计划安排，对项目实施过程中、项目完成后及现场响应情况等方面的承诺详细全面，响应快速及时，得6 分；</w:t>
            </w:r>
          </w:p>
          <w:p w14:paraId="4AD234D6">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②供应商积极配合采购人的工作计划安排，对项目实施过程中、项目完成后及现场响应情况等方面的承诺比较全面，响应比较及时，得4分；</w:t>
            </w:r>
          </w:p>
          <w:p w14:paraId="55B248F5">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 xml:space="preserve">③供应商积极配合采购人的工作计划安排，对项目实施过程中、项目完成后及现场响应情况等方面的承诺一般，响应速度一般，得2分； </w:t>
            </w:r>
          </w:p>
          <w:p w14:paraId="76F8A870">
            <w:pPr>
              <w:keepNext w:val="0"/>
              <w:keepLines w:val="0"/>
              <w:pageBreakBefore w:val="0"/>
              <w:kinsoku/>
              <w:wordWrap/>
              <w:overflowPunct/>
              <w:topLinePunct w:val="0"/>
              <w:bidi w:val="0"/>
              <w:spacing w:line="400" w:lineRule="exact"/>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④未提供服务承诺的不得分。</w:t>
            </w:r>
          </w:p>
        </w:tc>
      </w:tr>
      <w:bookmarkEnd w:id="557"/>
      <w:bookmarkEnd w:id="558"/>
      <w:bookmarkEnd w:id="559"/>
      <w:bookmarkEnd w:id="560"/>
      <w:bookmarkEnd w:id="561"/>
      <w:bookmarkEnd w:id="562"/>
      <w:bookmarkEnd w:id="563"/>
      <w:bookmarkEnd w:id="564"/>
      <w:bookmarkEnd w:id="565"/>
      <w:bookmarkEnd w:id="566"/>
      <w:bookmarkEnd w:id="567"/>
      <w:bookmarkEnd w:id="568"/>
    </w:tbl>
    <w:p w14:paraId="243126A2">
      <w:pPr>
        <w:rPr>
          <w:rFonts w:hint="eastAsia" w:ascii="宋体" w:hAnsi="宋体" w:eastAsia="宋体" w:cs="宋体"/>
          <w:b/>
          <w:bCs/>
          <w:kern w:val="44"/>
          <w:sz w:val="32"/>
          <w:szCs w:val="32"/>
          <w:highlight w:val="none"/>
        </w:rPr>
      </w:pPr>
      <w:r>
        <w:rPr>
          <w:rFonts w:hint="eastAsia" w:ascii="宋体" w:hAnsi="宋体" w:eastAsia="宋体" w:cs="宋体"/>
          <w:b/>
          <w:bCs/>
          <w:kern w:val="44"/>
          <w:sz w:val="32"/>
          <w:szCs w:val="32"/>
          <w:highlight w:val="none"/>
        </w:rPr>
        <w:br w:type="page"/>
      </w:r>
    </w:p>
    <w:p w14:paraId="7BBE9703">
      <w:pPr>
        <w:spacing w:line="500" w:lineRule="exact"/>
        <w:jc w:val="both"/>
        <w:outlineLvl w:val="9"/>
        <w:rPr>
          <w:rFonts w:hint="eastAsia" w:ascii="宋体" w:hAnsi="宋体" w:eastAsia="宋体" w:cs="宋体"/>
          <w:b/>
          <w:bCs/>
          <w:sz w:val="24"/>
          <w:szCs w:val="20"/>
          <w:highlight w:val="none"/>
        </w:rPr>
      </w:pPr>
      <w:bookmarkStart w:id="569" w:name="_Toc27568"/>
      <w:bookmarkStart w:id="570" w:name="_Toc12636"/>
      <w:bookmarkStart w:id="571" w:name="_Toc155634918"/>
      <w:r>
        <w:rPr>
          <w:rFonts w:hint="eastAsia" w:ascii="宋体" w:hAnsi="宋体" w:eastAsia="宋体" w:cs="宋体"/>
          <w:b/>
          <w:bCs/>
          <w:sz w:val="24"/>
          <w:szCs w:val="20"/>
          <w:highlight w:val="none"/>
        </w:rPr>
        <w:t>附表一：政府采购政策中小企业价格扣除办法</w:t>
      </w:r>
      <w:bookmarkEnd w:id="569"/>
      <w:bookmarkEnd w:id="570"/>
      <w:bookmarkEnd w:id="571"/>
    </w:p>
    <w:tbl>
      <w:tblPr>
        <w:tblStyle w:val="26"/>
        <w:tblW w:w="9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985"/>
        <w:gridCol w:w="6821"/>
      </w:tblGrid>
      <w:tr w14:paraId="3F65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184220F9">
            <w:pPr>
              <w:spacing w:line="360" w:lineRule="auto"/>
              <w:jc w:val="center"/>
              <w:rPr>
                <w:rFonts w:hint="eastAsia" w:ascii="宋体" w:hAnsi="宋体" w:eastAsia="宋体" w:cs="宋体"/>
                <w:highlight w:val="none"/>
              </w:rPr>
            </w:pPr>
            <w:r>
              <w:rPr>
                <w:rFonts w:hint="eastAsia" w:ascii="宋体" w:hAnsi="宋体" w:eastAsia="宋体" w:cs="宋体"/>
                <w:highlight w:val="none"/>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F6A6396">
            <w:pPr>
              <w:spacing w:line="360" w:lineRule="auto"/>
              <w:jc w:val="center"/>
              <w:rPr>
                <w:rFonts w:hint="eastAsia" w:ascii="宋体" w:hAnsi="宋体" w:eastAsia="宋体" w:cs="宋体"/>
                <w:highlight w:val="none"/>
              </w:rPr>
            </w:pPr>
            <w:r>
              <w:rPr>
                <w:rFonts w:hint="eastAsia" w:ascii="宋体" w:hAnsi="宋体" w:eastAsia="宋体" w:cs="宋体"/>
                <w:highlight w:val="none"/>
              </w:rPr>
              <w:t>项目</w:t>
            </w:r>
          </w:p>
        </w:tc>
        <w:tc>
          <w:tcPr>
            <w:tcW w:w="6821" w:type="dxa"/>
            <w:tcBorders>
              <w:top w:val="single" w:color="auto" w:sz="4" w:space="0"/>
              <w:left w:val="single" w:color="auto" w:sz="4" w:space="0"/>
              <w:bottom w:val="single" w:color="auto" w:sz="4" w:space="0"/>
              <w:right w:val="single" w:color="auto" w:sz="4" w:space="0"/>
            </w:tcBorders>
            <w:noWrap w:val="0"/>
            <w:vAlign w:val="center"/>
          </w:tcPr>
          <w:p w14:paraId="1CE78175">
            <w:pPr>
              <w:spacing w:line="360" w:lineRule="auto"/>
              <w:jc w:val="center"/>
              <w:rPr>
                <w:rFonts w:hint="eastAsia" w:ascii="宋体" w:hAnsi="宋体" w:eastAsia="宋体" w:cs="宋体"/>
                <w:highlight w:val="none"/>
              </w:rPr>
            </w:pPr>
            <w:r>
              <w:rPr>
                <w:rFonts w:hint="eastAsia" w:ascii="宋体" w:hAnsi="宋体" w:eastAsia="宋体" w:cs="宋体"/>
                <w:highlight w:val="none"/>
              </w:rPr>
              <w:t>具体内容</w:t>
            </w:r>
          </w:p>
        </w:tc>
      </w:tr>
      <w:tr w14:paraId="14B98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7C7B29D1">
            <w:pPr>
              <w:spacing w:line="360" w:lineRule="auto"/>
              <w:jc w:val="center"/>
              <w:rPr>
                <w:rFonts w:hint="eastAsia" w:ascii="宋体" w:hAnsi="宋体" w:eastAsia="宋体" w:cs="宋体"/>
                <w:highlight w:val="none"/>
              </w:rPr>
            </w:pPr>
            <w:r>
              <w:rPr>
                <w:rFonts w:hint="eastAsia" w:ascii="宋体" w:hAnsi="宋体" w:eastAsia="宋体" w:cs="宋体"/>
                <w:highlight w:val="none"/>
              </w:rPr>
              <w:t>1</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2E6F71B">
            <w:pPr>
              <w:spacing w:line="360" w:lineRule="auto"/>
              <w:jc w:val="center"/>
              <w:rPr>
                <w:rFonts w:hint="eastAsia" w:ascii="宋体" w:hAnsi="宋体" w:eastAsia="宋体" w:cs="宋体"/>
                <w:highlight w:val="none"/>
              </w:rPr>
            </w:pPr>
            <w:r>
              <w:rPr>
                <w:rFonts w:hint="eastAsia" w:ascii="宋体" w:hAnsi="宋体" w:eastAsia="宋体" w:cs="宋体"/>
                <w:highlight w:val="none"/>
              </w:rPr>
              <w:t>本项目是否属于专门面向中小企业的政府采购活动</w:t>
            </w:r>
          </w:p>
        </w:tc>
        <w:tc>
          <w:tcPr>
            <w:tcW w:w="6821" w:type="dxa"/>
            <w:tcBorders>
              <w:top w:val="single" w:color="auto" w:sz="4" w:space="0"/>
              <w:left w:val="single" w:color="auto" w:sz="4" w:space="0"/>
              <w:bottom w:val="single" w:color="auto" w:sz="4" w:space="0"/>
              <w:right w:val="single" w:color="auto" w:sz="4" w:space="0"/>
            </w:tcBorders>
            <w:noWrap w:val="0"/>
            <w:vAlign w:val="center"/>
          </w:tcPr>
          <w:p w14:paraId="4E07C0C7">
            <w:pPr>
              <w:spacing w:line="360" w:lineRule="auto"/>
              <w:jc w:val="center"/>
              <w:rPr>
                <w:rFonts w:hint="eastAsia" w:ascii="宋体" w:hAnsi="宋体" w:eastAsia="宋体" w:cs="宋体"/>
                <w:highlight w:val="none"/>
                <w:lang w:eastAsia="zh-CN"/>
              </w:rPr>
            </w:pPr>
            <w:r>
              <w:rPr>
                <w:rFonts w:hint="eastAsia" w:ascii="宋体" w:hAnsi="宋体" w:eastAsia="宋体" w:cs="宋体"/>
                <w:highlight w:val="none"/>
                <w:lang w:eastAsia="zh-CN"/>
              </w:rPr>
              <w:t>是</w:t>
            </w:r>
          </w:p>
        </w:tc>
      </w:tr>
      <w:tr w14:paraId="754F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46B0108A">
            <w:pPr>
              <w:spacing w:line="360" w:lineRule="auto"/>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2</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7B731494">
            <w:pPr>
              <w:keepNext w:val="0"/>
              <w:keepLines w:val="0"/>
              <w:pageBreakBefore w:val="0"/>
              <w:kinsoku/>
              <w:wordWrap/>
              <w:overflowPunct/>
              <w:topLinePunct w:val="0"/>
              <w:autoSpaceDE/>
              <w:autoSpaceDN/>
              <w:bidi w:val="0"/>
              <w:snapToGrid/>
              <w:spacing w:line="420" w:lineRule="exact"/>
              <w:jc w:val="center"/>
              <w:textAlignment w:val="auto"/>
              <w:rPr>
                <w:rFonts w:hint="eastAsia" w:ascii="宋体" w:hAnsi="宋体" w:eastAsia="宋体" w:cs="宋体"/>
                <w:highlight w:val="none"/>
              </w:rPr>
            </w:pPr>
            <w:r>
              <w:rPr>
                <w:rFonts w:hint="eastAsia" w:ascii="宋体" w:hAnsi="宋体" w:eastAsia="宋体" w:cs="宋体"/>
                <w:color w:val="auto"/>
                <w:sz w:val="21"/>
                <w:szCs w:val="21"/>
                <w:highlight w:val="none"/>
                <w:lang w:val="en-US" w:eastAsia="zh-CN"/>
              </w:rPr>
              <w:t>本项目中小企业所属行业</w:t>
            </w:r>
          </w:p>
        </w:tc>
        <w:tc>
          <w:tcPr>
            <w:tcW w:w="6821" w:type="dxa"/>
            <w:tcBorders>
              <w:top w:val="single" w:color="auto" w:sz="4" w:space="0"/>
              <w:left w:val="single" w:color="auto" w:sz="4" w:space="0"/>
              <w:bottom w:val="single" w:color="auto" w:sz="4" w:space="0"/>
              <w:right w:val="single" w:color="auto" w:sz="4" w:space="0"/>
            </w:tcBorders>
            <w:noWrap w:val="0"/>
            <w:vAlign w:val="center"/>
          </w:tcPr>
          <w:p w14:paraId="446A3C6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宋体" w:hAnsi="宋体" w:eastAsia="宋体" w:cs="宋体"/>
                <w:highlight w:val="none"/>
                <w:lang w:eastAsia="zh-CN"/>
              </w:rPr>
            </w:pPr>
            <w:r>
              <w:rPr>
                <w:rFonts w:hint="eastAsia" w:ascii="宋体" w:hAnsi="宋体" w:eastAsia="宋体" w:cs="宋体"/>
                <w:color w:val="auto"/>
                <w:sz w:val="21"/>
                <w:szCs w:val="21"/>
                <w:highlight w:val="none"/>
                <w:lang w:eastAsia="zh-CN"/>
              </w:rPr>
              <w:t>其他未列明行业</w:t>
            </w:r>
          </w:p>
        </w:tc>
      </w:tr>
      <w:tr w14:paraId="12429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85" w:type="dxa"/>
            <w:vMerge w:val="restart"/>
            <w:tcBorders>
              <w:top w:val="single" w:color="auto" w:sz="4" w:space="0"/>
              <w:left w:val="single" w:color="auto" w:sz="4" w:space="0"/>
              <w:right w:val="single" w:color="auto" w:sz="4" w:space="0"/>
            </w:tcBorders>
            <w:noWrap w:val="0"/>
            <w:vAlign w:val="center"/>
          </w:tcPr>
          <w:p w14:paraId="027342BE">
            <w:pPr>
              <w:spacing w:line="360" w:lineRule="auto"/>
              <w:jc w:val="center"/>
              <w:rPr>
                <w:rFonts w:hint="eastAsia" w:ascii="宋体" w:hAnsi="宋体" w:eastAsia="宋体" w:cs="宋体"/>
                <w:highlight w:val="none"/>
                <w:lang w:eastAsia="zh-CN"/>
              </w:rPr>
            </w:pPr>
            <w:r>
              <w:rPr>
                <w:rFonts w:hint="eastAsia" w:ascii="宋体" w:hAnsi="宋体" w:eastAsia="宋体" w:cs="宋体"/>
                <w:highlight w:val="none"/>
                <w:lang w:val="en-US" w:eastAsia="zh-CN"/>
              </w:rPr>
              <w:t>3</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E3C5A20">
            <w:pPr>
              <w:spacing w:line="360" w:lineRule="auto"/>
              <w:jc w:val="center"/>
              <w:rPr>
                <w:rFonts w:hint="eastAsia" w:ascii="宋体" w:hAnsi="宋体" w:eastAsia="宋体" w:cs="宋体"/>
                <w:highlight w:val="none"/>
              </w:rPr>
            </w:pPr>
            <w:r>
              <w:rPr>
                <w:rFonts w:hint="eastAsia" w:ascii="宋体" w:hAnsi="宋体" w:eastAsia="宋体" w:cs="宋体"/>
                <w:highlight w:val="none"/>
              </w:rPr>
              <w:t>中小企业的</w:t>
            </w:r>
          </w:p>
          <w:p w14:paraId="7C0C2A63">
            <w:pPr>
              <w:spacing w:line="360" w:lineRule="auto"/>
              <w:jc w:val="center"/>
              <w:rPr>
                <w:rFonts w:hint="eastAsia" w:ascii="宋体" w:hAnsi="宋体" w:eastAsia="宋体" w:cs="宋体"/>
                <w:highlight w:val="none"/>
              </w:rPr>
            </w:pPr>
            <w:r>
              <w:rPr>
                <w:rFonts w:hint="eastAsia" w:ascii="宋体" w:hAnsi="宋体" w:eastAsia="宋体" w:cs="宋体"/>
                <w:highlight w:val="none"/>
              </w:rPr>
              <w:t>认定标准</w:t>
            </w:r>
          </w:p>
        </w:tc>
        <w:tc>
          <w:tcPr>
            <w:tcW w:w="6821" w:type="dxa"/>
            <w:tcBorders>
              <w:top w:val="single" w:color="auto" w:sz="4" w:space="0"/>
              <w:left w:val="single" w:color="auto" w:sz="4" w:space="0"/>
              <w:bottom w:val="single" w:color="auto" w:sz="4" w:space="0"/>
              <w:right w:val="single" w:color="auto" w:sz="4" w:space="0"/>
            </w:tcBorders>
            <w:noWrap w:val="0"/>
            <w:vAlign w:val="top"/>
          </w:tcPr>
          <w:p w14:paraId="0C629E9F">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供应商须同时满足以下两个条件，才能认定为中小企业（含中型、小型、微型企业，下同）：</w:t>
            </w:r>
          </w:p>
          <w:p w14:paraId="2C3A7E6D">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一、符合《工业和信息化部、国家统计局、国家发展和改革委员会、财政部关于印发中小企业划型标准规定的通知》（工信部联企业〔2011〕300号）规定的中小企业划分标准；</w:t>
            </w:r>
          </w:p>
          <w:p w14:paraId="57139676">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二、根据《中华人民共和国政府采购法实施条例》第六条和《关于印发《政府采购促进中小企业发展管理办法》的通知》（财库〔2020〕46号，以下简称46号文）第二条规定，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tc>
      </w:tr>
      <w:tr w14:paraId="1E2A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85" w:type="dxa"/>
            <w:vMerge w:val="continue"/>
            <w:tcBorders>
              <w:left w:val="single" w:color="auto" w:sz="4" w:space="0"/>
              <w:bottom w:val="single" w:color="auto" w:sz="4" w:space="0"/>
              <w:right w:val="single" w:color="auto" w:sz="4" w:space="0"/>
            </w:tcBorders>
            <w:noWrap w:val="0"/>
            <w:vAlign w:val="center"/>
          </w:tcPr>
          <w:p w14:paraId="20841382">
            <w:pPr>
              <w:spacing w:line="360" w:lineRule="auto"/>
              <w:jc w:val="center"/>
              <w:rPr>
                <w:rFonts w:hint="eastAsia" w:ascii="宋体" w:hAnsi="宋体" w:eastAsia="宋体" w:cs="宋体"/>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57FFA3A9">
            <w:pPr>
              <w:spacing w:line="360" w:lineRule="auto"/>
              <w:jc w:val="center"/>
              <w:rPr>
                <w:rFonts w:hint="eastAsia" w:ascii="宋体" w:hAnsi="宋体" w:eastAsia="宋体" w:cs="宋体"/>
                <w:highlight w:val="none"/>
              </w:rPr>
            </w:pPr>
            <w:r>
              <w:rPr>
                <w:rFonts w:hint="eastAsia" w:ascii="宋体" w:hAnsi="宋体" w:eastAsia="宋体" w:cs="宋体"/>
                <w:highlight w:val="none"/>
              </w:rPr>
              <w:t>价格扣除办法</w:t>
            </w:r>
          </w:p>
        </w:tc>
        <w:tc>
          <w:tcPr>
            <w:tcW w:w="6821" w:type="dxa"/>
            <w:tcBorders>
              <w:top w:val="single" w:color="auto" w:sz="4" w:space="0"/>
              <w:left w:val="single" w:color="auto" w:sz="4" w:space="0"/>
              <w:bottom w:val="single" w:color="auto" w:sz="4" w:space="0"/>
              <w:right w:val="single" w:color="auto" w:sz="4" w:space="0"/>
            </w:tcBorders>
            <w:noWrap w:val="0"/>
            <w:vAlign w:val="top"/>
          </w:tcPr>
          <w:p w14:paraId="07D10A27">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价格扣除：对于非专门面向中小企业的项目，根据《中华人民共和国政府采购法实施条例》第六条、财库〔2020〕46号和财库〔2022〕19号文的规定，当符合条件规定的小微企业报价给予</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0%</w:t>
            </w:r>
            <w:r>
              <w:rPr>
                <w:rFonts w:hint="eastAsia" w:ascii="宋体" w:hAnsi="宋体" w:eastAsia="宋体" w:cs="宋体"/>
                <w:highlight w:val="none"/>
              </w:rPr>
              <w:t>的扣除，用扣除后的价格参加评审。</w:t>
            </w:r>
          </w:p>
          <w:p w14:paraId="0D310907">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根据财政部司法部《关于政府采购支持监狱企业发展有关问题的通知》（财库〔2014〕68号）规定，本项目对监狱企业作为供应商的价格视为小型、微型企业享受价格扣除，用扣除后的价格参与评审。</w:t>
            </w:r>
          </w:p>
          <w:p w14:paraId="3E67D9B5">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根据《财政部 民政部 中国残疾人联合会关于促进残疾人就业政府采购政策的通知》（财库[2017]141号）的规定，残疾人福利性单位视为小型、微型企业享受价格扣除，用扣除后的价格作为评标价格参与评审。</w:t>
            </w:r>
          </w:p>
          <w:p w14:paraId="45B3D732">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监狱企业参加政府采购活动时，应当提供省级以上监狱管理局、戒毒管理局（含新疆生产建设兵团）出具的属于监狱企业的证明文件。</w:t>
            </w:r>
          </w:p>
          <w:p w14:paraId="7CC6088B">
            <w:pPr>
              <w:spacing w:line="360" w:lineRule="auto"/>
              <w:ind w:firstLine="329" w:firstLineChars="157"/>
              <w:rPr>
                <w:rFonts w:hint="eastAsia" w:ascii="宋体" w:hAnsi="宋体" w:eastAsia="宋体" w:cs="宋体"/>
                <w:highlight w:val="none"/>
              </w:rPr>
            </w:pPr>
            <w:r>
              <w:rPr>
                <w:rFonts w:hint="eastAsia" w:ascii="宋体" w:hAnsi="宋体" w:eastAsia="宋体" w:cs="宋体"/>
                <w:highlight w:val="none"/>
              </w:rPr>
              <w:t>同一供应商，小微企业产品、残疾人福利性企业和监狱企业产品价格扣除优惠只享受一次，不得重复享受。响应文件中需附“中小企业声明函”，否则</w:t>
            </w:r>
            <w:r>
              <w:rPr>
                <w:rFonts w:hint="eastAsia" w:ascii="宋体" w:hAnsi="宋体" w:eastAsia="宋体" w:cs="宋体"/>
                <w:highlight w:val="none"/>
                <w:lang w:eastAsia="zh-CN"/>
              </w:rPr>
              <w:t>磋商小组</w:t>
            </w:r>
            <w:r>
              <w:rPr>
                <w:rFonts w:hint="eastAsia" w:ascii="宋体" w:hAnsi="宋体" w:eastAsia="宋体" w:cs="宋体"/>
                <w:highlight w:val="none"/>
              </w:rPr>
              <w:t>将不予认定中小微型企业。</w:t>
            </w:r>
          </w:p>
          <w:p w14:paraId="11E682A4">
            <w:pPr>
              <w:spacing w:line="360" w:lineRule="auto"/>
              <w:ind w:firstLine="331" w:firstLineChars="157"/>
              <w:rPr>
                <w:rFonts w:hint="eastAsia" w:ascii="宋体" w:hAnsi="宋体" w:eastAsia="宋体" w:cs="宋体"/>
                <w:highlight w:val="none"/>
                <w:lang w:eastAsia="zh-CN"/>
              </w:rPr>
            </w:pPr>
            <w:r>
              <w:rPr>
                <w:rFonts w:hint="eastAsia" w:ascii="宋体" w:hAnsi="宋体" w:eastAsia="宋体" w:cs="宋体"/>
                <w:b/>
                <w:bCs/>
                <w:color w:val="auto"/>
                <w:highlight w:val="none"/>
                <w:lang w:eastAsia="zh-CN"/>
              </w:rPr>
              <w:t>注：本项目为</w:t>
            </w:r>
            <w:r>
              <w:rPr>
                <w:rFonts w:hint="eastAsia" w:ascii="宋体" w:hAnsi="宋体" w:eastAsia="宋体" w:cs="宋体"/>
                <w:b/>
                <w:bCs/>
                <w:color w:val="auto"/>
                <w:highlight w:val="none"/>
              </w:rPr>
              <w:t>专门面向中小企业的政府采购，不再执行价格评审优惠的扶持政策。</w:t>
            </w:r>
          </w:p>
        </w:tc>
      </w:tr>
      <w:tr w14:paraId="2626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6F6F9EC9">
            <w:pPr>
              <w:spacing w:line="360" w:lineRule="auto"/>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4</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002984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highlight w:val="none"/>
              </w:rPr>
            </w:pPr>
            <w:r>
              <w:rPr>
                <w:rFonts w:hint="eastAsia" w:ascii="宋体" w:hAnsi="宋体" w:eastAsia="宋体" w:cs="宋体"/>
                <w:color w:val="auto"/>
                <w:highlight w:val="none"/>
                <w:lang w:eastAsia="zh-CN"/>
              </w:rPr>
              <w:t>异常低价问题</w:t>
            </w:r>
          </w:p>
        </w:tc>
        <w:tc>
          <w:tcPr>
            <w:tcW w:w="6821" w:type="dxa"/>
            <w:tcBorders>
              <w:top w:val="single" w:color="auto" w:sz="4" w:space="0"/>
              <w:left w:val="single" w:color="auto" w:sz="4" w:space="0"/>
              <w:bottom w:val="single" w:color="auto" w:sz="4" w:space="0"/>
              <w:right w:val="single" w:color="auto" w:sz="4" w:space="0"/>
            </w:tcBorders>
            <w:noWrap w:val="0"/>
            <w:vAlign w:val="top"/>
          </w:tcPr>
          <w:p w14:paraId="7D6DCF0D">
            <w:pPr>
              <w:keepNext w:val="0"/>
              <w:keepLines w:val="0"/>
              <w:pageBreakBefore w:val="0"/>
              <w:widowControl w:val="0"/>
              <w:kinsoku/>
              <w:wordWrap/>
              <w:overflowPunct/>
              <w:topLinePunct w:val="0"/>
              <w:autoSpaceDE/>
              <w:autoSpaceDN/>
              <w:bidi w:val="0"/>
              <w:adjustRightInd/>
              <w:snapToGrid/>
              <w:spacing w:line="400" w:lineRule="exact"/>
              <w:ind w:firstLine="329" w:firstLineChars="1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根据财政部《关于推动解决政府采购异常低价问题的通知》（财库〔2026〕2号），评审中出现下列情形之一的，评审委员会应当启动异常低价投标（响应）审查程序：</w:t>
            </w:r>
          </w:p>
          <w:p w14:paraId="28073C25">
            <w:pPr>
              <w:keepNext w:val="0"/>
              <w:keepLines w:val="0"/>
              <w:pageBreakBefore w:val="0"/>
              <w:widowControl w:val="0"/>
              <w:kinsoku/>
              <w:wordWrap/>
              <w:overflowPunct/>
              <w:topLinePunct w:val="0"/>
              <w:autoSpaceDE/>
              <w:autoSpaceDN/>
              <w:bidi w:val="0"/>
              <w:adjustRightInd/>
              <w:snapToGrid/>
              <w:spacing w:line="400" w:lineRule="exact"/>
              <w:ind w:firstLine="329" w:firstLineChars="1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1.投标（响应）报价低于全部通过符合性审查供应商投标（响应）报价平均值50%的，即投标（响应）报价&lt;全部通过符合性审查供应商投标（响应）报价平均值×50%；</w:t>
            </w:r>
          </w:p>
          <w:p w14:paraId="57E72D8B">
            <w:pPr>
              <w:keepNext w:val="0"/>
              <w:keepLines w:val="0"/>
              <w:pageBreakBefore w:val="0"/>
              <w:widowControl w:val="0"/>
              <w:kinsoku/>
              <w:wordWrap/>
              <w:overflowPunct/>
              <w:topLinePunct w:val="0"/>
              <w:autoSpaceDE/>
              <w:autoSpaceDN/>
              <w:bidi w:val="0"/>
              <w:adjustRightInd/>
              <w:snapToGrid/>
              <w:spacing w:line="400" w:lineRule="exact"/>
              <w:ind w:firstLine="329" w:firstLineChars="1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2.投标（响应）报价低于通过符合性审查的次低报价供应商投标（响应）报价50%的，即投标（响应）报价&lt;通过符合性审查的次低报价供应商投标（响应）报价×50%；</w:t>
            </w:r>
          </w:p>
          <w:p w14:paraId="23BF02B4">
            <w:pPr>
              <w:keepNext w:val="0"/>
              <w:keepLines w:val="0"/>
              <w:pageBreakBefore w:val="0"/>
              <w:widowControl w:val="0"/>
              <w:kinsoku/>
              <w:wordWrap/>
              <w:overflowPunct/>
              <w:topLinePunct w:val="0"/>
              <w:autoSpaceDE/>
              <w:autoSpaceDN/>
              <w:bidi w:val="0"/>
              <w:adjustRightInd/>
              <w:snapToGrid/>
              <w:spacing w:line="400" w:lineRule="exact"/>
              <w:ind w:firstLine="329" w:firstLineChars="1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3.投标（响应）报价低于采购项目最高限价45%的，即投标（响应）报价&lt;采购项目最高限价×45%；</w:t>
            </w:r>
          </w:p>
          <w:p w14:paraId="3B0DB14E">
            <w:pPr>
              <w:keepNext w:val="0"/>
              <w:keepLines w:val="0"/>
              <w:pageBreakBefore w:val="0"/>
              <w:widowControl w:val="0"/>
              <w:kinsoku/>
              <w:wordWrap/>
              <w:overflowPunct/>
              <w:topLinePunct w:val="0"/>
              <w:autoSpaceDE/>
              <w:autoSpaceDN/>
              <w:bidi w:val="0"/>
              <w:adjustRightInd/>
              <w:snapToGrid/>
              <w:spacing w:line="400" w:lineRule="exact"/>
              <w:ind w:firstLine="329" w:firstLineChars="1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4.评审委员会基于专业判断，认为供应商报价过低，有可能影响产品质量或者不能诚信履约的其他情形。</w:t>
            </w:r>
          </w:p>
          <w:p w14:paraId="1FA68CDE">
            <w:pPr>
              <w:keepNext w:val="0"/>
              <w:keepLines w:val="0"/>
              <w:pageBreakBefore w:val="0"/>
              <w:widowControl w:val="0"/>
              <w:kinsoku/>
              <w:wordWrap/>
              <w:overflowPunct/>
              <w:topLinePunct w:val="0"/>
              <w:autoSpaceDE/>
              <w:autoSpaceDN/>
              <w:bidi w:val="0"/>
              <w:adjustRightInd/>
              <w:snapToGrid/>
              <w:spacing w:line="400" w:lineRule="exact"/>
              <w:ind w:firstLine="329" w:firstLineChars="157"/>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DB0C336">
            <w:pPr>
              <w:keepNext w:val="0"/>
              <w:keepLines w:val="0"/>
              <w:pageBreakBefore w:val="0"/>
              <w:widowControl w:val="0"/>
              <w:kinsoku/>
              <w:wordWrap/>
              <w:overflowPunct/>
              <w:topLinePunct w:val="0"/>
              <w:autoSpaceDE/>
              <w:autoSpaceDN/>
              <w:bidi w:val="0"/>
              <w:adjustRightInd/>
              <w:snapToGrid/>
              <w:spacing w:line="400" w:lineRule="exact"/>
              <w:ind w:firstLine="329" w:firstLineChars="157"/>
              <w:jc w:val="left"/>
              <w:textAlignment w:val="auto"/>
              <w:rPr>
                <w:rFonts w:hint="eastAsia" w:ascii="宋体" w:hAnsi="宋体" w:eastAsia="宋体" w:cs="宋体"/>
                <w:b/>
                <w:bCs/>
                <w:color w:val="auto"/>
                <w:highlight w:val="none"/>
                <w:lang w:eastAsia="zh-CN"/>
              </w:rPr>
            </w:pPr>
            <w:r>
              <w:rPr>
                <w:rFonts w:hint="eastAsia" w:ascii="宋体" w:hAnsi="宋体" w:eastAsia="宋体" w:cs="宋体"/>
                <w:color w:val="auto"/>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254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center"/>
          </w:tcPr>
          <w:p w14:paraId="0C0DA827">
            <w:pPr>
              <w:spacing w:line="360" w:lineRule="auto"/>
              <w:jc w:val="center"/>
              <w:rPr>
                <w:rFonts w:hint="eastAsia" w:ascii="宋体" w:hAnsi="宋体" w:eastAsia="宋体" w:cs="宋体"/>
                <w:highlight w:val="none"/>
                <w:lang w:eastAsia="zh-CN"/>
              </w:rPr>
            </w:pPr>
            <w:r>
              <w:rPr>
                <w:rFonts w:hint="eastAsia" w:ascii="宋体" w:hAnsi="宋体" w:eastAsia="宋体" w:cs="宋体"/>
                <w:highlight w:val="none"/>
                <w:lang w:val="en-US" w:eastAsia="zh-CN"/>
              </w:rPr>
              <w:t>5</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5B6ED9ED">
            <w:pPr>
              <w:spacing w:line="360" w:lineRule="auto"/>
              <w:jc w:val="center"/>
              <w:rPr>
                <w:rFonts w:hint="eastAsia" w:ascii="宋体" w:hAnsi="宋体" w:eastAsia="宋体" w:cs="宋体"/>
                <w:highlight w:val="none"/>
              </w:rPr>
            </w:pPr>
            <w:r>
              <w:rPr>
                <w:rFonts w:hint="eastAsia" w:ascii="宋体" w:hAnsi="宋体" w:eastAsia="宋体" w:cs="宋体"/>
                <w:highlight w:val="none"/>
              </w:rPr>
              <w:t>相关风险</w:t>
            </w:r>
          </w:p>
        </w:tc>
        <w:tc>
          <w:tcPr>
            <w:tcW w:w="6821" w:type="dxa"/>
            <w:tcBorders>
              <w:top w:val="single" w:color="auto" w:sz="4" w:space="0"/>
              <w:left w:val="single" w:color="auto" w:sz="4" w:space="0"/>
              <w:bottom w:val="single" w:color="auto" w:sz="4" w:space="0"/>
              <w:right w:val="single" w:color="auto" w:sz="4" w:space="0"/>
            </w:tcBorders>
            <w:noWrap w:val="0"/>
            <w:vAlign w:val="top"/>
          </w:tcPr>
          <w:p w14:paraId="65219642">
            <w:pPr>
              <w:spacing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提供虚假证明材料后果：供应商为取得中小企业身份而提供虚假证明材料，在评审过程中发现的，按无效</w:t>
            </w:r>
            <w:r>
              <w:rPr>
                <w:rFonts w:hint="eastAsia" w:ascii="宋体" w:hAnsi="宋体" w:eastAsia="宋体" w:cs="宋体"/>
                <w:highlight w:val="none"/>
                <w:lang w:eastAsia="zh-CN"/>
              </w:rPr>
              <w:t>响应</w:t>
            </w:r>
            <w:r>
              <w:rPr>
                <w:rFonts w:hint="eastAsia" w:ascii="宋体" w:hAnsi="宋体" w:eastAsia="宋体" w:cs="宋体"/>
                <w:highlight w:val="none"/>
              </w:rPr>
              <w:t>处理；已取得</w:t>
            </w:r>
            <w:r>
              <w:rPr>
                <w:rFonts w:hint="eastAsia" w:ascii="宋体" w:hAnsi="宋体" w:eastAsia="宋体" w:cs="宋体"/>
                <w:highlight w:val="none"/>
                <w:lang w:eastAsia="zh-CN"/>
              </w:rPr>
              <w:t>成交候选</w:t>
            </w:r>
            <w:r>
              <w:rPr>
                <w:rFonts w:hint="eastAsia" w:ascii="宋体" w:hAnsi="宋体" w:eastAsia="宋体" w:cs="宋体"/>
                <w:highlight w:val="none"/>
              </w:rPr>
              <w:t>资格的，无论该行为是否影响</w:t>
            </w:r>
            <w:r>
              <w:rPr>
                <w:rFonts w:hint="eastAsia" w:ascii="宋体" w:hAnsi="宋体" w:eastAsia="宋体" w:cs="宋体"/>
                <w:highlight w:val="none"/>
                <w:lang w:eastAsia="zh-CN"/>
              </w:rPr>
              <w:t>成交</w:t>
            </w:r>
            <w:r>
              <w:rPr>
                <w:rFonts w:hint="eastAsia" w:ascii="宋体" w:hAnsi="宋体" w:eastAsia="宋体" w:cs="宋体"/>
                <w:highlight w:val="none"/>
              </w:rPr>
              <w:t>，均取消其</w:t>
            </w:r>
            <w:r>
              <w:rPr>
                <w:rFonts w:hint="eastAsia" w:ascii="宋体" w:hAnsi="宋体" w:eastAsia="宋体" w:cs="宋体"/>
                <w:highlight w:val="none"/>
                <w:lang w:eastAsia="zh-CN"/>
              </w:rPr>
              <w:t>成交候选</w:t>
            </w:r>
            <w:r>
              <w:rPr>
                <w:rFonts w:hint="eastAsia" w:ascii="宋体" w:hAnsi="宋体" w:eastAsia="宋体" w:cs="宋体"/>
                <w:highlight w:val="none"/>
              </w:rPr>
              <w:t>资格；该供应商还应承担由此引起的其他经济、法律责任。出现此种情形时，</w:t>
            </w:r>
            <w:r>
              <w:rPr>
                <w:rFonts w:hint="eastAsia" w:ascii="宋体" w:hAnsi="宋体" w:eastAsia="宋体" w:cs="宋体"/>
                <w:highlight w:val="none"/>
                <w:lang w:eastAsia="zh-CN"/>
              </w:rPr>
              <w:t>采购</w:t>
            </w:r>
            <w:r>
              <w:rPr>
                <w:rFonts w:hint="eastAsia" w:ascii="宋体" w:hAnsi="宋体" w:eastAsia="宋体" w:cs="宋体"/>
                <w:highlight w:val="none"/>
              </w:rPr>
              <w:t>人、采购代理机构将有关情况上报政府采购监管部门，由监管部门按有关规定对其进行相应处罚。</w:t>
            </w:r>
          </w:p>
        </w:tc>
      </w:tr>
    </w:tbl>
    <w:p w14:paraId="1C2296FE">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sz w:val="21"/>
          <w:szCs w:val="21"/>
          <w:highlight w:val="none"/>
          <w:lang w:eastAsia="zh-CN"/>
        </w:rPr>
      </w:pPr>
      <w:bookmarkStart w:id="572" w:name="_Toc11935"/>
      <w:bookmarkStart w:id="573" w:name="_Toc5658"/>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lang w:eastAsia="zh-CN"/>
        </w:rPr>
        <w:t>评审办法</w:t>
      </w:r>
      <w:bookmarkEnd w:id="572"/>
      <w:bookmarkEnd w:id="573"/>
    </w:p>
    <w:p w14:paraId="5C17E09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本次磋商采用综合评分法评</w:t>
      </w:r>
      <w:r>
        <w:rPr>
          <w:rFonts w:hint="eastAsia" w:ascii="宋体" w:hAnsi="宋体" w:eastAsia="宋体" w:cs="宋体"/>
          <w:sz w:val="21"/>
          <w:szCs w:val="21"/>
          <w:highlight w:val="none"/>
          <w:lang w:eastAsia="zh-CN"/>
        </w:rPr>
        <w:t>审</w:t>
      </w:r>
      <w:r>
        <w:rPr>
          <w:rFonts w:hint="eastAsia" w:ascii="宋体" w:hAnsi="宋体" w:eastAsia="宋体" w:cs="宋体"/>
          <w:sz w:val="21"/>
          <w:szCs w:val="21"/>
          <w:highlight w:val="none"/>
        </w:rPr>
        <w:t>，响应文件满足竞争性磋商文件全部实质性要求，且按照评审因素的量化指标评审得分由高到低选取成交候选</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的评</w:t>
      </w:r>
      <w:r>
        <w:rPr>
          <w:rFonts w:hint="eastAsia" w:ascii="宋体" w:hAnsi="宋体" w:eastAsia="宋体" w:cs="宋体"/>
          <w:sz w:val="21"/>
          <w:szCs w:val="21"/>
          <w:highlight w:val="none"/>
          <w:lang w:eastAsia="zh-CN"/>
        </w:rPr>
        <w:t>审</w:t>
      </w:r>
      <w:r>
        <w:rPr>
          <w:rFonts w:hint="eastAsia" w:ascii="宋体" w:hAnsi="宋体" w:eastAsia="宋体" w:cs="宋体"/>
          <w:sz w:val="21"/>
          <w:szCs w:val="21"/>
          <w:highlight w:val="none"/>
        </w:rPr>
        <w:t>方法。</w:t>
      </w:r>
    </w:p>
    <w:p w14:paraId="29F990BD">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
          <w:bCs/>
          <w:sz w:val="21"/>
          <w:szCs w:val="21"/>
          <w:highlight w:val="none"/>
        </w:rPr>
      </w:pPr>
      <w:bookmarkStart w:id="574" w:name="_Toc15517"/>
      <w:bookmarkStart w:id="575" w:name="_Toc9594"/>
      <w:bookmarkStart w:id="576" w:name="_Toc1316"/>
      <w:bookmarkStart w:id="577" w:name="_Toc13619"/>
      <w:bookmarkStart w:id="578" w:name="_Toc70"/>
      <w:bookmarkStart w:id="579" w:name="_Toc111997251"/>
      <w:bookmarkStart w:id="580" w:name="_Toc26533"/>
      <w:bookmarkStart w:id="581" w:name="_Toc14806"/>
      <w:bookmarkStart w:id="582" w:name="_Toc6135"/>
      <w:bookmarkStart w:id="583" w:name="_Toc3315"/>
      <w:bookmarkStart w:id="584" w:name="_Toc11771"/>
      <w:bookmarkStart w:id="585" w:name="_Toc1402"/>
      <w:bookmarkStart w:id="586" w:name="_Toc2783"/>
      <w:bookmarkStart w:id="587" w:name="_Toc22368"/>
      <w:bookmarkStart w:id="588" w:name="_Toc4877"/>
      <w:bookmarkStart w:id="589" w:name="_Toc5920"/>
      <w:bookmarkStart w:id="590" w:name="_Toc4003"/>
      <w:bookmarkStart w:id="591" w:name="_Toc13150088"/>
      <w:bookmarkStart w:id="592" w:name="_Toc7898"/>
      <w:bookmarkStart w:id="593" w:name="_Toc11999"/>
      <w:bookmarkStart w:id="594" w:name="_Toc31065"/>
      <w:bookmarkStart w:id="595" w:name="_Toc25789"/>
      <w:bookmarkStart w:id="596" w:name="_Toc24500"/>
      <w:bookmarkStart w:id="597" w:name="_Toc3406"/>
      <w:bookmarkStart w:id="598" w:name="_Toc29522"/>
      <w:bookmarkStart w:id="599" w:name="_Toc21995"/>
      <w:bookmarkStart w:id="600" w:name="_Toc32637"/>
      <w:bookmarkStart w:id="601" w:name="_Toc32213"/>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评审标准</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14:paraId="38DA952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bookmarkStart w:id="602" w:name="_Toc12847"/>
      <w:bookmarkStart w:id="603" w:name="_Toc27379"/>
      <w:bookmarkStart w:id="604" w:name="_Toc19624"/>
      <w:bookmarkStart w:id="605" w:name="_Toc24699"/>
      <w:bookmarkStart w:id="606" w:name="_Toc21651"/>
      <w:bookmarkStart w:id="607" w:name="_Toc20701"/>
      <w:bookmarkStart w:id="608" w:name="_Toc21567"/>
      <w:bookmarkStart w:id="609" w:name="_Toc6703"/>
      <w:bookmarkStart w:id="610" w:name="_Toc6998"/>
      <w:bookmarkStart w:id="611" w:name="_Toc4247"/>
      <w:bookmarkStart w:id="612" w:name="_Toc13150089"/>
      <w:bookmarkStart w:id="613" w:name="_Toc30052"/>
      <w:bookmarkStart w:id="614" w:name="_Toc6495"/>
      <w:bookmarkStart w:id="615" w:name="_Toc31413"/>
      <w:bookmarkStart w:id="616" w:name="_Toc28336"/>
      <w:bookmarkStart w:id="617" w:name="_Toc3482"/>
      <w:bookmarkStart w:id="618" w:name="_Toc7259"/>
      <w:bookmarkStart w:id="619" w:name="_Toc31651"/>
      <w:bookmarkStart w:id="620" w:name="_Toc29139"/>
      <w:bookmarkStart w:id="621" w:name="_Toc111997252"/>
      <w:bookmarkStart w:id="622" w:name="_Toc17735"/>
      <w:bookmarkStart w:id="623" w:name="_Toc13150090"/>
      <w:bookmarkStart w:id="624" w:name="_Toc29190"/>
      <w:bookmarkStart w:id="625" w:name="_Toc17437"/>
      <w:bookmarkStart w:id="626" w:name="_Toc18343"/>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.1 符合性审查标准：见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0B2B934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.2 资格性审查标准：见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bookmarkEnd w:id="602"/>
    <w:bookmarkEnd w:id="603"/>
    <w:bookmarkEnd w:id="604"/>
    <w:bookmarkEnd w:id="605"/>
    <w:bookmarkEnd w:id="606"/>
    <w:bookmarkEnd w:id="607"/>
    <w:bookmarkEnd w:id="608"/>
    <w:bookmarkEnd w:id="609"/>
    <w:bookmarkEnd w:id="610"/>
    <w:bookmarkEnd w:id="611"/>
    <w:bookmarkEnd w:id="612"/>
    <w:p w14:paraId="18D150F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分值构成与评分标准</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14:paraId="4AF07A4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2.3</w:t>
      </w:r>
      <w:r>
        <w:rPr>
          <w:rFonts w:hint="eastAsia" w:ascii="宋体" w:hAnsi="宋体" w:eastAsia="宋体" w:cs="宋体"/>
          <w:sz w:val="21"/>
          <w:szCs w:val="21"/>
          <w:highlight w:val="none"/>
        </w:rPr>
        <w:t>.1 分值构成</w:t>
      </w:r>
    </w:p>
    <w:p w14:paraId="55FD341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eastAsia="zh-CN"/>
        </w:rPr>
        <w:t>磋商报价</w:t>
      </w:r>
      <w:r>
        <w:rPr>
          <w:rFonts w:hint="eastAsia" w:ascii="宋体" w:hAnsi="宋体" w:eastAsia="宋体" w:cs="宋体"/>
          <w:sz w:val="21"/>
          <w:szCs w:val="21"/>
          <w:highlight w:val="none"/>
        </w:rPr>
        <w:t>部分：见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6E668B8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技术部分：见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0BA20D1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商务部分：见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7FCC7A1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2.3</w:t>
      </w:r>
      <w:r>
        <w:rPr>
          <w:rFonts w:hint="eastAsia" w:ascii="宋体" w:hAnsi="宋体" w:eastAsia="宋体" w:cs="宋体"/>
          <w:sz w:val="21"/>
          <w:szCs w:val="21"/>
          <w:highlight w:val="none"/>
        </w:rPr>
        <w:t>.2 评分标准</w:t>
      </w:r>
    </w:p>
    <w:p w14:paraId="735F39E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ascii="宋体" w:hAnsi="宋体" w:eastAsia="宋体" w:cs="宋体"/>
          <w:sz w:val="21"/>
          <w:szCs w:val="21"/>
          <w:highlight w:val="none"/>
          <w:lang w:eastAsia="zh-CN"/>
        </w:rPr>
        <w:t>磋商报价</w:t>
      </w:r>
      <w:r>
        <w:rPr>
          <w:rFonts w:hint="eastAsia" w:ascii="宋体" w:hAnsi="宋体" w:eastAsia="宋体" w:cs="宋体"/>
          <w:sz w:val="21"/>
          <w:szCs w:val="21"/>
          <w:highlight w:val="none"/>
        </w:rPr>
        <w:t>评分标准：见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77EA50D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（2）技术评分标准：见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7E9BAD3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（3）商务评分标准：见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10968FBB">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eastAsia="宋体" w:cs="宋体"/>
          <w:b/>
          <w:bCs/>
          <w:sz w:val="21"/>
          <w:szCs w:val="21"/>
          <w:highlight w:val="none"/>
        </w:rPr>
      </w:pPr>
      <w:bookmarkStart w:id="627" w:name="_Toc13372"/>
      <w:bookmarkStart w:id="628" w:name="_Toc4338"/>
      <w:bookmarkStart w:id="629" w:name="_Toc111997253"/>
      <w:bookmarkStart w:id="630" w:name="_Toc16356"/>
      <w:bookmarkStart w:id="631" w:name="_Toc13150091"/>
      <w:bookmarkStart w:id="632" w:name="_Toc21254"/>
      <w:bookmarkStart w:id="633" w:name="_Toc11872"/>
      <w:bookmarkStart w:id="634" w:name="_Toc4603"/>
      <w:bookmarkStart w:id="635" w:name="_Toc27262"/>
      <w:bookmarkStart w:id="636" w:name="_Toc28724"/>
      <w:bookmarkStart w:id="637" w:name="_Toc14268"/>
      <w:bookmarkStart w:id="638" w:name="_Toc32064"/>
      <w:bookmarkStart w:id="639" w:name="_Toc30199"/>
      <w:bookmarkStart w:id="640" w:name="_Toc32653"/>
      <w:bookmarkStart w:id="641" w:name="_Toc8295"/>
      <w:bookmarkStart w:id="642" w:name="_Toc31277"/>
      <w:bookmarkStart w:id="643" w:name="_Toc3161"/>
      <w:bookmarkStart w:id="644" w:name="_Toc24556"/>
      <w:bookmarkStart w:id="645" w:name="_Toc26726"/>
      <w:bookmarkStart w:id="646" w:name="_Toc4929"/>
      <w:bookmarkStart w:id="647" w:name="_Toc18009"/>
      <w:bookmarkStart w:id="648" w:name="_Toc6786"/>
      <w:bookmarkStart w:id="649" w:name="_Toc5255"/>
      <w:bookmarkStart w:id="650" w:name="_Toc21732"/>
      <w:bookmarkStart w:id="651" w:name="_Toc24392"/>
      <w:bookmarkStart w:id="652" w:name="_Toc25973"/>
      <w:bookmarkStart w:id="653" w:name="_Toc2244"/>
      <w:bookmarkStart w:id="654" w:name="_Toc23144"/>
      <w:r>
        <w:rPr>
          <w:rFonts w:hint="eastAsia" w:ascii="宋体" w:hAnsi="宋体" w:eastAsia="宋体" w:cs="宋体"/>
          <w:b/>
          <w:bCs/>
          <w:sz w:val="21"/>
          <w:szCs w:val="21"/>
          <w:highlight w:val="none"/>
          <w:lang w:val="en-US" w:eastAsia="zh-CN"/>
        </w:rPr>
        <w:t>3.</w:t>
      </w:r>
      <w:r>
        <w:rPr>
          <w:rFonts w:hint="eastAsia" w:ascii="宋体" w:hAnsi="宋体" w:eastAsia="宋体" w:cs="宋体"/>
          <w:b/>
          <w:bCs/>
          <w:sz w:val="21"/>
          <w:szCs w:val="21"/>
          <w:highlight w:val="none"/>
          <w:lang w:eastAsia="zh-CN"/>
        </w:rPr>
        <w:t>评审</w:t>
      </w:r>
      <w:r>
        <w:rPr>
          <w:rFonts w:hint="eastAsia" w:ascii="宋体" w:hAnsi="宋体" w:eastAsia="宋体" w:cs="宋体"/>
          <w:b/>
          <w:bCs/>
          <w:sz w:val="21"/>
          <w:szCs w:val="21"/>
          <w:highlight w:val="none"/>
        </w:rPr>
        <w:t>程序</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0AAC2A9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bookmarkStart w:id="655" w:name="_Toc111997254"/>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.1资格审查</w:t>
      </w:r>
      <w:bookmarkEnd w:id="655"/>
    </w:p>
    <w:p w14:paraId="6C8377B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3.1.1</w:t>
      </w:r>
      <w:r>
        <w:rPr>
          <w:rFonts w:hint="eastAsia" w:ascii="宋体" w:hAnsi="宋体" w:eastAsia="宋体" w:cs="宋体"/>
          <w:sz w:val="21"/>
          <w:szCs w:val="21"/>
          <w:highlight w:val="none"/>
        </w:rPr>
        <w:t>依据法律法规和竞争性磋商文件的规定，</w:t>
      </w:r>
      <w:r>
        <w:rPr>
          <w:rFonts w:hint="eastAsia" w:ascii="宋体" w:hAnsi="宋体" w:eastAsia="宋体" w:cs="宋体"/>
          <w:sz w:val="21"/>
          <w:szCs w:val="21"/>
          <w:highlight w:val="none"/>
          <w:lang w:eastAsia="zh-CN"/>
        </w:rPr>
        <w:t>磋商小组</w:t>
      </w:r>
      <w:r>
        <w:rPr>
          <w:rFonts w:hint="eastAsia" w:ascii="宋体" w:hAnsi="宋体" w:eastAsia="宋体" w:cs="宋体"/>
          <w:sz w:val="21"/>
          <w:szCs w:val="21"/>
          <w:highlight w:val="none"/>
        </w:rPr>
        <w:t>对响应文件中的资格证明等进行审查，以确定供应商是否具备投标资格。详见</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w:t>
      </w:r>
    </w:p>
    <w:p w14:paraId="7BA85E3E">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3.1.2</w:t>
      </w:r>
      <w:r>
        <w:rPr>
          <w:rFonts w:hint="eastAsia" w:ascii="宋体" w:hAnsi="宋体" w:eastAsia="宋体" w:cs="宋体"/>
          <w:sz w:val="21"/>
          <w:szCs w:val="21"/>
          <w:highlight w:val="none"/>
        </w:rPr>
        <w:t>通过上述资格性检查，可初步判定供应商的响应文件是否符合磋商文件的要求。对于上述审查内容，供应商必须响应，否则其响应文件无效。</w:t>
      </w:r>
    </w:p>
    <w:p w14:paraId="7623C41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bookmarkStart w:id="656" w:name="_Toc2597"/>
      <w:bookmarkStart w:id="657" w:name="_Toc9443"/>
      <w:bookmarkStart w:id="658" w:name="_Toc10682"/>
      <w:bookmarkStart w:id="659" w:name="_Toc32083"/>
      <w:bookmarkStart w:id="660" w:name="_Toc1174"/>
      <w:bookmarkStart w:id="661" w:name="_Toc13097"/>
      <w:bookmarkStart w:id="662" w:name="_Toc111997255"/>
      <w:bookmarkStart w:id="663" w:name="_Toc4311"/>
      <w:bookmarkStart w:id="664" w:name="_Toc5708"/>
      <w:bookmarkStart w:id="665" w:name="_Toc12112"/>
      <w:bookmarkStart w:id="666" w:name="_Toc16287"/>
      <w:bookmarkStart w:id="667" w:name="_Toc32038"/>
      <w:bookmarkStart w:id="668" w:name="_Toc13150092"/>
      <w:bookmarkStart w:id="669" w:name="_Toc1654"/>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.2 符合性审查</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14:paraId="1746D6A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3.2.1</w:t>
      </w:r>
      <w:r>
        <w:rPr>
          <w:rFonts w:hint="eastAsia" w:ascii="宋体" w:hAnsi="宋体" w:eastAsia="宋体" w:cs="宋体"/>
          <w:sz w:val="21"/>
          <w:szCs w:val="21"/>
          <w:highlight w:val="none"/>
        </w:rPr>
        <w:t>磋商小组依据本章评</w:t>
      </w:r>
      <w:r>
        <w:rPr>
          <w:rFonts w:hint="eastAsia" w:ascii="宋体" w:hAnsi="宋体" w:eastAsia="宋体" w:cs="宋体"/>
          <w:sz w:val="21"/>
          <w:szCs w:val="21"/>
          <w:highlight w:val="none"/>
          <w:lang w:eastAsia="zh-CN"/>
        </w:rPr>
        <w:t>评审办法</w:t>
      </w:r>
      <w:r>
        <w:rPr>
          <w:rFonts w:hint="eastAsia" w:ascii="宋体" w:hAnsi="宋体" w:eastAsia="宋体" w:cs="宋体"/>
          <w:sz w:val="21"/>
          <w:szCs w:val="21"/>
          <w:highlight w:val="none"/>
        </w:rPr>
        <w:t>前附表规定的标准，对通过资格评审的供应商的响应文件进行</w:t>
      </w:r>
      <w:r>
        <w:rPr>
          <w:rFonts w:hint="eastAsia" w:ascii="宋体" w:hAnsi="宋体" w:eastAsia="宋体" w:cs="宋体"/>
          <w:sz w:val="21"/>
          <w:szCs w:val="21"/>
          <w:highlight w:val="none"/>
          <w:lang w:eastAsia="zh-CN"/>
        </w:rPr>
        <w:t>符合性审查</w:t>
      </w:r>
      <w:r>
        <w:rPr>
          <w:rFonts w:hint="eastAsia" w:ascii="宋体" w:hAnsi="宋体" w:eastAsia="宋体" w:cs="宋体"/>
          <w:sz w:val="21"/>
          <w:szCs w:val="21"/>
          <w:highlight w:val="none"/>
        </w:rPr>
        <w:t>，以确定其是否满足竞争性磋商文件的实质性要求，有一项不符合评审标准的</w:t>
      </w:r>
      <w:r>
        <w:rPr>
          <w:rFonts w:hint="eastAsia" w:ascii="宋体" w:hAnsi="宋体" w:eastAsia="宋体" w:cs="宋体"/>
          <w:sz w:val="21"/>
          <w:szCs w:val="21"/>
          <w:highlight w:val="none"/>
          <w:lang w:eastAsia="zh-CN"/>
        </w:rPr>
        <w:t>，其响应无效</w:t>
      </w:r>
      <w:r>
        <w:rPr>
          <w:rFonts w:hint="eastAsia" w:ascii="宋体" w:hAnsi="宋体" w:eastAsia="宋体" w:cs="宋体"/>
          <w:sz w:val="21"/>
          <w:szCs w:val="21"/>
          <w:highlight w:val="none"/>
        </w:rPr>
        <w:t>。</w:t>
      </w:r>
    </w:p>
    <w:p w14:paraId="3A08E5B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bookmarkStart w:id="670" w:name="_Toc5425"/>
      <w:bookmarkStart w:id="671" w:name="_Toc23593"/>
      <w:bookmarkStart w:id="672" w:name="_Toc12596"/>
      <w:bookmarkStart w:id="673" w:name="_Toc18705"/>
      <w:bookmarkStart w:id="674" w:name="_Toc10132"/>
      <w:bookmarkStart w:id="675" w:name="_Toc14717"/>
      <w:bookmarkStart w:id="676" w:name="_Toc25601"/>
      <w:bookmarkStart w:id="677" w:name="_Toc13150093"/>
      <w:bookmarkStart w:id="678" w:name="_Toc1221"/>
      <w:bookmarkStart w:id="679" w:name="_Toc111997256"/>
      <w:bookmarkStart w:id="680" w:name="_Toc13336"/>
      <w:bookmarkStart w:id="681" w:name="_Toc4232"/>
      <w:bookmarkStart w:id="682" w:name="_Toc29056"/>
      <w:bookmarkStart w:id="683" w:name="_Toc30428"/>
      <w:r>
        <w:rPr>
          <w:rFonts w:hint="eastAsia" w:ascii="宋体" w:hAnsi="宋体" w:eastAsia="宋体" w:cs="宋体"/>
          <w:sz w:val="21"/>
          <w:szCs w:val="21"/>
          <w:highlight w:val="none"/>
          <w:lang w:val="en-US" w:eastAsia="zh-CN"/>
        </w:rPr>
        <w:t>3.2.2供应商或响应文件有以下情形之一的，按无效响应文件处理：</w:t>
      </w:r>
    </w:p>
    <w:p w14:paraId="74EFB76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（1）有串通投标或弄虚作假或有其他违法行为的；</w:t>
      </w:r>
    </w:p>
    <w:p w14:paraId="33606DB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（2）不按磋商小组要求澄清、说明或补正的；</w:t>
      </w:r>
    </w:p>
    <w:p w14:paraId="2AE6B45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（3）供应商自身原因导致其响应文件无法正常采用电子开标的。</w:t>
      </w:r>
    </w:p>
    <w:p w14:paraId="55828AB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3.2.3响应报价有算术错误的，评审小组按以下原则对响应报价进行修正，修正的价格经供应商书面确认后具有约束力。供应商不接受修正价格的，其投标作投标无效处理。</w:t>
      </w:r>
    </w:p>
    <w:p w14:paraId="77FE21B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bookmarkStart w:id="684" w:name="_Toc299980118"/>
      <w:bookmarkStart w:id="685" w:name="_Toc299978164"/>
      <w:bookmarkStart w:id="686" w:name="_Toc300247672"/>
      <w:bookmarkStart w:id="687" w:name="_Toc301884883"/>
      <w:bookmarkStart w:id="688" w:name="_Toc299977047"/>
      <w:bookmarkStart w:id="689" w:name="_Toc299965516"/>
      <w:bookmarkStart w:id="690" w:name="_Toc299811412"/>
      <w:bookmarkStart w:id="691" w:name="_Toc300509859"/>
      <w:bookmarkStart w:id="692" w:name="_Toc300583928"/>
      <w:bookmarkStart w:id="693" w:name="_Toc300584156"/>
      <w:bookmarkStart w:id="694" w:name="_Toc299811194"/>
      <w:r>
        <w:rPr>
          <w:rFonts w:hint="eastAsia" w:ascii="宋体" w:hAnsi="宋体" w:eastAsia="宋体" w:cs="宋体"/>
          <w:sz w:val="21"/>
          <w:szCs w:val="21"/>
          <w:highlight w:val="none"/>
          <w:lang w:val="en-US" w:eastAsia="zh-CN"/>
        </w:rPr>
        <w:t>（1）响应文件中响应函附录内容与响应文件中相应内容不一致的，以响应函附录为准；</w:t>
      </w:r>
    </w:p>
    <w:p w14:paraId="46C38B1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（2）大写金额和小写金额不一致的，以大写金额为准；</w:t>
      </w:r>
    </w:p>
    <w:p w14:paraId="7CC791B2">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（3）单价金额小数点或者百分比有明显错位的，以响应函附录的总价为准，并修改单价；</w:t>
      </w:r>
    </w:p>
    <w:p w14:paraId="221391D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（4）总价金额与按单价汇总金额不一致的，以单价金额计算结果为准。</w:t>
      </w:r>
      <w:bookmarkEnd w:id="684"/>
      <w:bookmarkEnd w:id="685"/>
      <w:bookmarkEnd w:id="686"/>
      <w:bookmarkEnd w:id="687"/>
      <w:bookmarkEnd w:id="688"/>
      <w:bookmarkEnd w:id="689"/>
      <w:bookmarkEnd w:id="690"/>
      <w:bookmarkEnd w:id="691"/>
      <w:bookmarkEnd w:id="692"/>
      <w:bookmarkEnd w:id="693"/>
      <w:bookmarkEnd w:id="694"/>
    </w:p>
    <w:p w14:paraId="2998C87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.3 详细评审</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14:paraId="39E860E3">
      <w:pPr>
        <w:pageBreakBefore w:val="0"/>
        <w:widowControl w:val="0"/>
        <w:numPr>
          <w:ilvl w:val="2"/>
          <w:numId w:val="0"/>
        </w:numPr>
        <w:kinsoku/>
        <w:wordWrap/>
        <w:overflowPunct/>
        <w:topLinePunct w:val="0"/>
        <w:autoSpaceDE w:val="0"/>
        <w:autoSpaceDN w:val="0"/>
        <w:bidi w:val="0"/>
        <w:adjustRightInd w:val="0"/>
        <w:snapToGrid/>
        <w:spacing w:line="500" w:lineRule="exact"/>
        <w:ind w:left="0" w:leftChars="0" w:right="0" w:rightChars="0" w:firstLine="420"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sz w:val="21"/>
          <w:szCs w:val="21"/>
          <w:highlight w:val="none"/>
          <w:lang w:val="en-US" w:eastAsia="zh-CN"/>
        </w:rPr>
        <w:t>3.3.1 根据</w:t>
      </w:r>
      <w:r>
        <w:rPr>
          <w:rFonts w:hint="eastAsia" w:ascii="宋体" w:hAnsi="宋体" w:eastAsia="宋体" w:cs="宋体"/>
          <w:sz w:val="21"/>
          <w:szCs w:val="21"/>
          <w:highlight w:val="none"/>
        </w:rPr>
        <w:t>《政府采购竞争性磋商采购方式管理暂行办法》</w:t>
      </w:r>
      <w:r>
        <w:rPr>
          <w:rFonts w:hint="eastAsia" w:ascii="宋体" w:hAnsi="宋体" w:eastAsia="宋体" w:cs="宋体"/>
          <w:sz w:val="21"/>
          <w:szCs w:val="21"/>
          <w:highlight w:val="none"/>
          <w:lang w:eastAsia="zh-CN"/>
        </w:rPr>
        <w:t>的规定，</w:t>
      </w:r>
      <w:r>
        <w:rPr>
          <w:rFonts w:hint="eastAsia" w:ascii="宋体" w:hAnsi="宋体" w:eastAsia="宋体" w:cs="宋体"/>
          <w:sz w:val="21"/>
          <w:szCs w:val="21"/>
          <w:highlight w:val="none"/>
          <w:lang w:val="en-US" w:eastAsia="zh-CN"/>
        </w:rPr>
        <w:t>磋商小组应当要求所有实质性响应的供应商在规定时间内提交最后报价；</w:t>
      </w:r>
      <w:r>
        <w:rPr>
          <w:rFonts w:hint="eastAsia" w:ascii="宋体" w:hAnsi="宋体" w:eastAsia="宋体" w:cs="宋体"/>
          <w:sz w:val="21"/>
          <w:szCs w:val="21"/>
          <w:highlight w:val="none"/>
        </w:rPr>
        <w:t>最后报价（二轮报价）是供应商响应文件的有效组成部分【</w:t>
      </w:r>
      <w:r>
        <w:rPr>
          <w:rFonts w:hint="eastAsia" w:ascii="宋体" w:hAnsi="宋体" w:eastAsia="宋体" w:cs="宋体"/>
          <w:b/>
          <w:bCs/>
          <w:color w:val="auto"/>
          <w:sz w:val="21"/>
          <w:szCs w:val="21"/>
          <w:highlight w:val="none"/>
        </w:rPr>
        <w:t>注：根据财政部《关于推动解决政府采购异常低价问题的通知》（财库〔2026〕2号），评审中出现下列情形之一的，评审委员会应当启动异常低价投标（响应）审查程序：</w:t>
      </w:r>
    </w:p>
    <w:p w14:paraId="3CE3A8CB">
      <w:pPr>
        <w:pageBreakBefore w:val="0"/>
        <w:widowControl w:val="0"/>
        <w:numPr>
          <w:ilvl w:val="2"/>
          <w:numId w:val="0"/>
        </w:numPr>
        <w:kinsoku/>
        <w:wordWrap/>
        <w:overflowPunct/>
        <w:topLinePunct w:val="0"/>
        <w:autoSpaceDE w:val="0"/>
        <w:autoSpaceDN w:val="0"/>
        <w:bidi w:val="0"/>
        <w:adjustRightInd w:val="0"/>
        <w:snapToGrid/>
        <w:spacing w:line="500" w:lineRule="exact"/>
        <w:ind w:left="0" w:leftChars="0" w:right="0" w:rightChars="0"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1.投标（响应）报价低于全部通过符合性审查供应商投标（响应）报价平均值50%的，即投标（响应）报价&lt;全部通过符合性审查供应商投标（响应）报价平均值×50%；</w:t>
      </w:r>
    </w:p>
    <w:p w14:paraId="15BB752B">
      <w:pPr>
        <w:pageBreakBefore w:val="0"/>
        <w:widowControl w:val="0"/>
        <w:numPr>
          <w:ilvl w:val="2"/>
          <w:numId w:val="0"/>
        </w:numPr>
        <w:kinsoku/>
        <w:wordWrap/>
        <w:overflowPunct/>
        <w:topLinePunct w:val="0"/>
        <w:autoSpaceDE w:val="0"/>
        <w:autoSpaceDN w:val="0"/>
        <w:bidi w:val="0"/>
        <w:adjustRightInd w:val="0"/>
        <w:snapToGrid/>
        <w:spacing w:line="500" w:lineRule="exact"/>
        <w:ind w:left="0" w:leftChars="0" w:right="0" w:rightChars="0"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2.投标（响应）报价低于通过符合性审查的次低报价供应商投标（响应）报价50%的，即投标（响应）报价&lt;通过符合性审查的次低报价供应商投标（响应）报价×50%；</w:t>
      </w:r>
    </w:p>
    <w:p w14:paraId="60952AC4">
      <w:pPr>
        <w:pageBreakBefore w:val="0"/>
        <w:widowControl w:val="0"/>
        <w:numPr>
          <w:ilvl w:val="2"/>
          <w:numId w:val="0"/>
        </w:numPr>
        <w:kinsoku/>
        <w:wordWrap/>
        <w:overflowPunct/>
        <w:topLinePunct w:val="0"/>
        <w:autoSpaceDE w:val="0"/>
        <w:autoSpaceDN w:val="0"/>
        <w:bidi w:val="0"/>
        <w:adjustRightInd w:val="0"/>
        <w:snapToGrid/>
        <w:spacing w:line="500" w:lineRule="exact"/>
        <w:ind w:left="0" w:leftChars="0" w:right="0" w:rightChars="0"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3.投标（响应）报价低于采购项目最高限价45%的，即投标（响应）报价&lt;采购项目最高限价×45%；</w:t>
      </w:r>
    </w:p>
    <w:p w14:paraId="3AB903DA">
      <w:pPr>
        <w:pageBreakBefore w:val="0"/>
        <w:widowControl w:val="0"/>
        <w:numPr>
          <w:ilvl w:val="2"/>
          <w:numId w:val="0"/>
        </w:numPr>
        <w:kinsoku/>
        <w:wordWrap/>
        <w:overflowPunct/>
        <w:topLinePunct w:val="0"/>
        <w:autoSpaceDE w:val="0"/>
        <w:autoSpaceDN w:val="0"/>
        <w:bidi w:val="0"/>
        <w:adjustRightInd w:val="0"/>
        <w:snapToGrid/>
        <w:spacing w:line="500" w:lineRule="exact"/>
        <w:ind w:left="0" w:leftChars="0" w:right="0" w:rightChars="0"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4.评审委员会基于专业判断，认为供应商报价过低，有可能影响产品质量或者不能诚信履约的其他情形。</w:t>
      </w:r>
    </w:p>
    <w:p w14:paraId="5C346FDC">
      <w:pPr>
        <w:pageBreakBefore w:val="0"/>
        <w:widowControl w:val="0"/>
        <w:numPr>
          <w:ilvl w:val="2"/>
          <w:numId w:val="0"/>
        </w:numPr>
        <w:kinsoku/>
        <w:wordWrap/>
        <w:overflowPunct/>
        <w:topLinePunct w:val="0"/>
        <w:autoSpaceDE w:val="0"/>
        <w:autoSpaceDN w:val="0"/>
        <w:bidi w:val="0"/>
        <w:adjustRightInd w:val="0"/>
        <w:snapToGrid/>
        <w:spacing w:line="500" w:lineRule="exact"/>
        <w:ind w:left="0" w:leftChars="0" w:right="0" w:rightChars="0" w:firstLine="422" w:firstLineChars="200"/>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0ECDC4D">
      <w:pPr>
        <w:pageBreakBefore w:val="0"/>
        <w:widowControl w:val="0"/>
        <w:numPr>
          <w:ilvl w:val="2"/>
          <w:numId w:val="0"/>
        </w:numPr>
        <w:kinsoku/>
        <w:wordWrap/>
        <w:overflowPunct/>
        <w:topLinePunct w:val="0"/>
        <w:autoSpaceDE w:val="0"/>
        <w:autoSpaceDN w:val="0"/>
        <w:bidi w:val="0"/>
        <w:adjustRightInd w:val="0"/>
        <w:snapToGrid/>
        <w:spacing w:line="500" w:lineRule="exact"/>
        <w:ind w:left="0" w:leftChars="0" w:right="0" w:rightChars="0" w:firstLine="422" w:firstLineChars="200"/>
        <w:jc w:val="left"/>
        <w:textAlignment w:val="auto"/>
        <w:outlineLvl w:val="9"/>
        <w:rPr>
          <w:rFonts w:hint="eastAsia" w:ascii="宋体" w:hAnsi="宋体" w:eastAsia="宋体" w:cs="宋体"/>
          <w:sz w:val="21"/>
          <w:szCs w:val="21"/>
          <w:highlight w:val="none"/>
        </w:rPr>
      </w:pPr>
      <w:r>
        <w:rPr>
          <w:rFonts w:hint="eastAsia" w:ascii="宋体" w:hAnsi="宋体" w:eastAsia="宋体" w:cs="宋体"/>
          <w:b/>
          <w:bCs/>
          <w:color w:val="auto"/>
          <w:sz w:val="21"/>
          <w:szCs w:val="21"/>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s="宋体"/>
          <w:bCs/>
          <w:color w:val="auto"/>
          <w:kern w:val="0"/>
          <w:sz w:val="21"/>
          <w:szCs w:val="21"/>
          <w:highlight w:val="none"/>
        </w:rPr>
        <w:t>】。</w:t>
      </w:r>
    </w:p>
    <w:p w14:paraId="283FC70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 xml:space="preserve">3.3.2 </w:t>
      </w:r>
      <w:r>
        <w:rPr>
          <w:rFonts w:hint="eastAsia" w:ascii="宋体" w:hAnsi="宋体" w:eastAsia="宋体" w:cs="宋体"/>
          <w:sz w:val="21"/>
          <w:szCs w:val="21"/>
          <w:highlight w:val="none"/>
        </w:rPr>
        <w:t>情况特殊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经磋商小组根据磋商现场情况，可以要求供应商适当进行多轮报价。</w:t>
      </w:r>
    </w:p>
    <w:p w14:paraId="1CD3FBC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3.3.3 </w:t>
      </w:r>
      <w:r>
        <w:rPr>
          <w:rFonts w:hint="eastAsia" w:ascii="宋体" w:hAnsi="宋体" w:eastAsia="宋体" w:cs="宋体"/>
          <w:sz w:val="21"/>
          <w:szCs w:val="21"/>
          <w:highlight w:val="none"/>
        </w:rPr>
        <w:t>经磋商确定最终采购需求和提交最后报价的供应商后，由磋商小组采用综合评分法</w:t>
      </w:r>
    </w:p>
    <w:p w14:paraId="6B71D44A">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对提交最后报价的供应商的响应文件和最后报价进行综合评分。</w:t>
      </w:r>
    </w:p>
    <w:p w14:paraId="6DF3EA5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 xml:space="preserve"> 磋商小组按本章</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方法规定的量化因素和分值进行打分计算出综合得分，</w:t>
      </w:r>
    </w:p>
    <w:p w14:paraId="543169E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按本章第1.2.2（1）目规定的评审因素和分值对</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报价部分计算出得分A；</w:t>
      </w:r>
    </w:p>
    <w:p w14:paraId="63AAAD3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按本章第1.2.2（2）目规定的评审因素和分值对技术部分计算出得分B：</w:t>
      </w:r>
    </w:p>
    <w:p w14:paraId="4EC867E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按本章第1.2.2（3）目规定的评审因素和分值对商务部分计算出得分C。</w:t>
      </w:r>
    </w:p>
    <w:p w14:paraId="2EBEDC6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 xml:space="preserve">5 </w:t>
      </w:r>
      <w:r>
        <w:rPr>
          <w:rFonts w:hint="eastAsia" w:ascii="宋体" w:hAnsi="宋体" w:eastAsia="宋体" w:cs="宋体"/>
          <w:sz w:val="21"/>
          <w:szCs w:val="21"/>
          <w:highlight w:val="none"/>
        </w:rPr>
        <w:t>评分分值计算保留小数点后两位，小数点后第三位“四舍五入”。</w:t>
      </w:r>
    </w:p>
    <w:p w14:paraId="736A20BF">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 xml:space="preserve">6 </w:t>
      </w:r>
      <w:r>
        <w:rPr>
          <w:rFonts w:hint="eastAsia" w:ascii="宋体" w:hAnsi="宋体" w:eastAsia="宋体" w:cs="宋体"/>
          <w:sz w:val="21"/>
          <w:szCs w:val="21"/>
          <w:highlight w:val="none"/>
        </w:rPr>
        <w:t>供应商综合得分=A+B+C。</w:t>
      </w:r>
    </w:p>
    <w:p w14:paraId="10EC31B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3.3.7供应商最终得分=磋商小组全体成员评分结果的算术平均值，并以此计算各个供应商的最终得分</w:t>
      </w:r>
      <w:r>
        <w:rPr>
          <w:rFonts w:hint="eastAsia" w:ascii="宋体" w:hAnsi="宋体" w:eastAsia="宋体" w:cs="宋体"/>
          <w:sz w:val="21"/>
          <w:szCs w:val="21"/>
          <w:highlight w:val="none"/>
        </w:rPr>
        <w:t>。</w:t>
      </w:r>
    </w:p>
    <w:p w14:paraId="0466D01D">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 xml:space="preserve">3.3.8 </w:t>
      </w:r>
      <w:r>
        <w:rPr>
          <w:rFonts w:hint="eastAsia" w:ascii="宋体" w:hAnsi="宋体" w:eastAsia="宋体" w:cs="宋体"/>
          <w:sz w:val="21"/>
          <w:szCs w:val="21"/>
          <w:highlight w:val="none"/>
        </w:rPr>
        <w:t>在确定成交</w:t>
      </w:r>
      <w:r>
        <w:rPr>
          <w:rFonts w:hint="eastAsia" w:ascii="宋体" w:hAnsi="宋体" w:eastAsia="宋体" w:cs="宋体"/>
          <w:sz w:val="21"/>
          <w:szCs w:val="21"/>
          <w:highlight w:val="none"/>
          <w:lang w:eastAsia="zh-CN"/>
        </w:rPr>
        <w:t>候选</w:t>
      </w:r>
      <w:r>
        <w:rPr>
          <w:rFonts w:hint="eastAsia" w:ascii="宋体" w:hAnsi="宋体" w:eastAsia="宋体" w:cs="宋体"/>
          <w:sz w:val="21"/>
          <w:szCs w:val="21"/>
          <w:highlight w:val="none"/>
        </w:rPr>
        <w:t>供应商之前，磋商小组认为排在前面的成交候选</w:t>
      </w:r>
      <w:r>
        <w:rPr>
          <w:rFonts w:hint="eastAsia" w:ascii="宋体" w:hAnsi="宋体" w:eastAsia="宋体" w:cs="宋体"/>
          <w:sz w:val="21"/>
          <w:szCs w:val="21"/>
          <w:highlight w:val="none"/>
          <w:lang w:eastAsia="zh-CN"/>
        </w:rPr>
        <w:t>供应商</w:t>
      </w:r>
      <w:r>
        <w:rPr>
          <w:rFonts w:hint="eastAsia" w:ascii="宋体" w:hAnsi="宋体" w:eastAsia="宋体" w:cs="宋体"/>
          <w:sz w:val="21"/>
          <w:szCs w:val="21"/>
          <w:highlight w:val="none"/>
        </w:rPr>
        <w:t>的最低报价</w:t>
      </w:r>
    </w:p>
    <w:p w14:paraId="4DD50FA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或某些分项报价明显不合理或者明显低于其他供应商，有可能影响质量和不能诚信履约的，应当要求其在规定的期限内提供书面文件予以解释说明，并提交相关证明村料。</w:t>
      </w:r>
      <w:bookmarkStart w:id="695" w:name="_Toc18469"/>
      <w:bookmarkStart w:id="696" w:name="_Toc13150094"/>
      <w:bookmarkStart w:id="697" w:name="_Toc11722"/>
      <w:bookmarkStart w:id="698" w:name="_Toc7845"/>
      <w:bookmarkStart w:id="699" w:name="_Toc13854"/>
      <w:bookmarkStart w:id="700" w:name="_Toc11785"/>
      <w:bookmarkStart w:id="701" w:name="_Toc25051"/>
      <w:bookmarkStart w:id="702" w:name="_Toc31327"/>
      <w:bookmarkStart w:id="703" w:name="_Toc18083"/>
      <w:bookmarkStart w:id="704" w:name="_Toc19568"/>
      <w:bookmarkStart w:id="705" w:name="_Toc5640"/>
      <w:bookmarkStart w:id="706" w:name="_Toc18738"/>
      <w:bookmarkStart w:id="707" w:name="_Toc3021"/>
      <w:bookmarkStart w:id="708" w:name="_Toc111997257"/>
      <w:r>
        <w:rPr>
          <w:rFonts w:hint="eastAsia" w:ascii="宋体" w:hAnsi="宋体" w:eastAsia="宋体" w:cs="宋体"/>
          <w:sz w:val="21"/>
          <w:szCs w:val="21"/>
          <w:highlight w:val="none"/>
        </w:rPr>
        <w:t>供应商不能证明其报价合理性的，</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小组成员应当将其作为无效响应处理。</w:t>
      </w:r>
    </w:p>
    <w:p w14:paraId="336A144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3.</w:t>
      </w:r>
      <w:r>
        <w:rPr>
          <w:rFonts w:hint="eastAsia" w:ascii="宋体" w:hAnsi="宋体" w:eastAsia="宋体" w:cs="宋体"/>
          <w:sz w:val="21"/>
          <w:szCs w:val="21"/>
          <w:highlight w:val="none"/>
          <w:lang w:val="en-US" w:eastAsia="zh-CN"/>
        </w:rPr>
        <w:t>3.9</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小组成员对需要共同认定的事项存在争议的，应当按照少数服从多数的原则作出结论。</w:t>
      </w:r>
    </w:p>
    <w:p w14:paraId="58AF270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.4 响应文件的澄清</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r>
        <w:rPr>
          <w:rFonts w:hint="eastAsia" w:ascii="宋体" w:hAnsi="宋体" w:eastAsia="宋体" w:cs="宋体"/>
          <w:sz w:val="21"/>
          <w:szCs w:val="21"/>
          <w:highlight w:val="none"/>
        </w:rPr>
        <w:t>和补正</w:t>
      </w:r>
    </w:p>
    <w:p w14:paraId="072C47C5">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.4.1 在评</w:t>
      </w:r>
      <w:r>
        <w:rPr>
          <w:rFonts w:hint="eastAsia" w:ascii="宋体" w:hAnsi="宋体" w:eastAsia="宋体" w:cs="宋体"/>
          <w:sz w:val="21"/>
          <w:szCs w:val="21"/>
          <w:highlight w:val="none"/>
          <w:lang w:eastAsia="zh-CN"/>
        </w:rPr>
        <w:t>审</w:t>
      </w:r>
      <w:r>
        <w:rPr>
          <w:rFonts w:hint="eastAsia" w:ascii="宋体" w:hAnsi="宋体" w:eastAsia="宋体" w:cs="宋体"/>
          <w:sz w:val="21"/>
          <w:szCs w:val="21"/>
          <w:highlight w:val="none"/>
        </w:rPr>
        <w:t>过程中，磋商小组可以书面形式要求供应商对响应文件中含义不明确、对同类问题表述不一致或者有明显文字和计算错误的内容作必要的澄清、说明或补正。澄清、说明或补正应以书面方式进行，并加盖公章，或者由法定代表人或其授权的代表签字。磋商小组不接受供应商主动提出的澄清、说明或补正。</w:t>
      </w:r>
    </w:p>
    <w:p w14:paraId="33F00E5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.4.22澄清、说明和补正不得改变响应文件的实质性内容（算术性错误修正的除外）。供应商的书面澄清、说明和补正属于响应文件的组成部分。</w:t>
      </w:r>
    </w:p>
    <w:p w14:paraId="26A4E54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.4.3 磋商小组对供应商提交的澄清、说明或补正有疑问的，可以要求供应商进一步澄清、说明或补正，直至满足磋商小组的要求。</w:t>
      </w:r>
    </w:p>
    <w:p w14:paraId="2BE2C2BA">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bookmarkStart w:id="709" w:name="_Toc26739"/>
      <w:bookmarkStart w:id="710" w:name="_Toc12108"/>
      <w:bookmarkStart w:id="711" w:name="_Toc16166"/>
      <w:bookmarkStart w:id="712" w:name="_Toc13150095"/>
      <w:bookmarkStart w:id="713" w:name="_Toc30334"/>
      <w:bookmarkStart w:id="714" w:name="_Toc4217"/>
      <w:bookmarkStart w:id="715" w:name="_Toc10336"/>
      <w:bookmarkStart w:id="716" w:name="_Toc11237"/>
      <w:bookmarkStart w:id="717" w:name="_Toc17538"/>
      <w:bookmarkStart w:id="718" w:name="_Toc111997258"/>
      <w:bookmarkStart w:id="719" w:name="_Toc25388"/>
      <w:bookmarkStart w:id="720" w:name="_Toc19426"/>
      <w:bookmarkStart w:id="721" w:name="_Toc25857"/>
      <w:bookmarkStart w:id="722" w:name="_Toc27845"/>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 xml:space="preserve">.5 </w:t>
      </w:r>
      <w:r>
        <w:rPr>
          <w:rFonts w:hint="eastAsia" w:ascii="宋体" w:hAnsi="宋体" w:eastAsia="宋体" w:cs="宋体"/>
          <w:sz w:val="21"/>
          <w:szCs w:val="21"/>
          <w:highlight w:val="none"/>
          <w:lang w:eastAsia="zh-CN"/>
        </w:rPr>
        <w:t>评审</w:t>
      </w:r>
      <w:r>
        <w:rPr>
          <w:rFonts w:hint="eastAsia" w:ascii="宋体" w:hAnsi="宋体" w:eastAsia="宋体" w:cs="宋体"/>
          <w:sz w:val="21"/>
          <w:szCs w:val="21"/>
          <w:highlight w:val="none"/>
        </w:rPr>
        <w:t>结果</w:t>
      </w:r>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14:paraId="0EF59A16">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.1 除采购人授权直接确定成交供应商外，</w:t>
      </w:r>
      <w:r>
        <w:rPr>
          <w:rFonts w:hint="eastAsia" w:ascii="宋体" w:hAnsi="宋体" w:eastAsia="宋体" w:cs="宋体"/>
          <w:sz w:val="21"/>
          <w:szCs w:val="21"/>
          <w:highlight w:val="none"/>
          <w:lang w:val="en-US" w:eastAsia="zh-CN"/>
        </w:rPr>
        <w:t>磋商小组应当根据综合评分情况，按照评审得分由高到低顺序推荐3名成交候选供应商，并编写评审报告。评审得分相同的，按照最后报价由低到高的顺序推荐。评审得分且最后报价相同的，按照技术指标优劣顺序推荐。</w:t>
      </w:r>
    </w:p>
    <w:p w14:paraId="618F780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.2磋商小组完成评</w:t>
      </w:r>
      <w:r>
        <w:rPr>
          <w:rFonts w:hint="eastAsia" w:ascii="宋体" w:hAnsi="宋体" w:eastAsia="宋体" w:cs="宋体"/>
          <w:sz w:val="21"/>
          <w:szCs w:val="21"/>
          <w:highlight w:val="none"/>
          <w:lang w:eastAsia="zh-CN"/>
        </w:rPr>
        <w:t>审</w:t>
      </w:r>
      <w:r>
        <w:rPr>
          <w:rFonts w:hint="eastAsia" w:ascii="宋体" w:hAnsi="宋体" w:eastAsia="宋体" w:cs="宋体"/>
          <w:sz w:val="21"/>
          <w:szCs w:val="21"/>
          <w:highlight w:val="none"/>
        </w:rPr>
        <w:t>后，应当向采购人提交书面</w:t>
      </w:r>
      <w:r>
        <w:rPr>
          <w:rFonts w:hint="eastAsia" w:ascii="宋体" w:hAnsi="宋体" w:eastAsia="宋体" w:cs="宋体"/>
          <w:sz w:val="21"/>
          <w:szCs w:val="21"/>
          <w:highlight w:val="none"/>
          <w:lang w:eastAsia="zh-CN"/>
        </w:rPr>
        <w:t>评审</w:t>
      </w:r>
      <w:r>
        <w:rPr>
          <w:rFonts w:hint="eastAsia" w:ascii="宋体" w:hAnsi="宋体" w:eastAsia="宋体" w:cs="宋体"/>
          <w:sz w:val="21"/>
          <w:szCs w:val="21"/>
          <w:highlight w:val="none"/>
        </w:rPr>
        <w:t>报告和</w:t>
      </w:r>
      <w:r>
        <w:rPr>
          <w:rFonts w:hint="eastAsia" w:ascii="宋体" w:hAnsi="宋体" w:eastAsia="宋体" w:cs="宋体"/>
          <w:sz w:val="21"/>
          <w:szCs w:val="21"/>
          <w:highlight w:val="none"/>
          <w:lang w:eastAsia="zh-CN"/>
        </w:rPr>
        <w:t>成交候选供应商</w:t>
      </w:r>
      <w:r>
        <w:rPr>
          <w:rFonts w:hint="eastAsia" w:ascii="宋体" w:hAnsi="宋体" w:eastAsia="宋体" w:cs="宋体"/>
          <w:sz w:val="21"/>
          <w:szCs w:val="21"/>
          <w:highlight w:val="none"/>
        </w:rPr>
        <w:t>名单</w:t>
      </w:r>
      <w:r>
        <w:rPr>
          <w:rFonts w:hint="eastAsia" w:ascii="宋体" w:hAnsi="宋体" w:eastAsia="宋体" w:cs="宋体"/>
          <w:sz w:val="21"/>
          <w:szCs w:val="21"/>
          <w:highlight w:val="none"/>
          <w:lang w:eastAsia="zh-CN"/>
        </w:rPr>
        <w:t>。</w:t>
      </w:r>
    </w:p>
    <w:p w14:paraId="68CBB681">
      <w:pPr>
        <w:spacing w:line="500" w:lineRule="exact"/>
        <w:jc w:val="center"/>
        <w:outlineLvl w:val="0"/>
        <w:rPr>
          <w:rFonts w:hint="eastAsia" w:ascii="宋体" w:hAnsi="宋体" w:eastAsia="宋体" w:cs="宋体"/>
          <w:b/>
          <w:bCs/>
          <w:kern w:val="44"/>
          <w:sz w:val="44"/>
          <w:szCs w:val="44"/>
          <w:highlight w:val="none"/>
        </w:rPr>
      </w:pPr>
      <w:r>
        <w:rPr>
          <w:rFonts w:hint="eastAsia" w:ascii="宋体" w:hAnsi="宋体" w:eastAsia="宋体" w:cs="宋体"/>
          <w:b/>
          <w:bCs/>
          <w:kern w:val="44"/>
          <w:sz w:val="32"/>
          <w:szCs w:val="32"/>
          <w:highlight w:val="none"/>
        </w:rPr>
        <w:br w:type="page"/>
      </w:r>
      <w:bookmarkStart w:id="723" w:name="_Toc103592363"/>
      <w:bookmarkStart w:id="724" w:name="_Toc18555"/>
      <w:bookmarkStart w:id="725" w:name="_Toc23665"/>
      <w:r>
        <w:rPr>
          <w:rFonts w:hint="eastAsia" w:ascii="宋体" w:hAnsi="宋体" w:eastAsia="宋体" w:cs="宋体"/>
          <w:b/>
          <w:bCs/>
          <w:kern w:val="44"/>
          <w:sz w:val="32"/>
          <w:szCs w:val="32"/>
          <w:highlight w:val="none"/>
        </w:rPr>
        <w:t>第五章</w:t>
      </w:r>
      <w:bookmarkStart w:id="726" w:name="_Toc269828235"/>
      <w:bookmarkEnd w:id="726"/>
      <w:bookmarkStart w:id="727" w:name="_Toc7902"/>
      <w:bookmarkEnd w:id="727"/>
      <w:bookmarkStart w:id="728" w:name="_Toc331669567"/>
      <w:bookmarkEnd w:id="728"/>
      <w:bookmarkStart w:id="729" w:name="_Toc269828236"/>
      <w:r>
        <w:rPr>
          <w:rFonts w:hint="eastAsia" w:ascii="宋体" w:hAnsi="宋体" w:eastAsia="宋体" w:cs="宋体"/>
          <w:b/>
          <w:bCs/>
          <w:kern w:val="44"/>
          <w:sz w:val="32"/>
          <w:szCs w:val="32"/>
          <w:highlight w:val="none"/>
          <w:lang w:val="en-US" w:eastAsia="zh-CN"/>
        </w:rPr>
        <w:t xml:space="preserve"> </w:t>
      </w:r>
      <w:r>
        <w:rPr>
          <w:rFonts w:hint="eastAsia" w:ascii="宋体" w:hAnsi="宋体" w:eastAsia="宋体" w:cs="宋体"/>
          <w:b/>
          <w:bCs/>
          <w:kern w:val="44"/>
          <w:sz w:val="32"/>
          <w:szCs w:val="32"/>
          <w:highlight w:val="none"/>
        </w:rPr>
        <w:t>合同主要条款</w:t>
      </w:r>
      <w:bookmarkEnd w:id="729"/>
      <w:r>
        <w:rPr>
          <w:rFonts w:hint="eastAsia" w:ascii="宋体" w:hAnsi="宋体" w:eastAsia="宋体" w:cs="宋体"/>
          <w:b/>
          <w:bCs/>
          <w:kern w:val="44"/>
          <w:sz w:val="32"/>
          <w:szCs w:val="32"/>
          <w:highlight w:val="none"/>
        </w:rPr>
        <w:t>及格式</w:t>
      </w:r>
      <w:bookmarkEnd w:id="723"/>
      <w:bookmarkEnd w:id="724"/>
      <w:bookmarkEnd w:id="725"/>
    </w:p>
    <w:p w14:paraId="6A255072">
      <w:pPr>
        <w:spacing w:line="360" w:lineRule="auto"/>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（以双方最终签订合同为准）</w:t>
      </w:r>
    </w:p>
    <w:p w14:paraId="62D2C3E0">
      <w:pPr>
        <w:spacing w:line="480" w:lineRule="auto"/>
        <w:ind w:firstLine="0" w:firstLineChars="0"/>
        <w:rPr>
          <w:rStyle w:val="108"/>
          <w:rFonts w:ascii="宋体" w:hAnsi="宋体" w:eastAsia="宋体" w:cs="宋体"/>
          <w:b/>
          <w:kern w:val="0"/>
          <w:sz w:val="72"/>
          <w:szCs w:val="72"/>
          <w:highlight w:val="none"/>
        </w:rPr>
      </w:pPr>
      <w:bookmarkStart w:id="730" w:name="_Toc103592364"/>
      <w:r>
        <w:rPr>
          <w:rStyle w:val="108"/>
          <w:rFonts w:hint="eastAsia" w:ascii="宋体" w:hAnsi="宋体" w:eastAsia="宋体" w:cs="宋体"/>
          <w:b/>
          <w:kern w:val="0"/>
          <w:sz w:val="22"/>
          <w:szCs w:val="24"/>
          <w:highlight w:val="none"/>
        </w:rPr>
        <w:t>合同编号：</w:t>
      </w:r>
      <w:r>
        <w:rPr>
          <w:rStyle w:val="108"/>
          <w:rFonts w:hint="eastAsia" w:ascii="宋体" w:hAnsi="宋体" w:eastAsia="宋体" w:cs="宋体"/>
          <w:b/>
          <w:kern w:val="0"/>
          <w:sz w:val="72"/>
          <w:szCs w:val="72"/>
          <w:highlight w:val="none"/>
        </w:rPr>
        <w:t xml:space="preserve">         </w:t>
      </w:r>
    </w:p>
    <w:p w14:paraId="4BF005B1">
      <w:pPr>
        <w:spacing w:line="480" w:lineRule="auto"/>
        <w:ind w:firstLine="1446"/>
        <w:jc w:val="both"/>
        <w:rPr>
          <w:rStyle w:val="108"/>
          <w:rFonts w:ascii="宋体" w:hAnsi="宋体" w:eastAsia="宋体" w:cs="宋体"/>
          <w:b/>
          <w:kern w:val="0"/>
          <w:sz w:val="72"/>
          <w:szCs w:val="72"/>
          <w:highlight w:val="none"/>
        </w:rPr>
      </w:pPr>
    </w:p>
    <w:p w14:paraId="4468CC70">
      <w:pPr>
        <w:spacing w:line="480" w:lineRule="auto"/>
        <w:ind w:firstLine="1446"/>
        <w:jc w:val="both"/>
        <w:rPr>
          <w:rStyle w:val="108"/>
          <w:rFonts w:ascii="宋体" w:hAnsi="宋体" w:eastAsia="宋体" w:cs="宋体"/>
          <w:b/>
          <w:kern w:val="0"/>
          <w:sz w:val="72"/>
          <w:szCs w:val="72"/>
          <w:highlight w:val="none"/>
        </w:rPr>
      </w:pPr>
    </w:p>
    <w:p w14:paraId="753B1530">
      <w:pPr>
        <w:spacing w:line="480" w:lineRule="auto"/>
        <w:ind w:left="0" w:leftChars="0" w:firstLine="0" w:firstLineChars="0"/>
        <w:jc w:val="center"/>
        <w:rPr>
          <w:rStyle w:val="108"/>
          <w:rFonts w:ascii="宋体" w:hAnsi="宋体" w:eastAsia="宋体" w:cs="宋体"/>
          <w:b/>
          <w:kern w:val="0"/>
          <w:sz w:val="44"/>
          <w:szCs w:val="44"/>
          <w:highlight w:val="none"/>
        </w:rPr>
      </w:pPr>
      <w:r>
        <w:rPr>
          <w:rStyle w:val="108"/>
          <w:rFonts w:hint="eastAsia" w:ascii="宋体" w:hAnsi="宋体" w:eastAsia="宋体" w:cs="宋体"/>
          <w:b/>
          <w:kern w:val="0"/>
          <w:sz w:val="44"/>
          <w:szCs w:val="44"/>
          <w:highlight w:val="none"/>
        </w:rPr>
        <w:t>咨询服务合同</w:t>
      </w:r>
    </w:p>
    <w:p w14:paraId="242E3F7D">
      <w:pPr>
        <w:spacing w:line="480" w:lineRule="auto"/>
        <w:ind w:firstLine="643"/>
        <w:jc w:val="both"/>
        <w:rPr>
          <w:rStyle w:val="108"/>
          <w:rFonts w:ascii="宋体" w:hAnsi="宋体" w:eastAsia="宋体" w:cs="宋体"/>
          <w:b/>
          <w:bCs/>
          <w:kern w:val="0"/>
          <w:sz w:val="28"/>
          <w:szCs w:val="28"/>
          <w:highlight w:val="none"/>
        </w:rPr>
      </w:pPr>
    </w:p>
    <w:p w14:paraId="2AB7DF3D">
      <w:pPr>
        <w:spacing w:line="480" w:lineRule="auto"/>
        <w:ind w:firstLine="643"/>
        <w:jc w:val="both"/>
        <w:rPr>
          <w:rStyle w:val="108"/>
          <w:rFonts w:ascii="宋体" w:hAnsi="宋体" w:eastAsia="宋体" w:cs="宋体"/>
          <w:b/>
          <w:bCs/>
          <w:kern w:val="0"/>
          <w:sz w:val="28"/>
          <w:szCs w:val="28"/>
          <w:highlight w:val="none"/>
        </w:rPr>
      </w:pPr>
    </w:p>
    <w:p w14:paraId="3D21A9FC">
      <w:pPr>
        <w:spacing w:line="480" w:lineRule="auto"/>
        <w:ind w:firstLine="643"/>
        <w:jc w:val="both"/>
        <w:rPr>
          <w:rStyle w:val="108"/>
          <w:rFonts w:ascii="宋体" w:hAnsi="宋体" w:eastAsia="宋体" w:cs="宋体"/>
          <w:b/>
          <w:bCs/>
          <w:kern w:val="0"/>
          <w:sz w:val="28"/>
          <w:szCs w:val="28"/>
          <w:highlight w:val="none"/>
        </w:rPr>
      </w:pPr>
    </w:p>
    <w:p w14:paraId="0D3DCE3E">
      <w:pPr>
        <w:spacing w:line="480" w:lineRule="auto"/>
        <w:ind w:firstLine="643"/>
        <w:jc w:val="both"/>
        <w:rPr>
          <w:rStyle w:val="108"/>
          <w:rFonts w:ascii="宋体" w:hAnsi="宋体" w:eastAsia="宋体" w:cs="宋体"/>
          <w:b/>
          <w:bCs/>
          <w:kern w:val="0"/>
          <w:sz w:val="28"/>
          <w:szCs w:val="28"/>
          <w:highlight w:val="none"/>
        </w:rPr>
      </w:pPr>
    </w:p>
    <w:p w14:paraId="0FBB299D">
      <w:pPr>
        <w:spacing w:line="480" w:lineRule="auto"/>
        <w:ind w:firstLine="643"/>
        <w:jc w:val="both"/>
        <w:rPr>
          <w:rStyle w:val="108"/>
          <w:rFonts w:ascii="宋体" w:hAnsi="宋体" w:eastAsia="宋体" w:cs="宋体"/>
          <w:b/>
          <w:bCs/>
          <w:kern w:val="0"/>
          <w:sz w:val="28"/>
          <w:szCs w:val="28"/>
          <w:highlight w:val="none"/>
        </w:rPr>
      </w:pPr>
    </w:p>
    <w:p w14:paraId="067CF6D3">
      <w:pPr>
        <w:spacing w:line="480" w:lineRule="auto"/>
        <w:ind w:firstLine="643"/>
        <w:jc w:val="both"/>
        <w:rPr>
          <w:rStyle w:val="108"/>
          <w:rFonts w:ascii="宋体" w:hAnsi="宋体" w:eastAsia="宋体" w:cs="宋体"/>
          <w:b/>
          <w:bCs/>
          <w:kern w:val="0"/>
          <w:sz w:val="28"/>
          <w:szCs w:val="28"/>
          <w:highlight w:val="none"/>
        </w:rPr>
      </w:pPr>
    </w:p>
    <w:p w14:paraId="3E9DAB39">
      <w:pPr>
        <w:spacing w:line="480" w:lineRule="auto"/>
        <w:ind w:firstLine="643"/>
        <w:jc w:val="both"/>
        <w:rPr>
          <w:rStyle w:val="108"/>
          <w:rFonts w:ascii="宋体" w:hAnsi="宋体" w:eastAsia="宋体" w:cs="宋体"/>
          <w:b/>
          <w:bCs/>
          <w:kern w:val="0"/>
          <w:sz w:val="28"/>
          <w:szCs w:val="28"/>
          <w:highlight w:val="none"/>
        </w:rPr>
      </w:pPr>
    </w:p>
    <w:p w14:paraId="1F3E4CD3">
      <w:pPr>
        <w:spacing w:line="480" w:lineRule="auto"/>
        <w:ind w:firstLine="0" w:firstLineChars="0"/>
        <w:jc w:val="both"/>
        <w:rPr>
          <w:rStyle w:val="108"/>
          <w:rFonts w:ascii="宋体" w:hAnsi="宋体" w:eastAsia="宋体" w:cs="宋体"/>
          <w:b/>
          <w:bCs/>
          <w:kern w:val="0"/>
          <w:sz w:val="28"/>
          <w:szCs w:val="28"/>
          <w:highlight w:val="none"/>
        </w:rPr>
      </w:pPr>
    </w:p>
    <w:p w14:paraId="4029C1BE">
      <w:pPr>
        <w:spacing w:line="480" w:lineRule="auto"/>
        <w:ind w:firstLine="643"/>
        <w:jc w:val="both"/>
        <w:rPr>
          <w:rStyle w:val="108"/>
          <w:rFonts w:ascii="宋体" w:hAnsi="宋体" w:eastAsia="宋体" w:cs="宋体"/>
          <w:b/>
          <w:bCs/>
          <w:kern w:val="0"/>
          <w:sz w:val="28"/>
          <w:szCs w:val="28"/>
          <w:highlight w:val="none"/>
        </w:rPr>
      </w:pPr>
    </w:p>
    <w:p w14:paraId="41232950">
      <w:pPr>
        <w:spacing w:line="480" w:lineRule="auto"/>
        <w:ind w:left="0" w:leftChars="0" w:firstLine="2320" w:firstLineChars="0"/>
        <w:jc w:val="both"/>
        <w:rPr>
          <w:rStyle w:val="108"/>
          <w:rFonts w:ascii="宋体" w:hAnsi="宋体" w:eastAsia="宋体" w:cs="宋体"/>
          <w:b/>
          <w:bCs/>
          <w:kern w:val="0"/>
          <w:sz w:val="28"/>
          <w:szCs w:val="28"/>
          <w:highlight w:val="none"/>
          <w:u w:val="single"/>
        </w:rPr>
      </w:pPr>
      <w:r>
        <w:rPr>
          <w:rStyle w:val="108"/>
          <w:rFonts w:hint="eastAsia" w:ascii="宋体" w:hAnsi="宋体" w:eastAsia="宋体" w:cs="宋体"/>
          <w:b/>
          <w:bCs/>
          <w:kern w:val="0"/>
          <w:sz w:val="28"/>
          <w:szCs w:val="28"/>
          <w:highlight w:val="none"/>
        </w:rPr>
        <w:t>项目名称：</w:t>
      </w:r>
      <w:r>
        <w:rPr>
          <w:rStyle w:val="108"/>
          <w:rFonts w:hint="eastAsia" w:ascii="宋体" w:hAnsi="宋体" w:eastAsia="宋体" w:cs="宋体"/>
          <w:b/>
          <w:bCs/>
          <w:kern w:val="0"/>
          <w:sz w:val="28"/>
          <w:szCs w:val="28"/>
          <w:highlight w:val="none"/>
          <w:u w:val="single"/>
        </w:rPr>
        <w:t xml:space="preserve">                           </w:t>
      </w:r>
    </w:p>
    <w:p w14:paraId="1F5B30E7">
      <w:pPr>
        <w:spacing w:line="480" w:lineRule="auto"/>
        <w:ind w:left="0" w:leftChars="0" w:firstLine="2320" w:firstLineChars="0"/>
        <w:jc w:val="both"/>
        <w:rPr>
          <w:rStyle w:val="108"/>
          <w:rFonts w:ascii="宋体" w:hAnsi="宋体" w:eastAsia="宋体" w:cs="宋体"/>
          <w:b/>
          <w:bCs/>
          <w:kern w:val="0"/>
          <w:sz w:val="28"/>
          <w:szCs w:val="28"/>
          <w:highlight w:val="none"/>
        </w:rPr>
      </w:pPr>
      <w:r>
        <w:rPr>
          <w:rStyle w:val="108"/>
          <w:rFonts w:hint="eastAsia" w:ascii="宋体" w:hAnsi="宋体" w:eastAsia="宋体" w:cs="宋体"/>
          <w:b/>
          <w:bCs/>
          <w:kern w:val="0"/>
          <w:sz w:val="28"/>
          <w:szCs w:val="28"/>
          <w:highlight w:val="none"/>
        </w:rPr>
        <w:t>委 托 方：</w:t>
      </w:r>
      <w:r>
        <w:rPr>
          <w:rStyle w:val="108"/>
          <w:rFonts w:hint="eastAsia" w:ascii="宋体" w:hAnsi="宋体" w:eastAsia="宋体" w:cs="宋体"/>
          <w:b/>
          <w:bCs/>
          <w:kern w:val="0"/>
          <w:sz w:val="28"/>
          <w:szCs w:val="28"/>
          <w:highlight w:val="none"/>
          <w:u w:val="single"/>
        </w:rPr>
        <w:t xml:space="preserve">                           </w:t>
      </w:r>
      <w:r>
        <w:rPr>
          <w:rStyle w:val="108"/>
          <w:rFonts w:hint="eastAsia" w:ascii="宋体" w:hAnsi="宋体" w:eastAsia="宋体" w:cs="宋体"/>
          <w:b/>
          <w:bCs/>
          <w:kern w:val="0"/>
          <w:sz w:val="28"/>
          <w:szCs w:val="28"/>
          <w:highlight w:val="none"/>
        </w:rPr>
        <w:t xml:space="preserve">                               </w:t>
      </w:r>
    </w:p>
    <w:p w14:paraId="4BCFFDDA">
      <w:pPr>
        <w:spacing w:line="480" w:lineRule="auto"/>
        <w:ind w:left="0" w:leftChars="0" w:firstLine="2320" w:firstLineChars="0"/>
        <w:rPr>
          <w:rStyle w:val="108"/>
          <w:rFonts w:ascii="宋体" w:hAnsi="宋体" w:eastAsia="宋体" w:cs="宋体"/>
          <w:b/>
          <w:bCs/>
          <w:kern w:val="0"/>
          <w:sz w:val="32"/>
          <w:szCs w:val="32"/>
          <w:highlight w:val="none"/>
        </w:rPr>
      </w:pPr>
      <w:r>
        <w:rPr>
          <w:rStyle w:val="108"/>
          <w:rFonts w:hint="eastAsia" w:ascii="宋体" w:hAnsi="宋体" w:eastAsia="宋体" w:cs="宋体"/>
          <w:b/>
          <w:bCs/>
          <w:kern w:val="0"/>
          <w:sz w:val="28"/>
          <w:szCs w:val="28"/>
          <w:highlight w:val="none"/>
        </w:rPr>
        <w:t>受 托 方：</w:t>
      </w:r>
      <w:r>
        <w:rPr>
          <w:rStyle w:val="108"/>
          <w:rFonts w:hint="eastAsia" w:ascii="宋体" w:hAnsi="宋体" w:eastAsia="宋体" w:cs="宋体"/>
          <w:b/>
          <w:bCs/>
          <w:kern w:val="0"/>
          <w:sz w:val="28"/>
          <w:szCs w:val="28"/>
          <w:highlight w:val="none"/>
          <w:u w:val="single"/>
        </w:rPr>
        <w:t xml:space="preserve">                           </w:t>
      </w:r>
      <w:r>
        <w:rPr>
          <w:rStyle w:val="108"/>
          <w:rFonts w:hint="eastAsia" w:ascii="宋体" w:hAnsi="宋体" w:eastAsia="宋体" w:cs="宋体"/>
          <w:b/>
          <w:bCs/>
          <w:kern w:val="0"/>
          <w:sz w:val="28"/>
          <w:szCs w:val="28"/>
          <w:highlight w:val="none"/>
        </w:rPr>
        <w:t xml:space="preserve">     </w:t>
      </w:r>
      <w:r>
        <w:rPr>
          <w:rStyle w:val="108"/>
          <w:rFonts w:hint="eastAsia" w:ascii="宋体" w:hAnsi="宋体" w:eastAsia="宋体" w:cs="宋体"/>
          <w:b/>
          <w:bCs/>
          <w:kern w:val="0"/>
          <w:sz w:val="32"/>
          <w:szCs w:val="32"/>
          <w:highlight w:val="none"/>
        </w:rPr>
        <w:t xml:space="preserve">  </w:t>
      </w:r>
    </w:p>
    <w:p w14:paraId="74C8AC57">
      <w:pPr>
        <w:widowControl w:val="0"/>
        <w:wordWrap w:val="0"/>
        <w:spacing w:after="156" w:afterLines="50"/>
        <w:ind w:firstLine="0" w:firstLineChars="0"/>
        <w:rPr>
          <w:rFonts w:hint="eastAsia" w:ascii="宋体" w:hAnsi="宋体" w:eastAsia="宋体" w:cs="宋体"/>
          <w:b/>
          <w:bCs/>
          <w:highlight w:val="none"/>
        </w:rPr>
        <w:sectPr>
          <w:footerReference r:id="rId10" w:type="default"/>
          <w:pgSz w:w="11906" w:h="16838"/>
          <w:pgMar w:top="1134" w:right="1134" w:bottom="1134" w:left="1134" w:header="851" w:footer="680" w:gutter="0"/>
          <w:pgNumType w:fmt="decimal" w:start="1"/>
          <w:cols w:space="425" w:num="1"/>
          <w:docGrid w:type="lines" w:linePitch="312" w:charSpace="0"/>
        </w:sectPr>
      </w:pPr>
    </w:p>
    <w:p w14:paraId="4351B852">
      <w:pPr>
        <w:keepNext w:val="0"/>
        <w:keepLines w:val="0"/>
        <w:pageBreakBefore w:val="0"/>
        <w:widowControl w:val="0"/>
        <w:kinsoku/>
        <w:wordWrap w:val="0"/>
        <w:overflowPunct/>
        <w:topLinePunct w:val="0"/>
        <w:autoSpaceDE/>
        <w:autoSpaceDN/>
        <w:bidi w:val="0"/>
        <w:adjustRightInd/>
        <w:snapToGrid/>
        <w:spacing w:after="156" w:afterLines="50" w:line="440" w:lineRule="exact"/>
        <w:ind w:firstLine="0" w:firstLineChars="0"/>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鉴于：</w:t>
      </w:r>
    </w:p>
    <w:p w14:paraId="3B707BC5">
      <w:pPr>
        <w:keepNext w:val="0"/>
        <w:keepLines w:val="0"/>
        <w:pageBreakBefore w:val="0"/>
        <w:widowControl w:val="0"/>
        <w:kinsoku/>
        <w:wordWrap w:val="0"/>
        <w:overflowPunct/>
        <w:topLinePunct w:val="0"/>
        <w:autoSpaceDE/>
        <w:autoSpaceDN/>
        <w:bidi w:val="0"/>
        <w:adjustRightInd/>
        <w:snapToGrid/>
        <w:spacing w:after="156" w:afterLines="50"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甲方为</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项目咨询服务采购方，具备签订本合同的合法主体资格与履约能力。</w:t>
      </w:r>
    </w:p>
    <w:p w14:paraId="7441013C">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乙方为专注于项目咨询、方案设计等领域的专业服务机构，拥有成熟的服务团队、丰富的实操经验与良好的执业信誉，能够为甲方提供专业、高效的咨询服务。</w:t>
      </w:r>
    </w:p>
    <w:p w14:paraId="2BA04D96">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甲乙双方均为独立民事主体，无影响本合同履行的重大诉讼、仲裁或行政查处事项。</w:t>
      </w:r>
    </w:p>
    <w:p w14:paraId="0494CD77">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为明确双方权利义务、保障服务质量、实现合作目的，甲乙双方本着平等自愿、诚实信用、互利共赢的原则，依据《中华人民共和国民法典》及相关法律法规，经充分协商一致，订立本合同，以资共同信守。</w:t>
      </w:r>
    </w:p>
    <w:p w14:paraId="1242D70D">
      <w:pPr>
        <w:keepNext w:val="0"/>
        <w:keepLines w:val="0"/>
        <w:pageBreakBefore w:val="0"/>
        <w:widowControl w:val="0"/>
        <w:kinsoku/>
        <w:wordWrap w:val="0"/>
        <w:overflowPunct/>
        <w:topLinePunct w:val="0"/>
        <w:autoSpaceDE/>
        <w:autoSpaceDN/>
        <w:bidi w:val="0"/>
        <w:adjustRightInd/>
        <w:snapToGrid/>
        <w:spacing w:line="440" w:lineRule="exact"/>
        <w:ind w:firstLine="562"/>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第一条 项目名称及服务内容</w:t>
      </w:r>
    </w:p>
    <w:p w14:paraId="57F8B422">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1.1项目名称</w:t>
      </w:r>
      <w:r>
        <w:rPr>
          <w:rFonts w:hint="eastAsia" w:ascii="宋体" w:hAnsi="宋体" w:eastAsia="宋体" w:cs="宋体"/>
          <w:sz w:val="21"/>
          <w:szCs w:val="21"/>
          <w:highlight w:val="none"/>
          <w:lang w:eastAsia="zh-CN"/>
        </w:rPr>
        <w:t>：</w:t>
      </w:r>
      <w:r>
        <w:rPr>
          <w:rStyle w:val="108"/>
          <w:rFonts w:hint="eastAsia" w:ascii="宋体" w:hAnsi="宋体" w:eastAsia="宋体" w:cs="宋体"/>
          <w:b/>
          <w:bCs/>
          <w:kern w:val="0"/>
          <w:sz w:val="21"/>
          <w:szCs w:val="21"/>
          <w:highlight w:val="none"/>
          <w:u w:val="single"/>
        </w:rPr>
        <w:t xml:space="preserve">                     </w:t>
      </w:r>
      <w:r>
        <w:rPr>
          <w:rFonts w:hint="eastAsia" w:ascii="宋体" w:hAnsi="宋体" w:eastAsia="宋体" w:cs="宋体"/>
          <w:sz w:val="21"/>
          <w:szCs w:val="21"/>
          <w:highlight w:val="none"/>
        </w:rPr>
        <w:t>项目（以下简称 “本项目”）</w:t>
      </w:r>
    </w:p>
    <w:p w14:paraId="535A99BA">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1.2服务内容</w:t>
      </w:r>
    </w:p>
    <w:p w14:paraId="7B5747B7">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乙方为甲方本项目申报提供全流程专业咨询服务，具体包括：</w:t>
      </w:r>
    </w:p>
    <w:p w14:paraId="77C747C1">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1、对项目基本情况及前期工作进展情况开展尽职调查，与相关单位进行沟通，全面收集与项目的资料和基础数据，指导项目单位完成包括但不限于环评、土地、规划等项目申报的必备材料；</w:t>
      </w:r>
    </w:p>
    <w:p w14:paraId="2A8B5341">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2、与相关单位进行沟通，协助理清项目思路，编制项目工作方案；</w:t>
      </w:r>
    </w:p>
    <w:p w14:paraId="66F8A2BE">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3、确认项目咨询工作方案，开展尽责调查工作，全面收集本项目运作相关资料和基础数据；</w:t>
      </w:r>
    </w:p>
    <w:p w14:paraId="069F786A">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4、根据收集资料及甲方要求，确定项目的建设内容、建设规模、建设方案等内容，并对项目总投资进行估算；</w:t>
      </w:r>
    </w:p>
    <w:p w14:paraId="6F6B9FE1">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5、统筹整合第三方机构，编制《项目可行性研究报告》并获得相关批复文件；</w:t>
      </w:r>
    </w:p>
    <w:p w14:paraId="17A53FFD">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6、确定项目实施模式及具体运作程序，明确项目运作的基本原则，分析项目风险因素及项目实施的关键内容；</w:t>
      </w:r>
    </w:p>
    <w:p w14:paraId="19929FC2">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7、建立财务模型，对项目进行财务测算和财务分析，出具科学、合理的财务分析报告，为项目结构设计和核心边界条件设置提供数据支撑，并依据测算结果提出意见和建议；</w:t>
      </w:r>
    </w:p>
    <w:p w14:paraId="04159BC1">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8、统筹整合第三方机构，编制完成《项目实施方案》；</w:t>
      </w:r>
    </w:p>
    <w:p w14:paraId="5D9A3E4A">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9、统筹整合第三方机构，编制完成《项目事前绩效评价报告》；</w:t>
      </w:r>
    </w:p>
    <w:p w14:paraId="37F2161C">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10、统筹整合第三方机构，编制完成《项目专项评价报告》；</w:t>
      </w:r>
    </w:p>
    <w:p w14:paraId="0610DE16">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11、统筹整合第三方机构，编制完成《项目法律意见书》。</w:t>
      </w:r>
    </w:p>
    <w:p w14:paraId="48AF53A4">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sz w:val="21"/>
          <w:szCs w:val="21"/>
          <w:highlight w:val="none"/>
        </w:rPr>
      </w:pPr>
      <w:r>
        <w:rPr>
          <w:rFonts w:hint="eastAsia" w:ascii="宋体" w:hAnsi="宋体" w:eastAsia="宋体" w:cs="宋体"/>
          <w:b/>
          <w:bCs/>
          <w:kern w:val="2"/>
          <w:sz w:val="21"/>
          <w:szCs w:val="21"/>
          <w:highlight w:val="none"/>
          <w:lang w:val="en-US" w:eastAsia="zh-CN" w:bidi="ar-SA"/>
        </w:rPr>
        <w:t xml:space="preserve">第二条 </w:t>
      </w:r>
      <w:r>
        <w:rPr>
          <w:rFonts w:hint="eastAsia" w:ascii="宋体" w:hAnsi="宋体" w:eastAsia="宋体" w:cs="宋体"/>
          <w:b/>
          <w:bCs/>
          <w:sz w:val="21"/>
          <w:szCs w:val="21"/>
          <w:highlight w:val="none"/>
        </w:rPr>
        <w:t>服务期限、地点及方式</w:t>
      </w:r>
    </w:p>
    <w:p w14:paraId="7A604A5F">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u w:val="single"/>
        </w:rPr>
      </w:pPr>
      <w:r>
        <w:rPr>
          <w:rFonts w:hint="eastAsia" w:ascii="宋体" w:hAnsi="宋体" w:eastAsia="宋体" w:cs="宋体"/>
          <w:sz w:val="21"/>
          <w:szCs w:val="21"/>
          <w:highlight w:val="none"/>
        </w:rPr>
        <w:t>2.1 服务期限</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rPr>
        <w:t>从本合同签署生效后起至项目通过省财政厅一审评审止</w:t>
      </w:r>
    </w:p>
    <w:p w14:paraId="76B2B9BE">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2.2 服务地点</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u w:val="single"/>
        </w:rPr>
        <w:t xml:space="preserve"> 三门峡市湖滨区 </w:t>
      </w:r>
    </w:p>
    <w:p w14:paraId="36619C5E">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2.3 服务方式</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乙方组建具备对应领域咨询经验的专业服务团队，指派项目负责人全程对接，按计划完成各阶段工作，及时响应甲方合理需求，全程配合评审、修改、补正等工作。</w:t>
      </w:r>
    </w:p>
    <w:p w14:paraId="4432CC34">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sz w:val="21"/>
          <w:szCs w:val="21"/>
          <w:highlight w:val="none"/>
        </w:rPr>
      </w:pPr>
      <w:r>
        <w:rPr>
          <w:rFonts w:hint="eastAsia" w:ascii="宋体" w:hAnsi="宋体" w:eastAsia="宋体" w:cs="宋体"/>
          <w:b/>
          <w:bCs/>
          <w:kern w:val="2"/>
          <w:sz w:val="21"/>
          <w:szCs w:val="21"/>
          <w:highlight w:val="none"/>
          <w:lang w:val="en-US" w:eastAsia="zh-CN" w:bidi="ar-SA"/>
        </w:rPr>
        <w:t xml:space="preserve">第三条 </w:t>
      </w:r>
      <w:r>
        <w:rPr>
          <w:rFonts w:hint="eastAsia" w:ascii="宋体" w:hAnsi="宋体" w:eastAsia="宋体" w:cs="宋体"/>
          <w:b/>
          <w:bCs/>
          <w:sz w:val="21"/>
          <w:szCs w:val="21"/>
          <w:highlight w:val="none"/>
        </w:rPr>
        <w:t>咨询服务费及支付</w:t>
      </w:r>
    </w:p>
    <w:p w14:paraId="36B5CE04">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3.1 本合同项下咨询服务费为含税总价人民币</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元整（小写：￥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元）。该费用包含乙方完成本合同全部服务内容的费用。</w:t>
      </w:r>
    </w:p>
    <w:p w14:paraId="0B43D167">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3.2 支付方式与时间</w:t>
      </w:r>
    </w:p>
    <w:p w14:paraId="29A275FD">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default" w:ascii="宋体" w:hAnsi="宋体" w:eastAsia="宋体" w:cs="宋体"/>
          <w:sz w:val="21"/>
          <w:szCs w:val="21"/>
          <w:highlight w:val="none"/>
          <w:u w:val="none"/>
          <w:lang w:val="en-US" w:eastAsia="zh-CN"/>
        </w:rPr>
      </w:pPr>
      <w:r>
        <w:rPr>
          <w:rFonts w:hint="eastAsia" w:ascii="宋体" w:hAnsi="宋体" w:eastAsia="宋体" w:cs="宋体"/>
          <w:sz w:val="21"/>
          <w:szCs w:val="21"/>
          <w:highlight w:val="none"/>
        </w:rPr>
        <w:t>甲方按以下节点向乙方支付咨询服务费：</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w:t>
      </w:r>
    </w:p>
    <w:p w14:paraId="1B7DF3B8">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3.3 发票开具</w:t>
      </w:r>
    </w:p>
    <w:p w14:paraId="56BEE65B">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乙方收到甲方支付的每笔款项后，应向甲方开具合法有效、等额的增值税发票。</w:t>
      </w:r>
    </w:p>
    <w:p w14:paraId="0BF7F732">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3.4 收款账户</w:t>
      </w:r>
    </w:p>
    <w:p w14:paraId="484A1D34">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乙方指定收款账户信息如下：</w:t>
      </w:r>
    </w:p>
    <w:p w14:paraId="06658599">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账户名称：</w:t>
      </w:r>
    </w:p>
    <w:p w14:paraId="678B5BA8">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开户银行：</w:t>
      </w:r>
    </w:p>
    <w:p w14:paraId="52F7BAFD">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开户账号：</w:t>
      </w:r>
    </w:p>
    <w:p w14:paraId="20F72E54">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未经乙方书面授权，甲方不得向其他任何账户支付本合同项下款项。</w:t>
      </w:r>
    </w:p>
    <w:p w14:paraId="05672070">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sz w:val="21"/>
          <w:szCs w:val="21"/>
          <w:highlight w:val="none"/>
        </w:rPr>
      </w:pPr>
      <w:r>
        <w:rPr>
          <w:rFonts w:hint="eastAsia" w:ascii="宋体" w:hAnsi="宋体" w:eastAsia="宋体" w:cs="宋体"/>
          <w:b/>
          <w:bCs/>
          <w:kern w:val="2"/>
          <w:sz w:val="21"/>
          <w:szCs w:val="21"/>
          <w:highlight w:val="none"/>
          <w:lang w:val="en-US" w:eastAsia="zh-CN" w:bidi="ar-SA"/>
        </w:rPr>
        <w:t xml:space="preserve">第四条 </w:t>
      </w:r>
      <w:r>
        <w:rPr>
          <w:rFonts w:hint="eastAsia" w:ascii="宋体" w:hAnsi="宋体" w:eastAsia="宋体" w:cs="宋体"/>
          <w:b/>
          <w:bCs/>
          <w:sz w:val="21"/>
          <w:szCs w:val="21"/>
          <w:highlight w:val="none"/>
        </w:rPr>
        <w:t>甲方权利与义务</w:t>
      </w:r>
    </w:p>
    <w:p w14:paraId="45F6FA6D">
      <w:pPr>
        <w:keepNext w:val="0"/>
        <w:keepLines w:val="0"/>
        <w:pageBreakBefore w:val="0"/>
        <w:widowControl w:val="0"/>
        <w:kinsoku/>
        <w:wordWrap w:val="0"/>
        <w:overflowPunct/>
        <w:topLinePunct w:val="0"/>
        <w:autoSpaceDE/>
        <w:autoSpaceDN/>
        <w:bidi w:val="0"/>
        <w:adjustRightInd/>
        <w:snapToGrid/>
        <w:spacing w:line="440" w:lineRule="exact"/>
        <w:ind w:left="420" w:leftChars="200" w:firstLine="0" w:firstLineChars="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4.1 权利</w:t>
      </w:r>
    </w:p>
    <w:p w14:paraId="6A9FFFEE">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1.对乙方服务过程、工作进度、成果质量进行监督、检查与提出合理修改意见；</w:t>
      </w:r>
    </w:p>
    <w:p w14:paraId="301250D1">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2.要求乙方及时汇报项目进展，按需参加项目沟通会、评审会；</w:t>
      </w:r>
    </w:p>
    <w:p w14:paraId="0523500A">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3.按本合同约定获得合格咨询服务成果。</w:t>
      </w:r>
    </w:p>
    <w:p w14:paraId="73C5B4E1">
      <w:pPr>
        <w:keepNext w:val="0"/>
        <w:keepLines w:val="0"/>
        <w:pageBreakBefore w:val="0"/>
        <w:widowControl w:val="0"/>
        <w:kinsoku/>
        <w:wordWrap w:val="0"/>
        <w:overflowPunct/>
        <w:topLinePunct w:val="0"/>
        <w:autoSpaceDE/>
        <w:autoSpaceDN/>
        <w:bidi w:val="0"/>
        <w:adjustRightInd/>
        <w:snapToGrid/>
        <w:spacing w:line="440" w:lineRule="exact"/>
        <w:ind w:left="420" w:leftChars="200" w:firstLine="0" w:firstLineChars="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4.2 义务</w:t>
      </w:r>
    </w:p>
    <w:p w14:paraId="4F51F1A2">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1.按乙方提供的资料清单，及时、真实、完整、合法地提供项目所需全部资料，并对资料真实性、合法性、完整性、有效性承担全部责任；</w:t>
      </w:r>
    </w:p>
    <w:p w14:paraId="0A76A98D">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2.为乙方开展现场工作提供必要办公条件、协调便利及配合支持；</w:t>
      </w:r>
    </w:p>
    <w:p w14:paraId="0E1C4351">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3.指派专人作为项目联系人，负责资料交接、沟通对接、成果签收、外部协调等工作；</w:t>
      </w:r>
    </w:p>
    <w:p w14:paraId="60286105">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4.按本合同约定按时足额支付咨询服务费；</w:t>
      </w:r>
    </w:p>
    <w:p w14:paraId="7D26A1CC">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5.尊重乙方知识产权，不得擅自将乙方成果用于本合同以外项目或向第三方泄露、转让。</w:t>
      </w:r>
    </w:p>
    <w:p w14:paraId="25487BC3">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sz w:val="21"/>
          <w:szCs w:val="21"/>
          <w:highlight w:val="none"/>
        </w:rPr>
      </w:pPr>
      <w:r>
        <w:rPr>
          <w:rFonts w:hint="eastAsia" w:ascii="宋体" w:hAnsi="宋体" w:eastAsia="宋体" w:cs="宋体"/>
          <w:b/>
          <w:bCs/>
          <w:kern w:val="2"/>
          <w:sz w:val="21"/>
          <w:szCs w:val="21"/>
          <w:highlight w:val="none"/>
          <w:lang w:val="en-US" w:eastAsia="zh-CN" w:bidi="ar-SA"/>
        </w:rPr>
        <w:t xml:space="preserve">第五条 </w:t>
      </w:r>
      <w:r>
        <w:rPr>
          <w:rFonts w:hint="eastAsia" w:ascii="宋体" w:hAnsi="宋体" w:eastAsia="宋体" w:cs="宋体"/>
          <w:b/>
          <w:bCs/>
          <w:sz w:val="21"/>
          <w:szCs w:val="21"/>
          <w:highlight w:val="none"/>
        </w:rPr>
        <w:t>乙方权利与义务</w:t>
      </w:r>
    </w:p>
    <w:p w14:paraId="74688CE1">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0" w:firstLineChars="20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5.1 权利</w:t>
      </w:r>
    </w:p>
    <w:p w14:paraId="58911E1D">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1.按本合同约定按时足额收取咨询服务费；</w:t>
      </w:r>
    </w:p>
    <w:p w14:paraId="5900B700">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2.要求甲方及时提供项目所需资料与必要协助；</w:t>
      </w:r>
    </w:p>
    <w:p w14:paraId="02B7CBDE">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3.对甲方提出的不合理要求有权拒绝，并书面说明理由。</w:t>
      </w:r>
    </w:p>
    <w:p w14:paraId="5E8EA6CF">
      <w:pPr>
        <w:keepNext w:val="0"/>
        <w:keepLines w:val="0"/>
        <w:pageBreakBefore w:val="0"/>
        <w:widowControl w:val="0"/>
        <w:kinsoku/>
        <w:wordWrap w:val="0"/>
        <w:overflowPunct/>
        <w:topLinePunct w:val="0"/>
        <w:autoSpaceDE/>
        <w:autoSpaceDN/>
        <w:bidi w:val="0"/>
        <w:adjustRightInd/>
        <w:snapToGrid/>
        <w:spacing w:line="440" w:lineRule="exact"/>
        <w:ind w:left="420" w:leftChars="200" w:firstLine="0" w:firstLineChars="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5.2 义务</w:t>
      </w:r>
    </w:p>
    <w:p w14:paraId="0DD2107B">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1.勤勉尽责、恪守专业标准，组建合格服务团队，确保服务质量与工作效率；</w:t>
      </w:r>
    </w:p>
    <w:p w14:paraId="489034FC">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2.按本合同约定时限完成各阶段工作，提交符合要求的成果文件；</w:t>
      </w:r>
    </w:p>
    <w:p w14:paraId="1EE5502A">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3.对咨询成果文件的合规性、规范性负责，因乙方原因导致成果不符合要求的，负责无偿修改完善直至合格；</w:t>
      </w:r>
    </w:p>
    <w:p w14:paraId="34042F73">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4.全程配合甲方及主管部门的审核、问询、修改、补正等工作，直至项目通过审批；</w:t>
      </w:r>
    </w:p>
    <w:p w14:paraId="4BCF6A94">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5.严格遵守保密约定，妥善保管甲方提供的资料与项目信息；</w:t>
      </w:r>
    </w:p>
    <w:p w14:paraId="0F6F44D9">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6.因甲方提供资料虚假、缺失、滞后或甲方擅自变更项目要求导致的成果问题、审批延误，乙方不承担责任。</w:t>
      </w:r>
    </w:p>
    <w:p w14:paraId="3A7FAF88">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sz w:val="21"/>
          <w:szCs w:val="21"/>
          <w:highlight w:val="none"/>
        </w:rPr>
      </w:pPr>
      <w:r>
        <w:rPr>
          <w:rFonts w:hint="eastAsia" w:ascii="宋体" w:hAnsi="宋体" w:eastAsia="宋体" w:cs="宋体"/>
          <w:b/>
          <w:bCs/>
          <w:kern w:val="2"/>
          <w:sz w:val="21"/>
          <w:szCs w:val="21"/>
          <w:highlight w:val="none"/>
          <w:lang w:val="en-US" w:eastAsia="zh-CN" w:bidi="ar-SA"/>
        </w:rPr>
        <w:t xml:space="preserve">第六条 </w:t>
      </w:r>
      <w:r>
        <w:rPr>
          <w:rFonts w:hint="eastAsia" w:ascii="宋体" w:hAnsi="宋体" w:eastAsia="宋体" w:cs="宋体"/>
          <w:b/>
          <w:bCs/>
          <w:sz w:val="21"/>
          <w:szCs w:val="21"/>
          <w:highlight w:val="none"/>
        </w:rPr>
        <w:t>保密条款</w:t>
      </w:r>
    </w:p>
    <w:p w14:paraId="3E5208C0">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1.乙方对甲方提供的项目资料、数据、文件及未公开信息负有保密义务，未经甲方书面同意，不得向本项目无关第三方泄露、使用或允许他人使用。</w:t>
      </w:r>
    </w:p>
    <w:p w14:paraId="3263D1BA">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2.甲方对乙方的商业秘密、技术资料、成果文件及知识产权负有保密义务，未经乙方书面同意，不得用于本合同以外项目，不得向第三方泄露、转让、许可使用。</w:t>
      </w:r>
    </w:p>
    <w:p w14:paraId="3A3CBFA5">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3.本保密义务为持续性义务，不因本合同终止、解除、无效而终止，直至相关信息成为公开可获取信息为止。</w:t>
      </w:r>
    </w:p>
    <w:p w14:paraId="1EEA4B7E">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4.任何一方违反保密义务，应承担由此给对方造成的全部实际损失。</w:t>
      </w:r>
    </w:p>
    <w:p w14:paraId="6026537A">
      <w:pPr>
        <w:keepNext w:val="0"/>
        <w:keepLines w:val="0"/>
        <w:pageBreakBefore w:val="0"/>
        <w:widowControl w:val="0"/>
        <w:numPr>
          <w:ilvl w:val="0"/>
          <w:numId w:val="0"/>
        </w:numPr>
        <w:kinsoku/>
        <w:wordWrap w:val="0"/>
        <w:overflowPunct/>
        <w:topLinePunct w:val="0"/>
        <w:autoSpaceDE/>
        <w:autoSpaceDN/>
        <w:bidi w:val="0"/>
        <w:adjustRightInd/>
        <w:snapToGrid/>
        <w:spacing w:line="440" w:lineRule="exact"/>
        <w:ind w:firstLine="422" w:firstLineChars="200"/>
        <w:textAlignment w:val="baseline"/>
        <w:rPr>
          <w:rFonts w:hint="eastAsia" w:ascii="宋体" w:hAnsi="宋体" w:eastAsia="宋体" w:cs="宋体"/>
          <w:b/>
          <w:bCs/>
          <w:sz w:val="21"/>
          <w:szCs w:val="21"/>
          <w:highlight w:val="none"/>
        </w:rPr>
      </w:pPr>
      <w:r>
        <w:rPr>
          <w:rFonts w:hint="eastAsia" w:ascii="宋体" w:hAnsi="宋体" w:eastAsia="宋体" w:cs="宋体"/>
          <w:b/>
          <w:bCs/>
          <w:kern w:val="2"/>
          <w:sz w:val="21"/>
          <w:szCs w:val="21"/>
          <w:highlight w:val="none"/>
          <w:lang w:val="en-US" w:eastAsia="zh-CN" w:bidi="ar-SA"/>
        </w:rPr>
        <w:t xml:space="preserve">第七条 </w:t>
      </w:r>
      <w:r>
        <w:rPr>
          <w:rFonts w:hint="eastAsia" w:ascii="宋体" w:hAnsi="宋体" w:eastAsia="宋体" w:cs="宋体"/>
          <w:b/>
          <w:bCs/>
          <w:sz w:val="21"/>
          <w:szCs w:val="21"/>
          <w:highlight w:val="none"/>
        </w:rPr>
        <w:t>通知与送达</w:t>
      </w:r>
    </w:p>
    <w:p w14:paraId="1C67F39E">
      <w:pPr>
        <w:keepNext w:val="0"/>
        <w:keepLines w:val="0"/>
        <w:pageBreakBefore w:val="0"/>
        <w:widowControl w:val="0"/>
        <w:kinsoku/>
        <w:wordWrap w:val="0"/>
        <w:overflowPunct/>
        <w:topLinePunct w:val="0"/>
        <w:autoSpaceDE/>
        <w:autoSpaceDN/>
        <w:bidi w:val="0"/>
        <w:adjustRightInd/>
        <w:snapToGrid/>
        <w:spacing w:line="440" w:lineRule="exact"/>
        <w:ind w:firstLine="562"/>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7.1 送达信息</w:t>
      </w:r>
    </w:p>
    <w:p w14:paraId="2715D6CD">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甲方地址：</w:t>
      </w:r>
    </w:p>
    <w:p w14:paraId="6131EC65">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联系人：</w:t>
      </w:r>
    </w:p>
    <w:p w14:paraId="6312ADC7">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联系电话：</w:t>
      </w:r>
    </w:p>
    <w:p w14:paraId="05C3A0BF">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乙方地址： </w:t>
      </w:r>
    </w:p>
    <w:p w14:paraId="2453D1C5">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联系人： </w:t>
      </w:r>
    </w:p>
    <w:p w14:paraId="1EF67AE2">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联系电话：</w:t>
      </w:r>
    </w:p>
    <w:p w14:paraId="25CB0794">
      <w:pPr>
        <w:keepNext w:val="0"/>
        <w:keepLines w:val="0"/>
        <w:pageBreakBefore w:val="0"/>
        <w:widowControl w:val="0"/>
        <w:kinsoku/>
        <w:wordWrap w:val="0"/>
        <w:overflowPunct/>
        <w:topLinePunct w:val="0"/>
        <w:autoSpaceDE/>
        <w:autoSpaceDN/>
        <w:bidi w:val="0"/>
        <w:adjustRightInd/>
        <w:snapToGrid/>
        <w:spacing w:line="440" w:lineRule="exact"/>
        <w:ind w:firstLine="562"/>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7.2 送达方式</w:t>
      </w:r>
    </w:p>
    <w:p w14:paraId="0229EA08">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双方与本合同有关的通知、函件、成果文件等，可采用面交、快递、电子邮件等方式送达：</w:t>
      </w:r>
    </w:p>
    <w:p w14:paraId="4DCC197D">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面交：以签收之日为送达日；</w:t>
      </w:r>
    </w:p>
    <w:p w14:paraId="4E67B9E6">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快递：以物流系统显示签收之日为送达日；</w:t>
      </w:r>
    </w:p>
    <w:p w14:paraId="100F8FF9">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电子邮件：以发送成功并收到确认回执之日为送达日。</w:t>
      </w:r>
    </w:p>
    <w:p w14:paraId="3E66D2BA">
      <w:pPr>
        <w:keepNext w:val="0"/>
        <w:keepLines w:val="0"/>
        <w:pageBreakBefore w:val="0"/>
        <w:widowControl w:val="0"/>
        <w:kinsoku/>
        <w:wordWrap w:val="0"/>
        <w:overflowPunct/>
        <w:topLinePunct w:val="0"/>
        <w:autoSpaceDE/>
        <w:autoSpaceDN/>
        <w:bidi w:val="0"/>
        <w:adjustRightInd/>
        <w:snapToGrid/>
        <w:spacing w:line="440" w:lineRule="exact"/>
        <w:ind w:firstLine="562"/>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第八条 违约责任</w:t>
      </w:r>
    </w:p>
    <w:p w14:paraId="4F4CF6CC">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1.甲方逾期支付咨询服务费时，乙方有权暂停服务，由此产生的延误与损失由甲方承担。</w:t>
      </w:r>
    </w:p>
    <w:p w14:paraId="51CF7665">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2.乙方未按约定完成服务、成果不符合要求且拒不整改的，甲方有权相应扣减服务费。</w:t>
      </w:r>
    </w:p>
    <w:p w14:paraId="3F96A8A8">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3.任何一方擅自转让合同权利义务、严重违反保密义务或根本违约的，守约方有权单方解除合同，并要求违约方承担全部赔偿责任。</w:t>
      </w:r>
    </w:p>
    <w:p w14:paraId="6EBF2A04">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4.因不可抗力、政策重大调整导致合同无法履行的，双方互不承担违约责任，已发生的合理成本由双方协商分担。</w:t>
      </w:r>
    </w:p>
    <w:p w14:paraId="32BE001F">
      <w:pPr>
        <w:keepNext w:val="0"/>
        <w:keepLines w:val="0"/>
        <w:pageBreakBefore w:val="0"/>
        <w:widowControl w:val="0"/>
        <w:kinsoku/>
        <w:wordWrap w:val="0"/>
        <w:overflowPunct/>
        <w:topLinePunct w:val="0"/>
        <w:autoSpaceDE/>
        <w:autoSpaceDN/>
        <w:bidi w:val="0"/>
        <w:adjustRightInd/>
        <w:snapToGrid/>
        <w:spacing w:line="440" w:lineRule="exact"/>
        <w:ind w:firstLine="562"/>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第九条 争议解决</w:t>
      </w:r>
    </w:p>
    <w:p w14:paraId="1002B415">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本合同履行过程中发生争议，双方首先友好协商解决；协商不成的，任何一方均有权向项目所在地人民法院提起诉讼。</w:t>
      </w:r>
    </w:p>
    <w:p w14:paraId="0EF6AC73">
      <w:pPr>
        <w:keepNext w:val="0"/>
        <w:keepLines w:val="0"/>
        <w:pageBreakBefore w:val="0"/>
        <w:widowControl w:val="0"/>
        <w:kinsoku/>
        <w:wordWrap w:val="0"/>
        <w:overflowPunct/>
        <w:topLinePunct w:val="0"/>
        <w:autoSpaceDE/>
        <w:autoSpaceDN/>
        <w:bidi w:val="0"/>
        <w:adjustRightInd/>
        <w:snapToGrid/>
        <w:spacing w:line="440" w:lineRule="exact"/>
        <w:ind w:firstLine="562"/>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第十条 其他条款</w:t>
      </w:r>
    </w:p>
    <w:p w14:paraId="6277EA77">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1.本合同未尽事宜，由双方协商一致后签订书面补充协议。补充协议与本合同具有同等法律效力。</w:t>
      </w:r>
    </w:p>
    <w:p w14:paraId="7B6BD29E">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2.本合同项下的权利义务，未经双方书面同意，不得转让给第三方。</w:t>
      </w:r>
    </w:p>
    <w:p w14:paraId="6E9E7090">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3.本合同部分条款被认定无效的，不影响其他条款的效力。</w:t>
      </w:r>
    </w:p>
    <w:p w14:paraId="529B1A61">
      <w:pPr>
        <w:keepNext w:val="0"/>
        <w:keepLines w:val="0"/>
        <w:pageBreakBefore w:val="0"/>
        <w:widowControl w:val="0"/>
        <w:kinsoku/>
        <w:wordWrap w:val="0"/>
        <w:overflowPunct/>
        <w:topLinePunct w:val="0"/>
        <w:autoSpaceDE/>
        <w:autoSpaceDN/>
        <w:bidi w:val="0"/>
        <w:adjustRightInd/>
        <w:snapToGrid/>
        <w:spacing w:line="440" w:lineRule="exact"/>
        <w:ind w:firstLine="560"/>
        <w:textAlignment w:val="baseline"/>
        <w:rPr>
          <w:rFonts w:hint="eastAsia" w:ascii="宋体" w:hAnsi="宋体" w:eastAsia="宋体" w:cs="宋体"/>
          <w:sz w:val="21"/>
          <w:szCs w:val="21"/>
          <w:highlight w:val="none"/>
        </w:rPr>
      </w:pPr>
      <w:r>
        <w:rPr>
          <w:rFonts w:hint="eastAsia" w:ascii="宋体" w:hAnsi="宋体" w:eastAsia="宋体" w:cs="宋体"/>
          <w:sz w:val="21"/>
          <w:szCs w:val="21"/>
          <w:highlight w:val="none"/>
        </w:rPr>
        <w:t>4.本合同一式【肆】份，甲方执【贰】份，乙方执【贰】份，具有同等法律效力，自双方签字盖章之日起生效。</w:t>
      </w:r>
    </w:p>
    <w:p w14:paraId="2F5FDCFF">
      <w:pPr>
        <w:keepNext w:val="0"/>
        <w:keepLines w:val="0"/>
        <w:pageBreakBefore w:val="0"/>
        <w:kinsoku/>
        <w:overflowPunct/>
        <w:topLinePunct w:val="0"/>
        <w:autoSpaceDE/>
        <w:autoSpaceDN/>
        <w:bidi w:val="0"/>
        <w:adjustRightInd/>
        <w:snapToGrid/>
        <w:spacing w:line="440" w:lineRule="exact"/>
        <w:ind w:left="420" w:leftChars="200" w:firstLine="0" w:firstLineChars="0"/>
        <w:textAlignment w:val="baseline"/>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（以下无正文，为签署页）</w:t>
      </w:r>
    </w:p>
    <w:p w14:paraId="4D7402ED">
      <w:pPr>
        <w:keepNext w:val="0"/>
        <w:keepLines w:val="0"/>
        <w:pageBreakBefore w:val="0"/>
        <w:kinsoku/>
        <w:overflowPunct/>
        <w:topLinePunct w:val="0"/>
        <w:autoSpaceDE/>
        <w:autoSpaceDN/>
        <w:bidi w:val="0"/>
        <w:adjustRightInd/>
        <w:snapToGrid/>
        <w:spacing w:line="440" w:lineRule="exact"/>
        <w:ind w:left="420" w:leftChars="200" w:firstLine="0" w:firstLineChars="0"/>
        <w:rPr>
          <w:rFonts w:ascii="宋体" w:hAnsi="宋体" w:eastAsia="宋体" w:cs="宋体"/>
          <w:b/>
          <w:bCs/>
          <w:sz w:val="21"/>
          <w:szCs w:val="21"/>
          <w:highlight w:val="none"/>
        </w:rPr>
      </w:pPr>
    </w:p>
    <w:p w14:paraId="46EBEEA4">
      <w:pPr>
        <w:keepNext w:val="0"/>
        <w:keepLines w:val="0"/>
        <w:pageBreakBefore w:val="0"/>
        <w:kinsoku/>
        <w:overflowPunct/>
        <w:topLinePunct w:val="0"/>
        <w:autoSpaceDE/>
        <w:autoSpaceDN/>
        <w:bidi w:val="0"/>
        <w:adjustRightInd/>
        <w:snapToGrid/>
        <w:spacing w:line="440" w:lineRule="exact"/>
        <w:ind w:firstLine="0" w:firstLineChars="0"/>
        <w:textAlignment w:val="auto"/>
        <w:rPr>
          <w:rFonts w:ascii="宋体" w:hAnsi="宋体" w:eastAsia="宋体" w:cs="宋体"/>
          <w:b w:val="0"/>
          <w:bCs w:val="0"/>
          <w:sz w:val="21"/>
          <w:szCs w:val="21"/>
          <w:highlight w:val="none"/>
        </w:rPr>
        <w:sectPr>
          <w:footerReference r:id="rId11" w:type="default"/>
          <w:pgSz w:w="11906" w:h="16838"/>
          <w:pgMar w:top="1134" w:right="1134" w:bottom="1134" w:left="1134" w:header="851" w:footer="850" w:gutter="0"/>
          <w:pgNumType w:fmt="decimal"/>
          <w:cols w:space="425" w:num="1"/>
          <w:docGrid w:type="lines" w:linePitch="312" w:charSpace="0"/>
        </w:sectPr>
      </w:pPr>
    </w:p>
    <w:p w14:paraId="39B9C993">
      <w:pPr>
        <w:keepNext w:val="0"/>
        <w:keepLines w:val="0"/>
        <w:pageBreakBefore w:val="0"/>
        <w:kinsoku/>
        <w:overflowPunct/>
        <w:topLinePunct w:val="0"/>
        <w:autoSpaceDE/>
        <w:autoSpaceDN/>
        <w:bidi w:val="0"/>
        <w:adjustRightInd/>
        <w:snapToGrid/>
        <w:spacing w:line="440" w:lineRule="exact"/>
        <w:ind w:firstLine="0" w:firstLineChars="0"/>
        <w:textAlignment w:val="auto"/>
        <w:rPr>
          <w:rFonts w:ascii="宋体" w:hAnsi="宋体" w:eastAsia="宋体" w:cs="宋体"/>
          <w:b w:val="0"/>
          <w:bCs w:val="0"/>
          <w:sz w:val="21"/>
          <w:szCs w:val="21"/>
          <w:highlight w:val="none"/>
        </w:rPr>
      </w:pPr>
      <w:r>
        <w:rPr>
          <w:rFonts w:ascii="宋体" w:hAnsi="宋体" w:eastAsia="宋体" w:cs="宋体"/>
          <w:b w:val="0"/>
          <w:bCs w:val="0"/>
          <w:sz w:val="21"/>
          <w:szCs w:val="21"/>
          <w:highlight w:val="none"/>
        </w:rPr>
        <w:t>甲方（盖章）：</w:t>
      </w:r>
    </w:p>
    <w:p w14:paraId="2F6B0F39">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baseline"/>
        <w:rPr>
          <w:rFonts w:ascii="宋体" w:hAnsi="宋体" w:eastAsia="宋体" w:cs="宋体"/>
          <w:b w:val="0"/>
          <w:bCs w:val="0"/>
          <w:sz w:val="21"/>
          <w:szCs w:val="21"/>
          <w:highlight w:val="none"/>
        </w:rPr>
      </w:pPr>
      <w:r>
        <w:rPr>
          <w:rFonts w:ascii="宋体" w:hAnsi="宋体" w:eastAsia="宋体" w:cs="宋体"/>
          <w:b w:val="0"/>
          <w:bCs w:val="0"/>
          <w:sz w:val="21"/>
          <w:szCs w:val="21"/>
          <w:highlight w:val="none"/>
        </w:rPr>
        <w:t>法定代表人 / 负责人 / 委托代理人（签字</w:t>
      </w:r>
      <w:r>
        <w:rPr>
          <w:rFonts w:hint="eastAsia" w:ascii="宋体" w:hAnsi="宋体" w:eastAsia="宋体" w:cs="宋体"/>
          <w:b w:val="0"/>
          <w:bCs w:val="0"/>
          <w:sz w:val="21"/>
          <w:szCs w:val="21"/>
          <w:highlight w:val="none"/>
        </w:rPr>
        <w:t>或盖章</w:t>
      </w:r>
      <w:r>
        <w:rPr>
          <w:rFonts w:ascii="宋体" w:hAnsi="宋体" w:eastAsia="宋体" w:cs="宋体"/>
          <w:b w:val="0"/>
          <w:bCs w:val="0"/>
          <w:sz w:val="21"/>
          <w:szCs w:val="21"/>
          <w:highlight w:val="none"/>
        </w:rPr>
        <w:t>）：</w:t>
      </w:r>
    </w:p>
    <w:p w14:paraId="6ABC405F">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baseline"/>
        <w:rPr>
          <w:rFonts w:ascii="宋体" w:hAnsi="宋体" w:eastAsia="宋体" w:cs="宋体"/>
          <w:b w:val="0"/>
          <w:bCs w:val="0"/>
          <w:sz w:val="21"/>
          <w:szCs w:val="21"/>
          <w:highlight w:val="none"/>
        </w:rPr>
      </w:pPr>
      <w:r>
        <w:rPr>
          <w:rFonts w:ascii="宋体" w:hAnsi="宋体" w:eastAsia="宋体" w:cs="宋体"/>
          <w:b w:val="0"/>
          <w:bCs w:val="0"/>
          <w:sz w:val="21"/>
          <w:szCs w:val="21"/>
          <w:highlight w:val="none"/>
        </w:rPr>
        <w:t xml:space="preserve">签订日期： </w:t>
      </w:r>
      <w:r>
        <w:rPr>
          <w:rFonts w:hint="eastAsia" w:ascii="宋体" w:hAnsi="宋体" w:eastAsia="宋体" w:cs="宋体"/>
          <w:b w:val="0"/>
          <w:bCs w:val="0"/>
          <w:sz w:val="21"/>
          <w:szCs w:val="21"/>
          <w:highlight w:val="none"/>
        </w:rPr>
        <w:t xml:space="preserve">   </w:t>
      </w:r>
      <w:r>
        <w:rPr>
          <w:rFonts w:ascii="宋体" w:hAnsi="宋体" w:eastAsia="宋体" w:cs="宋体"/>
          <w:b w:val="0"/>
          <w:bCs w:val="0"/>
          <w:sz w:val="21"/>
          <w:szCs w:val="21"/>
          <w:highlight w:val="none"/>
        </w:rPr>
        <w:t xml:space="preserve">年 </w:t>
      </w:r>
      <w:r>
        <w:rPr>
          <w:rFonts w:hint="eastAsia" w:ascii="宋体" w:hAnsi="宋体" w:eastAsia="宋体" w:cs="宋体"/>
          <w:b w:val="0"/>
          <w:bCs w:val="0"/>
          <w:sz w:val="21"/>
          <w:szCs w:val="21"/>
          <w:highlight w:val="none"/>
        </w:rPr>
        <w:t xml:space="preserve">  </w:t>
      </w:r>
      <w:r>
        <w:rPr>
          <w:rFonts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rPr>
        <w:t xml:space="preserve">  </w:t>
      </w:r>
      <w:r>
        <w:rPr>
          <w:rFonts w:ascii="宋体" w:hAnsi="宋体" w:eastAsia="宋体" w:cs="宋体"/>
          <w:b w:val="0"/>
          <w:bCs w:val="0"/>
          <w:sz w:val="21"/>
          <w:szCs w:val="21"/>
          <w:highlight w:val="none"/>
        </w:rPr>
        <w:t xml:space="preserve"> 日</w:t>
      </w:r>
    </w:p>
    <w:p w14:paraId="2C1A8528">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baseline"/>
        <w:rPr>
          <w:rFonts w:ascii="宋体" w:hAnsi="宋体" w:eastAsia="宋体" w:cs="宋体"/>
          <w:b w:val="0"/>
          <w:bCs w:val="0"/>
          <w:sz w:val="21"/>
          <w:szCs w:val="21"/>
          <w:highlight w:val="none"/>
        </w:rPr>
      </w:pPr>
      <w:r>
        <w:rPr>
          <w:rFonts w:ascii="宋体" w:hAnsi="宋体" w:eastAsia="宋体" w:cs="宋体"/>
          <w:b w:val="0"/>
          <w:bCs w:val="0"/>
          <w:sz w:val="21"/>
          <w:szCs w:val="21"/>
          <w:highlight w:val="none"/>
        </w:rPr>
        <w:t>乙方（盖章）：</w:t>
      </w:r>
    </w:p>
    <w:p w14:paraId="3988DAE4">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baseline"/>
        <w:rPr>
          <w:rFonts w:ascii="宋体" w:hAnsi="宋体" w:eastAsia="宋体" w:cs="宋体"/>
          <w:b w:val="0"/>
          <w:bCs w:val="0"/>
          <w:sz w:val="21"/>
          <w:szCs w:val="21"/>
          <w:highlight w:val="none"/>
        </w:rPr>
      </w:pPr>
      <w:r>
        <w:rPr>
          <w:rFonts w:ascii="宋体" w:hAnsi="宋体" w:eastAsia="宋体" w:cs="宋体"/>
          <w:b w:val="0"/>
          <w:bCs w:val="0"/>
          <w:sz w:val="21"/>
          <w:szCs w:val="21"/>
          <w:highlight w:val="none"/>
        </w:rPr>
        <w:t>法定代表人 / 负责人 / 委托代理人（签字</w:t>
      </w:r>
      <w:r>
        <w:rPr>
          <w:rFonts w:hint="eastAsia" w:ascii="宋体" w:hAnsi="宋体" w:eastAsia="宋体" w:cs="宋体"/>
          <w:b w:val="0"/>
          <w:bCs w:val="0"/>
          <w:sz w:val="21"/>
          <w:szCs w:val="21"/>
          <w:highlight w:val="none"/>
        </w:rPr>
        <w:t>或盖章</w:t>
      </w:r>
      <w:r>
        <w:rPr>
          <w:rFonts w:ascii="宋体" w:hAnsi="宋体" w:eastAsia="宋体" w:cs="宋体"/>
          <w:b w:val="0"/>
          <w:bCs w:val="0"/>
          <w:sz w:val="21"/>
          <w:szCs w:val="21"/>
          <w:highlight w:val="none"/>
        </w:rPr>
        <w:t>）：</w:t>
      </w:r>
    </w:p>
    <w:p w14:paraId="1299F9CD">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textAlignment w:val="baseline"/>
        <w:rPr>
          <w:rFonts w:ascii="宋体" w:hAnsi="宋体" w:eastAsia="宋体" w:cs="宋体"/>
          <w:b w:val="0"/>
          <w:bCs w:val="0"/>
          <w:sz w:val="21"/>
          <w:szCs w:val="21"/>
          <w:highlight w:val="none"/>
        </w:rPr>
      </w:pPr>
      <w:r>
        <w:rPr>
          <w:rFonts w:ascii="宋体" w:hAnsi="宋体" w:eastAsia="宋体" w:cs="宋体"/>
          <w:b w:val="0"/>
          <w:bCs w:val="0"/>
          <w:sz w:val="21"/>
          <w:szCs w:val="21"/>
          <w:highlight w:val="none"/>
        </w:rPr>
        <w:t xml:space="preserve">签订日期： </w:t>
      </w:r>
      <w:r>
        <w:rPr>
          <w:rFonts w:hint="eastAsia" w:ascii="宋体" w:hAnsi="宋体" w:eastAsia="宋体" w:cs="宋体"/>
          <w:b w:val="0"/>
          <w:bCs w:val="0"/>
          <w:sz w:val="21"/>
          <w:szCs w:val="21"/>
          <w:highlight w:val="none"/>
        </w:rPr>
        <w:t xml:space="preserve">   </w:t>
      </w:r>
      <w:r>
        <w:rPr>
          <w:rFonts w:ascii="宋体" w:hAnsi="宋体" w:eastAsia="宋体" w:cs="宋体"/>
          <w:b w:val="0"/>
          <w:bCs w:val="0"/>
          <w:sz w:val="21"/>
          <w:szCs w:val="21"/>
          <w:highlight w:val="none"/>
        </w:rPr>
        <w:t xml:space="preserve">年 </w:t>
      </w:r>
      <w:r>
        <w:rPr>
          <w:rFonts w:hint="eastAsia" w:ascii="宋体" w:hAnsi="宋体" w:eastAsia="宋体" w:cs="宋体"/>
          <w:b w:val="0"/>
          <w:bCs w:val="0"/>
          <w:sz w:val="21"/>
          <w:szCs w:val="21"/>
          <w:highlight w:val="none"/>
        </w:rPr>
        <w:t xml:space="preserve">  </w:t>
      </w:r>
      <w:r>
        <w:rPr>
          <w:rFonts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rPr>
        <w:t xml:space="preserve">  </w:t>
      </w:r>
      <w:r>
        <w:rPr>
          <w:rFonts w:ascii="宋体" w:hAnsi="宋体" w:eastAsia="宋体" w:cs="宋体"/>
          <w:b w:val="0"/>
          <w:bCs w:val="0"/>
          <w:sz w:val="21"/>
          <w:szCs w:val="21"/>
          <w:highlight w:val="none"/>
        </w:rPr>
        <w:t xml:space="preserve"> 日</w:t>
      </w:r>
    </w:p>
    <w:p w14:paraId="2E2D4948">
      <w:pPr>
        <w:keepNext w:val="0"/>
        <w:keepLines w:val="0"/>
        <w:pageBreakBefore w:val="0"/>
        <w:kinsoku/>
        <w:overflowPunct/>
        <w:topLinePunct w:val="0"/>
        <w:autoSpaceDE/>
        <w:autoSpaceDN/>
        <w:bidi w:val="0"/>
        <w:adjustRightInd/>
        <w:snapToGrid/>
        <w:spacing w:line="440" w:lineRule="exact"/>
        <w:ind w:firstLine="560"/>
        <w:rPr>
          <w:rFonts w:ascii="宋体" w:hAnsi="宋体" w:eastAsia="宋体" w:cs="宋体"/>
          <w:sz w:val="21"/>
          <w:szCs w:val="21"/>
          <w:highlight w:val="none"/>
        </w:rPr>
        <w:sectPr>
          <w:type w:val="continuous"/>
          <w:pgSz w:w="11906" w:h="16838"/>
          <w:pgMar w:top="1134" w:right="1134" w:bottom="1134" w:left="1134" w:header="851" w:footer="850" w:gutter="0"/>
          <w:pgNumType w:fmt="decimal"/>
          <w:cols w:equalWidth="0" w:num="2">
            <w:col w:w="4606" w:space="425"/>
            <w:col w:w="4606"/>
          </w:cols>
          <w:docGrid w:type="lines" w:linePitch="312" w:charSpace="0"/>
        </w:sectPr>
      </w:pPr>
    </w:p>
    <w:p w14:paraId="568CBF7E">
      <w:pPr>
        <w:spacing w:line="240" w:lineRule="auto"/>
        <w:ind w:firstLine="560"/>
        <w:rPr>
          <w:rFonts w:ascii="宋体" w:hAnsi="宋体" w:eastAsia="宋体" w:cs="宋体"/>
          <w:highlight w:val="none"/>
        </w:rPr>
      </w:pPr>
    </w:p>
    <w:p w14:paraId="2DD43F15">
      <w:pPr>
        <w:spacing w:line="240" w:lineRule="auto"/>
        <w:ind w:left="420" w:leftChars="200" w:firstLine="0" w:firstLineChars="0"/>
        <w:rPr>
          <w:rFonts w:ascii="宋体" w:hAnsi="宋体" w:eastAsia="宋体" w:cs="宋体"/>
          <w:b/>
          <w:bCs/>
          <w:highlight w:val="none"/>
        </w:rPr>
      </w:pPr>
    </w:p>
    <w:p w14:paraId="5E5970BB">
      <w:pPr>
        <w:rPr>
          <w:rFonts w:hint="eastAsia" w:ascii="宋体" w:hAnsi="宋体" w:eastAsia="宋体" w:cs="宋体"/>
          <w:b/>
          <w:kern w:val="0"/>
          <w:sz w:val="32"/>
          <w:szCs w:val="32"/>
          <w:highlight w:val="none"/>
          <w:shd w:val="clear" w:color="auto" w:fill="FFFFFF"/>
        </w:rPr>
      </w:pPr>
      <w:r>
        <w:rPr>
          <w:rFonts w:hint="eastAsia" w:ascii="宋体" w:hAnsi="宋体" w:eastAsia="宋体" w:cs="宋体"/>
          <w:b/>
          <w:kern w:val="0"/>
          <w:sz w:val="32"/>
          <w:szCs w:val="32"/>
          <w:highlight w:val="none"/>
          <w:shd w:val="clear" w:color="auto" w:fill="FFFFFF"/>
        </w:rPr>
        <w:br w:type="page"/>
      </w:r>
    </w:p>
    <w:p w14:paraId="0D99289A">
      <w:pPr>
        <w:keepNext/>
        <w:keepLines/>
        <w:spacing w:before="340" w:after="330" w:line="576" w:lineRule="auto"/>
        <w:jc w:val="center"/>
        <w:outlineLvl w:val="0"/>
        <w:rPr>
          <w:rFonts w:hint="eastAsia" w:ascii="宋体" w:hAnsi="宋体" w:eastAsia="宋体" w:cs="宋体"/>
          <w:b/>
          <w:kern w:val="0"/>
          <w:sz w:val="32"/>
          <w:szCs w:val="32"/>
          <w:highlight w:val="none"/>
          <w:shd w:val="clear" w:color="auto" w:fill="FFFFFF"/>
        </w:rPr>
      </w:pPr>
      <w:bookmarkStart w:id="731" w:name="_Toc14587"/>
      <w:bookmarkStart w:id="732" w:name="_Toc2952"/>
      <w:r>
        <w:rPr>
          <w:rFonts w:hint="eastAsia" w:ascii="宋体" w:hAnsi="宋体" w:eastAsia="宋体" w:cs="宋体"/>
          <w:b/>
          <w:kern w:val="0"/>
          <w:sz w:val="32"/>
          <w:szCs w:val="32"/>
          <w:highlight w:val="none"/>
          <w:shd w:val="clear" w:color="auto" w:fill="FFFFFF"/>
        </w:rPr>
        <w:t>第六章  响应文件格式</w:t>
      </w:r>
      <w:bookmarkEnd w:id="730"/>
      <w:bookmarkEnd w:id="731"/>
      <w:bookmarkEnd w:id="732"/>
    </w:p>
    <w:p w14:paraId="61881036">
      <w:pPr>
        <w:spacing w:line="360" w:lineRule="auto"/>
        <w:jc w:val="center"/>
        <w:rPr>
          <w:rFonts w:hint="eastAsia" w:ascii="宋体" w:hAnsi="宋体" w:eastAsia="宋体" w:cs="宋体"/>
          <w:sz w:val="44"/>
          <w:szCs w:val="44"/>
          <w:highlight w:val="none"/>
        </w:rPr>
      </w:pPr>
    </w:p>
    <w:p w14:paraId="3BE2CE7F">
      <w:pPr>
        <w:jc w:val="center"/>
        <w:rPr>
          <w:rFonts w:hint="eastAsia" w:ascii="宋体" w:hAnsi="宋体" w:eastAsia="宋体" w:cs="宋体"/>
          <w:b/>
          <w:bCs/>
          <w:sz w:val="28"/>
          <w:szCs w:val="32"/>
          <w:highlight w:val="none"/>
        </w:rPr>
      </w:pPr>
      <w:r>
        <w:rPr>
          <w:rFonts w:hint="eastAsia" w:ascii="宋体" w:hAnsi="宋体" w:eastAsia="宋体" w:cs="宋体"/>
          <w:b/>
          <w:bCs/>
          <w:sz w:val="28"/>
          <w:szCs w:val="32"/>
          <w:highlight w:val="none"/>
        </w:rPr>
        <w:t xml:space="preserve">（项目名称）  </w:t>
      </w:r>
    </w:p>
    <w:p w14:paraId="0718A0AD">
      <w:pPr>
        <w:spacing w:line="480" w:lineRule="atLeast"/>
        <w:ind w:firstLine="567"/>
        <w:textAlignment w:val="baseline"/>
        <w:rPr>
          <w:rFonts w:hint="eastAsia" w:ascii="宋体" w:hAnsi="宋体" w:eastAsia="宋体" w:cs="宋体"/>
          <w:sz w:val="28"/>
          <w:szCs w:val="28"/>
          <w:highlight w:val="none"/>
        </w:rPr>
      </w:pPr>
    </w:p>
    <w:p w14:paraId="56D8CBB6">
      <w:pPr>
        <w:spacing w:line="480" w:lineRule="atLeast"/>
        <w:ind w:firstLine="567"/>
        <w:textAlignment w:val="baseline"/>
        <w:rPr>
          <w:rFonts w:hint="eastAsia" w:ascii="宋体" w:hAnsi="宋体" w:eastAsia="宋体" w:cs="宋体"/>
          <w:sz w:val="28"/>
          <w:szCs w:val="28"/>
          <w:highlight w:val="none"/>
        </w:rPr>
      </w:pPr>
    </w:p>
    <w:p w14:paraId="560BEE2A">
      <w:pPr>
        <w:spacing w:line="360" w:lineRule="auto"/>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响应文件</w:t>
      </w:r>
    </w:p>
    <w:p w14:paraId="22BCB46D">
      <w:pPr>
        <w:widowControl/>
        <w:spacing w:line="360" w:lineRule="auto"/>
        <w:rPr>
          <w:rFonts w:hint="eastAsia" w:ascii="宋体" w:hAnsi="宋体" w:eastAsia="宋体" w:cs="宋体"/>
          <w:b/>
          <w:bCs/>
          <w:kern w:val="0"/>
          <w:sz w:val="30"/>
          <w:szCs w:val="30"/>
          <w:highlight w:val="none"/>
        </w:rPr>
      </w:pPr>
    </w:p>
    <w:p w14:paraId="3C62740B">
      <w:pPr>
        <w:jc w:val="center"/>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项目编号：</w:t>
      </w:r>
    </w:p>
    <w:p w14:paraId="280A978C">
      <w:pPr>
        <w:jc w:val="center"/>
        <w:rPr>
          <w:rFonts w:hint="eastAsia" w:ascii="宋体" w:hAnsi="宋体" w:eastAsia="宋体" w:cs="宋体"/>
          <w:b/>
          <w:bCs/>
          <w:sz w:val="30"/>
          <w:szCs w:val="30"/>
          <w:highlight w:val="none"/>
        </w:rPr>
      </w:pPr>
      <w:r>
        <w:rPr>
          <w:rFonts w:hint="eastAsia" w:ascii="宋体" w:hAnsi="宋体" w:eastAsia="宋体" w:cs="宋体"/>
          <w:b/>
          <w:bCs/>
          <w:kern w:val="0"/>
          <w:sz w:val="32"/>
          <w:szCs w:val="32"/>
          <w:highlight w:val="none"/>
        </w:rPr>
        <w:t xml:space="preserve">      </w:t>
      </w:r>
    </w:p>
    <w:p w14:paraId="3964AFA0">
      <w:pPr>
        <w:widowControl/>
        <w:spacing w:line="360" w:lineRule="auto"/>
        <w:jc w:val="center"/>
        <w:rPr>
          <w:rFonts w:hint="eastAsia" w:ascii="宋体" w:hAnsi="宋体" w:eastAsia="宋体" w:cs="宋体"/>
          <w:b/>
          <w:bCs/>
          <w:sz w:val="28"/>
          <w:szCs w:val="28"/>
          <w:highlight w:val="none"/>
        </w:rPr>
      </w:pPr>
    </w:p>
    <w:p w14:paraId="66B257D4">
      <w:pPr>
        <w:spacing w:line="480" w:lineRule="atLeast"/>
        <w:ind w:firstLine="567"/>
        <w:textAlignment w:val="baseline"/>
        <w:rPr>
          <w:rFonts w:hint="eastAsia" w:ascii="宋体" w:hAnsi="宋体" w:eastAsia="宋体" w:cs="宋体"/>
          <w:sz w:val="28"/>
          <w:szCs w:val="28"/>
          <w:highlight w:val="none"/>
        </w:rPr>
      </w:pPr>
      <w:r>
        <w:rPr>
          <w:rFonts w:hint="eastAsia" w:ascii="宋体" w:hAnsi="宋体" w:eastAsia="宋体" w:cs="宋体"/>
          <w:sz w:val="28"/>
          <w:szCs w:val="28"/>
          <w:highlight w:val="none"/>
        </w:rPr>
        <w:tab/>
      </w:r>
      <w:r>
        <w:rPr>
          <w:rFonts w:hint="eastAsia" w:ascii="宋体" w:hAnsi="宋体" w:eastAsia="宋体" w:cs="宋体"/>
          <w:sz w:val="28"/>
          <w:szCs w:val="28"/>
          <w:highlight w:val="none"/>
        </w:rPr>
        <w:tab/>
      </w:r>
    </w:p>
    <w:p w14:paraId="62E03D86">
      <w:pPr>
        <w:spacing w:before="100" w:beforeAutospacing="1" w:after="120" w:line="360" w:lineRule="auto"/>
        <w:ind w:left="420" w:firstLine="420"/>
        <w:rPr>
          <w:rFonts w:hint="eastAsia" w:ascii="宋体" w:hAnsi="宋体" w:eastAsia="宋体" w:cs="宋体"/>
          <w:kern w:val="0"/>
          <w:sz w:val="20"/>
          <w:szCs w:val="21"/>
          <w:highlight w:val="none"/>
        </w:rPr>
      </w:pPr>
    </w:p>
    <w:p w14:paraId="4FA531E5">
      <w:pPr>
        <w:spacing w:line="360" w:lineRule="auto"/>
        <w:rPr>
          <w:rFonts w:hint="eastAsia" w:ascii="宋体" w:hAnsi="宋体" w:eastAsia="宋体" w:cs="宋体"/>
          <w:kern w:val="0"/>
          <w:sz w:val="18"/>
          <w:szCs w:val="18"/>
          <w:highlight w:val="none"/>
          <w:shd w:val="clear" w:color="auto" w:fill="FFFFFF"/>
        </w:rPr>
      </w:pPr>
    </w:p>
    <w:p w14:paraId="0F77ED78">
      <w:pPr>
        <w:spacing w:line="360" w:lineRule="auto"/>
        <w:ind w:firstLine="420"/>
        <w:rPr>
          <w:rFonts w:hint="eastAsia" w:ascii="宋体" w:hAnsi="宋体" w:eastAsia="宋体" w:cs="宋体"/>
          <w:b/>
          <w:kern w:val="1"/>
          <w:sz w:val="24"/>
          <w:szCs w:val="21"/>
          <w:highlight w:val="none"/>
        </w:rPr>
      </w:pPr>
    </w:p>
    <w:p w14:paraId="06DDCED1">
      <w:pPr>
        <w:widowControl/>
        <w:shd w:val="clear"/>
        <w:spacing w:line="360" w:lineRule="auto"/>
        <w:ind w:firstLine="1701" w:firstLineChars="605"/>
        <w:jc w:val="left"/>
        <w:rPr>
          <w:rFonts w:hint="eastAsia" w:ascii="宋体" w:hAnsi="宋体" w:eastAsia="宋体" w:cs="宋体"/>
          <w:b/>
          <w:bCs/>
          <w:kern w:val="0"/>
          <w:sz w:val="28"/>
          <w:szCs w:val="28"/>
          <w:highlight w:val="none"/>
          <w:shd w:val="clear" w:color="auto" w:fill="FFFFFF"/>
        </w:rPr>
      </w:pPr>
      <w:r>
        <w:rPr>
          <w:rFonts w:hint="eastAsia" w:ascii="宋体" w:hAnsi="宋体" w:eastAsia="宋体" w:cs="宋体"/>
          <w:b/>
          <w:bCs/>
          <w:kern w:val="0"/>
          <w:sz w:val="28"/>
          <w:szCs w:val="28"/>
          <w:highlight w:val="none"/>
          <w:shd w:val="clear" w:color="auto" w:fill="FFFFFF"/>
        </w:rPr>
        <w:t>供应商：</w:t>
      </w:r>
      <w:r>
        <w:rPr>
          <w:rFonts w:hint="eastAsia" w:ascii="宋体" w:hAnsi="宋体" w:eastAsia="宋体" w:cs="宋体"/>
          <w:b/>
          <w:bCs/>
          <w:kern w:val="0"/>
          <w:sz w:val="28"/>
          <w:szCs w:val="28"/>
          <w:highlight w:val="none"/>
          <w:u w:val="single"/>
          <w:shd w:val="clear" w:color="auto" w:fill="FFFFFF"/>
          <w:lang w:val="en-US" w:eastAsia="zh-CN"/>
        </w:rPr>
        <w:t xml:space="preserve">                       </w:t>
      </w:r>
      <w:r>
        <w:rPr>
          <w:rFonts w:hint="eastAsia" w:ascii="宋体" w:hAnsi="宋体" w:eastAsia="宋体" w:cs="宋体"/>
          <w:b/>
          <w:bCs/>
          <w:kern w:val="0"/>
          <w:sz w:val="28"/>
          <w:szCs w:val="28"/>
          <w:highlight w:val="none"/>
          <w:shd w:val="clear" w:color="auto" w:fill="FFFFFF"/>
        </w:rPr>
        <w:t>（盖单位公章）</w:t>
      </w:r>
    </w:p>
    <w:p w14:paraId="0653E093">
      <w:pPr>
        <w:widowControl/>
        <w:shd w:val="clear"/>
        <w:spacing w:line="360" w:lineRule="auto"/>
        <w:ind w:firstLine="1701" w:firstLineChars="605"/>
        <w:jc w:val="left"/>
        <w:rPr>
          <w:rFonts w:hint="eastAsia" w:ascii="宋体" w:hAnsi="宋体" w:eastAsia="宋体" w:cs="宋体"/>
          <w:b/>
          <w:bCs/>
          <w:kern w:val="0"/>
          <w:sz w:val="28"/>
          <w:szCs w:val="28"/>
          <w:highlight w:val="none"/>
          <w:shd w:val="clear" w:color="auto" w:fill="FFFFFF"/>
        </w:rPr>
      </w:pPr>
      <w:r>
        <w:rPr>
          <w:rFonts w:hint="eastAsia" w:ascii="宋体" w:hAnsi="宋体" w:eastAsia="宋体" w:cs="宋体"/>
          <w:b/>
          <w:bCs/>
          <w:kern w:val="0"/>
          <w:sz w:val="28"/>
          <w:szCs w:val="28"/>
          <w:highlight w:val="none"/>
          <w:shd w:val="clear" w:color="auto" w:fill="FFFFFF"/>
        </w:rPr>
        <w:t>法定代表人或委托代理人：</w:t>
      </w:r>
      <w:r>
        <w:rPr>
          <w:rFonts w:hint="eastAsia" w:ascii="宋体" w:hAnsi="宋体" w:eastAsia="宋体" w:cs="宋体"/>
          <w:b/>
          <w:bCs/>
          <w:kern w:val="0"/>
          <w:sz w:val="28"/>
          <w:szCs w:val="28"/>
          <w:highlight w:val="none"/>
          <w:u w:val="single"/>
          <w:shd w:val="clear" w:color="auto" w:fill="FFFFFF"/>
          <w:lang w:val="en-US" w:eastAsia="zh-CN"/>
        </w:rPr>
        <w:t xml:space="preserve">       </w:t>
      </w:r>
      <w:r>
        <w:rPr>
          <w:rFonts w:hint="eastAsia" w:ascii="宋体" w:hAnsi="宋体" w:eastAsia="宋体" w:cs="宋体"/>
          <w:b/>
          <w:bCs/>
          <w:kern w:val="0"/>
          <w:sz w:val="28"/>
          <w:szCs w:val="28"/>
          <w:highlight w:val="none"/>
          <w:shd w:val="clear" w:color="auto" w:fill="FFFFFF"/>
        </w:rPr>
        <w:t>（签字或盖章）</w:t>
      </w:r>
    </w:p>
    <w:p w14:paraId="5ADB272A">
      <w:pPr>
        <w:widowControl/>
        <w:shd w:val="clear"/>
        <w:spacing w:line="360" w:lineRule="auto"/>
        <w:ind w:firstLine="1701" w:firstLineChars="605"/>
        <w:jc w:val="left"/>
        <w:rPr>
          <w:rFonts w:hint="eastAsia" w:ascii="宋体" w:hAnsi="宋体" w:eastAsia="宋体" w:cs="宋体"/>
          <w:b/>
          <w:bCs/>
          <w:kern w:val="0"/>
          <w:sz w:val="28"/>
          <w:szCs w:val="28"/>
          <w:highlight w:val="none"/>
          <w:shd w:val="clear" w:color="auto" w:fill="FFFFFF"/>
          <w:lang w:eastAsia="zh-CN"/>
        </w:rPr>
      </w:pPr>
      <w:r>
        <w:rPr>
          <w:rFonts w:hint="eastAsia" w:ascii="宋体" w:hAnsi="宋体" w:eastAsia="宋体" w:cs="宋体"/>
          <w:b/>
          <w:bCs/>
          <w:kern w:val="0"/>
          <w:sz w:val="28"/>
          <w:szCs w:val="28"/>
          <w:highlight w:val="none"/>
          <w:shd w:val="clear" w:color="auto" w:fill="FFFFFF"/>
        </w:rPr>
        <w:t>日      期：</w:t>
      </w:r>
      <w:bookmarkStart w:id="733" w:name="_Toc171073044"/>
      <w:bookmarkEnd w:id="733"/>
      <w:bookmarkStart w:id="734" w:name="_Toc171073209"/>
      <w:bookmarkEnd w:id="734"/>
      <w:bookmarkStart w:id="735" w:name="_Toc223432389"/>
      <w:bookmarkEnd w:id="735"/>
      <w:bookmarkStart w:id="736" w:name="_Toc169921409"/>
      <w:bookmarkEnd w:id="736"/>
      <w:r>
        <w:rPr>
          <w:rFonts w:hint="eastAsia" w:ascii="宋体" w:hAnsi="宋体" w:eastAsia="宋体" w:cs="宋体"/>
          <w:b/>
          <w:bCs/>
          <w:kern w:val="0"/>
          <w:sz w:val="28"/>
          <w:szCs w:val="28"/>
          <w:highlight w:val="none"/>
          <w:shd w:val="clear" w:color="auto" w:fill="FFFFFF"/>
          <w:lang w:val="en-US" w:eastAsia="zh-CN"/>
        </w:rPr>
        <w:t xml:space="preserve">  </w:t>
      </w:r>
      <w:r>
        <w:rPr>
          <w:rFonts w:hint="eastAsia" w:ascii="宋体" w:hAnsi="宋体" w:eastAsia="宋体" w:cs="宋体"/>
          <w:b/>
          <w:bCs/>
          <w:kern w:val="0"/>
          <w:sz w:val="28"/>
          <w:szCs w:val="28"/>
          <w:highlight w:val="none"/>
          <w:shd w:val="clear" w:color="auto" w:fill="FFFFFF"/>
          <w:lang w:eastAsia="zh-CN"/>
        </w:rPr>
        <w:t>年</w:t>
      </w:r>
      <w:r>
        <w:rPr>
          <w:rFonts w:hint="eastAsia" w:ascii="宋体" w:hAnsi="宋体" w:eastAsia="宋体" w:cs="宋体"/>
          <w:b/>
          <w:bCs/>
          <w:kern w:val="0"/>
          <w:sz w:val="28"/>
          <w:szCs w:val="28"/>
          <w:highlight w:val="none"/>
          <w:shd w:val="clear" w:color="auto" w:fill="FFFFFF"/>
          <w:lang w:val="en-US" w:eastAsia="zh-CN"/>
        </w:rPr>
        <w:t xml:space="preserve">  </w:t>
      </w:r>
      <w:r>
        <w:rPr>
          <w:rFonts w:hint="eastAsia" w:ascii="宋体" w:hAnsi="宋体" w:eastAsia="宋体" w:cs="宋体"/>
          <w:b/>
          <w:bCs/>
          <w:kern w:val="0"/>
          <w:sz w:val="28"/>
          <w:szCs w:val="28"/>
          <w:highlight w:val="none"/>
          <w:shd w:val="clear" w:color="auto" w:fill="FFFFFF"/>
          <w:lang w:eastAsia="zh-CN"/>
        </w:rPr>
        <w:t>月</w:t>
      </w:r>
      <w:r>
        <w:rPr>
          <w:rFonts w:hint="eastAsia" w:ascii="宋体" w:hAnsi="宋体" w:eastAsia="宋体" w:cs="宋体"/>
          <w:b/>
          <w:bCs/>
          <w:kern w:val="0"/>
          <w:sz w:val="28"/>
          <w:szCs w:val="28"/>
          <w:highlight w:val="none"/>
          <w:shd w:val="clear" w:color="auto" w:fill="FFFFFF"/>
          <w:lang w:val="en-US" w:eastAsia="zh-CN"/>
        </w:rPr>
        <w:t xml:space="preserve">  </w:t>
      </w:r>
      <w:r>
        <w:rPr>
          <w:rFonts w:hint="eastAsia" w:ascii="宋体" w:hAnsi="宋体" w:eastAsia="宋体" w:cs="宋体"/>
          <w:b/>
          <w:bCs/>
          <w:kern w:val="0"/>
          <w:sz w:val="28"/>
          <w:szCs w:val="28"/>
          <w:highlight w:val="none"/>
          <w:shd w:val="clear" w:color="auto" w:fill="FFFFFF"/>
          <w:lang w:eastAsia="zh-CN"/>
        </w:rPr>
        <w:t>日</w:t>
      </w:r>
    </w:p>
    <w:p w14:paraId="06AF9A9B">
      <w:pPr>
        <w:spacing w:after="120"/>
        <w:ind w:left="1470" w:leftChars="700" w:right="1470" w:rightChars="700"/>
        <w:rPr>
          <w:rFonts w:hint="eastAsia" w:ascii="宋体" w:hAnsi="宋体" w:eastAsia="宋体" w:cs="宋体"/>
          <w:sz w:val="28"/>
          <w:szCs w:val="28"/>
          <w:highlight w:val="none"/>
        </w:rPr>
      </w:pPr>
      <w:r>
        <w:rPr>
          <w:rFonts w:hint="eastAsia" w:ascii="宋体" w:hAnsi="宋体" w:eastAsia="宋体" w:cs="宋体"/>
          <w:szCs w:val="21"/>
          <w:highlight w:val="none"/>
          <w:shd w:val="clear" w:color="auto" w:fill="FFFFFF"/>
        </w:rPr>
        <w:br w:type="page"/>
      </w:r>
    </w:p>
    <w:p w14:paraId="19CAEB40">
      <w:pPr>
        <w:widowControl/>
        <w:spacing w:line="360" w:lineRule="auto"/>
        <w:jc w:val="center"/>
        <w:rPr>
          <w:rFonts w:hint="eastAsia" w:ascii="宋体" w:hAnsi="宋体" w:eastAsia="宋体" w:cs="宋体"/>
          <w:kern w:val="0"/>
          <w:sz w:val="32"/>
          <w:szCs w:val="32"/>
          <w:highlight w:val="none"/>
        </w:rPr>
      </w:pPr>
      <w:r>
        <w:rPr>
          <w:rFonts w:hint="eastAsia" w:ascii="宋体" w:hAnsi="宋体" w:eastAsia="宋体" w:cs="宋体"/>
          <w:kern w:val="0"/>
          <w:sz w:val="32"/>
          <w:szCs w:val="32"/>
          <w:highlight w:val="none"/>
        </w:rPr>
        <w:t>目录</w:t>
      </w:r>
    </w:p>
    <w:p w14:paraId="18AFBFE8">
      <w:pPr>
        <w:widowControl/>
        <w:spacing w:line="360" w:lineRule="auto"/>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自拟</w:t>
      </w:r>
    </w:p>
    <w:p w14:paraId="3BD4085D">
      <w:pPr>
        <w:jc w:val="center"/>
        <w:outlineLvl w:val="1"/>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rPr>
        <w:br w:type="page"/>
      </w:r>
      <w:bookmarkStart w:id="737" w:name="_Toc7886"/>
      <w:bookmarkStart w:id="738" w:name="_Toc4228"/>
      <w:r>
        <w:rPr>
          <w:rFonts w:hint="eastAsia" w:ascii="宋体" w:hAnsi="宋体" w:eastAsia="宋体" w:cs="宋体"/>
          <w:b/>
          <w:bCs/>
          <w:sz w:val="32"/>
          <w:szCs w:val="32"/>
          <w:highlight w:val="none"/>
          <w:lang w:eastAsia="zh-CN"/>
        </w:rPr>
        <w:t>一、</w:t>
      </w:r>
      <w:r>
        <w:rPr>
          <w:rFonts w:hint="eastAsia" w:ascii="宋体" w:hAnsi="宋体" w:eastAsia="宋体" w:cs="宋体"/>
          <w:b/>
          <w:bCs/>
          <w:color w:val="auto"/>
          <w:sz w:val="28"/>
          <w:szCs w:val="28"/>
          <w:highlight w:val="none"/>
          <w:lang w:eastAsia="zh-CN" w:bidi="ar"/>
        </w:rPr>
        <w:t>响应</w:t>
      </w:r>
      <w:r>
        <w:rPr>
          <w:rFonts w:hint="eastAsia" w:ascii="宋体" w:hAnsi="宋体" w:eastAsia="宋体" w:cs="宋体"/>
          <w:b/>
          <w:bCs/>
          <w:color w:val="auto"/>
          <w:sz w:val="28"/>
          <w:szCs w:val="28"/>
          <w:highlight w:val="none"/>
          <w:lang w:bidi="ar"/>
        </w:rPr>
        <w:t>函及</w:t>
      </w:r>
      <w:r>
        <w:rPr>
          <w:rFonts w:hint="eastAsia" w:ascii="宋体" w:hAnsi="宋体" w:eastAsia="宋体" w:cs="宋体"/>
          <w:b/>
          <w:bCs/>
          <w:color w:val="auto"/>
          <w:sz w:val="28"/>
          <w:szCs w:val="28"/>
          <w:highlight w:val="none"/>
          <w:lang w:eastAsia="zh-CN" w:bidi="ar"/>
        </w:rPr>
        <w:t>响应</w:t>
      </w:r>
      <w:r>
        <w:rPr>
          <w:rFonts w:hint="eastAsia" w:ascii="宋体" w:hAnsi="宋体" w:eastAsia="宋体" w:cs="宋体"/>
          <w:b/>
          <w:bCs/>
          <w:color w:val="auto"/>
          <w:sz w:val="28"/>
          <w:szCs w:val="28"/>
          <w:highlight w:val="none"/>
          <w:lang w:bidi="ar"/>
        </w:rPr>
        <w:t>函附录</w:t>
      </w:r>
      <w:bookmarkEnd w:id="737"/>
      <w:bookmarkEnd w:id="738"/>
    </w:p>
    <w:p w14:paraId="1ED03549">
      <w:pPr>
        <w:spacing w:beforeLines="100" w:afterLines="50" w:line="360" w:lineRule="exact"/>
        <w:jc w:val="center"/>
        <w:textAlignment w:val="center"/>
        <w:outlineLvl w:val="9"/>
        <w:rPr>
          <w:rFonts w:hint="eastAsia" w:ascii="宋体" w:hAnsi="宋体" w:eastAsia="宋体" w:cs="宋体"/>
          <w:spacing w:val="24"/>
          <w:sz w:val="24"/>
          <w:szCs w:val="24"/>
          <w:highlight w:val="none"/>
        </w:rPr>
      </w:pPr>
      <w:bookmarkStart w:id="739" w:name="_Toc6737"/>
      <w:bookmarkStart w:id="740" w:name="_Toc9148"/>
      <w:bookmarkStart w:id="741" w:name="_Toc28632"/>
      <w:bookmarkStart w:id="742" w:name="_Toc30043"/>
      <w:bookmarkStart w:id="743" w:name="_Toc20749"/>
      <w:r>
        <w:rPr>
          <w:rFonts w:hint="eastAsia" w:ascii="宋体" w:hAnsi="宋体" w:eastAsia="宋体" w:cs="宋体"/>
          <w:color w:val="auto"/>
          <w:sz w:val="24"/>
          <w:highlight w:val="none"/>
          <w:lang w:bidi="ar"/>
        </w:rPr>
        <w:t>（一）</w:t>
      </w:r>
      <w:r>
        <w:rPr>
          <w:rFonts w:hint="eastAsia" w:ascii="宋体" w:hAnsi="宋体" w:eastAsia="宋体" w:cs="宋体"/>
          <w:color w:val="auto"/>
          <w:sz w:val="24"/>
          <w:highlight w:val="none"/>
          <w:lang w:eastAsia="zh-CN" w:bidi="ar"/>
        </w:rPr>
        <w:t>响应</w:t>
      </w:r>
      <w:r>
        <w:rPr>
          <w:rFonts w:hint="eastAsia" w:ascii="宋体" w:hAnsi="宋体" w:eastAsia="宋体" w:cs="宋体"/>
          <w:color w:val="auto"/>
          <w:sz w:val="24"/>
          <w:highlight w:val="none"/>
          <w:lang w:bidi="ar"/>
        </w:rPr>
        <w:t>函</w:t>
      </w:r>
      <w:bookmarkEnd w:id="739"/>
      <w:bookmarkEnd w:id="740"/>
      <w:bookmarkEnd w:id="741"/>
      <w:bookmarkEnd w:id="742"/>
      <w:bookmarkEnd w:id="743"/>
    </w:p>
    <w:p w14:paraId="35EB0129">
      <w:pPr>
        <w:spacing w:line="360" w:lineRule="auto"/>
        <w:jc w:val="left"/>
        <w:rPr>
          <w:rFonts w:hint="eastAsia" w:ascii="宋体" w:hAnsi="宋体" w:eastAsia="宋体" w:cs="宋体"/>
          <w:spacing w:val="24"/>
          <w:sz w:val="24"/>
          <w:szCs w:val="24"/>
          <w:highlight w:val="none"/>
        </w:rPr>
      </w:pPr>
      <w:r>
        <w:rPr>
          <w:rFonts w:hint="eastAsia" w:ascii="宋体" w:hAnsi="宋体" w:eastAsia="宋体" w:cs="宋体"/>
          <w:spacing w:val="24"/>
          <w:sz w:val="24"/>
          <w:szCs w:val="24"/>
          <w:highlight w:val="none"/>
        </w:rPr>
        <w:t>致</w:t>
      </w:r>
      <w:r>
        <w:rPr>
          <w:rFonts w:hint="eastAsia" w:ascii="宋体" w:hAnsi="宋体" w:eastAsia="宋体" w:cs="宋体"/>
          <w:spacing w:val="24"/>
          <w:sz w:val="24"/>
          <w:szCs w:val="24"/>
          <w:highlight w:val="none"/>
          <w:u w:val="single"/>
        </w:rPr>
        <w:t>（采购人）</w:t>
      </w:r>
      <w:r>
        <w:rPr>
          <w:rFonts w:hint="eastAsia" w:ascii="宋体" w:hAnsi="宋体" w:eastAsia="宋体" w:cs="宋体"/>
          <w:spacing w:val="24"/>
          <w:sz w:val="24"/>
          <w:szCs w:val="24"/>
          <w:highlight w:val="none"/>
        </w:rPr>
        <w:t>：</w:t>
      </w:r>
    </w:p>
    <w:p w14:paraId="10C1515A">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根据已收到贵方的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（项目编号）的竞争性磋商文件，遵照《中华人民共和国政府采购法》等有关规定，我单位经研究上述竞争性磋商文件的磋商须知、合同条款、采购内容及其它有关文件后，我方愿以人民币（大写）：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元）的磋商报价，</w:t>
      </w:r>
      <w:r>
        <w:rPr>
          <w:rFonts w:hint="eastAsia" w:ascii="宋体" w:hAnsi="宋体" w:eastAsia="宋体" w:cs="宋体"/>
          <w:sz w:val="24"/>
          <w:szCs w:val="28"/>
          <w:highlight w:val="none"/>
        </w:rPr>
        <w:t>服务期限</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r>
        <w:rPr>
          <w:rFonts w:hint="eastAsia" w:ascii="宋体" w:hAnsi="宋体" w:eastAsia="宋体" w:cs="宋体"/>
          <w:szCs w:val="21"/>
          <w:highlight w:val="none"/>
        </w:rPr>
        <w:t xml:space="preserve"> </w:t>
      </w:r>
      <w:r>
        <w:rPr>
          <w:rFonts w:hint="eastAsia" w:ascii="宋体" w:hAnsi="宋体" w:eastAsia="宋体" w:cs="宋体"/>
          <w:sz w:val="24"/>
          <w:szCs w:val="24"/>
          <w:highlight w:val="none"/>
          <w:lang w:eastAsia="zh-CN"/>
        </w:rPr>
        <w:t>服务</w:t>
      </w:r>
      <w:r>
        <w:rPr>
          <w:rFonts w:hint="eastAsia" w:ascii="宋体" w:hAnsi="宋体" w:eastAsia="宋体" w:cs="宋体"/>
          <w:sz w:val="24"/>
          <w:szCs w:val="24"/>
          <w:highlight w:val="none"/>
        </w:rPr>
        <w:t>要求：</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w:t>
      </w:r>
      <w:r>
        <w:rPr>
          <w:rFonts w:hint="eastAsia" w:ascii="宋体" w:hAnsi="宋体" w:eastAsia="宋体" w:cs="宋体"/>
          <w:sz w:val="24"/>
          <w:szCs w:val="21"/>
          <w:highlight w:val="none"/>
        </w:rPr>
        <w:t>承包上述项目，以及保险和其他伴随服务</w:t>
      </w:r>
      <w:r>
        <w:rPr>
          <w:rFonts w:hint="eastAsia" w:ascii="宋体" w:hAnsi="宋体" w:eastAsia="宋体" w:cs="宋体"/>
          <w:sz w:val="24"/>
          <w:szCs w:val="21"/>
          <w:highlight w:val="none"/>
          <w:shd w:val="clear" w:color="auto" w:fill="FFFFFF"/>
        </w:rPr>
        <w:t>。</w:t>
      </w:r>
    </w:p>
    <w:p w14:paraId="2086A458">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我方已详细审核全部竞争性磋商文件，包括修改文件（如有）及有关附件，已充分理解并掌握了本磋商项目的全部有关情况，认为竞争性磋商文件符合法律、法规的要求，充分体现了公开、公平、公正和诚实信用原则，我方对竞争性磋商文件没有任何异议。同意接受竞争性磋商文件的全部内容和条件。</w:t>
      </w:r>
    </w:p>
    <w:p w14:paraId="412B0696">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如我方确定为成交供应商，我方承诺在收到成交通知书后，在成交通知书规定的期限内，根据竞争性磋商文件、我方的磋商响应文件及有关澄清承诺书的要求，与采购人订立书面合同，并按照合同约定承担完成合同的责任和义务。</w:t>
      </w:r>
    </w:p>
    <w:p w14:paraId="7F31F4C9">
      <w:pPr>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3、我方愿在成交后按照竞争性磋商文件规定的时间和金额向采购人交纳履约保证金。</w:t>
      </w:r>
    </w:p>
    <w:p w14:paraId="3DCEEDEC">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4、</w:t>
      </w:r>
      <w:r>
        <w:rPr>
          <w:rFonts w:hint="eastAsia" w:ascii="宋体" w:hAnsi="宋体" w:eastAsia="宋体" w:cs="宋体"/>
          <w:kern w:val="0"/>
          <w:sz w:val="24"/>
          <w:szCs w:val="24"/>
          <w:highlight w:val="none"/>
        </w:rPr>
        <w:t>我方同意自本项目</w:t>
      </w:r>
      <w:r>
        <w:rPr>
          <w:rFonts w:hint="eastAsia" w:ascii="宋体" w:hAnsi="宋体" w:eastAsia="宋体" w:cs="宋体"/>
          <w:sz w:val="24"/>
          <w:szCs w:val="24"/>
          <w:highlight w:val="none"/>
        </w:rPr>
        <w:t>竞争性磋商</w:t>
      </w:r>
      <w:r>
        <w:rPr>
          <w:rFonts w:hint="eastAsia" w:ascii="宋体" w:hAnsi="宋体" w:eastAsia="宋体" w:cs="宋体"/>
          <w:kern w:val="0"/>
          <w:sz w:val="24"/>
          <w:szCs w:val="24"/>
          <w:highlight w:val="none"/>
        </w:rPr>
        <w:t>文件中规定的磋商有效期内有效，并承诺在磋商有效期内不修改、撤回磋商响应文件。</w:t>
      </w:r>
    </w:p>
    <w:p w14:paraId="551BCB71">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5、</w:t>
      </w:r>
      <w:r>
        <w:rPr>
          <w:rFonts w:hint="eastAsia" w:ascii="宋体" w:hAnsi="宋体" w:eastAsia="宋体" w:cs="宋体"/>
          <w:kern w:val="0"/>
          <w:sz w:val="24"/>
          <w:szCs w:val="24"/>
          <w:highlight w:val="none"/>
        </w:rPr>
        <w:t>我方完全理解贵方不一定接受磋商报价最低的供应商为成交供应商的行为。</w:t>
      </w:r>
    </w:p>
    <w:p w14:paraId="1A3A8039">
      <w:pPr>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6、</w:t>
      </w:r>
      <w:r>
        <w:rPr>
          <w:rFonts w:hint="eastAsia" w:ascii="宋体" w:hAnsi="宋体" w:eastAsia="宋体" w:cs="宋体"/>
          <w:kern w:val="0"/>
          <w:sz w:val="24"/>
          <w:szCs w:val="24"/>
          <w:highlight w:val="none"/>
        </w:rPr>
        <w:t>我方在此声明，所递交的磋商响应文件及有关资料内容完整、真实和准确。</w:t>
      </w:r>
    </w:p>
    <w:p w14:paraId="27C39FA8">
      <w:pPr>
        <w:spacing w:line="360" w:lineRule="auto"/>
        <w:ind w:firstLine="240" w:firstLineChars="100"/>
        <w:jc w:val="left"/>
        <w:rPr>
          <w:rFonts w:hint="eastAsia" w:ascii="宋体" w:hAnsi="宋体" w:eastAsia="宋体" w:cs="宋体"/>
          <w:sz w:val="24"/>
          <w:szCs w:val="24"/>
          <w:highlight w:val="none"/>
        </w:rPr>
      </w:pPr>
    </w:p>
    <w:p w14:paraId="452B6BB9">
      <w:pPr>
        <w:keepNext w:val="0"/>
        <w:keepLines w:val="0"/>
        <w:pageBreakBefore w:val="0"/>
        <w:widowControl w:val="0"/>
        <w:kinsoku/>
        <w:wordWrap/>
        <w:overflowPunct/>
        <w:topLinePunct w:val="0"/>
        <w:bidi w:val="0"/>
        <w:snapToGrid/>
        <w:spacing w:line="460" w:lineRule="exac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盖单位公章</w:t>
      </w:r>
      <w:r>
        <w:rPr>
          <w:rFonts w:hint="eastAsia" w:ascii="宋体" w:hAnsi="宋体" w:eastAsia="宋体" w:cs="宋体"/>
          <w:color w:val="auto"/>
          <w:sz w:val="24"/>
          <w:szCs w:val="24"/>
          <w:highlight w:val="none"/>
        </w:rPr>
        <w:t>）</w:t>
      </w:r>
    </w:p>
    <w:p w14:paraId="21051C6C">
      <w:pPr>
        <w:keepNext w:val="0"/>
        <w:keepLines w:val="0"/>
        <w:pageBreakBefore w:val="0"/>
        <w:widowControl w:val="0"/>
        <w:kinsoku/>
        <w:wordWrap/>
        <w:overflowPunct/>
        <w:topLinePunct w:val="0"/>
        <w:bidi w:val="0"/>
        <w:snapToGrid/>
        <w:spacing w:line="460" w:lineRule="exac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或委托代理人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签字或</w:t>
      </w:r>
      <w:r>
        <w:rPr>
          <w:rFonts w:hint="eastAsia" w:ascii="宋体" w:hAnsi="宋体" w:eastAsia="宋体" w:cs="宋体"/>
          <w:color w:val="auto"/>
          <w:sz w:val="24"/>
          <w:szCs w:val="24"/>
          <w:highlight w:val="none"/>
        </w:rPr>
        <w:t>盖章）</w:t>
      </w:r>
    </w:p>
    <w:p w14:paraId="2A703D60">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460" w:lineRule="exact"/>
        <w:ind w:right="-20" w:firstLine="1200" w:firstLineChars="500"/>
        <w:jc w:val="right"/>
        <w:textAlignment w:val="auto"/>
        <w:rPr>
          <w:rFonts w:hint="eastAsia" w:ascii="宋体" w:hAnsi="宋体" w:eastAsia="宋体" w:cs="宋体"/>
          <w:color w:val="auto"/>
          <w:kern w:val="0"/>
          <w:sz w:val="22"/>
          <w:szCs w:val="28"/>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pacing w:val="43"/>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4E4D9EDC">
      <w:pPr>
        <w:jc w:val="center"/>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br w:type="page"/>
      </w:r>
      <w:bookmarkStart w:id="744" w:name="_Toc7888"/>
      <w:bookmarkStart w:id="745" w:name="_Toc288"/>
      <w:bookmarkStart w:id="746" w:name="_Toc839"/>
      <w:bookmarkStart w:id="747" w:name="_Toc29538"/>
      <w:r>
        <w:rPr>
          <w:rFonts w:hint="eastAsia" w:ascii="宋体" w:hAnsi="宋体" w:eastAsia="宋体" w:cs="宋体"/>
          <w:color w:val="auto"/>
          <w:sz w:val="24"/>
          <w:highlight w:val="none"/>
          <w:lang w:bidi="ar"/>
        </w:rPr>
        <w:t>（二）</w:t>
      </w:r>
      <w:r>
        <w:rPr>
          <w:rFonts w:hint="eastAsia" w:ascii="宋体" w:hAnsi="宋体" w:eastAsia="宋体" w:cs="宋体"/>
          <w:color w:val="auto"/>
          <w:sz w:val="24"/>
          <w:highlight w:val="none"/>
          <w:lang w:eastAsia="zh-CN" w:bidi="ar"/>
        </w:rPr>
        <w:t>响应</w:t>
      </w:r>
      <w:r>
        <w:rPr>
          <w:rFonts w:hint="eastAsia" w:ascii="宋体" w:hAnsi="宋体" w:eastAsia="宋体" w:cs="宋体"/>
          <w:color w:val="auto"/>
          <w:sz w:val="24"/>
          <w:highlight w:val="none"/>
          <w:lang w:bidi="ar"/>
        </w:rPr>
        <w:t>函附录</w:t>
      </w:r>
      <w:bookmarkEnd w:id="744"/>
      <w:bookmarkEnd w:id="745"/>
      <w:bookmarkEnd w:id="746"/>
      <w:bookmarkEnd w:id="747"/>
    </w:p>
    <w:p w14:paraId="12D3655D">
      <w:pPr>
        <w:tabs>
          <w:tab w:val="left" w:pos="5078"/>
        </w:tabs>
        <w:spacing w:line="500" w:lineRule="exact"/>
        <w:jc w:val="left"/>
        <w:rPr>
          <w:rFonts w:hint="eastAsia" w:ascii="宋体" w:hAnsi="宋体" w:eastAsia="宋体" w:cs="宋体"/>
          <w:b/>
          <w:bCs/>
          <w:kern w:val="0"/>
          <w:sz w:val="32"/>
          <w:szCs w:val="32"/>
          <w:highlight w:val="none"/>
        </w:rPr>
      </w:pPr>
      <w:r>
        <w:rPr>
          <w:rFonts w:hint="eastAsia" w:ascii="宋体" w:hAnsi="宋体" w:eastAsia="宋体" w:cs="宋体"/>
          <w:b/>
          <w:bCs/>
          <w:kern w:val="0"/>
          <w:sz w:val="32"/>
          <w:szCs w:val="32"/>
          <w:highlight w:val="none"/>
        </w:rPr>
        <w:tab/>
      </w:r>
    </w:p>
    <w:tbl>
      <w:tblPr>
        <w:tblStyle w:val="26"/>
        <w:tblW w:w="9468" w:type="dxa"/>
        <w:jc w:val="center"/>
        <w:tblLayout w:type="fixed"/>
        <w:tblCellMar>
          <w:top w:w="0" w:type="dxa"/>
          <w:left w:w="0" w:type="dxa"/>
          <w:bottom w:w="0" w:type="dxa"/>
          <w:right w:w="0" w:type="dxa"/>
        </w:tblCellMar>
      </w:tblPr>
      <w:tblGrid>
        <w:gridCol w:w="2868"/>
        <w:gridCol w:w="6600"/>
      </w:tblGrid>
      <w:tr w14:paraId="75413671">
        <w:tblPrEx>
          <w:tblCellMar>
            <w:top w:w="0" w:type="dxa"/>
            <w:left w:w="0" w:type="dxa"/>
            <w:bottom w:w="0" w:type="dxa"/>
            <w:right w:w="0" w:type="dxa"/>
          </w:tblCellMar>
        </w:tblPrEx>
        <w:trPr>
          <w:trHeight w:val="1134"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3AB3F285">
            <w:pPr>
              <w:autoSpaceDE w:val="0"/>
              <w:autoSpaceDN w:val="0"/>
              <w:spacing w:line="500" w:lineRule="exact"/>
              <w:jc w:val="center"/>
              <w:rPr>
                <w:rFonts w:hint="eastAsia" w:ascii="宋体" w:hAnsi="宋体" w:eastAsia="宋体" w:cs="宋体"/>
                <w:kern w:val="0"/>
                <w:sz w:val="24"/>
                <w:szCs w:val="24"/>
                <w:highlight w:val="none"/>
              </w:rPr>
            </w:pPr>
            <w:bookmarkStart w:id="748" w:name="_Toc365647229"/>
            <w:r>
              <w:rPr>
                <w:rFonts w:hint="eastAsia" w:ascii="宋体" w:hAnsi="宋体" w:eastAsia="宋体" w:cs="宋体"/>
                <w:kern w:val="0"/>
                <w:sz w:val="24"/>
                <w:szCs w:val="24"/>
                <w:highlight w:val="none"/>
              </w:rPr>
              <w:t>项目名称</w:t>
            </w:r>
            <w:bookmarkEnd w:id="748"/>
          </w:p>
        </w:tc>
        <w:tc>
          <w:tcPr>
            <w:tcW w:w="6600" w:type="dxa"/>
            <w:tcBorders>
              <w:top w:val="single" w:color="auto" w:sz="4" w:space="0"/>
              <w:left w:val="nil"/>
              <w:bottom w:val="single" w:color="auto" w:sz="4" w:space="0"/>
              <w:right w:val="single" w:color="auto" w:sz="4" w:space="0"/>
            </w:tcBorders>
            <w:vAlign w:val="center"/>
          </w:tcPr>
          <w:p w14:paraId="6C1BE14B">
            <w:pPr>
              <w:autoSpaceDE w:val="0"/>
              <w:autoSpaceDN w:val="0"/>
              <w:spacing w:line="500" w:lineRule="exact"/>
              <w:jc w:val="center"/>
              <w:rPr>
                <w:rFonts w:hint="eastAsia" w:ascii="宋体" w:hAnsi="宋体" w:eastAsia="宋体" w:cs="宋体"/>
                <w:kern w:val="0"/>
                <w:sz w:val="24"/>
                <w:szCs w:val="24"/>
                <w:highlight w:val="none"/>
              </w:rPr>
            </w:pPr>
          </w:p>
        </w:tc>
      </w:tr>
      <w:tr w14:paraId="48FC5FD2">
        <w:tblPrEx>
          <w:tblCellMar>
            <w:top w:w="0" w:type="dxa"/>
            <w:left w:w="0" w:type="dxa"/>
            <w:bottom w:w="0" w:type="dxa"/>
            <w:right w:w="0" w:type="dxa"/>
          </w:tblCellMar>
        </w:tblPrEx>
        <w:trPr>
          <w:trHeight w:val="1134"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207962D6">
            <w:pPr>
              <w:autoSpaceDE w:val="0"/>
              <w:autoSpaceDN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w:t>
            </w:r>
          </w:p>
        </w:tc>
        <w:tc>
          <w:tcPr>
            <w:tcW w:w="6600" w:type="dxa"/>
            <w:tcBorders>
              <w:top w:val="single" w:color="auto" w:sz="4" w:space="0"/>
              <w:left w:val="nil"/>
              <w:bottom w:val="single" w:color="auto" w:sz="4" w:space="0"/>
              <w:right w:val="single" w:color="auto" w:sz="4" w:space="0"/>
            </w:tcBorders>
            <w:vAlign w:val="center"/>
          </w:tcPr>
          <w:p w14:paraId="04DD17FE">
            <w:pPr>
              <w:autoSpaceDE w:val="0"/>
              <w:autoSpaceDN w:val="0"/>
              <w:spacing w:line="500" w:lineRule="exact"/>
              <w:jc w:val="center"/>
              <w:rPr>
                <w:rFonts w:hint="eastAsia" w:ascii="宋体" w:hAnsi="宋体" w:eastAsia="宋体" w:cs="宋体"/>
                <w:kern w:val="0"/>
                <w:sz w:val="24"/>
                <w:szCs w:val="24"/>
                <w:highlight w:val="none"/>
              </w:rPr>
            </w:pPr>
          </w:p>
        </w:tc>
      </w:tr>
      <w:tr w14:paraId="61BEE663">
        <w:tblPrEx>
          <w:tblCellMar>
            <w:top w:w="0" w:type="dxa"/>
            <w:left w:w="0" w:type="dxa"/>
            <w:bottom w:w="0" w:type="dxa"/>
            <w:right w:w="0" w:type="dxa"/>
          </w:tblCellMar>
        </w:tblPrEx>
        <w:trPr>
          <w:trHeight w:val="1134"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2B690616">
            <w:pPr>
              <w:autoSpaceDE w:val="0"/>
              <w:autoSpaceDN w:val="0"/>
              <w:spacing w:line="500" w:lineRule="exact"/>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rPr>
              <w:t>磋商报价</w:t>
            </w:r>
            <w:r>
              <w:rPr>
                <w:rFonts w:hint="eastAsia" w:ascii="宋体" w:hAnsi="宋体" w:eastAsia="宋体" w:cs="宋体"/>
                <w:kern w:val="0"/>
                <w:sz w:val="24"/>
                <w:szCs w:val="24"/>
                <w:highlight w:val="none"/>
                <w:lang w:eastAsia="zh-CN"/>
              </w:rPr>
              <w:t>（元）</w:t>
            </w:r>
          </w:p>
        </w:tc>
        <w:tc>
          <w:tcPr>
            <w:tcW w:w="6600" w:type="dxa"/>
            <w:tcBorders>
              <w:top w:val="single" w:color="auto" w:sz="4" w:space="0"/>
              <w:left w:val="nil"/>
              <w:bottom w:val="single" w:color="auto" w:sz="4" w:space="0"/>
              <w:right w:val="single" w:color="auto" w:sz="4" w:space="0"/>
            </w:tcBorders>
            <w:vAlign w:val="center"/>
          </w:tcPr>
          <w:p w14:paraId="62A96E0E">
            <w:pPr>
              <w:autoSpaceDE w:val="0"/>
              <w:autoSpaceDN w:val="0"/>
              <w:spacing w:line="500" w:lineRule="exact"/>
              <w:ind w:firstLine="120" w:firstLineChars="5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大写：</w:t>
            </w:r>
          </w:p>
          <w:p w14:paraId="12314179">
            <w:pPr>
              <w:autoSpaceDE w:val="0"/>
              <w:autoSpaceDN w:val="0"/>
              <w:spacing w:line="500" w:lineRule="exact"/>
              <w:ind w:firstLine="120" w:firstLineChars="5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小写：</w:t>
            </w:r>
          </w:p>
        </w:tc>
      </w:tr>
      <w:tr w14:paraId="0F173165">
        <w:tblPrEx>
          <w:tblCellMar>
            <w:top w:w="0" w:type="dxa"/>
            <w:left w:w="0" w:type="dxa"/>
            <w:bottom w:w="0" w:type="dxa"/>
            <w:right w:w="0" w:type="dxa"/>
          </w:tblCellMar>
        </w:tblPrEx>
        <w:trPr>
          <w:trHeight w:val="1134"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59B5E332">
            <w:pPr>
              <w:autoSpaceDE w:val="0"/>
              <w:autoSpaceDN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eastAsia="zh-CN"/>
              </w:rPr>
              <w:t>服务</w:t>
            </w:r>
            <w:r>
              <w:rPr>
                <w:rFonts w:hint="eastAsia" w:ascii="宋体" w:hAnsi="宋体" w:eastAsia="宋体" w:cs="宋体"/>
                <w:kern w:val="0"/>
                <w:sz w:val="24"/>
                <w:szCs w:val="24"/>
                <w:highlight w:val="none"/>
              </w:rPr>
              <w:t>要求</w:t>
            </w:r>
          </w:p>
        </w:tc>
        <w:tc>
          <w:tcPr>
            <w:tcW w:w="6600" w:type="dxa"/>
            <w:tcBorders>
              <w:top w:val="single" w:color="auto" w:sz="4" w:space="0"/>
              <w:left w:val="nil"/>
              <w:bottom w:val="single" w:color="auto" w:sz="4" w:space="0"/>
              <w:right w:val="single" w:color="auto" w:sz="4" w:space="0"/>
            </w:tcBorders>
            <w:vAlign w:val="center"/>
          </w:tcPr>
          <w:p w14:paraId="645E1767">
            <w:pPr>
              <w:autoSpaceDE w:val="0"/>
              <w:autoSpaceDN w:val="0"/>
              <w:spacing w:line="500" w:lineRule="exact"/>
              <w:jc w:val="center"/>
              <w:rPr>
                <w:rFonts w:hint="eastAsia" w:ascii="宋体" w:hAnsi="宋体" w:eastAsia="宋体" w:cs="宋体"/>
                <w:kern w:val="0"/>
                <w:sz w:val="24"/>
                <w:szCs w:val="24"/>
                <w:highlight w:val="none"/>
              </w:rPr>
            </w:pPr>
          </w:p>
        </w:tc>
      </w:tr>
      <w:tr w14:paraId="0911FB68">
        <w:tblPrEx>
          <w:tblCellMar>
            <w:top w:w="0" w:type="dxa"/>
            <w:left w:w="0" w:type="dxa"/>
            <w:bottom w:w="0" w:type="dxa"/>
            <w:right w:w="0" w:type="dxa"/>
          </w:tblCellMar>
        </w:tblPrEx>
        <w:trPr>
          <w:trHeight w:val="997"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7D75716A">
            <w:pPr>
              <w:autoSpaceDE w:val="0"/>
              <w:autoSpaceDN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服务期限</w:t>
            </w:r>
          </w:p>
        </w:tc>
        <w:tc>
          <w:tcPr>
            <w:tcW w:w="6600" w:type="dxa"/>
            <w:tcBorders>
              <w:top w:val="single" w:color="auto" w:sz="4" w:space="0"/>
              <w:left w:val="nil"/>
              <w:bottom w:val="single" w:color="auto" w:sz="4" w:space="0"/>
              <w:right w:val="single" w:color="auto" w:sz="4" w:space="0"/>
            </w:tcBorders>
            <w:vAlign w:val="center"/>
          </w:tcPr>
          <w:p w14:paraId="66EF1288">
            <w:pPr>
              <w:autoSpaceDE w:val="0"/>
              <w:autoSpaceDN w:val="0"/>
              <w:spacing w:line="500" w:lineRule="exact"/>
              <w:jc w:val="center"/>
              <w:rPr>
                <w:rFonts w:hint="eastAsia" w:ascii="宋体" w:hAnsi="宋体" w:eastAsia="宋体" w:cs="宋体"/>
                <w:kern w:val="0"/>
                <w:sz w:val="24"/>
                <w:szCs w:val="24"/>
                <w:highlight w:val="none"/>
              </w:rPr>
            </w:pPr>
          </w:p>
        </w:tc>
      </w:tr>
      <w:tr w14:paraId="00D394DE">
        <w:tblPrEx>
          <w:tblCellMar>
            <w:top w:w="0" w:type="dxa"/>
            <w:left w:w="0" w:type="dxa"/>
            <w:bottom w:w="0" w:type="dxa"/>
            <w:right w:w="0" w:type="dxa"/>
          </w:tblCellMar>
        </w:tblPrEx>
        <w:trPr>
          <w:trHeight w:val="997"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55F8AAE8">
            <w:pPr>
              <w:autoSpaceDE w:val="0"/>
              <w:autoSpaceDN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磋商有效期</w:t>
            </w:r>
          </w:p>
        </w:tc>
        <w:tc>
          <w:tcPr>
            <w:tcW w:w="6600" w:type="dxa"/>
            <w:tcBorders>
              <w:top w:val="single" w:color="auto" w:sz="4" w:space="0"/>
              <w:left w:val="nil"/>
              <w:bottom w:val="single" w:color="auto" w:sz="4" w:space="0"/>
              <w:right w:val="single" w:color="auto" w:sz="4" w:space="0"/>
            </w:tcBorders>
            <w:vAlign w:val="center"/>
          </w:tcPr>
          <w:p w14:paraId="43761240">
            <w:pPr>
              <w:autoSpaceDE w:val="0"/>
              <w:autoSpaceDN w:val="0"/>
              <w:spacing w:line="500" w:lineRule="exact"/>
              <w:jc w:val="center"/>
              <w:rPr>
                <w:rFonts w:hint="eastAsia" w:ascii="宋体" w:hAnsi="宋体" w:eastAsia="宋体" w:cs="宋体"/>
                <w:kern w:val="0"/>
                <w:sz w:val="24"/>
                <w:szCs w:val="24"/>
                <w:highlight w:val="none"/>
              </w:rPr>
            </w:pPr>
          </w:p>
        </w:tc>
      </w:tr>
      <w:tr w14:paraId="62D1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868" w:type="dxa"/>
            <w:tcBorders>
              <w:top w:val="single" w:color="auto" w:sz="4" w:space="0"/>
              <w:left w:val="single" w:color="auto" w:sz="4" w:space="0"/>
              <w:bottom w:val="single" w:color="auto" w:sz="4" w:space="0"/>
              <w:right w:val="single" w:color="auto" w:sz="4" w:space="0"/>
            </w:tcBorders>
            <w:noWrap w:val="0"/>
            <w:vAlign w:val="center"/>
          </w:tcPr>
          <w:p w14:paraId="0D4ED2E3">
            <w:pPr>
              <w:autoSpaceDE w:val="0"/>
              <w:autoSpaceDN w:val="0"/>
              <w:spacing w:line="500" w:lineRule="exact"/>
              <w:jc w:val="center"/>
              <w:rPr>
                <w:rFonts w:hint="eastAsia" w:ascii="宋体" w:hAnsi="宋体" w:eastAsia="宋体" w:cs="宋体"/>
                <w:kern w:val="0"/>
                <w:sz w:val="24"/>
                <w:szCs w:val="24"/>
                <w:highlight w:val="none"/>
                <w:lang w:eastAsia="zh-CN"/>
              </w:rPr>
            </w:pPr>
            <w:r>
              <w:rPr>
                <w:rFonts w:hint="eastAsia" w:ascii="宋体" w:hAnsi="宋体" w:eastAsia="宋体" w:cs="宋体"/>
                <w:kern w:val="0"/>
                <w:sz w:val="24"/>
                <w:szCs w:val="24"/>
                <w:highlight w:val="none"/>
                <w:lang w:eastAsia="zh-CN"/>
              </w:rPr>
              <w:t>联系人及联系电话</w:t>
            </w:r>
          </w:p>
          <w:p w14:paraId="39E2DAE0">
            <w:pPr>
              <w:autoSpaceDE w:val="0"/>
              <w:autoSpaceDN w:val="0"/>
              <w:spacing w:line="500" w:lineRule="exact"/>
              <w:jc w:val="center"/>
              <w:rPr>
                <w:rFonts w:hint="eastAsia" w:ascii="宋体" w:hAnsi="宋体" w:eastAsia="宋体" w:cs="宋体"/>
                <w:color w:val="auto"/>
                <w:sz w:val="24"/>
                <w:szCs w:val="24"/>
                <w:highlight w:val="none"/>
                <w:lang w:eastAsia="zh-CN" w:bidi="ar"/>
              </w:rPr>
            </w:pPr>
            <w:r>
              <w:rPr>
                <w:rFonts w:hint="eastAsia" w:ascii="宋体" w:hAnsi="宋体" w:eastAsia="宋体" w:cs="宋体"/>
                <w:kern w:val="0"/>
                <w:sz w:val="24"/>
                <w:szCs w:val="24"/>
                <w:highlight w:val="none"/>
                <w:lang w:eastAsia="zh-CN"/>
              </w:rPr>
              <w:t>（用于通知二次报价）</w:t>
            </w:r>
          </w:p>
        </w:tc>
        <w:tc>
          <w:tcPr>
            <w:tcW w:w="6600" w:type="dxa"/>
            <w:tcBorders>
              <w:top w:val="single" w:color="auto" w:sz="4" w:space="0"/>
              <w:left w:val="nil"/>
              <w:bottom w:val="single" w:color="auto" w:sz="4" w:space="0"/>
              <w:right w:val="single" w:color="auto" w:sz="4" w:space="0"/>
            </w:tcBorders>
            <w:noWrap w:val="0"/>
            <w:vAlign w:val="center"/>
          </w:tcPr>
          <w:p w14:paraId="463F3562">
            <w:pPr>
              <w:spacing w:line="320" w:lineRule="exact"/>
              <w:jc w:val="left"/>
              <w:rPr>
                <w:rFonts w:hint="eastAsia" w:ascii="宋体" w:hAnsi="宋体" w:eastAsia="宋体" w:cs="宋体"/>
                <w:color w:val="auto"/>
                <w:sz w:val="24"/>
                <w:szCs w:val="24"/>
                <w:highlight w:val="none"/>
                <w:lang w:bidi="ar"/>
              </w:rPr>
            </w:pPr>
          </w:p>
        </w:tc>
      </w:tr>
      <w:tr w14:paraId="7ACDF3F4">
        <w:tblPrEx>
          <w:tblCellMar>
            <w:top w:w="0" w:type="dxa"/>
            <w:left w:w="0" w:type="dxa"/>
            <w:bottom w:w="0" w:type="dxa"/>
            <w:right w:w="0" w:type="dxa"/>
          </w:tblCellMar>
        </w:tblPrEx>
        <w:trPr>
          <w:trHeight w:val="997" w:hRule="atLeast"/>
          <w:jc w:val="center"/>
        </w:trPr>
        <w:tc>
          <w:tcPr>
            <w:tcW w:w="2868" w:type="dxa"/>
            <w:tcBorders>
              <w:top w:val="single" w:color="auto" w:sz="4" w:space="0"/>
              <w:left w:val="single" w:color="auto" w:sz="4" w:space="0"/>
              <w:bottom w:val="single" w:color="auto" w:sz="4" w:space="0"/>
              <w:right w:val="single" w:color="auto" w:sz="4" w:space="0"/>
            </w:tcBorders>
            <w:vAlign w:val="center"/>
          </w:tcPr>
          <w:p w14:paraId="23F7ADE3">
            <w:pPr>
              <w:autoSpaceDE w:val="0"/>
              <w:autoSpaceDN w:val="0"/>
              <w:spacing w:line="50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备  注</w:t>
            </w:r>
          </w:p>
        </w:tc>
        <w:tc>
          <w:tcPr>
            <w:tcW w:w="6600" w:type="dxa"/>
            <w:tcBorders>
              <w:top w:val="single" w:color="auto" w:sz="4" w:space="0"/>
              <w:left w:val="nil"/>
              <w:bottom w:val="single" w:color="auto" w:sz="4" w:space="0"/>
              <w:right w:val="single" w:color="auto" w:sz="4" w:space="0"/>
            </w:tcBorders>
            <w:vAlign w:val="center"/>
          </w:tcPr>
          <w:p w14:paraId="509841EB">
            <w:pPr>
              <w:autoSpaceDE w:val="0"/>
              <w:autoSpaceDN w:val="0"/>
              <w:spacing w:line="500" w:lineRule="exact"/>
              <w:jc w:val="center"/>
              <w:rPr>
                <w:rFonts w:hint="eastAsia" w:ascii="宋体" w:hAnsi="宋体" w:eastAsia="宋体" w:cs="宋体"/>
                <w:kern w:val="0"/>
                <w:sz w:val="24"/>
                <w:szCs w:val="24"/>
                <w:highlight w:val="none"/>
              </w:rPr>
            </w:pPr>
          </w:p>
        </w:tc>
      </w:tr>
    </w:tbl>
    <w:p w14:paraId="1392DD4D">
      <w:pPr>
        <w:keepNext w:val="0"/>
        <w:keepLines w:val="0"/>
        <w:pageBreakBefore w:val="0"/>
        <w:widowControl w:val="0"/>
        <w:kinsoku/>
        <w:wordWrap/>
        <w:overflowPunct/>
        <w:topLinePunct w:val="0"/>
        <w:autoSpaceDE/>
        <w:autoSpaceDN/>
        <w:bidi w:val="0"/>
        <w:adjustRightInd/>
        <w:snapToGrid/>
        <w:spacing w:line="400" w:lineRule="exact"/>
        <w:ind w:firstLine="241" w:firstLineChars="100"/>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eastAsia="zh-CN"/>
        </w:rPr>
        <w:t>注：供应商应在本表报价中填写第一次报价，但以供应商最后一次的报价为成交价。</w:t>
      </w:r>
    </w:p>
    <w:p w14:paraId="0BCF29E0">
      <w:pPr>
        <w:autoSpaceDE w:val="0"/>
        <w:autoSpaceDN w:val="0"/>
        <w:adjustRightInd w:val="0"/>
        <w:spacing w:line="500" w:lineRule="exact"/>
        <w:rPr>
          <w:rFonts w:hint="eastAsia" w:ascii="宋体" w:hAnsi="宋体" w:eastAsia="宋体" w:cs="宋体"/>
          <w:kern w:val="0"/>
          <w:sz w:val="24"/>
          <w:szCs w:val="24"/>
          <w:highlight w:val="none"/>
        </w:rPr>
      </w:pPr>
    </w:p>
    <w:p w14:paraId="41FCD105">
      <w:pPr>
        <w:autoSpaceDE w:val="0"/>
        <w:autoSpaceDN w:val="0"/>
        <w:adjustRightInd w:val="0"/>
        <w:spacing w:line="500" w:lineRule="exact"/>
        <w:rPr>
          <w:rFonts w:hint="eastAsia" w:ascii="宋体" w:hAnsi="宋体" w:eastAsia="宋体" w:cs="宋体"/>
          <w:kern w:val="0"/>
          <w:sz w:val="24"/>
          <w:szCs w:val="24"/>
          <w:highlight w:val="none"/>
        </w:rPr>
      </w:pPr>
    </w:p>
    <w:p w14:paraId="2573CBCD">
      <w:pPr>
        <w:keepNext w:val="0"/>
        <w:keepLines w:val="0"/>
        <w:pageBreakBefore w:val="0"/>
        <w:widowControl w:val="0"/>
        <w:kinsoku/>
        <w:wordWrap/>
        <w:overflowPunct/>
        <w:topLinePunct w:val="0"/>
        <w:bidi w:val="0"/>
        <w:snapToGrid/>
        <w:spacing w:line="460" w:lineRule="exac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盖单位公章</w:t>
      </w:r>
      <w:r>
        <w:rPr>
          <w:rFonts w:hint="eastAsia" w:ascii="宋体" w:hAnsi="宋体" w:eastAsia="宋体" w:cs="宋体"/>
          <w:color w:val="auto"/>
          <w:sz w:val="24"/>
          <w:szCs w:val="24"/>
          <w:highlight w:val="none"/>
        </w:rPr>
        <w:t>）</w:t>
      </w:r>
    </w:p>
    <w:p w14:paraId="58285DD8">
      <w:pPr>
        <w:keepNext w:val="0"/>
        <w:keepLines w:val="0"/>
        <w:pageBreakBefore w:val="0"/>
        <w:widowControl w:val="0"/>
        <w:kinsoku/>
        <w:wordWrap/>
        <w:overflowPunct/>
        <w:topLinePunct w:val="0"/>
        <w:bidi w:val="0"/>
        <w:snapToGrid/>
        <w:spacing w:line="460" w:lineRule="exac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或委托代理人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签字或</w:t>
      </w:r>
      <w:r>
        <w:rPr>
          <w:rFonts w:hint="eastAsia" w:ascii="宋体" w:hAnsi="宋体" w:eastAsia="宋体" w:cs="宋体"/>
          <w:color w:val="auto"/>
          <w:sz w:val="24"/>
          <w:szCs w:val="24"/>
          <w:highlight w:val="none"/>
        </w:rPr>
        <w:t>盖章）</w:t>
      </w:r>
    </w:p>
    <w:p w14:paraId="51F13785">
      <w:pPr>
        <w:keepNext w:val="0"/>
        <w:keepLines w:val="0"/>
        <w:pageBreakBefore w:val="0"/>
        <w:widowControl w:val="0"/>
        <w:tabs>
          <w:tab w:val="left" w:pos="5380"/>
          <w:tab w:val="left" w:pos="6520"/>
          <w:tab w:val="left" w:pos="7680"/>
        </w:tabs>
        <w:kinsoku/>
        <w:wordWrap/>
        <w:overflowPunct/>
        <w:topLinePunct w:val="0"/>
        <w:autoSpaceDE w:val="0"/>
        <w:autoSpaceDN w:val="0"/>
        <w:bidi w:val="0"/>
        <w:adjustRightInd w:val="0"/>
        <w:snapToGrid/>
        <w:spacing w:line="460" w:lineRule="exact"/>
        <w:ind w:right="-20" w:firstLine="1200" w:firstLineChars="500"/>
        <w:jc w:val="right"/>
        <w:textAlignment w:val="auto"/>
        <w:rPr>
          <w:rFonts w:hint="eastAsia" w:ascii="宋体" w:hAnsi="宋体" w:eastAsia="宋体" w:cs="宋体"/>
          <w:color w:val="auto"/>
          <w:kern w:val="0"/>
          <w:sz w:val="22"/>
          <w:szCs w:val="28"/>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spacing w:val="43"/>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07C1C8F8">
      <w:pPr>
        <w:spacing w:line="500" w:lineRule="exact"/>
        <w:jc w:val="center"/>
        <w:textAlignment w:val="baseline"/>
        <w:rPr>
          <w:rFonts w:hint="eastAsia" w:ascii="宋体" w:hAnsi="宋体" w:eastAsia="宋体" w:cs="宋体"/>
          <w:b/>
          <w:bCs/>
          <w:sz w:val="32"/>
          <w:szCs w:val="32"/>
          <w:highlight w:val="none"/>
        </w:rPr>
      </w:pPr>
      <w:r>
        <w:rPr>
          <w:rFonts w:hint="eastAsia" w:ascii="宋体" w:hAnsi="宋体" w:eastAsia="宋体" w:cs="宋体"/>
          <w:b/>
          <w:bCs/>
          <w:kern w:val="0"/>
          <w:sz w:val="32"/>
          <w:szCs w:val="32"/>
          <w:highlight w:val="none"/>
        </w:rPr>
        <w:br w:type="page"/>
      </w:r>
    </w:p>
    <w:p w14:paraId="42CFDC3C">
      <w:pPr>
        <w:spacing w:line="480" w:lineRule="auto"/>
        <w:jc w:val="center"/>
        <w:outlineLvl w:val="1"/>
        <w:rPr>
          <w:rFonts w:hint="eastAsia" w:ascii="宋体" w:hAnsi="宋体" w:eastAsia="宋体" w:cs="宋体"/>
          <w:color w:val="auto"/>
          <w:sz w:val="24"/>
          <w:szCs w:val="24"/>
          <w:highlight w:val="none"/>
        </w:rPr>
      </w:pPr>
      <w:bookmarkStart w:id="749" w:name="_Toc22307"/>
      <w:bookmarkStart w:id="750" w:name="_Toc31881"/>
      <w:bookmarkStart w:id="751" w:name="_Toc3761"/>
      <w:r>
        <w:rPr>
          <w:rFonts w:hint="eastAsia" w:ascii="宋体" w:hAnsi="宋体" w:eastAsia="宋体" w:cs="宋体"/>
          <w:b/>
          <w:color w:val="auto"/>
          <w:kern w:val="0"/>
          <w:sz w:val="28"/>
          <w:szCs w:val="28"/>
          <w:highlight w:val="none"/>
          <w:lang w:bidi="ar"/>
        </w:rPr>
        <w:t>二、法定代表人身份证明</w:t>
      </w:r>
      <w:bookmarkEnd w:id="749"/>
      <w:bookmarkEnd w:id="750"/>
      <w:r>
        <w:rPr>
          <w:rFonts w:hint="eastAsia" w:ascii="宋体" w:hAnsi="宋体" w:eastAsia="宋体" w:cs="宋体"/>
          <w:b/>
          <w:color w:val="auto"/>
          <w:kern w:val="0"/>
          <w:sz w:val="28"/>
          <w:szCs w:val="28"/>
          <w:highlight w:val="none"/>
          <w:lang w:eastAsia="zh-CN" w:bidi="ar"/>
        </w:rPr>
        <w:t>或</w:t>
      </w:r>
      <w:r>
        <w:rPr>
          <w:rFonts w:hint="eastAsia" w:ascii="宋体" w:hAnsi="宋体" w:eastAsia="宋体" w:cs="宋体"/>
          <w:b/>
          <w:bCs/>
          <w:color w:val="auto"/>
          <w:sz w:val="28"/>
          <w:szCs w:val="28"/>
          <w:highlight w:val="none"/>
        </w:rPr>
        <w:t>法定代表人授权委托书</w:t>
      </w:r>
      <w:bookmarkEnd w:id="751"/>
    </w:p>
    <w:p w14:paraId="2B9540EF">
      <w:pPr>
        <w:jc w:val="center"/>
        <w:outlineLvl w:val="9"/>
        <w:rPr>
          <w:rFonts w:hint="eastAsia" w:ascii="宋体" w:hAnsi="宋体" w:eastAsia="宋体" w:cs="宋体"/>
          <w:b w:val="0"/>
          <w:bCs/>
          <w:color w:val="auto"/>
          <w:kern w:val="0"/>
          <w:sz w:val="24"/>
          <w:szCs w:val="24"/>
          <w:highlight w:val="none"/>
          <w:lang w:bidi="ar"/>
        </w:rPr>
      </w:pPr>
    </w:p>
    <w:p w14:paraId="06C074B6">
      <w:pPr>
        <w:jc w:val="center"/>
        <w:outlineLvl w:val="9"/>
        <w:rPr>
          <w:rFonts w:hint="eastAsia" w:ascii="宋体" w:hAnsi="宋体" w:eastAsia="宋体" w:cs="宋体"/>
          <w:b w:val="0"/>
          <w:bCs/>
          <w:sz w:val="24"/>
          <w:szCs w:val="24"/>
          <w:highlight w:val="none"/>
          <w:lang w:val="en-US" w:eastAsia="zh-CN"/>
        </w:rPr>
      </w:pPr>
      <w:r>
        <w:rPr>
          <w:rFonts w:hint="eastAsia" w:ascii="宋体" w:hAnsi="宋体" w:eastAsia="宋体" w:cs="宋体"/>
          <w:b w:val="0"/>
          <w:bCs/>
          <w:color w:val="auto"/>
          <w:kern w:val="0"/>
          <w:sz w:val="24"/>
          <w:szCs w:val="24"/>
          <w:highlight w:val="none"/>
          <w:lang w:bidi="ar"/>
        </w:rPr>
        <w:t>法定代表人身份证明</w:t>
      </w:r>
    </w:p>
    <w:p w14:paraId="5E3D3B8B">
      <w:pPr>
        <w:widowControl/>
        <w:adjustRightIn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bidi="ar"/>
        </w:rPr>
        <w:t>供应商</w:t>
      </w:r>
      <w:r>
        <w:rPr>
          <w:rFonts w:hint="eastAsia" w:ascii="宋体" w:hAnsi="宋体" w:eastAsia="宋体" w:cs="宋体"/>
          <w:color w:val="auto"/>
          <w:kern w:val="0"/>
          <w:sz w:val="24"/>
          <w:highlight w:val="none"/>
          <w:lang w:bidi="ar"/>
        </w:rPr>
        <w:t xml:space="preserve">名称： </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 xml:space="preserve">  </w:t>
      </w:r>
    </w:p>
    <w:p w14:paraId="15AF8AA2">
      <w:pPr>
        <w:widowControl/>
        <w:adjustRightIn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单位性质：</w:t>
      </w:r>
      <w:r>
        <w:rPr>
          <w:rFonts w:hint="eastAsia" w:ascii="宋体" w:hAnsi="宋体" w:eastAsia="宋体" w:cs="宋体"/>
          <w:color w:val="auto"/>
          <w:kern w:val="0"/>
          <w:sz w:val="24"/>
          <w:highlight w:val="none"/>
          <w:u w:val="single"/>
          <w:lang w:bidi="ar"/>
        </w:rPr>
        <w:t xml:space="preserve">                       </w:t>
      </w:r>
    </w:p>
    <w:p w14:paraId="1830B15B">
      <w:pPr>
        <w:widowControl/>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地址：</w:t>
      </w:r>
      <w:r>
        <w:rPr>
          <w:rFonts w:hint="eastAsia" w:ascii="宋体" w:hAnsi="宋体" w:eastAsia="宋体" w:cs="宋体"/>
          <w:color w:val="auto"/>
          <w:kern w:val="0"/>
          <w:sz w:val="24"/>
          <w:highlight w:val="none"/>
          <w:u w:val="single"/>
          <w:lang w:bidi="ar"/>
        </w:rPr>
        <w:t xml:space="preserve">                           </w:t>
      </w:r>
    </w:p>
    <w:p w14:paraId="72EB899C">
      <w:pPr>
        <w:widowControl/>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成立时间：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p>
    <w:p w14:paraId="7D52DEF4">
      <w:pPr>
        <w:widowControl/>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经营期限：</w:t>
      </w:r>
      <w:r>
        <w:rPr>
          <w:rFonts w:hint="eastAsia" w:ascii="宋体" w:hAnsi="宋体" w:eastAsia="宋体" w:cs="宋体"/>
          <w:color w:val="auto"/>
          <w:kern w:val="0"/>
          <w:sz w:val="24"/>
          <w:highlight w:val="none"/>
          <w:u w:val="single"/>
          <w:lang w:bidi="ar"/>
        </w:rPr>
        <w:t xml:space="preserve">            </w:t>
      </w:r>
    </w:p>
    <w:p w14:paraId="79E7A2DD">
      <w:pPr>
        <w:widowControl/>
        <w:adjustRightInd w:val="0"/>
        <w:spacing w:line="360" w:lineRule="auto"/>
        <w:jc w:val="left"/>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bidi="ar"/>
        </w:rPr>
        <w:t xml:space="preserve">    姓名：</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性别：</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年龄：</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职务：</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u w:val="single"/>
          <w:lang w:val="en-US" w:eastAsia="zh-CN" w:bidi="ar"/>
        </w:rPr>
        <w:t xml:space="preserve">    </w:t>
      </w:r>
    </w:p>
    <w:p w14:paraId="6E909008">
      <w:pPr>
        <w:widowControl/>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系</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w:t>
      </w:r>
      <w:r>
        <w:rPr>
          <w:rFonts w:hint="eastAsia" w:ascii="宋体" w:hAnsi="宋体" w:eastAsia="宋体" w:cs="宋体"/>
          <w:color w:val="auto"/>
          <w:kern w:val="0"/>
          <w:sz w:val="24"/>
          <w:highlight w:val="none"/>
          <w:lang w:eastAsia="zh-CN" w:bidi="ar"/>
        </w:rPr>
        <w:t>供应商</w:t>
      </w:r>
      <w:r>
        <w:rPr>
          <w:rFonts w:hint="eastAsia" w:ascii="宋体" w:hAnsi="宋体" w:eastAsia="宋体" w:cs="宋体"/>
          <w:color w:val="auto"/>
          <w:kern w:val="0"/>
          <w:sz w:val="24"/>
          <w:highlight w:val="none"/>
          <w:lang w:bidi="ar"/>
        </w:rPr>
        <w:t>名称）的法定代表人。</w:t>
      </w:r>
    </w:p>
    <w:p w14:paraId="3E681E51">
      <w:pPr>
        <w:widowControl/>
        <w:adjustRightIn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p>
    <w:p w14:paraId="10C42AE0">
      <w:pPr>
        <w:widowControl/>
        <w:adjustRightInd w:val="0"/>
        <w:spacing w:line="360" w:lineRule="auto"/>
        <w:ind w:firstLine="480" w:firstLineChars="200"/>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特此证明。</w:t>
      </w:r>
    </w:p>
    <w:p w14:paraId="5C492FCF">
      <w:pPr>
        <w:widowControl/>
        <w:adjustRightIn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p>
    <w:p w14:paraId="38F529F5">
      <w:pPr>
        <w:keepNext w:val="0"/>
        <w:keepLines w:val="0"/>
        <w:pageBreakBefore w:val="0"/>
        <w:widowControl w:val="0"/>
        <w:kinsoku/>
        <w:wordWrap/>
        <w:overflowPunct/>
        <w:topLinePunct w:val="0"/>
        <w:autoSpaceDE/>
        <w:autoSpaceDN/>
        <w:bidi w:val="0"/>
        <w:adjustRightInd/>
        <w:snapToGrid/>
        <w:spacing w:afterLines="100" w:line="600" w:lineRule="exact"/>
        <w:textAlignment w:val="center"/>
        <w:rPr>
          <w:rFonts w:hint="eastAsia" w:ascii="宋体" w:hAnsi="宋体" w:eastAsia="宋体" w:cs="宋体"/>
          <w:color w:val="auto"/>
          <w:sz w:val="24"/>
          <w:szCs w:val="21"/>
          <w:highlight w:val="none"/>
          <w:lang w:eastAsia="zh-CN"/>
        </w:rPr>
      </w:pPr>
      <w:r>
        <w:rPr>
          <w:rFonts w:hint="eastAsia" w:ascii="宋体" w:hAnsi="宋体" w:eastAsia="宋体" w:cs="宋体"/>
          <w:color w:val="auto"/>
          <w:sz w:val="24"/>
          <w:szCs w:val="21"/>
          <w:highlight w:val="none"/>
        </w:rPr>
        <w:t>附：法定代表人身份</w:t>
      </w:r>
      <w:r>
        <w:rPr>
          <w:rFonts w:hint="eastAsia" w:ascii="宋体" w:hAnsi="宋体" w:eastAsia="宋体" w:cs="宋体"/>
          <w:color w:val="auto"/>
          <w:sz w:val="24"/>
          <w:szCs w:val="21"/>
          <w:highlight w:val="none"/>
          <w:lang w:eastAsia="zh-CN"/>
        </w:rPr>
        <w:t>证扫描件</w:t>
      </w:r>
    </w:p>
    <w:p w14:paraId="0A251CD2">
      <w:pPr>
        <w:widowControl/>
        <w:adjustRightInd w:val="0"/>
        <w:spacing w:line="240" w:lineRule="atLeast"/>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p>
    <w:p w14:paraId="4DF7E803">
      <w:pPr>
        <w:widowControl/>
        <w:adjustRightInd w:val="0"/>
        <w:spacing w:line="240" w:lineRule="atLeas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p>
    <w:p w14:paraId="5822C651">
      <w:pPr>
        <w:widowControl/>
        <w:adjustRightInd w:val="0"/>
        <w:spacing w:line="240" w:lineRule="atLeas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p>
    <w:p w14:paraId="48A4CABA">
      <w:pPr>
        <w:widowControl/>
        <w:adjustRightInd w:val="0"/>
        <w:spacing w:line="240" w:lineRule="atLeas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p>
    <w:p w14:paraId="248D82D7">
      <w:pPr>
        <w:widowControl/>
        <w:adjustRightInd w:val="0"/>
        <w:spacing w:line="240" w:lineRule="atLeas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p>
    <w:p w14:paraId="6E63A77E">
      <w:pPr>
        <w:widowControl/>
        <w:adjustRightInd w:val="0"/>
        <w:spacing w:line="240" w:lineRule="atLeast"/>
        <w:ind w:firstLine="2940" w:firstLineChars="1225"/>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lang w:eastAsia="zh-CN" w:bidi="ar"/>
        </w:rPr>
        <w:t>供应商</w:t>
      </w:r>
      <w:r>
        <w:rPr>
          <w:rFonts w:hint="eastAsia" w:ascii="宋体" w:hAnsi="宋体" w:eastAsia="宋体" w:cs="宋体"/>
          <w:color w:val="auto"/>
          <w:kern w:val="0"/>
          <w:sz w:val="24"/>
          <w:highlight w:val="none"/>
          <w:lang w:bidi="ar"/>
        </w:rPr>
        <w:t>：</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（盖单位公章）</w:t>
      </w:r>
    </w:p>
    <w:p w14:paraId="4B98F3C2">
      <w:pPr>
        <w:widowControl/>
        <w:adjustRightInd w:val="0"/>
        <w:spacing w:line="240" w:lineRule="atLeast"/>
        <w:ind w:firstLine="5340" w:firstLineChars="2225"/>
        <w:jc w:val="left"/>
        <w:rPr>
          <w:rFonts w:hint="eastAsia" w:ascii="宋体" w:hAnsi="宋体" w:eastAsia="宋体" w:cs="宋体"/>
          <w:color w:val="auto"/>
          <w:kern w:val="0"/>
          <w:sz w:val="24"/>
          <w:highlight w:val="none"/>
          <w:u w:val="single"/>
          <w:lang w:bidi="ar"/>
        </w:rPr>
      </w:pPr>
    </w:p>
    <w:p w14:paraId="61E24A58">
      <w:pPr>
        <w:widowControl/>
        <w:adjustRightInd w:val="0"/>
        <w:spacing w:line="240" w:lineRule="atLeast"/>
        <w:ind w:firstLine="5340" w:firstLineChars="2225"/>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bidi="ar"/>
        </w:rPr>
        <w:t xml:space="preserve">  </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年</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月</w:t>
      </w:r>
      <w:r>
        <w:rPr>
          <w:rFonts w:hint="eastAsia" w:ascii="宋体" w:hAnsi="宋体" w:eastAsia="宋体" w:cs="宋体"/>
          <w:color w:val="auto"/>
          <w:kern w:val="0"/>
          <w:sz w:val="24"/>
          <w:highlight w:val="none"/>
          <w:u w:val="single"/>
          <w:lang w:bidi="ar"/>
        </w:rPr>
        <w:t xml:space="preserve">    </w:t>
      </w:r>
      <w:r>
        <w:rPr>
          <w:rFonts w:hint="eastAsia" w:ascii="宋体" w:hAnsi="宋体" w:eastAsia="宋体" w:cs="宋体"/>
          <w:color w:val="auto"/>
          <w:kern w:val="0"/>
          <w:sz w:val="24"/>
          <w:highlight w:val="none"/>
          <w:lang w:bidi="ar"/>
        </w:rPr>
        <w:t>日</w:t>
      </w:r>
    </w:p>
    <w:p w14:paraId="0411BF42">
      <w:pPr>
        <w:spacing w:line="480" w:lineRule="auto"/>
        <w:ind w:right="480"/>
        <w:jc w:val="center"/>
        <w:rPr>
          <w:rFonts w:hint="eastAsia" w:ascii="宋体" w:hAnsi="宋体" w:eastAsia="宋体" w:cs="宋体"/>
          <w:b/>
          <w:bCs/>
          <w:sz w:val="24"/>
          <w:szCs w:val="24"/>
          <w:highlight w:val="none"/>
        </w:rPr>
      </w:pPr>
    </w:p>
    <w:p w14:paraId="6FFE149E">
      <w:pPr>
        <w:spacing w:line="480" w:lineRule="auto"/>
        <w:jc w:val="center"/>
        <w:outlineLvl w:val="9"/>
        <w:rPr>
          <w:rFonts w:hint="eastAsia" w:ascii="宋体" w:hAnsi="宋体" w:eastAsia="宋体" w:cs="宋体"/>
          <w:color w:val="auto"/>
          <w:sz w:val="24"/>
          <w:szCs w:val="24"/>
          <w:highlight w:val="none"/>
        </w:rPr>
      </w:pPr>
      <w:bookmarkStart w:id="752" w:name="_Toc171073211"/>
      <w:bookmarkEnd w:id="752"/>
      <w:bookmarkStart w:id="753" w:name="_Toc171073046"/>
      <w:bookmarkEnd w:id="753"/>
      <w:bookmarkStart w:id="754" w:name="_Toc169921411"/>
      <w:bookmarkEnd w:id="754"/>
      <w:bookmarkStart w:id="755" w:name="_Toc223432391"/>
      <w:bookmarkEnd w:id="755"/>
      <w:r>
        <w:rPr>
          <w:rFonts w:hint="eastAsia" w:ascii="宋体" w:hAnsi="宋体" w:eastAsia="宋体" w:cs="宋体"/>
          <w:b/>
          <w:bCs/>
          <w:sz w:val="32"/>
          <w:szCs w:val="32"/>
          <w:highlight w:val="none"/>
        </w:rPr>
        <w:br w:type="page"/>
      </w:r>
      <w:r>
        <w:rPr>
          <w:rFonts w:hint="eastAsia" w:ascii="宋体" w:hAnsi="宋体" w:eastAsia="宋体" w:cs="宋体"/>
          <w:b w:val="0"/>
          <w:bCs w:val="0"/>
          <w:color w:val="auto"/>
          <w:sz w:val="24"/>
          <w:szCs w:val="24"/>
          <w:highlight w:val="none"/>
        </w:rPr>
        <w:t>法定代表人授权委托书</w:t>
      </w:r>
    </w:p>
    <w:p w14:paraId="3596DE5A">
      <w:pPr>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本人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（供应商名称）的法定代表人，现委托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（姓名）为我方代理人。代理人根据授权，以我方名义签署、澄清、说明、补正、递交、撤回、修改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（项目名称）</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的响应文件、签订合同和处理有关事宜，其法律后果由我方承担。</w:t>
      </w:r>
    </w:p>
    <w:p w14:paraId="4DF5E6D4">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委托期限：</w:t>
      </w:r>
      <w:r>
        <w:rPr>
          <w:rFonts w:hint="eastAsia" w:ascii="宋体" w:hAnsi="宋体" w:eastAsia="宋体" w:cs="宋体"/>
          <w:color w:val="auto"/>
          <w:highlight w:val="none"/>
          <w:u w:val="single"/>
        </w:rPr>
        <w:t>自本委托书签字或盖章并加盖单位公章之日起至</w:t>
      </w:r>
      <w:r>
        <w:rPr>
          <w:rFonts w:hint="eastAsia" w:ascii="宋体" w:hAnsi="宋体" w:eastAsia="宋体" w:cs="宋体"/>
          <w:color w:val="auto"/>
          <w:highlight w:val="none"/>
          <w:u w:val="single"/>
          <w:lang w:eastAsia="zh-CN"/>
        </w:rPr>
        <w:t>磋商</w:t>
      </w:r>
      <w:r>
        <w:rPr>
          <w:rFonts w:hint="eastAsia" w:ascii="宋体" w:hAnsi="宋体" w:eastAsia="宋体" w:cs="宋体"/>
          <w:color w:val="auto"/>
          <w:highlight w:val="none"/>
          <w:u w:val="single"/>
        </w:rPr>
        <w:t>有效期期满</w:t>
      </w:r>
      <w:r>
        <w:rPr>
          <w:rFonts w:hint="eastAsia" w:ascii="宋体" w:hAnsi="宋体" w:eastAsia="宋体" w:cs="宋体"/>
          <w:color w:val="auto"/>
          <w:highlight w:val="none"/>
        </w:rPr>
        <w:t>。</w:t>
      </w:r>
    </w:p>
    <w:p w14:paraId="40A28D49">
      <w:pPr>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代理人无转委托权。</w:t>
      </w:r>
    </w:p>
    <w:p w14:paraId="7D6CD45C">
      <w:pPr>
        <w:spacing w:line="360" w:lineRule="auto"/>
        <w:ind w:firstLine="424" w:firstLineChars="202"/>
        <w:rPr>
          <w:rFonts w:hint="eastAsia" w:ascii="宋体" w:hAnsi="宋体" w:eastAsia="宋体" w:cs="宋体"/>
          <w:color w:val="auto"/>
          <w:highlight w:val="none"/>
        </w:rPr>
      </w:pPr>
      <w:r>
        <w:rPr>
          <w:rFonts w:hint="eastAsia" w:ascii="宋体" w:hAnsi="宋体" w:eastAsia="宋体" w:cs="宋体"/>
          <w:color w:val="auto"/>
          <w:highlight w:val="none"/>
        </w:rPr>
        <w:t>附：法定代表人及授权委托人身份证扫描件。</w:t>
      </w:r>
    </w:p>
    <w:p w14:paraId="6B0801E6">
      <w:pPr>
        <w:spacing w:line="360" w:lineRule="auto"/>
        <w:jc w:val="right"/>
        <w:rPr>
          <w:rFonts w:hint="eastAsia" w:ascii="宋体" w:hAnsi="宋体" w:eastAsia="宋体" w:cs="宋体"/>
          <w:color w:val="auto"/>
          <w:highlight w:val="none"/>
        </w:rPr>
      </w:pPr>
    </w:p>
    <w:p w14:paraId="16374C82">
      <w:pPr>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（盖单位公章）</w:t>
      </w:r>
    </w:p>
    <w:p w14:paraId="344BF1D6">
      <w:pPr>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（签字或盖章）</w:t>
      </w:r>
    </w:p>
    <w:p w14:paraId="5D86EBF2">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身份证号码：</w:t>
      </w:r>
      <w:r>
        <w:rPr>
          <w:rFonts w:hint="eastAsia" w:ascii="宋体" w:hAnsi="宋体" w:eastAsia="宋体" w:cs="宋体"/>
          <w:color w:val="auto"/>
          <w:highlight w:val="none"/>
          <w:u w:val="single"/>
        </w:rPr>
        <w:t xml:space="preserve">                         </w:t>
      </w:r>
    </w:p>
    <w:p w14:paraId="2FAD6AC6">
      <w:pPr>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（签字或盖章）</w:t>
      </w:r>
    </w:p>
    <w:p w14:paraId="41F2D567">
      <w:pPr>
        <w:spacing w:line="360" w:lineRule="auto"/>
        <w:jc w:val="center"/>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身份证号码：</w:t>
      </w:r>
      <w:r>
        <w:rPr>
          <w:rFonts w:hint="eastAsia" w:ascii="宋体" w:hAnsi="宋体" w:eastAsia="宋体" w:cs="宋体"/>
          <w:color w:val="auto"/>
          <w:highlight w:val="none"/>
          <w:u w:val="single"/>
        </w:rPr>
        <w:t xml:space="preserve">                          </w:t>
      </w:r>
    </w:p>
    <w:p w14:paraId="67485AB1">
      <w:pPr>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5986AC79">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注：因响应文件中授权委托书授权代理人无法手写签字的，可以采用按照上述要求盖章或手签后上传的扫描件或者采用电脑打出的字体。若为法定代表人参与投标的，无委托代理人，可删除此授权委托书。</w:t>
      </w:r>
    </w:p>
    <w:p w14:paraId="7768FD2E">
      <w:pPr>
        <w:rPr>
          <w:rFonts w:hint="eastAsia" w:ascii="宋体" w:hAnsi="宋体" w:eastAsia="宋体" w:cs="宋体"/>
          <w:b/>
          <w:bCs/>
          <w:sz w:val="32"/>
          <w:szCs w:val="32"/>
          <w:highlight w:val="none"/>
        </w:rPr>
      </w:pPr>
    </w:p>
    <w:p w14:paraId="74284297">
      <w:pPr>
        <w:rPr>
          <w:rFonts w:hint="eastAsia" w:ascii="宋体" w:hAnsi="宋体" w:eastAsia="宋体" w:cs="宋体"/>
          <w:b/>
          <w:bCs/>
          <w:sz w:val="28"/>
          <w:szCs w:val="28"/>
          <w:highlight w:val="none"/>
          <w:lang w:eastAsia="zh-CN"/>
        </w:rPr>
      </w:pPr>
      <w:r>
        <w:rPr>
          <w:rFonts w:hint="eastAsia" w:ascii="宋体" w:hAnsi="宋体" w:eastAsia="宋体" w:cs="宋体"/>
          <w:b/>
          <w:bCs/>
          <w:sz w:val="28"/>
          <w:szCs w:val="28"/>
          <w:highlight w:val="none"/>
          <w:lang w:eastAsia="zh-CN"/>
        </w:rPr>
        <w:br w:type="page"/>
      </w:r>
    </w:p>
    <w:p w14:paraId="34352401">
      <w:pPr>
        <w:spacing w:line="500" w:lineRule="exact"/>
        <w:jc w:val="center"/>
        <w:textAlignment w:val="baseline"/>
        <w:outlineLvl w:val="1"/>
        <w:rPr>
          <w:rFonts w:hint="eastAsia" w:ascii="宋体" w:hAnsi="宋体" w:eastAsia="宋体" w:cs="宋体"/>
          <w:b/>
          <w:bCs/>
          <w:color w:val="auto"/>
          <w:sz w:val="28"/>
          <w:szCs w:val="28"/>
          <w:highlight w:val="none"/>
        </w:rPr>
      </w:pPr>
      <w:bookmarkStart w:id="756" w:name="_Toc24548"/>
      <w:r>
        <w:rPr>
          <w:rFonts w:hint="eastAsia" w:ascii="宋体" w:hAnsi="宋体" w:eastAsia="宋体" w:cs="宋体"/>
          <w:b/>
          <w:bCs/>
          <w:sz w:val="28"/>
          <w:szCs w:val="28"/>
          <w:highlight w:val="none"/>
          <w:lang w:eastAsia="zh-CN"/>
        </w:rPr>
        <w:t>三</w:t>
      </w:r>
      <w:r>
        <w:rPr>
          <w:rFonts w:hint="eastAsia" w:ascii="宋体" w:hAnsi="宋体" w:eastAsia="宋体" w:cs="宋体"/>
          <w:b/>
          <w:bCs/>
          <w:sz w:val="28"/>
          <w:szCs w:val="28"/>
          <w:highlight w:val="none"/>
        </w:rPr>
        <w:t>、</w:t>
      </w:r>
      <w:r>
        <w:rPr>
          <w:rFonts w:hint="eastAsia" w:ascii="宋体" w:hAnsi="宋体" w:eastAsia="宋体" w:cs="宋体"/>
          <w:b/>
          <w:bCs/>
          <w:color w:val="auto"/>
          <w:sz w:val="28"/>
          <w:szCs w:val="28"/>
          <w:highlight w:val="none"/>
        </w:rPr>
        <w:t>供应商资格审查资料</w:t>
      </w:r>
      <w:bookmarkEnd w:id="756"/>
    </w:p>
    <w:p w14:paraId="16B88C85">
      <w:pPr>
        <w:spacing w:line="500" w:lineRule="exact"/>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rPr>
        <w:t>供应商基本情况表</w:t>
      </w:r>
    </w:p>
    <w:tbl>
      <w:tblPr>
        <w:tblStyle w:val="26"/>
        <w:tblpPr w:leftFromText="180" w:rightFromText="180" w:vertAnchor="text" w:horzAnchor="page" w:tblpX="1048" w:tblpY="271"/>
        <w:tblOverlap w:val="never"/>
        <w:tblW w:w="991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759"/>
        <w:gridCol w:w="1032"/>
        <w:gridCol w:w="1180"/>
        <w:gridCol w:w="819"/>
        <w:gridCol w:w="1245"/>
        <w:gridCol w:w="386"/>
        <w:gridCol w:w="894"/>
        <w:gridCol w:w="1598"/>
      </w:tblGrid>
      <w:tr w14:paraId="584010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718E95CB">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供应商名称</w:t>
            </w:r>
          </w:p>
        </w:tc>
        <w:tc>
          <w:tcPr>
            <w:tcW w:w="7154" w:type="dxa"/>
            <w:gridSpan w:val="7"/>
            <w:tcBorders>
              <w:top w:val="single" w:color="auto" w:sz="4" w:space="0"/>
              <w:left w:val="single" w:color="auto" w:sz="4" w:space="0"/>
              <w:bottom w:val="single" w:color="auto" w:sz="4" w:space="0"/>
              <w:right w:val="single" w:color="auto" w:sz="4" w:space="0"/>
            </w:tcBorders>
            <w:noWrap w:val="0"/>
            <w:vAlign w:val="center"/>
          </w:tcPr>
          <w:p w14:paraId="64D4C19A">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1637A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281A67E7">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注册地址</w:t>
            </w:r>
          </w:p>
        </w:tc>
        <w:tc>
          <w:tcPr>
            <w:tcW w:w="3031" w:type="dxa"/>
            <w:gridSpan w:val="3"/>
            <w:tcBorders>
              <w:top w:val="single" w:color="auto" w:sz="4" w:space="0"/>
              <w:left w:val="single" w:color="auto" w:sz="4" w:space="0"/>
              <w:bottom w:val="single" w:color="auto" w:sz="4" w:space="0"/>
              <w:right w:val="single" w:color="auto" w:sz="4" w:space="0"/>
            </w:tcBorders>
            <w:noWrap w:val="0"/>
            <w:vAlign w:val="center"/>
          </w:tcPr>
          <w:p w14:paraId="54A5A981">
            <w:pPr>
              <w:topLinePunct/>
              <w:autoSpaceDE w:val="0"/>
              <w:autoSpaceDN w:val="0"/>
              <w:spacing w:line="440" w:lineRule="exact"/>
              <w:ind w:firstLine="480"/>
              <w:jc w:val="center"/>
              <w:rPr>
                <w:rFonts w:hint="eastAsia" w:ascii="宋体" w:hAnsi="宋体" w:eastAsia="宋体" w:cs="宋体"/>
                <w:sz w:val="22"/>
                <w:szCs w:val="22"/>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6B9B96EA">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邮政编码</w:t>
            </w:r>
          </w:p>
        </w:tc>
        <w:tc>
          <w:tcPr>
            <w:tcW w:w="2878" w:type="dxa"/>
            <w:gridSpan w:val="3"/>
            <w:tcBorders>
              <w:top w:val="single" w:color="auto" w:sz="4" w:space="0"/>
              <w:left w:val="single" w:color="auto" w:sz="4" w:space="0"/>
              <w:bottom w:val="single" w:color="auto" w:sz="4" w:space="0"/>
              <w:right w:val="single" w:color="auto" w:sz="4" w:space="0"/>
            </w:tcBorders>
            <w:noWrap w:val="0"/>
            <w:vAlign w:val="center"/>
          </w:tcPr>
          <w:p w14:paraId="1FA4DAEB">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0A66B7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4" w:hRule="atLeast"/>
        </w:trPr>
        <w:tc>
          <w:tcPr>
            <w:tcW w:w="2759" w:type="dxa"/>
            <w:vMerge w:val="restart"/>
            <w:tcBorders>
              <w:top w:val="single" w:color="auto" w:sz="4" w:space="0"/>
              <w:left w:val="single" w:color="auto" w:sz="4" w:space="0"/>
              <w:bottom w:val="single" w:color="auto" w:sz="4" w:space="0"/>
              <w:right w:val="single" w:color="auto" w:sz="4" w:space="0"/>
            </w:tcBorders>
            <w:noWrap w:val="0"/>
            <w:vAlign w:val="center"/>
          </w:tcPr>
          <w:p w14:paraId="28429445">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联系方式</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3D98AF71">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联系人</w:t>
            </w:r>
          </w:p>
        </w:tc>
        <w:tc>
          <w:tcPr>
            <w:tcW w:w="1999" w:type="dxa"/>
            <w:gridSpan w:val="2"/>
            <w:tcBorders>
              <w:top w:val="single" w:color="auto" w:sz="4" w:space="0"/>
              <w:left w:val="single" w:color="auto" w:sz="4" w:space="0"/>
              <w:bottom w:val="single" w:color="auto" w:sz="4" w:space="0"/>
              <w:right w:val="single" w:color="auto" w:sz="4" w:space="0"/>
            </w:tcBorders>
            <w:noWrap w:val="0"/>
            <w:vAlign w:val="center"/>
          </w:tcPr>
          <w:p w14:paraId="55692258">
            <w:pPr>
              <w:topLinePunct/>
              <w:autoSpaceDE w:val="0"/>
              <w:autoSpaceDN w:val="0"/>
              <w:spacing w:line="440" w:lineRule="exact"/>
              <w:ind w:firstLine="480"/>
              <w:jc w:val="center"/>
              <w:rPr>
                <w:rFonts w:hint="eastAsia" w:ascii="宋体" w:hAnsi="宋体" w:eastAsia="宋体" w:cs="宋体"/>
                <w:sz w:val="22"/>
                <w:szCs w:val="22"/>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1ACA1AA3">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电 话</w:t>
            </w:r>
          </w:p>
        </w:tc>
        <w:tc>
          <w:tcPr>
            <w:tcW w:w="2878" w:type="dxa"/>
            <w:gridSpan w:val="3"/>
            <w:tcBorders>
              <w:top w:val="single" w:color="auto" w:sz="4" w:space="0"/>
              <w:left w:val="single" w:color="auto" w:sz="4" w:space="0"/>
              <w:bottom w:val="single" w:color="auto" w:sz="4" w:space="0"/>
              <w:right w:val="single" w:color="auto" w:sz="4" w:space="0"/>
            </w:tcBorders>
            <w:noWrap w:val="0"/>
            <w:vAlign w:val="center"/>
          </w:tcPr>
          <w:p w14:paraId="573F0668">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44ED1A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atLeast"/>
        </w:trPr>
        <w:tc>
          <w:tcPr>
            <w:tcW w:w="2759" w:type="dxa"/>
            <w:vMerge w:val="continue"/>
            <w:tcBorders>
              <w:top w:val="single" w:color="auto" w:sz="4" w:space="0"/>
              <w:left w:val="single" w:color="auto" w:sz="4" w:space="0"/>
              <w:bottom w:val="single" w:color="auto" w:sz="4" w:space="0"/>
              <w:right w:val="single" w:color="auto" w:sz="4" w:space="0"/>
            </w:tcBorders>
            <w:noWrap w:val="0"/>
            <w:vAlign w:val="center"/>
          </w:tcPr>
          <w:p w14:paraId="246B6051">
            <w:pPr>
              <w:topLinePunct/>
              <w:autoSpaceDE w:val="0"/>
              <w:autoSpaceDN w:val="0"/>
              <w:spacing w:line="440" w:lineRule="exact"/>
              <w:ind w:firstLine="480"/>
              <w:jc w:val="center"/>
              <w:rPr>
                <w:rFonts w:hint="eastAsia" w:ascii="宋体" w:hAnsi="宋体" w:eastAsia="宋体" w:cs="宋体"/>
                <w:sz w:val="22"/>
                <w:szCs w:val="22"/>
                <w:highlight w:val="none"/>
              </w:rPr>
            </w:pPr>
          </w:p>
        </w:tc>
        <w:tc>
          <w:tcPr>
            <w:tcW w:w="1032" w:type="dxa"/>
            <w:tcBorders>
              <w:top w:val="single" w:color="auto" w:sz="4" w:space="0"/>
              <w:left w:val="single" w:color="auto" w:sz="4" w:space="0"/>
              <w:bottom w:val="single" w:color="auto" w:sz="4" w:space="0"/>
              <w:right w:val="single" w:color="auto" w:sz="4" w:space="0"/>
            </w:tcBorders>
            <w:noWrap w:val="0"/>
            <w:vAlign w:val="center"/>
          </w:tcPr>
          <w:p w14:paraId="0519C1BE">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传 真</w:t>
            </w:r>
          </w:p>
        </w:tc>
        <w:tc>
          <w:tcPr>
            <w:tcW w:w="1999" w:type="dxa"/>
            <w:gridSpan w:val="2"/>
            <w:tcBorders>
              <w:top w:val="single" w:color="auto" w:sz="4" w:space="0"/>
              <w:left w:val="single" w:color="auto" w:sz="4" w:space="0"/>
              <w:bottom w:val="single" w:color="auto" w:sz="4" w:space="0"/>
              <w:right w:val="single" w:color="auto" w:sz="4" w:space="0"/>
            </w:tcBorders>
            <w:noWrap w:val="0"/>
            <w:vAlign w:val="center"/>
          </w:tcPr>
          <w:p w14:paraId="2A3F6B49">
            <w:pPr>
              <w:topLinePunct/>
              <w:autoSpaceDE w:val="0"/>
              <w:autoSpaceDN w:val="0"/>
              <w:spacing w:line="440" w:lineRule="exact"/>
              <w:ind w:firstLine="480"/>
              <w:jc w:val="center"/>
              <w:rPr>
                <w:rFonts w:hint="eastAsia" w:ascii="宋体" w:hAnsi="宋体" w:eastAsia="宋体" w:cs="宋体"/>
                <w:sz w:val="22"/>
                <w:szCs w:val="22"/>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37D04706">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网 址</w:t>
            </w:r>
          </w:p>
        </w:tc>
        <w:tc>
          <w:tcPr>
            <w:tcW w:w="2878" w:type="dxa"/>
            <w:gridSpan w:val="3"/>
            <w:tcBorders>
              <w:top w:val="single" w:color="auto" w:sz="4" w:space="0"/>
              <w:left w:val="single" w:color="auto" w:sz="4" w:space="0"/>
              <w:bottom w:val="single" w:color="auto" w:sz="4" w:space="0"/>
              <w:right w:val="single" w:color="auto" w:sz="4" w:space="0"/>
            </w:tcBorders>
            <w:noWrap w:val="0"/>
            <w:vAlign w:val="center"/>
          </w:tcPr>
          <w:p w14:paraId="2CFA5157">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2B97DC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2ABEFF8B">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w:t>
            </w:r>
          </w:p>
        </w:tc>
        <w:tc>
          <w:tcPr>
            <w:tcW w:w="1032" w:type="dxa"/>
            <w:tcBorders>
              <w:top w:val="single" w:color="auto" w:sz="4" w:space="0"/>
              <w:left w:val="single" w:color="auto" w:sz="4" w:space="0"/>
              <w:bottom w:val="single" w:color="auto" w:sz="4" w:space="0"/>
              <w:right w:val="single" w:color="auto" w:sz="4" w:space="0"/>
            </w:tcBorders>
            <w:noWrap w:val="0"/>
            <w:vAlign w:val="center"/>
          </w:tcPr>
          <w:p w14:paraId="2FCE5841">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姓名</w:t>
            </w:r>
          </w:p>
        </w:tc>
        <w:tc>
          <w:tcPr>
            <w:tcW w:w="3630" w:type="dxa"/>
            <w:gridSpan w:val="4"/>
            <w:tcBorders>
              <w:top w:val="single" w:color="auto" w:sz="4" w:space="0"/>
              <w:left w:val="single" w:color="auto" w:sz="4" w:space="0"/>
              <w:bottom w:val="single" w:color="auto" w:sz="4" w:space="0"/>
              <w:right w:val="single" w:color="auto" w:sz="4" w:space="0"/>
            </w:tcBorders>
            <w:noWrap w:val="0"/>
            <w:vAlign w:val="center"/>
          </w:tcPr>
          <w:p w14:paraId="34D78F07">
            <w:pPr>
              <w:topLinePunct/>
              <w:autoSpaceDE w:val="0"/>
              <w:autoSpaceDN w:val="0"/>
              <w:spacing w:line="440" w:lineRule="exact"/>
              <w:ind w:firstLine="480"/>
              <w:jc w:val="center"/>
              <w:rPr>
                <w:rFonts w:hint="eastAsia" w:ascii="宋体" w:hAnsi="宋体" w:eastAsia="宋体" w:cs="宋体"/>
                <w:sz w:val="22"/>
                <w:szCs w:val="22"/>
                <w:highlight w:val="none"/>
              </w:rPr>
            </w:pPr>
          </w:p>
        </w:tc>
        <w:tc>
          <w:tcPr>
            <w:tcW w:w="894" w:type="dxa"/>
            <w:tcBorders>
              <w:top w:val="single" w:color="auto" w:sz="4" w:space="0"/>
              <w:left w:val="single" w:color="auto" w:sz="4" w:space="0"/>
              <w:bottom w:val="single" w:color="auto" w:sz="4" w:space="0"/>
              <w:right w:val="single" w:color="auto" w:sz="4" w:space="0"/>
            </w:tcBorders>
            <w:noWrap w:val="0"/>
            <w:vAlign w:val="center"/>
          </w:tcPr>
          <w:p w14:paraId="3D5F0ED7">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电话</w:t>
            </w:r>
          </w:p>
        </w:tc>
        <w:tc>
          <w:tcPr>
            <w:tcW w:w="1598" w:type="dxa"/>
            <w:tcBorders>
              <w:top w:val="single" w:color="auto" w:sz="4" w:space="0"/>
              <w:left w:val="single" w:color="auto" w:sz="4" w:space="0"/>
              <w:bottom w:val="single" w:color="auto" w:sz="4" w:space="0"/>
              <w:right w:val="single" w:color="auto" w:sz="4" w:space="0"/>
            </w:tcBorders>
            <w:noWrap w:val="0"/>
            <w:vAlign w:val="center"/>
          </w:tcPr>
          <w:p w14:paraId="00FC1DF0">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57BA71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550E9649">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成立时间</w:t>
            </w:r>
          </w:p>
        </w:tc>
        <w:tc>
          <w:tcPr>
            <w:tcW w:w="2212" w:type="dxa"/>
            <w:gridSpan w:val="2"/>
            <w:tcBorders>
              <w:top w:val="single" w:color="auto" w:sz="4" w:space="0"/>
              <w:left w:val="single" w:color="auto" w:sz="4" w:space="0"/>
              <w:bottom w:val="single" w:color="auto" w:sz="4" w:space="0"/>
              <w:right w:val="single" w:color="auto" w:sz="4" w:space="0"/>
            </w:tcBorders>
            <w:noWrap w:val="0"/>
            <w:vAlign w:val="center"/>
          </w:tcPr>
          <w:p w14:paraId="4B010C30">
            <w:pPr>
              <w:topLinePunct/>
              <w:autoSpaceDE w:val="0"/>
              <w:autoSpaceDN w:val="0"/>
              <w:spacing w:line="440" w:lineRule="exact"/>
              <w:ind w:firstLine="480"/>
              <w:jc w:val="center"/>
              <w:rPr>
                <w:rFonts w:hint="eastAsia" w:ascii="宋体" w:hAnsi="宋体" w:eastAsia="宋体" w:cs="宋体"/>
                <w:sz w:val="22"/>
                <w:szCs w:val="22"/>
                <w:highlight w:val="none"/>
              </w:rPr>
            </w:pPr>
          </w:p>
        </w:tc>
        <w:tc>
          <w:tcPr>
            <w:tcW w:w="4942" w:type="dxa"/>
            <w:gridSpan w:val="5"/>
            <w:tcBorders>
              <w:top w:val="single" w:color="auto" w:sz="4" w:space="0"/>
              <w:left w:val="single" w:color="auto" w:sz="4" w:space="0"/>
              <w:bottom w:val="single" w:color="auto" w:sz="4" w:space="0"/>
              <w:right w:val="single" w:color="auto" w:sz="4" w:space="0"/>
            </w:tcBorders>
            <w:noWrap w:val="0"/>
            <w:vAlign w:val="center"/>
          </w:tcPr>
          <w:p w14:paraId="242DD990">
            <w:pPr>
              <w:topLinePunct/>
              <w:autoSpaceDE w:val="0"/>
              <w:autoSpaceDN w:val="0"/>
              <w:spacing w:line="440" w:lineRule="exact"/>
              <w:ind w:firstLine="1100" w:firstLineChars="500"/>
              <w:rPr>
                <w:rFonts w:hint="eastAsia" w:ascii="宋体" w:hAnsi="宋体" w:eastAsia="宋体" w:cs="宋体"/>
                <w:sz w:val="22"/>
                <w:szCs w:val="22"/>
                <w:highlight w:val="none"/>
              </w:rPr>
            </w:pPr>
            <w:r>
              <w:rPr>
                <w:rFonts w:hint="eastAsia" w:ascii="宋体" w:hAnsi="宋体" w:eastAsia="宋体" w:cs="宋体"/>
                <w:sz w:val="22"/>
                <w:szCs w:val="22"/>
                <w:highlight w:val="none"/>
              </w:rPr>
              <w:t>员工总人数：</w:t>
            </w:r>
          </w:p>
        </w:tc>
      </w:tr>
      <w:tr w14:paraId="382AE9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9"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00EB5D35">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统一社会信用代码</w:t>
            </w:r>
          </w:p>
        </w:tc>
        <w:tc>
          <w:tcPr>
            <w:tcW w:w="7154" w:type="dxa"/>
            <w:gridSpan w:val="7"/>
            <w:tcBorders>
              <w:top w:val="single" w:color="auto" w:sz="4" w:space="0"/>
              <w:left w:val="single" w:color="auto" w:sz="4" w:space="0"/>
              <w:bottom w:val="single" w:color="auto" w:sz="4" w:space="0"/>
              <w:right w:val="single" w:color="auto" w:sz="4" w:space="0"/>
            </w:tcBorders>
            <w:noWrap w:val="0"/>
            <w:vAlign w:val="center"/>
          </w:tcPr>
          <w:p w14:paraId="65BF70EB">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42B7D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3"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3CF12E4D">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注册资金</w:t>
            </w:r>
          </w:p>
        </w:tc>
        <w:tc>
          <w:tcPr>
            <w:tcW w:w="7154" w:type="dxa"/>
            <w:gridSpan w:val="7"/>
            <w:tcBorders>
              <w:top w:val="single" w:color="auto" w:sz="4" w:space="0"/>
              <w:left w:val="single" w:color="auto" w:sz="4" w:space="0"/>
              <w:bottom w:val="single" w:color="auto" w:sz="4" w:space="0"/>
              <w:right w:val="single" w:color="auto" w:sz="4" w:space="0"/>
            </w:tcBorders>
            <w:noWrap w:val="0"/>
            <w:vAlign w:val="center"/>
          </w:tcPr>
          <w:p w14:paraId="2ACFA645">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0C1B38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45"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009FB232">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开户银行</w:t>
            </w:r>
          </w:p>
        </w:tc>
        <w:tc>
          <w:tcPr>
            <w:tcW w:w="7154" w:type="dxa"/>
            <w:gridSpan w:val="7"/>
            <w:tcBorders>
              <w:top w:val="single" w:color="auto" w:sz="4" w:space="0"/>
              <w:left w:val="single" w:color="auto" w:sz="4" w:space="0"/>
              <w:bottom w:val="single" w:color="auto" w:sz="4" w:space="0"/>
              <w:right w:val="single" w:color="auto" w:sz="4" w:space="0"/>
            </w:tcBorders>
            <w:noWrap w:val="0"/>
            <w:vAlign w:val="center"/>
          </w:tcPr>
          <w:p w14:paraId="4BD98A92">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5C115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5"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0CB36CBA">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账号</w:t>
            </w:r>
          </w:p>
        </w:tc>
        <w:tc>
          <w:tcPr>
            <w:tcW w:w="7154" w:type="dxa"/>
            <w:gridSpan w:val="7"/>
            <w:tcBorders>
              <w:top w:val="single" w:color="auto" w:sz="4" w:space="0"/>
              <w:left w:val="single" w:color="auto" w:sz="4" w:space="0"/>
              <w:bottom w:val="single" w:color="auto" w:sz="4" w:space="0"/>
              <w:right w:val="single" w:color="auto" w:sz="4" w:space="0"/>
            </w:tcBorders>
            <w:noWrap w:val="0"/>
            <w:vAlign w:val="center"/>
          </w:tcPr>
          <w:p w14:paraId="5B7EDA81">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79EB6F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36" w:hRule="atLeast"/>
        </w:trPr>
        <w:tc>
          <w:tcPr>
            <w:tcW w:w="2759" w:type="dxa"/>
            <w:tcBorders>
              <w:top w:val="single" w:color="auto" w:sz="4" w:space="0"/>
              <w:left w:val="single" w:color="auto" w:sz="4" w:space="0"/>
              <w:right w:val="single" w:color="auto" w:sz="4" w:space="0"/>
            </w:tcBorders>
            <w:noWrap w:val="0"/>
            <w:vAlign w:val="center"/>
          </w:tcPr>
          <w:p w14:paraId="2EFCFCEE">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lang w:eastAsia="zh-CN"/>
              </w:rPr>
              <w:t>经营</w:t>
            </w:r>
            <w:r>
              <w:rPr>
                <w:rFonts w:hint="eastAsia" w:ascii="宋体" w:hAnsi="宋体" w:eastAsia="宋体" w:cs="宋体"/>
                <w:sz w:val="22"/>
                <w:szCs w:val="22"/>
                <w:highlight w:val="none"/>
              </w:rPr>
              <w:t>范围</w:t>
            </w:r>
          </w:p>
        </w:tc>
        <w:tc>
          <w:tcPr>
            <w:tcW w:w="7154" w:type="dxa"/>
            <w:gridSpan w:val="7"/>
            <w:tcBorders>
              <w:top w:val="single" w:color="auto" w:sz="4" w:space="0"/>
              <w:left w:val="single" w:color="auto" w:sz="4" w:space="0"/>
              <w:right w:val="single" w:color="auto" w:sz="4" w:space="0"/>
            </w:tcBorders>
            <w:noWrap w:val="0"/>
            <w:vAlign w:val="center"/>
          </w:tcPr>
          <w:p w14:paraId="0484AEEF">
            <w:pPr>
              <w:topLinePunct/>
              <w:autoSpaceDE w:val="0"/>
              <w:autoSpaceDN w:val="0"/>
              <w:spacing w:line="440" w:lineRule="exact"/>
              <w:ind w:firstLine="480"/>
              <w:rPr>
                <w:rFonts w:hint="eastAsia" w:ascii="宋体" w:hAnsi="宋体" w:eastAsia="宋体" w:cs="宋体"/>
                <w:sz w:val="22"/>
                <w:szCs w:val="22"/>
                <w:highlight w:val="none"/>
              </w:rPr>
            </w:pPr>
          </w:p>
          <w:p w14:paraId="4DEA080F">
            <w:pPr>
              <w:topLinePunct/>
              <w:autoSpaceDE w:val="0"/>
              <w:autoSpaceDN w:val="0"/>
              <w:spacing w:line="440" w:lineRule="exact"/>
              <w:ind w:firstLine="480"/>
              <w:jc w:val="center"/>
              <w:rPr>
                <w:rFonts w:hint="eastAsia" w:ascii="宋体" w:hAnsi="宋体" w:eastAsia="宋体" w:cs="宋体"/>
                <w:sz w:val="22"/>
                <w:szCs w:val="22"/>
                <w:highlight w:val="none"/>
              </w:rPr>
            </w:pPr>
          </w:p>
          <w:p w14:paraId="2AF3EF46">
            <w:pPr>
              <w:topLinePunct/>
              <w:autoSpaceDE w:val="0"/>
              <w:autoSpaceDN w:val="0"/>
              <w:spacing w:line="440" w:lineRule="exact"/>
              <w:ind w:firstLine="480"/>
              <w:jc w:val="center"/>
              <w:rPr>
                <w:rFonts w:hint="eastAsia" w:ascii="宋体" w:hAnsi="宋体" w:eastAsia="宋体" w:cs="宋体"/>
                <w:sz w:val="22"/>
                <w:szCs w:val="22"/>
                <w:highlight w:val="none"/>
              </w:rPr>
            </w:pPr>
          </w:p>
          <w:p w14:paraId="54A1A4C8">
            <w:pPr>
              <w:topLinePunct/>
              <w:autoSpaceDE w:val="0"/>
              <w:autoSpaceDN w:val="0"/>
              <w:spacing w:line="440" w:lineRule="exact"/>
              <w:ind w:firstLine="480"/>
              <w:jc w:val="center"/>
              <w:rPr>
                <w:rFonts w:hint="eastAsia" w:ascii="宋体" w:hAnsi="宋体" w:eastAsia="宋体" w:cs="宋体"/>
                <w:sz w:val="22"/>
                <w:szCs w:val="22"/>
                <w:highlight w:val="none"/>
              </w:rPr>
            </w:pPr>
          </w:p>
          <w:p w14:paraId="1D1E48BD">
            <w:pPr>
              <w:topLinePunct/>
              <w:autoSpaceDE w:val="0"/>
              <w:autoSpaceDN w:val="0"/>
              <w:spacing w:line="440" w:lineRule="exact"/>
              <w:ind w:firstLine="480"/>
              <w:jc w:val="center"/>
              <w:rPr>
                <w:rFonts w:hint="eastAsia" w:ascii="宋体" w:hAnsi="宋体" w:eastAsia="宋体" w:cs="宋体"/>
                <w:sz w:val="22"/>
                <w:szCs w:val="22"/>
                <w:highlight w:val="none"/>
              </w:rPr>
            </w:pPr>
          </w:p>
          <w:p w14:paraId="5AC84D00">
            <w:pPr>
              <w:topLinePunct/>
              <w:autoSpaceDE w:val="0"/>
              <w:autoSpaceDN w:val="0"/>
              <w:spacing w:line="440" w:lineRule="exact"/>
              <w:ind w:firstLine="480"/>
              <w:jc w:val="center"/>
              <w:rPr>
                <w:rFonts w:hint="eastAsia" w:ascii="宋体" w:hAnsi="宋体" w:eastAsia="宋体" w:cs="宋体"/>
                <w:sz w:val="22"/>
                <w:szCs w:val="22"/>
                <w:highlight w:val="none"/>
              </w:rPr>
            </w:pPr>
          </w:p>
          <w:p w14:paraId="2863A42D">
            <w:pPr>
              <w:topLinePunct/>
              <w:autoSpaceDE w:val="0"/>
              <w:autoSpaceDN w:val="0"/>
              <w:spacing w:line="440" w:lineRule="exact"/>
              <w:ind w:firstLine="480"/>
              <w:jc w:val="center"/>
              <w:rPr>
                <w:rFonts w:hint="eastAsia" w:ascii="宋体" w:hAnsi="宋体" w:eastAsia="宋体" w:cs="宋体"/>
                <w:sz w:val="22"/>
                <w:szCs w:val="22"/>
                <w:highlight w:val="none"/>
              </w:rPr>
            </w:pPr>
          </w:p>
        </w:tc>
      </w:tr>
      <w:tr w14:paraId="499C2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2759" w:type="dxa"/>
            <w:tcBorders>
              <w:top w:val="single" w:color="auto" w:sz="4" w:space="0"/>
              <w:left w:val="single" w:color="auto" w:sz="4" w:space="0"/>
              <w:bottom w:val="single" w:color="auto" w:sz="4" w:space="0"/>
              <w:right w:val="single" w:color="auto" w:sz="4" w:space="0"/>
            </w:tcBorders>
            <w:noWrap w:val="0"/>
            <w:vAlign w:val="center"/>
          </w:tcPr>
          <w:p w14:paraId="3FBE4E8E">
            <w:pPr>
              <w:topLinePunct/>
              <w:autoSpaceDE w:val="0"/>
              <w:autoSpaceDN w:val="0"/>
              <w:spacing w:line="440" w:lineRule="exact"/>
              <w:jc w:val="center"/>
              <w:rPr>
                <w:rFonts w:hint="eastAsia" w:ascii="宋体" w:hAnsi="宋体" w:eastAsia="宋体" w:cs="宋体"/>
                <w:sz w:val="22"/>
                <w:szCs w:val="22"/>
                <w:highlight w:val="none"/>
              </w:rPr>
            </w:pPr>
            <w:r>
              <w:rPr>
                <w:rFonts w:hint="eastAsia" w:ascii="宋体" w:hAnsi="宋体" w:eastAsia="宋体" w:cs="宋体"/>
                <w:sz w:val="22"/>
                <w:szCs w:val="22"/>
                <w:highlight w:val="none"/>
              </w:rPr>
              <w:t>备注</w:t>
            </w:r>
          </w:p>
        </w:tc>
        <w:tc>
          <w:tcPr>
            <w:tcW w:w="7154" w:type="dxa"/>
            <w:gridSpan w:val="7"/>
            <w:tcBorders>
              <w:top w:val="single" w:color="auto" w:sz="4" w:space="0"/>
              <w:left w:val="single" w:color="auto" w:sz="4" w:space="0"/>
              <w:bottom w:val="single" w:color="auto" w:sz="4" w:space="0"/>
              <w:right w:val="single" w:color="auto" w:sz="4" w:space="0"/>
            </w:tcBorders>
            <w:noWrap w:val="0"/>
            <w:vAlign w:val="center"/>
          </w:tcPr>
          <w:p w14:paraId="5D5CDF76">
            <w:pPr>
              <w:topLinePunct/>
              <w:autoSpaceDE w:val="0"/>
              <w:autoSpaceDN w:val="0"/>
              <w:spacing w:line="440" w:lineRule="exact"/>
              <w:ind w:firstLine="480"/>
              <w:jc w:val="center"/>
              <w:rPr>
                <w:rFonts w:hint="eastAsia" w:ascii="宋体" w:hAnsi="宋体" w:eastAsia="宋体" w:cs="宋体"/>
                <w:sz w:val="22"/>
                <w:szCs w:val="22"/>
                <w:highlight w:val="none"/>
              </w:rPr>
            </w:pPr>
          </w:p>
        </w:tc>
      </w:tr>
    </w:tbl>
    <w:p w14:paraId="4761ECD6">
      <w:pPr>
        <w:spacing w:line="360"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备注：本表后应附有效的营业执照扫描件。</w:t>
      </w:r>
    </w:p>
    <w:p w14:paraId="3BDDC7D0">
      <w:pP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br w:type="page"/>
      </w:r>
    </w:p>
    <w:p w14:paraId="1AE07647">
      <w:pPr>
        <w:spacing w:line="360" w:lineRule="auto"/>
        <w:rPr>
          <w:rFonts w:hint="eastAsia" w:ascii="宋体" w:hAnsi="宋体" w:eastAsia="宋体" w:cs="宋体"/>
          <w:b/>
          <w:bCs/>
          <w:color w:val="auto"/>
          <w:sz w:val="32"/>
          <w:szCs w:val="32"/>
          <w:highlight w:val="none"/>
        </w:rPr>
      </w:pPr>
      <w:bookmarkStart w:id="757" w:name="_Toc22555"/>
      <w:bookmarkStart w:id="758" w:name="_Toc24240"/>
      <w:bookmarkStart w:id="759" w:name="_Toc19673"/>
      <w:bookmarkStart w:id="760" w:name="_Toc15440"/>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.2、资格承诺声明函</w:t>
      </w:r>
    </w:p>
    <w:p w14:paraId="487529FA">
      <w:pPr>
        <w:adjustRightInd w:val="0"/>
        <w:snapToGrid w:val="0"/>
        <w:spacing w:line="360" w:lineRule="auto"/>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致：</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名称）</w:t>
      </w:r>
      <w:r>
        <w:rPr>
          <w:rFonts w:hint="eastAsia" w:ascii="宋体" w:hAnsi="宋体" w:eastAsia="宋体" w:cs="宋体"/>
          <w:color w:val="auto"/>
          <w:kern w:val="0"/>
          <w:sz w:val="21"/>
          <w:szCs w:val="21"/>
          <w:highlight w:val="none"/>
        </w:rPr>
        <w:t>：</w:t>
      </w:r>
    </w:p>
    <w:p w14:paraId="328228C0">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我单位自愿参加本次</w:t>
      </w:r>
      <w:r>
        <w:rPr>
          <w:rFonts w:hint="eastAsia" w:ascii="宋体" w:hAnsi="宋体" w:eastAsia="宋体" w:cs="宋体"/>
          <w:color w:val="auto"/>
          <w:sz w:val="21"/>
          <w:szCs w:val="21"/>
          <w:highlight w:val="none"/>
          <w:lang w:eastAsia="zh-CN"/>
        </w:rPr>
        <w:t>政府</w:t>
      </w:r>
      <w:r>
        <w:rPr>
          <w:rFonts w:hint="eastAsia" w:ascii="宋体" w:hAnsi="宋体" w:eastAsia="宋体" w:cs="宋体"/>
          <w:color w:val="auto"/>
          <w:sz w:val="21"/>
          <w:szCs w:val="21"/>
          <w:highlight w:val="none"/>
        </w:rPr>
        <w:t>采购活动，严格遵守《中华人民共和国政府采购法》</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《政府采购竞争性磋商采购方式管理暂行办法》（财库〔2014〕214号）及相关法律法规，依法诚信经营，依法遵守本次框架协议采购活动的各项规定。我单位郑重承诺</w:t>
      </w:r>
      <w:r>
        <w:rPr>
          <w:rFonts w:hint="eastAsia" w:ascii="宋体" w:hAnsi="宋体" w:eastAsia="宋体" w:cs="宋体"/>
          <w:color w:val="auto"/>
          <w:kern w:val="0"/>
          <w:sz w:val="21"/>
          <w:szCs w:val="21"/>
          <w:highlight w:val="none"/>
        </w:rPr>
        <w:t>声明如下：</w:t>
      </w:r>
    </w:p>
    <w:p w14:paraId="06338CA5">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一、我单位全称为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，注册地点为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，统一社会信用代码为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，法定代表人为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，联系方式为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A7FB7C5">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二、我单位具有独立承担民事责任的能力。</w:t>
      </w:r>
    </w:p>
    <w:p w14:paraId="2935AEF8">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三、我单位具有良好的商业信誉和健全的财务会计制度。</w:t>
      </w:r>
    </w:p>
    <w:p w14:paraId="07056173">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四、我单位具有履行合同所必需的设备和专业技术能力。</w:t>
      </w:r>
    </w:p>
    <w:p w14:paraId="7C263670">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五、我单位有依法缴纳税收和社会保障资金的良好记录。</w:t>
      </w:r>
    </w:p>
    <w:p w14:paraId="5D3A5785">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六、我单位参加采购活动前三年内，在经营活动中没有重大违法记录。（重大违法记录，是指供应商因违法经营受到刑事处罚或者责令停产停业、吊销许可证或者执照、较大数额罚款等行政处罚。）</w:t>
      </w:r>
    </w:p>
    <w:p w14:paraId="3E638F0F">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七、我单位具备法律、行政法规规定的其他条件。</w:t>
      </w:r>
    </w:p>
    <w:p w14:paraId="045D66E5">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八、</w:t>
      </w:r>
      <w:r>
        <w:rPr>
          <w:rFonts w:hint="eastAsia" w:ascii="宋体" w:hAnsi="宋体" w:eastAsia="宋体" w:cs="宋体"/>
          <w:color w:val="auto"/>
          <w:sz w:val="21"/>
          <w:szCs w:val="21"/>
          <w:highlight w:val="none"/>
        </w:rPr>
        <w:t>我方在此声明，所提交的响应文件及有关资料内容完整、真实和准确，且不存在第二章“供应商须知”第</w:t>
      </w:r>
      <w:r>
        <w:rPr>
          <w:rFonts w:hint="eastAsia" w:ascii="宋体" w:hAnsi="宋体" w:eastAsia="宋体" w:cs="宋体"/>
          <w:color w:val="auto"/>
          <w:sz w:val="21"/>
          <w:szCs w:val="21"/>
          <w:highlight w:val="none"/>
          <w:lang w:val="en-US" w:eastAsia="zh-CN"/>
        </w:rPr>
        <w:t>1.2.10</w:t>
      </w:r>
      <w:r>
        <w:rPr>
          <w:rFonts w:hint="eastAsia" w:ascii="宋体" w:hAnsi="宋体" w:eastAsia="宋体" w:cs="宋体"/>
          <w:color w:val="auto"/>
          <w:sz w:val="21"/>
          <w:szCs w:val="21"/>
          <w:highlight w:val="none"/>
        </w:rPr>
        <w:t>项规定的任何一种情形。</w:t>
      </w:r>
    </w:p>
    <w:p w14:paraId="6DAE4E0C">
      <w:pPr>
        <w:adjustRightInd w:val="0"/>
        <w:snapToGrid w:val="0"/>
        <w:spacing w:line="360" w:lineRule="auto"/>
        <w:ind w:firstLine="420" w:firstLineChars="200"/>
        <w:contextualSpacing/>
        <w:textAlignment w:val="baseline"/>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我单位保证上述声明的事项都是真实的，符合《中华人民共和国政府采购法》规定的供应商资格条件。如有弄虚作假，我单位愿意按照“</w:t>
      </w:r>
      <w:r>
        <w:rPr>
          <w:rFonts w:hint="eastAsia" w:ascii="宋体" w:hAnsi="宋体" w:eastAsia="宋体" w:cs="宋体"/>
          <w:color w:val="auto"/>
          <w:sz w:val="21"/>
          <w:szCs w:val="21"/>
          <w:highlight w:val="none"/>
        </w:rPr>
        <w:t>提供虚假材料谋取入围</w:t>
      </w:r>
      <w:r>
        <w:rPr>
          <w:rFonts w:hint="eastAsia" w:ascii="宋体" w:hAnsi="宋体" w:eastAsia="宋体" w:cs="宋体"/>
          <w:color w:val="auto"/>
          <w:kern w:val="0"/>
          <w:sz w:val="21"/>
          <w:szCs w:val="21"/>
          <w:highlight w:val="none"/>
        </w:rPr>
        <w:t>”承担相应的法律责任，同意将违背承诺行为作为失信行为记录到社会信用信息平台，并承担因此所造成的一切损失。</w:t>
      </w:r>
    </w:p>
    <w:p w14:paraId="1DA6AAFC">
      <w:pPr>
        <w:adjustRightInd w:val="0"/>
        <w:snapToGrid w:val="0"/>
        <w:spacing w:line="360" w:lineRule="auto"/>
        <w:ind w:firstLine="420" w:firstLineChars="200"/>
        <w:contextualSpacing/>
        <w:textAlignment w:val="baseline"/>
        <w:rPr>
          <w:rFonts w:hint="eastAsia" w:ascii="宋体" w:hAnsi="宋体" w:eastAsia="宋体" w:cs="宋体"/>
          <w:color w:val="auto"/>
          <w:kern w:val="0"/>
          <w:highlight w:val="none"/>
        </w:rPr>
      </w:pPr>
    </w:p>
    <w:p w14:paraId="2DED7A90">
      <w:pPr>
        <w:widowControl/>
        <w:adjustRightInd w:val="0"/>
        <w:spacing w:before="120" w:after="120" w:line="360" w:lineRule="auto"/>
        <w:ind w:firstLine="420" w:firstLineChars="200"/>
        <w:contextualSpacing/>
        <w:jc w:val="left"/>
        <w:rPr>
          <w:rFonts w:hint="eastAsia" w:ascii="宋体" w:hAnsi="宋体" w:eastAsia="宋体" w:cs="宋体"/>
          <w:color w:val="auto"/>
          <w:highlight w:val="none"/>
        </w:rPr>
      </w:pPr>
    </w:p>
    <w:p w14:paraId="6E4E2F4F">
      <w:pPr>
        <w:widowControl/>
        <w:adjustRightInd w:val="0"/>
        <w:spacing w:before="120" w:after="120" w:line="360" w:lineRule="auto"/>
        <w:ind w:firstLine="420" w:firstLineChars="200"/>
        <w:contextualSpacing/>
        <w:jc w:val="left"/>
        <w:rPr>
          <w:rFonts w:hint="eastAsia" w:ascii="宋体" w:hAnsi="宋体" w:eastAsia="宋体" w:cs="宋体"/>
          <w:color w:val="auto"/>
          <w:highlight w:val="none"/>
        </w:rPr>
      </w:pPr>
    </w:p>
    <w:p w14:paraId="3C63A2C0">
      <w:pPr>
        <w:widowControl/>
        <w:adjustRightInd w:val="0"/>
        <w:spacing w:before="120" w:after="120" w:line="360" w:lineRule="auto"/>
        <w:contextualSpacing/>
        <w:jc w:val="left"/>
        <w:rPr>
          <w:rFonts w:hint="eastAsia" w:ascii="宋体" w:hAnsi="宋体" w:eastAsia="宋体" w:cs="宋体"/>
          <w:color w:val="auto"/>
          <w:highlight w:val="none"/>
        </w:rPr>
      </w:pPr>
    </w:p>
    <w:p w14:paraId="225F5573">
      <w:pPr>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供应商：</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（盖单位公章）</w:t>
      </w:r>
    </w:p>
    <w:p w14:paraId="0CC53DD7">
      <w:pPr>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rPr>
        <w:t>法定代表人或其委托代理人：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（签字或盖章）</w:t>
      </w:r>
    </w:p>
    <w:p w14:paraId="3B85A149">
      <w:pPr>
        <w:spacing w:line="360" w:lineRule="auto"/>
        <w:jc w:val="right"/>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2DD9AB33">
      <w:pPr>
        <w:widowControl/>
        <w:spacing w:line="360" w:lineRule="auto"/>
        <w:jc w:val="left"/>
        <w:rPr>
          <w:rFonts w:hint="eastAsia" w:ascii="宋体" w:hAnsi="宋体" w:eastAsia="宋体" w:cs="宋体"/>
          <w:color w:val="auto"/>
          <w:highlight w:val="none"/>
        </w:rPr>
      </w:pPr>
    </w:p>
    <w:p w14:paraId="6AAB5EFF">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注：1.供应商须在响应文件中按此模板提供承诺函，未提供视为未实质性响应</w:t>
      </w:r>
      <w:r>
        <w:rPr>
          <w:rFonts w:hint="eastAsia" w:ascii="宋体" w:hAnsi="宋体" w:eastAsia="宋体" w:cs="宋体"/>
          <w:color w:val="auto"/>
          <w:highlight w:val="none"/>
          <w:lang w:eastAsia="zh-CN"/>
        </w:rPr>
        <w:t>磋商</w:t>
      </w:r>
      <w:r>
        <w:rPr>
          <w:rFonts w:hint="eastAsia" w:ascii="宋体" w:hAnsi="宋体" w:eastAsia="宋体" w:cs="宋体"/>
          <w:color w:val="auto"/>
          <w:highlight w:val="none"/>
        </w:rPr>
        <w:t>文件要求，按无效</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处理。</w:t>
      </w:r>
    </w:p>
    <w:p w14:paraId="789587FA">
      <w:pPr>
        <w:widowControl/>
        <w:kinsoku w:val="0"/>
        <w:autoSpaceDE w:val="0"/>
        <w:autoSpaceDN w:val="0"/>
        <w:adjustRightInd w:val="0"/>
        <w:snapToGrid w:val="0"/>
        <w:spacing w:line="273" w:lineRule="auto"/>
        <w:jc w:val="left"/>
        <w:textAlignment w:val="baseline"/>
        <w:rPr>
          <w:rFonts w:hint="eastAsia" w:ascii="宋体" w:hAnsi="宋体" w:eastAsia="宋体" w:cs="宋体"/>
          <w:snapToGrid w:val="0"/>
          <w:color w:val="auto"/>
          <w:kern w:val="0"/>
          <w:highlight w:val="none"/>
        </w:rPr>
      </w:pPr>
      <w:r>
        <w:rPr>
          <w:rFonts w:hint="eastAsia" w:ascii="宋体" w:hAnsi="宋体" w:eastAsia="宋体" w:cs="宋体"/>
          <w:color w:val="auto"/>
          <w:highlight w:val="none"/>
        </w:rPr>
        <w:t>2.供应商的法定代表人或其委托代理人的签字或盖章应真实、有效。</w:t>
      </w:r>
    </w:p>
    <w:p w14:paraId="5E9A1D3E">
      <w:pPr>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lang w:eastAsia="zh-CN"/>
        </w:rPr>
        <w:br w:type="page"/>
      </w:r>
    </w:p>
    <w:p w14:paraId="1723D76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.3、响应承诺函</w:t>
      </w:r>
    </w:p>
    <w:p w14:paraId="6E28713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名称）：</w:t>
      </w:r>
    </w:p>
    <w:p w14:paraId="1473E91B">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我方作为本次采购项目的供应商，根据</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要求，现郑重承诺如下：</w:t>
      </w:r>
    </w:p>
    <w:p w14:paraId="25C6AC6B">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一、具备《中华人民共和国政府采购法》第二十二条第一款和本项目规定的条件：</w:t>
      </w:r>
    </w:p>
    <w:p w14:paraId="317E3508">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（一）具有独立承担民事责任的能力；</w:t>
      </w:r>
    </w:p>
    <w:p w14:paraId="08533ED3">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（二）具有良好的商业信誉和健全的财务会计制度；</w:t>
      </w:r>
    </w:p>
    <w:p w14:paraId="1BD7F05D">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（三）具有履行合同所必需的设备和专业技术能力；</w:t>
      </w:r>
    </w:p>
    <w:p w14:paraId="01CF1293">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（四）有依法缴纳税收和社会保障资金的良好记录；</w:t>
      </w:r>
    </w:p>
    <w:p w14:paraId="0E2E2038">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（五）参加采购活动前三年内，在经营活动中没有重大违法记录；</w:t>
      </w:r>
    </w:p>
    <w:p w14:paraId="1314517E">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（六）法律、行政法规规定的其他条件；</w:t>
      </w:r>
    </w:p>
    <w:p w14:paraId="67409563">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（七）根据采购项目提出的特殊条件。</w:t>
      </w:r>
    </w:p>
    <w:p w14:paraId="06613ABA">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二、完全接受和满足本项目</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中规定的实质性要求，如对</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有异议，已经在响应文件提交截止时间届满前依法进行维权救济，不存在对</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有异议的同时又参加投标以求侥幸入围或者为实现其他非法目的的行为。</w:t>
      </w:r>
    </w:p>
    <w:p w14:paraId="0991AE84">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三、参加本次采购活动，不存在与单位负责人为同一人或者存在直接控股、管理关系的其他供应商参与同一合同项下的采购活动的行为。</w:t>
      </w:r>
    </w:p>
    <w:p w14:paraId="003B97DF">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四、参加本次采购活动，不存在为采购项目提供整体设计、规范编制或者项目管理、监理、检测等服务的行为。</w:t>
      </w:r>
    </w:p>
    <w:p w14:paraId="0AA32C9F">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五、参加本次采购活动，不存在和其他供应商在同一合同项下的采购项目中，同时委托同一个自然人、同一家庭的人员、同一单位的人员作为代理人的行为。</w:t>
      </w:r>
    </w:p>
    <w:p w14:paraId="38A31E32">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六、参加本次采购活动在近三年内供应商和其法定代表人没有行贿犯罪行为。</w:t>
      </w:r>
    </w:p>
    <w:p w14:paraId="165C5E11">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七、响应文件中提供的能够给予我方带来优惠、好处的任何材料资料和技术、服务、商务等响应承诺情况都是真实的、有效的、合法的。</w:t>
      </w:r>
    </w:p>
    <w:p w14:paraId="7E1E7DE7">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八、存在以下行为之一的愿意接受相关部门的处理：</w:t>
      </w:r>
    </w:p>
    <w:p w14:paraId="6513B9F3">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有效期内撤销响应文件的；</w:t>
      </w:r>
    </w:p>
    <w:p w14:paraId="4CA3AC07">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（二）在</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供应商以前放弃</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候选资格的；</w:t>
      </w:r>
    </w:p>
    <w:p w14:paraId="120000A7">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w:t>
      </w:r>
      <w:r>
        <w:rPr>
          <w:rFonts w:hint="eastAsia" w:ascii="宋体" w:hAnsi="宋体" w:eastAsia="宋体" w:cs="宋体"/>
          <w:color w:val="auto"/>
          <w:sz w:val="21"/>
          <w:szCs w:val="21"/>
          <w:highlight w:val="none"/>
          <w:lang w:eastAsia="zh-CN"/>
        </w:rPr>
        <w:t>中标</w:t>
      </w:r>
      <w:r>
        <w:rPr>
          <w:rFonts w:hint="eastAsia" w:ascii="宋体" w:hAnsi="宋体" w:eastAsia="宋体" w:cs="宋体"/>
          <w:color w:val="auto"/>
          <w:sz w:val="21"/>
          <w:szCs w:val="21"/>
          <w:highlight w:val="none"/>
        </w:rPr>
        <w:t>后无正当理由不与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签订</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auto"/>
          <w:sz w:val="21"/>
          <w:szCs w:val="21"/>
          <w:highlight w:val="none"/>
        </w:rPr>
        <w:t>；</w:t>
      </w:r>
    </w:p>
    <w:p w14:paraId="318929CF">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（四）拒绝履行合同义务；</w:t>
      </w:r>
    </w:p>
    <w:p w14:paraId="347F1E96">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（五）在响应文件中提供虚假材料谋取</w:t>
      </w:r>
      <w:r>
        <w:rPr>
          <w:rFonts w:hint="eastAsia" w:ascii="宋体" w:hAnsi="宋体" w:eastAsia="宋体" w:cs="宋体"/>
          <w:color w:val="auto"/>
          <w:sz w:val="21"/>
          <w:szCs w:val="21"/>
          <w:highlight w:val="none"/>
          <w:lang w:eastAsia="zh-CN"/>
        </w:rPr>
        <w:t>中标</w:t>
      </w:r>
      <w:r>
        <w:rPr>
          <w:rFonts w:hint="eastAsia" w:ascii="宋体" w:hAnsi="宋体" w:eastAsia="宋体" w:cs="宋体"/>
          <w:color w:val="auto"/>
          <w:sz w:val="21"/>
          <w:szCs w:val="21"/>
          <w:highlight w:val="none"/>
        </w:rPr>
        <w:t>资格；</w:t>
      </w:r>
    </w:p>
    <w:p w14:paraId="40B7C6D4">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（六）与</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、其他供应商或者采购代理机构恶意串通的；</w:t>
      </w:r>
    </w:p>
    <w:p w14:paraId="21B667ED">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（七）</w:t>
      </w:r>
      <w:r>
        <w:rPr>
          <w:rFonts w:hint="eastAsia" w:ascii="宋体" w:hAnsi="宋体" w:eastAsia="宋体" w:cs="宋体"/>
          <w:color w:val="auto"/>
          <w:sz w:val="21"/>
          <w:szCs w:val="21"/>
          <w:highlight w:val="none"/>
          <w:lang w:eastAsia="zh-CN"/>
        </w:rPr>
        <w:t>磋商</w:t>
      </w:r>
      <w:r>
        <w:rPr>
          <w:rFonts w:hint="eastAsia" w:ascii="宋体" w:hAnsi="宋体" w:eastAsia="宋体" w:cs="宋体"/>
          <w:color w:val="auto"/>
          <w:sz w:val="21"/>
          <w:szCs w:val="21"/>
          <w:highlight w:val="none"/>
        </w:rPr>
        <w:t>有效期内，在采购活动中有违法、违规、违纪行为；</w:t>
      </w:r>
    </w:p>
    <w:p w14:paraId="6D4CCCFB">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（八）在履约过程中未按</w:t>
      </w:r>
      <w:r>
        <w:rPr>
          <w:rFonts w:hint="eastAsia" w:ascii="宋体" w:hAnsi="宋体" w:eastAsia="宋体" w:cs="宋体"/>
          <w:color w:val="auto"/>
          <w:sz w:val="21"/>
          <w:szCs w:val="21"/>
          <w:highlight w:val="none"/>
          <w:lang w:eastAsia="zh-CN"/>
        </w:rPr>
        <w:t>磋商文件</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中标</w:t>
      </w:r>
      <w:r>
        <w:rPr>
          <w:rFonts w:hint="eastAsia" w:ascii="宋体" w:hAnsi="宋体" w:eastAsia="宋体" w:cs="宋体"/>
          <w:color w:val="auto"/>
          <w:sz w:val="21"/>
          <w:szCs w:val="21"/>
          <w:highlight w:val="none"/>
        </w:rPr>
        <w:t>的响应文件、生效的采购合同等约定提供服务的。</w:t>
      </w:r>
    </w:p>
    <w:p w14:paraId="10129189">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九、我方参加本次</w:t>
      </w:r>
      <w:r>
        <w:rPr>
          <w:rFonts w:hint="eastAsia" w:ascii="宋体" w:hAnsi="宋体" w:eastAsia="宋体" w:cs="宋体"/>
          <w:color w:val="auto"/>
          <w:sz w:val="21"/>
          <w:szCs w:val="21"/>
          <w:highlight w:val="none"/>
          <w:lang w:eastAsia="zh-CN"/>
        </w:rPr>
        <w:t>政府</w:t>
      </w:r>
      <w:r>
        <w:rPr>
          <w:rFonts w:hint="eastAsia" w:ascii="宋体" w:hAnsi="宋体" w:eastAsia="宋体" w:cs="宋体"/>
          <w:color w:val="auto"/>
          <w:sz w:val="21"/>
          <w:szCs w:val="21"/>
          <w:highlight w:val="none"/>
        </w:rPr>
        <w:t>采购活动，不存在与其他供应商组成联合体参与同一合同项下的采购活动的行为。</w:t>
      </w:r>
    </w:p>
    <w:p w14:paraId="34AD795B">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由此产生的一切法律后果和责任由我方承担。我方声明放弃对此提出任何异议和追索的权利。</w:t>
      </w:r>
    </w:p>
    <w:p w14:paraId="367040E8">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本单位对上述承诺的内容事项真实性负责。如经查实上述承诺的内容事项存在虚假，我方愿意接受以提供虚假材料谋取</w:t>
      </w:r>
      <w:r>
        <w:rPr>
          <w:rFonts w:hint="eastAsia" w:ascii="宋体" w:hAnsi="宋体" w:eastAsia="宋体" w:cs="宋体"/>
          <w:color w:val="auto"/>
          <w:sz w:val="21"/>
          <w:szCs w:val="21"/>
          <w:highlight w:val="none"/>
          <w:lang w:eastAsia="zh-CN"/>
        </w:rPr>
        <w:t>中标</w:t>
      </w:r>
      <w:r>
        <w:rPr>
          <w:rFonts w:hint="eastAsia" w:ascii="宋体" w:hAnsi="宋体" w:eastAsia="宋体" w:cs="宋体"/>
          <w:color w:val="auto"/>
          <w:sz w:val="21"/>
          <w:szCs w:val="21"/>
          <w:highlight w:val="none"/>
        </w:rPr>
        <w:t>资格追究法律责任。</w:t>
      </w:r>
    </w:p>
    <w:p w14:paraId="11385074">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rPr>
      </w:pPr>
    </w:p>
    <w:p w14:paraId="4E9724E6">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（盖单位公章）</w:t>
      </w:r>
    </w:p>
    <w:p w14:paraId="483C163F">
      <w:pPr>
        <w:spacing w:line="360" w:lineRule="auto"/>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（签字或盖章）</w:t>
      </w:r>
    </w:p>
    <w:p w14:paraId="16614B10">
      <w:pPr>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3ED7A01">
      <w:pPr>
        <w:pStyle w:val="22"/>
        <w:spacing w:before="0" w:beforeAutospacing="0" w:after="0" w:afterAutospacing="0" w:line="400" w:lineRule="exact"/>
        <w:ind w:firstLine="424" w:firstLineChars="202"/>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br w:type="page"/>
      </w:r>
    </w:p>
    <w:p w14:paraId="68398A2F">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3.4信用信息查询</w:t>
      </w:r>
    </w:p>
    <w:p w14:paraId="4C905CAC">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eastAsia="zh-CN"/>
        </w:rPr>
        <w:t>开标后</w:t>
      </w:r>
      <w:r>
        <w:rPr>
          <w:rFonts w:hint="eastAsia" w:ascii="宋体" w:hAnsi="宋体" w:eastAsia="宋体" w:cs="宋体"/>
          <w:b w:val="0"/>
          <w:bCs/>
          <w:color w:val="auto"/>
          <w:sz w:val="21"/>
          <w:szCs w:val="21"/>
          <w:highlight w:val="none"/>
        </w:rPr>
        <w:t>，由</w:t>
      </w:r>
      <w:r>
        <w:rPr>
          <w:rFonts w:hint="eastAsia" w:ascii="宋体" w:hAnsi="宋体" w:eastAsia="宋体" w:cs="宋体"/>
          <w:b w:val="0"/>
          <w:bCs/>
          <w:color w:val="auto"/>
          <w:sz w:val="21"/>
          <w:szCs w:val="21"/>
          <w:highlight w:val="none"/>
          <w:lang w:eastAsia="zh-CN"/>
        </w:rPr>
        <w:t>采购</w:t>
      </w:r>
      <w:r>
        <w:rPr>
          <w:rFonts w:hint="eastAsia" w:ascii="宋体" w:hAnsi="宋体" w:eastAsia="宋体" w:cs="宋体"/>
          <w:b w:val="0"/>
          <w:bCs/>
          <w:color w:val="auto"/>
          <w:sz w:val="21"/>
          <w:szCs w:val="21"/>
          <w:highlight w:val="none"/>
        </w:rPr>
        <w:t>人或采购代理机构通过“信用中国”网站</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中国执行信息公开网</w:t>
      </w:r>
      <w:r>
        <w:rPr>
          <w:rFonts w:hint="eastAsia" w:ascii="宋体" w:hAnsi="宋体" w:eastAsia="宋体" w:cs="宋体"/>
          <w:b w:val="0"/>
          <w:bCs/>
          <w:color w:val="auto"/>
          <w:sz w:val="21"/>
          <w:szCs w:val="21"/>
          <w:highlight w:val="none"/>
          <w:lang w:eastAsia="zh-CN"/>
        </w:rPr>
        <w:t>”网站</w:t>
      </w:r>
      <w:r>
        <w:rPr>
          <w:rFonts w:hint="eastAsia" w:ascii="宋体" w:hAnsi="宋体" w:eastAsia="宋体" w:cs="宋体"/>
          <w:b w:val="0"/>
          <w:bCs/>
          <w:color w:val="auto"/>
          <w:sz w:val="21"/>
          <w:szCs w:val="21"/>
          <w:highlight w:val="none"/>
        </w:rPr>
        <w:t>、“中国政府采购网”</w:t>
      </w:r>
      <w:r>
        <w:rPr>
          <w:rFonts w:hint="eastAsia" w:ascii="宋体" w:hAnsi="宋体" w:eastAsia="宋体" w:cs="宋体"/>
          <w:b w:val="0"/>
          <w:bCs/>
          <w:color w:val="auto"/>
          <w:sz w:val="21"/>
          <w:szCs w:val="21"/>
          <w:highlight w:val="none"/>
          <w:lang w:eastAsia="zh-CN"/>
        </w:rPr>
        <w:t>网站</w:t>
      </w:r>
      <w:r>
        <w:rPr>
          <w:rFonts w:hint="eastAsia" w:ascii="宋体" w:hAnsi="宋体" w:eastAsia="宋体" w:cs="宋体"/>
          <w:b w:val="0"/>
          <w:bCs/>
          <w:color w:val="auto"/>
          <w:sz w:val="21"/>
          <w:szCs w:val="21"/>
          <w:highlight w:val="none"/>
        </w:rPr>
        <w:t>查询相关主体信用记录,信用信息查询记录及相关证据与其他采购文件一并保存。</w:t>
      </w:r>
    </w:p>
    <w:p w14:paraId="48836A9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（1）通过“信用中国”网站（https://www.creditchina.gov.cn/）“信用公示”查询供应商--“</w:t>
      </w:r>
      <w:bookmarkStart w:id="761" w:name="OLE_LINK69"/>
      <w:bookmarkStart w:id="762" w:name="OLE_LINK68"/>
      <w:r>
        <w:rPr>
          <w:rFonts w:hint="eastAsia" w:ascii="宋体" w:hAnsi="宋体" w:eastAsia="宋体" w:cs="宋体"/>
          <w:b w:val="0"/>
          <w:bCs/>
          <w:color w:val="auto"/>
          <w:sz w:val="21"/>
          <w:szCs w:val="21"/>
          <w:highlight w:val="none"/>
        </w:rPr>
        <w:t>重大税收违法失信主体</w:t>
      </w:r>
      <w:bookmarkEnd w:id="761"/>
      <w:bookmarkEnd w:id="762"/>
      <w:r>
        <w:rPr>
          <w:rFonts w:hint="eastAsia" w:ascii="宋体" w:hAnsi="宋体" w:eastAsia="宋体" w:cs="宋体"/>
          <w:b w:val="0"/>
          <w:bCs/>
          <w:color w:val="auto"/>
          <w:sz w:val="21"/>
          <w:szCs w:val="21"/>
          <w:highlight w:val="none"/>
          <w:lang w:eastAsia="zh-CN"/>
        </w:rPr>
        <w:t>名单</w:t>
      </w:r>
      <w:r>
        <w:rPr>
          <w:rFonts w:hint="eastAsia" w:ascii="宋体" w:hAnsi="宋体" w:eastAsia="宋体" w:cs="宋体"/>
          <w:b w:val="0"/>
          <w:bCs/>
          <w:color w:val="auto"/>
          <w:sz w:val="21"/>
          <w:szCs w:val="21"/>
          <w:highlight w:val="none"/>
        </w:rPr>
        <w:t>”。</w:t>
      </w:r>
    </w:p>
    <w:p w14:paraId="49B3A8C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（2）通过“中国执行信息公开网”网站（https://zxgk.court.gov.cn/）“失信被执行人”</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查询供应商“失信被执行人”。</w:t>
      </w:r>
    </w:p>
    <w:p w14:paraId="0C170E3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（3）通过“中国政府采购网”（</w:t>
      </w:r>
      <w:r>
        <w:rPr>
          <w:rFonts w:hint="eastAsia" w:ascii="宋体" w:hAnsi="宋体" w:eastAsia="宋体" w:cs="宋体"/>
          <w:b w:val="0"/>
          <w:bCs/>
          <w:color w:val="auto"/>
          <w:sz w:val="21"/>
          <w:szCs w:val="21"/>
          <w:highlight w:val="none"/>
        </w:rPr>
        <w:fldChar w:fldCharType="begin"/>
      </w:r>
      <w:r>
        <w:rPr>
          <w:rFonts w:hint="eastAsia" w:ascii="宋体" w:hAnsi="宋体" w:eastAsia="宋体" w:cs="宋体"/>
          <w:b w:val="0"/>
          <w:bCs/>
          <w:color w:val="auto"/>
          <w:sz w:val="21"/>
          <w:szCs w:val="21"/>
          <w:highlight w:val="none"/>
        </w:rPr>
        <w:instrText xml:space="preserve"> HYPERLINK "http://www.ccgp.gov.cn）】" </w:instrText>
      </w:r>
      <w:r>
        <w:rPr>
          <w:rFonts w:hint="eastAsia" w:ascii="宋体" w:hAnsi="宋体" w:eastAsia="宋体" w:cs="宋体"/>
          <w:b w:val="0"/>
          <w:bCs/>
          <w:color w:val="auto"/>
          <w:sz w:val="21"/>
          <w:szCs w:val="21"/>
          <w:highlight w:val="none"/>
        </w:rPr>
        <w:fldChar w:fldCharType="separate"/>
      </w:r>
      <w:r>
        <w:rPr>
          <w:rFonts w:hint="eastAsia" w:ascii="宋体" w:hAnsi="宋体" w:eastAsia="宋体" w:cs="宋体"/>
          <w:b w:val="0"/>
          <w:bCs/>
          <w:color w:val="auto"/>
          <w:sz w:val="21"/>
          <w:szCs w:val="21"/>
          <w:highlight w:val="none"/>
        </w:rPr>
        <w:t>www.ccgp.gov.cn）</w:t>
      </w:r>
      <w:r>
        <w:rPr>
          <w:rFonts w:hint="eastAsia" w:ascii="宋体" w:hAnsi="宋体" w:eastAsia="宋体" w:cs="宋体"/>
          <w:b w:val="0"/>
          <w:bCs/>
          <w:color w:val="auto"/>
          <w:sz w:val="21"/>
          <w:szCs w:val="21"/>
          <w:highlight w:val="none"/>
        </w:rPr>
        <w:fldChar w:fldCharType="end"/>
      </w:r>
      <w:r>
        <w:rPr>
          <w:rFonts w:hint="eastAsia" w:ascii="宋体" w:hAnsi="宋体" w:eastAsia="宋体" w:cs="宋体"/>
          <w:b w:val="0"/>
          <w:bCs/>
          <w:color w:val="auto"/>
          <w:sz w:val="21"/>
          <w:szCs w:val="21"/>
          <w:highlight w:val="none"/>
        </w:rPr>
        <w:t>查询供应商“政府采购严重违法失信行为记录名单”查询记录。</w:t>
      </w:r>
    </w:p>
    <w:p w14:paraId="52CBD1AF">
      <w:pPr>
        <w:keepNext w:val="0"/>
        <w:keepLines w:val="0"/>
        <w:pageBreakBefore w:val="0"/>
        <w:widowControl w:val="0"/>
        <w:kinsoku/>
        <w:wordWrap/>
        <w:overflowPunct/>
        <w:topLinePunct w:val="0"/>
        <w:autoSpaceDE/>
        <w:autoSpaceDN/>
        <w:bidi w:val="0"/>
        <w:adjustRightInd/>
        <w:snapToGrid/>
        <w:spacing w:line="500" w:lineRule="exact"/>
        <w:ind w:firstLine="210" w:firstLineChars="1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备注：以上查询路径仅供参考，相关网站有最新规定的，按最新规定执行。</w:t>
      </w:r>
    </w:p>
    <w:p w14:paraId="1E284AFF">
      <w:pP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br w:type="page"/>
      </w:r>
    </w:p>
    <w:p w14:paraId="75C4998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4"/>
          <w:szCs w:val="24"/>
          <w:highlight w:val="none"/>
        </w:rPr>
      </w:pPr>
      <w:r>
        <w:rPr>
          <w:rFonts w:hint="eastAsia" w:ascii="宋体" w:hAnsi="宋体" w:eastAsia="宋体" w:cs="宋体"/>
          <w:b w:val="0"/>
          <w:bCs/>
          <w:color w:val="auto"/>
          <w:sz w:val="24"/>
          <w:szCs w:val="24"/>
          <w:highlight w:val="none"/>
          <w:lang w:val="en-US" w:eastAsia="zh-CN"/>
        </w:rPr>
        <w:t>3.5</w:t>
      </w:r>
      <w:r>
        <w:rPr>
          <w:rFonts w:hint="eastAsia" w:ascii="宋体" w:hAnsi="宋体" w:eastAsia="宋体" w:cs="宋体"/>
          <w:sz w:val="24"/>
          <w:szCs w:val="24"/>
          <w:highlight w:val="none"/>
        </w:rPr>
        <w:t xml:space="preserve">中小企业声明函 </w:t>
      </w:r>
    </w:p>
    <w:p w14:paraId="5022B7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中小企业声明函（工程、服务）</w:t>
      </w:r>
    </w:p>
    <w:p w14:paraId="67B44327">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本公司（联合体）郑重声明，根据《政府采购促进中小企业发展管理办法》（财库﹝2020﹞46号）的规定，本公司（联合体）参加</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（单位名称）的</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项目名称）采购活动，工程的施工单位全部为符合政策要求的中小企业（或者：服务全部由符合政策要求的中小企业承接）。相关企业（含联合体中的中小企业、签订分包意向协议的中小企业）的具体情况如下：</w:t>
      </w:r>
    </w:p>
    <w:p w14:paraId="16E17C5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（标的名称），属于</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（采购文件中明确的所属行业）；承建（承接）企业为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（企业名称），从业人员</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万元，属于</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（中型企业、小型企业、微型企业）； </w:t>
      </w:r>
    </w:p>
    <w:p w14:paraId="2401347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（标的名称），属于</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（采购文件中明确的所属行业）；承建（承接）企 业为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（企业名称），从业人员</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万元，属于</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（中型企业、小型企业、微型企业）； </w:t>
      </w:r>
    </w:p>
    <w:p w14:paraId="7EE9CC1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以上企业，不属于大企业的分支机构，不存在控股股东为大企业的情形，也不存在 与大企业的负责人为同一人的情形。 本企业对上述声明内容的真实性负责。如有虚假，将依法承担相应责任。 </w:t>
      </w:r>
    </w:p>
    <w:p w14:paraId="433D11F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p>
    <w:p w14:paraId="71BD935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企业名称（盖章）： </w:t>
      </w:r>
    </w:p>
    <w:p w14:paraId="1E3876B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sz w:val="24"/>
          <w:szCs w:val="24"/>
          <w:highlight w:val="none"/>
        </w:rPr>
        <w:t>日 期：</w:t>
      </w:r>
    </w:p>
    <w:p w14:paraId="264B5BDC">
      <w:pPr>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lang w:eastAsia="zh-CN"/>
        </w:rPr>
        <w:br w:type="page"/>
      </w:r>
    </w:p>
    <w:p w14:paraId="4CC46CCD">
      <w:pPr>
        <w:widowControl/>
        <w:spacing w:before="100" w:beforeAutospacing="1" w:after="100" w:afterAutospacing="1" w:line="360" w:lineRule="auto"/>
        <w:jc w:val="center"/>
        <w:rPr>
          <w:rFonts w:hint="eastAsia" w:ascii="宋体" w:hAnsi="宋体" w:eastAsia="宋体" w:cs="宋体"/>
          <w:b/>
          <w:color w:val="auto"/>
          <w:kern w:val="0"/>
          <w:sz w:val="24"/>
          <w:szCs w:val="24"/>
          <w:highlight w:val="none"/>
        </w:rPr>
      </w:pPr>
      <w:r>
        <w:rPr>
          <w:rFonts w:hint="eastAsia" w:ascii="宋体" w:hAnsi="宋体" w:eastAsia="宋体" w:cs="宋体"/>
          <w:b/>
          <w:bCs/>
          <w:color w:val="auto"/>
          <w:sz w:val="24"/>
          <w:szCs w:val="24"/>
          <w:highlight w:val="none"/>
        </w:rPr>
        <w:t>监狱企业声明函</w:t>
      </w:r>
    </w:p>
    <w:p w14:paraId="23E0A883">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本企业（单位）郑重声明下列事项（按照实际情况勾选或填空）：</w:t>
      </w:r>
    </w:p>
    <w:p w14:paraId="3EC0EA04">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（1）本企业（单位）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（请填写：是、不是）监狱企业。后附省级以上监狱管理局、戒毒管理局（含新疆生产建设兵团）出具的属于监狱企业的证明文件。</w:t>
      </w:r>
    </w:p>
    <w:p w14:paraId="7F889AFC">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（2）本企业（单位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（请填写：是、不是）为联合体一方，提供本企业（单位）制造的货物，由本企业（单位）承担工程、提供服务。本企业（单位）提供协议合同金额占到共同投标协议合同总金额的比例为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C2EA603">
      <w:pPr>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本企业（单位）对上述声明的真实性负责。如有虚假，将依法承担相应责任。</w:t>
      </w:r>
    </w:p>
    <w:p w14:paraId="101CC223">
      <w:pPr>
        <w:widowControl/>
        <w:spacing w:before="100" w:beforeAutospacing="1" w:after="100" w:afterAutospacing="1"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w:t>
      </w:r>
    </w:p>
    <w:p w14:paraId="5B86475F">
      <w:pPr>
        <w:widowControl/>
        <w:spacing w:before="100" w:beforeAutospacing="1" w:after="100" w:afterAutospacing="1" w:line="360" w:lineRule="auto"/>
        <w:jc w:val="left"/>
        <w:rPr>
          <w:rFonts w:hint="eastAsia" w:ascii="宋体" w:hAnsi="宋体" w:eastAsia="宋体" w:cs="宋体"/>
          <w:color w:val="auto"/>
          <w:kern w:val="0"/>
          <w:szCs w:val="21"/>
          <w:highlight w:val="none"/>
        </w:rPr>
      </w:pPr>
    </w:p>
    <w:p w14:paraId="5F743B3F">
      <w:pPr>
        <w:spacing w:line="360" w:lineRule="auto"/>
        <w:ind w:firstLine="4320" w:firstLineChars="1800"/>
        <w:rPr>
          <w:rFonts w:hint="eastAsia" w:ascii="宋体" w:hAnsi="宋体" w:eastAsia="宋体" w:cs="宋体"/>
          <w:color w:val="auto"/>
          <w:sz w:val="24"/>
          <w:highlight w:val="none"/>
        </w:rPr>
      </w:pPr>
      <w:r>
        <w:rPr>
          <w:rFonts w:hint="eastAsia" w:ascii="宋体" w:hAnsi="宋体" w:eastAsia="宋体" w:cs="宋体"/>
          <w:bCs/>
          <w:color w:val="auto"/>
          <w:sz w:val="24"/>
          <w:highlight w:val="none"/>
          <w:lang w:eastAsia="zh-CN"/>
        </w:rPr>
        <w:t>供应商</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w:t>
      </w:r>
      <w:r>
        <w:rPr>
          <w:rFonts w:hint="eastAsia" w:ascii="宋体" w:hAnsi="宋体" w:eastAsia="宋体" w:cs="宋体"/>
          <w:color w:val="auto"/>
          <w:spacing w:val="6"/>
          <w:sz w:val="22"/>
          <w:szCs w:val="28"/>
          <w:highlight w:val="none"/>
          <w:lang w:eastAsia="zh-CN"/>
        </w:rPr>
        <w:t>盖单位公章</w:t>
      </w:r>
      <w:r>
        <w:rPr>
          <w:rFonts w:hint="eastAsia" w:ascii="宋体" w:hAnsi="宋体" w:eastAsia="宋体" w:cs="宋体"/>
          <w:bCs/>
          <w:color w:val="auto"/>
          <w:sz w:val="24"/>
          <w:highlight w:val="none"/>
        </w:rPr>
        <w:t>）</w:t>
      </w:r>
    </w:p>
    <w:p w14:paraId="589E025D">
      <w:pPr>
        <w:spacing w:line="360" w:lineRule="auto"/>
        <w:ind w:firstLine="4320" w:firstLineChars="18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87AF900">
      <w:pPr>
        <w:spacing w:line="360" w:lineRule="auto"/>
        <w:ind w:firstLine="4320" w:firstLineChars="1800"/>
        <w:rPr>
          <w:rFonts w:hint="eastAsia" w:ascii="宋体" w:hAnsi="宋体" w:eastAsia="宋体" w:cs="宋体"/>
          <w:color w:val="auto"/>
          <w:sz w:val="24"/>
          <w:highlight w:val="none"/>
        </w:rPr>
      </w:pPr>
    </w:p>
    <w:p w14:paraId="5393C7FB">
      <w:pPr>
        <w:widowControl/>
        <w:spacing w:line="400" w:lineRule="exact"/>
        <w:rPr>
          <w:rFonts w:hint="eastAsia" w:ascii="宋体" w:hAnsi="宋体" w:eastAsia="宋体" w:cs="宋体"/>
          <w:b/>
          <w:color w:val="auto"/>
          <w:sz w:val="24"/>
          <w:highlight w:val="none"/>
        </w:rPr>
      </w:pPr>
      <w:r>
        <w:rPr>
          <w:rFonts w:hint="eastAsia" w:ascii="宋体" w:hAnsi="宋体" w:eastAsia="宋体" w:cs="宋体"/>
          <w:b/>
          <w:color w:val="auto"/>
          <w:highlight w:val="none"/>
        </w:rPr>
        <w:t>注：如符合要求请提供</w:t>
      </w:r>
      <w:r>
        <w:rPr>
          <w:rFonts w:hint="eastAsia" w:ascii="宋体" w:hAnsi="宋体" w:eastAsia="宋体" w:cs="宋体"/>
          <w:b/>
          <w:color w:val="auto"/>
          <w:highlight w:val="none"/>
          <w:lang w:eastAsia="zh-CN"/>
        </w:rPr>
        <w:t>相关</w:t>
      </w:r>
      <w:r>
        <w:rPr>
          <w:rFonts w:hint="eastAsia" w:ascii="宋体" w:hAnsi="宋体" w:eastAsia="宋体" w:cs="宋体"/>
          <w:b/>
          <w:color w:val="auto"/>
          <w:highlight w:val="none"/>
        </w:rPr>
        <w:t>证明材料；如</w:t>
      </w:r>
      <w:r>
        <w:rPr>
          <w:rFonts w:hint="eastAsia" w:ascii="宋体" w:hAnsi="宋体" w:eastAsia="宋体" w:cs="宋体"/>
          <w:b/>
          <w:color w:val="auto"/>
          <w:spacing w:val="10"/>
          <w:kern w:val="0"/>
          <w:highlight w:val="none"/>
        </w:rPr>
        <w:t>不</w:t>
      </w:r>
      <w:r>
        <w:rPr>
          <w:rFonts w:hint="eastAsia" w:ascii="宋体" w:hAnsi="宋体" w:eastAsia="宋体" w:cs="宋体"/>
          <w:b/>
          <w:color w:val="auto"/>
          <w:spacing w:val="10"/>
          <w:kern w:val="0"/>
          <w:highlight w:val="none"/>
          <w:lang w:eastAsia="zh-CN"/>
        </w:rPr>
        <w:t>符合要求</w:t>
      </w: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可</w:t>
      </w:r>
      <w:r>
        <w:rPr>
          <w:rFonts w:hint="eastAsia" w:ascii="宋体" w:hAnsi="宋体" w:eastAsia="宋体" w:cs="宋体"/>
          <w:b/>
          <w:color w:val="auto"/>
          <w:highlight w:val="none"/>
        </w:rPr>
        <w:t>不</w:t>
      </w:r>
      <w:r>
        <w:rPr>
          <w:rFonts w:hint="eastAsia" w:ascii="宋体" w:hAnsi="宋体" w:eastAsia="宋体" w:cs="宋体"/>
          <w:b/>
          <w:color w:val="auto"/>
          <w:highlight w:val="none"/>
          <w:lang w:eastAsia="zh-CN"/>
        </w:rPr>
        <w:t>填或删除本声明函</w:t>
      </w:r>
      <w:r>
        <w:rPr>
          <w:rFonts w:hint="eastAsia" w:ascii="宋体" w:hAnsi="宋体" w:eastAsia="宋体" w:cs="宋体"/>
          <w:b/>
          <w:color w:val="auto"/>
          <w:highlight w:val="none"/>
        </w:rPr>
        <w:t>。否则，因此导致虚假投标的后果由</w:t>
      </w:r>
      <w:r>
        <w:rPr>
          <w:rFonts w:hint="eastAsia" w:ascii="宋体" w:hAnsi="宋体" w:eastAsia="宋体" w:cs="宋体"/>
          <w:b/>
          <w:color w:val="auto"/>
          <w:highlight w:val="none"/>
          <w:lang w:eastAsia="zh-CN"/>
        </w:rPr>
        <w:t>供应商</w:t>
      </w:r>
      <w:r>
        <w:rPr>
          <w:rFonts w:hint="eastAsia" w:ascii="宋体" w:hAnsi="宋体" w:eastAsia="宋体" w:cs="宋体"/>
          <w:b/>
          <w:color w:val="auto"/>
          <w:highlight w:val="none"/>
        </w:rPr>
        <w:t>自行承担。</w:t>
      </w:r>
    </w:p>
    <w:p w14:paraId="01048031">
      <w:pPr>
        <w:numPr>
          <w:ilvl w:val="1"/>
          <w:numId w:val="0"/>
        </w:numPr>
        <w:wordWrap w:val="0"/>
        <w:topLinePunct/>
        <w:spacing w:before="0" w:after="0" w:line="360" w:lineRule="auto"/>
        <w:jc w:val="center"/>
        <w:outlineLvl w:val="9"/>
        <w:rPr>
          <w:rFonts w:hint="eastAsia" w:ascii="宋体" w:hAnsi="宋体" w:eastAsia="宋体" w:cs="宋体"/>
          <w:bCs/>
          <w:color w:val="auto"/>
          <w:szCs w:val="24"/>
          <w:highlight w:val="none"/>
        </w:rPr>
      </w:pPr>
      <w:r>
        <w:rPr>
          <w:rFonts w:hint="eastAsia" w:ascii="宋体" w:hAnsi="宋体" w:eastAsia="宋体" w:cs="宋体"/>
          <w:color w:val="auto"/>
          <w:sz w:val="24"/>
          <w:highlight w:val="none"/>
        </w:rPr>
        <w:br w:type="page"/>
      </w:r>
      <w:bookmarkStart w:id="763" w:name="_Toc15340"/>
      <w:bookmarkStart w:id="764" w:name="_Toc30542"/>
      <w:bookmarkStart w:id="765" w:name="_Toc19062"/>
      <w:bookmarkStart w:id="766" w:name="_Toc3580"/>
      <w:bookmarkStart w:id="767" w:name="_Toc13311"/>
      <w:bookmarkStart w:id="768" w:name="_Toc29346"/>
      <w:bookmarkStart w:id="769" w:name="_Toc27267"/>
      <w:bookmarkStart w:id="770" w:name="_Toc8353"/>
      <w:bookmarkStart w:id="771" w:name="_Toc27287"/>
      <w:bookmarkStart w:id="772" w:name="_Toc15018"/>
      <w:bookmarkStart w:id="773" w:name="_Toc5667"/>
      <w:bookmarkStart w:id="774" w:name="_Toc8656"/>
      <w:bookmarkStart w:id="775" w:name="_Toc7854"/>
      <w:bookmarkStart w:id="776" w:name="_Toc22043"/>
      <w:bookmarkStart w:id="777" w:name="_Toc24355"/>
      <w:bookmarkStart w:id="778" w:name="_Toc20547"/>
      <w:bookmarkStart w:id="779" w:name="_Toc4483"/>
      <w:r>
        <w:rPr>
          <w:rFonts w:hint="eastAsia" w:ascii="宋体" w:hAnsi="宋体" w:eastAsia="宋体" w:cs="宋体"/>
          <w:b/>
          <w:bCs w:val="0"/>
          <w:color w:val="auto"/>
          <w:sz w:val="24"/>
          <w:szCs w:val="24"/>
          <w:highlight w:val="none"/>
        </w:rPr>
        <w:t>残疾人福利性单位声明函</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29FDA14C">
      <w:pPr>
        <w:spacing w:line="360" w:lineRule="auto"/>
        <w:rPr>
          <w:rFonts w:hint="eastAsia" w:ascii="宋体" w:hAnsi="宋体" w:eastAsia="宋体" w:cs="宋体"/>
          <w:b/>
          <w:color w:val="auto"/>
          <w:spacing w:val="6"/>
          <w:highlight w:val="none"/>
        </w:rPr>
      </w:pPr>
    </w:p>
    <w:p w14:paraId="31A7A2F9">
      <w:pPr>
        <w:keepNext w:val="0"/>
        <w:keepLines w:val="0"/>
        <w:pageBreakBefore w:val="0"/>
        <w:widowControl w:val="0"/>
        <w:kinsoku/>
        <w:wordWrap/>
        <w:overflowPunct/>
        <w:topLinePunct w:val="0"/>
        <w:autoSpaceDE/>
        <w:autoSpaceDN/>
        <w:bidi w:val="0"/>
        <w:adjustRightInd/>
        <w:snapToGrid/>
        <w:spacing w:line="500" w:lineRule="exact"/>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项目采购活动提供服务。</w:t>
      </w:r>
    </w:p>
    <w:p w14:paraId="1837CB9E">
      <w:pPr>
        <w:keepNext w:val="0"/>
        <w:keepLines w:val="0"/>
        <w:pageBreakBefore w:val="0"/>
        <w:widowControl w:val="0"/>
        <w:kinsoku/>
        <w:wordWrap/>
        <w:overflowPunct/>
        <w:topLinePunct w:val="0"/>
        <w:autoSpaceDE/>
        <w:autoSpaceDN/>
        <w:bidi w:val="0"/>
        <w:adjustRightInd/>
        <w:snapToGrid/>
        <w:spacing w:line="500" w:lineRule="exact"/>
        <w:ind w:firstLine="504" w:firstLineChars="200"/>
        <w:textAlignment w:val="auto"/>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43A8E763">
      <w:pPr>
        <w:spacing w:line="360" w:lineRule="auto"/>
        <w:ind w:firstLine="584" w:firstLineChars="200"/>
        <w:rPr>
          <w:rFonts w:hint="eastAsia" w:ascii="宋体" w:hAnsi="宋体" w:eastAsia="宋体" w:cs="宋体"/>
          <w:color w:val="auto"/>
          <w:spacing w:val="6"/>
          <w:sz w:val="28"/>
          <w:szCs w:val="28"/>
          <w:highlight w:val="none"/>
        </w:rPr>
      </w:pPr>
    </w:p>
    <w:p w14:paraId="265DA4E6">
      <w:pPr>
        <w:spacing w:line="360" w:lineRule="auto"/>
        <w:ind w:firstLine="584" w:firstLineChars="200"/>
        <w:rPr>
          <w:rFonts w:hint="eastAsia" w:ascii="宋体" w:hAnsi="宋体" w:eastAsia="宋体" w:cs="宋体"/>
          <w:color w:val="auto"/>
          <w:spacing w:val="6"/>
          <w:sz w:val="28"/>
          <w:szCs w:val="28"/>
          <w:highlight w:val="none"/>
        </w:rPr>
      </w:pPr>
    </w:p>
    <w:p w14:paraId="2B300232">
      <w:pPr>
        <w:tabs>
          <w:tab w:val="left" w:pos="4860"/>
        </w:tabs>
        <w:spacing w:line="360" w:lineRule="auto"/>
        <w:ind w:right="1560" w:firstLine="584" w:firstLineChars="200"/>
        <w:jc w:val="center"/>
        <w:rPr>
          <w:rFonts w:hint="eastAsia" w:ascii="宋体" w:hAnsi="宋体" w:eastAsia="宋体" w:cs="宋体"/>
          <w:color w:val="auto"/>
          <w:spacing w:val="6"/>
          <w:sz w:val="24"/>
          <w:szCs w:val="24"/>
          <w:highlight w:val="none"/>
          <w:u w:val="single"/>
        </w:rPr>
      </w:pPr>
      <w:r>
        <w:rPr>
          <w:rFonts w:hint="eastAsia" w:ascii="宋体" w:hAnsi="宋体" w:eastAsia="宋体" w:cs="宋体"/>
          <w:color w:val="auto"/>
          <w:spacing w:val="6"/>
          <w:sz w:val="28"/>
          <w:szCs w:val="28"/>
          <w:highlight w:val="none"/>
        </w:rPr>
        <w:t xml:space="preserve">              </w:t>
      </w:r>
      <w:r>
        <w:rPr>
          <w:rFonts w:hint="eastAsia" w:ascii="宋体" w:hAnsi="宋体" w:eastAsia="宋体" w:cs="宋体"/>
          <w:color w:val="auto"/>
          <w:spacing w:val="6"/>
          <w:sz w:val="28"/>
          <w:szCs w:val="28"/>
          <w:highlight w:val="none"/>
          <w:lang w:val="en-US" w:eastAsia="zh-CN"/>
        </w:rPr>
        <w:t xml:space="preserve">     </w:t>
      </w:r>
      <w:r>
        <w:rPr>
          <w:rFonts w:hint="eastAsia" w:ascii="宋体" w:hAnsi="宋体" w:eastAsia="宋体" w:cs="宋体"/>
          <w:color w:val="auto"/>
          <w:spacing w:val="6"/>
          <w:sz w:val="24"/>
          <w:szCs w:val="24"/>
          <w:highlight w:val="none"/>
          <w:lang w:eastAsia="zh-CN"/>
        </w:rPr>
        <w:t>供应商</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盖单位公章</w:t>
      </w:r>
      <w:r>
        <w:rPr>
          <w:rFonts w:hint="eastAsia" w:ascii="宋体" w:hAnsi="宋体" w:eastAsia="宋体" w:cs="宋体"/>
          <w:color w:val="auto"/>
          <w:spacing w:val="6"/>
          <w:sz w:val="24"/>
          <w:szCs w:val="24"/>
          <w:highlight w:val="none"/>
        </w:rPr>
        <w:t>）</w:t>
      </w:r>
    </w:p>
    <w:p w14:paraId="1085515C">
      <w:pPr>
        <w:tabs>
          <w:tab w:val="left" w:pos="4860"/>
        </w:tabs>
        <w:spacing w:line="360" w:lineRule="auto"/>
        <w:ind w:right="1560" w:firstLine="3528" w:firstLineChars="1400"/>
        <w:jc w:val="both"/>
        <w:rPr>
          <w:rFonts w:hint="eastAsia" w:ascii="宋体" w:hAnsi="宋体" w:eastAsia="宋体" w:cs="宋体"/>
          <w:b/>
          <w:color w:val="auto"/>
          <w:sz w:val="24"/>
          <w:szCs w:val="24"/>
          <w:highlight w:val="none"/>
        </w:rPr>
      </w:pPr>
      <w:r>
        <w:rPr>
          <w:rFonts w:hint="eastAsia" w:ascii="宋体" w:hAnsi="宋体" w:eastAsia="宋体" w:cs="宋体"/>
          <w:color w:val="auto"/>
          <w:spacing w:val="6"/>
          <w:sz w:val="24"/>
          <w:szCs w:val="24"/>
          <w:highlight w:val="none"/>
        </w:rPr>
        <w:t>日  期：</w:t>
      </w:r>
      <w:r>
        <w:rPr>
          <w:rFonts w:hint="eastAsia" w:ascii="宋体" w:hAnsi="宋体" w:eastAsia="宋体" w:cs="宋体"/>
          <w:color w:val="auto"/>
          <w:spacing w:val="6"/>
          <w:sz w:val="24"/>
          <w:szCs w:val="24"/>
          <w:highlight w:val="none"/>
          <w:u w:val="single"/>
        </w:rPr>
        <w:t xml:space="preserve">                    </w:t>
      </w:r>
    </w:p>
    <w:p w14:paraId="18C730A3">
      <w:pPr>
        <w:widowControl/>
        <w:spacing w:line="400" w:lineRule="exact"/>
        <w:rPr>
          <w:rFonts w:hint="eastAsia" w:ascii="宋体" w:hAnsi="宋体" w:eastAsia="宋体" w:cs="宋体"/>
          <w:b/>
          <w:color w:val="auto"/>
          <w:highlight w:val="none"/>
        </w:rPr>
      </w:pPr>
    </w:p>
    <w:p w14:paraId="609671FE">
      <w:pPr>
        <w:widowControl/>
        <w:spacing w:line="400" w:lineRule="exact"/>
        <w:rPr>
          <w:rFonts w:hint="eastAsia" w:ascii="宋体" w:hAnsi="宋体" w:eastAsia="宋体" w:cs="宋体"/>
          <w:b/>
          <w:color w:val="auto"/>
          <w:sz w:val="24"/>
          <w:highlight w:val="none"/>
        </w:rPr>
      </w:pPr>
      <w:r>
        <w:rPr>
          <w:rFonts w:hint="eastAsia" w:ascii="宋体" w:hAnsi="宋体" w:eastAsia="宋体" w:cs="宋体"/>
          <w:b/>
          <w:color w:val="auto"/>
          <w:highlight w:val="none"/>
        </w:rPr>
        <w:t>注：如符合要求请提供</w:t>
      </w:r>
      <w:r>
        <w:rPr>
          <w:rFonts w:hint="eastAsia" w:ascii="宋体" w:hAnsi="宋体" w:eastAsia="宋体" w:cs="宋体"/>
          <w:b/>
          <w:color w:val="auto"/>
          <w:highlight w:val="none"/>
          <w:lang w:eastAsia="zh-CN"/>
        </w:rPr>
        <w:t>上述声明函</w:t>
      </w:r>
      <w:r>
        <w:rPr>
          <w:rFonts w:hint="eastAsia" w:ascii="宋体" w:hAnsi="宋体" w:eastAsia="宋体" w:cs="宋体"/>
          <w:b/>
          <w:color w:val="auto"/>
          <w:highlight w:val="none"/>
        </w:rPr>
        <w:t>；如</w:t>
      </w:r>
      <w:r>
        <w:rPr>
          <w:rFonts w:hint="eastAsia" w:ascii="宋体" w:hAnsi="宋体" w:eastAsia="宋体" w:cs="宋体"/>
          <w:b/>
          <w:color w:val="auto"/>
          <w:highlight w:val="none"/>
          <w:lang w:eastAsia="zh-CN"/>
        </w:rPr>
        <w:t>不符合要求</w:t>
      </w: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可</w:t>
      </w:r>
      <w:r>
        <w:rPr>
          <w:rFonts w:hint="eastAsia" w:ascii="宋体" w:hAnsi="宋体" w:eastAsia="宋体" w:cs="宋体"/>
          <w:b/>
          <w:color w:val="auto"/>
          <w:highlight w:val="none"/>
        </w:rPr>
        <w:t>不</w:t>
      </w:r>
      <w:r>
        <w:rPr>
          <w:rFonts w:hint="eastAsia" w:ascii="宋体" w:hAnsi="宋体" w:eastAsia="宋体" w:cs="宋体"/>
          <w:b/>
          <w:color w:val="auto"/>
          <w:highlight w:val="none"/>
          <w:lang w:eastAsia="zh-CN"/>
        </w:rPr>
        <w:t>填或删除本声明函</w:t>
      </w:r>
      <w:r>
        <w:rPr>
          <w:rFonts w:hint="eastAsia" w:ascii="宋体" w:hAnsi="宋体" w:eastAsia="宋体" w:cs="宋体"/>
          <w:b/>
          <w:color w:val="auto"/>
          <w:highlight w:val="none"/>
        </w:rPr>
        <w:t>。否则，因此导致虚假投标的后果由</w:t>
      </w:r>
      <w:r>
        <w:rPr>
          <w:rFonts w:hint="eastAsia" w:ascii="宋体" w:hAnsi="宋体" w:eastAsia="宋体" w:cs="宋体"/>
          <w:b/>
          <w:color w:val="auto"/>
          <w:highlight w:val="none"/>
          <w:lang w:eastAsia="zh-CN"/>
        </w:rPr>
        <w:t>供应商</w:t>
      </w:r>
      <w:r>
        <w:rPr>
          <w:rFonts w:hint="eastAsia" w:ascii="宋体" w:hAnsi="宋体" w:eastAsia="宋体" w:cs="宋体"/>
          <w:b/>
          <w:color w:val="auto"/>
          <w:highlight w:val="none"/>
        </w:rPr>
        <w:t>自行承担。</w:t>
      </w:r>
    </w:p>
    <w:p w14:paraId="6B8EBCD8">
      <w:pPr>
        <w:widowControl/>
        <w:spacing w:line="500" w:lineRule="exact"/>
        <w:jc w:val="center"/>
        <w:rPr>
          <w:rFonts w:hint="eastAsia" w:ascii="宋体" w:hAnsi="宋体" w:eastAsia="宋体" w:cs="宋体"/>
          <w:color w:val="auto"/>
          <w:sz w:val="28"/>
          <w:szCs w:val="28"/>
          <w:highlight w:val="none"/>
        </w:rPr>
      </w:pPr>
      <w:r>
        <w:rPr>
          <w:rFonts w:hint="eastAsia" w:ascii="宋体" w:hAnsi="宋体" w:eastAsia="宋体" w:cs="宋体"/>
          <w:b/>
          <w:bCs/>
          <w:iCs/>
          <w:color w:val="auto"/>
          <w:sz w:val="24"/>
          <w:szCs w:val="24"/>
          <w:highlight w:val="none"/>
          <w:lang w:eastAsia="zh-CN"/>
        </w:rPr>
        <w:br w:type="page"/>
      </w:r>
      <w:r>
        <w:rPr>
          <w:rFonts w:hint="eastAsia" w:ascii="宋体" w:hAnsi="宋体" w:eastAsia="宋体" w:cs="宋体"/>
          <w:color w:val="auto"/>
          <w:sz w:val="28"/>
          <w:szCs w:val="28"/>
          <w:highlight w:val="none"/>
        </w:rPr>
        <w:t>工业和信息化部、国家统计局、国家发展和改革委员会、财政部</w:t>
      </w:r>
    </w:p>
    <w:p w14:paraId="67B272E5">
      <w:pPr>
        <w:widowControl/>
        <w:spacing w:line="50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《关于印发中小企业划型标准规定的通知》</w:t>
      </w:r>
    </w:p>
    <w:p w14:paraId="3AC74F98">
      <w:pPr>
        <w:widowControl/>
        <w:spacing w:line="50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工信部联企业〔2011〕300号</w:t>
      </w:r>
    </w:p>
    <w:p w14:paraId="29F768AC">
      <w:pPr>
        <w:widowControl/>
        <w:spacing w:line="500" w:lineRule="exact"/>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各省、自治区、直辖市人民政府，国务院各部委、各直属机构及有关单位： </w:t>
      </w:r>
    </w:p>
    <w:p w14:paraId="66B72849">
      <w:pPr>
        <w:widowControl/>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633A3469">
      <w:pPr>
        <w:widowControl/>
        <w:spacing w:line="5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工业和信息化部 国家统计局 国家发展和改革委员会 财政部 </w:t>
      </w:r>
    </w:p>
    <w:p w14:paraId="129D0786">
      <w:pPr>
        <w:widowControl/>
        <w:spacing w:line="5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二○一一年六月十八日 </w:t>
      </w:r>
    </w:p>
    <w:p w14:paraId="294DE311">
      <w:pPr>
        <w:widowControl/>
        <w:spacing w:line="500" w:lineRule="exact"/>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中小企业划型标准规定</w:t>
      </w:r>
    </w:p>
    <w:p w14:paraId="5B2BC76C">
      <w:pPr>
        <w:widowControl/>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一、根据《中华人民共和国中小企业促进法》和《国务院关于进一步促进中小企业发展的若干意见》(国发〔2009〕36号)，制定本规定。</w:t>
      </w:r>
    </w:p>
    <w:p w14:paraId="29B8198B">
      <w:pPr>
        <w:widowControl/>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二、中小企业划分为中型、小型、微型三种类型，具体标准根据企业从业人员、营业收入、资产总额等指标，结合行业特点制定。</w:t>
      </w:r>
    </w:p>
    <w:p w14:paraId="647B4A16">
      <w:pPr>
        <w:widowControl/>
        <w:spacing w:line="500" w:lineRule="exact"/>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215C1E2">
      <w:pPr>
        <w:widowControl/>
        <w:spacing w:line="500" w:lineRule="exact"/>
        <w:ind w:firstLine="480" w:firstLineChars="200"/>
        <w:jc w:val="left"/>
        <w:outlineLvl w:val="9"/>
        <w:rPr>
          <w:rFonts w:hint="eastAsia" w:ascii="宋体" w:hAnsi="宋体" w:eastAsia="宋体" w:cs="宋体"/>
          <w:color w:val="auto"/>
          <w:sz w:val="24"/>
          <w:highlight w:val="none"/>
        </w:rPr>
      </w:pPr>
      <w:bookmarkStart w:id="780" w:name="_Toc28820"/>
      <w:bookmarkStart w:id="781" w:name="_Toc25642"/>
      <w:bookmarkStart w:id="782" w:name="_Toc8010"/>
      <w:r>
        <w:rPr>
          <w:rFonts w:hint="eastAsia" w:ascii="宋体" w:hAnsi="宋体" w:eastAsia="宋体" w:cs="宋体"/>
          <w:color w:val="auto"/>
          <w:sz w:val="24"/>
          <w:highlight w:val="none"/>
        </w:rPr>
        <w:t>四、各行业划型标准为</w:t>
      </w:r>
      <w:bookmarkEnd w:id="780"/>
      <w:bookmarkEnd w:id="781"/>
      <w:bookmarkEnd w:id="782"/>
    </w:p>
    <w:p w14:paraId="14350E2F">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（一）农、林、牧、渔业。营业收入20000万元以下的为中小微型企业。其中，营业收入500万元及以上的为中型企业，营业收入50万元及以上的为小型企业，营业收入50万元以下的为微型企业。</w:t>
      </w:r>
    </w:p>
    <w:p w14:paraId="089C48FC">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2DB7D1C">
      <w:pPr>
        <w:widowControl/>
        <w:spacing w:line="500" w:lineRule="exact"/>
        <w:ind w:firstLine="480" w:firstLineChars="200"/>
        <w:jc w:val="left"/>
        <w:rPr>
          <w:rFonts w:hint="eastAsia" w:ascii="宋体" w:hAnsi="宋体" w:eastAsia="宋体" w:cs="宋体"/>
          <w:b/>
          <w:bCs/>
          <w:color w:val="auto"/>
          <w:sz w:val="24"/>
          <w:highlight w:val="none"/>
          <w:shd w:val="clear" w:color="auto" w:fill="FFFFFF"/>
        </w:rPr>
      </w:pPr>
      <w:r>
        <w:rPr>
          <w:rFonts w:hint="eastAsia" w:ascii="宋体" w:hAnsi="宋体" w:eastAsia="宋体" w:cs="宋体"/>
          <w:b w:val="0"/>
          <w:bCs w:val="0"/>
          <w:color w:val="auto"/>
          <w:sz w:val="24"/>
          <w:highlight w:val="none"/>
          <w:shd w:val="clear" w:color="auto" w:fill="FFFFFF"/>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4417E23B">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FAE6DC5">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2B51EE5C">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9DA105A">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C362A71">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093177DA">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91298D3">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3B71EAE0">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71F27084">
      <w:pPr>
        <w:widowControl/>
        <w:spacing w:line="500" w:lineRule="exact"/>
        <w:ind w:firstLine="480" w:firstLineChars="200"/>
        <w:jc w:val="left"/>
        <w:rPr>
          <w:rFonts w:hint="eastAsia" w:ascii="宋体" w:hAnsi="宋体" w:eastAsia="宋体" w:cs="宋体"/>
          <w:b w:val="0"/>
          <w:bCs w:val="0"/>
          <w:color w:val="auto"/>
          <w:sz w:val="24"/>
          <w:highlight w:val="none"/>
          <w:shd w:val="clear" w:color="auto" w:fill="FFFFFF"/>
        </w:rPr>
      </w:pPr>
      <w:r>
        <w:rPr>
          <w:rFonts w:hint="eastAsia" w:ascii="宋体" w:hAnsi="宋体" w:eastAsia="宋体" w:cs="宋体"/>
          <w:b w:val="0"/>
          <w:bCs w:val="0"/>
          <w:color w:val="auto"/>
          <w:sz w:val="24"/>
          <w:highlight w:val="none"/>
          <w:shd w:val="clear" w:color="auto" w:fill="FFFFFF"/>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12B59FF">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68B7CD7">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2B29C37">
      <w:pPr>
        <w:widowControl/>
        <w:spacing w:line="500" w:lineRule="exact"/>
        <w:ind w:firstLine="480" w:firstLineChars="200"/>
        <w:jc w:val="left"/>
        <w:rPr>
          <w:rFonts w:hint="eastAsia" w:ascii="宋体" w:hAnsi="宋体" w:eastAsia="宋体" w:cs="宋体"/>
          <w:color w:val="auto"/>
          <w:sz w:val="24"/>
          <w:highlight w:val="none"/>
          <w:shd w:val="clear" w:color="auto" w:fill="FFFFFF"/>
        </w:rPr>
      </w:pPr>
      <w:r>
        <w:rPr>
          <w:rFonts w:hint="eastAsia" w:ascii="宋体" w:hAnsi="宋体" w:eastAsia="宋体" w:cs="宋体"/>
          <w:color w:val="auto"/>
          <w:sz w:val="24"/>
          <w:highlight w:val="none"/>
          <w:shd w:val="clear" w:color="auto" w:fill="FFFFFF"/>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15D57FA">
      <w:pPr>
        <w:widowControl/>
        <w:spacing w:line="500" w:lineRule="exact"/>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shd w:val="clear" w:color="auto" w:fill="FFFFFF"/>
        </w:rPr>
        <w:t>（十六）其他未列明行业。从业人员300人以下的为中小微型企业。其中，从业人员100人及以上的为中型企业；从业人员10人及以上的为小型企业；从业人员10人以下的为微型企业。</w:t>
      </w:r>
    </w:p>
    <w:p w14:paraId="02927C50">
      <w:pPr>
        <w:widowControl/>
        <w:spacing w:line="500" w:lineRule="exact"/>
        <w:ind w:firstLine="480" w:firstLineChars="200"/>
        <w:jc w:val="left"/>
        <w:outlineLvl w:val="9"/>
        <w:rPr>
          <w:rFonts w:hint="eastAsia" w:ascii="宋体" w:hAnsi="宋体" w:eastAsia="宋体" w:cs="宋体"/>
          <w:color w:val="auto"/>
          <w:sz w:val="24"/>
          <w:highlight w:val="none"/>
        </w:rPr>
      </w:pPr>
      <w:bookmarkStart w:id="783" w:name="_Toc31208"/>
      <w:bookmarkStart w:id="784" w:name="_Toc22683"/>
      <w:bookmarkStart w:id="785" w:name="_Toc178"/>
      <w:r>
        <w:rPr>
          <w:rFonts w:hint="eastAsia" w:ascii="宋体" w:hAnsi="宋体" w:eastAsia="宋体" w:cs="宋体"/>
          <w:color w:val="auto"/>
          <w:sz w:val="24"/>
          <w:highlight w:val="none"/>
        </w:rPr>
        <w:t>五、企业类型的划分以统计部门的统计数据为依据。</w:t>
      </w:r>
      <w:bookmarkEnd w:id="783"/>
      <w:bookmarkEnd w:id="784"/>
      <w:bookmarkEnd w:id="785"/>
    </w:p>
    <w:p w14:paraId="6F486897">
      <w:pPr>
        <w:rPr>
          <w:rFonts w:hint="eastAsia" w:ascii="宋体" w:hAnsi="宋体" w:eastAsia="宋体" w:cs="宋体"/>
          <w:b/>
          <w:bCs/>
          <w:sz w:val="30"/>
          <w:szCs w:val="30"/>
          <w:highlight w:val="none"/>
          <w:lang w:eastAsia="zh-CN"/>
        </w:rPr>
      </w:pPr>
      <w:r>
        <w:rPr>
          <w:rFonts w:hint="eastAsia" w:ascii="宋体" w:hAnsi="宋体" w:eastAsia="宋体" w:cs="宋体"/>
          <w:b/>
          <w:bCs/>
          <w:sz w:val="30"/>
          <w:szCs w:val="30"/>
          <w:highlight w:val="none"/>
          <w:lang w:eastAsia="zh-CN"/>
        </w:rPr>
        <w:br w:type="page"/>
      </w:r>
    </w:p>
    <w:p w14:paraId="18BE9DDB">
      <w:pPr>
        <w:numPr>
          <w:ilvl w:val="0"/>
          <w:numId w:val="0"/>
        </w:numPr>
        <w:spacing w:line="480" w:lineRule="exact"/>
        <w:jc w:val="center"/>
        <w:textAlignment w:val="center"/>
        <w:outlineLvl w:val="1"/>
        <w:rPr>
          <w:rFonts w:hint="eastAsia" w:ascii="宋体" w:hAnsi="宋体" w:eastAsia="宋体" w:cs="宋体"/>
          <w:b/>
          <w:bCs/>
          <w:sz w:val="28"/>
          <w:szCs w:val="28"/>
          <w:highlight w:val="none"/>
        </w:rPr>
      </w:pPr>
      <w:bookmarkStart w:id="786" w:name="_Toc12228"/>
      <w:bookmarkStart w:id="787" w:name="_Toc15083"/>
      <w:r>
        <w:rPr>
          <w:rFonts w:hint="eastAsia" w:ascii="宋体" w:hAnsi="宋体" w:eastAsia="宋体" w:cs="宋体"/>
          <w:b/>
          <w:bCs/>
          <w:sz w:val="28"/>
          <w:szCs w:val="28"/>
          <w:highlight w:val="none"/>
          <w:lang w:eastAsia="zh-CN"/>
        </w:rPr>
        <w:t>四、技术部分</w:t>
      </w:r>
      <w:bookmarkEnd w:id="757"/>
      <w:bookmarkEnd w:id="758"/>
      <w:bookmarkEnd w:id="759"/>
      <w:bookmarkEnd w:id="760"/>
      <w:bookmarkEnd w:id="786"/>
      <w:bookmarkEnd w:id="787"/>
    </w:p>
    <w:p w14:paraId="75C41EB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highlight w:val="none"/>
        </w:rPr>
      </w:pPr>
      <w:bookmarkStart w:id="788" w:name="_Toc19996"/>
      <w:r>
        <w:rPr>
          <w:rFonts w:hint="eastAsia" w:ascii="宋体" w:hAnsi="宋体" w:eastAsia="宋体" w:cs="宋体"/>
          <w:b w:val="0"/>
          <w:bCs w:val="0"/>
          <w:color w:val="auto"/>
          <w:kern w:val="0"/>
          <w:sz w:val="22"/>
          <w:szCs w:val="22"/>
          <w:highlight w:val="none"/>
          <w:lang w:val="en-US" w:eastAsia="zh-CN" w:bidi="ar"/>
        </w:rPr>
        <w:t>供应商根据竞争性磋商文件技术部分要求内容自行编制技术方案。</w:t>
      </w:r>
    </w:p>
    <w:p w14:paraId="1AB9CE34">
      <w:pPr>
        <w:spacing w:before="240" w:after="60"/>
        <w:jc w:val="center"/>
        <w:rPr>
          <w:rFonts w:hint="eastAsia" w:ascii="宋体" w:hAnsi="宋体" w:eastAsia="宋体" w:cs="宋体"/>
          <w:b/>
          <w:bCs/>
          <w:sz w:val="28"/>
          <w:szCs w:val="28"/>
          <w:highlight w:val="none"/>
        </w:rPr>
      </w:pPr>
    </w:p>
    <w:p w14:paraId="5A8E984C">
      <w:pPr>
        <w:spacing w:before="240" w:after="60"/>
        <w:jc w:val="center"/>
        <w:rPr>
          <w:rFonts w:hint="eastAsia" w:ascii="宋体" w:hAnsi="宋体" w:eastAsia="宋体" w:cs="宋体"/>
          <w:b/>
          <w:bCs/>
          <w:sz w:val="28"/>
          <w:szCs w:val="28"/>
          <w:highlight w:val="none"/>
        </w:rPr>
      </w:pPr>
    </w:p>
    <w:p w14:paraId="10EA84B9">
      <w:pPr>
        <w:spacing w:before="240" w:after="60"/>
        <w:jc w:val="center"/>
        <w:rPr>
          <w:rFonts w:hint="eastAsia" w:ascii="宋体" w:hAnsi="宋体" w:eastAsia="宋体" w:cs="宋体"/>
          <w:b/>
          <w:bCs/>
          <w:sz w:val="28"/>
          <w:szCs w:val="28"/>
          <w:highlight w:val="none"/>
        </w:rPr>
      </w:pPr>
    </w:p>
    <w:p w14:paraId="5172854A">
      <w:pPr>
        <w:spacing w:before="240" w:after="60"/>
        <w:jc w:val="center"/>
        <w:rPr>
          <w:rFonts w:hint="eastAsia" w:ascii="宋体" w:hAnsi="宋体" w:eastAsia="宋体" w:cs="宋体"/>
          <w:b/>
          <w:bCs/>
          <w:sz w:val="28"/>
          <w:szCs w:val="28"/>
          <w:highlight w:val="none"/>
        </w:rPr>
      </w:pPr>
    </w:p>
    <w:p w14:paraId="306F7CD3">
      <w:pPr>
        <w:spacing w:before="240" w:after="60"/>
        <w:jc w:val="center"/>
        <w:rPr>
          <w:rFonts w:hint="eastAsia" w:ascii="宋体" w:hAnsi="宋体" w:eastAsia="宋体" w:cs="宋体"/>
          <w:b/>
          <w:bCs/>
          <w:sz w:val="28"/>
          <w:szCs w:val="28"/>
          <w:highlight w:val="none"/>
        </w:rPr>
      </w:pPr>
    </w:p>
    <w:p w14:paraId="18C73C77">
      <w:pPr>
        <w:spacing w:before="240" w:after="60"/>
        <w:jc w:val="center"/>
        <w:rPr>
          <w:rFonts w:hint="eastAsia" w:ascii="宋体" w:hAnsi="宋体" w:eastAsia="宋体" w:cs="宋体"/>
          <w:b/>
          <w:bCs/>
          <w:sz w:val="28"/>
          <w:szCs w:val="28"/>
          <w:highlight w:val="none"/>
        </w:rPr>
      </w:pPr>
    </w:p>
    <w:p w14:paraId="71922CC4">
      <w:pPr>
        <w:spacing w:before="240" w:after="60"/>
        <w:jc w:val="center"/>
        <w:rPr>
          <w:rFonts w:hint="eastAsia" w:ascii="宋体" w:hAnsi="宋体" w:eastAsia="宋体" w:cs="宋体"/>
          <w:b/>
          <w:bCs/>
          <w:sz w:val="28"/>
          <w:szCs w:val="28"/>
          <w:highlight w:val="none"/>
        </w:rPr>
      </w:pPr>
    </w:p>
    <w:p w14:paraId="413C93AE">
      <w:pPr>
        <w:spacing w:before="240" w:after="60"/>
        <w:jc w:val="center"/>
        <w:rPr>
          <w:rFonts w:hint="eastAsia" w:ascii="宋体" w:hAnsi="宋体" w:eastAsia="宋体" w:cs="宋体"/>
          <w:b/>
          <w:bCs/>
          <w:sz w:val="28"/>
          <w:szCs w:val="28"/>
          <w:highlight w:val="none"/>
        </w:rPr>
      </w:pPr>
    </w:p>
    <w:p w14:paraId="03D4AACF">
      <w:pPr>
        <w:spacing w:before="240" w:after="60"/>
        <w:jc w:val="center"/>
        <w:rPr>
          <w:rFonts w:hint="eastAsia" w:ascii="宋体" w:hAnsi="宋体" w:eastAsia="宋体" w:cs="宋体"/>
          <w:b/>
          <w:bCs/>
          <w:sz w:val="28"/>
          <w:szCs w:val="28"/>
          <w:highlight w:val="none"/>
        </w:rPr>
      </w:pPr>
    </w:p>
    <w:p w14:paraId="5805867B">
      <w:pPr>
        <w:spacing w:before="240" w:after="60"/>
        <w:jc w:val="center"/>
        <w:rPr>
          <w:rFonts w:hint="eastAsia" w:ascii="宋体" w:hAnsi="宋体" w:eastAsia="宋体" w:cs="宋体"/>
          <w:b/>
          <w:bCs/>
          <w:sz w:val="28"/>
          <w:szCs w:val="28"/>
          <w:highlight w:val="none"/>
        </w:rPr>
      </w:pPr>
    </w:p>
    <w:p w14:paraId="3159A0CD">
      <w:pPr>
        <w:spacing w:before="240" w:after="60"/>
        <w:jc w:val="center"/>
        <w:rPr>
          <w:rFonts w:hint="eastAsia" w:ascii="宋体" w:hAnsi="宋体" w:eastAsia="宋体" w:cs="宋体"/>
          <w:b/>
          <w:bCs/>
          <w:sz w:val="28"/>
          <w:szCs w:val="28"/>
          <w:highlight w:val="none"/>
        </w:rPr>
      </w:pPr>
    </w:p>
    <w:p w14:paraId="2BB3015C">
      <w:pPr>
        <w:spacing w:before="240" w:after="60"/>
        <w:jc w:val="center"/>
        <w:rPr>
          <w:rFonts w:hint="eastAsia" w:ascii="宋体" w:hAnsi="宋体" w:eastAsia="宋体" w:cs="宋体"/>
          <w:b/>
          <w:bCs/>
          <w:sz w:val="28"/>
          <w:szCs w:val="28"/>
          <w:highlight w:val="none"/>
        </w:rPr>
      </w:pPr>
    </w:p>
    <w:p w14:paraId="60904E41">
      <w:pPr>
        <w:spacing w:before="240" w:after="60"/>
        <w:jc w:val="center"/>
        <w:rPr>
          <w:rFonts w:hint="eastAsia" w:ascii="宋体" w:hAnsi="宋体" w:eastAsia="宋体" w:cs="宋体"/>
          <w:b/>
          <w:bCs/>
          <w:sz w:val="28"/>
          <w:szCs w:val="28"/>
          <w:highlight w:val="none"/>
        </w:rPr>
      </w:pPr>
    </w:p>
    <w:p w14:paraId="05AF1004">
      <w:pPr>
        <w:spacing w:before="240" w:after="60"/>
        <w:jc w:val="center"/>
        <w:rPr>
          <w:rFonts w:hint="eastAsia" w:ascii="宋体" w:hAnsi="宋体" w:eastAsia="宋体" w:cs="宋体"/>
          <w:b/>
          <w:bCs/>
          <w:sz w:val="28"/>
          <w:szCs w:val="28"/>
          <w:highlight w:val="none"/>
        </w:rPr>
      </w:pPr>
    </w:p>
    <w:p w14:paraId="7A806A77">
      <w:pPr>
        <w:spacing w:before="240" w:after="60"/>
        <w:jc w:val="center"/>
        <w:rPr>
          <w:rFonts w:hint="eastAsia" w:ascii="宋体" w:hAnsi="宋体" w:eastAsia="宋体" w:cs="宋体"/>
          <w:b/>
          <w:bCs/>
          <w:sz w:val="28"/>
          <w:szCs w:val="28"/>
          <w:highlight w:val="none"/>
        </w:rPr>
      </w:pPr>
    </w:p>
    <w:bookmarkEnd w:id="788"/>
    <w:p w14:paraId="7E316C40">
      <w:pPr>
        <w:rPr>
          <w:rFonts w:hint="eastAsia" w:ascii="宋体" w:hAnsi="宋体" w:eastAsia="宋体" w:cs="宋体"/>
          <w:b/>
          <w:bCs/>
          <w:sz w:val="32"/>
          <w:szCs w:val="32"/>
          <w:highlight w:val="none"/>
          <w:lang w:eastAsia="zh-CN"/>
        </w:rPr>
      </w:pPr>
      <w:r>
        <w:rPr>
          <w:rFonts w:hint="eastAsia" w:ascii="宋体" w:hAnsi="宋体" w:eastAsia="宋体" w:cs="宋体"/>
          <w:b/>
          <w:bCs/>
          <w:sz w:val="32"/>
          <w:szCs w:val="32"/>
          <w:highlight w:val="none"/>
          <w:lang w:eastAsia="zh-CN"/>
        </w:rPr>
        <w:br w:type="page"/>
      </w:r>
    </w:p>
    <w:p w14:paraId="13AD1398">
      <w:pPr>
        <w:numPr>
          <w:ilvl w:val="0"/>
          <w:numId w:val="0"/>
        </w:numPr>
        <w:jc w:val="center"/>
        <w:outlineLvl w:val="1"/>
        <w:rPr>
          <w:rFonts w:hint="eastAsia" w:ascii="宋体" w:hAnsi="宋体" w:eastAsia="宋体" w:cs="宋体"/>
          <w:b/>
          <w:bCs/>
          <w:sz w:val="28"/>
          <w:szCs w:val="28"/>
          <w:highlight w:val="none"/>
          <w:lang w:eastAsia="zh-CN"/>
        </w:rPr>
      </w:pPr>
      <w:bookmarkStart w:id="789" w:name="_Toc17690"/>
      <w:bookmarkStart w:id="790" w:name="_Toc3914"/>
      <w:bookmarkStart w:id="791" w:name="_Toc32073"/>
      <w:bookmarkStart w:id="792" w:name="_Toc20378"/>
      <w:bookmarkStart w:id="793" w:name="_Toc27236"/>
      <w:r>
        <w:rPr>
          <w:rFonts w:hint="eastAsia" w:ascii="宋体" w:hAnsi="宋体" w:eastAsia="宋体" w:cs="宋体"/>
          <w:b/>
          <w:bCs/>
          <w:kern w:val="2"/>
          <w:sz w:val="28"/>
          <w:szCs w:val="28"/>
          <w:highlight w:val="none"/>
          <w:lang w:val="en-US" w:eastAsia="zh-CN" w:bidi="ar-SA"/>
        </w:rPr>
        <w:t>五、企业</w:t>
      </w:r>
      <w:r>
        <w:rPr>
          <w:rFonts w:hint="eastAsia" w:ascii="宋体" w:hAnsi="宋体" w:eastAsia="宋体" w:cs="宋体"/>
          <w:b/>
          <w:bCs/>
          <w:sz w:val="28"/>
          <w:szCs w:val="28"/>
          <w:highlight w:val="none"/>
          <w:lang w:eastAsia="zh-CN"/>
        </w:rPr>
        <w:t>业绩</w:t>
      </w:r>
      <w:bookmarkEnd w:id="789"/>
      <w:bookmarkEnd w:id="790"/>
      <w:bookmarkEnd w:id="791"/>
      <w:bookmarkEnd w:id="792"/>
      <w:bookmarkEnd w:id="793"/>
    </w:p>
    <w:tbl>
      <w:tblPr>
        <w:tblStyle w:val="26"/>
        <w:tblW w:w="956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0"/>
        <w:gridCol w:w="2289"/>
        <w:gridCol w:w="1884"/>
        <w:gridCol w:w="1941"/>
        <w:gridCol w:w="1833"/>
      </w:tblGrid>
      <w:tr w14:paraId="050F1F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1620" w:type="dxa"/>
            <w:tcBorders>
              <w:bottom w:val="single" w:color="auto" w:sz="6" w:space="0"/>
              <w:right w:val="single" w:color="auto" w:sz="6" w:space="0"/>
            </w:tcBorders>
            <w:noWrap w:val="0"/>
            <w:vAlign w:val="center"/>
          </w:tcPr>
          <w:p w14:paraId="560D2E82">
            <w:pPr>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序号</w:t>
            </w:r>
          </w:p>
        </w:tc>
        <w:tc>
          <w:tcPr>
            <w:tcW w:w="2289" w:type="dxa"/>
            <w:tcBorders>
              <w:left w:val="single" w:color="auto" w:sz="6" w:space="0"/>
              <w:bottom w:val="single" w:color="auto" w:sz="6" w:space="0"/>
              <w:right w:val="single" w:color="auto" w:sz="6" w:space="0"/>
            </w:tcBorders>
            <w:noWrap w:val="0"/>
            <w:vAlign w:val="center"/>
          </w:tcPr>
          <w:p w14:paraId="2D19018C">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项目名称</w:t>
            </w:r>
          </w:p>
        </w:tc>
        <w:tc>
          <w:tcPr>
            <w:tcW w:w="1884" w:type="dxa"/>
            <w:tcBorders>
              <w:left w:val="single" w:color="auto" w:sz="6" w:space="0"/>
              <w:bottom w:val="single" w:color="auto" w:sz="6" w:space="0"/>
              <w:right w:val="single" w:color="auto" w:sz="6" w:space="0"/>
            </w:tcBorders>
            <w:noWrap w:val="0"/>
            <w:vAlign w:val="center"/>
          </w:tcPr>
          <w:p w14:paraId="6E486435">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项目金额</w:t>
            </w:r>
            <w:r>
              <w:rPr>
                <w:rFonts w:hint="eastAsia" w:ascii="宋体" w:hAnsi="宋体" w:eastAsia="宋体" w:cs="宋体"/>
                <w:color w:val="000000"/>
                <w:sz w:val="24"/>
                <w:szCs w:val="24"/>
                <w:highlight w:val="none"/>
              </w:rPr>
              <w:t>（元）</w:t>
            </w:r>
          </w:p>
        </w:tc>
        <w:tc>
          <w:tcPr>
            <w:tcW w:w="1941" w:type="dxa"/>
            <w:tcBorders>
              <w:left w:val="single" w:color="auto" w:sz="6" w:space="0"/>
              <w:bottom w:val="single" w:color="auto" w:sz="6" w:space="0"/>
              <w:right w:val="single" w:color="auto" w:sz="6" w:space="0"/>
            </w:tcBorders>
            <w:noWrap w:val="0"/>
            <w:vAlign w:val="center"/>
          </w:tcPr>
          <w:p w14:paraId="32EC2D07">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签订日期</w:t>
            </w:r>
          </w:p>
        </w:tc>
        <w:tc>
          <w:tcPr>
            <w:tcW w:w="1833" w:type="dxa"/>
            <w:tcBorders>
              <w:left w:val="single" w:color="auto" w:sz="6" w:space="0"/>
              <w:bottom w:val="single" w:color="auto" w:sz="6" w:space="0"/>
            </w:tcBorders>
            <w:noWrap w:val="0"/>
            <w:vAlign w:val="center"/>
          </w:tcPr>
          <w:p w14:paraId="559CA37C">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完成情况</w:t>
            </w:r>
          </w:p>
        </w:tc>
      </w:tr>
      <w:tr w14:paraId="228CD8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1620" w:type="dxa"/>
            <w:tcBorders>
              <w:top w:val="single" w:color="auto" w:sz="6" w:space="0"/>
              <w:bottom w:val="single" w:color="auto" w:sz="6" w:space="0"/>
              <w:right w:val="single" w:color="auto" w:sz="6" w:space="0"/>
            </w:tcBorders>
            <w:noWrap w:val="0"/>
            <w:vAlign w:val="center"/>
          </w:tcPr>
          <w:p w14:paraId="6B503278">
            <w:pPr>
              <w:jc w:val="center"/>
              <w:rPr>
                <w:rFonts w:hint="eastAsia" w:ascii="宋体" w:hAnsi="宋体" w:eastAsia="宋体" w:cs="宋体"/>
                <w:color w:val="000000"/>
                <w:sz w:val="24"/>
                <w:szCs w:val="24"/>
                <w:highlight w:val="none"/>
              </w:rPr>
            </w:pPr>
          </w:p>
        </w:tc>
        <w:tc>
          <w:tcPr>
            <w:tcW w:w="2289" w:type="dxa"/>
            <w:tcBorders>
              <w:top w:val="single" w:color="auto" w:sz="6" w:space="0"/>
              <w:left w:val="single" w:color="auto" w:sz="6" w:space="0"/>
              <w:bottom w:val="single" w:color="auto" w:sz="6" w:space="0"/>
              <w:right w:val="single" w:color="auto" w:sz="6" w:space="0"/>
            </w:tcBorders>
            <w:noWrap w:val="0"/>
            <w:vAlign w:val="center"/>
          </w:tcPr>
          <w:p w14:paraId="513AEE93">
            <w:pPr>
              <w:jc w:val="center"/>
              <w:rPr>
                <w:rFonts w:hint="eastAsia" w:ascii="宋体" w:hAnsi="宋体" w:eastAsia="宋体" w:cs="宋体"/>
                <w:color w:val="000000"/>
                <w:sz w:val="24"/>
                <w:szCs w:val="24"/>
                <w:highlight w:val="none"/>
              </w:rPr>
            </w:pPr>
          </w:p>
        </w:tc>
        <w:tc>
          <w:tcPr>
            <w:tcW w:w="1884" w:type="dxa"/>
            <w:tcBorders>
              <w:top w:val="single" w:color="auto" w:sz="6" w:space="0"/>
              <w:left w:val="single" w:color="auto" w:sz="6" w:space="0"/>
              <w:bottom w:val="single" w:color="auto" w:sz="6" w:space="0"/>
              <w:right w:val="single" w:color="auto" w:sz="6" w:space="0"/>
            </w:tcBorders>
            <w:noWrap w:val="0"/>
            <w:vAlign w:val="center"/>
          </w:tcPr>
          <w:p w14:paraId="581A8876">
            <w:pPr>
              <w:jc w:val="center"/>
              <w:rPr>
                <w:rFonts w:hint="eastAsia" w:ascii="宋体" w:hAnsi="宋体" w:eastAsia="宋体" w:cs="宋体"/>
                <w:color w:val="000000"/>
                <w:sz w:val="24"/>
                <w:szCs w:val="24"/>
                <w:highlight w:val="none"/>
              </w:rPr>
            </w:pPr>
          </w:p>
        </w:tc>
        <w:tc>
          <w:tcPr>
            <w:tcW w:w="1941" w:type="dxa"/>
            <w:tcBorders>
              <w:top w:val="single" w:color="auto" w:sz="6" w:space="0"/>
              <w:left w:val="single" w:color="auto" w:sz="6" w:space="0"/>
              <w:bottom w:val="single" w:color="auto" w:sz="6" w:space="0"/>
              <w:right w:val="single" w:color="auto" w:sz="6" w:space="0"/>
            </w:tcBorders>
            <w:noWrap w:val="0"/>
            <w:vAlign w:val="center"/>
          </w:tcPr>
          <w:p w14:paraId="20BB274E">
            <w:pPr>
              <w:jc w:val="center"/>
              <w:rPr>
                <w:rFonts w:hint="eastAsia" w:ascii="宋体" w:hAnsi="宋体" w:eastAsia="宋体" w:cs="宋体"/>
                <w:color w:val="000000"/>
                <w:sz w:val="24"/>
                <w:szCs w:val="24"/>
                <w:highlight w:val="none"/>
              </w:rPr>
            </w:pPr>
          </w:p>
        </w:tc>
        <w:tc>
          <w:tcPr>
            <w:tcW w:w="1833" w:type="dxa"/>
            <w:tcBorders>
              <w:top w:val="single" w:color="auto" w:sz="6" w:space="0"/>
              <w:left w:val="single" w:color="auto" w:sz="6" w:space="0"/>
              <w:bottom w:val="single" w:color="auto" w:sz="6" w:space="0"/>
            </w:tcBorders>
            <w:noWrap w:val="0"/>
            <w:vAlign w:val="top"/>
          </w:tcPr>
          <w:p w14:paraId="5F5EC34F">
            <w:pPr>
              <w:jc w:val="center"/>
              <w:rPr>
                <w:rFonts w:hint="eastAsia" w:ascii="宋体" w:hAnsi="宋体" w:eastAsia="宋体" w:cs="宋体"/>
                <w:color w:val="000000"/>
                <w:sz w:val="24"/>
                <w:szCs w:val="24"/>
                <w:highlight w:val="none"/>
              </w:rPr>
            </w:pPr>
          </w:p>
        </w:tc>
      </w:tr>
      <w:tr w14:paraId="54C30B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1620" w:type="dxa"/>
            <w:tcBorders>
              <w:top w:val="single" w:color="auto" w:sz="6" w:space="0"/>
              <w:bottom w:val="single" w:color="auto" w:sz="6" w:space="0"/>
              <w:right w:val="single" w:color="auto" w:sz="6" w:space="0"/>
            </w:tcBorders>
            <w:noWrap w:val="0"/>
            <w:vAlign w:val="center"/>
          </w:tcPr>
          <w:p w14:paraId="244E2895">
            <w:pPr>
              <w:jc w:val="center"/>
              <w:rPr>
                <w:rFonts w:hint="eastAsia" w:ascii="宋体" w:hAnsi="宋体" w:eastAsia="宋体" w:cs="宋体"/>
                <w:color w:val="000000"/>
                <w:sz w:val="24"/>
                <w:szCs w:val="24"/>
                <w:highlight w:val="none"/>
              </w:rPr>
            </w:pPr>
          </w:p>
        </w:tc>
        <w:tc>
          <w:tcPr>
            <w:tcW w:w="2289" w:type="dxa"/>
            <w:tcBorders>
              <w:top w:val="single" w:color="auto" w:sz="6" w:space="0"/>
              <w:left w:val="single" w:color="auto" w:sz="6" w:space="0"/>
              <w:bottom w:val="single" w:color="auto" w:sz="6" w:space="0"/>
              <w:right w:val="single" w:color="auto" w:sz="6" w:space="0"/>
            </w:tcBorders>
            <w:noWrap w:val="0"/>
            <w:vAlign w:val="center"/>
          </w:tcPr>
          <w:p w14:paraId="237DE31D">
            <w:pPr>
              <w:jc w:val="center"/>
              <w:rPr>
                <w:rFonts w:hint="eastAsia" w:ascii="宋体" w:hAnsi="宋体" w:eastAsia="宋体" w:cs="宋体"/>
                <w:color w:val="000000"/>
                <w:sz w:val="24"/>
                <w:szCs w:val="24"/>
                <w:highlight w:val="none"/>
              </w:rPr>
            </w:pPr>
          </w:p>
        </w:tc>
        <w:tc>
          <w:tcPr>
            <w:tcW w:w="1884" w:type="dxa"/>
            <w:tcBorders>
              <w:top w:val="single" w:color="auto" w:sz="6" w:space="0"/>
              <w:left w:val="single" w:color="auto" w:sz="6" w:space="0"/>
              <w:bottom w:val="single" w:color="auto" w:sz="6" w:space="0"/>
              <w:right w:val="single" w:color="auto" w:sz="6" w:space="0"/>
            </w:tcBorders>
            <w:noWrap w:val="0"/>
            <w:vAlign w:val="center"/>
          </w:tcPr>
          <w:p w14:paraId="79A0F14E">
            <w:pPr>
              <w:jc w:val="center"/>
              <w:rPr>
                <w:rFonts w:hint="eastAsia" w:ascii="宋体" w:hAnsi="宋体" w:eastAsia="宋体" w:cs="宋体"/>
                <w:color w:val="000000"/>
                <w:sz w:val="24"/>
                <w:szCs w:val="24"/>
                <w:highlight w:val="none"/>
              </w:rPr>
            </w:pPr>
          </w:p>
        </w:tc>
        <w:tc>
          <w:tcPr>
            <w:tcW w:w="1941" w:type="dxa"/>
            <w:tcBorders>
              <w:top w:val="single" w:color="auto" w:sz="6" w:space="0"/>
              <w:left w:val="single" w:color="auto" w:sz="6" w:space="0"/>
              <w:bottom w:val="single" w:color="auto" w:sz="6" w:space="0"/>
              <w:right w:val="single" w:color="auto" w:sz="6" w:space="0"/>
            </w:tcBorders>
            <w:noWrap w:val="0"/>
            <w:vAlign w:val="center"/>
          </w:tcPr>
          <w:p w14:paraId="76D4EC54">
            <w:pPr>
              <w:jc w:val="center"/>
              <w:rPr>
                <w:rFonts w:hint="eastAsia" w:ascii="宋体" w:hAnsi="宋体" w:eastAsia="宋体" w:cs="宋体"/>
                <w:color w:val="000000"/>
                <w:sz w:val="24"/>
                <w:szCs w:val="24"/>
                <w:highlight w:val="none"/>
              </w:rPr>
            </w:pPr>
          </w:p>
        </w:tc>
        <w:tc>
          <w:tcPr>
            <w:tcW w:w="1833" w:type="dxa"/>
            <w:tcBorders>
              <w:top w:val="single" w:color="auto" w:sz="6" w:space="0"/>
              <w:left w:val="single" w:color="auto" w:sz="6" w:space="0"/>
              <w:bottom w:val="single" w:color="auto" w:sz="6" w:space="0"/>
            </w:tcBorders>
            <w:noWrap w:val="0"/>
            <w:vAlign w:val="top"/>
          </w:tcPr>
          <w:p w14:paraId="0E5C3FFD">
            <w:pPr>
              <w:jc w:val="center"/>
              <w:rPr>
                <w:rFonts w:hint="eastAsia" w:ascii="宋体" w:hAnsi="宋体" w:eastAsia="宋体" w:cs="宋体"/>
                <w:color w:val="000000"/>
                <w:sz w:val="24"/>
                <w:szCs w:val="24"/>
                <w:highlight w:val="none"/>
              </w:rPr>
            </w:pPr>
          </w:p>
        </w:tc>
      </w:tr>
      <w:tr w14:paraId="4E38D1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1620" w:type="dxa"/>
            <w:tcBorders>
              <w:top w:val="single" w:color="auto" w:sz="6" w:space="0"/>
              <w:bottom w:val="single" w:color="auto" w:sz="6" w:space="0"/>
              <w:right w:val="single" w:color="auto" w:sz="6" w:space="0"/>
            </w:tcBorders>
            <w:noWrap w:val="0"/>
            <w:vAlign w:val="center"/>
          </w:tcPr>
          <w:p w14:paraId="260B7DDA">
            <w:pPr>
              <w:jc w:val="center"/>
              <w:rPr>
                <w:rFonts w:hint="eastAsia" w:ascii="宋体" w:hAnsi="宋体" w:eastAsia="宋体" w:cs="宋体"/>
                <w:color w:val="000000"/>
                <w:sz w:val="24"/>
                <w:szCs w:val="24"/>
                <w:highlight w:val="none"/>
              </w:rPr>
            </w:pPr>
          </w:p>
        </w:tc>
        <w:tc>
          <w:tcPr>
            <w:tcW w:w="2289" w:type="dxa"/>
            <w:tcBorders>
              <w:top w:val="single" w:color="auto" w:sz="6" w:space="0"/>
              <w:left w:val="single" w:color="auto" w:sz="6" w:space="0"/>
              <w:bottom w:val="single" w:color="auto" w:sz="6" w:space="0"/>
              <w:right w:val="single" w:color="auto" w:sz="6" w:space="0"/>
            </w:tcBorders>
            <w:noWrap w:val="0"/>
            <w:vAlign w:val="center"/>
          </w:tcPr>
          <w:p w14:paraId="3579F322">
            <w:pPr>
              <w:jc w:val="center"/>
              <w:rPr>
                <w:rFonts w:hint="eastAsia" w:ascii="宋体" w:hAnsi="宋体" w:eastAsia="宋体" w:cs="宋体"/>
                <w:color w:val="000000"/>
                <w:sz w:val="24"/>
                <w:szCs w:val="24"/>
                <w:highlight w:val="none"/>
              </w:rPr>
            </w:pPr>
          </w:p>
        </w:tc>
        <w:tc>
          <w:tcPr>
            <w:tcW w:w="1884" w:type="dxa"/>
            <w:tcBorders>
              <w:top w:val="single" w:color="auto" w:sz="6" w:space="0"/>
              <w:left w:val="single" w:color="auto" w:sz="6" w:space="0"/>
              <w:bottom w:val="single" w:color="auto" w:sz="6" w:space="0"/>
              <w:right w:val="single" w:color="auto" w:sz="6" w:space="0"/>
            </w:tcBorders>
            <w:noWrap w:val="0"/>
            <w:vAlign w:val="center"/>
          </w:tcPr>
          <w:p w14:paraId="00DAA002">
            <w:pPr>
              <w:jc w:val="center"/>
              <w:rPr>
                <w:rFonts w:hint="eastAsia" w:ascii="宋体" w:hAnsi="宋体" w:eastAsia="宋体" w:cs="宋体"/>
                <w:color w:val="000000"/>
                <w:sz w:val="24"/>
                <w:szCs w:val="24"/>
                <w:highlight w:val="none"/>
              </w:rPr>
            </w:pPr>
          </w:p>
        </w:tc>
        <w:tc>
          <w:tcPr>
            <w:tcW w:w="1941" w:type="dxa"/>
            <w:tcBorders>
              <w:top w:val="single" w:color="auto" w:sz="6" w:space="0"/>
              <w:left w:val="single" w:color="auto" w:sz="6" w:space="0"/>
              <w:bottom w:val="single" w:color="auto" w:sz="6" w:space="0"/>
              <w:right w:val="single" w:color="auto" w:sz="6" w:space="0"/>
            </w:tcBorders>
            <w:noWrap w:val="0"/>
            <w:vAlign w:val="center"/>
          </w:tcPr>
          <w:p w14:paraId="358A377D">
            <w:pPr>
              <w:jc w:val="center"/>
              <w:rPr>
                <w:rFonts w:hint="eastAsia" w:ascii="宋体" w:hAnsi="宋体" w:eastAsia="宋体" w:cs="宋体"/>
                <w:color w:val="000000"/>
                <w:sz w:val="24"/>
                <w:szCs w:val="24"/>
                <w:highlight w:val="none"/>
              </w:rPr>
            </w:pPr>
          </w:p>
        </w:tc>
        <w:tc>
          <w:tcPr>
            <w:tcW w:w="1833" w:type="dxa"/>
            <w:tcBorders>
              <w:top w:val="single" w:color="auto" w:sz="6" w:space="0"/>
              <w:left w:val="single" w:color="auto" w:sz="6" w:space="0"/>
              <w:bottom w:val="single" w:color="auto" w:sz="6" w:space="0"/>
            </w:tcBorders>
            <w:noWrap w:val="0"/>
            <w:vAlign w:val="top"/>
          </w:tcPr>
          <w:p w14:paraId="72835768">
            <w:pPr>
              <w:jc w:val="center"/>
              <w:rPr>
                <w:rFonts w:hint="eastAsia" w:ascii="宋体" w:hAnsi="宋体" w:eastAsia="宋体" w:cs="宋体"/>
                <w:color w:val="000000"/>
                <w:sz w:val="24"/>
                <w:szCs w:val="24"/>
                <w:highlight w:val="none"/>
              </w:rPr>
            </w:pPr>
          </w:p>
        </w:tc>
      </w:tr>
      <w:tr w14:paraId="49BA76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56" w:hRule="atLeast"/>
          <w:jc w:val="center"/>
        </w:trPr>
        <w:tc>
          <w:tcPr>
            <w:tcW w:w="1620" w:type="dxa"/>
            <w:tcBorders>
              <w:top w:val="single" w:color="auto" w:sz="6" w:space="0"/>
              <w:bottom w:val="single" w:color="auto" w:sz="6" w:space="0"/>
              <w:right w:val="single" w:color="auto" w:sz="6" w:space="0"/>
            </w:tcBorders>
            <w:noWrap w:val="0"/>
            <w:vAlign w:val="center"/>
          </w:tcPr>
          <w:p w14:paraId="0CC1E49B">
            <w:pPr>
              <w:jc w:val="center"/>
              <w:rPr>
                <w:rFonts w:hint="eastAsia" w:ascii="宋体" w:hAnsi="宋体" w:eastAsia="宋体" w:cs="宋体"/>
                <w:color w:val="000000"/>
                <w:sz w:val="24"/>
                <w:szCs w:val="24"/>
                <w:highlight w:val="none"/>
              </w:rPr>
            </w:pPr>
          </w:p>
        </w:tc>
        <w:tc>
          <w:tcPr>
            <w:tcW w:w="2289" w:type="dxa"/>
            <w:tcBorders>
              <w:top w:val="single" w:color="auto" w:sz="6" w:space="0"/>
              <w:left w:val="single" w:color="auto" w:sz="6" w:space="0"/>
              <w:bottom w:val="single" w:color="auto" w:sz="6" w:space="0"/>
              <w:right w:val="single" w:color="auto" w:sz="6" w:space="0"/>
            </w:tcBorders>
            <w:noWrap w:val="0"/>
            <w:vAlign w:val="center"/>
          </w:tcPr>
          <w:p w14:paraId="36B8A434">
            <w:pPr>
              <w:jc w:val="center"/>
              <w:rPr>
                <w:rFonts w:hint="eastAsia" w:ascii="宋体" w:hAnsi="宋体" w:eastAsia="宋体" w:cs="宋体"/>
                <w:color w:val="000000"/>
                <w:sz w:val="24"/>
                <w:szCs w:val="24"/>
                <w:highlight w:val="none"/>
              </w:rPr>
            </w:pPr>
          </w:p>
        </w:tc>
        <w:tc>
          <w:tcPr>
            <w:tcW w:w="1884" w:type="dxa"/>
            <w:tcBorders>
              <w:top w:val="single" w:color="auto" w:sz="6" w:space="0"/>
              <w:left w:val="single" w:color="auto" w:sz="6" w:space="0"/>
              <w:bottom w:val="single" w:color="auto" w:sz="6" w:space="0"/>
              <w:right w:val="single" w:color="auto" w:sz="6" w:space="0"/>
            </w:tcBorders>
            <w:noWrap w:val="0"/>
            <w:vAlign w:val="center"/>
          </w:tcPr>
          <w:p w14:paraId="0366E4A2">
            <w:pPr>
              <w:jc w:val="center"/>
              <w:rPr>
                <w:rFonts w:hint="eastAsia" w:ascii="宋体" w:hAnsi="宋体" w:eastAsia="宋体" w:cs="宋体"/>
                <w:color w:val="000000"/>
                <w:sz w:val="24"/>
                <w:szCs w:val="24"/>
                <w:highlight w:val="none"/>
              </w:rPr>
            </w:pPr>
          </w:p>
        </w:tc>
        <w:tc>
          <w:tcPr>
            <w:tcW w:w="1941" w:type="dxa"/>
            <w:tcBorders>
              <w:top w:val="single" w:color="auto" w:sz="6" w:space="0"/>
              <w:left w:val="single" w:color="auto" w:sz="6" w:space="0"/>
              <w:bottom w:val="single" w:color="auto" w:sz="6" w:space="0"/>
              <w:right w:val="single" w:color="auto" w:sz="6" w:space="0"/>
            </w:tcBorders>
            <w:noWrap w:val="0"/>
            <w:vAlign w:val="center"/>
          </w:tcPr>
          <w:p w14:paraId="06F9FBBF">
            <w:pPr>
              <w:jc w:val="center"/>
              <w:rPr>
                <w:rFonts w:hint="eastAsia" w:ascii="宋体" w:hAnsi="宋体" w:eastAsia="宋体" w:cs="宋体"/>
                <w:color w:val="000000"/>
                <w:sz w:val="24"/>
                <w:szCs w:val="24"/>
                <w:highlight w:val="none"/>
              </w:rPr>
            </w:pPr>
          </w:p>
        </w:tc>
        <w:tc>
          <w:tcPr>
            <w:tcW w:w="1833" w:type="dxa"/>
            <w:tcBorders>
              <w:top w:val="single" w:color="auto" w:sz="6" w:space="0"/>
              <w:left w:val="single" w:color="auto" w:sz="6" w:space="0"/>
              <w:bottom w:val="single" w:color="auto" w:sz="6" w:space="0"/>
            </w:tcBorders>
            <w:noWrap w:val="0"/>
            <w:vAlign w:val="top"/>
          </w:tcPr>
          <w:p w14:paraId="18816B83">
            <w:pPr>
              <w:jc w:val="center"/>
              <w:rPr>
                <w:rFonts w:hint="eastAsia" w:ascii="宋体" w:hAnsi="宋体" w:eastAsia="宋体" w:cs="宋体"/>
                <w:color w:val="000000"/>
                <w:sz w:val="24"/>
                <w:szCs w:val="24"/>
                <w:highlight w:val="none"/>
              </w:rPr>
            </w:pPr>
          </w:p>
        </w:tc>
      </w:tr>
      <w:tr w14:paraId="3ECB589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6" w:hRule="atLeast"/>
          <w:jc w:val="center"/>
        </w:trPr>
        <w:tc>
          <w:tcPr>
            <w:tcW w:w="1620" w:type="dxa"/>
            <w:tcBorders>
              <w:top w:val="single" w:color="auto" w:sz="6" w:space="0"/>
              <w:right w:val="single" w:color="auto" w:sz="6" w:space="0"/>
            </w:tcBorders>
            <w:noWrap w:val="0"/>
            <w:vAlign w:val="center"/>
          </w:tcPr>
          <w:p w14:paraId="50B7D69A">
            <w:pPr>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p>
        </w:tc>
        <w:tc>
          <w:tcPr>
            <w:tcW w:w="2289" w:type="dxa"/>
            <w:tcBorders>
              <w:top w:val="single" w:color="auto" w:sz="6" w:space="0"/>
              <w:left w:val="single" w:color="auto" w:sz="6" w:space="0"/>
              <w:right w:val="single" w:color="auto" w:sz="6" w:space="0"/>
            </w:tcBorders>
            <w:noWrap w:val="0"/>
            <w:vAlign w:val="center"/>
          </w:tcPr>
          <w:p w14:paraId="3B1E50B0">
            <w:pPr>
              <w:jc w:val="center"/>
              <w:rPr>
                <w:rFonts w:hint="eastAsia" w:ascii="宋体" w:hAnsi="宋体" w:eastAsia="宋体" w:cs="宋体"/>
                <w:color w:val="000000"/>
                <w:sz w:val="24"/>
                <w:szCs w:val="24"/>
                <w:highlight w:val="none"/>
              </w:rPr>
            </w:pPr>
          </w:p>
        </w:tc>
        <w:tc>
          <w:tcPr>
            <w:tcW w:w="1884" w:type="dxa"/>
            <w:tcBorders>
              <w:top w:val="single" w:color="auto" w:sz="6" w:space="0"/>
              <w:left w:val="single" w:color="auto" w:sz="6" w:space="0"/>
              <w:right w:val="single" w:color="auto" w:sz="6" w:space="0"/>
            </w:tcBorders>
            <w:noWrap w:val="0"/>
            <w:vAlign w:val="center"/>
          </w:tcPr>
          <w:p w14:paraId="489E7BD1">
            <w:pPr>
              <w:jc w:val="center"/>
              <w:rPr>
                <w:rFonts w:hint="eastAsia" w:ascii="宋体" w:hAnsi="宋体" w:eastAsia="宋体" w:cs="宋体"/>
                <w:color w:val="000000"/>
                <w:sz w:val="24"/>
                <w:szCs w:val="24"/>
                <w:highlight w:val="none"/>
              </w:rPr>
            </w:pPr>
          </w:p>
        </w:tc>
        <w:tc>
          <w:tcPr>
            <w:tcW w:w="1941" w:type="dxa"/>
            <w:tcBorders>
              <w:top w:val="single" w:color="auto" w:sz="6" w:space="0"/>
              <w:left w:val="single" w:color="auto" w:sz="6" w:space="0"/>
              <w:right w:val="single" w:color="auto" w:sz="6" w:space="0"/>
            </w:tcBorders>
            <w:noWrap w:val="0"/>
            <w:vAlign w:val="center"/>
          </w:tcPr>
          <w:p w14:paraId="62955048">
            <w:pPr>
              <w:jc w:val="center"/>
              <w:rPr>
                <w:rFonts w:hint="eastAsia" w:ascii="宋体" w:hAnsi="宋体" w:eastAsia="宋体" w:cs="宋体"/>
                <w:color w:val="000000"/>
                <w:sz w:val="24"/>
                <w:szCs w:val="24"/>
                <w:highlight w:val="none"/>
              </w:rPr>
            </w:pPr>
          </w:p>
        </w:tc>
        <w:tc>
          <w:tcPr>
            <w:tcW w:w="1833" w:type="dxa"/>
            <w:tcBorders>
              <w:top w:val="single" w:color="auto" w:sz="6" w:space="0"/>
              <w:left w:val="single" w:color="auto" w:sz="6" w:space="0"/>
            </w:tcBorders>
            <w:noWrap w:val="0"/>
            <w:vAlign w:val="top"/>
          </w:tcPr>
          <w:p w14:paraId="01C5E22F">
            <w:pPr>
              <w:jc w:val="center"/>
              <w:rPr>
                <w:rFonts w:hint="eastAsia" w:ascii="宋体" w:hAnsi="宋体" w:eastAsia="宋体" w:cs="宋体"/>
                <w:color w:val="000000"/>
                <w:sz w:val="24"/>
                <w:szCs w:val="24"/>
                <w:highlight w:val="none"/>
              </w:rPr>
            </w:pPr>
          </w:p>
        </w:tc>
      </w:tr>
    </w:tbl>
    <w:p w14:paraId="5F83686F">
      <w:pPr>
        <w:pBdr>
          <w:top w:val="none" w:color="auto" w:sz="0" w:space="0"/>
          <w:left w:val="none" w:color="auto" w:sz="0" w:space="0"/>
          <w:bottom w:val="none" w:color="auto" w:sz="0" w:space="0"/>
          <w:right w:val="none" w:color="auto" w:sz="0" w:space="0"/>
        </w:pBdr>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注：后附相关资料。</w:t>
      </w:r>
    </w:p>
    <w:p w14:paraId="5D0DC9A2">
      <w:pPr>
        <w:rPr>
          <w:rFonts w:hint="eastAsia" w:ascii="宋体" w:hAnsi="宋体" w:eastAsia="宋体" w:cs="宋体"/>
          <w:b/>
          <w:bCs/>
          <w:sz w:val="24"/>
          <w:szCs w:val="24"/>
          <w:highlight w:val="none"/>
          <w:lang w:eastAsia="zh-CN"/>
        </w:rPr>
      </w:pPr>
    </w:p>
    <w:p w14:paraId="05593471">
      <w:pPr>
        <w:rPr>
          <w:rFonts w:hint="eastAsia" w:ascii="宋体" w:hAnsi="宋体" w:eastAsia="宋体" w:cs="宋体"/>
          <w:b/>
          <w:bCs/>
          <w:sz w:val="24"/>
          <w:szCs w:val="24"/>
          <w:highlight w:val="none"/>
          <w:lang w:eastAsia="zh-CN"/>
        </w:rPr>
      </w:pPr>
    </w:p>
    <w:p w14:paraId="07E54699">
      <w:pPr>
        <w:rPr>
          <w:rFonts w:hint="eastAsia" w:ascii="宋体" w:hAnsi="宋体" w:eastAsia="宋体" w:cs="宋体"/>
          <w:b/>
          <w:bCs/>
          <w:sz w:val="24"/>
          <w:szCs w:val="24"/>
          <w:highlight w:val="none"/>
          <w:lang w:eastAsia="zh-CN"/>
        </w:rPr>
      </w:pPr>
    </w:p>
    <w:p w14:paraId="47CE54B2">
      <w:pPr>
        <w:rPr>
          <w:rFonts w:hint="eastAsia" w:ascii="宋体" w:hAnsi="宋体" w:eastAsia="宋体" w:cs="宋体"/>
          <w:b/>
          <w:bCs/>
          <w:sz w:val="24"/>
          <w:szCs w:val="24"/>
          <w:highlight w:val="none"/>
          <w:lang w:eastAsia="zh-CN"/>
        </w:rPr>
      </w:pPr>
    </w:p>
    <w:p w14:paraId="0C127748">
      <w:pPr>
        <w:rPr>
          <w:rFonts w:hint="eastAsia" w:ascii="宋体" w:hAnsi="宋体" w:eastAsia="宋体" w:cs="宋体"/>
          <w:b/>
          <w:bCs/>
          <w:sz w:val="24"/>
          <w:szCs w:val="24"/>
          <w:highlight w:val="none"/>
          <w:lang w:eastAsia="zh-CN"/>
        </w:rPr>
      </w:pPr>
    </w:p>
    <w:p w14:paraId="68CFAC1C">
      <w:pPr>
        <w:rPr>
          <w:rFonts w:hint="eastAsia" w:ascii="宋体" w:hAnsi="宋体" w:eastAsia="宋体" w:cs="宋体"/>
          <w:b/>
          <w:bCs/>
          <w:sz w:val="24"/>
          <w:szCs w:val="24"/>
          <w:highlight w:val="none"/>
          <w:lang w:eastAsia="zh-CN"/>
        </w:rPr>
      </w:pPr>
    </w:p>
    <w:p w14:paraId="2EE30FB6">
      <w:pPr>
        <w:rPr>
          <w:rFonts w:hint="eastAsia" w:ascii="宋体" w:hAnsi="宋体" w:eastAsia="宋体" w:cs="宋体"/>
          <w:b/>
          <w:bCs/>
          <w:sz w:val="24"/>
          <w:szCs w:val="24"/>
          <w:highlight w:val="none"/>
          <w:lang w:eastAsia="zh-CN"/>
        </w:rPr>
      </w:pPr>
    </w:p>
    <w:p w14:paraId="6DBF3033">
      <w:pPr>
        <w:spacing w:line="360" w:lineRule="auto"/>
        <w:jc w:val="righ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供应商：</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（盖单位公章）</w:t>
      </w:r>
    </w:p>
    <w:p w14:paraId="4CDFB86E">
      <w:pPr>
        <w:spacing w:line="360" w:lineRule="auto"/>
        <w:jc w:val="righ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法定代表人或其委托代理人：</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（签字或盖章）</w:t>
      </w:r>
    </w:p>
    <w:p w14:paraId="7A234C12">
      <w:pPr>
        <w:spacing w:line="360" w:lineRule="auto"/>
        <w:jc w:val="righ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年</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月</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日</w:t>
      </w:r>
    </w:p>
    <w:p w14:paraId="2F3DA3EF">
      <w:pP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br w:type="page"/>
      </w:r>
    </w:p>
    <w:p w14:paraId="40E9F52A">
      <w:pPr>
        <w:spacing w:line="500" w:lineRule="exact"/>
        <w:jc w:val="center"/>
        <w:textAlignment w:val="baseline"/>
        <w:outlineLvl w:val="1"/>
        <w:rPr>
          <w:rFonts w:hint="eastAsia" w:ascii="宋体" w:hAnsi="宋体" w:eastAsia="宋体" w:cs="宋体"/>
          <w:b/>
          <w:bCs/>
          <w:sz w:val="28"/>
          <w:szCs w:val="28"/>
          <w:highlight w:val="none"/>
          <w:lang w:val="en-US" w:eastAsia="zh-CN"/>
        </w:rPr>
      </w:pPr>
      <w:bookmarkStart w:id="794" w:name="_Toc21755"/>
      <w:r>
        <w:rPr>
          <w:rFonts w:hint="eastAsia" w:ascii="宋体" w:hAnsi="宋体" w:eastAsia="宋体" w:cs="宋体"/>
          <w:b/>
          <w:bCs/>
          <w:sz w:val="28"/>
          <w:szCs w:val="28"/>
          <w:highlight w:val="none"/>
          <w:lang w:val="en-US" w:eastAsia="zh-CN"/>
        </w:rPr>
        <w:t>六、项目组成人员</w:t>
      </w:r>
      <w:bookmarkEnd w:id="794"/>
    </w:p>
    <w:p w14:paraId="434EF986">
      <w:pPr>
        <w:spacing w:line="500" w:lineRule="exact"/>
        <w:jc w:val="center"/>
        <w:textAlignment w:val="baseline"/>
        <w:rPr>
          <w:rFonts w:hint="eastAsia" w:ascii="宋体" w:hAnsi="宋体" w:eastAsia="宋体" w:cs="宋体"/>
          <w:sz w:val="24"/>
          <w:szCs w:val="24"/>
          <w:highlight w:val="none"/>
        </w:rPr>
      </w:pPr>
      <w:r>
        <w:rPr>
          <w:rFonts w:hint="eastAsia" w:ascii="宋体" w:hAnsi="宋体" w:eastAsia="宋体" w:cs="宋体"/>
          <w:sz w:val="24"/>
          <w:szCs w:val="24"/>
          <w:highlight w:val="none"/>
        </w:rPr>
        <w:t>拟投入本项目人员汇总表</w:t>
      </w:r>
    </w:p>
    <w:tbl>
      <w:tblPr>
        <w:tblStyle w:val="27"/>
        <w:tblW w:w="10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1436"/>
        <w:gridCol w:w="1437"/>
        <w:gridCol w:w="1437"/>
        <w:gridCol w:w="1437"/>
        <w:gridCol w:w="1437"/>
        <w:gridCol w:w="1437"/>
      </w:tblGrid>
      <w:tr w14:paraId="6495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36" w:type="dxa"/>
            <w:vAlign w:val="center"/>
          </w:tcPr>
          <w:p w14:paraId="78B35CE4">
            <w:pPr>
              <w:spacing w:line="500" w:lineRule="exact"/>
              <w:jc w:val="center"/>
              <w:textAlignment w:val="baseline"/>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rPr>
              <w:t>序号</w:t>
            </w:r>
          </w:p>
        </w:tc>
        <w:tc>
          <w:tcPr>
            <w:tcW w:w="1436" w:type="dxa"/>
            <w:vAlign w:val="center"/>
          </w:tcPr>
          <w:p w14:paraId="7FEAB697">
            <w:pPr>
              <w:spacing w:line="500" w:lineRule="exact"/>
              <w:jc w:val="center"/>
              <w:textAlignment w:val="baseline"/>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rPr>
              <w:t>姓名</w:t>
            </w:r>
          </w:p>
        </w:tc>
        <w:tc>
          <w:tcPr>
            <w:tcW w:w="1437" w:type="dxa"/>
            <w:vAlign w:val="center"/>
          </w:tcPr>
          <w:p w14:paraId="4C6C996A">
            <w:pPr>
              <w:spacing w:line="500" w:lineRule="exact"/>
              <w:jc w:val="center"/>
              <w:textAlignment w:val="baseline"/>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rPr>
              <w:t>性别</w:t>
            </w:r>
          </w:p>
        </w:tc>
        <w:tc>
          <w:tcPr>
            <w:tcW w:w="1437" w:type="dxa"/>
            <w:vAlign w:val="center"/>
          </w:tcPr>
          <w:p w14:paraId="545EAD3B">
            <w:pPr>
              <w:spacing w:line="500" w:lineRule="exact"/>
              <w:jc w:val="center"/>
              <w:textAlignment w:val="baseline"/>
              <w:rPr>
                <w:rFonts w:hint="eastAsia" w:ascii="宋体" w:hAnsi="宋体" w:eastAsia="宋体" w:cs="宋体"/>
                <w:sz w:val="24"/>
                <w:szCs w:val="24"/>
                <w:highlight w:val="none"/>
                <w:vertAlign w:val="baseline"/>
              </w:rPr>
            </w:pPr>
            <w:r>
              <w:rPr>
                <w:rFonts w:hint="eastAsia" w:ascii="宋体" w:hAnsi="宋体" w:eastAsia="宋体" w:cs="宋体"/>
                <w:sz w:val="24"/>
                <w:szCs w:val="24"/>
                <w:highlight w:val="none"/>
              </w:rPr>
              <w:t>年龄</w:t>
            </w:r>
          </w:p>
        </w:tc>
        <w:tc>
          <w:tcPr>
            <w:tcW w:w="1437" w:type="dxa"/>
            <w:vAlign w:val="center"/>
          </w:tcPr>
          <w:p w14:paraId="5886D62B">
            <w:pPr>
              <w:spacing w:line="500" w:lineRule="exact"/>
              <w:jc w:val="center"/>
              <w:textAlignment w:val="baseline"/>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证件名称</w:t>
            </w:r>
          </w:p>
        </w:tc>
        <w:tc>
          <w:tcPr>
            <w:tcW w:w="1437" w:type="dxa"/>
            <w:vAlign w:val="center"/>
          </w:tcPr>
          <w:p w14:paraId="64D87610">
            <w:pPr>
              <w:spacing w:line="500" w:lineRule="exact"/>
              <w:jc w:val="center"/>
              <w:textAlignment w:val="baseline"/>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证件编号</w:t>
            </w:r>
          </w:p>
        </w:tc>
        <w:tc>
          <w:tcPr>
            <w:tcW w:w="1437" w:type="dxa"/>
            <w:vAlign w:val="center"/>
          </w:tcPr>
          <w:p w14:paraId="76A3C78F">
            <w:pPr>
              <w:spacing w:line="500" w:lineRule="exact"/>
              <w:jc w:val="center"/>
              <w:textAlignment w:val="baseline"/>
              <w:rPr>
                <w:rFonts w:hint="eastAsia" w:ascii="宋体" w:hAnsi="宋体" w:eastAsia="宋体" w:cs="宋体"/>
                <w:sz w:val="24"/>
                <w:szCs w:val="24"/>
                <w:highlight w:val="none"/>
                <w:vertAlign w:val="baseline"/>
                <w:lang w:eastAsia="zh-CN"/>
              </w:rPr>
            </w:pPr>
            <w:r>
              <w:rPr>
                <w:rFonts w:hint="eastAsia" w:ascii="宋体" w:hAnsi="宋体" w:eastAsia="宋体" w:cs="宋体"/>
                <w:sz w:val="24"/>
                <w:szCs w:val="24"/>
                <w:highlight w:val="none"/>
                <w:vertAlign w:val="baseline"/>
                <w:lang w:eastAsia="zh-CN"/>
              </w:rPr>
              <w:t>拟任职务</w:t>
            </w:r>
          </w:p>
        </w:tc>
      </w:tr>
      <w:tr w14:paraId="32A3C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36" w:type="dxa"/>
            <w:vAlign w:val="center"/>
          </w:tcPr>
          <w:p w14:paraId="2A19AB25">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52C8B4EA">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0A343CD7">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AB777A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1FE4B8C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3730FFD">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7A0DAF46">
            <w:pPr>
              <w:spacing w:line="500" w:lineRule="exact"/>
              <w:jc w:val="center"/>
              <w:textAlignment w:val="baseline"/>
              <w:rPr>
                <w:rFonts w:hint="eastAsia" w:ascii="宋体" w:hAnsi="宋体" w:eastAsia="宋体" w:cs="宋体"/>
                <w:sz w:val="24"/>
                <w:szCs w:val="24"/>
                <w:highlight w:val="none"/>
                <w:vertAlign w:val="baseline"/>
              </w:rPr>
            </w:pPr>
          </w:p>
        </w:tc>
      </w:tr>
      <w:tr w14:paraId="53249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36" w:type="dxa"/>
            <w:vAlign w:val="center"/>
          </w:tcPr>
          <w:p w14:paraId="4C66B73C">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61EC631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02C8AE09">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4F5D6D36">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0D43AE63">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67EF2E1">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1F810C9">
            <w:pPr>
              <w:spacing w:line="500" w:lineRule="exact"/>
              <w:jc w:val="center"/>
              <w:textAlignment w:val="baseline"/>
              <w:rPr>
                <w:rFonts w:hint="eastAsia" w:ascii="宋体" w:hAnsi="宋体" w:eastAsia="宋体" w:cs="宋体"/>
                <w:sz w:val="24"/>
                <w:szCs w:val="24"/>
                <w:highlight w:val="none"/>
                <w:vertAlign w:val="baseline"/>
              </w:rPr>
            </w:pPr>
          </w:p>
        </w:tc>
      </w:tr>
      <w:tr w14:paraId="69584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36" w:type="dxa"/>
            <w:vAlign w:val="center"/>
          </w:tcPr>
          <w:p w14:paraId="76B3402A">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4EA691B5">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91F771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6C713E63">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59F4E2F">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69DC1D14">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4B39094F">
            <w:pPr>
              <w:spacing w:line="500" w:lineRule="exact"/>
              <w:jc w:val="center"/>
              <w:textAlignment w:val="baseline"/>
              <w:rPr>
                <w:rFonts w:hint="eastAsia" w:ascii="宋体" w:hAnsi="宋体" w:eastAsia="宋体" w:cs="宋体"/>
                <w:sz w:val="24"/>
                <w:szCs w:val="24"/>
                <w:highlight w:val="none"/>
                <w:vertAlign w:val="baseline"/>
              </w:rPr>
            </w:pPr>
          </w:p>
        </w:tc>
      </w:tr>
      <w:tr w14:paraId="2466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06856F1E">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5F927BCB">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640C4A2B">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6DB8C96">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EA98800">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2CA475E5">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1D0110F6">
            <w:pPr>
              <w:spacing w:line="500" w:lineRule="exact"/>
              <w:jc w:val="center"/>
              <w:textAlignment w:val="baseline"/>
              <w:rPr>
                <w:rFonts w:hint="eastAsia" w:ascii="宋体" w:hAnsi="宋体" w:eastAsia="宋体" w:cs="宋体"/>
                <w:sz w:val="24"/>
                <w:szCs w:val="24"/>
                <w:highlight w:val="none"/>
                <w:vertAlign w:val="baseline"/>
              </w:rPr>
            </w:pPr>
          </w:p>
        </w:tc>
      </w:tr>
      <w:tr w14:paraId="27E4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5F68BAC9">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613DDB2A">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01B8F038">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E9C4DC8">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1FB26FF5">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2F48281C">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12E62F3B">
            <w:pPr>
              <w:spacing w:line="500" w:lineRule="exact"/>
              <w:jc w:val="center"/>
              <w:textAlignment w:val="baseline"/>
              <w:rPr>
                <w:rFonts w:hint="eastAsia" w:ascii="宋体" w:hAnsi="宋体" w:eastAsia="宋体" w:cs="宋体"/>
                <w:sz w:val="24"/>
                <w:szCs w:val="24"/>
                <w:highlight w:val="none"/>
                <w:vertAlign w:val="baseline"/>
              </w:rPr>
            </w:pPr>
          </w:p>
        </w:tc>
      </w:tr>
      <w:tr w14:paraId="0080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3EBB7B05">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54421B76">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D72D945">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137214F">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66B171FF">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2FA98B6A">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55FA0AA">
            <w:pPr>
              <w:spacing w:line="500" w:lineRule="exact"/>
              <w:jc w:val="center"/>
              <w:textAlignment w:val="baseline"/>
              <w:rPr>
                <w:rFonts w:hint="eastAsia" w:ascii="宋体" w:hAnsi="宋体" w:eastAsia="宋体" w:cs="宋体"/>
                <w:sz w:val="24"/>
                <w:szCs w:val="24"/>
                <w:highlight w:val="none"/>
                <w:vertAlign w:val="baseline"/>
              </w:rPr>
            </w:pPr>
          </w:p>
        </w:tc>
      </w:tr>
      <w:tr w14:paraId="13C1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158AB447">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175F80D0">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780B801">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7C0C99F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2FFE20F5">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06C1764">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18F9B0FE">
            <w:pPr>
              <w:spacing w:line="500" w:lineRule="exact"/>
              <w:jc w:val="center"/>
              <w:textAlignment w:val="baseline"/>
              <w:rPr>
                <w:rFonts w:hint="eastAsia" w:ascii="宋体" w:hAnsi="宋体" w:eastAsia="宋体" w:cs="宋体"/>
                <w:sz w:val="24"/>
                <w:szCs w:val="24"/>
                <w:highlight w:val="none"/>
                <w:vertAlign w:val="baseline"/>
              </w:rPr>
            </w:pPr>
          </w:p>
        </w:tc>
      </w:tr>
      <w:tr w14:paraId="29DB1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4737FDF6">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1CC13668">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5D31758">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006D8A5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71BE027B">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4EEF0E15">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0EAD3283">
            <w:pPr>
              <w:spacing w:line="500" w:lineRule="exact"/>
              <w:jc w:val="center"/>
              <w:textAlignment w:val="baseline"/>
              <w:rPr>
                <w:rFonts w:hint="eastAsia" w:ascii="宋体" w:hAnsi="宋体" w:eastAsia="宋体" w:cs="宋体"/>
                <w:sz w:val="24"/>
                <w:szCs w:val="24"/>
                <w:highlight w:val="none"/>
                <w:vertAlign w:val="baseline"/>
              </w:rPr>
            </w:pPr>
          </w:p>
        </w:tc>
      </w:tr>
      <w:tr w14:paraId="1EC3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1F99568F">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74A7C791">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05481A4">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2D8B2E85">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68F1D220">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ED6648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70F7DB71">
            <w:pPr>
              <w:spacing w:line="500" w:lineRule="exact"/>
              <w:jc w:val="center"/>
              <w:textAlignment w:val="baseline"/>
              <w:rPr>
                <w:rFonts w:hint="eastAsia" w:ascii="宋体" w:hAnsi="宋体" w:eastAsia="宋体" w:cs="宋体"/>
                <w:sz w:val="24"/>
                <w:szCs w:val="24"/>
                <w:highlight w:val="none"/>
                <w:vertAlign w:val="baseline"/>
              </w:rPr>
            </w:pPr>
          </w:p>
        </w:tc>
      </w:tr>
      <w:tr w14:paraId="71385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674B34E3">
            <w:pPr>
              <w:spacing w:line="500" w:lineRule="exact"/>
              <w:jc w:val="center"/>
              <w:textAlignment w:val="baseline"/>
              <w:rPr>
                <w:rFonts w:hint="eastAsia" w:ascii="宋体" w:hAnsi="宋体" w:eastAsia="宋体" w:cs="宋体"/>
                <w:sz w:val="24"/>
                <w:szCs w:val="24"/>
                <w:highlight w:val="none"/>
                <w:vertAlign w:val="baseline"/>
              </w:rPr>
            </w:pPr>
          </w:p>
        </w:tc>
        <w:tc>
          <w:tcPr>
            <w:tcW w:w="1436" w:type="dxa"/>
            <w:vAlign w:val="center"/>
          </w:tcPr>
          <w:p w14:paraId="2EBDA188">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AFF1430">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61E457DE">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45941FEC">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3DBC4A79">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D9B6DD3">
            <w:pPr>
              <w:spacing w:line="500" w:lineRule="exact"/>
              <w:jc w:val="center"/>
              <w:textAlignment w:val="baseline"/>
              <w:rPr>
                <w:rFonts w:hint="eastAsia" w:ascii="宋体" w:hAnsi="宋体" w:eastAsia="宋体" w:cs="宋体"/>
                <w:sz w:val="24"/>
                <w:szCs w:val="24"/>
                <w:highlight w:val="none"/>
                <w:vertAlign w:val="baseline"/>
              </w:rPr>
            </w:pPr>
          </w:p>
        </w:tc>
      </w:tr>
      <w:tr w14:paraId="3FFA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436" w:type="dxa"/>
            <w:vAlign w:val="center"/>
          </w:tcPr>
          <w:p w14:paraId="1F71D0BB">
            <w:pPr>
              <w:spacing w:line="500" w:lineRule="exact"/>
              <w:jc w:val="center"/>
              <w:textAlignment w:val="baseline"/>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w:t>
            </w:r>
          </w:p>
        </w:tc>
        <w:tc>
          <w:tcPr>
            <w:tcW w:w="1436" w:type="dxa"/>
            <w:vAlign w:val="center"/>
          </w:tcPr>
          <w:p w14:paraId="44369732">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6514E336">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16716E5F">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5946C3FA">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7338E1E8">
            <w:pPr>
              <w:spacing w:line="500" w:lineRule="exact"/>
              <w:jc w:val="center"/>
              <w:textAlignment w:val="baseline"/>
              <w:rPr>
                <w:rFonts w:hint="eastAsia" w:ascii="宋体" w:hAnsi="宋体" w:eastAsia="宋体" w:cs="宋体"/>
                <w:sz w:val="24"/>
                <w:szCs w:val="24"/>
                <w:highlight w:val="none"/>
                <w:vertAlign w:val="baseline"/>
              </w:rPr>
            </w:pPr>
          </w:p>
        </w:tc>
        <w:tc>
          <w:tcPr>
            <w:tcW w:w="1437" w:type="dxa"/>
            <w:vAlign w:val="center"/>
          </w:tcPr>
          <w:p w14:paraId="2EC9984E">
            <w:pPr>
              <w:spacing w:line="500" w:lineRule="exact"/>
              <w:jc w:val="center"/>
              <w:textAlignment w:val="baseline"/>
              <w:rPr>
                <w:rFonts w:hint="eastAsia" w:ascii="宋体" w:hAnsi="宋体" w:eastAsia="宋体" w:cs="宋体"/>
                <w:sz w:val="24"/>
                <w:szCs w:val="24"/>
                <w:highlight w:val="none"/>
                <w:vertAlign w:val="baseline"/>
              </w:rPr>
            </w:pPr>
          </w:p>
        </w:tc>
      </w:tr>
    </w:tbl>
    <w:p w14:paraId="62F8FD17">
      <w:pPr>
        <w:spacing w:line="500" w:lineRule="exact"/>
        <w:jc w:val="both"/>
        <w:textAlignment w:val="baseline"/>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注：后附项目组成人员的相关证件等。</w:t>
      </w:r>
    </w:p>
    <w:p w14:paraId="78DFA4B0">
      <w:pPr>
        <w:spacing w:line="500" w:lineRule="exact"/>
        <w:jc w:val="both"/>
        <w:textAlignment w:val="baseline"/>
        <w:rPr>
          <w:rFonts w:hint="eastAsia" w:ascii="宋体" w:hAnsi="宋体" w:eastAsia="宋体" w:cs="宋体"/>
          <w:sz w:val="24"/>
          <w:szCs w:val="24"/>
          <w:highlight w:val="none"/>
        </w:rPr>
      </w:pPr>
    </w:p>
    <w:p w14:paraId="3EE4533D">
      <w:pPr>
        <w:spacing w:line="500" w:lineRule="exact"/>
        <w:jc w:val="both"/>
        <w:textAlignment w:val="baseline"/>
        <w:rPr>
          <w:rFonts w:hint="eastAsia" w:ascii="宋体" w:hAnsi="宋体" w:eastAsia="宋体" w:cs="宋体"/>
          <w:sz w:val="24"/>
          <w:szCs w:val="24"/>
          <w:highlight w:val="none"/>
        </w:rPr>
      </w:pPr>
    </w:p>
    <w:p w14:paraId="50AA1EA3">
      <w:pPr>
        <w:spacing w:line="500" w:lineRule="exact"/>
        <w:jc w:val="both"/>
        <w:textAlignment w:val="baseline"/>
        <w:rPr>
          <w:rFonts w:hint="eastAsia" w:ascii="宋体" w:hAnsi="宋体" w:eastAsia="宋体" w:cs="宋体"/>
          <w:sz w:val="24"/>
          <w:szCs w:val="24"/>
          <w:highlight w:val="none"/>
        </w:rPr>
      </w:pPr>
    </w:p>
    <w:p w14:paraId="55D16F7E">
      <w:pPr>
        <w:spacing w:line="500" w:lineRule="exact"/>
        <w:jc w:val="both"/>
        <w:textAlignment w:val="baseline"/>
        <w:rPr>
          <w:rFonts w:hint="eastAsia" w:ascii="宋体" w:hAnsi="宋体" w:eastAsia="宋体" w:cs="宋体"/>
          <w:sz w:val="24"/>
          <w:szCs w:val="24"/>
          <w:highlight w:val="none"/>
        </w:rPr>
      </w:pPr>
    </w:p>
    <w:p w14:paraId="177352C5">
      <w:pPr>
        <w:spacing w:line="360" w:lineRule="auto"/>
        <w:jc w:val="righ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供应商：</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（盖单位公章）</w:t>
      </w:r>
    </w:p>
    <w:p w14:paraId="17C5BDFA">
      <w:pPr>
        <w:spacing w:line="360" w:lineRule="auto"/>
        <w:jc w:val="righ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法定代表人或其委托代理人：</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（签字或盖章）</w:t>
      </w:r>
    </w:p>
    <w:p w14:paraId="30AD28CE">
      <w:pPr>
        <w:spacing w:line="360" w:lineRule="auto"/>
        <w:jc w:val="righ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年</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月</w:t>
      </w:r>
      <w:r>
        <w:rPr>
          <w:rFonts w:hint="eastAsia" w:ascii="宋体" w:hAnsi="宋体" w:eastAsia="宋体" w:cs="宋体"/>
          <w:color w:val="auto"/>
          <w:sz w:val="22"/>
          <w:szCs w:val="24"/>
          <w:highlight w:val="none"/>
          <w:u w:val="single"/>
        </w:rPr>
        <w:t xml:space="preserve">        </w:t>
      </w:r>
      <w:r>
        <w:rPr>
          <w:rFonts w:hint="eastAsia" w:ascii="宋体" w:hAnsi="宋体" w:eastAsia="宋体" w:cs="宋体"/>
          <w:color w:val="auto"/>
          <w:sz w:val="22"/>
          <w:szCs w:val="24"/>
          <w:highlight w:val="none"/>
        </w:rPr>
        <w:t>日</w:t>
      </w:r>
    </w:p>
    <w:p w14:paraId="4B8A2220">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140E284">
      <w:pPr>
        <w:spacing w:line="500" w:lineRule="exact"/>
        <w:jc w:val="center"/>
        <w:textAlignment w:val="baseline"/>
        <w:outlineLvl w:val="1"/>
        <w:rPr>
          <w:rFonts w:hint="eastAsia" w:ascii="宋体" w:hAnsi="宋体" w:eastAsia="宋体" w:cs="宋体"/>
          <w:b/>
          <w:bCs/>
          <w:sz w:val="28"/>
          <w:szCs w:val="28"/>
          <w:highlight w:val="none"/>
          <w:lang w:val="en-US" w:eastAsia="zh-CN"/>
        </w:rPr>
      </w:pPr>
      <w:bookmarkStart w:id="795" w:name="_Toc14878"/>
      <w:r>
        <w:rPr>
          <w:rFonts w:hint="eastAsia" w:ascii="宋体" w:hAnsi="宋体" w:eastAsia="宋体" w:cs="宋体"/>
          <w:b/>
          <w:bCs/>
          <w:sz w:val="28"/>
          <w:szCs w:val="28"/>
          <w:highlight w:val="none"/>
          <w:lang w:val="en-US" w:eastAsia="zh-CN"/>
        </w:rPr>
        <w:t>七、服务承诺</w:t>
      </w:r>
      <w:bookmarkEnd w:id="795"/>
    </w:p>
    <w:p w14:paraId="19F7AE8C">
      <w:pP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br w:type="page"/>
      </w:r>
    </w:p>
    <w:p w14:paraId="3A457A5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1"/>
        <w:rPr>
          <w:rFonts w:hint="eastAsia" w:ascii="宋体" w:hAnsi="宋体" w:eastAsia="宋体" w:cs="宋体"/>
          <w:sz w:val="28"/>
          <w:szCs w:val="28"/>
          <w:highlight w:val="none"/>
        </w:rPr>
      </w:pPr>
      <w:bookmarkStart w:id="796" w:name="_Toc31356"/>
      <w:bookmarkStart w:id="797" w:name="_Toc11265"/>
      <w:bookmarkStart w:id="798" w:name="_Toc18419"/>
      <w:bookmarkStart w:id="799" w:name="_Toc11315"/>
      <w:r>
        <w:rPr>
          <w:rFonts w:hint="eastAsia" w:ascii="宋体" w:hAnsi="宋体" w:eastAsia="宋体" w:cs="宋体"/>
          <w:b/>
          <w:bCs/>
          <w:sz w:val="28"/>
          <w:szCs w:val="28"/>
          <w:highlight w:val="none"/>
          <w:lang w:eastAsia="zh-CN"/>
        </w:rPr>
        <w:t>八</w:t>
      </w:r>
      <w:r>
        <w:rPr>
          <w:rFonts w:hint="eastAsia" w:ascii="宋体" w:hAnsi="宋体" w:eastAsia="宋体" w:cs="宋体"/>
          <w:b/>
          <w:bCs/>
          <w:sz w:val="28"/>
          <w:szCs w:val="28"/>
          <w:highlight w:val="none"/>
        </w:rPr>
        <w:t>、供应商认为需要提供的其他材料</w:t>
      </w:r>
      <w:bookmarkEnd w:id="796"/>
      <w:bookmarkEnd w:id="797"/>
      <w:bookmarkEnd w:id="798"/>
      <w:bookmarkEnd w:id="799"/>
    </w:p>
    <w:p w14:paraId="5C3C8366">
      <w:pPr>
        <w:spacing w:line="500" w:lineRule="exact"/>
        <w:jc w:val="center"/>
        <w:textAlignment w:val="baseline"/>
        <w:rPr>
          <w:rFonts w:hint="eastAsia" w:ascii="宋体" w:hAnsi="宋体" w:eastAsia="宋体" w:cs="宋体"/>
          <w:b/>
          <w:bCs/>
          <w:sz w:val="28"/>
          <w:szCs w:val="28"/>
          <w:highlight w:val="none"/>
          <w:lang w:val="en-US" w:eastAsia="zh-CN"/>
        </w:rPr>
      </w:pPr>
    </w:p>
    <w:p w14:paraId="0088E5A3">
      <w:pPr>
        <w:spacing w:line="500" w:lineRule="exact"/>
        <w:jc w:val="both"/>
        <w:textAlignment w:val="baseline"/>
        <w:rPr>
          <w:rFonts w:hint="eastAsia" w:ascii="宋体" w:hAnsi="宋体" w:eastAsia="宋体" w:cs="宋体"/>
          <w:sz w:val="24"/>
          <w:szCs w:val="24"/>
          <w:highlight w:val="none"/>
          <w:lang w:val="en-US" w:eastAsia="zh-CN"/>
        </w:rPr>
      </w:pPr>
    </w:p>
    <w:sectPr>
      <w:footerReference r:id="rId12" w:type="default"/>
      <w:type w:val="continuous"/>
      <w:pgSz w:w="11906" w:h="16838"/>
      <w:pgMar w:top="1134" w:right="1134" w:bottom="1134" w:left="1134" w:header="624" w:footer="62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宋体">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宋三简体">
    <w:altName w:val="微软雅黑"/>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70BFF">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24EA8">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235BC">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B79B5">
    <w:pPr>
      <w:pStyle w:val="16"/>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28E38">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6D28E38">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44190">
    <w:pPr>
      <w:pStyle w:val="16"/>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C647A">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BC647A">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E2C2E">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C6C78">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60C6C78">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5B5D5">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A6BD8">
    <w:pPr>
      <w:pStyle w:val="17"/>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EF316">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90626">
    <w:pPr>
      <w:pStyle w:val="1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47A"/>
    <w:rsid w:val="000102B9"/>
    <w:rsid w:val="00035650"/>
    <w:rsid w:val="000440B0"/>
    <w:rsid w:val="000473DE"/>
    <w:rsid w:val="000B66A1"/>
    <w:rsid w:val="000F6A7B"/>
    <w:rsid w:val="001C33EF"/>
    <w:rsid w:val="001F5BCE"/>
    <w:rsid w:val="00247C81"/>
    <w:rsid w:val="00252A38"/>
    <w:rsid w:val="00296D7F"/>
    <w:rsid w:val="002A3807"/>
    <w:rsid w:val="003229C4"/>
    <w:rsid w:val="00322BFD"/>
    <w:rsid w:val="0038251D"/>
    <w:rsid w:val="003A7B19"/>
    <w:rsid w:val="003B008F"/>
    <w:rsid w:val="003F1468"/>
    <w:rsid w:val="0040782B"/>
    <w:rsid w:val="004416B1"/>
    <w:rsid w:val="00442747"/>
    <w:rsid w:val="00470F58"/>
    <w:rsid w:val="004D4DDE"/>
    <w:rsid w:val="005053FA"/>
    <w:rsid w:val="00517EB7"/>
    <w:rsid w:val="00553397"/>
    <w:rsid w:val="005539F7"/>
    <w:rsid w:val="006151B1"/>
    <w:rsid w:val="006354A0"/>
    <w:rsid w:val="006A52AD"/>
    <w:rsid w:val="007223E5"/>
    <w:rsid w:val="00734857"/>
    <w:rsid w:val="0075235B"/>
    <w:rsid w:val="00757EF2"/>
    <w:rsid w:val="00785EFF"/>
    <w:rsid w:val="007A247A"/>
    <w:rsid w:val="007B1B82"/>
    <w:rsid w:val="007F5500"/>
    <w:rsid w:val="007F5BBA"/>
    <w:rsid w:val="0086095A"/>
    <w:rsid w:val="00874408"/>
    <w:rsid w:val="008C7986"/>
    <w:rsid w:val="008D0157"/>
    <w:rsid w:val="008D0D8F"/>
    <w:rsid w:val="008E251F"/>
    <w:rsid w:val="0098320C"/>
    <w:rsid w:val="009D4EE8"/>
    <w:rsid w:val="009D7537"/>
    <w:rsid w:val="00A146AD"/>
    <w:rsid w:val="00A35C74"/>
    <w:rsid w:val="00A53D3F"/>
    <w:rsid w:val="00AC4241"/>
    <w:rsid w:val="00B02855"/>
    <w:rsid w:val="00C43852"/>
    <w:rsid w:val="00C5127C"/>
    <w:rsid w:val="00C612BE"/>
    <w:rsid w:val="00C6478D"/>
    <w:rsid w:val="00C95787"/>
    <w:rsid w:val="00CD11BC"/>
    <w:rsid w:val="00DD6045"/>
    <w:rsid w:val="00E03692"/>
    <w:rsid w:val="00E27A26"/>
    <w:rsid w:val="00ED0267"/>
    <w:rsid w:val="00EF39F8"/>
    <w:rsid w:val="00F32672"/>
    <w:rsid w:val="00F74B7E"/>
    <w:rsid w:val="00F92AC6"/>
    <w:rsid w:val="00F96E99"/>
    <w:rsid w:val="00FA1F8B"/>
    <w:rsid w:val="00FC6B0D"/>
    <w:rsid w:val="01F33470"/>
    <w:rsid w:val="0283628C"/>
    <w:rsid w:val="05CA2B6A"/>
    <w:rsid w:val="06140929"/>
    <w:rsid w:val="064B10C4"/>
    <w:rsid w:val="07147ED2"/>
    <w:rsid w:val="08805962"/>
    <w:rsid w:val="0A596946"/>
    <w:rsid w:val="0BDB7A71"/>
    <w:rsid w:val="0C204B59"/>
    <w:rsid w:val="123A69E4"/>
    <w:rsid w:val="126E4429"/>
    <w:rsid w:val="14DC602B"/>
    <w:rsid w:val="14EC5133"/>
    <w:rsid w:val="151A376B"/>
    <w:rsid w:val="176E25AE"/>
    <w:rsid w:val="17822E75"/>
    <w:rsid w:val="189072B2"/>
    <w:rsid w:val="1B220FFD"/>
    <w:rsid w:val="1B291859"/>
    <w:rsid w:val="1DF26592"/>
    <w:rsid w:val="1F0E4473"/>
    <w:rsid w:val="22392C2F"/>
    <w:rsid w:val="224D0523"/>
    <w:rsid w:val="22667D01"/>
    <w:rsid w:val="232E1278"/>
    <w:rsid w:val="246150EE"/>
    <w:rsid w:val="27AA33F7"/>
    <w:rsid w:val="28811F5F"/>
    <w:rsid w:val="298516EC"/>
    <w:rsid w:val="2AA36F32"/>
    <w:rsid w:val="2AFA01E2"/>
    <w:rsid w:val="2B0D6FF4"/>
    <w:rsid w:val="2B586584"/>
    <w:rsid w:val="2C805AD0"/>
    <w:rsid w:val="2D485B6F"/>
    <w:rsid w:val="2DDC1B84"/>
    <w:rsid w:val="2E93075B"/>
    <w:rsid w:val="302D2A86"/>
    <w:rsid w:val="304A6357"/>
    <w:rsid w:val="319A29D9"/>
    <w:rsid w:val="31E607C9"/>
    <w:rsid w:val="33244C20"/>
    <w:rsid w:val="33513AB1"/>
    <w:rsid w:val="33D26ADA"/>
    <w:rsid w:val="34404A13"/>
    <w:rsid w:val="383A3C70"/>
    <w:rsid w:val="38DE55D9"/>
    <w:rsid w:val="3A9B3B54"/>
    <w:rsid w:val="3BB36270"/>
    <w:rsid w:val="3BDD2BB0"/>
    <w:rsid w:val="3C882A13"/>
    <w:rsid w:val="3E24580B"/>
    <w:rsid w:val="403C285B"/>
    <w:rsid w:val="40736BD5"/>
    <w:rsid w:val="414A7633"/>
    <w:rsid w:val="42BD2703"/>
    <w:rsid w:val="42D250AB"/>
    <w:rsid w:val="454D5692"/>
    <w:rsid w:val="47706BA1"/>
    <w:rsid w:val="48852288"/>
    <w:rsid w:val="491A0CE9"/>
    <w:rsid w:val="4A5B5A50"/>
    <w:rsid w:val="4AB7219D"/>
    <w:rsid w:val="52ED1657"/>
    <w:rsid w:val="58BD36A1"/>
    <w:rsid w:val="58CB5D3A"/>
    <w:rsid w:val="59EA23CD"/>
    <w:rsid w:val="5ACE004F"/>
    <w:rsid w:val="5B715131"/>
    <w:rsid w:val="5CFF599B"/>
    <w:rsid w:val="5D4C069A"/>
    <w:rsid w:val="60C019E7"/>
    <w:rsid w:val="61D75541"/>
    <w:rsid w:val="63E45722"/>
    <w:rsid w:val="63EA73A4"/>
    <w:rsid w:val="641D2301"/>
    <w:rsid w:val="659A0424"/>
    <w:rsid w:val="66016BFF"/>
    <w:rsid w:val="6754286C"/>
    <w:rsid w:val="681317B4"/>
    <w:rsid w:val="68677BDB"/>
    <w:rsid w:val="69A01DB1"/>
    <w:rsid w:val="6C13061A"/>
    <w:rsid w:val="6C9B7BBF"/>
    <w:rsid w:val="6CD10672"/>
    <w:rsid w:val="6D60254C"/>
    <w:rsid w:val="6E201084"/>
    <w:rsid w:val="6EC60A1C"/>
    <w:rsid w:val="6F965193"/>
    <w:rsid w:val="71804EA4"/>
    <w:rsid w:val="72BA1B65"/>
    <w:rsid w:val="743B1556"/>
    <w:rsid w:val="74C652C4"/>
    <w:rsid w:val="759A553D"/>
    <w:rsid w:val="75FE372E"/>
    <w:rsid w:val="77E9031F"/>
    <w:rsid w:val="78067D87"/>
    <w:rsid w:val="78EC21AC"/>
    <w:rsid w:val="7A8F1B57"/>
    <w:rsid w:val="7B290443"/>
    <w:rsid w:val="7D807A53"/>
    <w:rsid w:val="7E9142D6"/>
    <w:rsid w:val="7F034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8"/>
    <w:qFormat/>
    <w:uiPriority w:val="0"/>
    <w:pPr>
      <w:keepNext/>
      <w:keepLines/>
      <w:spacing w:before="340" w:after="330" w:line="576" w:lineRule="auto"/>
      <w:outlineLvl w:val="0"/>
    </w:pPr>
    <w:rPr>
      <w:rFonts w:ascii="Calibri" w:hAnsi="Calibri" w:eastAsia="宋体" w:cs="Times New Roman"/>
      <w:b/>
      <w:bCs/>
      <w:kern w:val="44"/>
      <w:sz w:val="44"/>
      <w:szCs w:val="44"/>
    </w:rPr>
  </w:style>
  <w:style w:type="paragraph" w:styleId="3">
    <w:name w:val="heading 2"/>
    <w:basedOn w:val="1"/>
    <w:next w:val="1"/>
    <w:link w:val="45"/>
    <w:qFormat/>
    <w:uiPriority w:val="9"/>
    <w:pPr>
      <w:keepNext/>
      <w:keepLines/>
      <w:spacing w:before="160" w:after="160" w:line="240" w:lineRule="atLeast"/>
      <w:ind w:left="851" w:hanging="284"/>
      <w:textAlignment w:val="baseline"/>
      <w:outlineLvl w:val="1"/>
    </w:pPr>
    <w:rPr>
      <w:rFonts w:ascii="黑体" w:hAnsi="Arial" w:eastAsia="黑体" w:cs="Times New Roman"/>
      <w:kern w:val="0"/>
      <w:sz w:val="28"/>
      <w:szCs w:val="28"/>
    </w:rPr>
  </w:style>
  <w:style w:type="paragraph" w:styleId="4">
    <w:name w:val="heading 3"/>
    <w:basedOn w:val="1"/>
    <w:next w:val="1"/>
    <w:link w:val="46"/>
    <w:qFormat/>
    <w:uiPriority w:val="9"/>
    <w:pPr>
      <w:keepNext/>
      <w:keepLines/>
      <w:spacing w:before="260" w:after="260" w:line="415" w:lineRule="auto"/>
      <w:outlineLvl w:val="2"/>
    </w:pPr>
    <w:rPr>
      <w:rFonts w:ascii="Calibri" w:hAnsi="Calibri" w:eastAsia="宋体" w:cs="Times New Roman"/>
      <w:b/>
      <w:bCs/>
      <w:kern w:val="0"/>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420"/>
    </w:pPr>
    <w:rPr>
      <w:rFonts w:ascii="Times New Roman" w:hAnsi="Times New Roman" w:eastAsia="宋体" w:cs="Times New Roman"/>
      <w:sz w:val="28"/>
      <w:szCs w:val="28"/>
    </w:rPr>
  </w:style>
  <w:style w:type="paragraph" w:styleId="6">
    <w:name w:val="toa heading"/>
    <w:basedOn w:val="1"/>
    <w:next w:val="1"/>
    <w:qFormat/>
    <w:uiPriority w:val="0"/>
    <w:pPr>
      <w:spacing w:before="120"/>
    </w:pPr>
    <w:rPr>
      <w:rFonts w:ascii="Arial" w:hAnsi="Arial" w:eastAsia="宋体" w:cs="Times New Roman"/>
      <w:b/>
      <w:bCs/>
      <w:szCs w:val="24"/>
    </w:rPr>
  </w:style>
  <w:style w:type="paragraph" w:styleId="7">
    <w:name w:val="annotation text"/>
    <w:basedOn w:val="1"/>
    <w:link w:val="105"/>
    <w:semiHidden/>
    <w:unhideWhenUsed/>
    <w:qFormat/>
    <w:uiPriority w:val="99"/>
    <w:pPr>
      <w:jc w:val="left"/>
    </w:pPr>
  </w:style>
  <w:style w:type="paragraph" w:styleId="8">
    <w:name w:val="Body Text"/>
    <w:basedOn w:val="1"/>
    <w:link w:val="49"/>
    <w:unhideWhenUsed/>
    <w:qFormat/>
    <w:uiPriority w:val="99"/>
    <w:pPr>
      <w:spacing w:after="120"/>
    </w:pPr>
    <w:rPr>
      <w:rFonts w:ascii="Calibri" w:hAnsi="Calibri" w:eastAsia="宋体" w:cs="Times New Roman"/>
      <w:kern w:val="0"/>
      <w:sz w:val="20"/>
      <w:szCs w:val="21"/>
    </w:rPr>
  </w:style>
  <w:style w:type="paragraph" w:styleId="9">
    <w:name w:val="Body Text Indent"/>
    <w:basedOn w:val="1"/>
    <w:next w:val="10"/>
    <w:link w:val="51"/>
    <w:unhideWhenUsed/>
    <w:qFormat/>
    <w:uiPriority w:val="99"/>
    <w:pPr>
      <w:spacing w:after="120"/>
      <w:ind w:left="420" w:leftChars="200"/>
    </w:pPr>
    <w:rPr>
      <w:rFonts w:ascii="Calibri" w:hAnsi="Calibri" w:eastAsia="宋体" w:cs="Times New Roman"/>
      <w:kern w:val="0"/>
      <w:sz w:val="20"/>
      <w:szCs w:val="21"/>
    </w:rPr>
  </w:style>
  <w:style w:type="paragraph" w:customStyle="1" w:styleId="10">
    <w:name w:val="Default"/>
    <w:next w:val="1"/>
    <w:qFormat/>
    <w:uiPriority w:val="0"/>
    <w:pPr>
      <w:widowControl w:val="0"/>
      <w:autoSpaceDE w:val="0"/>
      <w:autoSpaceDN w:val="0"/>
      <w:adjustRightInd w:val="0"/>
    </w:pPr>
    <w:rPr>
      <w:rFonts w:ascii="宋体" w:hAnsi="Times New Roman" w:eastAsia="宋体" w:cs="Times New Roman"/>
      <w:color w:val="000000"/>
      <w:kern w:val="0"/>
      <w:sz w:val="24"/>
      <w:szCs w:val="24"/>
      <w:lang w:val="en-US" w:eastAsia="zh-CN" w:bidi="ar-SA"/>
    </w:rPr>
  </w:style>
  <w:style w:type="paragraph" w:styleId="11">
    <w:name w:val="Block Text"/>
    <w:basedOn w:val="1"/>
    <w:unhideWhenUsed/>
    <w:qFormat/>
    <w:uiPriority w:val="0"/>
    <w:pPr>
      <w:spacing w:after="120"/>
      <w:ind w:left="1440" w:leftChars="700" w:right="1440" w:rightChars="700"/>
    </w:pPr>
    <w:rPr>
      <w:rFonts w:ascii="Times New Roman" w:hAnsi="Times New Roman" w:eastAsia="宋体" w:cs="Times New Roman"/>
      <w:szCs w:val="21"/>
    </w:rPr>
  </w:style>
  <w:style w:type="paragraph" w:styleId="12">
    <w:name w:val="Plain Text"/>
    <w:basedOn w:val="1"/>
    <w:link w:val="52"/>
    <w:semiHidden/>
    <w:qFormat/>
    <w:uiPriority w:val="0"/>
    <w:rPr>
      <w:rFonts w:ascii="宋体" w:hAnsi="Courier New" w:eastAsia="华文宋体" w:cs="Times New Roman"/>
      <w:kern w:val="0"/>
      <w:sz w:val="28"/>
      <w:szCs w:val="28"/>
    </w:rPr>
  </w:style>
  <w:style w:type="paragraph" w:styleId="13">
    <w:name w:val="Date"/>
    <w:basedOn w:val="1"/>
    <w:next w:val="1"/>
    <w:link w:val="53"/>
    <w:unhideWhenUsed/>
    <w:qFormat/>
    <w:uiPriority w:val="99"/>
    <w:rPr>
      <w:rFonts w:ascii="宋体" w:hAnsi="宋体" w:eastAsia="宋体" w:cs="Times New Roman"/>
      <w:kern w:val="0"/>
      <w:sz w:val="32"/>
      <w:szCs w:val="32"/>
    </w:rPr>
  </w:style>
  <w:style w:type="paragraph" w:styleId="14">
    <w:name w:val="Body Text Indent 2"/>
    <w:basedOn w:val="1"/>
    <w:link w:val="54"/>
    <w:qFormat/>
    <w:uiPriority w:val="0"/>
    <w:pPr>
      <w:spacing w:line="360" w:lineRule="auto"/>
      <w:ind w:firstLine="420"/>
    </w:pPr>
    <w:rPr>
      <w:rFonts w:ascii="宋体" w:hAnsi="宋体" w:eastAsia="宋体" w:cs="宋体"/>
      <w:b/>
      <w:kern w:val="1"/>
      <w:sz w:val="24"/>
      <w:szCs w:val="21"/>
    </w:rPr>
  </w:style>
  <w:style w:type="paragraph" w:styleId="15">
    <w:name w:val="Balloon Text"/>
    <w:basedOn w:val="1"/>
    <w:link w:val="55"/>
    <w:qFormat/>
    <w:uiPriority w:val="99"/>
    <w:rPr>
      <w:rFonts w:ascii="Calibri" w:hAnsi="Calibri" w:eastAsia="宋体" w:cs="Times New Roman"/>
      <w:kern w:val="0"/>
      <w:sz w:val="18"/>
      <w:szCs w:val="18"/>
    </w:rPr>
  </w:style>
  <w:style w:type="paragraph" w:styleId="16">
    <w:name w:val="footer"/>
    <w:basedOn w:val="1"/>
    <w:link w:val="43"/>
    <w:unhideWhenUsed/>
    <w:qFormat/>
    <w:uiPriority w:val="0"/>
    <w:pPr>
      <w:tabs>
        <w:tab w:val="center" w:pos="4153"/>
        <w:tab w:val="right" w:pos="8306"/>
      </w:tabs>
      <w:snapToGrid w:val="0"/>
      <w:jc w:val="left"/>
    </w:pPr>
    <w:rPr>
      <w:sz w:val="18"/>
      <w:szCs w:val="18"/>
    </w:rPr>
  </w:style>
  <w:style w:type="paragraph" w:styleId="17">
    <w:name w:val="header"/>
    <w:basedOn w:val="1"/>
    <w:link w:val="42"/>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rPr>
      <w:rFonts w:ascii="Times New Roman" w:hAnsi="Times New Roman" w:eastAsia="宋体" w:cs="Times New Roman"/>
      <w:szCs w:val="21"/>
    </w:rPr>
  </w:style>
  <w:style w:type="paragraph" w:styleId="19">
    <w:name w:val="List 5"/>
    <w:basedOn w:val="1"/>
    <w:qFormat/>
    <w:uiPriority w:val="0"/>
    <w:pPr>
      <w:ind w:left="2100" w:hanging="420"/>
    </w:pPr>
    <w:rPr>
      <w:rFonts w:eastAsia="楷体_GB2312"/>
      <w:sz w:val="32"/>
      <w:szCs w:val="20"/>
    </w:rPr>
  </w:style>
  <w:style w:type="paragraph" w:styleId="20">
    <w:name w:val="toc 2"/>
    <w:basedOn w:val="1"/>
    <w:next w:val="1"/>
    <w:unhideWhenUsed/>
    <w:qFormat/>
    <w:uiPriority w:val="39"/>
    <w:pPr>
      <w:ind w:left="420" w:leftChars="200"/>
    </w:pPr>
    <w:rPr>
      <w:rFonts w:ascii="Times New Roman" w:hAnsi="Times New Roman" w:eastAsia="宋体" w:cs="Times New Roman"/>
      <w:szCs w:val="21"/>
    </w:rPr>
  </w:style>
  <w:style w:type="paragraph" w:styleId="21">
    <w:name w:val="HTML Preformatted"/>
    <w:basedOn w:val="1"/>
    <w:next w:val="6"/>
    <w:link w:val="4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eastAsia="宋体" w:cs="宋体"/>
      <w:kern w:val="0"/>
      <w:sz w:val="24"/>
      <w:szCs w:val="24"/>
    </w:rPr>
  </w:style>
  <w:style w:type="paragraph" w:styleId="22">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23">
    <w:name w:val="annotation subject"/>
    <w:basedOn w:val="7"/>
    <w:next w:val="7"/>
    <w:link w:val="106"/>
    <w:semiHidden/>
    <w:unhideWhenUsed/>
    <w:qFormat/>
    <w:uiPriority w:val="99"/>
    <w:rPr>
      <w:b/>
      <w:bCs/>
    </w:rPr>
  </w:style>
  <w:style w:type="paragraph" w:styleId="24">
    <w:name w:val="Body Text First Indent"/>
    <w:basedOn w:val="1"/>
    <w:next w:val="25"/>
    <w:link w:val="59"/>
    <w:qFormat/>
    <w:uiPriority w:val="0"/>
    <w:pPr>
      <w:spacing w:line="360" w:lineRule="auto"/>
      <w:ind w:firstLine="420"/>
    </w:pPr>
    <w:rPr>
      <w:rFonts w:ascii="Calibri" w:hAnsi="Calibri" w:eastAsia="Arial Unicode MS" w:cs="Times New Roman"/>
      <w:color w:val="000000"/>
      <w:kern w:val="0"/>
      <w:sz w:val="28"/>
      <w:szCs w:val="28"/>
    </w:rPr>
  </w:style>
  <w:style w:type="paragraph" w:styleId="25">
    <w:name w:val="Body Text First Indent 2"/>
    <w:basedOn w:val="9"/>
    <w:next w:val="1"/>
    <w:link w:val="61"/>
    <w:semiHidden/>
    <w:qFormat/>
    <w:uiPriority w:val="0"/>
    <w:pPr>
      <w:spacing w:before="100" w:beforeAutospacing="1" w:after="120" w:line="360" w:lineRule="auto"/>
      <w:ind w:left="420" w:firstLine="420"/>
    </w:pPr>
    <w:rPr>
      <w:rFonts w:ascii="Calibri" w:hAnsi="Calibri" w:eastAsia="Arial Unicode MS" w:cs="Times New Roman"/>
      <w:color w:val="000000"/>
      <w:kern w:val="0"/>
      <w:sz w:val="20"/>
      <w:szCs w:val="21"/>
    </w:rPr>
  </w:style>
  <w:style w:type="table" w:styleId="27">
    <w:name w:val="Table Grid"/>
    <w:basedOn w:val="2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FollowedHyperlink"/>
    <w:unhideWhenUsed/>
    <w:qFormat/>
    <w:uiPriority w:val="99"/>
    <w:rPr>
      <w:color w:val="800080"/>
      <w:u w:val="none"/>
    </w:rPr>
  </w:style>
  <w:style w:type="character" w:styleId="31">
    <w:name w:val="Emphasis"/>
    <w:qFormat/>
    <w:uiPriority w:val="20"/>
    <w:rPr>
      <w:b/>
      <w:bCs/>
    </w:rPr>
  </w:style>
  <w:style w:type="character" w:styleId="32">
    <w:name w:val="HTML Definition"/>
    <w:unhideWhenUsed/>
    <w:qFormat/>
    <w:uiPriority w:val="99"/>
  </w:style>
  <w:style w:type="character" w:styleId="33">
    <w:name w:val="HTML Typewriter"/>
    <w:unhideWhenUsed/>
    <w:qFormat/>
    <w:uiPriority w:val="99"/>
    <w:rPr>
      <w:rFonts w:hint="default" w:ascii="monospace" w:hAnsi="monospace" w:eastAsia="monospace" w:cs="monospace"/>
      <w:sz w:val="20"/>
    </w:rPr>
  </w:style>
  <w:style w:type="character" w:styleId="34">
    <w:name w:val="HTML Acronym"/>
    <w:basedOn w:val="28"/>
    <w:unhideWhenUsed/>
    <w:qFormat/>
    <w:uiPriority w:val="99"/>
  </w:style>
  <w:style w:type="character" w:styleId="35">
    <w:name w:val="HTML Variable"/>
    <w:unhideWhenUsed/>
    <w:qFormat/>
    <w:uiPriority w:val="99"/>
  </w:style>
  <w:style w:type="character" w:styleId="36">
    <w:name w:val="Hyperlink"/>
    <w:qFormat/>
    <w:uiPriority w:val="99"/>
    <w:rPr>
      <w:color w:val="0563C1"/>
      <w:u w:val="single"/>
    </w:rPr>
  </w:style>
  <w:style w:type="character" w:styleId="37">
    <w:name w:val="HTML Code"/>
    <w:unhideWhenUsed/>
    <w:qFormat/>
    <w:uiPriority w:val="99"/>
    <w:rPr>
      <w:rFonts w:ascii="monospace" w:hAnsi="monospace" w:eastAsia="monospace" w:cs="monospace"/>
      <w:sz w:val="20"/>
    </w:rPr>
  </w:style>
  <w:style w:type="character" w:styleId="38">
    <w:name w:val="annotation reference"/>
    <w:basedOn w:val="28"/>
    <w:semiHidden/>
    <w:unhideWhenUsed/>
    <w:qFormat/>
    <w:uiPriority w:val="99"/>
    <w:rPr>
      <w:sz w:val="21"/>
      <w:szCs w:val="21"/>
    </w:rPr>
  </w:style>
  <w:style w:type="character" w:styleId="39">
    <w:name w:val="HTML Cite"/>
    <w:unhideWhenUsed/>
    <w:qFormat/>
    <w:uiPriority w:val="99"/>
  </w:style>
  <w:style w:type="character" w:styleId="40">
    <w:name w:val="HTML Keyboard"/>
    <w:unhideWhenUsed/>
    <w:qFormat/>
    <w:uiPriority w:val="99"/>
    <w:rPr>
      <w:rFonts w:hint="default" w:ascii="monospace" w:hAnsi="monospace" w:eastAsia="monospace" w:cs="monospace"/>
      <w:sz w:val="20"/>
    </w:rPr>
  </w:style>
  <w:style w:type="character" w:styleId="41">
    <w:name w:val="HTML Sample"/>
    <w:unhideWhenUsed/>
    <w:qFormat/>
    <w:uiPriority w:val="99"/>
    <w:rPr>
      <w:rFonts w:hint="default" w:ascii="monospace" w:hAnsi="monospace" w:eastAsia="monospace" w:cs="monospace"/>
    </w:rPr>
  </w:style>
  <w:style w:type="character" w:customStyle="1" w:styleId="42">
    <w:name w:val="页眉 字符"/>
    <w:basedOn w:val="28"/>
    <w:link w:val="17"/>
    <w:qFormat/>
    <w:uiPriority w:val="0"/>
    <w:rPr>
      <w:sz w:val="18"/>
      <w:szCs w:val="18"/>
    </w:rPr>
  </w:style>
  <w:style w:type="character" w:customStyle="1" w:styleId="43">
    <w:name w:val="页脚 字符"/>
    <w:basedOn w:val="28"/>
    <w:link w:val="16"/>
    <w:qFormat/>
    <w:uiPriority w:val="0"/>
    <w:rPr>
      <w:sz w:val="18"/>
      <w:szCs w:val="18"/>
    </w:rPr>
  </w:style>
  <w:style w:type="character" w:customStyle="1" w:styleId="44">
    <w:name w:val="标题 1 字符"/>
    <w:basedOn w:val="28"/>
    <w:qFormat/>
    <w:uiPriority w:val="0"/>
    <w:rPr>
      <w:b/>
      <w:bCs/>
      <w:kern w:val="44"/>
      <w:sz w:val="44"/>
      <w:szCs w:val="44"/>
    </w:rPr>
  </w:style>
  <w:style w:type="character" w:customStyle="1" w:styleId="45">
    <w:name w:val="标题 2 字符"/>
    <w:basedOn w:val="28"/>
    <w:link w:val="3"/>
    <w:qFormat/>
    <w:uiPriority w:val="9"/>
    <w:rPr>
      <w:rFonts w:ascii="黑体" w:hAnsi="Arial" w:eastAsia="黑体" w:cs="Times New Roman"/>
      <w:kern w:val="0"/>
      <w:sz w:val="28"/>
      <w:szCs w:val="28"/>
    </w:rPr>
  </w:style>
  <w:style w:type="character" w:customStyle="1" w:styleId="46">
    <w:name w:val="标题 3 字符"/>
    <w:basedOn w:val="28"/>
    <w:link w:val="4"/>
    <w:qFormat/>
    <w:uiPriority w:val="9"/>
    <w:rPr>
      <w:rFonts w:ascii="Calibri" w:hAnsi="Calibri" w:eastAsia="宋体" w:cs="Times New Roman"/>
      <w:b/>
      <w:bCs/>
      <w:kern w:val="0"/>
      <w:sz w:val="32"/>
      <w:szCs w:val="32"/>
    </w:rPr>
  </w:style>
  <w:style w:type="character" w:customStyle="1" w:styleId="47">
    <w:name w:val="HTML 预设格式 字符"/>
    <w:basedOn w:val="28"/>
    <w:link w:val="21"/>
    <w:qFormat/>
    <w:uiPriority w:val="0"/>
    <w:rPr>
      <w:rFonts w:ascii="宋体" w:hAnsi="Times New Roman" w:eastAsia="宋体" w:cs="宋体"/>
      <w:kern w:val="0"/>
      <w:sz w:val="24"/>
      <w:szCs w:val="24"/>
    </w:rPr>
  </w:style>
  <w:style w:type="character" w:customStyle="1" w:styleId="48">
    <w:name w:val="标题 1 字符1"/>
    <w:link w:val="2"/>
    <w:qFormat/>
    <w:uiPriority w:val="0"/>
    <w:rPr>
      <w:rFonts w:ascii="Calibri" w:hAnsi="Calibri" w:eastAsia="宋体" w:cs="Times New Roman"/>
      <w:b/>
      <w:bCs/>
      <w:kern w:val="44"/>
      <w:sz w:val="44"/>
      <w:szCs w:val="44"/>
    </w:rPr>
  </w:style>
  <w:style w:type="character" w:customStyle="1" w:styleId="49">
    <w:name w:val="正文文本 字符"/>
    <w:basedOn w:val="28"/>
    <w:link w:val="8"/>
    <w:qFormat/>
    <w:uiPriority w:val="99"/>
    <w:rPr>
      <w:rFonts w:ascii="Calibri" w:hAnsi="Calibri" w:eastAsia="宋体" w:cs="Times New Roman"/>
      <w:kern w:val="0"/>
      <w:sz w:val="20"/>
      <w:szCs w:val="21"/>
    </w:rPr>
  </w:style>
  <w:style w:type="character" w:customStyle="1" w:styleId="50">
    <w:name w:val="正文文本缩进 字符"/>
    <w:basedOn w:val="28"/>
    <w:qFormat/>
    <w:uiPriority w:val="99"/>
  </w:style>
  <w:style w:type="character" w:customStyle="1" w:styleId="51">
    <w:name w:val="正文文本缩进 字符1"/>
    <w:link w:val="9"/>
    <w:qFormat/>
    <w:uiPriority w:val="99"/>
    <w:rPr>
      <w:rFonts w:ascii="Calibri" w:hAnsi="Calibri" w:eastAsia="宋体" w:cs="Times New Roman"/>
      <w:kern w:val="0"/>
      <w:sz w:val="20"/>
      <w:szCs w:val="21"/>
    </w:rPr>
  </w:style>
  <w:style w:type="character" w:customStyle="1" w:styleId="52">
    <w:name w:val="纯文本 字符"/>
    <w:basedOn w:val="28"/>
    <w:link w:val="12"/>
    <w:semiHidden/>
    <w:qFormat/>
    <w:uiPriority w:val="0"/>
    <w:rPr>
      <w:rFonts w:ascii="宋体" w:hAnsi="Courier New" w:eastAsia="华文宋体" w:cs="Times New Roman"/>
      <w:kern w:val="0"/>
      <w:sz w:val="28"/>
      <w:szCs w:val="28"/>
    </w:rPr>
  </w:style>
  <w:style w:type="character" w:customStyle="1" w:styleId="53">
    <w:name w:val="日期 字符"/>
    <w:basedOn w:val="28"/>
    <w:link w:val="13"/>
    <w:qFormat/>
    <w:uiPriority w:val="99"/>
    <w:rPr>
      <w:rFonts w:ascii="宋体" w:hAnsi="宋体" w:eastAsia="宋体" w:cs="Times New Roman"/>
      <w:kern w:val="0"/>
      <w:sz w:val="32"/>
      <w:szCs w:val="32"/>
    </w:rPr>
  </w:style>
  <w:style w:type="character" w:customStyle="1" w:styleId="54">
    <w:name w:val="正文文本缩进 2 字符"/>
    <w:basedOn w:val="28"/>
    <w:link w:val="14"/>
    <w:qFormat/>
    <w:uiPriority w:val="0"/>
    <w:rPr>
      <w:rFonts w:ascii="宋体" w:hAnsi="宋体" w:eastAsia="宋体" w:cs="宋体"/>
      <w:b/>
      <w:kern w:val="1"/>
      <w:sz w:val="24"/>
      <w:szCs w:val="21"/>
    </w:rPr>
  </w:style>
  <w:style w:type="character" w:customStyle="1" w:styleId="55">
    <w:name w:val="批注框文本 字符"/>
    <w:basedOn w:val="28"/>
    <w:link w:val="15"/>
    <w:qFormat/>
    <w:uiPriority w:val="99"/>
    <w:rPr>
      <w:rFonts w:ascii="Calibri" w:hAnsi="Calibri" w:eastAsia="宋体" w:cs="Times New Roman"/>
      <w:kern w:val="0"/>
      <w:sz w:val="18"/>
      <w:szCs w:val="18"/>
    </w:rPr>
  </w:style>
  <w:style w:type="character" w:customStyle="1" w:styleId="56">
    <w:name w:val="页脚 字符1"/>
    <w:qFormat/>
    <w:uiPriority w:val="0"/>
    <w:rPr>
      <w:rFonts w:ascii="Calibri" w:hAnsi="Calibri"/>
      <w:sz w:val="18"/>
      <w:szCs w:val="21"/>
    </w:rPr>
  </w:style>
  <w:style w:type="character" w:customStyle="1" w:styleId="57">
    <w:name w:val="页眉 字符1"/>
    <w:qFormat/>
    <w:uiPriority w:val="0"/>
    <w:rPr>
      <w:rFonts w:ascii="Calibri" w:hAnsi="Calibri"/>
      <w:sz w:val="18"/>
      <w:szCs w:val="18"/>
    </w:rPr>
  </w:style>
  <w:style w:type="character" w:customStyle="1" w:styleId="58">
    <w:name w:val="正文首行缩进 字符"/>
    <w:basedOn w:val="49"/>
    <w:qFormat/>
    <w:uiPriority w:val="99"/>
    <w:rPr>
      <w:rFonts w:ascii="Calibri" w:hAnsi="Calibri" w:eastAsia="宋体" w:cs="Times New Roman"/>
      <w:kern w:val="0"/>
      <w:sz w:val="20"/>
      <w:szCs w:val="21"/>
    </w:rPr>
  </w:style>
  <w:style w:type="character" w:customStyle="1" w:styleId="59">
    <w:name w:val="正文首行缩进 字符1"/>
    <w:link w:val="24"/>
    <w:qFormat/>
    <w:uiPriority w:val="0"/>
    <w:rPr>
      <w:rFonts w:ascii="Calibri" w:hAnsi="Calibri" w:eastAsia="Arial Unicode MS" w:cs="Times New Roman"/>
      <w:color w:val="000000"/>
      <w:kern w:val="0"/>
      <w:sz w:val="28"/>
      <w:szCs w:val="28"/>
    </w:rPr>
  </w:style>
  <w:style w:type="character" w:customStyle="1" w:styleId="60">
    <w:name w:val="正文首行缩进 2 字符"/>
    <w:basedOn w:val="50"/>
    <w:semiHidden/>
    <w:qFormat/>
    <w:uiPriority w:val="99"/>
  </w:style>
  <w:style w:type="character" w:customStyle="1" w:styleId="61">
    <w:name w:val="正文首行缩进 2 字符1"/>
    <w:link w:val="25"/>
    <w:semiHidden/>
    <w:qFormat/>
    <w:uiPriority w:val="0"/>
    <w:rPr>
      <w:rFonts w:ascii="Calibri" w:hAnsi="Calibri" w:eastAsia="Arial Unicode MS" w:cs="Times New Roman"/>
      <w:color w:val="000000"/>
      <w:kern w:val="0"/>
      <w:sz w:val="20"/>
      <w:szCs w:val="21"/>
    </w:rPr>
  </w:style>
  <w:style w:type="character" w:customStyle="1" w:styleId="62">
    <w:name w:val="font41"/>
    <w:qFormat/>
    <w:uiPriority w:val="0"/>
    <w:rPr>
      <w:rFonts w:hint="eastAsia" w:ascii="宋体" w:hAnsi="宋体" w:eastAsia="宋体" w:cs="宋体"/>
      <w:color w:val="000000"/>
      <w:sz w:val="22"/>
      <w:szCs w:val="22"/>
      <w:u w:val="none"/>
    </w:rPr>
  </w:style>
  <w:style w:type="character" w:customStyle="1" w:styleId="63">
    <w:name w:val="font11"/>
    <w:qFormat/>
    <w:uiPriority w:val="0"/>
    <w:rPr>
      <w:rFonts w:hint="eastAsia" w:ascii="宋体" w:hAnsi="宋体" w:eastAsia="宋体" w:cs="宋体"/>
      <w:color w:val="000000"/>
      <w:sz w:val="22"/>
      <w:szCs w:val="22"/>
      <w:u w:val="none"/>
    </w:rPr>
  </w:style>
  <w:style w:type="character" w:customStyle="1" w:styleId="64">
    <w:name w:val="15"/>
    <w:qFormat/>
    <w:uiPriority w:val="0"/>
    <w:rPr>
      <w:rFonts w:ascii="Calibri" w:hAnsi="Calibri" w:cs="Times New Roman"/>
      <w:color w:val="CC0000"/>
    </w:rPr>
  </w:style>
  <w:style w:type="character" w:customStyle="1" w:styleId="65">
    <w:name w:val="font201"/>
    <w:qFormat/>
    <w:uiPriority w:val="0"/>
    <w:rPr>
      <w:rFonts w:hint="eastAsia" w:ascii="宋体" w:hAnsi="宋体" w:eastAsia="宋体" w:cs="宋体"/>
      <w:color w:val="000000"/>
      <w:sz w:val="20"/>
      <w:szCs w:val="20"/>
      <w:u w:val="none"/>
    </w:rPr>
  </w:style>
  <w:style w:type="character" w:customStyle="1" w:styleId="66">
    <w:name w:val="font31"/>
    <w:qFormat/>
    <w:uiPriority w:val="0"/>
    <w:rPr>
      <w:rFonts w:hint="eastAsia" w:ascii="宋体" w:hAnsi="宋体" w:eastAsia="宋体" w:cs="宋体"/>
      <w:color w:val="000000"/>
      <w:sz w:val="22"/>
      <w:szCs w:val="22"/>
      <w:u w:val="none"/>
    </w:rPr>
  </w:style>
  <w:style w:type="character" w:customStyle="1" w:styleId="67">
    <w:name w:val="font01"/>
    <w:qFormat/>
    <w:uiPriority w:val="0"/>
    <w:rPr>
      <w:rFonts w:hint="default" w:ascii="方正宋三简体" w:hAnsi="方正宋三简体" w:eastAsia="方正宋三简体" w:cs="方正宋三简体"/>
      <w:color w:val="000000"/>
      <w:sz w:val="18"/>
      <w:szCs w:val="18"/>
      <w:u w:val="none"/>
      <w:vertAlign w:val="superscript"/>
    </w:rPr>
  </w:style>
  <w:style w:type="character" w:customStyle="1" w:styleId="68">
    <w:name w:val="日期 Char1"/>
    <w:semiHidden/>
    <w:qFormat/>
    <w:uiPriority w:val="99"/>
    <w:rPr>
      <w:rFonts w:ascii="Calibri" w:hAnsi="Calibri" w:eastAsia="宋体" w:cs="Times New Roman"/>
      <w:szCs w:val="21"/>
    </w:rPr>
  </w:style>
  <w:style w:type="character" w:customStyle="1" w:styleId="69">
    <w:name w:val="正文文本 Char"/>
    <w:qFormat/>
    <w:uiPriority w:val="0"/>
    <w:rPr>
      <w:rFonts w:ascii="Calibri" w:hAnsi="Calibri" w:eastAsia="宋体" w:cs="Times New Roman"/>
      <w:kern w:val="0"/>
      <w:sz w:val="20"/>
      <w:szCs w:val="21"/>
    </w:rPr>
  </w:style>
  <w:style w:type="character" w:customStyle="1" w:styleId="70">
    <w:name w:val="font21"/>
    <w:qFormat/>
    <w:uiPriority w:val="0"/>
    <w:rPr>
      <w:rFonts w:hint="eastAsia" w:ascii="宋体" w:hAnsi="宋体" w:eastAsia="宋体" w:cs="宋体"/>
      <w:color w:val="000000"/>
      <w:sz w:val="22"/>
      <w:szCs w:val="22"/>
      <w:u w:val="none"/>
    </w:rPr>
  </w:style>
  <w:style w:type="character" w:customStyle="1" w:styleId="71">
    <w:name w:val="font81"/>
    <w:qFormat/>
    <w:uiPriority w:val="0"/>
    <w:rPr>
      <w:rFonts w:hint="default" w:ascii="方正宋三简体" w:hAnsi="方正宋三简体" w:eastAsia="方正宋三简体" w:cs="方正宋三简体"/>
      <w:color w:val="000000"/>
      <w:sz w:val="18"/>
      <w:szCs w:val="18"/>
      <w:u w:val="none"/>
    </w:rPr>
  </w:style>
  <w:style w:type="character" w:customStyle="1" w:styleId="72">
    <w:name w:val="页眉 Char1"/>
    <w:semiHidden/>
    <w:qFormat/>
    <w:uiPriority w:val="99"/>
    <w:rPr>
      <w:rFonts w:ascii="Calibri" w:hAnsi="Calibri" w:eastAsia="宋体" w:cs="Times New Roman"/>
      <w:sz w:val="18"/>
      <w:szCs w:val="18"/>
    </w:rPr>
  </w:style>
  <w:style w:type="character" w:customStyle="1" w:styleId="73">
    <w:name w:val="font91"/>
    <w:qFormat/>
    <w:uiPriority w:val="0"/>
    <w:rPr>
      <w:rFonts w:hint="default" w:ascii="方正宋三简体" w:hAnsi="方正宋三简体" w:eastAsia="方正宋三简体" w:cs="方正宋三简体"/>
      <w:color w:val="000000"/>
      <w:sz w:val="18"/>
      <w:szCs w:val="18"/>
      <w:u w:val="none"/>
    </w:rPr>
  </w:style>
  <w:style w:type="character" w:customStyle="1" w:styleId="74">
    <w:name w:val="正文首行缩进 Char1"/>
    <w:semiHidden/>
    <w:qFormat/>
    <w:uiPriority w:val="99"/>
  </w:style>
  <w:style w:type="character" w:customStyle="1" w:styleId="75">
    <w:name w:val="font112"/>
    <w:qFormat/>
    <w:uiPriority w:val="0"/>
    <w:rPr>
      <w:rFonts w:hint="eastAsia" w:ascii="宋体" w:hAnsi="宋体" w:eastAsia="宋体" w:cs="宋体"/>
      <w:color w:val="FF0000"/>
      <w:sz w:val="18"/>
      <w:szCs w:val="18"/>
      <w:u w:val="none"/>
    </w:rPr>
  </w:style>
  <w:style w:type="character" w:customStyle="1" w:styleId="76">
    <w:name w:val="font51"/>
    <w:qFormat/>
    <w:uiPriority w:val="0"/>
    <w:rPr>
      <w:rFonts w:hint="default" w:ascii="Times New Roman" w:hAnsi="Times New Roman" w:cs="Times New Roman"/>
      <w:color w:val="000000"/>
      <w:sz w:val="22"/>
      <w:szCs w:val="22"/>
      <w:u w:val="none"/>
    </w:rPr>
  </w:style>
  <w:style w:type="character" w:customStyle="1" w:styleId="77">
    <w:name w:val="纯文本 Char1"/>
    <w:semiHidden/>
    <w:qFormat/>
    <w:uiPriority w:val="99"/>
    <w:rPr>
      <w:rFonts w:ascii="宋体" w:hAnsi="Courier New" w:eastAsia="宋体" w:cs="Courier New"/>
      <w:szCs w:val="21"/>
    </w:rPr>
  </w:style>
  <w:style w:type="character" w:customStyle="1" w:styleId="78">
    <w:name w:val="正文文本缩进 Char"/>
    <w:semiHidden/>
    <w:qFormat/>
    <w:uiPriority w:val="99"/>
    <w:rPr>
      <w:rFonts w:ascii="Calibri" w:hAnsi="Calibri" w:eastAsia="宋体" w:cs="Times New Roman"/>
      <w:szCs w:val="21"/>
    </w:rPr>
  </w:style>
  <w:style w:type="character" w:customStyle="1" w:styleId="79">
    <w:name w:val="页脚 Char1"/>
    <w:semiHidden/>
    <w:qFormat/>
    <w:uiPriority w:val="99"/>
    <w:rPr>
      <w:rFonts w:ascii="Calibri" w:hAnsi="Calibri" w:eastAsia="宋体" w:cs="Times New Roman"/>
      <w:sz w:val="18"/>
      <w:szCs w:val="18"/>
    </w:rPr>
  </w:style>
  <w:style w:type="character" w:customStyle="1" w:styleId="80">
    <w:name w:val="font121"/>
    <w:qFormat/>
    <w:uiPriority w:val="0"/>
    <w:rPr>
      <w:rFonts w:ascii="Wingdings" w:hAnsi="Wingdings" w:cs="Wingdings"/>
      <w:color w:val="000000"/>
      <w:sz w:val="18"/>
      <w:szCs w:val="18"/>
      <w:u w:val="none"/>
    </w:rPr>
  </w:style>
  <w:style w:type="character" w:customStyle="1" w:styleId="81">
    <w:name w:val="font151"/>
    <w:qFormat/>
    <w:uiPriority w:val="0"/>
    <w:rPr>
      <w:rFonts w:hint="eastAsia" w:ascii="宋体" w:hAnsi="宋体" w:eastAsia="宋体" w:cs="宋体"/>
      <w:color w:val="000000"/>
      <w:sz w:val="18"/>
      <w:szCs w:val="18"/>
      <w:u w:val="none"/>
    </w:rPr>
  </w:style>
  <w:style w:type="character" w:customStyle="1" w:styleId="82">
    <w:name w:val="font141"/>
    <w:qFormat/>
    <w:uiPriority w:val="0"/>
    <w:rPr>
      <w:rFonts w:hint="eastAsia" w:ascii="宋体" w:hAnsi="宋体" w:eastAsia="宋体" w:cs="宋体"/>
      <w:color w:val="000000"/>
      <w:sz w:val="18"/>
      <w:szCs w:val="18"/>
      <w:u w:val="none"/>
    </w:rPr>
  </w:style>
  <w:style w:type="character" w:customStyle="1" w:styleId="83">
    <w:name w:val="批注框文本 Char1"/>
    <w:semiHidden/>
    <w:qFormat/>
    <w:uiPriority w:val="99"/>
    <w:rPr>
      <w:rFonts w:ascii="Calibri" w:hAnsi="Calibri" w:eastAsia="宋体" w:cs="Times New Roman"/>
      <w:sz w:val="18"/>
      <w:szCs w:val="18"/>
    </w:rPr>
  </w:style>
  <w:style w:type="character" w:customStyle="1" w:styleId="84">
    <w:name w:val="正文首行缩进 2 Char1"/>
    <w:semiHidden/>
    <w:qFormat/>
    <w:uiPriority w:val="99"/>
  </w:style>
  <w:style w:type="character" w:customStyle="1" w:styleId="85">
    <w:name w:val="font71"/>
    <w:qFormat/>
    <w:uiPriority w:val="0"/>
    <w:rPr>
      <w:rFonts w:hint="eastAsia" w:ascii="宋体" w:hAnsi="宋体" w:eastAsia="宋体" w:cs="宋体"/>
      <w:color w:val="000000"/>
      <w:sz w:val="22"/>
      <w:szCs w:val="22"/>
      <w:u w:val="none"/>
    </w:rPr>
  </w:style>
  <w:style w:type="character" w:customStyle="1" w:styleId="86">
    <w:name w:val="font131"/>
    <w:qFormat/>
    <w:uiPriority w:val="0"/>
    <w:rPr>
      <w:rFonts w:hint="default" w:ascii="方正宋三简体" w:hAnsi="方正宋三简体" w:eastAsia="方正宋三简体" w:cs="方正宋三简体"/>
      <w:color w:val="000000"/>
      <w:sz w:val="18"/>
      <w:szCs w:val="18"/>
      <w:u w:val="none"/>
      <w:vertAlign w:val="superscript"/>
    </w:rPr>
  </w:style>
  <w:style w:type="paragraph" w:customStyle="1" w:styleId="87">
    <w:name w:val="a0"/>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8">
    <w:name w:val="表格文字"/>
    <w:basedOn w:val="1"/>
    <w:next w:val="8"/>
    <w:qFormat/>
    <w:uiPriority w:val="0"/>
    <w:pPr>
      <w:autoSpaceDE w:val="0"/>
      <w:autoSpaceDN w:val="0"/>
      <w:adjustRightInd w:val="0"/>
      <w:spacing w:line="420" w:lineRule="atLeast"/>
      <w:jc w:val="left"/>
      <w:textAlignment w:val="baseline"/>
    </w:pPr>
    <w:rPr>
      <w:rFonts w:ascii="宋体" w:hAnsi="宋体" w:eastAsia="宋体" w:cs="宋体"/>
      <w:kern w:val="0"/>
      <w:sz w:val="22"/>
      <w:lang w:val="zh-CN" w:bidi="zh-CN"/>
    </w:rPr>
  </w:style>
  <w:style w:type="paragraph" w:customStyle="1" w:styleId="89">
    <w:name w:val="列出段落1"/>
    <w:basedOn w:val="1"/>
    <w:qFormat/>
    <w:uiPriority w:val="34"/>
    <w:pPr>
      <w:ind w:firstLine="420" w:firstLineChars="200"/>
    </w:pPr>
    <w:rPr>
      <w:rFonts w:ascii="Times New Roman" w:hAnsi="Times New Roman" w:eastAsia="宋体" w:cs="Times New Roman"/>
    </w:rPr>
  </w:style>
  <w:style w:type="paragraph" w:customStyle="1" w:styleId="90">
    <w:name w:val="文档正文"/>
    <w:basedOn w:val="1"/>
    <w:qFormat/>
    <w:uiPriority w:val="0"/>
    <w:pPr>
      <w:spacing w:line="480" w:lineRule="atLeast"/>
      <w:ind w:firstLine="567"/>
      <w:textAlignment w:val="baseline"/>
    </w:pPr>
    <w:rPr>
      <w:rFonts w:ascii="仿宋_GB2312" w:hAnsi="仿宋_GB2312" w:eastAsia="宋体" w:cs="宋体"/>
      <w:sz w:val="28"/>
      <w:szCs w:val="28"/>
    </w:rPr>
  </w:style>
  <w:style w:type="paragraph" w:styleId="91">
    <w:name w:val="List Paragraph"/>
    <w:basedOn w:val="1"/>
    <w:qFormat/>
    <w:uiPriority w:val="34"/>
    <w:pPr>
      <w:ind w:firstLine="420" w:firstLineChars="200"/>
    </w:pPr>
    <w:rPr>
      <w:rFonts w:ascii="Times New Roman" w:hAnsi="Times New Roman" w:eastAsia="宋体" w:cs="Times New Roman"/>
      <w:szCs w:val="24"/>
    </w:rPr>
  </w:style>
  <w:style w:type="paragraph" w:styleId="92">
    <w:name w:val="No Spacing"/>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93">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4">
    <w:name w:val="p0"/>
    <w:basedOn w:val="1"/>
    <w:qFormat/>
    <w:uiPriority w:val="0"/>
    <w:pPr>
      <w:widowControl/>
    </w:pPr>
    <w:rPr>
      <w:rFonts w:ascii="Times New Roman" w:hAnsi="Times New Roman" w:eastAsia="宋体" w:cs="Times New Roman"/>
      <w:kern w:val="0"/>
      <w:szCs w:val="21"/>
    </w:rPr>
  </w:style>
  <w:style w:type="paragraph" w:customStyle="1" w:styleId="95">
    <w:name w:val="cjk"/>
    <w:basedOn w:val="1"/>
    <w:qFormat/>
    <w:uiPriority w:val="0"/>
    <w:pPr>
      <w:widowControl/>
      <w:spacing w:before="100" w:beforeAutospacing="1" w:after="100" w:afterAutospacing="1"/>
      <w:jc w:val="left"/>
    </w:pPr>
    <w:rPr>
      <w:rFonts w:ascii="宋体" w:hAnsi="宋体" w:eastAsia="宋体" w:cs="宋体"/>
      <w:kern w:val="0"/>
      <w:sz w:val="24"/>
      <w:szCs w:val="24"/>
    </w:rPr>
  </w:style>
  <w:style w:type="table" w:customStyle="1" w:styleId="96">
    <w:name w:val="网格型1"/>
    <w:basedOn w:val="26"/>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7">
    <w:name w:val="批注框文本 Char3"/>
    <w:semiHidden/>
    <w:qFormat/>
    <w:uiPriority w:val="99"/>
    <w:rPr>
      <w:rFonts w:ascii="Times New Roman" w:hAnsi="Times New Roman" w:eastAsia="宋体" w:cs="Times New Roman"/>
      <w:sz w:val="18"/>
      <w:szCs w:val="18"/>
    </w:rPr>
  </w:style>
  <w:style w:type="character" w:customStyle="1" w:styleId="98">
    <w:name w:val="日期 Char3"/>
    <w:semiHidden/>
    <w:qFormat/>
    <w:uiPriority w:val="99"/>
    <w:rPr>
      <w:rFonts w:ascii="Times New Roman" w:hAnsi="Times New Roman" w:eastAsia="宋体" w:cs="Times New Roman"/>
      <w:szCs w:val="21"/>
    </w:rPr>
  </w:style>
  <w:style w:type="character" w:customStyle="1" w:styleId="99">
    <w:name w:val="hover"/>
    <w:qFormat/>
    <w:uiPriority w:val="0"/>
    <w:rPr>
      <w:color w:val="2590EB"/>
    </w:rPr>
  </w:style>
  <w:style w:type="character" w:customStyle="1" w:styleId="100">
    <w:name w:val="hover1"/>
    <w:qFormat/>
    <w:uiPriority w:val="0"/>
    <w:rPr>
      <w:color w:val="2590EB"/>
    </w:rPr>
  </w:style>
  <w:style w:type="character" w:customStyle="1" w:styleId="101">
    <w:name w:val="hover2"/>
    <w:qFormat/>
    <w:uiPriority w:val="0"/>
  </w:style>
  <w:style w:type="character" w:customStyle="1" w:styleId="102">
    <w:name w:val="mini-outputtext1"/>
    <w:qFormat/>
    <w:uiPriority w:val="0"/>
  </w:style>
  <w:style w:type="character" w:customStyle="1" w:styleId="103">
    <w:name w:val="hover3"/>
    <w:qFormat/>
    <w:uiPriority w:val="0"/>
  </w:style>
  <w:style w:type="paragraph" w:customStyle="1" w:styleId="104">
    <w:name w:val="TOC Heading"/>
    <w:basedOn w:val="2"/>
    <w:next w:val="1"/>
    <w:qFormat/>
    <w:uiPriority w:val="39"/>
    <w:pPr>
      <w:widowControl/>
      <w:spacing w:before="240" w:after="0" w:line="259" w:lineRule="auto"/>
      <w:jc w:val="left"/>
      <w:outlineLvl w:val="9"/>
    </w:pPr>
    <w:rPr>
      <w:rFonts w:ascii="等线 Light" w:hAnsi="等线 Light" w:eastAsia="等线 Light"/>
      <w:b w:val="0"/>
      <w:bCs w:val="0"/>
      <w:color w:val="2E74B5"/>
      <w:kern w:val="0"/>
      <w:sz w:val="32"/>
      <w:szCs w:val="32"/>
    </w:rPr>
  </w:style>
  <w:style w:type="character" w:customStyle="1" w:styleId="105">
    <w:name w:val="批注文字 字符"/>
    <w:basedOn w:val="28"/>
    <w:link w:val="7"/>
    <w:semiHidden/>
    <w:qFormat/>
    <w:uiPriority w:val="99"/>
  </w:style>
  <w:style w:type="character" w:customStyle="1" w:styleId="106">
    <w:name w:val="批注主题 字符"/>
    <w:basedOn w:val="105"/>
    <w:link w:val="23"/>
    <w:semiHidden/>
    <w:qFormat/>
    <w:uiPriority w:val="99"/>
    <w:rPr>
      <w:b/>
      <w:bCs/>
    </w:rPr>
  </w:style>
  <w:style w:type="paragraph" w:customStyle="1" w:styleId="107">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b/>
      <w:bCs/>
      <w:color w:val="000000"/>
      <w:kern w:val="0"/>
      <w:sz w:val="24"/>
      <w:szCs w:val="24"/>
    </w:rPr>
  </w:style>
  <w:style w:type="character" w:customStyle="1" w:styleId="108">
    <w:name w:val="NormalCharacter"/>
    <w:qFormat/>
    <w:uiPriority w:val="0"/>
  </w:style>
  <w:style w:type="character" w:customStyle="1" w:styleId="109">
    <w:name w:val="layui-layer-tabnow"/>
    <w:basedOn w:val="28"/>
    <w:uiPriority w:val="0"/>
    <w:rPr>
      <w:bdr w:val="single" w:color="CCCCCC" w:sz="6" w:space="0"/>
      <w:shd w:val="clear" w:fill="FFFFFF"/>
    </w:rPr>
  </w:style>
  <w:style w:type="character" w:customStyle="1" w:styleId="110">
    <w:name w:val="first-child"/>
    <w:basedOn w:val="28"/>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57</Pages>
  <Words>19784</Words>
  <Characters>21593</Characters>
  <Lines>203</Lines>
  <Paragraphs>57</Paragraphs>
  <TotalTime>24</TotalTime>
  <ScaleCrop>false</ScaleCrop>
  <LinksUpToDate>false</LinksUpToDate>
  <CharactersWithSpaces>21727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2024-01-09T09:28:00Z</dcterms:created>
  <dc:creator>Administrator</dc:creator>
  <cp:lastModifiedBy>Administrator</cp:lastModifiedBy>
  <dcterms:modified xsi:type="dcterms:W3CDTF">2026-07-17T07:16:11Z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eyJoZGlkIjoiZTQzNGVkZDA1NTk4NDM0NzAwYTZhZTNkMDVjMTg4NzAiLCJ1c2VySWQiOiI5NDMwNTc3OTUifQ==</vt:lpwstr>
  </property>
  <property fmtid="{D5CDD505-2E9C-101B-9397-08002B2CF9AE}" pid="3" name="KSOProductBuildVer">
    <vt:lpwstr>2052-12.1.0.21171</vt:lpwstr>
  </property>
  <property fmtid="{D5CDD505-2E9C-101B-9397-08002B2CF9AE}" pid="4" name="ICV">
    <vt:lpwstr>5893E7A533DE4873A89D856CBD2276DB_12</vt:lpwstr>
  </property>
</Properties>
</file>