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673313">
      <w:pPr>
        <w:spacing w:line="720" w:lineRule="auto"/>
        <w:jc w:val="center"/>
        <w:rPr>
          <w:rFonts w:hint="eastAsia"/>
          <w:b/>
          <w:bCs/>
          <w:sz w:val="48"/>
          <w:szCs w:val="52"/>
          <w:highlight w:val="none"/>
          <w:lang w:eastAsia="zh-CN"/>
        </w:rPr>
      </w:pPr>
      <w:r>
        <w:rPr>
          <w:rFonts w:hint="eastAsia"/>
          <w:b/>
          <w:bCs/>
          <w:sz w:val="48"/>
          <w:szCs w:val="52"/>
          <w:highlight w:val="none"/>
          <w:lang w:eastAsia="zh-CN"/>
        </w:rPr>
        <w:t>渑池县人民医院中药配方颗粒配送服务采购项目</w:t>
      </w:r>
    </w:p>
    <w:p w14:paraId="57A39A1A">
      <w:pPr>
        <w:spacing w:line="720" w:lineRule="auto"/>
        <w:jc w:val="both"/>
        <w:rPr>
          <w:rFonts w:hint="eastAsia" w:eastAsiaTheme="minorEastAsia"/>
          <w:b/>
          <w:bCs/>
          <w:sz w:val="44"/>
          <w:szCs w:val="48"/>
          <w:highlight w:val="none"/>
          <w:lang w:eastAsia="zh-CN"/>
        </w:rPr>
      </w:pPr>
    </w:p>
    <w:p w14:paraId="3A5BADEA">
      <w:pPr>
        <w:spacing w:line="720" w:lineRule="auto"/>
        <w:jc w:val="center"/>
        <w:rPr>
          <w:b/>
          <w:bCs/>
          <w:sz w:val="44"/>
          <w:szCs w:val="48"/>
          <w:highlight w:val="none"/>
        </w:rPr>
      </w:pPr>
    </w:p>
    <w:p w14:paraId="6A2BB502">
      <w:pPr>
        <w:spacing w:line="720" w:lineRule="auto"/>
        <w:jc w:val="center"/>
        <w:rPr>
          <w:b/>
          <w:bCs/>
          <w:sz w:val="48"/>
          <w:szCs w:val="52"/>
          <w:highlight w:val="none"/>
        </w:rPr>
      </w:pPr>
      <w:r>
        <w:rPr>
          <w:rFonts w:hint="eastAsia"/>
          <w:b/>
          <w:bCs/>
          <w:sz w:val="48"/>
          <w:szCs w:val="52"/>
          <w:highlight w:val="none"/>
        </w:rPr>
        <w:t>竞争性磋商文件</w:t>
      </w:r>
    </w:p>
    <w:p w14:paraId="29CC071D">
      <w:pPr>
        <w:ind w:firstLine="435"/>
        <w:jc w:val="center"/>
        <w:rPr>
          <w:highlight w:val="none"/>
        </w:rPr>
      </w:pPr>
    </w:p>
    <w:p w14:paraId="1339A0E8">
      <w:pPr>
        <w:spacing w:line="360" w:lineRule="auto"/>
        <w:jc w:val="center"/>
        <w:rPr>
          <w:rFonts w:hint="eastAsia" w:ascii="宋体" w:hAnsi="宋体" w:cs="宋体"/>
          <w:b/>
          <w:sz w:val="24"/>
          <w:szCs w:val="28"/>
          <w:highlight w:val="none"/>
        </w:rPr>
      </w:pPr>
      <w:bookmarkStart w:id="0" w:name="_Toc12438"/>
    </w:p>
    <w:p w14:paraId="24DE8EB1">
      <w:pPr>
        <w:spacing w:line="360" w:lineRule="auto"/>
        <w:jc w:val="center"/>
        <w:rPr>
          <w:rFonts w:hint="eastAsia" w:ascii="宋体" w:hAnsi="宋体" w:eastAsia="宋体" w:cs="宋体"/>
          <w:b/>
          <w:bCs/>
          <w:color w:val="auto"/>
          <w:sz w:val="28"/>
          <w:szCs w:val="28"/>
          <w:highlight w:val="none"/>
          <w:lang w:eastAsia="zh-CN"/>
        </w:rPr>
      </w:pPr>
      <w:bookmarkStart w:id="1" w:name="_Toc32756"/>
      <w:bookmarkStart w:id="2" w:name="_Toc12587"/>
      <w:r>
        <w:rPr>
          <w:rFonts w:hint="eastAsia" w:ascii="宋体" w:hAnsi="宋体" w:eastAsia="宋体" w:cs="宋体"/>
          <w:b/>
          <w:bCs/>
          <w:sz w:val="28"/>
          <w:szCs w:val="32"/>
          <w:highlight w:val="none"/>
        </w:rPr>
        <w:t>项目编号</w:t>
      </w:r>
      <w:r>
        <w:rPr>
          <w:rFonts w:hint="eastAsia" w:ascii="宋体" w:hAnsi="宋体" w:eastAsia="宋体" w:cs="宋体"/>
          <w:b/>
          <w:bCs/>
          <w:color w:val="auto"/>
          <w:sz w:val="28"/>
          <w:szCs w:val="32"/>
          <w:highlight w:val="none"/>
        </w:rPr>
        <w:t>：</w:t>
      </w:r>
      <w:bookmarkEnd w:id="0"/>
      <w:bookmarkEnd w:id="1"/>
      <w:bookmarkEnd w:id="2"/>
      <w:r>
        <w:rPr>
          <w:rFonts w:hint="eastAsia" w:ascii="宋体" w:hAnsi="宋体" w:eastAsia="宋体" w:cs="宋体"/>
          <w:b/>
          <w:bCs/>
          <w:color w:val="auto"/>
          <w:sz w:val="28"/>
          <w:szCs w:val="32"/>
          <w:highlight w:val="none"/>
          <w:lang w:val="en-US" w:eastAsia="zh-CN"/>
        </w:rPr>
        <w:t>MCGZ[2026]090-ZC084</w:t>
      </w:r>
    </w:p>
    <w:p w14:paraId="0914EECD">
      <w:pPr>
        <w:spacing w:line="360" w:lineRule="auto"/>
        <w:jc w:val="center"/>
        <w:rPr>
          <w:rFonts w:hint="eastAsia" w:ascii="宋体" w:hAnsi="宋体" w:eastAsia="宋体" w:cs="宋体"/>
          <w:b/>
          <w:bCs/>
          <w:sz w:val="28"/>
          <w:szCs w:val="32"/>
          <w:highlight w:val="none"/>
        </w:rPr>
      </w:pPr>
      <w:r>
        <w:rPr>
          <w:rFonts w:hint="eastAsia" w:asciiTheme="minorEastAsia" w:hAnsiTheme="minorEastAsia" w:cstheme="minorEastAsia"/>
          <w:b/>
          <w:bCs/>
          <w:sz w:val="28"/>
          <w:szCs w:val="28"/>
          <w:highlight w:val="none"/>
        </w:rPr>
        <w:t xml:space="preserve">          </w:t>
      </w:r>
      <w:r>
        <w:rPr>
          <w:rFonts w:hint="eastAsia" w:asciiTheme="minorEastAsia" w:hAnsiTheme="minorEastAsia" w:cstheme="minorEastAsia"/>
          <w:b/>
          <w:bCs/>
          <w:sz w:val="28"/>
          <w:szCs w:val="28"/>
          <w:highlight w:val="none"/>
          <w:lang w:eastAsia="zh-CN"/>
        </w:rPr>
        <w:t>渑池竞磋采购-2026-56</w:t>
      </w:r>
      <w:r>
        <w:rPr>
          <w:rFonts w:hint="eastAsia" w:ascii="宋体" w:hAnsi="宋体" w:eastAsia="宋体" w:cs="宋体"/>
          <w:b/>
          <w:bCs/>
          <w:sz w:val="28"/>
          <w:szCs w:val="32"/>
          <w:highlight w:val="none"/>
        </w:rPr>
        <w:t xml:space="preserve"> </w:t>
      </w:r>
    </w:p>
    <w:p w14:paraId="0319E16E">
      <w:pPr>
        <w:ind w:firstLine="435"/>
        <w:jc w:val="center"/>
        <w:rPr>
          <w:highlight w:val="none"/>
        </w:rPr>
      </w:pPr>
      <w:r>
        <w:rPr>
          <w:rFonts w:hint="eastAsia" w:ascii="宋体" w:hAnsi="宋体" w:eastAsia="宋体" w:cs="宋体"/>
          <w:b/>
          <w:bCs/>
          <w:sz w:val="28"/>
          <w:szCs w:val="32"/>
          <w:highlight w:val="none"/>
        </w:rPr>
        <w:t xml:space="preserve"> </w:t>
      </w:r>
    </w:p>
    <w:p w14:paraId="12E9D9DC">
      <w:pPr>
        <w:ind w:firstLine="435"/>
        <w:jc w:val="center"/>
        <w:rPr>
          <w:highlight w:val="none"/>
        </w:rPr>
      </w:pPr>
    </w:p>
    <w:p w14:paraId="30577670">
      <w:pPr>
        <w:ind w:firstLine="435"/>
        <w:jc w:val="center"/>
        <w:rPr>
          <w:highlight w:val="none"/>
        </w:rPr>
      </w:pPr>
    </w:p>
    <w:p w14:paraId="266762EF">
      <w:pPr>
        <w:spacing w:line="600" w:lineRule="auto"/>
        <w:rPr>
          <w:rFonts w:cs="宋体"/>
          <w:b/>
          <w:sz w:val="32"/>
          <w:highlight w:val="none"/>
          <w:lang w:bidi="ar"/>
        </w:rPr>
      </w:pPr>
    </w:p>
    <w:p w14:paraId="61BE3F28">
      <w:pPr>
        <w:spacing w:line="600" w:lineRule="auto"/>
        <w:ind w:firstLine="1928" w:firstLineChars="600"/>
        <w:rPr>
          <w:rFonts w:cs="宋体"/>
          <w:b/>
          <w:sz w:val="32"/>
          <w:highlight w:val="none"/>
          <w:lang w:bidi="ar"/>
        </w:rPr>
      </w:pPr>
    </w:p>
    <w:p w14:paraId="5A89D9F1">
      <w:pPr>
        <w:spacing w:line="600" w:lineRule="auto"/>
        <w:ind w:firstLine="1928" w:firstLineChars="600"/>
        <w:rPr>
          <w:rFonts w:cs="宋体"/>
          <w:b/>
          <w:sz w:val="32"/>
          <w:highlight w:val="none"/>
          <w:lang w:bidi="ar"/>
        </w:rPr>
      </w:pPr>
    </w:p>
    <w:p w14:paraId="757AC86A">
      <w:pPr>
        <w:spacing w:line="600" w:lineRule="auto"/>
        <w:ind w:firstLine="1606" w:firstLineChars="500"/>
        <w:rPr>
          <w:rFonts w:hint="eastAsia" w:eastAsiaTheme="minorEastAsia"/>
          <w:b/>
          <w:sz w:val="32"/>
          <w:highlight w:val="none"/>
          <w:lang w:eastAsia="zh-CN"/>
        </w:rPr>
      </w:pPr>
      <w:r>
        <w:rPr>
          <w:rFonts w:hint="eastAsia" w:cs="宋体"/>
          <w:b/>
          <w:sz w:val="32"/>
          <w:highlight w:val="none"/>
          <w:lang w:bidi="ar"/>
        </w:rPr>
        <w:t>采购人：</w:t>
      </w:r>
      <w:r>
        <w:rPr>
          <w:rFonts w:hint="eastAsia" w:cs="宋体"/>
          <w:b/>
          <w:sz w:val="32"/>
          <w:highlight w:val="none"/>
          <w:lang w:eastAsia="zh-CN" w:bidi="ar"/>
        </w:rPr>
        <w:t>渑池县人民医院</w:t>
      </w:r>
    </w:p>
    <w:p w14:paraId="026790DC">
      <w:pPr>
        <w:spacing w:line="600" w:lineRule="auto"/>
        <w:ind w:firstLine="1606" w:firstLineChars="500"/>
        <w:rPr>
          <w:rFonts w:hint="eastAsia" w:eastAsiaTheme="minorEastAsia"/>
          <w:b/>
          <w:sz w:val="32"/>
          <w:highlight w:val="none"/>
          <w:lang w:eastAsia="zh-CN"/>
        </w:rPr>
      </w:pPr>
      <w:r>
        <w:rPr>
          <w:rFonts w:hint="eastAsia" w:cs="宋体"/>
          <w:b/>
          <w:sz w:val="32"/>
          <w:highlight w:val="none"/>
          <w:lang w:bidi="ar"/>
        </w:rPr>
        <w:t>代理机构：</w:t>
      </w:r>
      <w:r>
        <w:rPr>
          <w:rFonts w:hint="eastAsia" w:cs="宋体"/>
          <w:b/>
          <w:sz w:val="32"/>
          <w:highlight w:val="none"/>
          <w:lang w:eastAsia="zh-CN" w:bidi="ar"/>
        </w:rPr>
        <w:t>中赋安工程项目管理(四川)有限公司</w:t>
      </w:r>
    </w:p>
    <w:p w14:paraId="5A2CEF42">
      <w:pPr>
        <w:spacing w:line="600" w:lineRule="auto"/>
        <w:ind w:firstLine="1606" w:firstLineChars="500"/>
        <w:rPr>
          <w:b/>
          <w:sz w:val="32"/>
          <w:highlight w:val="none"/>
        </w:rPr>
      </w:pPr>
      <w:r>
        <w:rPr>
          <w:rFonts w:hint="eastAsia" w:cs="宋体"/>
          <w:b/>
          <w:sz w:val="32"/>
          <w:highlight w:val="none"/>
          <w:lang w:val="en-US" w:eastAsia="zh-CN" w:bidi="ar"/>
        </w:rPr>
        <w:t>日期</w:t>
      </w:r>
      <w:r>
        <w:rPr>
          <w:rFonts w:hint="eastAsia" w:cs="宋体"/>
          <w:b/>
          <w:sz w:val="32"/>
          <w:highlight w:val="none"/>
          <w:lang w:bidi="ar"/>
        </w:rPr>
        <w:t>：二〇二</w:t>
      </w:r>
      <w:r>
        <w:rPr>
          <w:rFonts w:hint="eastAsia" w:cs="宋体"/>
          <w:b/>
          <w:sz w:val="32"/>
          <w:highlight w:val="none"/>
          <w:lang w:val="en-US" w:eastAsia="zh-CN" w:bidi="ar"/>
        </w:rPr>
        <w:t>六</w:t>
      </w:r>
      <w:r>
        <w:rPr>
          <w:rFonts w:hint="eastAsia" w:cs="宋体"/>
          <w:b/>
          <w:sz w:val="32"/>
          <w:highlight w:val="none"/>
          <w:lang w:bidi="ar"/>
        </w:rPr>
        <w:t>年</w:t>
      </w:r>
      <w:r>
        <w:rPr>
          <w:rFonts w:hint="eastAsia" w:cs="宋体"/>
          <w:b/>
          <w:sz w:val="32"/>
          <w:highlight w:val="none"/>
          <w:lang w:val="en-US" w:eastAsia="zh-CN" w:bidi="ar"/>
        </w:rPr>
        <w:t>六</w:t>
      </w:r>
      <w:r>
        <w:rPr>
          <w:rFonts w:hint="eastAsia" w:cs="宋体"/>
          <w:b/>
          <w:sz w:val="32"/>
          <w:highlight w:val="none"/>
          <w:lang w:bidi="ar"/>
        </w:rPr>
        <w:t>月</w:t>
      </w:r>
    </w:p>
    <w:p w14:paraId="08E39EAF">
      <w:pPr>
        <w:spacing w:line="480" w:lineRule="auto"/>
        <w:rPr>
          <w:rFonts w:ascii="宋体"/>
          <w:spacing w:val="60"/>
          <w:sz w:val="36"/>
          <w:szCs w:val="36"/>
          <w:highlight w:val="none"/>
          <w:lang w:bidi="ar"/>
        </w:rPr>
        <w:sectPr>
          <w:headerReference r:id="rId4" w:type="first"/>
          <w:headerReference r:id="rId3" w:type="default"/>
          <w:pgSz w:w="11906" w:h="16838"/>
          <w:pgMar w:top="1440" w:right="1800" w:bottom="1440" w:left="1800" w:header="851" w:footer="1191" w:gutter="0"/>
          <w:pgNumType w:start="0"/>
          <w:cols w:space="720" w:num="1"/>
          <w:docGrid w:type="lines" w:linePitch="312" w:charSpace="0"/>
        </w:sectPr>
      </w:pPr>
    </w:p>
    <w:p w14:paraId="1F4B52AD">
      <w:pPr>
        <w:spacing w:line="360" w:lineRule="auto"/>
        <w:ind w:firstLine="73"/>
        <w:jc w:val="center"/>
        <w:rPr>
          <w:rFonts w:hint="eastAsia" w:ascii="宋体" w:hAnsi="宋体" w:cs="宋体"/>
          <w:b/>
          <w:bCs/>
          <w:sz w:val="36"/>
          <w:szCs w:val="36"/>
          <w:highlight w:val="none"/>
        </w:rPr>
      </w:pPr>
      <w:r>
        <w:rPr>
          <w:rFonts w:hint="eastAsia" w:ascii="宋体" w:hAnsi="宋体" w:cs="宋体"/>
          <w:b/>
          <w:bCs/>
          <w:sz w:val="36"/>
          <w:szCs w:val="36"/>
          <w:highlight w:val="none"/>
        </w:rPr>
        <w:t>目  录</w:t>
      </w:r>
    </w:p>
    <w:sdt>
      <w:sdtPr>
        <w:rPr>
          <w:rFonts w:ascii="宋体" w:hAnsi="宋体" w:eastAsia="宋体" w:cstheme="minorBidi"/>
          <w:kern w:val="2"/>
          <w:sz w:val="21"/>
          <w:szCs w:val="22"/>
          <w:highlight w:val="none"/>
          <w:lang w:val="en-US" w:eastAsia="zh-CN" w:bidi="ar-SA"/>
        </w:rPr>
        <w:id w:val="147467391"/>
        <w15:color w:val="DBDBDB"/>
        <w:docPartObj>
          <w:docPartGallery w:val="Table of Contents"/>
          <w:docPartUnique/>
        </w:docPartObj>
      </w:sdtPr>
      <w:sdtEndPr>
        <w:rPr>
          <w:rFonts w:asciiTheme="minorHAnsi" w:hAnsiTheme="minorHAnsi" w:eastAsiaTheme="minorEastAsia" w:cstheme="minorBidi"/>
          <w:kern w:val="2"/>
          <w:sz w:val="21"/>
          <w:szCs w:val="22"/>
          <w:highlight w:val="none"/>
          <w:lang w:val="en-US" w:eastAsia="zh-CN" w:bidi="ar-SA"/>
        </w:rPr>
      </w:sdtEndPr>
      <w:sdtContent>
        <w:p w14:paraId="0A5DDC59">
          <w:pPr>
            <w:spacing w:before="0" w:beforeLines="0" w:after="0" w:afterLines="0" w:line="240" w:lineRule="auto"/>
            <w:ind w:left="0" w:leftChars="0" w:right="0" w:rightChars="0" w:firstLine="0" w:firstLineChars="0"/>
            <w:jc w:val="center"/>
            <w:rPr>
              <w:highlight w:val="none"/>
            </w:rPr>
          </w:pPr>
        </w:p>
        <w:p w14:paraId="174D1FF8">
          <w:pPr>
            <w:pStyle w:val="6"/>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left="0" w:leftChars="0"/>
            <w:textAlignment w:val="auto"/>
            <w:rPr>
              <w:rFonts w:hint="eastAsia" w:asciiTheme="minorEastAsia" w:hAnsiTheme="minorEastAsia" w:eastAsiaTheme="minorEastAsia" w:cstheme="minorEastAsia"/>
              <w:sz w:val="28"/>
              <w:szCs w:val="32"/>
              <w:highlight w:val="none"/>
            </w:rPr>
          </w:pPr>
          <w:r>
            <w:rPr>
              <w:highlight w:val="none"/>
            </w:rPr>
            <w:fldChar w:fldCharType="begin"/>
          </w:r>
          <w:r>
            <w:rPr>
              <w:highlight w:val="none"/>
            </w:rPr>
            <w:instrText xml:space="preserve">TOC \o "1-3" \h \u </w:instrText>
          </w:r>
          <w:r>
            <w:rPr>
              <w:highlight w:val="none"/>
            </w:rPr>
            <w:fldChar w:fldCharType="separate"/>
          </w:r>
          <w:r>
            <w:rPr>
              <w:rFonts w:hint="eastAsia" w:asciiTheme="minorEastAsia" w:hAnsiTheme="minorEastAsia" w:eastAsiaTheme="minorEastAsia" w:cstheme="minorEastAsia"/>
              <w:sz w:val="28"/>
              <w:szCs w:val="32"/>
              <w:highlight w:val="none"/>
            </w:rPr>
            <w:fldChar w:fldCharType="begin"/>
          </w:r>
          <w:r>
            <w:rPr>
              <w:rFonts w:hint="eastAsia" w:asciiTheme="minorEastAsia" w:hAnsiTheme="minorEastAsia" w:eastAsiaTheme="minorEastAsia" w:cstheme="minorEastAsia"/>
              <w:sz w:val="28"/>
              <w:szCs w:val="32"/>
              <w:highlight w:val="none"/>
            </w:rPr>
            <w:instrText xml:space="preserve"> HYPERLINK \l _Toc1060 </w:instrText>
          </w:r>
          <w:r>
            <w:rPr>
              <w:rFonts w:hint="eastAsia" w:asciiTheme="minorEastAsia" w:hAnsiTheme="minorEastAsia" w:eastAsiaTheme="minorEastAsia" w:cstheme="minorEastAsia"/>
              <w:sz w:val="28"/>
              <w:szCs w:val="32"/>
              <w:highlight w:val="none"/>
            </w:rPr>
            <w:fldChar w:fldCharType="separate"/>
          </w:r>
          <w:r>
            <w:rPr>
              <w:rFonts w:hint="eastAsia" w:asciiTheme="minorEastAsia" w:hAnsiTheme="minorEastAsia" w:eastAsiaTheme="minorEastAsia" w:cstheme="minorEastAsia"/>
              <w:sz w:val="28"/>
              <w:szCs w:val="32"/>
              <w:highlight w:val="none"/>
            </w:rPr>
            <w:t>第一章  竞争性磋商公告</w:t>
          </w:r>
          <w:r>
            <w:rPr>
              <w:rFonts w:hint="eastAsia" w:asciiTheme="minorEastAsia" w:hAnsiTheme="minorEastAsia" w:eastAsiaTheme="minorEastAsia" w:cstheme="minorEastAsia"/>
              <w:sz w:val="28"/>
              <w:szCs w:val="32"/>
              <w:highlight w:val="none"/>
            </w:rPr>
            <w:tab/>
          </w:r>
          <w:r>
            <w:rPr>
              <w:rFonts w:hint="eastAsia" w:asciiTheme="minorEastAsia" w:hAnsiTheme="minorEastAsia" w:eastAsiaTheme="minorEastAsia" w:cstheme="minorEastAsia"/>
              <w:sz w:val="28"/>
              <w:szCs w:val="32"/>
              <w:highlight w:val="none"/>
            </w:rPr>
            <w:fldChar w:fldCharType="begin"/>
          </w:r>
          <w:r>
            <w:rPr>
              <w:rFonts w:hint="eastAsia" w:asciiTheme="minorEastAsia" w:hAnsiTheme="minorEastAsia" w:eastAsiaTheme="minorEastAsia" w:cstheme="minorEastAsia"/>
              <w:sz w:val="28"/>
              <w:szCs w:val="32"/>
              <w:highlight w:val="none"/>
            </w:rPr>
            <w:instrText xml:space="preserve"> PAGEREF _Toc1060 \h </w:instrText>
          </w:r>
          <w:r>
            <w:rPr>
              <w:rFonts w:hint="eastAsia" w:asciiTheme="minorEastAsia" w:hAnsiTheme="minorEastAsia" w:eastAsiaTheme="minorEastAsia" w:cstheme="minorEastAsia"/>
              <w:sz w:val="28"/>
              <w:szCs w:val="32"/>
              <w:highlight w:val="none"/>
            </w:rPr>
            <w:fldChar w:fldCharType="separate"/>
          </w:r>
          <w:r>
            <w:rPr>
              <w:rFonts w:hint="eastAsia" w:asciiTheme="minorEastAsia" w:hAnsiTheme="minorEastAsia" w:eastAsiaTheme="minorEastAsia" w:cstheme="minorEastAsia"/>
              <w:sz w:val="28"/>
              <w:szCs w:val="32"/>
              <w:highlight w:val="none"/>
            </w:rPr>
            <w:t>1</w:t>
          </w:r>
          <w:r>
            <w:rPr>
              <w:rFonts w:hint="eastAsia" w:asciiTheme="minorEastAsia" w:hAnsiTheme="minorEastAsia" w:eastAsiaTheme="minorEastAsia" w:cstheme="minorEastAsia"/>
              <w:sz w:val="28"/>
              <w:szCs w:val="32"/>
              <w:highlight w:val="none"/>
            </w:rPr>
            <w:fldChar w:fldCharType="end"/>
          </w:r>
          <w:r>
            <w:rPr>
              <w:rFonts w:hint="eastAsia" w:asciiTheme="minorEastAsia" w:hAnsiTheme="minorEastAsia" w:eastAsiaTheme="minorEastAsia" w:cstheme="minorEastAsia"/>
              <w:sz w:val="28"/>
              <w:szCs w:val="32"/>
              <w:highlight w:val="none"/>
            </w:rPr>
            <w:fldChar w:fldCharType="end"/>
          </w:r>
        </w:p>
        <w:p w14:paraId="0A3A1B17">
          <w:pPr>
            <w:pStyle w:val="6"/>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left="0" w:leftChars="0"/>
            <w:textAlignment w:val="auto"/>
            <w:rPr>
              <w:rFonts w:hint="eastAsia" w:asciiTheme="minorEastAsia" w:hAnsiTheme="minorEastAsia" w:eastAsiaTheme="minorEastAsia" w:cstheme="minorEastAsia"/>
              <w:sz w:val="28"/>
              <w:szCs w:val="32"/>
              <w:highlight w:val="none"/>
            </w:rPr>
          </w:pPr>
          <w:r>
            <w:rPr>
              <w:rFonts w:hint="eastAsia" w:asciiTheme="minorEastAsia" w:hAnsiTheme="minorEastAsia" w:eastAsiaTheme="minorEastAsia" w:cstheme="minorEastAsia"/>
              <w:sz w:val="28"/>
              <w:szCs w:val="32"/>
              <w:highlight w:val="none"/>
            </w:rPr>
            <w:fldChar w:fldCharType="begin"/>
          </w:r>
          <w:r>
            <w:rPr>
              <w:rFonts w:hint="eastAsia" w:asciiTheme="minorEastAsia" w:hAnsiTheme="minorEastAsia" w:eastAsiaTheme="minorEastAsia" w:cstheme="minorEastAsia"/>
              <w:sz w:val="28"/>
              <w:szCs w:val="32"/>
              <w:highlight w:val="none"/>
            </w:rPr>
            <w:instrText xml:space="preserve"> HYPERLINK \l _Toc20926 </w:instrText>
          </w:r>
          <w:r>
            <w:rPr>
              <w:rFonts w:hint="eastAsia" w:asciiTheme="minorEastAsia" w:hAnsiTheme="minorEastAsia" w:eastAsiaTheme="minorEastAsia" w:cstheme="minorEastAsia"/>
              <w:sz w:val="28"/>
              <w:szCs w:val="32"/>
              <w:highlight w:val="none"/>
            </w:rPr>
            <w:fldChar w:fldCharType="separate"/>
          </w:r>
          <w:r>
            <w:rPr>
              <w:rFonts w:hint="eastAsia" w:asciiTheme="minorEastAsia" w:hAnsiTheme="minorEastAsia" w:eastAsiaTheme="minorEastAsia" w:cstheme="minorEastAsia"/>
              <w:sz w:val="28"/>
              <w:szCs w:val="32"/>
              <w:highlight w:val="none"/>
            </w:rPr>
            <w:t>第二章  供应商须知</w:t>
          </w:r>
          <w:r>
            <w:rPr>
              <w:rFonts w:hint="eastAsia" w:asciiTheme="minorEastAsia" w:hAnsiTheme="minorEastAsia" w:eastAsiaTheme="minorEastAsia" w:cstheme="minorEastAsia"/>
              <w:sz w:val="28"/>
              <w:szCs w:val="32"/>
              <w:highlight w:val="none"/>
            </w:rPr>
            <w:tab/>
          </w:r>
          <w:r>
            <w:rPr>
              <w:rFonts w:hint="eastAsia" w:asciiTheme="minorEastAsia" w:hAnsiTheme="minorEastAsia" w:eastAsiaTheme="minorEastAsia" w:cstheme="minorEastAsia"/>
              <w:sz w:val="28"/>
              <w:szCs w:val="32"/>
              <w:highlight w:val="none"/>
            </w:rPr>
            <w:fldChar w:fldCharType="begin"/>
          </w:r>
          <w:r>
            <w:rPr>
              <w:rFonts w:hint="eastAsia" w:asciiTheme="minorEastAsia" w:hAnsiTheme="minorEastAsia" w:eastAsiaTheme="minorEastAsia" w:cstheme="minorEastAsia"/>
              <w:sz w:val="28"/>
              <w:szCs w:val="32"/>
              <w:highlight w:val="none"/>
            </w:rPr>
            <w:instrText xml:space="preserve"> PAGEREF _Toc20926 \h </w:instrText>
          </w:r>
          <w:r>
            <w:rPr>
              <w:rFonts w:hint="eastAsia" w:asciiTheme="minorEastAsia" w:hAnsiTheme="minorEastAsia" w:eastAsiaTheme="minorEastAsia" w:cstheme="minorEastAsia"/>
              <w:sz w:val="28"/>
              <w:szCs w:val="32"/>
              <w:highlight w:val="none"/>
            </w:rPr>
            <w:fldChar w:fldCharType="separate"/>
          </w:r>
          <w:r>
            <w:rPr>
              <w:rFonts w:hint="eastAsia" w:asciiTheme="minorEastAsia" w:hAnsiTheme="minorEastAsia" w:eastAsiaTheme="minorEastAsia" w:cstheme="minorEastAsia"/>
              <w:sz w:val="28"/>
              <w:szCs w:val="32"/>
              <w:highlight w:val="none"/>
            </w:rPr>
            <w:t>5</w:t>
          </w:r>
          <w:r>
            <w:rPr>
              <w:rFonts w:hint="eastAsia" w:asciiTheme="minorEastAsia" w:hAnsiTheme="minorEastAsia" w:eastAsiaTheme="minorEastAsia" w:cstheme="minorEastAsia"/>
              <w:sz w:val="28"/>
              <w:szCs w:val="32"/>
              <w:highlight w:val="none"/>
            </w:rPr>
            <w:fldChar w:fldCharType="end"/>
          </w:r>
          <w:r>
            <w:rPr>
              <w:rFonts w:hint="eastAsia" w:asciiTheme="minorEastAsia" w:hAnsiTheme="minorEastAsia" w:eastAsiaTheme="minorEastAsia" w:cstheme="minorEastAsia"/>
              <w:sz w:val="28"/>
              <w:szCs w:val="32"/>
              <w:highlight w:val="none"/>
            </w:rPr>
            <w:fldChar w:fldCharType="end"/>
          </w:r>
        </w:p>
        <w:p w14:paraId="3BCA56DA">
          <w:pPr>
            <w:pStyle w:val="6"/>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left="0" w:leftChars="0"/>
            <w:textAlignment w:val="auto"/>
            <w:rPr>
              <w:rFonts w:hint="eastAsia" w:asciiTheme="minorEastAsia" w:hAnsiTheme="minorEastAsia" w:eastAsiaTheme="minorEastAsia" w:cstheme="minorEastAsia"/>
              <w:sz w:val="28"/>
              <w:szCs w:val="32"/>
              <w:highlight w:val="none"/>
            </w:rPr>
          </w:pPr>
          <w:r>
            <w:rPr>
              <w:rFonts w:hint="eastAsia" w:asciiTheme="minorEastAsia" w:hAnsiTheme="minorEastAsia" w:eastAsiaTheme="minorEastAsia" w:cstheme="minorEastAsia"/>
              <w:sz w:val="28"/>
              <w:szCs w:val="32"/>
              <w:highlight w:val="none"/>
            </w:rPr>
            <w:fldChar w:fldCharType="begin"/>
          </w:r>
          <w:r>
            <w:rPr>
              <w:rFonts w:hint="eastAsia" w:asciiTheme="minorEastAsia" w:hAnsiTheme="minorEastAsia" w:eastAsiaTheme="minorEastAsia" w:cstheme="minorEastAsia"/>
              <w:sz w:val="28"/>
              <w:szCs w:val="32"/>
              <w:highlight w:val="none"/>
            </w:rPr>
            <w:instrText xml:space="preserve"> HYPERLINK \l _Toc21295 </w:instrText>
          </w:r>
          <w:r>
            <w:rPr>
              <w:rFonts w:hint="eastAsia" w:asciiTheme="minorEastAsia" w:hAnsiTheme="minorEastAsia" w:eastAsiaTheme="minorEastAsia" w:cstheme="minorEastAsia"/>
              <w:sz w:val="28"/>
              <w:szCs w:val="32"/>
              <w:highlight w:val="none"/>
            </w:rPr>
            <w:fldChar w:fldCharType="separate"/>
          </w:r>
          <w:r>
            <w:rPr>
              <w:rFonts w:hint="eastAsia" w:asciiTheme="minorEastAsia" w:hAnsiTheme="minorEastAsia" w:eastAsiaTheme="minorEastAsia" w:cstheme="minorEastAsia"/>
              <w:sz w:val="28"/>
              <w:szCs w:val="32"/>
              <w:highlight w:val="none"/>
            </w:rPr>
            <w:t>第三章  评标办法（综合评估法）</w:t>
          </w:r>
          <w:r>
            <w:rPr>
              <w:rFonts w:hint="eastAsia" w:asciiTheme="minorEastAsia" w:hAnsiTheme="minorEastAsia" w:eastAsiaTheme="minorEastAsia" w:cstheme="minorEastAsia"/>
              <w:sz w:val="28"/>
              <w:szCs w:val="32"/>
              <w:highlight w:val="none"/>
            </w:rPr>
            <w:tab/>
          </w:r>
          <w:r>
            <w:rPr>
              <w:rFonts w:hint="eastAsia" w:asciiTheme="minorEastAsia" w:hAnsiTheme="minorEastAsia" w:eastAsiaTheme="minorEastAsia" w:cstheme="minorEastAsia"/>
              <w:sz w:val="28"/>
              <w:szCs w:val="32"/>
              <w:highlight w:val="none"/>
            </w:rPr>
            <w:fldChar w:fldCharType="begin"/>
          </w:r>
          <w:r>
            <w:rPr>
              <w:rFonts w:hint="eastAsia" w:asciiTheme="minorEastAsia" w:hAnsiTheme="minorEastAsia" w:eastAsiaTheme="minorEastAsia" w:cstheme="minorEastAsia"/>
              <w:sz w:val="28"/>
              <w:szCs w:val="32"/>
              <w:highlight w:val="none"/>
            </w:rPr>
            <w:instrText xml:space="preserve"> PAGEREF _Toc21295 \h </w:instrText>
          </w:r>
          <w:r>
            <w:rPr>
              <w:rFonts w:hint="eastAsia" w:asciiTheme="minorEastAsia" w:hAnsiTheme="minorEastAsia" w:eastAsiaTheme="minorEastAsia" w:cstheme="minorEastAsia"/>
              <w:sz w:val="28"/>
              <w:szCs w:val="32"/>
              <w:highlight w:val="none"/>
            </w:rPr>
            <w:fldChar w:fldCharType="separate"/>
          </w:r>
          <w:r>
            <w:rPr>
              <w:rFonts w:hint="eastAsia" w:asciiTheme="minorEastAsia" w:hAnsiTheme="minorEastAsia" w:eastAsiaTheme="minorEastAsia" w:cstheme="minorEastAsia"/>
              <w:sz w:val="28"/>
              <w:szCs w:val="32"/>
              <w:highlight w:val="none"/>
            </w:rPr>
            <w:t>20</w:t>
          </w:r>
          <w:r>
            <w:rPr>
              <w:rFonts w:hint="eastAsia" w:asciiTheme="minorEastAsia" w:hAnsiTheme="minorEastAsia" w:eastAsiaTheme="minorEastAsia" w:cstheme="minorEastAsia"/>
              <w:sz w:val="28"/>
              <w:szCs w:val="32"/>
              <w:highlight w:val="none"/>
            </w:rPr>
            <w:fldChar w:fldCharType="end"/>
          </w:r>
          <w:r>
            <w:rPr>
              <w:rFonts w:hint="eastAsia" w:asciiTheme="minorEastAsia" w:hAnsiTheme="minorEastAsia" w:eastAsiaTheme="minorEastAsia" w:cstheme="minorEastAsia"/>
              <w:sz w:val="28"/>
              <w:szCs w:val="32"/>
              <w:highlight w:val="none"/>
            </w:rPr>
            <w:fldChar w:fldCharType="end"/>
          </w:r>
        </w:p>
        <w:p w14:paraId="66FE026E">
          <w:pPr>
            <w:pStyle w:val="6"/>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left="0" w:leftChars="0"/>
            <w:textAlignment w:val="auto"/>
            <w:rPr>
              <w:rFonts w:hint="eastAsia" w:asciiTheme="minorEastAsia" w:hAnsiTheme="minorEastAsia" w:eastAsiaTheme="minorEastAsia" w:cstheme="minorEastAsia"/>
              <w:sz w:val="28"/>
              <w:szCs w:val="32"/>
              <w:highlight w:val="none"/>
            </w:rPr>
          </w:pPr>
          <w:r>
            <w:rPr>
              <w:rFonts w:hint="eastAsia" w:asciiTheme="minorEastAsia" w:hAnsiTheme="minorEastAsia" w:eastAsiaTheme="minorEastAsia" w:cstheme="minorEastAsia"/>
              <w:sz w:val="28"/>
              <w:szCs w:val="32"/>
              <w:highlight w:val="none"/>
            </w:rPr>
            <w:fldChar w:fldCharType="begin"/>
          </w:r>
          <w:r>
            <w:rPr>
              <w:rFonts w:hint="eastAsia" w:asciiTheme="minorEastAsia" w:hAnsiTheme="minorEastAsia" w:eastAsiaTheme="minorEastAsia" w:cstheme="minorEastAsia"/>
              <w:sz w:val="28"/>
              <w:szCs w:val="32"/>
              <w:highlight w:val="none"/>
            </w:rPr>
            <w:instrText xml:space="preserve"> HYPERLINK \l _Toc9767 </w:instrText>
          </w:r>
          <w:r>
            <w:rPr>
              <w:rFonts w:hint="eastAsia" w:asciiTheme="minorEastAsia" w:hAnsiTheme="minorEastAsia" w:eastAsiaTheme="minorEastAsia" w:cstheme="minorEastAsia"/>
              <w:sz w:val="28"/>
              <w:szCs w:val="32"/>
              <w:highlight w:val="none"/>
            </w:rPr>
            <w:fldChar w:fldCharType="separate"/>
          </w:r>
          <w:r>
            <w:rPr>
              <w:rFonts w:hint="eastAsia" w:asciiTheme="minorEastAsia" w:hAnsiTheme="minorEastAsia" w:eastAsiaTheme="minorEastAsia" w:cstheme="minorEastAsia"/>
              <w:sz w:val="28"/>
              <w:szCs w:val="32"/>
              <w:highlight w:val="none"/>
            </w:rPr>
            <w:t>第四章  合同主要条款及格式</w:t>
          </w:r>
          <w:r>
            <w:rPr>
              <w:rFonts w:hint="eastAsia" w:asciiTheme="minorEastAsia" w:hAnsiTheme="minorEastAsia" w:eastAsiaTheme="minorEastAsia" w:cstheme="minorEastAsia"/>
              <w:sz w:val="28"/>
              <w:szCs w:val="32"/>
              <w:highlight w:val="none"/>
            </w:rPr>
            <w:tab/>
          </w:r>
          <w:r>
            <w:rPr>
              <w:rFonts w:hint="eastAsia" w:asciiTheme="minorEastAsia" w:hAnsiTheme="minorEastAsia" w:eastAsiaTheme="minorEastAsia" w:cstheme="minorEastAsia"/>
              <w:sz w:val="28"/>
              <w:szCs w:val="32"/>
              <w:highlight w:val="none"/>
            </w:rPr>
            <w:fldChar w:fldCharType="begin"/>
          </w:r>
          <w:r>
            <w:rPr>
              <w:rFonts w:hint="eastAsia" w:asciiTheme="minorEastAsia" w:hAnsiTheme="minorEastAsia" w:eastAsiaTheme="minorEastAsia" w:cstheme="minorEastAsia"/>
              <w:sz w:val="28"/>
              <w:szCs w:val="32"/>
              <w:highlight w:val="none"/>
            </w:rPr>
            <w:instrText xml:space="preserve"> PAGEREF _Toc9767 \h </w:instrText>
          </w:r>
          <w:r>
            <w:rPr>
              <w:rFonts w:hint="eastAsia" w:asciiTheme="minorEastAsia" w:hAnsiTheme="minorEastAsia" w:eastAsiaTheme="minorEastAsia" w:cstheme="minorEastAsia"/>
              <w:sz w:val="28"/>
              <w:szCs w:val="32"/>
              <w:highlight w:val="none"/>
            </w:rPr>
            <w:fldChar w:fldCharType="separate"/>
          </w:r>
          <w:r>
            <w:rPr>
              <w:rFonts w:hint="eastAsia" w:asciiTheme="minorEastAsia" w:hAnsiTheme="minorEastAsia" w:eastAsiaTheme="minorEastAsia" w:cstheme="minorEastAsia"/>
              <w:sz w:val="28"/>
              <w:szCs w:val="32"/>
              <w:highlight w:val="none"/>
            </w:rPr>
            <w:t>29</w:t>
          </w:r>
          <w:r>
            <w:rPr>
              <w:rFonts w:hint="eastAsia" w:asciiTheme="minorEastAsia" w:hAnsiTheme="minorEastAsia" w:eastAsiaTheme="minorEastAsia" w:cstheme="minorEastAsia"/>
              <w:sz w:val="28"/>
              <w:szCs w:val="32"/>
              <w:highlight w:val="none"/>
            </w:rPr>
            <w:fldChar w:fldCharType="end"/>
          </w:r>
          <w:r>
            <w:rPr>
              <w:rFonts w:hint="eastAsia" w:asciiTheme="minorEastAsia" w:hAnsiTheme="minorEastAsia" w:eastAsiaTheme="minorEastAsia" w:cstheme="minorEastAsia"/>
              <w:sz w:val="28"/>
              <w:szCs w:val="32"/>
              <w:highlight w:val="none"/>
            </w:rPr>
            <w:fldChar w:fldCharType="end"/>
          </w:r>
        </w:p>
        <w:p w14:paraId="7B3791E7">
          <w:pPr>
            <w:pStyle w:val="6"/>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left="0" w:leftChars="0"/>
            <w:textAlignment w:val="auto"/>
            <w:rPr>
              <w:rFonts w:hint="eastAsia" w:asciiTheme="minorEastAsia" w:hAnsiTheme="minorEastAsia" w:eastAsiaTheme="minorEastAsia" w:cstheme="minorEastAsia"/>
              <w:sz w:val="28"/>
              <w:szCs w:val="32"/>
              <w:highlight w:val="none"/>
            </w:rPr>
          </w:pPr>
          <w:r>
            <w:rPr>
              <w:rFonts w:hint="eastAsia" w:asciiTheme="minorEastAsia" w:hAnsiTheme="minorEastAsia" w:eastAsiaTheme="minorEastAsia" w:cstheme="minorEastAsia"/>
              <w:sz w:val="28"/>
              <w:szCs w:val="32"/>
              <w:highlight w:val="none"/>
            </w:rPr>
            <w:fldChar w:fldCharType="begin"/>
          </w:r>
          <w:r>
            <w:rPr>
              <w:rFonts w:hint="eastAsia" w:asciiTheme="minorEastAsia" w:hAnsiTheme="minorEastAsia" w:eastAsiaTheme="minorEastAsia" w:cstheme="minorEastAsia"/>
              <w:sz w:val="28"/>
              <w:szCs w:val="32"/>
              <w:highlight w:val="none"/>
            </w:rPr>
            <w:instrText xml:space="preserve"> HYPERLINK \l _Toc28413 </w:instrText>
          </w:r>
          <w:r>
            <w:rPr>
              <w:rFonts w:hint="eastAsia" w:asciiTheme="minorEastAsia" w:hAnsiTheme="minorEastAsia" w:eastAsiaTheme="minorEastAsia" w:cstheme="minorEastAsia"/>
              <w:sz w:val="28"/>
              <w:szCs w:val="32"/>
              <w:highlight w:val="none"/>
            </w:rPr>
            <w:fldChar w:fldCharType="separate"/>
          </w:r>
          <w:r>
            <w:rPr>
              <w:rFonts w:hint="eastAsia" w:asciiTheme="minorEastAsia" w:hAnsiTheme="minorEastAsia" w:eastAsiaTheme="minorEastAsia" w:cstheme="minorEastAsia"/>
              <w:bCs/>
              <w:kern w:val="2"/>
              <w:sz w:val="28"/>
              <w:szCs w:val="44"/>
              <w:highlight w:val="none"/>
              <w:lang w:val="en-US" w:eastAsia="zh-CN" w:bidi="ar-SA"/>
            </w:rPr>
            <w:t xml:space="preserve">第五章  </w:t>
          </w:r>
          <w:r>
            <w:rPr>
              <w:rFonts w:hint="eastAsia" w:asciiTheme="minorEastAsia" w:hAnsiTheme="minorEastAsia" w:cstheme="minorEastAsia"/>
              <w:sz w:val="28"/>
              <w:szCs w:val="32"/>
              <w:highlight w:val="none"/>
              <w:lang w:eastAsia="zh-CN"/>
            </w:rPr>
            <w:t>服务需求</w:t>
          </w:r>
          <w:r>
            <w:rPr>
              <w:rFonts w:hint="eastAsia" w:asciiTheme="minorEastAsia" w:hAnsiTheme="minorEastAsia" w:eastAsiaTheme="minorEastAsia" w:cstheme="minorEastAsia"/>
              <w:sz w:val="28"/>
              <w:szCs w:val="32"/>
              <w:highlight w:val="none"/>
            </w:rPr>
            <w:tab/>
          </w:r>
          <w:r>
            <w:rPr>
              <w:rFonts w:hint="eastAsia" w:asciiTheme="minorEastAsia" w:hAnsiTheme="minorEastAsia" w:eastAsiaTheme="minorEastAsia" w:cstheme="minorEastAsia"/>
              <w:sz w:val="28"/>
              <w:szCs w:val="32"/>
              <w:highlight w:val="none"/>
            </w:rPr>
            <w:fldChar w:fldCharType="begin"/>
          </w:r>
          <w:r>
            <w:rPr>
              <w:rFonts w:hint="eastAsia" w:asciiTheme="minorEastAsia" w:hAnsiTheme="minorEastAsia" w:eastAsiaTheme="minorEastAsia" w:cstheme="minorEastAsia"/>
              <w:sz w:val="28"/>
              <w:szCs w:val="32"/>
              <w:highlight w:val="none"/>
            </w:rPr>
            <w:instrText xml:space="preserve"> PAGEREF _Toc28413 \h </w:instrText>
          </w:r>
          <w:r>
            <w:rPr>
              <w:rFonts w:hint="eastAsia" w:asciiTheme="minorEastAsia" w:hAnsiTheme="minorEastAsia" w:eastAsiaTheme="minorEastAsia" w:cstheme="minorEastAsia"/>
              <w:sz w:val="28"/>
              <w:szCs w:val="32"/>
              <w:highlight w:val="none"/>
            </w:rPr>
            <w:fldChar w:fldCharType="separate"/>
          </w:r>
          <w:r>
            <w:rPr>
              <w:rFonts w:hint="eastAsia" w:asciiTheme="minorEastAsia" w:hAnsiTheme="minorEastAsia" w:eastAsiaTheme="minorEastAsia" w:cstheme="minorEastAsia"/>
              <w:sz w:val="28"/>
              <w:szCs w:val="32"/>
              <w:highlight w:val="none"/>
            </w:rPr>
            <w:t>32</w:t>
          </w:r>
          <w:r>
            <w:rPr>
              <w:rFonts w:hint="eastAsia" w:asciiTheme="minorEastAsia" w:hAnsiTheme="minorEastAsia" w:eastAsiaTheme="minorEastAsia" w:cstheme="minorEastAsia"/>
              <w:sz w:val="28"/>
              <w:szCs w:val="32"/>
              <w:highlight w:val="none"/>
            </w:rPr>
            <w:fldChar w:fldCharType="end"/>
          </w:r>
          <w:r>
            <w:rPr>
              <w:rFonts w:hint="eastAsia" w:asciiTheme="minorEastAsia" w:hAnsiTheme="minorEastAsia" w:eastAsiaTheme="minorEastAsia" w:cstheme="minorEastAsia"/>
              <w:sz w:val="28"/>
              <w:szCs w:val="32"/>
              <w:highlight w:val="none"/>
            </w:rPr>
            <w:fldChar w:fldCharType="end"/>
          </w:r>
        </w:p>
        <w:p w14:paraId="3DCD45BA">
          <w:pPr>
            <w:pStyle w:val="6"/>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left="0" w:leftChars="0"/>
            <w:textAlignment w:val="auto"/>
            <w:rPr>
              <w:highlight w:val="none"/>
            </w:rPr>
          </w:pPr>
          <w:r>
            <w:rPr>
              <w:rFonts w:hint="eastAsia" w:asciiTheme="minorEastAsia" w:hAnsiTheme="minorEastAsia" w:eastAsiaTheme="minorEastAsia" w:cstheme="minorEastAsia"/>
              <w:sz w:val="28"/>
              <w:szCs w:val="32"/>
              <w:highlight w:val="none"/>
            </w:rPr>
            <w:fldChar w:fldCharType="begin"/>
          </w:r>
          <w:r>
            <w:rPr>
              <w:rFonts w:hint="eastAsia" w:asciiTheme="minorEastAsia" w:hAnsiTheme="minorEastAsia" w:eastAsiaTheme="minorEastAsia" w:cstheme="minorEastAsia"/>
              <w:sz w:val="28"/>
              <w:szCs w:val="32"/>
              <w:highlight w:val="none"/>
            </w:rPr>
            <w:instrText xml:space="preserve"> HYPERLINK \l _Toc9749 </w:instrText>
          </w:r>
          <w:r>
            <w:rPr>
              <w:rFonts w:hint="eastAsia" w:asciiTheme="minorEastAsia" w:hAnsiTheme="minorEastAsia" w:eastAsiaTheme="minorEastAsia" w:cstheme="minorEastAsia"/>
              <w:sz w:val="28"/>
              <w:szCs w:val="32"/>
              <w:highlight w:val="none"/>
            </w:rPr>
            <w:fldChar w:fldCharType="separate"/>
          </w:r>
          <w:r>
            <w:rPr>
              <w:rFonts w:hint="eastAsia" w:asciiTheme="minorEastAsia" w:hAnsiTheme="minorEastAsia" w:eastAsiaTheme="minorEastAsia" w:cstheme="minorEastAsia"/>
              <w:sz w:val="28"/>
              <w:szCs w:val="32"/>
              <w:highlight w:val="none"/>
            </w:rPr>
            <w:t>第六章  响应性文件格式</w:t>
          </w:r>
          <w:r>
            <w:rPr>
              <w:rFonts w:hint="eastAsia" w:asciiTheme="minorEastAsia" w:hAnsiTheme="minorEastAsia" w:eastAsiaTheme="minorEastAsia" w:cstheme="minorEastAsia"/>
              <w:sz w:val="28"/>
              <w:szCs w:val="32"/>
              <w:highlight w:val="none"/>
            </w:rPr>
            <w:tab/>
          </w:r>
          <w:r>
            <w:rPr>
              <w:rFonts w:hint="eastAsia" w:asciiTheme="minorEastAsia" w:hAnsiTheme="minorEastAsia" w:eastAsiaTheme="minorEastAsia" w:cstheme="minorEastAsia"/>
              <w:sz w:val="28"/>
              <w:szCs w:val="32"/>
              <w:highlight w:val="none"/>
            </w:rPr>
            <w:fldChar w:fldCharType="begin"/>
          </w:r>
          <w:r>
            <w:rPr>
              <w:rFonts w:hint="eastAsia" w:asciiTheme="minorEastAsia" w:hAnsiTheme="minorEastAsia" w:eastAsiaTheme="minorEastAsia" w:cstheme="minorEastAsia"/>
              <w:sz w:val="28"/>
              <w:szCs w:val="32"/>
              <w:highlight w:val="none"/>
            </w:rPr>
            <w:instrText xml:space="preserve"> PAGEREF _Toc9749 \h </w:instrText>
          </w:r>
          <w:r>
            <w:rPr>
              <w:rFonts w:hint="eastAsia" w:asciiTheme="minorEastAsia" w:hAnsiTheme="minorEastAsia" w:eastAsiaTheme="minorEastAsia" w:cstheme="minorEastAsia"/>
              <w:sz w:val="28"/>
              <w:szCs w:val="32"/>
              <w:highlight w:val="none"/>
            </w:rPr>
            <w:fldChar w:fldCharType="separate"/>
          </w:r>
          <w:r>
            <w:rPr>
              <w:rFonts w:hint="eastAsia" w:asciiTheme="minorEastAsia" w:hAnsiTheme="minorEastAsia" w:eastAsiaTheme="minorEastAsia" w:cstheme="minorEastAsia"/>
              <w:sz w:val="28"/>
              <w:szCs w:val="32"/>
              <w:highlight w:val="none"/>
            </w:rPr>
            <w:t>34</w:t>
          </w:r>
          <w:r>
            <w:rPr>
              <w:rFonts w:hint="eastAsia" w:asciiTheme="minorEastAsia" w:hAnsiTheme="minorEastAsia" w:eastAsiaTheme="minorEastAsia" w:cstheme="minorEastAsia"/>
              <w:sz w:val="28"/>
              <w:szCs w:val="32"/>
              <w:highlight w:val="none"/>
            </w:rPr>
            <w:fldChar w:fldCharType="end"/>
          </w:r>
          <w:r>
            <w:rPr>
              <w:rFonts w:hint="eastAsia" w:asciiTheme="minorEastAsia" w:hAnsiTheme="minorEastAsia" w:eastAsiaTheme="minorEastAsia" w:cstheme="minorEastAsia"/>
              <w:sz w:val="28"/>
              <w:szCs w:val="32"/>
              <w:highlight w:val="none"/>
            </w:rPr>
            <w:fldChar w:fldCharType="end"/>
          </w:r>
        </w:p>
        <w:p w14:paraId="649AA231">
          <w:pPr>
            <w:rPr>
              <w:highlight w:val="none"/>
            </w:rPr>
          </w:pPr>
          <w:r>
            <w:rPr>
              <w:highlight w:val="none"/>
            </w:rPr>
            <w:fldChar w:fldCharType="end"/>
          </w:r>
        </w:p>
        <w:p w14:paraId="2DCC55BE">
          <w:pPr>
            <w:rPr>
              <w:rFonts w:asciiTheme="minorHAnsi" w:hAnsiTheme="minorHAnsi" w:eastAsiaTheme="minorEastAsia" w:cstheme="minorBidi"/>
              <w:kern w:val="2"/>
              <w:sz w:val="21"/>
              <w:szCs w:val="22"/>
              <w:highlight w:val="none"/>
              <w:lang w:val="en-US" w:eastAsia="zh-CN" w:bidi="ar-SA"/>
            </w:rPr>
          </w:pPr>
        </w:p>
      </w:sdtContent>
    </w:sdt>
    <w:p w14:paraId="4E326FA1">
      <w:pPr>
        <w:rPr>
          <w:rFonts w:asciiTheme="minorHAnsi" w:hAnsiTheme="minorHAnsi" w:eastAsiaTheme="minorEastAsia" w:cstheme="minorBidi"/>
          <w:kern w:val="2"/>
          <w:sz w:val="21"/>
          <w:szCs w:val="22"/>
          <w:highlight w:val="none"/>
          <w:lang w:val="en-US" w:eastAsia="zh-CN" w:bidi="ar-SA"/>
        </w:rPr>
      </w:pPr>
    </w:p>
    <w:p w14:paraId="13021CB6">
      <w:pPr>
        <w:pStyle w:val="10"/>
        <w:outlineLvl w:val="9"/>
        <w:rPr>
          <w:highlight w:val="none"/>
        </w:rPr>
        <w:sectPr>
          <w:footerReference r:id="rId8" w:type="first"/>
          <w:headerReference r:id="rId5" w:type="default"/>
          <w:footerReference r:id="rId6" w:type="default"/>
          <w:footerReference r:id="rId7" w:type="even"/>
          <w:pgSz w:w="11906" w:h="16838"/>
          <w:pgMar w:top="1440" w:right="1800" w:bottom="1440" w:left="1800" w:header="851" w:footer="851" w:gutter="0"/>
          <w:pgNumType w:start="1"/>
          <w:cols w:space="720" w:num="1"/>
          <w:titlePg/>
          <w:docGrid w:linePitch="312" w:charSpace="0"/>
        </w:sectPr>
      </w:pPr>
      <w:bookmarkStart w:id="3" w:name="_Toc19698"/>
    </w:p>
    <w:p w14:paraId="53143EEB">
      <w:pPr>
        <w:pStyle w:val="3"/>
        <w:jc w:val="center"/>
        <w:rPr>
          <w:highlight w:val="none"/>
        </w:rPr>
      </w:pPr>
      <w:bookmarkStart w:id="4" w:name="_Toc1060"/>
      <w:bookmarkStart w:id="5" w:name="_Toc17395"/>
      <w:r>
        <w:rPr>
          <w:rFonts w:hint="eastAsia"/>
          <w:highlight w:val="none"/>
        </w:rPr>
        <w:t xml:space="preserve">第一章  </w:t>
      </w:r>
      <w:bookmarkStart w:id="6" w:name="_Hlk136547488"/>
      <w:r>
        <w:rPr>
          <w:rFonts w:hint="eastAsia"/>
          <w:highlight w:val="none"/>
        </w:rPr>
        <w:t>竞争性磋商公告</w:t>
      </w:r>
      <w:bookmarkEnd w:id="3"/>
      <w:bookmarkEnd w:id="4"/>
      <w:bookmarkEnd w:id="5"/>
      <w:bookmarkEnd w:id="6"/>
    </w:p>
    <w:p w14:paraId="4ABE9E2E">
      <w:pPr>
        <w:spacing w:line="360" w:lineRule="auto"/>
        <w:ind w:firstLine="566" w:firstLineChars="236"/>
        <w:rPr>
          <w:rFonts w:hint="eastAsia" w:asciiTheme="minorEastAsia" w:hAnsiTheme="minorEastAsia" w:cstheme="minorEastAsia"/>
          <w:sz w:val="24"/>
          <w:szCs w:val="24"/>
          <w:highlight w:val="none"/>
        </w:rPr>
      </w:pPr>
      <w:bookmarkStart w:id="7" w:name="_Toc22804133"/>
      <w:bookmarkStart w:id="8" w:name="_Toc498982406"/>
      <w:bookmarkStart w:id="9" w:name="_Toc22724013"/>
      <w:bookmarkStart w:id="10" w:name="_Toc22570552"/>
      <w:bookmarkStart w:id="11" w:name="_Toc22953455"/>
      <w:bookmarkStart w:id="12" w:name="_Toc22568845"/>
      <w:bookmarkStart w:id="13" w:name="_Toc15597"/>
      <w:r>
        <w:rPr>
          <w:rFonts w:hint="eastAsia" w:asciiTheme="minorEastAsia" w:hAnsiTheme="minorEastAsia" w:cstheme="minorEastAsia"/>
          <w:sz w:val="24"/>
          <w:szCs w:val="24"/>
          <w:highlight w:val="none"/>
        </w:rPr>
        <w:t>项目概况</w:t>
      </w:r>
    </w:p>
    <w:p w14:paraId="0DC71844">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lang w:eastAsia="zh-CN"/>
        </w:rPr>
        <w:t>渑池县人民医院中药配方颗粒配送服务采购项目</w:t>
      </w:r>
      <w:r>
        <w:rPr>
          <w:rFonts w:hint="eastAsia" w:asciiTheme="minorEastAsia" w:hAnsiTheme="minorEastAsia" w:cstheme="minorEastAsia"/>
          <w:sz w:val="24"/>
          <w:szCs w:val="24"/>
          <w:highlight w:val="none"/>
        </w:rPr>
        <w:t>的潜在供应商应在三门峡市公共资源交易中心网上获取招标文件，并</w:t>
      </w:r>
      <w:r>
        <w:rPr>
          <w:rFonts w:hint="eastAsia" w:asciiTheme="minorEastAsia" w:hAnsiTheme="minorEastAsia" w:cstheme="minorEastAsia"/>
          <w:color w:val="auto"/>
          <w:sz w:val="24"/>
          <w:szCs w:val="24"/>
          <w:highlight w:val="none"/>
        </w:rPr>
        <w:t>于</w:t>
      </w:r>
      <w:r>
        <w:rPr>
          <w:rFonts w:hint="eastAsia" w:asciiTheme="minorEastAsia" w:hAnsiTheme="minorEastAsia" w:cstheme="minorEastAsia"/>
          <w:color w:val="auto"/>
          <w:sz w:val="24"/>
          <w:szCs w:val="24"/>
          <w:highlight w:val="none"/>
          <w:lang w:eastAsia="zh-CN"/>
        </w:rPr>
        <w:t>2026年7月2日</w:t>
      </w:r>
      <w:r>
        <w:rPr>
          <w:rFonts w:hint="eastAsia" w:asciiTheme="minorEastAsia" w:hAnsiTheme="minorEastAsia" w:cstheme="minorEastAsia"/>
          <w:color w:val="auto"/>
          <w:sz w:val="24"/>
          <w:szCs w:val="24"/>
          <w:highlight w:val="none"/>
        </w:rPr>
        <w:t>08时20分</w:t>
      </w:r>
      <w:r>
        <w:rPr>
          <w:rFonts w:hint="eastAsia" w:asciiTheme="minorEastAsia" w:hAnsiTheme="minorEastAsia" w:cstheme="minorEastAsia"/>
          <w:sz w:val="24"/>
          <w:szCs w:val="24"/>
          <w:highlight w:val="none"/>
        </w:rPr>
        <w:t>（北京时间）前递交投标文件。</w:t>
      </w:r>
    </w:p>
    <w:p w14:paraId="29FA9C1B">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sz w:val="24"/>
          <w:szCs w:val="24"/>
          <w:highlight w:val="none"/>
        </w:rPr>
        <w:t>一、项目</w:t>
      </w:r>
      <w:r>
        <w:rPr>
          <w:rFonts w:hint="eastAsia" w:asciiTheme="minorEastAsia" w:hAnsiTheme="minorEastAsia" w:cstheme="minorEastAsia"/>
          <w:color w:val="auto"/>
          <w:sz w:val="24"/>
          <w:szCs w:val="24"/>
          <w:highlight w:val="none"/>
        </w:rPr>
        <w:t xml:space="preserve">基本情况 </w:t>
      </w:r>
    </w:p>
    <w:p w14:paraId="0E438284">
      <w:pPr>
        <w:spacing w:line="360" w:lineRule="auto"/>
        <w:ind w:firstLine="566" w:firstLineChars="23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cstheme="minorEastAsia"/>
          <w:color w:val="auto"/>
          <w:sz w:val="24"/>
          <w:szCs w:val="24"/>
          <w:highlight w:val="none"/>
        </w:rPr>
        <w:t>1.采购项目编号：</w:t>
      </w:r>
      <w:r>
        <w:rPr>
          <w:rFonts w:hint="eastAsia" w:asciiTheme="minorEastAsia" w:hAnsiTheme="minorEastAsia" w:cstheme="minorEastAsia"/>
          <w:color w:val="auto"/>
          <w:sz w:val="24"/>
          <w:szCs w:val="24"/>
          <w:highlight w:val="none"/>
          <w:lang w:eastAsia="zh-CN"/>
        </w:rPr>
        <w:t>MCGZ[2026]090-ZC084</w:t>
      </w:r>
      <w:r>
        <w:rPr>
          <w:rFonts w:hint="eastAsia" w:asciiTheme="minorEastAsia" w:hAnsiTheme="minorEastAsia" w:cstheme="minorEastAsia"/>
          <w:color w:val="auto"/>
          <w:sz w:val="24"/>
          <w:szCs w:val="24"/>
          <w:highlight w:val="none"/>
        </w:rPr>
        <w:t>、</w:t>
      </w:r>
      <w:r>
        <w:rPr>
          <w:rFonts w:hint="eastAsia" w:asciiTheme="minorEastAsia" w:hAnsiTheme="minorEastAsia" w:cstheme="minorEastAsia"/>
          <w:color w:val="auto"/>
          <w:sz w:val="24"/>
          <w:szCs w:val="24"/>
          <w:highlight w:val="none"/>
          <w:lang w:eastAsia="zh-CN"/>
        </w:rPr>
        <w:t>渑池竞磋采购-2026-56</w:t>
      </w:r>
    </w:p>
    <w:p w14:paraId="4EF2B91A">
      <w:pPr>
        <w:spacing w:line="360" w:lineRule="auto"/>
        <w:ind w:firstLine="566" w:firstLineChars="23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cstheme="minorEastAsia"/>
          <w:sz w:val="24"/>
          <w:szCs w:val="24"/>
          <w:highlight w:val="none"/>
        </w:rPr>
        <w:t>2.采购项目名称：</w:t>
      </w:r>
      <w:r>
        <w:rPr>
          <w:rFonts w:hint="eastAsia" w:asciiTheme="minorEastAsia" w:hAnsiTheme="minorEastAsia" w:cstheme="minorEastAsia"/>
          <w:sz w:val="24"/>
          <w:szCs w:val="24"/>
          <w:highlight w:val="none"/>
          <w:lang w:eastAsia="zh-CN"/>
        </w:rPr>
        <w:t>渑池县人民医院中药配方颗粒配送服务采购项目</w:t>
      </w:r>
    </w:p>
    <w:p w14:paraId="50B3E84C">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3.采购方式：竞争性磋商</w:t>
      </w:r>
    </w:p>
    <w:p w14:paraId="20E37AE3">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4.预算金额：</w:t>
      </w:r>
      <w:r>
        <w:rPr>
          <w:rFonts w:hint="eastAsia" w:asciiTheme="minorEastAsia" w:hAnsiTheme="minorEastAsia" w:cstheme="minorEastAsia"/>
          <w:sz w:val="24"/>
          <w:szCs w:val="24"/>
          <w:highlight w:val="none"/>
          <w:lang w:val="en-US" w:eastAsia="zh-CN"/>
        </w:rPr>
        <w:t>1000000.00</w:t>
      </w:r>
      <w:r>
        <w:rPr>
          <w:rFonts w:hint="eastAsia" w:asciiTheme="minorEastAsia" w:hAnsiTheme="minorEastAsia" w:cstheme="minorEastAsia"/>
          <w:sz w:val="24"/>
          <w:szCs w:val="24"/>
          <w:highlight w:val="none"/>
        </w:rPr>
        <w:t>元</w:t>
      </w:r>
    </w:p>
    <w:p w14:paraId="51EE10AF">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最高限价：</w:t>
      </w:r>
      <w:r>
        <w:rPr>
          <w:rFonts w:hint="eastAsia" w:asciiTheme="minorEastAsia" w:hAnsiTheme="minorEastAsia" w:cstheme="minorEastAsia"/>
          <w:sz w:val="24"/>
          <w:szCs w:val="24"/>
          <w:highlight w:val="none"/>
          <w:lang w:eastAsia="zh-CN"/>
        </w:rPr>
        <w:t>1000000.00</w:t>
      </w:r>
      <w:r>
        <w:rPr>
          <w:rFonts w:hint="eastAsia" w:asciiTheme="minorEastAsia" w:hAnsiTheme="minorEastAsia" w:cstheme="minorEastAsia"/>
          <w:sz w:val="24"/>
          <w:szCs w:val="24"/>
          <w:highlight w:val="none"/>
        </w:rPr>
        <w:t>元</w:t>
      </w:r>
    </w:p>
    <w:tbl>
      <w:tblPr>
        <w:tblStyle w:val="13"/>
        <w:tblW w:w="9555"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2"/>
        <w:gridCol w:w="2741"/>
        <w:gridCol w:w="2416"/>
        <w:gridCol w:w="1532"/>
        <w:gridCol w:w="2034"/>
      </w:tblGrid>
      <w:tr w14:paraId="0FA65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2" w:type="dxa"/>
            <w:vAlign w:val="center"/>
          </w:tcPr>
          <w:p w14:paraId="3502E896">
            <w:pPr>
              <w:spacing w:line="360" w:lineRule="auto"/>
              <w:jc w:val="center"/>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序号</w:t>
            </w:r>
          </w:p>
        </w:tc>
        <w:tc>
          <w:tcPr>
            <w:tcW w:w="2741" w:type="dxa"/>
            <w:vAlign w:val="center"/>
          </w:tcPr>
          <w:p w14:paraId="4BA18241">
            <w:pPr>
              <w:spacing w:line="360" w:lineRule="auto"/>
              <w:ind w:firstLine="566" w:firstLineChars="236"/>
              <w:jc w:val="center"/>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包号</w:t>
            </w:r>
          </w:p>
        </w:tc>
        <w:tc>
          <w:tcPr>
            <w:tcW w:w="2416" w:type="dxa"/>
            <w:vAlign w:val="center"/>
          </w:tcPr>
          <w:p w14:paraId="0E0EE78F">
            <w:pPr>
              <w:spacing w:line="360" w:lineRule="auto"/>
              <w:ind w:firstLine="566" w:firstLineChars="236"/>
              <w:jc w:val="center"/>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包名称</w:t>
            </w:r>
          </w:p>
        </w:tc>
        <w:tc>
          <w:tcPr>
            <w:tcW w:w="1532" w:type="dxa"/>
            <w:vAlign w:val="center"/>
          </w:tcPr>
          <w:p w14:paraId="6CD61AA9">
            <w:pPr>
              <w:spacing w:line="360" w:lineRule="auto"/>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包预算（元）</w:t>
            </w:r>
          </w:p>
        </w:tc>
        <w:tc>
          <w:tcPr>
            <w:tcW w:w="2034" w:type="dxa"/>
            <w:vAlign w:val="center"/>
          </w:tcPr>
          <w:p w14:paraId="6CC9AAB2">
            <w:pPr>
              <w:spacing w:line="360" w:lineRule="auto"/>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包最高限价（元）</w:t>
            </w:r>
          </w:p>
        </w:tc>
      </w:tr>
      <w:tr w14:paraId="65B43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2" w:type="dxa"/>
            <w:vAlign w:val="center"/>
          </w:tcPr>
          <w:p w14:paraId="7C8B2854">
            <w:pPr>
              <w:spacing w:line="360" w:lineRule="auto"/>
              <w:jc w:val="center"/>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1</w:t>
            </w:r>
          </w:p>
        </w:tc>
        <w:tc>
          <w:tcPr>
            <w:tcW w:w="2741" w:type="dxa"/>
            <w:vAlign w:val="center"/>
          </w:tcPr>
          <w:p w14:paraId="019706AC">
            <w:pPr>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val="en-US" w:eastAsia="zh-CN"/>
              </w:rPr>
              <w:t xml:space="preserve"> MCGZ[2026]090-ZC084</w:t>
            </w:r>
          </w:p>
        </w:tc>
        <w:tc>
          <w:tcPr>
            <w:tcW w:w="2416" w:type="dxa"/>
            <w:vAlign w:val="center"/>
          </w:tcPr>
          <w:p w14:paraId="19E7942F">
            <w:pPr>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cstheme="minorEastAsia"/>
                <w:sz w:val="24"/>
                <w:szCs w:val="24"/>
                <w:highlight w:val="none"/>
                <w:lang w:eastAsia="zh-CN"/>
              </w:rPr>
              <w:t>渑池县人民医院中药配方颗粒配送服务采购项目</w:t>
            </w:r>
          </w:p>
        </w:tc>
        <w:tc>
          <w:tcPr>
            <w:tcW w:w="1532" w:type="dxa"/>
            <w:vAlign w:val="center"/>
          </w:tcPr>
          <w:p w14:paraId="642C7C2E">
            <w:pPr>
              <w:spacing w:line="360" w:lineRule="auto"/>
              <w:jc w:val="center"/>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cstheme="minorEastAsia"/>
                <w:sz w:val="24"/>
                <w:szCs w:val="24"/>
                <w:highlight w:val="none"/>
                <w:lang w:eastAsia="zh-CN"/>
              </w:rPr>
              <w:t>1000000.00</w:t>
            </w:r>
          </w:p>
        </w:tc>
        <w:tc>
          <w:tcPr>
            <w:tcW w:w="2034" w:type="dxa"/>
            <w:vAlign w:val="center"/>
          </w:tcPr>
          <w:p w14:paraId="19A4E364">
            <w:pPr>
              <w:spacing w:line="360" w:lineRule="auto"/>
              <w:jc w:val="center"/>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cstheme="minorEastAsia"/>
                <w:sz w:val="24"/>
                <w:szCs w:val="24"/>
                <w:highlight w:val="none"/>
                <w:lang w:eastAsia="zh-CN"/>
              </w:rPr>
              <w:t>1000000.00</w:t>
            </w:r>
          </w:p>
        </w:tc>
      </w:tr>
    </w:tbl>
    <w:p w14:paraId="4E243D45">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5.采购需求（包括但不限于标的的名称、数量、简要技术需求或服务要等）：</w:t>
      </w:r>
    </w:p>
    <w:p w14:paraId="5F4F6884">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5.1采购范围：</w:t>
      </w:r>
      <w:r>
        <w:rPr>
          <w:rFonts w:hint="eastAsia" w:asciiTheme="minorEastAsia" w:hAnsiTheme="minorEastAsia" w:cstheme="minorEastAsia"/>
          <w:sz w:val="24"/>
          <w:szCs w:val="24"/>
          <w:highlight w:val="none"/>
          <w:lang w:eastAsia="zh-CN"/>
        </w:rPr>
        <w:t>为各临床科室、药房提供中药配方颗粒的供应、配送及配套服务，覆盖医院全部诊疗需求场景，包含中药颗粒的合规供应、按时配送、质量保障、退换货处理、售后支持及全程追溯管理等全流程服务。</w:t>
      </w:r>
    </w:p>
    <w:p w14:paraId="046971BD">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sz w:val="24"/>
          <w:szCs w:val="24"/>
          <w:highlight w:val="none"/>
        </w:rPr>
        <w:t>5.2</w:t>
      </w:r>
      <w:r>
        <w:rPr>
          <w:rFonts w:hint="eastAsia" w:asciiTheme="minorEastAsia" w:hAnsiTheme="minorEastAsia" w:cstheme="minorEastAsia"/>
          <w:color w:val="auto"/>
          <w:sz w:val="24"/>
          <w:szCs w:val="24"/>
          <w:highlight w:val="none"/>
        </w:rPr>
        <w:t>预算金额：</w:t>
      </w:r>
      <w:r>
        <w:rPr>
          <w:rFonts w:hint="eastAsia" w:asciiTheme="minorEastAsia" w:hAnsiTheme="minorEastAsia" w:cstheme="minorEastAsia"/>
          <w:color w:val="auto"/>
          <w:sz w:val="24"/>
          <w:szCs w:val="24"/>
          <w:highlight w:val="none"/>
          <w:lang w:eastAsia="zh-CN"/>
        </w:rPr>
        <w:t>1000000.00</w:t>
      </w:r>
      <w:r>
        <w:rPr>
          <w:rFonts w:hint="eastAsia" w:asciiTheme="minorEastAsia" w:hAnsiTheme="minorEastAsia" w:cstheme="minorEastAsia"/>
          <w:color w:val="auto"/>
          <w:sz w:val="24"/>
          <w:szCs w:val="24"/>
          <w:highlight w:val="none"/>
        </w:rPr>
        <w:t>元</w:t>
      </w:r>
    </w:p>
    <w:p w14:paraId="5C3D14B5">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5.3资金来源：</w:t>
      </w:r>
      <w:r>
        <w:rPr>
          <w:rFonts w:hint="eastAsia" w:asciiTheme="minorEastAsia" w:hAnsiTheme="minorEastAsia" w:cstheme="minorEastAsia"/>
          <w:color w:val="auto"/>
          <w:sz w:val="24"/>
          <w:szCs w:val="24"/>
          <w:highlight w:val="none"/>
          <w:lang w:eastAsia="zh-CN"/>
        </w:rPr>
        <w:t>自筹资金</w:t>
      </w:r>
      <w:r>
        <w:rPr>
          <w:rFonts w:hint="eastAsia" w:asciiTheme="minorEastAsia" w:hAnsiTheme="minorEastAsia" w:cstheme="minorEastAsia"/>
          <w:color w:val="auto"/>
          <w:sz w:val="24"/>
          <w:szCs w:val="24"/>
          <w:highlight w:val="none"/>
        </w:rPr>
        <w:t>，已落实。</w:t>
      </w:r>
    </w:p>
    <w:p w14:paraId="2E5054AC">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5.4质量要求：</w:t>
      </w:r>
      <w:r>
        <w:rPr>
          <w:rFonts w:hint="eastAsia" w:ascii="宋体" w:hAnsi="宋体" w:eastAsia="宋体" w:cs="宋体"/>
          <w:bCs/>
          <w:color w:val="auto"/>
          <w:sz w:val="24"/>
          <w:szCs w:val="28"/>
          <w:highlight w:val="none"/>
          <w:lang w:eastAsia="zh-CN"/>
        </w:rPr>
        <w:t>符合国家、省、地方及行业规范相关标准，按最高标准执行，满足采购人要求</w:t>
      </w:r>
      <w:r>
        <w:rPr>
          <w:rFonts w:hint="eastAsia" w:asciiTheme="minorEastAsia" w:hAnsiTheme="minorEastAsia" w:cstheme="minorEastAsia"/>
          <w:color w:val="auto"/>
          <w:sz w:val="24"/>
          <w:szCs w:val="24"/>
          <w:highlight w:val="none"/>
        </w:rPr>
        <w:t>。</w:t>
      </w:r>
    </w:p>
    <w:p w14:paraId="5ACD1A0F">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5.5</w:t>
      </w:r>
      <w:r>
        <w:rPr>
          <w:rFonts w:hint="eastAsia" w:asciiTheme="minorEastAsia" w:hAnsiTheme="minorEastAsia" w:cstheme="minorEastAsia"/>
          <w:color w:val="auto"/>
          <w:sz w:val="24"/>
          <w:szCs w:val="24"/>
          <w:highlight w:val="none"/>
          <w:lang w:eastAsia="zh-CN"/>
        </w:rPr>
        <w:t>服务期限</w:t>
      </w:r>
      <w:r>
        <w:rPr>
          <w:rFonts w:hint="eastAsia" w:asciiTheme="minorEastAsia" w:hAnsiTheme="minorEastAsia" w:cstheme="minorEastAsia"/>
          <w:color w:val="auto"/>
          <w:sz w:val="24"/>
          <w:szCs w:val="24"/>
          <w:highlight w:val="none"/>
        </w:rPr>
        <w:t>：</w:t>
      </w:r>
      <w:r>
        <w:rPr>
          <w:rFonts w:hint="eastAsia" w:asciiTheme="minorEastAsia" w:hAnsiTheme="minorEastAsia" w:cstheme="minorEastAsia"/>
          <w:color w:val="auto"/>
          <w:sz w:val="24"/>
          <w:szCs w:val="24"/>
          <w:highlight w:val="none"/>
          <w:lang w:eastAsia="zh-CN"/>
        </w:rPr>
        <w:t>三年</w:t>
      </w:r>
      <w:r>
        <w:rPr>
          <w:rFonts w:hint="eastAsia" w:asciiTheme="minorEastAsia" w:hAnsiTheme="minorEastAsia" w:cstheme="minorEastAsia"/>
          <w:color w:val="auto"/>
          <w:sz w:val="24"/>
          <w:szCs w:val="24"/>
          <w:highlight w:val="none"/>
        </w:rPr>
        <w:t>。</w:t>
      </w:r>
    </w:p>
    <w:p w14:paraId="096D878C">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5.6</w:t>
      </w:r>
      <w:r>
        <w:rPr>
          <w:rFonts w:hint="eastAsia" w:asciiTheme="minorEastAsia" w:hAnsiTheme="minorEastAsia" w:cstheme="minorEastAsia"/>
          <w:color w:val="auto"/>
          <w:sz w:val="24"/>
          <w:szCs w:val="24"/>
          <w:highlight w:val="none"/>
          <w:lang w:eastAsia="zh-CN"/>
        </w:rPr>
        <w:t>服务地点</w:t>
      </w:r>
      <w:r>
        <w:rPr>
          <w:rFonts w:hint="eastAsia" w:asciiTheme="minorEastAsia" w:hAnsiTheme="minorEastAsia" w:cstheme="minorEastAsia"/>
          <w:color w:val="auto"/>
          <w:sz w:val="24"/>
          <w:szCs w:val="24"/>
          <w:highlight w:val="none"/>
        </w:rPr>
        <w:t>：</w:t>
      </w:r>
      <w:bookmarkStart w:id="328" w:name="_GoBack"/>
      <w:bookmarkEnd w:id="328"/>
      <w:r>
        <w:rPr>
          <w:rFonts w:hint="eastAsia" w:asciiTheme="minorEastAsia" w:hAnsiTheme="minorEastAsia" w:cstheme="minorEastAsia"/>
          <w:color w:val="auto"/>
          <w:sz w:val="24"/>
          <w:szCs w:val="24"/>
          <w:highlight w:val="none"/>
          <w:lang w:eastAsia="zh-CN"/>
        </w:rPr>
        <w:t>渑池县</w:t>
      </w:r>
      <w:r>
        <w:rPr>
          <w:rFonts w:hint="eastAsia" w:asciiTheme="minorEastAsia" w:hAnsiTheme="minorEastAsia" w:cstheme="minorEastAsia"/>
          <w:color w:val="auto"/>
          <w:sz w:val="24"/>
          <w:szCs w:val="24"/>
          <w:highlight w:val="none"/>
        </w:rPr>
        <w:t>。</w:t>
      </w:r>
    </w:p>
    <w:p w14:paraId="49F5AE05">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6.合同履行期限：</w:t>
      </w:r>
      <w:r>
        <w:rPr>
          <w:rFonts w:hint="eastAsia" w:asciiTheme="minorEastAsia" w:hAnsiTheme="minorEastAsia" w:cstheme="minorEastAsia"/>
          <w:color w:val="auto"/>
          <w:sz w:val="24"/>
          <w:szCs w:val="24"/>
          <w:highlight w:val="none"/>
          <w:lang w:eastAsia="zh-CN"/>
        </w:rPr>
        <w:t>三年</w:t>
      </w:r>
      <w:r>
        <w:rPr>
          <w:rFonts w:hint="eastAsia" w:asciiTheme="minorEastAsia" w:hAnsiTheme="minorEastAsia" w:cstheme="minorEastAsia"/>
          <w:color w:val="auto"/>
          <w:sz w:val="24"/>
          <w:szCs w:val="24"/>
          <w:highlight w:val="none"/>
        </w:rPr>
        <w:t>。</w:t>
      </w:r>
    </w:p>
    <w:p w14:paraId="7121DD71">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7.本项目是否接受联合体投标：否</w:t>
      </w:r>
    </w:p>
    <w:p w14:paraId="3B3919E8">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8.是否接受进口产品：否</w:t>
      </w:r>
    </w:p>
    <w:p w14:paraId="18A3BBD1">
      <w:pPr>
        <w:spacing w:line="360" w:lineRule="auto"/>
        <w:ind w:firstLine="566" w:firstLineChars="236"/>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rPr>
        <w:t>9.是否专门面向中小企业：</w:t>
      </w:r>
      <w:r>
        <w:rPr>
          <w:rFonts w:hint="eastAsia" w:asciiTheme="minorEastAsia" w:hAnsiTheme="minorEastAsia" w:cstheme="minorEastAsia"/>
          <w:color w:val="auto"/>
          <w:sz w:val="24"/>
          <w:szCs w:val="24"/>
          <w:highlight w:val="none"/>
          <w:lang w:val="en-US" w:eastAsia="zh-CN"/>
        </w:rPr>
        <w:t>否</w:t>
      </w:r>
    </w:p>
    <w:p w14:paraId="5C68EEEE">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二、供应商资格要求</w:t>
      </w:r>
    </w:p>
    <w:p w14:paraId="40A30E88">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1.</w:t>
      </w:r>
      <w:r>
        <w:rPr>
          <w:rFonts w:hint="eastAsia" w:asciiTheme="minorEastAsia" w:hAnsiTheme="minorEastAsia" w:cstheme="minorEastAsia"/>
          <w:sz w:val="24"/>
          <w:szCs w:val="24"/>
          <w:highlight w:val="none"/>
          <w:lang w:eastAsia="zh-CN"/>
        </w:rPr>
        <w:t>满足《中华人民共和国政府采购法》第二十二条规定（提供承诺书或相关证明资料）</w:t>
      </w:r>
      <w:r>
        <w:rPr>
          <w:rFonts w:hint="eastAsia" w:asciiTheme="minorEastAsia" w:hAnsiTheme="minorEastAsia" w:cstheme="minorEastAsia"/>
          <w:sz w:val="24"/>
          <w:szCs w:val="24"/>
          <w:highlight w:val="none"/>
        </w:rPr>
        <w:t>：</w:t>
      </w:r>
    </w:p>
    <w:p w14:paraId="4A714ABA">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2.落实政府采购政策满足的资格要求：</w:t>
      </w:r>
      <w:r>
        <w:rPr>
          <w:rFonts w:hint="eastAsia" w:ascii="宋体" w:hAnsi="宋体" w:cs="宋体"/>
          <w:sz w:val="24"/>
          <w:szCs w:val="24"/>
          <w:highlight w:val="none"/>
          <w:lang w:eastAsia="zh-CN"/>
        </w:rPr>
        <w:t>本项目非专门面向中小企业采购，但执行促进中小型企业发展政策（监狱企业、残疾人福利性企业视同小微企业），优先采购节能环保产品等政府采购政策</w:t>
      </w:r>
      <w:r>
        <w:rPr>
          <w:rFonts w:hint="eastAsia" w:ascii="宋体" w:hAnsi="宋体" w:cs="宋体"/>
          <w:sz w:val="24"/>
          <w:szCs w:val="24"/>
          <w:highlight w:val="none"/>
        </w:rPr>
        <w:t>。</w:t>
      </w:r>
    </w:p>
    <w:p w14:paraId="774C9ACF">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3.本项目的特定资格要求：</w:t>
      </w:r>
    </w:p>
    <w:p w14:paraId="4E67499A">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3.1供应商须具有独立法人资格（具有有效的营业执照）；</w:t>
      </w:r>
    </w:p>
    <w:p w14:paraId="013C9B81">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3.2供应商具有有效的《药品生产许可证》；供应商为代理经销商的具有有效的《药品经营许可证》；</w:t>
      </w:r>
    </w:p>
    <w:p w14:paraId="02570AE4">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3.3供应商具有履行合同所必需的设备和专业技术能力（自行承诺，格式自拟）；</w:t>
      </w:r>
    </w:p>
    <w:p w14:paraId="6B06096C">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3.4供应商自行出具本单位无商业贿赂及无不正当竞争行为的承诺书；</w:t>
      </w:r>
    </w:p>
    <w:p w14:paraId="340AF5CD">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3.5未被列入中国执行信息公开网（http://zxgk.court.gov.cn/shixin/）失信被执行人、“信用中国”网站（www.creditchina.gov.cn）重大税收违法失信主体、“中国政府采购网”（http://www.ccgp.gov.cn/）政府采购严重违法失信行为名单，提供网页查询信息截图（查询时间自公告发布之日起截止至开标时间）；</w:t>
      </w:r>
    </w:p>
    <w:p w14:paraId="65BA3461">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3.6单位负责人为同一个人或者存在控股、管理关系的不同单位，不得同时参加投标（以“国家企业信用信息公示系统”查询为准，需包含公司基本信息、股东信息及股权变更信息内容）；</w:t>
      </w:r>
    </w:p>
    <w:p w14:paraId="324B0E11">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3.7本项目不接受联合体投标；</w:t>
      </w:r>
    </w:p>
    <w:p w14:paraId="1059980A">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注：本项目实行资格后审，资格审查的具体要求见竞争性磋商文件。</w:t>
      </w:r>
    </w:p>
    <w:p w14:paraId="7BAF257A">
      <w:pPr>
        <w:widowControl/>
        <w:spacing w:line="360" w:lineRule="auto"/>
        <w:ind w:firstLine="482" w:firstLineChars="200"/>
        <w:jc w:val="left"/>
        <w:rPr>
          <w:rFonts w:hint="eastAsia" w:ascii="宋体" w:hAnsi="宋体" w:eastAsia="宋体" w:cs="宋体"/>
          <w:b/>
          <w:kern w:val="0"/>
          <w:sz w:val="24"/>
          <w:highlight w:val="none"/>
          <w:lang w:bidi="ar"/>
        </w:rPr>
      </w:pPr>
      <w:r>
        <w:rPr>
          <w:rFonts w:hint="eastAsia" w:ascii="宋体" w:hAnsi="宋体" w:eastAsia="宋体" w:cs="宋体"/>
          <w:b/>
          <w:kern w:val="0"/>
          <w:sz w:val="24"/>
          <w:highlight w:val="none"/>
          <w:lang w:bidi="ar"/>
        </w:rPr>
        <w:t>注：</w:t>
      </w:r>
      <w:r>
        <w:rPr>
          <w:rFonts w:hint="eastAsia" w:ascii="宋体" w:hAnsi="宋体" w:eastAsia="宋体" w:cs="宋体"/>
          <w:b/>
          <w:kern w:val="0"/>
          <w:sz w:val="24"/>
          <w:highlight w:val="none"/>
          <w:lang w:eastAsia="zh-CN" w:bidi="ar"/>
        </w:rPr>
        <w:t>温馨提醒：本项目为资格后审，资格审查由采购人依法组建的磋商小组负责。各供应商应认真阅读本项目供应商资格要求，避免无资格投标而造成不必要的损失。</w:t>
      </w:r>
    </w:p>
    <w:p w14:paraId="093DACA3">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三、获取</w:t>
      </w:r>
      <w:r>
        <w:rPr>
          <w:rFonts w:hint="eastAsia" w:asciiTheme="minorEastAsia" w:hAnsiTheme="minorEastAsia" w:cstheme="minorEastAsia"/>
          <w:sz w:val="24"/>
          <w:szCs w:val="24"/>
          <w:highlight w:val="none"/>
          <w:lang w:val="en-US" w:eastAsia="zh-CN"/>
        </w:rPr>
        <w:t>采购</w:t>
      </w:r>
      <w:r>
        <w:rPr>
          <w:rFonts w:hint="eastAsia" w:asciiTheme="minorEastAsia" w:hAnsiTheme="minorEastAsia" w:cstheme="minorEastAsia"/>
          <w:sz w:val="24"/>
          <w:szCs w:val="24"/>
          <w:highlight w:val="none"/>
        </w:rPr>
        <w:t>文件</w:t>
      </w:r>
    </w:p>
    <w:p w14:paraId="1E14B1AC">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1.时间：</w:t>
      </w:r>
      <w:r>
        <w:rPr>
          <w:rFonts w:hint="eastAsia" w:asciiTheme="minorEastAsia" w:hAnsiTheme="minorEastAsia" w:cstheme="minorEastAsia"/>
          <w:sz w:val="24"/>
          <w:szCs w:val="24"/>
          <w:highlight w:val="none"/>
          <w:lang w:eastAsia="zh-CN"/>
        </w:rPr>
        <w:t>2026年</w:t>
      </w:r>
      <w:r>
        <w:rPr>
          <w:rFonts w:hint="eastAsia" w:asciiTheme="minorEastAsia" w:hAnsiTheme="minorEastAsia" w:cstheme="minorEastAsia"/>
          <w:sz w:val="24"/>
          <w:szCs w:val="24"/>
          <w:highlight w:val="none"/>
          <w:lang w:val="en-US" w:eastAsia="zh-CN"/>
        </w:rPr>
        <w:t>6月22日</w:t>
      </w:r>
      <w:r>
        <w:rPr>
          <w:rFonts w:hint="eastAsia" w:asciiTheme="minorEastAsia" w:hAnsiTheme="minorEastAsia" w:cstheme="minorEastAsia"/>
          <w:color w:val="auto"/>
          <w:sz w:val="24"/>
          <w:szCs w:val="24"/>
          <w:highlight w:val="none"/>
        </w:rPr>
        <w:t>至</w:t>
      </w:r>
      <w:r>
        <w:rPr>
          <w:rFonts w:hint="eastAsia" w:asciiTheme="minorEastAsia" w:hAnsiTheme="minorEastAsia" w:cstheme="minorEastAsia"/>
          <w:color w:val="auto"/>
          <w:sz w:val="24"/>
          <w:szCs w:val="24"/>
          <w:highlight w:val="none"/>
          <w:lang w:eastAsia="zh-CN"/>
        </w:rPr>
        <w:t>2026年</w:t>
      </w:r>
      <w:r>
        <w:rPr>
          <w:rFonts w:hint="eastAsia" w:asciiTheme="minorEastAsia" w:hAnsiTheme="minorEastAsia" w:cstheme="minorEastAsia"/>
          <w:color w:val="auto"/>
          <w:sz w:val="24"/>
          <w:szCs w:val="24"/>
          <w:highlight w:val="none"/>
          <w:lang w:val="en-US" w:eastAsia="zh-CN"/>
        </w:rPr>
        <w:t>7月1日</w:t>
      </w:r>
      <w:r>
        <w:rPr>
          <w:rFonts w:hint="eastAsia" w:asciiTheme="minorEastAsia" w:hAnsiTheme="minorEastAsia" w:cstheme="minorEastAsia"/>
          <w:color w:val="auto"/>
          <w:sz w:val="24"/>
          <w:szCs w:val="24"/>
          <w:highlight w:val="none"/>
        </w:rPr>
        <w:t>，每</w:t>
      </w:r>
      <w:r>
        <w:rPr>
          <w:rFonts w:hint="eastAsia" w:asciiTheme="minorEastAsia" w:hAnsiTheme="minorEastAsia" w:cstheme="minorEastAsia"/>
          <w:sz w:val="24"/>
          <w:szCs w:val="24"/>
          <w:highlight w:val="none"/>
        </w:rPr>
        <w:t>天上午00:00至12:00，下午12:00至23:59（北京时间，法定节假日除外。）</w:t>
      </w:r>
    </w:p>
    <w:p w14:paraId="1AF0DFC4">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2.地点：三门峡市公共资源交易中心网</w:t>
      </w:r>
    </w:p>
    <w:p w14:paraId="25C5123C">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3.方式：供应商凭CA数字证书通过三门峡市公共资源交易中心网（网址：http://gzjy.smx.gov.cn/），点击交易平台选择“市场主体登录”，登陆系统后，点击采购业务-业务管理-招标文件领取菜单-点击领取按钮-领取.smxzf格式的电子招标文件。</w:t>
      </w:r>
    </w:p>
    <w:p w14:paraId="14594BD6">
      <w:pPr>
        <w:spacing w:line="360" w:lineRule="auto"/>
        <w:ind w:left="563" w:leftChars="268"/>
        <w:jc w:val="left"/>
        <w:rPr>
          <w:rFonts w:hint="eastAsia" w:asciiTheme="minorEastAsia" w:hAnsiTheme="minorEastAsia" w:cstheme="minorEastAsia"/>
          <w:highlight w:val="none"/>
        </w:rPr>
      </w:pPr>
      <w:r>
        <w:rPr>
          <w:rFonts w:hint="eastAsia" w:asciiTheme="minorEastAsia" w:hAnsiTheme="minorEastAsia" w:cstheme="minorEastAsia"/>
          <w:sz w:val="24"/>
          <w:szCs w:val="24"/>
          <w:highlight w:val="none"/>
        </w:rPr>
        <w:t>办理CA证书：http://gzjy.smx.gov.cn/bzzx/008001/20231102/4defc9b5-408e-47f2-9e9f-1f376a06ee1f.html</w:t>
      </w:r>
    </w:p>
    <w:p w14:paraId="40BF0185">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4.售价：0元</w:t>
      </w:r>
    </w:p>
    <w:p w14:paraId="7AAA2EAB">
      <w:pPr>
        <w:spacing w:line="360" w:lineRule="auto"/>
        <w:ind w:firstLine="566" w:firstLineChars="236"/>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rPr>
        <w:t>四、</w:t>
      </w:r>
      <w:r>
        <w:rPr>
          <w:rFonts w:hint="eastAsia" w:asciiTheme="minorEastAsia" w:hAnsiTheme="minorEastAsia" w:cstheme="minorEastAsia"/>
          <w:sz w:val="24"/>
          <w:szCs w:val="24"/>
          <w:highlight w:val="none"/>
          <w:lang w:val="en-US" w:eastAsia="zh-CN"/>
        </w:rPr>
        <w:t>响应文件递交</w:t>
      </w:r>
    </w:p>
    <w:p w14:paraId="6DCD50C7">
      <w:pPr>
        <w:spacing w:line="360" w:lineRule="auto"/>
        <w:ind w:firstLine="566" w:firstLineChars="236"/>
        <w:rPr>
          <w:rFonts w:hint="eastAsia" w:asciiTheme="minorEastAsia" w:hAnsiTheme="minorEastAsia" w:cstheme="minorEastAsia"/>
          <w:color w:val="FF0000"/>
          <w:sz w:val="24"/>
          <w:szCs w:val="24"/>
          <w:highlight w:val="none"/>
        </w:rPr>
      </w:pPr>
      <w:r>
        <w:rPr>
          <w:rFonts w:hint="eastAsia" w:asciiTheme="minorEastAsia" w:hAnsiTheme="minorEastAsia" w:cstheme="minorEastAsia"/>
          <w:sz w:val="24"/>
          <w:szCs w:val="24"/>
          <w:highlight w:val="none"/>
        </w:rPr>
        <w:t>1.时间</w:t>
      </w:r>
      <w:r>
        <w:rPr>
          <w:rFonts w:hint="eastAsia" w:asciiTheme="minorEastAsia" w:hAnsiTheme="minorEastAsia" w:cstheme="minorEastAsia"/>
          <w:color w:val="auto"/>
          <w:sz w:val="24"/>
          <w:szCs w:val="24"/>
          <w:highlight w:val="none"/>
        </w:rPr>
        <w:t>：</w:t>
      </w:r>
      <w:r>
        <w:rPr>
          <w:rFonts w:hint="eastAsia" w:asciiTheme="minorEastAsia" w:hAnsiTheme="minorEastAsia" w:cstheme="minorEastAsia"/>
          <w:color w:val="auto"/>
          <w:sz w:val="24"/>
          <w:szCs w:val="24"/>
          <w:highlight w:val="none"/>
          <w:lang w:eastAsia="zh-CN"/>
        </w:rPr>
        <w:t>2026年7月2日</w:t>
      </w:r>
      <w:r>
        <w:rPr>
          <w:rFonts w:hint="eastAsia" w:asciiTheme="minorEastAsia" w:hAnsiTheme="minorEastAsia" w:cstheme="minorEastAsia"/>
          <w:color w:val="auto"/>
          <w:sz w:val="24"/>
          <w:szCs w:val="24"/>
          <w:highlight w:val="none"/>
        </w:rPr>
        <w:t>08时20分。</w:t>
      </w:r>
    </w:p>
    <w:p w14:paraId="78A0C977">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2.地点：加密电子投标文件须在投标截止时间前通过三门峡市公共资源交易中心电子交易平台加密上传。</w:t>
      </w:r>
    </w:p>
    <w:p w14:paraId="4B5DDF14">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五、</w:t>
      </w:r>
      <w:r>
        <w:rPr>
          <w:rFonts w:hint="eastAsia" w:asciiTheme="minorEastAsia" w:hAnsiTheme="minorEastAsia" w:cstheme="minorEastAsia"/>
          <w:sz w:val="24"/>
          <w:szCs w:val="24"/>
          <w:highlight w:val="none"/>
          <w:lang w:val="en-US" w:eastAsia="zh-CN"/>
        </w:rPr>
        <w:t>响应文件开启</w:t>
      </w:r>
      <w:r>
        <w:rPr>
          <w:rFonts w:hint="eastAsia" w:asciiTheme="minorEastAsia" w:hAnsiTheme="minorEastAsia" w:cstheme="minorEastAsia"/>
          <w:sz w:val="24"/>
          <w:szCs w:val="24"/>
          <w:highlight w:val="none"/>
        </w:rPr>
        <w:tab/>
      </w:r>
    </w:p>
    <w:p w14:paraId="6B43DE0D">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sz w:val="24"/>
          <w:szCs w:val="24"/>
          <w:highlight w:val="none"/>
        </w:rPr>
        <w:t>1</w:t>
      </w:r>
      <w:r>
        <w:rPr>
          <w:rFonts w:hint="eastAsia" w:asciiTheme="minorEastAsia" w:hAnsiTheme="minorEastAsia" w:cstheme="minorEastAsia"/>
          <w:color w:val="auto"/>
          <w:sz w:val="24"/>
          <w:szCs w:val="24"/>
          <w:highlight w:val="none"/>
        </w:rPr>
        <w:t>.时间：</w:t>
      </w:r>
      <w:r>
        <w:rPr>
          <w:rFonts w:hint="eastAsia" w:asciiTheme="minorEastAsia" w:hAnsiTheme="minorEastAsia" w:cstheme="minorEastAsia"/>
          <w:color w:val="auto"/>
          <w:sz w:val="24"/>
          <w:szCs w:val="24"/>
          <w:highlight w:val="none"/>
          <w:lang w:eastAsia="zh-CN"/>
        </w:rPr>
        <w:t>2026年7月2日</w:t>
      </w:r>
      <w:r>
        <w:rPr>
          <w:rFonts w:hint="eastAsia" w:asciiTheme="minorEastAsia" w:hAnsiTheme="minorEastAsia" w:cstheme="minorEastAsia"/>
          <w:color w:val="auto"/>
          <w:sz w:val="24"/>
          <w:szCs w:val="24"/>
          <w:highlight w:val="none"/>
        </w:rPr>
        <w:t>08时20分。</w:t>
      </w:r>
    </w:p>
    <w:p w14:paraId="25AA861F">
      <w:pPr>
        <w:spacing w:line="360" w:lineRule="auto"/>
        <w:ind w:firstLine="566" w:firstLineChars="236"/>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rPr>
        <w:t>2.地点：渑池县公共资源交易中心六楼</w:t>
      </w:r>
      <w:r>
        <w:rPr>
          <w:rFonts w:hint="eastAsia" w:asciiTheme="minorEastAsia" w:hAnsiTheme="minorEastAsia" w:cstheme="minorEastAsia"/>
          <w:color w:val="auto"/>
          <w:sz w:val="24"/>
          <w:szCs w:val="24"/>
          <w:highlight w:val="none"/>
          <w:lang w:eastAsia="zh-CN"/>
        </w:rPr>
        <w:t>开标室</w:t>
      </w:r>
    </w:p>
    <w:p w14:paraId="19E80E3C">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六、</w:t>
      </w:r>
      <w:r>
        <w:rPr>
          <w:rFonts w:hint="eastAsia" w:ascii="宋体" w:hAnsi="宋体" w:cs="宋体"/>
          <w:kern w:val="0"/>
          <w:sz w:val="24"/>
          <w:szCs w:val="24"/>
        </w:rPr>
        <w:t>发布公告的媒介</w:t>
      </w:r>
      <w:r>
        <w:rPr>
          <w:rFonts w:hint="eastAsia" w:ascii="宋体" w:hAnsi="宋体" w:cs="宋体"/>
          <w:kern w:val="0"/>
          <w:sz w:val="24"/>
          <w:szCs w:val="24"/>
          <w:lang w:val="en-US" w:eastAsia="zh-CN"/>
        </w:rPr>
        <w:t>及公告期限</w:t>
      </w:r>
    </w:p>
    <w:p w14:paraId="7676C565">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本次</w:t>
      </w:r>
      <w:r>
        <w:rPr>
          <w:rFonts w:hint="eastAsia" w:asciiTheme="minorEastAsia" w:hAnsiTheme="minorEastAsia" w:cstheme="minorEastAsia"/>
          <w:sz w:val="24"/>
          <w:szCs w:val="24"/>
          <w:highlight w:val="none"/>
          <w:lang w:val="en-US" w:eastAsia="zh-CN"/>
        </w:rPr>
        <w:t>招标</w:t>
      </w:r>
      <w:r>
        <w:rPr>
          <w:rFonts w:hint="eastAsia" w:asciiTheme="minorEastAsia" w:hAnsiTheme="minorEastAsia" w:cstheme="minorEastAsia"/>
          <w:sz w:val="24"/>
          <w:szCs w:val="24"/>
          <w:highlight w:val="none"/>
        </w:rPr>
        <w:t>公告在《河南省政府采购网》、《</w:t>
      </w:r>
      <w:r>
        <w:rPr>
          <w:rFonts w:hint="eastAsia" w:ascii="宋体" w:hAnsi="宋体" w:cs="Calibri"/>
          <w:kern w:val="0"/>
          <w:sz w:val="24"/>
          <w:highlight w:val="none"/>
        </w:rPr>
        <w:t>中国采购与招标网</w:t>
      </w:r>
      <w:r>
        <w:rPr>
          <w:rFonts w:hint="eastAsia" w:asciiTheme="minorEastAsia" w:hAnsiTheme="minorEastAsia" w:cstheme="minorEastAsia"/>
          <w:sz w:val="24"/>
          <w:szCs w:val="24"/>
          <w:highlight w:val="none"/>
        </w:rPr>
        <w:t>》、《三门峡市公共资源交易中心》上发布</w:t>
      </w:r>
      <w:r>
        <w:rPr>
          <w:rFonts w:hint="eastAsia" w:asciiTheme="minorEastAsia" w:hAnsiTheme="minorEastAsia" w:cstheme="minorEastAsia"/>
          <w:sz w:val="24"/>
          <w:szCs w:val="24"/>
          <w:highlight w:val="none"/>
          <w:lang w:eastAsia="zh-CN"/>
        </w:rPr>
        <w:t>，</w:t>
      </w:r>
      <w:r>
        <w:rPr>
          <w:rFonts w:hint="eastAsia" w:asciiTheme="minorEastAsia" w:hAnsiTheme="minorEastAsia" w:cstheme="minorEastAsia"/>
          <w:sz w:val="24"/>
          <w:szCs w:val="24"/>
          <w:highlight w:val="none"/>
        </w:rPr>
        <w:t>招标公告期限为三个工作日 。</w:t>
      </w:r>
    </w:p>
    <w:p w14:paraId="457FBD56">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七、其他补充事宜</w:t>
      </w:r>
    </w:p>
    <w:p w14:paraId="508F59A4">
      <w:pPr>
        <w:spacing w:line="360" w:lineRule="auto"/>
        <w:ind w:firstLine="484" w:firstLineChars="202"/>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1.本项目为不见面开标项目，开标当日，供应商无需到开标现场参加开标会议，供应商应当在投标截止时间前，登陆不见面开标大厅选择登陆三门峡市公共资源电子招投标系统进行登陆（网址为</w:t>
      </w:r>
      <w:r>
        <w:rPr>
          <w:rFonts w:asciiTheme="minorEastAsia" w:hAnsiTheme="minorEastAsia" w:cstheme="minorEastAsia"/>
          <w:sz w:val="24"/>
          <w:szCs w:val="24"/>
          <w:highlight w:val="none"/>
        </w:rPr>
        <w:t>http://120.194.249.36:10094/BidOpening/bidopeninghallaction/hall/login</w:t>
      </w:r>
      <w:r>
        <w:rPr>
          <w:rFonts w:hint="eastAsia" w:asciiTheme="minorEastAsia" w:hAnsiTheme="minorEastAsia" w:cstheme="minorEastAsia"/>
          <w:sz w:val="24"/>
          <w:szCs w:val="24"/>
          <w:highlight w:val="none"/>
        </w:rPr>
        <w:t>）,在线准时参加开标活动并进行投标文件解密等。每位供应商的解密时间为开标时间起30分钟内完成。因供应商原因未能解密、解密失败或解密超时的将被拒绝。</w:t>
      </w:r>
    </w:p>
    <w:p w14:paraId="266EDAC5">
      <w:pPr>
        <w:spacing w:line="360" w:lineRule="auto"/>
        <w:ind w:firstLine="484" w:firstLineChars="202"/>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2.本项目为电子化、无纸化交易项目，开标时不再接受任何纸质资料，为保证您能投标成功，请需仔细阅读招标文件和三门峡市公共资源交易中心官网业务办理指南。</w:t>
      </w:r>
    </w:p>
    <w:p w14:paraId="05CB8A84">
      <w:pPr>
        <w:spacing w:line="360" w:lineRule="auto"/>
        <w:ind w:firstLine="484" w:firstLineChars="202"/>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3.根据《河南省财政厅关于优化政府采购营商环境有关问题的通知》（豫财购【2019】4号）第6条的规定，投标保证金不再收取。</w:t>
      </w:r>
    </w:p>
    <w:p w14:paraId="6C8DA059">
      <w:pPr>
        <w:spacing w:line="360" w:lineRule="auto"/>
        <w:ind w:firstLine="484" w:firstLineChars="202"/>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4.</w:t>
      </w:r>
      <w:r>
        <w:rPr>
          <w:rFonts w:hint="eastAsia"/>
          <w:sz w:val="24"/>
          <w:szCs w:val="24"/>
          <w:highlight w:val="none"/>
        </w:rPr>
        <w:t xml:space="preserve"> </w:t>
      </w:r>
      <w:r>
        <w:rPr>
          <w:rFonts w:hint="eastAsia" w:asciiTheme="minorEastAsia" w:hAnsiTheme="minorEastAsia" w:cstheme="minorEastAsia"/>
          <w:sz w:val="24"/>
          <w:szCs w:val="24"/>
          <w:highlight w:val="none"/>
        </w:rPr>
        <w:t>资格评（预）审部分：资格评（预）以投标文件为准，其上传资料真实性由供应商自行承担。同时，供应商应在开标前自行完善主体库信息。</w:t>
      </w:r>
    </w:p>
    <w:p w14:paraId="104D7198">
      <w:pPr>
        <w:spacing w:line="360" w:lineRule="auto"/>
        <w:ind w:firstLine="484" w:firstLineChars="202"/>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5.评标打分部分：评标打分部分仍按照100分制原则进行，涉及到资格审查、企业荣誉、企业业绩等计分部分时，以投标单位自行上传到投标文件中的相应内容为准。</w:t>
      </w:r>
    </w:p>
    <w:p w14:paraId="060B800E">
      <w:pPr>
        <w:spacing w:line="360" w:lineRule="auto"/>
        <w:ind w:firstLine="484" w:firstLineChars="202"/>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6.在招标文件中要求供应商按照</w:t>
      </w:r>
      <w:r>
        <w:rPr>
          <w:rFonts w:hint="eastAsia" w:asciiTheme="minorEastAsia" w:hAnsiTheme="minorEastAsia" w:cstheme="minorEastAsia"/>
          <w:sz w:val="24"/>
          <w:szCs w:val="24"/>
          <w:highlight w:val="none"/>
          <w:lang w:eastAsia="zh-CN"/>
        </w:rPr>
        <w:t>响应文件格式</w:t>
      </w:r>
      <w:r>
        <w:rPr>
          <w:rFonts w:hint="eastAsia" w:asciiTheme="minorEastAsia" w:hAnsiTheme="minorEastAsia" w:cstheme="minorEastAsia"/>
          <w:sz w:val="24"/>
          <w:szCs w:val="24"/>
          <w:highlight w:val="none"/>
        </w:rPr>
        <w:t>进行投标文件编制，在投标文件编制时，应明确将供应商企业基本情况、人员情况、财务情况、业绩情况编入投标文件，便于进行资格审查及评标打分。</w:t>
      </w:r>
    </w:p>
    <w:p w14:paraId="023C5688">
      <w:pPr>
        <w:spacing w:line="360" w:lineRule="auto"/>
        <w:ind w:firstLine="484" w:firstLineChars="202"/>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7.我单位（采购人）严格按三财购【2021】9号文要求的时限发布中标结果公告，发出中标通知书，签订采购合同，上传采购合同。</w:t>
      </w:r>
    </w:p>
    <w:p w14:paraId="0152FE28">
      <w:pPr>
        <w:spacing w:line="360" w:lineRule="auto"/>
        <w:ind w:firstLine="484" w:firstLineChars="202"/>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lang w:val="en-US" w:eastAsia="zh-CN"/>
        </w:rPr>
        <w:t>8.</w:t>
      </w:r>
      <w:r>
        <w:rPr>
          <w:rFonts w:hint="eastAsia" w:asciiTheme="minorEastAsia" w:hAnsiTheme="minorEastAsia" w:cstheme="minorEastAsia"/>
          <w:sz w:val="24"/>
          <w:szCs w:val="24"/>
          <w:highlight w:val="none"/>
        </w:rPr>
        <w:t>监督名称：渑池县政府采购办公室，联系方式：0398-4818677</w:t>
      </w:r>
    </w:p>
    <w:p w14:paraId="5FD050C8">
      <w:pPr>
        <w:spacing w:line="360" w:lineRule="auto"/>
        <w:ind w:firstLine="484" w:firstLineChars="202"/>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八、凡对本次招标提出询问，请按照以下方式联系</w:t>
      </w:r>
    </w:p>
    <w:p w14:paraId="055F1CA3">
      <w:pPr>
        <w:spacing w:line="360" w:lineRule="auto"/>
        <w:ind w:firstLine="484" w:firstLineChars="202"/>
        <w:rPr>
          <w:rFonts w:hint="eastAsia" w:asciiTheme="minorEastAsia" w:hAnsiTheme="minorEastAsia" w:cstheme="minorEastAsia"/>
          <w:sz w:val="24"/>
          <w:szCs w:val="24"/>
          <w:highlight w:val="none"/>
          <w:lang w:eastAsia="zh-CN"/>
        </w:rPr>
      </w:pPr>
      <w:bookmarkStart w:id="14" w:name="_Toc27640"/>
      <w:bookmarkStart w:id="15" w:name="_Toc8198"/>
      <w:r>
        <w:rPr>
          <w:rFonts w:hint="eastAsia" w:asciiTheme="minorEastAsia" w:hAnsiTheme="minorEastAsia" w:cstheme="minorEastAsia"/>
          <w:sz w:val="24"/>
          <w:szCs w:val="24"/>
          <w:highlight w:val="none"/>
          <w:lang w:val="en-US" w:eastAsia="zh-CN"/>
        </w:rPr>
        <w:t>1</w:t>
      </w:r>
      <w:r>
        <w:rPr>
          <w:rFonts w:hint="eastAsia" w:asciiTheme="minorEastAsia" w:hAnsiTheme="minorEastAsia" w:cstheme="minorEastAsia"/>
          <w:sz w:val="24"/>
          <w:szCs w:val="24"/>
          <w:highlight w:val="none"/>
        </w:rPr>
        <w:t>、采购人：</w:t>
      </w:r>
      <w:bookmarkEnd w:id="14"/>
      <w:bookmarkEnd w:id="15"/>
      <w:r>
        <w:rPr>
          <w:rFonts w:hint="eastAsia" w:asciiTheme="minorEastAsia" w:hAnsiTheme="minorEastAsia" w:cstheme="minorEastAsia"/>
          <w:sz w:val="24"/>
          <w:szCs w:val="24"/>
          <w:highlight w:val="none"/>
          <w:lang w:eastAsia="zh-CN"/>
        </w:rPr>
        <w:t>渑池县人民医院</w:t>
      </w:r>
    </w:p>
    <w:p w14:paraId="2CDA554F">
      <w:pPr>
        <w:spacing w:line="360" w:lineRule="auto"/>
        <w:ind w:firstLine="484" w:firstLineChars="202"/>
        <w:rPr>
          <w:rFonts w:hint="eastAsia" w:asciiTheme="minorEastAsia" w:hAnsiTheme="minorEastAsia" w:eastAsiaTheme="minorEastAsia" w:cstheme="minorEastAsia"/>
          <w:sz w:val="24"/>
          <w:szCs w:val="24"/>
          <w:highlight w:val="none"/>
          <w:lang w:val="en-US" w:eastAsia="zh-CN"/>
        </w:rPr>
      </w:pPr>
      <w:bookmarkStart w:id="16" w:name="_Toc6612"/>
      <w:r>
        <w:rPr>
          <w:rFonts w:hint="eastAsia" w:asciiTheme="minorEastAsia" w:hAnsiTheme="minorEastAsia" w:cstheme="minorEastAsia"/>
          <w:sz w:val="24"/>
          <w:szCs w:val="24"/>
          <w:highlight w:val="none"/>
        </w:rPr>
        <w:t>地址：</w:t>
      </w:r>
      <w:r>
        <w:rPr>
          <w:rFonts w:hint="eastAsia" w:asciiTheme="minorEastAsia" w:hAnsiTheme="minorEastAsia" w:cstheme="minorEastAsia"/>
          <w:sz w:val="24"/>
          <w:szCs w:val="24"/>
          <w:highlight w:val="none"/>
          <w:lang w:eastAsia="zh-CN"/>
        </w:rPr>
        <w:t>渑池县黄河路中段</w:t>
      </w:r>
    </w:p>
    <w:p w14:paraId="386824F1">
      <w:pPr>
        <w:spacing w:line="360" w:lineRule="auto"/>
        <w:ind w:firstLine="484" w:firstLineChars="202"/>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rPr>
        <w:t>联系人：</w:t>
      </w:r>
      <w:r>
        <w:rPr>
          <w:rFonts w:hint="eastAsia" w:asciiTheme="minorEastAsia" w:hAnsiTheme="minorEastAsia" w:cstheme="minorEastAsia"/>
          <w:sz w:val="24"/>
          <w:szCs w:val="24"/>
          <w:highlight w:val="none"/>
          <w:lang w:val="en-US" w:eastAsia="zh-CN"/>
        </w:rPr>
        <w:t>关沛沛</w:t>
      </w:r>
    </w:p>
    <w:p w14:paraId="6E8A0245">
      <w:pPr>
        <w:spacing w:line="360" w:lineRule="auto"/>
        <w:ind w:firstLine="484" w:firstLineChars="202"/>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rPr>
        <w:t>联系方式：</w:t>
      </w:r>
      <w:r>
        <w:rPr>
          <w:rFonts w:hint="eastAsia" w:asciiTheme="minorEastAsia" w:hAnsiTheme="minorEastAsia" w:cstheme="minorEastAsia"/>
          <w:sz w:val="24"/>
          <w:szCs w:val="24"/>
          <w:highlight w:val="none"/>
          <w:lang w:eastAsia="zh-CN"/>
        </w:rPr>
        <w:t>0398-2306165</w:t>
      </w:r>
    </w:p>
    <w:p w14:paraId="72122071">
      <w:pPr>
        <w:spacing w:line="360" w:lineRule="auto"/>
        <w:ind w:firstLine="484" w:firstLineChars="202"/>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2</w:t>
      </w:r>
      <w:r>
        <w:rPr>
          <w:rFonts w:hint="eastAsia" w:asciiTheme="minorEastAsia" w:hAnsiTheme="minorEastAsia" w:cstheme="minorEastAsia"/>
          <w:sz w:val="24"/>
          <w:szCs w:val="24"/>
          <w:highlight w:val="none"/>
        </w:rPr>
        <w:t>、</w:t>
      </w:r>
      <w:bookmarkEnd w:id="16"/>
      <w:r>
        <w:rPr>
          <w:rFonts w:hint="eastAsia" w:asciiTheme="minorEastAsia" w:hAnsiTheme="minorEastAsia" w:cstheme="minorEastAsia"/>
          <w:sz w:val="24"/>
          <w:szCs w:val="24"/>
          <w:highlight w:val="none"/>
        </w:rPr>
        <w:t>采购代理机构：</w:t>
      </w:r>
      <w:r>
        <w:rPr>
          <w:rFonts w:hint="eastAsia" w:asciiTheme="minorEastAsia" w:hAnsiTheme="minorEastAsia" w:cstheme="minorEastAsia"/>
          <w:sz w:val="24"/>
          <w:szCs w:val="24"/>
          <w:highlight w:val="none"/>
          <w:lang w:val="en-US" w:eastAsia="zh-CN"/>
        </w:rPr>
        <w:t>中赋安工程项目管理(四川)有限公司</w:t>
      </w:r>
    </w:p>
    <w:p w14:paraId="0B7E5701">
      <w:pPr>
        <w:spacing w:line="360" w:lineRule="auto"/>
        <w:ind w:firstLine="484" w:firstLineChars="202"/>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地址：</w:t>
      </w:r>
      <w:r>
        <w:rPr>
          <w:rFonts w:hint="eastAsia" w:asciiTheme="minorEastAsia" w:hAnsiTheme="minorEastAsia" w:cstheme="minorEastAsia"/>
          <w:sz w:val="24"/>
          <w:szCs w:val="24"/>
          <w:highlight w:val="none"/>
          <w:lang w:eastAsia="zh-CN"/>
        </w:rPr>
        <w:t>四川省成都市武侯区锦绣路1号1栋8层814号</w:t>
      </w:r>
    </w:p>
    <w:p w14:paraId="56FE2C3C">
      <w:pPr>
        <w:spacing w:line="360" w:lineRule="auto"/>
        <w:ind w:firstLine="484" w:firstLineChars="202"/>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联系人：刘广华</w:t>
      </w:r>
    </w:p>
    <w:p w14:paraId="1457F4FD">
      <w:pPr>
        <w:spacing w:line="360" w:lineRule="auto"/>
        <w:ind w:firstLine="484" w:firstLineChars="202"/>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联系电话：18639784773</w:t>
      </w:r>
    </w:p>
    <w:p w14:paraId="08021130">
      <w:pPr>
        <w:adjustRightInd w:val="0"/>
        <w:snapToGrid w:val="0"/>
        <w:spacing w:line="360" w:lineRule="auto"/>
        <w:ind w:firstLine="480" w:firstLineChars="200"/>
        <w:outlineLvl w:val="9"/>
        <w:rPr>
          <w:rFonts w:hint="eastAsia" w:ascii="宋体" w:hAnsi="宋体" w:cs="宋体"/>
          <w:sz w:val="24"/>
          <w:highlight w:val="none"/>
        </w:rPr>
      </w:pPr>
      <w:r>
        <w:rPr>
          <w:rFonts w:hint="eastAsia" w:ascii="宋体" w:hAnsi="宋体" w:cs="宋体"/>
          <w:sz w:val="24"/>
          <w:highlight w:val="none"/>
        </w:rPr>
        <w:br w:type="page"/>
      </w:r>
    </w:p>
    <w:p w14:paraId="525A1549">
      <w:pPr>
        <w:pStyle w:val="3"/>
        <w:jc w:val="center"/>
        <w:rPr>
          <w:highlight w:val="none"/>
        </w:rPr>
      </w:pPr>
      <w:bookmarkStart w:id="17" w:name="_Toc18788"/>
      <w:bookmarkStart w:id="18" w:name="_Toc43302780"/>
      <w:bookmarkStart w:id="19" w:name="_Toc32032"/>
      <w:bookmarkStart w:id="20" w:name="_Toc31308"/>
      <w:bookmarkStart w:id="21" w:name="_Toc20926"/>
      <w:bookmarkStart w:id="22" w:name="_Toc10227"/>
      <w:r>
        <w:rPr>
          <w:rFonts w:hint="eastAsia"/>
          <w:highlight w:val="none"/>
        </w:rPr>
        <w:t>第二章</w:t>
      </w:r>
      <w:bookmarkEnd w:id="17"/>
      <w:r>
        <w:rPr>
          <w:rFonts w:hint="eastAsia"/>
          <w:highlight w:val="none"/>
        </w:rPr>
        <w:t xml:space="preserve">  供应商须知</w:t>
      </w:r>
      <w:bookmarkEnd w:id="18"/>
      <w:bookmarkEnd w:id="19"/>
      <w:bookmarkEnd w:id="20"/>
      <w:bookmarkEnd w:id="21"/>
      <w:bookmarkEnd w:id="22"/>
    </w:p>
    <w:p w14:paraId="64EF69DC">
      <w:pPr>
        <w:widowControl/>
        <w:jc w:val="center"/>
        <w:rPr>
          <w:sz w:val="24"/>
          <w:highlight w:val="none"/>
        </w:rPr>
      </w:pPr>
      <w:bookmarkStart w:id="23" w:name="_Toc44996337"/>
      <w:bookmarkEnd w:id="23"/>
      <w:r>
        <w:rPr>
          <w:rFonts w:hint="eastAsia"/>
          <w:sz w:val="24"/>
          <w:highlight w:val="none"/>
        </w:rPr>
        <w:t>供应商须知前附表</w:t>
      </w:r>
    </w:p>
    <w:tbl>
      <w:tblPr>
        <w:tblStyle w:val="13"/>
        <w:tblW w:w="9120" w:type="dxa"/>
        <w:jc w:val="center"/>
        <w:tblLayout w:type="fixed"/>
        <w:tblCellMar>
          <w:top w:w="0" w:type="dxa"/>
          <w:left w:w="108" w:type="dxa"/>
          <w:bottom w:w="0" w:type="dxa"/>
          <w:right w:w="108" w:type="dxa"/>
        </w:tblCellMar>
      </w:tblPr>
      <w:tblGrid>
        <w:gridCol w:w="697"/>
        <w:gridCol w:w="2070"/>
        <w:gridCol w:w="6353"/>
      </w:tblGrid>
      <w:tr w14:paraId="10EC256E">
        <w:tblPrEx>
          <w:tblCellMar>
            <w:top w:w="0" w:type="dxa"/>
            <w:left w:w="108" w:type="dxa"/>
            <w:bottom w:w="0" w:type="dxa"/>
            <w:right w:w="108" w:type="dxa"/>
          </w:tblCellMar>
        </w:tblPrEx>
        <w:trPr>
          <w:trHeight w:val="411"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4FBCFCAE">
            <w:pPr>
              <w:widowControl/>
              <w:jc w:val="center"/>
              <w:rPr>
                <w:rFonts w:hint="eastAsia" w:ascii="宋体" w:hAnsi="宋体" w:cs="Calibri"/>
                <w:sz w:val="24"/>
                <w:highlight w:val="none"/>
              </w:rPr>
            </w:pPr>
            <w:r>
              <w:rPr>
                <w:rFonts w:hint="eastAsia" w:ascii="宋体" w:hAnsi="宋体" w:cs="Calibri"/>
                <w:kern w:val="0"/>
                <w:sz w:val="24"/>
                <w:highlight w:val="none"/>
              </w:rPr>
              <w:t>序号</w:t>
            </w:r>
          </w:p>
        </w:tc>
        <w:tc>
          <w:tcPr>
            <w:tcW w:w="2070" w:type="dxa"/>
            <w:tcBorders>
              <w:top w:val="single" w:color="auto" w:sz="4" w:space="0"/>
              <w:left w:val="nil"/>
              <w:bottom w:val="single" w:color="auto" w:sz="4" w:space="0"/>
              <w:right w:val="single" w:color="auto" w:sz="4" w:space="0"/>
            </w:tcBorders>
            <w:vAlign w:val="center"/>
          </w:tcPr>
          <w:p w14:paraId="20367E4C">
            <w:pPr>
              <w:widowControl/>
              <w:ind w:firstLine="240" w:firstLineChars="100"/>
              <w:jc w:val="center"/>
              <w:rPr>
                <w:rFonts w:hint="eastAsia" w:ascii="宋体" w:hAnsi="宋体" w:cs="Calibri"/>
                <w:sz w:val="24"/>
                <w:highlight w:val="none"/>
              </w:rPr>
            </w:pPr>
            <w:r>
              <w:rPr>
                <w:rFonts w:hint="eastAsia" w:ascii="宋体" w:hAnsi="宋体" w:cs="Calibri"/>
                <w:kern w:val="0"/>
                <w:sz w:val="24"/>
                <w:highlight w:val="none"/>
              </w:rPr>
              <w:t>条款名称</w:t>
            </w:r>
          </w:p>
        </w:tc>
        <w:tc>
          <w:tcPr>
            <w:tcW w:w="6353" w:type="dxa"/>
            <w:tcBorders>
              <w:top w:val="single" w:color="auto" w:sz="4" w:space="0"/>
              <w:left w:val="nil"/>
              <w:bottom w:val="single" w:color="auto" w:sz="4" w:space="0"/>
              <w:right w:val="single" w:color="auto" w:sz="4" w:space="0"/>
            </w:tcBorders>
            <w:vAlign w:val="center"/>
          </w:tcPr>
          <w:p w14:paraId="6597F057">
            <w:pPr>
              <w:widowControl/>
              <w:ind w:left="-48" w:leftChars="-23"/>
              <w:jc w:val="center"/>
              <w:rPr>
                <w:rFonts w:hint="eastAsia" w:ascii="宋体" w:hAnsi="宋体" w:cs="Calibri"/>
                <w:sz w:val="24"/>
                <w:highlight w:val="none"/>
              </w:rPr>
            </w:pPr>
            <w:r>
              <w:rPr>
                <w:rFonts w:hint="eastAsia" w:ascii="宋体" w:hAnsi="宋体" w:cs="Calibri"/>
                <w:kern w:val="0"/>
                <w:sz w:val="24"/>
                <w:highlight w:val="none"/>
              </w:rPr>
              <w:t>编列内容</w:t>
            </w:r>
          </w:p>
        </w:tc>
      </w:tr>
      <w:tr w14:paraId="7105D11E">
        <w:tblPrEx>
          <w:tblCellMar>
            <w:top w:w="0" w:type="dxa"/>
            <w:left w:w="108" w:type="dxa"/>
            <w:bottom w:w="0" w:type="dxa"/>
            <w:right w:w="108" w:type="dxa"/>
          </w:tblCellMar>
        </w:tblPrEx>
        <w:trPr>
          <w:trHeight w:val="2016"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4E64AF0C">
            <w:pPr>
              <w:widowControl/>
              <w:jc w:val="center"/>
              <w:rPr>
                <w:rFonts w:hint="eastAsia" w:ascii="宋体" w:hAnsi="宋体" w:cs="Calibri"/>
                <w:sz w:val="24"/>
                <w:highlight w:val="none"/>
              </w:rPr>
            </w:pPr>
            <w:r>
              <w:rPr>
                <w:rFonts w:hint="eastAsia" w:ascii="宋体" w:hAnsi="宋体" w:cs="Calibri"/>
                <w:kern w:val="0"/>
                <w:sz w:val="24"/>
                <w:highlight w:val="none"/>
              </w:rPr>
              <w:t>1</w:t>
            </w:r>
          </w:p>
        </w:tc>
        <w:tc>
          <w:tcPr>
            <w:tcW w:w="2070" w:type="dxa"/>
            <w:tcBorders>
              <w:top w:val="single" w:color="auto" w:sz="4" w:space="0"/>
              <w:left w:val="nil"/>
              <w:bottom w:val="single" w:color="auto" w:sz="4" w:space="0"/>
              <w:right w:val="single" w:color="auto" w:sz="4" w:space="0"/>
            </w:tcBorders>
            <w:vAlign w:val="center"/>
          </w:tcPr>
          <w:p w14:paraId="079C4125">
            <w:pPr>
              <w:widowControl/>
              <w:jc w:val="center"/>
              <w:rPr>
                <w:rFonts w:hint="eastAsia" w:ascii="宋体" w:hAnsi="宋体" w:cs="Calibri"/>
                <w:sz w:val="24"/>
                <w:highlight w:val="none"/>
              </w:rPr>
            </w:pPr>
            <w:r>
              <w:rPr>
                <w:rFonts w:hint="eastAsia" w:ascii="宋体" w:hAnsi="宋体" w:cs="Calibri"/>
                <w:sz w:val="24"/>
                <w:highlight w:val="none"/>
              </w:rPr>
              <w:t>采购人</w:t>
            </w:r>
          </w:p>
        </w:tc>
        <w:tc>
          <w:tcPr>
            <w:tcW w:w="6353" w:type="dxa"/>
            <w:tcBorders>
              <w:top w:val="single" w:color="auto" w:sz="4" w:space="0"/>
              <w:left w:val="nil"/>
              <w:bottom w:val="single" w:color="auto" w:sz="4" w:space="0"/>
              <w:right w:val="single" w:color="auto" w:sz="4" w:space="0"/>
            </w:tcBorders>
            <w:vAlign w:val="center"/>
          </w:tcPr>
          <w:p w14:paraId="107BDD7E">
            <w:pPr>
              <w:spacing w:line="480" w:lineRule="exact"/>
              <w:jc w:val="left"/>
              <w:outlineLvl w:val="0"/>
              <w:rPr>
                <w:rFonts w:hint="eastAsia" w:ascii="宋体" w:hAnsi="宋体" w:cs="宋体" w:eastAsiaTheme="minorEastAsia"/>
                <w:sz w:val="24"/>
                <w:highlight w:val="none"/>
                <w:lang w:eastAsia="zh-CN"/>
              </w:rPr>
            </w:pPr>
            <w:bookmarkStart w:id="24" w:name="_Toc30097"/>
            <w:bookmarkStart w:id="25" w:name="_Toc29076"/>
            <w:r>
              <w:rPr>
                <w:rFonts w:ascii="宋体" w:hAnsi="宋体" w:cs="宋体"/>
                <w:sz w:val="24"/>
                <w:highlight w:val="none"/>
              </w:rPr>
              <w:t>采购人：</w:t>
            </w:r>
            <w:bookmarkEnd w:id="24"/>
            <w:bookmarkEnd w:id="25"/>
            <w:r>
              <w:rPr>
                <w:rFonts w:hint="eastAsia" w:ascii="宋体" w:hAnsi="宋体" w:cs="宋体"/>
                <w:sz w:val="24"/>
                <w:highlight w:val="none"/>
                <w:lang w:eastAsia="zh-CN"/>
              </w:rPr>
              <w:t>渑池县人民医院</w:t>
            </w:r>
          </w:p>
          <w:p w14:paraId="535DAC59">
            <w:pPr>
              <w:spacing w:line="480" w:lineRule="exact"/>
              <w:jc w:val="left"/>
              <w:outlineLvl w:val="0"/>
              <w:rPr>
                <w:rFonts w:hint="eastAsia" w:ascii="宋体" w:hAnsi="宋体" w:cs="宋体" w:eastAsiaTheme="minorEastAsia"/>
                <w:sz w:val="24"/>
                <w:highlight w:val="none"/>
                <w:lang w:val="en-US" w:eastAsia="zh-CN"/>
              </w:rPr>
            </w:pPr>
            <w:r>
              <w:rPr>
                <w:rFonts w:hint="eastAsia" w:ascii="宋体" w:hAnsi="宋体" w:cs="宋体"/>
                <w:sz w:val="24"/>
                <w:highlight w:val="none"/>
              </w:rPr>
              <w:t>地址：</w:t>
            </w:r>
            <w:r>
              <w:rPr>
                <w:rFonts w:hint="eastAsia" w:ascii="宋体" w:hAnsi="宋体" w:cs="宋体"/>
                <w:sz w:val="24"/>
                <w:highlight w:val="none"/>
                <w:lang w:eastAsia="zh-CN"/>
              </w:rPr>
              <w:t>渑池县黄河路中段</w:t>
            </w:r>
          </w:p>
          <w:p w14:paraId="36A28D00">
            <w:pPr>
              <w:spacing w:line="480" w:lineRule="exact"/>
              <w:jc w:val="left"/>
              <w:outlineLvl w:val="0"/>
              <w:rPr>
                <w:rFonts w:hint="eastAsia" w:ascii="宋体" w:hAnsi="宋体" w:cs="宋体"/>
                <w:sz w:val="24"/>
                <w:highlight w:val="none"/>
                <w:lang w:eastAsia="zh-CN"/>
              </w:rPr>
            </w:pPr>
            <w:r>
              <w:rPr>
                <w:rFonts w:hint="eastAsia" w:ascii="宋体" w:hAnsi="宋体" w:cs="宋体"/>
                <w:sz w:val="24"/>
                <w:highlight w:val="none"/>
              </w:rPr>
              <w:t>联系人：</w:t>
            </w:r>
            <w:r>
              <w:rPr>
                <w:rFonts w:hint="eastAsia" w:ascii="宋体" w:hAnsi="宋体" w:cs="宋体"/>
                <w:sz w:val="24"/>
                <w:highlight w:val="none"/>
                <w:lang w:val="en-US" w:eastAsia="zh-CN"/>
              </w:rPr>
              <w:t>关沛沛</w:t>
            </w:r>
          </w:p>
          <w:p w14:paraId="119BA0E7">
            <w:pPr>
              <w:spacing w:line="480" w:lineRule="exact"/>
              <w:jc w:val="left"/>
              <w:outlineLvl w:val="0"/>
              <w:rPr>
                <w:rFonts w:hint="eastAsia" w:ascii="宋体" w:hAnsi="宋体" w:cs="宋体" w:eastAsiaTheme="minorEastAsia"/>
                <w:sz w:val="24"/>
                <w:highlight w:val="none"/>
                <w:lang w:eastAsia="zh-CN"/>
              </w:rPr>
            </w:pPr>
            <w:r>
              <w:rPr>
                <w:rFonts w:hint="eastAsia" w:ascii="宋体" w:hAnsi="宋体" w:cs="宋体"/>
                <w:sz w:val="24"/>
                <w:highlight w:val="none"/>
              </w:rPr>
              <w:t>联系方式：</w:t>
            </w:r>
            <w:r>
              <w:rPr>
                <w:rFonts w:hint="eastAsia" w:ascii="宋体" w:hAnsi="宋体" w:cs="宋体"/>
                <w:sz w:val="24"/>
                <w:highlight w:val="none"/>
                <w:lang w:eastAsia="zh-CN"/>
              </w:rPr>
              <w:t>0398-2306165</w:t>
            </w:r>
          </w:p>
        </w:tc>
      </w:tr>
      <w:tr w14:paraId="446564F7">
        <w:tblPrEx>
          <w:tblCellMar>
            <w:top w:w="0" w:type="dxa"/>
            <w:left w:w="108" w:type="dxa"/>
            <w:bottom w:w="0" w:type="dxa"/>
            <w:right w:w="108" w:type="dxa"/>
          </w:tblCellMar>
        </w:tblPrEx>
        <w:trPr>
          <w:trHeight w:val="1996"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07345254">
            <w:pPr>
              <w:widowControl/>
              <w:jc w:val="center"/>
              <w:rPr>
                <w:rFonts w:hint="eastAsia" w:ascii="宋体" w:hAnsi="宋体" w:cs="Calibri"/>
                <w:sz w:val="24"/>
                <w:highlight w:val="none"/>
              </w:rPr>
            </w:pPr>
            <w:r>
              <w:rPr>
                <w:rFonts w:hint="eastAsia" w:ascii="宋体" w:hAnsi="宋体" w:cs="Calibri"/>
                <w:kern w:val="0"/>
                <w:sz w:val="24"/>
                <w:highlight w:val="none"/>
              </w:rPr>
              <w:t>2</w:t>
            </w:r>
          </w:p>
        </w:tc>
        <w:tc>
          <w:tcPr>
            <w:tcW w:w="2070" w:type="dxa"/>
            <w:tcBorders>
              <w:top w:val="single" w:color="auto" w:sz="4" w:space="0"/>
              <w:left w:val="nil"/>
              <w:bottom w:val="single" w:color="auto" w:sz="4" w:space="0"/>
              <w:right w:val="single" w:color="auto" w:sz="4" w:space="0"/>
            </w:tcBorders>
            <w:vAlign w:val="center"/>
          </w:tcPr>
          <w:p w14:paraId="7D471FAD">
            <w:pPr>
              <w:widowControl/>
              <w:jc w:val="center"/>
              <w:rPr>
                <w:rFonts w:hint="eastAsia" w:ascii="宋体" w:hAnsi="宋体" w:cs="Calibri"/>
                <w:sz w:val="24"/>
                <w:highlight w:val="none"/>
              </w:rPr>
            </w:pPr>
            <w:r>
              <w:rPr>
                <w:rFonts w:hint="eastAsia" w:ascii="宋体" w:hAnsi="宋体" w:cs="Calibri"/>
                <w:kern w:val="0"/>
                <w:sz w:val="24"/>
                <w:highlight w:val="none"/>
              </w:rPr>
              <w:t>采购代理机构</w:t>
            </w:r>
          </w:p>
        </w:tc>
        <w:tc>
          <w:tcPr>
            <w:tcW w:w="6353" w:type="dxa"/>
            <w:tcBorders>
              <w:top w:val="single" w:color="auto" w:sz="4" w:space="0"/>
              <w:left w:val="nil"/>
              <w:bottom w:val="single" w:color="auto" w:sz="4" w:space="0"/>
              <w:right w:val="single" w:color="auto" w:sz="4" w:space="0"/>
            </w:tcBorders>
            <w:vAlign w:val="center"/>
          </w:tcPr>
          <w:p w14:paraId="64D41FE0">
            <w:pPr>
              <w:spacing w:line="480" w:lineRule="exact"/>
              <w:jc w:val="left"/>
              <w:outlineLvl w:val="0"/>
              <w:rPr>
                <w:rFonts w:hint="eastAsia" w:ascii="宋体" w:hAnsi="宋体" w:cs="宋体"/>
                <w:sz w:val="24"/>
                <w:highlight w:val="none"/>
                <w:lang w:val="en-US" w:eastAsia="zh-CN"/>
              </w:rPr>
            </w:pPr>
            <w:bookmarkStart w:id="26" w:name="_Toc19617"/>
            <w:bookmarkStart w:id="27" w:name="_Toc30248"/>
            <w:r>
              <w:rPr>
                <w:rFonts w:ascii="宋体" w:hAnsi="宋体" w:cs="宋体"/>
                <w:sz w:val="24"/>
                <w:highlight w:val="none"/>
              </w:rPr>
              <w:t>采购</w:t>
            </w:r>
            <w:r>
              <w:rPr>
                <w:rFonts w:hint="eastAsia" w:ascii="宋体" w:hAnsi="宋体" w:cs="宋体"/>
                <w:sz w:val="24"/>
                <w:highlight w:val="none"/>
                <w:lang w:val="en-US" w:eastAsia="zh-CN"/>
              </w:rPr>
              <w:t>代理机构：</w:t>
            </w:r>
            <w:bookmarkEnd w:id="26"/>
            <w:bookmarkEnd w:id="27"/>
            <w:r>
              <w:rPr>
                <w:rFonts w:hint="eastAsia" w:ascii="宋体" w:hAnsi="宋体" w:cs="宋体"/>
                <w:sz w:val="24"/>
                <w:highlight w:val="none"/>
                <w:lang w:val="en-US" w:eastAsia="zh-CN"/>
              </w:rPr>
              <w:t>中赋安工程项目管理(四川)有限公司</w:t>
            </w:r>
          </w:p>
          <w:p w14:paraId="5A135D24">
            <w:pPr>
              <w:spacing w:line="480" w:lineRule="exact"/>
              <w:jc w:val="left"/>
              <w:outlineLvl w:val="0"/>
              <w:rPr>
                <w:rFonts w:hint="eastAsia" w:ascii="宋体" w:hAnsi="宋体" w:cs="宋体" w:eastAsiaTheme="minorEastAsia"/>
                <w:sz w:val="24"/>
                <w:highlight w:val="none"/>
                <w:lang w:val="en-US" w:eastAsia="zh-CN"/>
              </w:rPr>
            </w:pPr>
            <w:bookmarkStart w:id="28" w:name="_Toc10119"/>
            <w:bookmarkStart w:id="29" w:name="_Toc30127"/>
            <w:r>
              <w:rPr>
                <w:rFonts w:hint="eastAsia" w:ascii="宋体" w:hAnsi="宋体" w:cs="宋体"/>
                <w:sz w:val="24"/>
                <w:highlight w:val="none"/>
                <w:lang w:val="en-US" w:eastAsia="zh-CN"/>
              </w:rPr>
              <w:t>地址：</w:t>
            </w:r>
            <w:bookmarkEnd w:id="28"/>
            <w:bookmarkEnd w:id="29"/>
            <w:r>
              <w:rPr>
                <w:rFonts w:hint="eastAsia" w:ascii="宋体" w:hAnsi="宋体" w:cs="宋体"/>
                <w:sz w:val="24"/>
                <w:highlight w:val="none"/>
                <w:lang w:eastAsia="zh-CN"/>
              </w:rPr>
              <w:t>四川省成都市武侯区锦绣路1号1栋8层814号</w:t>
            </w:r>
          </w:p>
          <w:p w14:paraId="6622470C">
            <w:pPr>
              <w:spacing w:line="480" w:lineRule="exact"/>
              <w:jc w:val="left"/>
              <w:outlineLvl w:val="0"/>
              <w:rPr>
                <w:rFonts w:hint="eastAsia" w:ascii="宋体" w:hAnsi="宋体" w:cs="宋体"/>
                <w:sz w:val="24"/>
                <w:highlight w:val="none"/>
                <w:lang w:val="en-US" w:eastAsia="zh-CN"/>
              </w:rPr>
            </w:pPr>
            <w:bookmarkStart w:id="30" w:name="_Toc28244"/>
            <w:bookmarkStart w:id="31" w:name="_Toc7076"/>
            <w:r>
              <w:rPr>
                <w:rFonts w:hint="eastAsia" w:ascii="宋体" w:hAnsi="宋体" w:cs="宋体"/>
                <w:sz w:val="24"/>
                <w:highlight w:val="none"/>
                <w:lang w:val="en-US" w:eastAsia="zh-CN"/>
              </w:rPr>
              <w:t>联系人：</w:t>
            </w:r>
            <w:bookmarkEnd w:id="30"/>
            <w:bookmarkEnd w:id="31"/>
            <w:r>
              <w:rPr>
                <w:rFonts w:hint="eastAsia" w:ascii="宋体" w:hAnsi="宋体" w:cs="宋体"/>
                <w:sz w:val="24"/>
                <w:highlight w:val="none"/>
                <w:lang w:val="en-US" w:eastAsia="zh-CN"/>
              </w:rPr>
              <w:t>刘广华</w:t>
            </w:r>
          </w:p>
          <w:p w14:paraId="55D7FD1E">
            <w:pPr>
              <w:spacing w:line="480" w:lineRule="exact"/>
              <w:jc w:val="left"/>
              <w:outlineLvl w:val="0"/>
              <w:rPr>
                <w:rFonts w:hint="eastAsia" w:ascii="宋体" w:hAnsi="宋体" w:cs="宋体"/>
                <w:sz w:val="24"/>
                <w:highlight w:val="none"/>
              </w:rPr>
            </w:pPr>
            <w:bookmarkStart w:id="32" w:name="_Toc3545"/>
            <w:bookmarkStart w:id="33" w:name="_Toc17692"/>
            <w:r>
              <w:rPr>
                <w:rFonts w:hint="eastAsia" w:ascii="宋体" w:hAnsi="宋体" w:cs="宋体"/>
                <w:sz w:val="24"/>
                <w:highlight w:val="none"/>
                <w:lang w:val="en-US" w:eastAsia="zh-CN"/>
              </w:rPr>
              <w:t>联系电话：</w:t>
            </w:r>
            <w:bookmarkEnd w:id="32"/>
            <w:bookmarkEnd w:id="33"/>
            <w:r>
              <w:rPr>
                <w:rFonts w:hint="eastAsia" w:ascii="宋体" w:hAnsi="宋体" w:cs="宋体"/>
                <w:sz w:val="24"/>
                <w:highlight w:val="none"/>
                <w:lang w:val="en-US" w:eastAsia="zh-CN"/>
              </w:rPr>
              <w:t>18639784773</w:t>
            </w:r>
          </w:p>
        </w:tc>
      </w:tr>
      <w:tr w14:paraId="662BE735">
        <w:tblPrEx>
          <w:tblCellMar>
            <w:top w:w="0" w:type="dxa"/>
            <w:left w:w="108" w:type="dxa"/>
            <w:bottom w:w="0" w:type="dxa"/>
            <w:right w:w="108" w:type="dxa"/>
          </w:tblCellMar>
        </w:tblPrEx>
        <w:trPr>
          <w:trHeight w:val="520"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00DF22E3">
            <w:pPr>
              <w:widowControl/>
              <w:jc w:val="center"/>
              <w:rPr>
                <w:rFonts w:hint="eastAsia" w:ascii="宋体" w:hAnsi="宋体" w:cs="Calibri"/>
                <w:sz w:val="24"/>
                <w:highlight w:val="none"/>
              </w:rPr>
            </w:pPr>
            <w:r>
              <w:rPr>
                <w:rFonts w:hint="eastAsia" w:ascii="宋体" w:hAnsi="宋体" w:cs="Calibri"/>
                <w:kern w:val="0"/>
                <w:sz w:val="24"/>
                <w:highlight w:val="none"/>
              </w:rPr>
              <w:t>3</w:t>
            </w:r>
          </w:p>
        </w:tc>
        <w:tc>
          <w:tcPr>
            <w:tcW w:w="2070" w:type="dxa"/>
            <w:tcBorders>
              <w:top w:val="single" w:color="auto" w:sz="4" w:space="0"/>
              <w:left w:val="nil"/>
              <w:bottom w:val="single" w:color="auto" w:sz="4" w:space="0"/>
              <w:right w:val="single" w:color="auto" w:sz="4" w:space="0"/>
            </w:tcBorders>
            <w:vAlign w:val="center"/>
          </w:tcPr>
          <w:p w14:paraId="0B4A1910">
            <w:pPr>
              <w:widowControl/>
              <w:jc w:val="center"/>
              <w:rPr>
                <w:rFonts w:hint="eastAsia" w:ascii="宋体" w:hAnsi="宋体" w:cs="Calibri"/>
                <w:sz w:val="24"/>
                <w:highlight w:val="none"/>
              </w:rPr>
            </w:pPr>
            <w:r>
              <w:rPr>
                <w:rFonts w:hint="eastAsia" w:ascii="宋体" w:hAnsi="宋体" w:cs="Calibri"/>
                <w:kern w:val="0"/>
                <w:sz w:val="24"/>
                <w:highlight w:val="none"/>
              </w:rPr>
              <w:t>项目名称</w:t>
            </w:r>
          </w:p>
        </w:tc>
        <w:tc>
          <w:tcPr>
            <w:tcW w:w="6353" w:type="dxa"/>
            <w:tcBorders>
              <w:top w:val="single" w:color="auto" w:sz="4" w:space="0"/>
              <w:left w:val="nil"/>
              <w:bottom w:val="single" w:color="auto" w:sz="4" w:space="0"/>
              <w:right w:val="single" w:color="auto" w:sz="4" w:space="0"/>
            </w:tcBorders>
            <w:vAlign w:val="center"/>
          </w:tcPr>
          <w:p w14:paraId="34B02FF0">
            <w:pPr>
              <w:spacing w:line="360" w:lineRule="auto"/>
              <w:rPr>
                <w:rFonts w:hint="eastAsia" w:ascii="宋体" w:hAnsi="宋体" w:cs="Calibri" w:eastAsiaTheme="minorEastAsia"/>
                <w:sz w:val="24"/>
                <w:highlight w:val="none"/>
                <w:lang w:eastAsia="zh-CN"/>
              </w:rPr>
            </w:pPr>
            <w:r>
              <w:rPr>
                <w:rFonts w:hint="eastAsia" w:asciiTheme="minorEastAsia" w:hAnsiTheme="minorEastAsia" w:cstheme="minorEastAsia"/>
                <w:sz w:val="24"/>
                <w:szCs w:val="24"/>
                <w:highlight w:val="none"/>
                <w:lang w:eastAsia="zh-CN"/>
              </w:rPr>
              <w:t>渑池县人民医院中药配方颗粒配送服务采购项目</w:t>
            </w:r>
          </w:p>
        </w:tc>
      </w:tr>
      <w:tr w14:paraId="301F3F8B">
        <w:tblPrEx>
          <w:tblCellMar>
            <w:top w:w="0" w:type="dxa"/>
            <w:left w:w="108" w:type="dxa"/>
            <w:bottom w:w="0" w:type="dxa"/>
            <w:right w:w="108" w:type="dxa"/>
          </w:tblCellMar>
        </w:tblPrEx>
        <w:trPr>
          <w:trHeight w:val="570"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3D51DCB8">
            <w:pPr>
              <w:widowControl/>
              <w:jc w:val="center"/>
              <w:rPr>
                <w:rFonts w:hint="eastAsia" w:ascii="宋体" w:hAnsi="宋体" w:cs="Calibri"/>
                <w:sz w:val="24"/>
                <w:highlight w:val="none"/>
              </w:rPr>
            </w:pPr>
            <w:r>
              <w:rPr>
                <w:rFonts w:hint="eastAsia" w:ascii="宋体" w:hAnsi="宋体" w:cs="Calibri"/>
                <w:kern w:val="0"/>
                <w:sz w:val="24"/>
                <w:highlight w:val="none"/>
              </w:rPr>
              <w:t>4</w:t>
            </w:r>
          </w:p>
        </w:tc>
        <w:tc>
          <w:tcPr>
            <w:tcW w:w="2070" w:type="dxa"/>
            <w:tcBorders>
              <w:top w:val="single" w:color="auto" w:sz="4" w:space="0"/>
              <w:left w:val="nil"/>
              <w:bottom w:val="single" w:color="auto" w:sz="4" w:space="0"/>
              <w:right w:val="single" w:color="auto" w:sz="4" w:space="0"/>
            </w:tcBorders>
            <w:vAlign w:val="center"/>
          </w:tcPr>
          <w:p w14:paraId="088D55C4">
            <w:pPr>
              <w:widowControl/>
              <w:jc w:val="center"/>
              <w:rPr>
                <w:rFonts w:hint="eastAsia" w:ascii="宋体" w:hAnsi="宋体" w:cs="Calibri"/>
                <w:kern w:val="0"/>
                <w:sz w:val="24"/>
                <w:highlight w:val="none"/>
              </w:rPr>
            </w:pPr>
            <w:r>
              <w:rPr>
                <w:rFonts w:hint="eastAsia" w:ascii="宋体" w:hAnsi="宋体" w:cs="Calibri"/>
                <w:kern w:val="0"/>
                <w:sz w:val="24"/>
                <w:highlight w:val="none"/>
              </w:rPr>
              <w:t>资金来源</w:t>
            </w:r>
          </w:p>
        </w:tc>
        <w:tc>
          <w:tcPr>
            <w:tcW w:w="6353" w:type="dxa"/>
            <w:tcBorders>
              <w:top w:val="single" w:color="auto" w:sz="4" w:space="0"/>
              <w:left w:val="nil"/>
              <w:bottom w:val="single" w:color="auto" w:sz="4" w:space="0"/>
              <w:right w:val="single" w:color="auto" w:sz="4" w:space="0"/>
            </w:tcBorders>
            <w:vAlign w:val="center"/>
          </w:tcPr>
          <w:p w14:paraId="311FE84A">
            <w:pPr>
              <w:widowControl/>
              <w:rPr>
                <w:rFonts w:hint="eastAsia" w:ascii="宋体" w:hAnsi="宋体" w:cs="Calibri" w:eastAsiaTheme="minorEastAsia"/>
                <w:kern w:val="0"/>
                <w:sz w:val="24"/>
                <w:highlight w:val="none"/>
                <w:lang w:eastAsia="zh-CN"/>
              </w:rPr>
            </w:pPr>
            <w:r>
              <w:rPr>
                <w:rFonts w:hint="eastAsia" w:ascii="宋体" w:hAnsi="宋体" w:cs="Calibri"/>
                <w:kern w:val="0"/>
                <w:sz w:val="24"/>
                <w:highlight w:val="none"/>
                <w:shd w:val="clear" w:color="auto" w:fill="FFFFFF"/>
                <w:lang w:eastAsia="zh-CN"/>
              </w:rPr>
              <w:t>自筹资金</w:t>
            </w:r>
          </w:p>
        </w:tc>
      </w:tr>
      <w:tr w14:paraId="20709B50">
        <w:tblPrEx>
          <w:tblCellMar>
            <w:top w:w="0" w:type="dxa"/>
            <w:left w:w="108" w:type="dxa"/>
            <w:bottom w:w="0" w:type="dxa"/>
            <w:right w:w="108" w:type="dxa"/>
          </w:tblCellMar>
        </w:tblPrEx>
        <w:trPr>
          <w:trHeight w:val="555"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39D5771C">
            <w:pPr>
              <w:widowControl/>
              <w:jc w:val="center"/>
              <w:rPr>
                <w:rFonts w:hint="eastAsia" w:ascii="宋体" w:hAnsi="宋体" w:cs="Calibri"/>
                <w:sz w:val="24"/>
                <w:highlight w:val="none"/>
              </w:rPr>
            </w:pPr>
            <w:r>
              <w:rPr>
                <w:rFonts w:hint="eastAsia" w:ascii="宋体" w:hAnsi="宋体" w:cs="Calibri"/>
                <w:kern w:val="0"/>
                <w:sz w:val="24"/>
                <w:highlight w:val="none"/>
              </w:rPr>
              <w:t>5</w:t>
            </w:r>
          </w:p>
        </w:tc>
        <w:tc>
          <w:tcPr>
            <w:tcW w:w="2070" w:type="dxa"/>
            <w:tcBorders>
              <w:top w:val="single" w:color="auto" w:sz="4" w:space="0"/>
              <w:left w:val="nil"/>
              <w:bottom w:val="single" w:color="auto" w:sz="4" w:space="0"/>
              <w:right w:val="single" w:color="auto" w:sz="4" w:space="0"/>
            </w:tcBorders>
            <w:vAlign w:val="center"/>
          </w:tcPr>
          <w:p w14:paraId="4D474F2D">
            <w:pPr>
              <w:widowControl/>
              <w:jc w:val="center"/>
              <w:rPr>
                <w:rFonts w:hint="eastAsia" w:ascii="宋体" w:hAnsi="宋体" w:cs="Calibri"/>
                <w:sz w:val="24"/>
                <w:highlight w:val="none"/>
              </w:rPr>
            </w:pPr>
            <w:r>
              <w:rPr>
                <w:rFonts w:hint="eastAsia" w:ascii="宋体" w:hAnsi="宋体" w:cs="Calibri"/>
                <w:kern w:val="0"/>
                <w:sz w:val="24"/>
                <w:highlight w:val="none"/>
              </w:rPr>
              <w:t>项目编号</w:t>
            </w:r>
          </w:p>
        </w:tc>
        <w:tc>
          <w:tcPr>
            <w:tcW w:w="6353" w:type="dxa"/>
            <w:tcBorders>
              <w:top w:val="single" w:color="auto" w:sz="4" w:space="0"/>
              <w:left w:val="nil"/>
              <w:bottom w:val="single" w:color="auto" w:sz="4" w:space="0"/>
              <w:right w:val="single" w:color="auto" w:sz="4" w:space="0"/>
            </w:tcBorders>
            <w:vAlign w:val="center"/>
          </w:tcPr>
          <w:p w14:paraId="43B561AA">
            <w:pPr>
              <w:widowControl/>
              <w:rPr>
                <w:rFonts w:hint="eastAsia" w:ascii="宋体" w:hAnsi="宋体" w:cs="Calibri" w:eastAsiaTheme="minorEastAsia"/>
                <w:sz w:val="24"/>
                <w:highlight w:val="none"/>
                <w:shd w:val="clear" w:color="auto" w:fill="FFFFFF"/>
                <w:lang w:eastAsia="zh-CN"/>
              </w:rPr>
            </w:pPr>
            <w:r>
              <w:rPr>
                <w:rFonts w:hint="eastAsia" w:ascii="宋体" w:hAnsi="宋体" w:cs="宋体"/>
                <w:color w:val="auto"/>
                <w:sz w:val="24"/>
                <w:highlight w:val="none"/>
                <w:lang w:eastAsia="zh-CN"/>
              </w:rPr>
              <w:t>MCGZ[2026]090-ZC084</w:t>
            </w:r>
            <w:r>
              <w:rPr>
                <w:rFonts w:hint="eastAsia" w:ascii="宋体" w:hAnsi="宋体" w:cs="宋体"/>
                <w:sz w:val="24"/>
                <w:highlight w:val="none"/>
              </w:rPr>
              <w:t>、</w:t>
            </w:r>
            <w:r>
              <w:rPr>
                <w:rFonts w:hint="eastAsia" w:asciiTheme="minorEastAsia" w:hAnsiTheme="minorEastAsia" w:cstheme="minorEastAsia"/>
                <w:sz w:val="24"/>
                <w:szCs w:val="24"/>
                <w:highlight w:val="none"/>
                <w:lang w:eastAsia="zh-CN"/>
              </w:rPr>
              <w:t>渑池竞磋采购-2026-56</w:t>
            </w:r>
          </w:p>
        </w:tc>
      </w:tr>
      <w:tr w14:paraId="51E03860">
        <w:tblPrEx>
          <w:tblCellMar>
            <w:top w:w="0" w:type="dxa"/>
            <w:left w:w="108" w:type="dxa"/>
            <w:bottom w:w="0" w:type="dxa"/>
            <w:right w:w="108" w:type="dxa"/>
          </w:tblCellMar>
        </w:tblPrEx>
        <w:trPr>
          <w:trHeight w:val="628"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1B031CC3">
            <w:pPr>
              <w:widowControl/>
              <w:jc w:val="center"/>
              <w:rPr>
                <w:rFonts w:hint="eastAsia" w:ascii="宋体" w:hAnsi="宋体" w:cs="Calibri"/>
                <w:sz w:val="24"/>
                <w:highlight w:val="none"/>
              </w:rPr>
            </w:pPr>
            <w:r>
              <w:rPr>
                <w:rFonts w:hint="eastAsia" w:ascii="宋体" w:hAnsi="宋体" w:cs="Calibri"/>
                <w:kern w:val="0"/>
                <w:sz w:val="24"/>
                <w:highlight w:val="none"/>
              </w:rPr>
              <w:t>6</w:t>
            </w:r>
          </w:p>
        </w:tc>
        <w:tc>
          <w:tcPr>
            <w:tcW w:w="2070" w:type="dxa"/>
            <w:tcBorders>
              <w:top w:val="single" w:color="auto" w:sz="4" w:space="0"/>
              <w:left w:val="nil"/>
              <w:bottom w:val="single" w:color="auto" w:sz="4" w:space="0"/>
              <w:right w:val="single" w:color="auto" w:sz="4" w:space="0"/>
            </w:tcBorders>
            <w:vAlign w:val="center"/>
          </w:tcPr>
          <w:p w14:paraId="6173305E">
            <w:pPr>
              <w:widowControl/>
              <w:jc w:val="center"/>
              <w:rPr>
                <w:rFonts w:hint="eastAsia" w:ascii="宋体" w:hAnsi="宋体" w:cs="Calibri"/>
                <w:kern w:val="0"/>
                <w:sz w:val="24"/>
                <w:highlight w:val="none"/>
              </w:rPr>
            </w:pPr>
            <w:r>
              <w:rPr>
                <w:rFonts w:hint="eastAsia" w:ascii="宋体" w:hAnsi="宋体" w:cs="Calibri"/>
                <w:kern w:val="0"/>
                <w:sz w:val="24"/>
                <w:highlight w:val="none"/>
              </w:rPr>
              <w:t>质量要求</w:t>
            </w:r>
          </w:p>
        </w:tc>
        <w:tc>
          <w:tcPr>
            <w:tcW w:w="6353" w:type="dxa"/>
            <w:tcBorders>
              <w:top w:val="single" w:color="auto" w:sz="4" w:space="0"/>
              <w:left w:val="nil"/>
              <w:bottom w:val="single" w:color="auto" w:sz="4" w:space="0"/>
              <w:right w:val="single" w:color="auto" w:sz="4" w:space="0"/>
            </w:tcBorders>
            <w:vAlign w:val="center"/>
          </w:tcPr>
          <w:p w14:paraId="1B136396">
            <w:pPr>
              <w:widowControl/>
              <w:rPr>
                <w:rFonts w:hint="eastAsia" w:ascii="宋体" w:hAnsi="宋体" w:cs="Calibri"/>
                <w:kern w:val="0"/>
                <w:sz w:val="24"/>
                <w:highlight w:val="none"/>
              </w:rPr>
            </w:pPr>
            <w:r>
              <w:rPr>
                <w:rFonts w:hint="eastAsia" w:ascii="宋体" w:hAnsi="宋体" w:eastAsia="宋体" w:cs="宋体"/>
                <w:bCs/>
                <w:color w:val="000000"/>
                <w:sz w:val="24"/>
                <w:szCs w:val="28"/>
                <w:highlight w:val="none"/>
                <w:lang w:eastAsia="zh-CN"/>
              </w:rPr>
              <w:t>符合国家、省、地方及行业规范相关标准，按最高标准执行，满足采购人要求</w:t>
            </w:r>
            <w:r>
              <w:rPr>
                <w:rFonts w:hint="eastAsia" w:asciiTheme="minorEastAsia" w:hAnsiTheme="minorEastAsia" w:cstheme="minorEastAsia"/>
                <w:sz w:val="24"/>
                <w:szCs w:val="24"/>
                <w:highlight w:val="none"/>
              </w:rPr>
              <w:t>。</w:t>
            </w:r>
          </w:p>
        </w:tc>
      </w:tr>
      <w:tr w14:paraId="36EC29BD">
        <w:tblPrEx>
          <w:tblCellMar>
            <w:top w:w="0" w:type="dxa"/>
            <w:left w:w="108" w:type="dxa"/>
            <w:bottom w:w="0" w:type="dxa"/>
            <w:right w:w="108" w:type="dxa"/>
          </w:tblCellMar>
        </w:tblPrEx>
        <w:trPr>
          <w:trHeight w:val="628"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21DF8E46">
            <w:pPr>
              <w:widowControl/>
              <w:jc w:val="center"/>
              <w:rPr>
                <w:rFonts w:hint="eastAsia" w:ascii="宋体" w:hAnsi="宋体" w:cs="Calibri"/>
                <w:kern w:val="0"/>
                <w:sz w:val="24"/>
                <w:highlight w:val="none"/>
              </w:rPr>
            </w:pPr>
            <w:r>
              <w:rPr>
                <w:rFonts w:hint="eastAsia" w:ascii="宋体" w:hAnsi="宋体" w:cs="Calibri"/>
                <w:kern w:val="0"/>
                <w:sz w:val="24"/>
                <w:highlight w:val="none"/>
              </w:rPr>
              <w:t>7</w:t>
            </w:r>
          </w:p>
        </w:tc>
        <w:tc>
          <w:tcPr>
            <w:tcW w:w="2070" w:type="dxa"/>
            <w:tcBorders>
              <w:top w:val="single" w:color="auto" w:sz="4" w:space="0"/>
              <w:left w:val="nil"/>
              <w:bottom w:val="single" w:color="auto" w:sz="4" w:space="0"/>
              <w:right w:val="single" w:color="auto" w:sz="4" w:space="0"/>
            </w:tcBorders>
            <w:vAlign w:val="center"/>
          </w:tcPr>
          <w:p w14:paraId="1861CD47">
            <w:pPr>
              <w:widowControl/>
              <w:jc w:val="center"/>
              <w:rPr>
                <w:rFonts w:hint="eastAsia" w:ascii="宋体" w:hAnsi="宋体" w:cs="Calibri"/>
                <w:color w:val="auto"/>
                <w:kern w:val="0"/>
                <w:sz w:val="24"/>
                <w:highlight w:val="none"/>
              </w:rPr>
            </w:pPr>
            <w:r>
              <w:rPr>
                <w:rFonts w:hint="eastAsia" w:ascii="宋体" w:hAnsi="宋体" w:cs="Calibri"/>
                <w:color w:val="auto"/>
                <w:kern w:val="0"/>
                <w:sz w:val="24"/>
                <w:highlight w:val="none"/>
              </w:rPr>
              <w:t>质保期</w:t>
            </w:r>
          </w:p>
        </w:tc>
        <w:tc>
          <w:tcPr>
            <w:tcW w:w="6353" w:type="dxa"/>
            <w:tcBorders>
              <w:top w:val="single" w:color="auto" w:sz="4" w:space="0"/>
              <w:left w:val="nil"/>
              <w:bottom w:val="single" w:color="auto" w:sz="4" w:space="0"/>
              <w:right w:val="single" w:color="auto" w:sz="4" w:space="0"/>
            </w:tcBorders>
            <w:vAlign w:val="center"/>
          </w:tcPr>
          <w:p w14:paraId="7B0CD8F5">
            <w:pPr>
              <w:widowControl/>
              <w:rPr>
                <w:rFonts w:hint="eastAsia" w:ascii="宋体" w:hAnsi="宋体" w:cs="Calibri"/>
                <w:color w:val="auto"/>
                <w:sz w:val="24"/>
                <w:highlight w:val="none"/>
              </w:rPr>
            </w:pPr>
            <w:r>
              <w:rPr>
                <w:rFonts w:hint="eastAsia" w:ascii="宋体" w:hAnsi="宋体" w:cs="Calibri"/>
                <w:color w:val="auto"/>
                <w:sz w:val="24"/>
                <w:highlight w:val="none"/>
                <w:lang w:eastAsia="zh-CN"/>
              </w:rPr>
              <w:t>三</w:t>
            </w:r>
            <w:r>
              <w:rPr>
                <w:rFonts w:hint="eastAsia" w:ascii="宋体" w:hAnsi="宋体" w:cs="Calibri"/>
                <w:color w:val="auto"/>
                <w:sz w:val="24"/>
                <w:highlight w:val="none"/>
              </w:rPr>
              <w:t>年</w:t>
            </w:r>
          </w:p>
        </w:tc>
      </w:tr>
      <w:tr w14:paraId="1A006270">
        <w:tblPrEx>
          <w:tblCellMar>
            <w:top w:w="0" w:type="dxa"/>
            <w:left w:w="108" w:type="dxa"/>
            <w:bottom w:w="0" w:type="dxa"/>
            <w:right w:w="108" w:type="dxa"/>
          </w:tblCellMar>
        </w:tblPrEx>
        <w:trPr>
          <w:trHeight w:val="498"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1D09FF85">
            <w:pPr>
              <w:widowControl/>
              <w:jc w:val="center"/>
              <w:rPr>
                <w:rFonts w:hint="eastAsia" w:ascii="宋体" w:hAnsi="宋体" w:cs="Calibri"/>
                <w:kern w:val="0"/>
                <w:sz w:val="24"/>
                <w:highlight w:val="none"/>
              </w:rPr>
            </w:pPr>
            <w:r>
              <w:rPr>
                <w:rFonts w:hint="eastAsia" w:ascii="宋体" w:hAnsi="宋体" w:cs="Calibri"/>
                <w:kern w:val="0"/>
                <w:sz w:val="24"/>
                <w:highlight w:val="none"/>
              </w:rPr>
              <w:t>8</w:t>
            </w:r>
          </w:p>
        </w:tc>
        <w:tc>
          <w:tcPr>
            <w:tcW w:w="2070" w:type="dxa"/>
            <w:tcBorders>
              <w:top w:val="single" w:color="auto" w:sz="4" w:space="0"/>
              <w:left w:val="nil"/>
              <w:bottom w:val="single" w:color="auto" w:sz="4" w:space="0"/>
              <w:right w:val="single" w:color="auto" w:sz="4" w:space="0"/>
            </w:tcBorders>
            <w:vAlign w:val="center"/>
          </w:tcPr>
          <w:p w14:paraId="239C4C36">
            <w:pPr>
              <w:widowControl/>
              <w:jc w:val="center"/>
              <w:rPr>
                <w:rFonts w:hint="eastAsia" w:ascii="宋体" w:hAnsi="宋体" w:cs="Calibri" w:eastAsiaTheme="minorEastAsia"/>
                <w:color w:val="auto"/>
                <w:kern w:val="0"/>
                <w:sz w:val="24"/>
                <w:highlight w:val="none"/>
                <w:lang w:eastAsia="zh-CN"/>
              </w:rPr>
            </w:pPr>
            <w:r>
              <w:rPr>
                <w:rFonts w:hint="eastAsia" w:ascii="宋体" w:hAnsi="宋体" w:cs="Calibri"/>
                <w:color w:val="auto"/>
                <w:kern w:val="0"/>
                <w:sz w:val="24"/>
                <w:highlight w:val="none"/>
                <w:lang w:eastAsia="zh-CN"/>
              </w:rPr>
              <w:t>服务期限</w:t>
            </w:r>
          </w:p>
        </w:tc>
        <w:tc>
          <w:tcPr>
            <w:tcW w:w="6353" w:type="dxa"/>
            <w:tcBorders>
              <w:top w:val="single" w:color="auto" w:sz="4" w:space="0"/>
              <w:left w:val="nil"/>
              <w:bottom w:val="single" w:color="auto" w:sz="4" w:space="0"/>
              <w:right w:val="single" w:color="auto" w:sz="4" w:space="0"/>
            </w:tcBorders>
            <w:vAlign w:val="center"/>
          </w:tcPr>
          <w:p w14:paraId="3E24849D">
            <w:pPr>
              <w:widowControl/>
              <w:rPr>
                <w:rFonts w:hint="eastAsia" w:ascii="宋体" w:hAnsi="宋体" w:cs="Calibri" w:eastAsiaTheme="minorEastAsia"/>
                <w:color w:val="auto"/>
                <w:sz w:val="24"/>
                <w:highlight w:val="none"/>
                <w:lang w:eastAsia="zh-CN"/>
              </w:rPr>
            </w:pPr>
            <w:r>
              <w:rPr>
                <w:rFonts w:hint="eastAsia" w:ascii="宋体" w:hAnsi="宋体" w:cs="宋体"/>
                <w:color w:val="auto"/>
                <w:sz w:val="24"/>
                <w:highlight w:val="none"/>
                <w:lang w:eastAsia="zh-CN"/>
              </w:rPr>
              <w:t>三年</w:t>
            </w:r>
          </w:p>
        </w:tc>
      </w:tr>
      <w:tr w14:paraId="06C2F964">
        <w:tblPrEx>
          <w:tblCellMar>
            <w:top w:w="0" w:type="dxa"/>
            <w:left w:w="108" w:type="dxa"/>
            <w:bottom w:w="0" w:type="dxa"/>
            <w:right w:w="108" w:type="dxa"/>
          </w:tblCellMar>
        </w:tblPrEx>
        <w:trPr>
          <w:trHeight w:val="520"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1BCD2FA4">
            <w:pPr>
              <w:widowControl/>
              <w:jc w:val="center"/>
              <w:rPr>
                <w:rFonts w:hint="eastAsia" w:ascii="宋体" w:hAnsi="宋体" w:cs="Calibri"/>
                <w:sz w:val="24"/>
                <w:highlight w:val="none"/>
              </w:rPr>
            </w:pPr>
            <w:r>
              <w:rPr>
                <w:rFonts w:hint="eastAsia" w:ascii="宋体" w:hAnsi="宋体" w:cs="Calibri"/>
                <w:kern w:val="0"/>
                <w:sz w:val="24"/>
                <w:highlight w:val="none"/>
              </w:rPr>
              <w:t>9</w:t>
            </w:r>
          </w:p>
        </w:tc>
        <w:tc>
          <w:tcPr>
            <w:tcW w:w="2070" w:type="dxa"/>
            <w:tcBorders>
              <w:top w:val="single" w:color="auto" w:sz="4" w:space="0"/>
              <w:left w:val="nil"/>
              <w:bottom w:val="single" w:color="auto" w:sz="4" w:space="0"/>
              <w:right w:val="single" w:color="auto" w:sz="4" w:space="0"/>
            </w:tcBorders>
            <w:vAlign w:val="center"/>
          </w:tcPr>
          <w:p w14:paraId="29A96EF6">
            <w:pPr>
              <w:widowControl/>
              <w:jc w:val="center"/>
              <w:rPr>
                <w:rFonts w:hint="eastAsia" w:ascii="宋体" w:hAnsi="宋体" w:cs="Calibri"/>
                <w:sz w:val="24"/>
                <w:highlight w:val="none"/>
              </w:rPr>
            </w:pPr>
            <w:r>
              <w:rPr>
                <w:rFonts w:hint="eastAsia" w:ascii="宋体" w:hAnsi="宋体" w:cs="Calibri"/>
                <w:kern w:val="0"/>
                <w:sz w:val="24"/>
                <w:highlight w:val="none"/>
              </w:rPr>
              <w:t>资格要求</w:t>
            </w:r>
          </w:p>
        </w:tc>
        <w:tc>
          <w:tcPr>
            <w:tcW w:w="6353" w:type="dxa"/>
            <w:tcBorders>
              <w:top w:val="single" w:color="auto" w:sz="4" w:space="0"/>
              <w:left w:val="nil"/>
              <w:bottom w:val="single" w:color="auto" w:sz="4" w:space="0"/>
              <w:right w:val="single" w:color="auto" w:sz="4" w:space="0"/>
            </w:tcBorders>
            <w:vAlign w:val="center"/>
          </w:tcPr>
          <w:p w14:paraId="641298AD">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1.</w:t>
            </w:r>
            <w:r>
              <w:rPr>
                <w:rFonts w:hint="eastAsia" w:asciiTheme="minorEastAsia" w:hAnsiTheme="minorEastAsia" w:cstheme="minorEastAsia"/>
                <w:sz w:val="24"/>
                <w:szCs w:val="24"/>
                <w:highlight w:val="none"/>
                <w:lang w:eastAsia="zh-CN"/>
              </w:rPr>
              <w:t>满足《中华人民共和国政府采购法》第二十二条规定（提供承诺书或相关证明资料）</w:t>
            </w:r>
            <w:r>
              <w:rPr>
                <w:rFonts w:hint="eastAsia" w:asciiTheme="minorEastAsia" w:hAnsiTheme="minorEastAsia" w:cstheme="minorEastAsia"/>
                <w:sz w:val="24"/>
                <w:szCs w:val="24"/>
                <w:highlight w:val="none"/>
              </w:rPr>
              <w:t>：</w:t>
            </w:r>
          </w:p>
          <w:p w14:paraId="3877FF5D">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2.落实政府采购政策满足的资格要求：</w:t>
            </w:r>
            <w:r>
              <w:rPr>
                <w:rFonts w:hint="eastAsia" w:ascii="宋体" w:hAnsi="宋体" w:cs="宋体"/>
                <w:sz w:val="24"/>
                <w:szCs w:val="24"/>
                <w:highlight w:val="none"/>
                <w:lang w:eastAsia="zh-CN"/>
              </w:rPr>
              <w:t>本项目非专门面向中小企业采购，但执行促进中小型企业发展政策（监狱企业、残疾人福利性企业视同小微企业），优先采购节能环保产品等政府采购政策。</w:t>
            </w:r>
          </w:p>
          <w:p w14:paraId="6E8C5671">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3.本项目的特定资格要求：</w:t>
            </w:r>
          </w:p>
          <w:p w14:paraId="141DD8E0">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3.1供应商须具有独立法人资格（具有有效的营业执照）；</w:t>
            </w:r>
          </w:p>
          <w:p w14:paraId="5E837D34">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3.2供应商具有有效的《药品生产许可证》；供应商为代理经销商的具有有效的《药品经营许可证》；</w:t>
            </w:r>
          </w:p>
          <w:p w14:paraId="32216ECD">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3.3供应商具有履行合同所必需的设备和专业技术能力（自行承诺，格式自拟）；</w:t>
            </w:r>
          </w:p>
          <w:p w14:paraId="34206ADA">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3.4供应商自行出具本单位无商业贿赂及无不正当竞争行为的承诺书；</w:t>
            </w:r>
          </w:p>
          <w:p w14:paraId="2C004060">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3.5未被列入中国执行信息公开网（http://zxgk.court.gov.cn/shixin/）失信被执行人、“信用中国”网站（www.creditchina.gov.cn）重大税收违法失信主体、“中国政府采购网”（http://www.ccgp.gov.cn/）政府采购严重违法失信行为名单，提供网页查询信息截图（查询时间自公告发布之日起截止至开标时间）；</w:t>
            </w:r>
          </w:p>
          <w:p w14:paraId="03B9244A">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3.6单位负责人为同一个人或者存在控股、管理关系的不同单位，不得同时参加投标（以“国家企业信用信息公示系统”查询为准，需包含公司基本信息、股东信息及股权变更信息内容）；</w:t>
            </w:r>
          </w:p>
          <w:p w14:paraId="1789E3BB">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3.7本项目不接受联合体投标；</w:t>
            </w:r>
          </w:p>
          <w:p w14:paraId="6B17A878">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注：本项目实行资格后审，资格审查的具体要求见竞争性磋商文件。</w:t>
            </w:r>
          </w:p>
          <w:p w14:paraId="5D364A08">
            <w:pPr>
              <w:widowControl/>
              <w:spacing w:line="480" w:lineRule="exact"/>
              <w:rPr>
                <w:rFonts w:hint="eastAsia" w:ascii="宋体" w:hAnsi="宋体" w:eastAsia="宋体" w:cs="宋体"/>
                <w:b/>
                <w:kern w:val="0"/>
                <w:sz w:val="24"/>
                <w:highlight w:val="none"/>
                <w:lang w:bidi="ar"/>
              </w:rPr>
            </w:pPr>
            <w:r>
              <w:rPr>
                <w:rFonts w:hint="eastAsia" w:ascii="宋体" w:hAnsi="宋体" w:eastAsia="宋体" w:cs="宋体"/>
                <w:b/>
                <w:kern w:val="0"/>
                <w:sz w:val="24"/>
                <w:highlight w:val="none"/>
                <w:lang w:bidi="ar"/>
              </w:rPr>
              <w:t>注：</w:t>
            </w:r>
            <w:r>
              <w:rPr>
                <w:rFonts w:hint="eastAsia" w:ascii="宋体" w:hAnsi="宋体" w:eastAsia="宋体" w:cs="宋体"/>
                <w:b/>
                <w:kern w:val="0"/>
                <w:sz w:val="24"/>
                <w:highlight w:val="none"/>
                <w:lang w:eastAsia="zh-CN" w:bidi="ar"/>
              </w:rPr>
              <w:t>温馨提醒：本项目为资格后审，资格审查由采购人依法组建的磋商小组负责。各供应商应认真阅读本项目供应商资格要求，避免无资格投标而造成不必要的损失。</w:t>
            </w:r>
            <w:r>
              <w:rPr>
                <w:rFonts w:hint="eastAsia" w:ascii="宋体" w:hAnsi="宋体" w:eastAsia="宋体" w:cs="宋体"/>
                <w:b/>
                <w:kern w:val="0"/>
                <w:sz w:val="24"/>
                <w:highlight w:val="none"/>
                <w:lang w:bidi="ar"/>
              </w:rPr>
              <w:t>。</w:t>
            </w:r>
          </w:p>
        </w:tc>
      </w:tr>
      <w:tr w14:paraId="601F9387">
        <w:tblPrEx>
          <w:tblCellMar>
            <w:top w:w="0" w:type="dxa"/>
            <w:left w:w="108" w:type="dxa"/>
            <w:bottom w:w="0" w:type="dxa"/>
            <w:right w:w="108" w:type="dxa"/>
          </w:tblCellMar>
        </w:tblPrEx>
        <w:trPr>
          <w:trHeight w:val="570"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00E614B3">
            <w:pPr>
              <w:widowControl/>
              <w:spacing w:line="360" w:lineRule="auto"/>
              <w:jc w:val="center"/>
              <w:rPr>
                <w:rFonts w:hint="eastAsia" w:ascii="宋体" w:hAnsi="宋体" w:cs="Calibri"/>
                <w:sz w:val="24"/>
                <w:highlight w:val="none"/>
              </w:rPr>
            </w:pPr>
            <w:r>
              <w:rPr>
                <w:rFonts w:hint="eastAsia" w:ascii="宋体" w:hAnsi="宋体" w:cs="Calibri"/>
                <w:kern w:val="0"/>
                <w:sz w:val="24"/>
                <w:highlight w:val="none"/>
              </w:rPr>
              <w:t>10</w:t>
            </w:r>
          </w:p>
        </w:tc>
        <w:tc>
          <w:tcPr>
            <w:tcW w:w="2070" w:type="dxa"/>
            <w:tcBorders>
              <w:top w:val="single" w:color="auto" w:sz="4" w:space="0"/>
              <w:left w:val="nil"/>
              <w:bottom w:val="single" w:color="auto" w:sz="4" w:space="0"/>
              <w:right w:val="single" w:color="auto" w:sz="4" w:space="0"/>
            </w:tcBorders>
            <w:vAlign w:val="center"/>
          </w:tcPr>
          <w:p w14:paraId="15B4C051">
            <w:pPr>
              <w:widowControl/>
              <w:spacing w:line="360" w:lineRule="auto"/>
              <w:jc w:val="center"/>
              <w:rPr>
                <w:rFonts w:hint="eastAsia" w:ascii="宋体" w:hAnsi="宋体" w:cs="Calibri"/>
                <w:sz w:val="24"/>
                <w:highlight w:val="none"/>
              </w:rPr>
            </w:pPr>
            <w:r>
              <w:rPr>
                <w:rFonts w:hint="eastAsia" w:ascii="宋体" w:hAnsi="宋体" w:cs="Calibri"/>
                <w:kern w:val="0"/>
                <w:sz w:val="24"/>
                <w:highlight w:val="none"/>
              </w:rPr>
              <w:t>投标保证金</w:t>
            </w:r>
          </w:p>
        </w:tc>
        <w:tc>
          <w:tcPr>
            <w:tcW w:w="6353" w:type="dxa"/>
            <w:tcBorders>
              <w:top w:val="single" w:color="auto" w:sz="4" w:space="0"/>
              <w:left w:val="nil"/>
              <w:bottom w:val="single" w:color="auto" w:sz="4" w:space="0"/>
              <w:right w:val="single" w:color="auto" w:sz="4" w:space="0"/>
            </w:tcBorders>
            <w:vAlign w:val="center"/>
          </w:tcPr>
          <w:p w14:paraId="52429A20">
            <w:pPr>
              <w:widowControl/>
              <w:spacing w:line="360" w:lineRule="auto"/>
              <w:rPr>
                <w:rFonts w:hint="eastAsia" w:ascii="宋体" w:hAnsi="宋体" w:cs="Calibri"/>
                <w:sz w:val="24"/>
                <w:highlight w:val="none"/>
              </w:rPr>
            </w:pPr>
            <w:r>
              <w:rPr>
                <w:rFonts w:hint="eastAsia" w:ascii="宋体" w:hAnsi="宋体"/>
                <w:sz w:val="24"/>
                <w:highlight w:val="none"/>
              </w:rPr>
              <w:t>根据《河南省财政厅关于优化政府采购营商环境有关问题的通知》（豫财购【2019】4号）第6条的规定，投标保证金不再收取。</w:t>
            </w:r>
          </w:p>
        </w:tc>
      </w:tr>
      <w:tr w14:paraId="62104544">
        <w:tblPrEx>
          <w:tblCellMar>
            <w:top w:w="0" w:type="dxa"/>
            <w:left w:w="108" w:type="dxa"/>
            <w:bottom w:w="0" w:type="dxa"/>
            <w:right w:w="108" w:type="dxa"/>
          </w:tblCellMar>
        </w:tblPrEx>
        <w:trPr>
          <w:trHeight w:val="954"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366B98BB">
            <w:pPr>
              <w:widowControl/>
              <w:spacing w:line="360" w:lineRule="auto"/>
              <w:jc w:val="center"/>
              <w:rPr>
                <w:rFonts w:hint="eastAsia" w:ascii="宋体" w:hAnsi="宋体" w:cs="Calibri"/>
                <w:sz w:val="24"/>
                <w:highlight w:val="none"/>
              </w:rPr>
            </w:pPr>
            <w:r>
              <w:rPr>
                <w:rFonts w:hint="eastAsia" w:ascii="宋体" w:hAnsi="宋体" w:cs="Calibri"/>
                <w:kern w:val="0"/>
                <w:sz w:val="24"/>
                <w:highlight w:val="none"/>
              </w:rPr>
              <w:t>11</w:t>
            </w:r>
          </w:p>
        </w:tc>
        <w:tc>
          <w:tcPr>
            <w:tcW w:w="2070" w:type="dxa"/>
            <w:tcBorders>
              <w:top w:val="single" w:color="auto" w:sz="4" w:space="0"/>
              <w:left w:val="nil"/>
              <w:bottom w:val="single" w:color="auto" w:sz="4" w:space="0"/>
              <w:right w:val="single" w:color="auto" w:sz="4" w:space="0"/>
            </w:tcBorders>
            <w:vAlign w:val="center"/>
          </w:tcPr>
          <w:p w14:paraId="58CF0CFB">
            <w:pPr>
              <w:widowControl/>
              <w:spacing w:line="360" w:lineRule="auto"/>
              <w:jc w:val="center"/>
              <w:rPr>
                <w:rFonts w:hint="eastAsia" w:ascii="宋体" w:hAnsi="宋体" w:cs="Calibri"/>
                <w:sz w:val="24"/>
                <w:highlight w:val="none"/>
              </w:rPr>
            </w:pPr>
            <w:r>
              <w:rPr>
                <w:rFonts w:hint="eastAsia" w:ascii="宋体" w:hAnsi="宋体" w:cs="Calibri"/>
                <w:kern w:val="0"/>
                <w:sz w:val="24"/>
                <w:highlight w:val="none"/>
              </w:rPr>
              <w:t>响应性文件递交截止时间及地点</w:t>
            </w:r>
          </w:p>
        </w:tc>
        <w:tc>
          <w:tcPr>
            <w:tcW w:w="6353" w:type="dxa"/>
            <w:tcBorders>
              <w:top w:val="single" w:color="auto" w:sz="4" w:space="0"/>
              <w:left w:val="nil"/>
              <w:bottom w:val="single" w:color="auto" w:sz="4" w:space="0"/>
              <w:right w:val="single" w:color="auto" w:sz="4" w:space="0"/>
            </w:tcBorders>
            <w:vAlign w:val="center"/>
          </w:tcPr>
          <w:p w14:paraId="1A31EB3A">
            <w:pPr>
              <w:widowControl/>
              <w:spacing w:line="360" w:lineRule="auto"/>
              <w:jc w:val="left"/>
              <w:rPr>
                <w:rFonts w:hint="eastAsia" w:ascii="宋体" w:hAnsi="宋体" w:cs="Calibri"/>
                <w:b/>
                <w:bCs/>
                <w:color w:val="auto"/>
                <w:kern w:val="0"/>
                <w:sz w:val="24"/>
                <w:highlight w:val="none"/>
              </w:rPr>
            </w:pPr>
            <w:r>
              <w:rPr>
                <w:rFonts w:hint="eastAsia" w:ascii="宋体" w:hAnsi="宋体" w:cs="Calibri"/>
                <w:b/>
                <w:bCs/>
                <w:color w:val="auto"/>
                <w:kern w:val="0"/>
                <w:sz w:val="24"/>
                <w:highlight w:val="none"/>
                <w:lang w:eastAsia="zh-CN"/>
              </w:rPr>
              <w:t>2026年7月2日</w:t>
            </w:r>
            <w:r>
              <w:rPr>
                <w:rFonts w:hint="eastAsia" w:ascii="宋体" w:hAnsi="宋体" w:cs="Calibri"/>
                <w:b/>
                <w:bCs/>
                <w:color w:val="auto"/>
                <w:kern w:val="0"/>
                <w:sz w:val="24"/>
                <w:highlight w:val="none"/>
              </w:rPr>
              <w:t>8时20分（北京时间）</w:t>
            </w:r>
          </w:p>
          <w:p w14:paraId="0819D515">
            <w:pPr>
              <w:widowControl/>
              <w:spacing w:line="360" w:lineRule="auto"/>
              <w:jc w:val="left"/>
              <w:rPr>
                <w:rFonts w:hint="eastAsia" w:ascii="宋体" w:hAnsi="宋体" w:cs="Calibri"/>
                <w:b/>
                <w:bCs/>
                <w:color w:val="auto"/>
                <w:kern w:val="0"/>
                <w:sz w:val="24"/>
                <w:highlight w:val="none"/>
              </w:rPr>
            </w:pPr>
            <w:r>
              <w:rPr>
                <w:rFonts w:hint="eastAsia" w:ascii="宋体" w:hAnsi="宋体" w:cs="宋体"/>
                <w:color w:val="auto"/>
                <w:sz w:val="24"/>
                <w:highlight w:val="none"/>
              </w:rPr>
              <w:t>上传至三门峡市公共资源交易中心系统</w:t>
            </w:r>
          </w:p>
        </w:tc>
      </w:tr>
      <w:tr w14:paraId="0DEC8511">
        <w:tblPrEx>
          <w:tblCellMar>
            <w:top w:w="0" w:type="dxa"/>
            <w:left w:w="108" w:type="dxa"/>
            <w:bottom w:w="0" w:type="dxa"/>
            <w:right w:w="108" w:type="dxa"/>
          </w:tblCellMar>
        </w:tblPrEx>
        <w:trPr>
          <w:trHeight w:val="467"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253E3C36">
            <w:pPr>
              <w:widowControl/>
              <w:spacing w:line="360" w:lineRule="auto"/>
              <w:jc w:val="center"/>
              <w:rPr>
                <w:rFonts w:hint="eastAsia" w:ascii="宋体" w:hAnsi="宋体" w:cs="Calibri"/>
                <w:sz w:val="24"/>
                <w:highlight w:val="none"/>
              </w:rPr>
            </w:pPr>
            <w:r>
              <w:rPr>
                <w:rFonts w:hint="eastAsia" w:ascii="宋体" w:hAnsi="宋体" w:cs="Calibri"/>
                <w:kern w:val="0"/>
                <w:sz w:val="24"/>
                <w:highlight w:val="none"/>
              </w:rPr>
              <w:t>12</w:t>
            </w:r>
          </w:p>
        </w:tc>
        <w:tc>
          <w:tcPr>
            <w:tcW w:w="2070" w:type="dxa"/>
            <w:tcBorders>
              <w:top w:val="single" w:color="auto" w:sz="4" w:space="0"/>
              <w:left w:val="nil"/>
              <w:bottom w:val="single" w:color="auto" w:sz="4" w:space="0"/>
              <w:right w:val="single" w:color="auto" w:sz="4" w:space="0"/>
            </w:tcBorders>
            <w:vAlign w:val="center"/>
          </w:tcPr>
          <w:p w14:paraId="5F98BCC8">
            <w:pPr>
              <w:widowControl/>
              <w:spacing w:line="360" w:lineRule="auto"/>
              <w:jc w:val="center"/>
              <w:rPr>
                <w:rFonts w:hint="eastAsia" w:ascii="宋体" w:hAnsi="宋体" w:cs="Calibri"/>
                <w:sz w:val="24"/>
                <w:highlight w:val="none"/>
              </w:rPr>
            </w:pPr>
            <w:r>
              <w:rPr>
                <w:rFonts w:hint="eastAsia" w:ascii="宋体" w:hAnsi="宋体" w:cs="Calibri"/>
                <w:kern w:val="0"/>
                <w:sz w:val="24"/>
                <w:highlight w:val="none"/>
              </w:rPr>
              <w:t>开标时间及地点</w:t>
            </w:r>
          </w:p>
        </w:tc>
        <w:tc>
          <w:tcPr>
            <w:tcW w:w="6353" w:type="dxa"/>
            <w:tcBorders>
              <w:top w:val="single" w:color="auto" w:sz="4" w:space="0"/>
              <w:left w:val="nil"/>
              <w:bottom w:val="single" w:color="auto" w:sz="4" w:space="0"/>
              <w:right w:val="single" w:color="auto" w:sz="4" w:space="0"/>
            </w:tcBorders>
            <w:vAlign w:val="center"/>
          </w:tcPr>
          <w:p w14:paraId="018F2458">
            <w:pPr>
              <w:widowControl/>
              <w:spacing w:line="360" w:lineRule="auto"/>
              <w:jc w:val="left"/>
              <w:rPr>
                <w:rFonts w:hint="eastAsia" w:ascii="宋体" w:hAnsi="宋体" w:cs="Calibri"/>
                <w:b/>
                <w:bCs/>
                <w:color w:val="auto"/>
                <w:kern w:val="0"/>
                <w:sz w:val="24"/>
                <w:highlight w:val="none"/>
              </w:rPr>
            </w:pPr>
            <w:r>
              <w:rPr>
                <w:rFonts w:hint="eastAsia" w:ascii="宋体" w:hAnsi="宋体" w:cs="Calibri"/>
                <w:b/>
                <w:bCs/>
                <w:color w:val="auto"/>
                <w:kern w:val="0"/>
                <w:sz w:val="24"/>
                <w:highlight w:val="none"/>
                <w:lang w:eastAsia="zh-CN"/>
              </w:rPr>
              <w:t>2026年7月2日</w:t>
            </w:r>
            <w:r>
              <w:rPr>
                <w:rFonts w:hint="eastAsia" w:ascii="宋体" w:hAnsi="宋体" w:cs="Calibri"/>
                <w:b/>
                <w:bCs/>
                <w:color w:val="auto"/>
                <w:kern w:val="0"/>
                <w:sz w:val="24"/>
                <w:highlight w:val="none"/>
              </w:rPr>
              <w:t>8时20分（北京时间）</w:t>
            </w:r>
          </w:p>
          <w:p w14:paraId="6B71F5B8">
            <w:pPr>
              <w:widowControl/>
              <w:spacing w:line="360" w:lineRule="auto"/>
              <w:jc w:val="left"/>
              <w:rPr>
                <w:rFonts w:hint="eastAsia" w:ascii="宋体" w:hAnsi="宋体" w:cs="Calibri" w:eastAsiaTheme="minorEastAsia"/>
                <w:b/>
                <w:bCs/>
                <w:color w:val="auto"/>
                <w:kern w:val="0"/>
                <w:sz w:val="24"/>
                <w:highlight w:val="none"/>
                <w:lang w:eastAsia="zh-CN"/>
              </w:rPr>
            </w:pPr>
            <w:r>
              <w:rPr>
                <w:rFonts w:hint="eastAsia" w:ascii="宋体" w:hAnsi="宋体" w:cs="宋体"/>
                <w:color w:val="auto"/>
                <w:sz w:val="24"/>
                <w:highlight w:val="none"/>
              </w:rPr>
              <w:t>渑池县公共资源交易中心六楼</w:t>
            </w:r>
            <w:r>
              <w:rPr>
                <w:rFonts w:hint="eastAsia" w:ascii="宋体" w:hAnsi="宋体" w:cs="宋体"/>
                <w:color w:val="auto"/>
                <w:sz w:val="24"/>
                <w:highlight w:val="none"/>
                <w:lang w:eastAsia="zh-CN"/>
              </w:rPr>
              <w:t>开标室</w:t>
            </w:r>
          </w:p>
        </w:tc>
      </w:tr>
      <w:tr w14:paraId="1DC2D4E5">
        <w:tblPrEx>
          <w:tblCellMar>
            <w:top w:w="0" w:type="dxa"/>
            <w:left w:w="108" w:type="dxa"/>
            <w:bottom w:w="0" w:type="dxa"/>
            <w:right w:w="108" w:type="dxa"/>
          </w:tblCellMar>
        </w:tblPrEx>
        <w:trPr>
          <w:trHeight w:val="518"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45B98783">
            <w:pPr>
              <w:widowControl/>
              <w:spacing w:line="360" w:lineRule="auto"/>
              <w:jc w:val="center"/>
              <w:rPr>
                <w:rFonts w:hint="eastAsia" w:ascii="宋体" w:hAnsi="宋体" w:cs="Calibri"/>
                <w:sz w:val="24"/>
                <w:highlight w:val="none"/>
              </w:rPr>
            </w:pPr>
            <w:r>
              <w:rPr>
                <w:rFonts w:hint="eastAsia" w:ascii="宋体" w:hAnsi="宋体" w:cs="Calibri"/>
                <w:kern w:val="0"/>
                <w:sz w:val="24"/>
                <w:highlight w:val="none"/>
              </w:rPr>
              <w:t>13</w:t>
            </w:r>
          </w:p>
        </w:tc>
        <w:tc>
          <w:tcPr>
            <w:tcW w:w="2070" w:type="dxa"/>
            <w:tcBorders>
              <w:top w:val="single" w:color="auto" w:sz="4" w:space="0"/>
              <w:left w:val="nil"/>
              <w:bottom w:val="single" w:color="auto" w:sz="4" w:space="0"/>
              <w:right w:val="single" w:color="auto" w:sz="4" w:space="0"/>
            </w:tcBorders>
            <w:vAlign w:val="center"/>
          </w:tcPr>
          <w:p w14:paraId="7990781D">
            <w:pPr>
              <w:widowControl/>
              <w:spacing w:line="360" w:lineRule="auto"/>
              <w:jc w:val="center"/>
              <w:rPr>
                <w:rFonts w:hint="eastAsia" w:ascii="宋体" w:hAnsi="宋体" w:cs="Calibri"/>
                <w:b/>
                <w:bCs/>
                <w:sz w:val="24"/>
                <w:highlight w:val="none"/>
              </w:rPr>
            </w:pPr>
            <w:r>
              <w:rPr>
                <w:rFonts w:hint="eastAsia" w:ascii="宋体" w:hAnsi="宋体" w:cs="Calibri"/>
                <w:sz w:val="24"/>
                <w:highlight w:val="none"/>
              </w:rPr>
              <w:t>招标控制价</w:t>
            </w:r>
          </w:p>
        </w:tc>
        <w:tc>
          <w:tcPr>
            <w:tcW w:w="6353" w:type="dxa"/>
            <w:tcBorders>
              <w:top w:val="single" w:color="auto" w:sz="4" w:space="0"/>
              <w:left w:val="nil"/>
              <w:bottom w:val="single" w:color="auto" w:sz="4" w:space="0"/>
              <w:right w:val="single" w:color="auto" w:sz="4" w:space="0"/>
            </w:tcBorders>
            <w:vAlign w:val="center"/>
          </w:tcPr>
          <w:p w14:paraId="365CF456">
            <w:pPr>
              <w:widowControl/>
              <w:spacing w:line="360" w:lineRule="auto"/>
              <w:jc w:val="left"/>
              <w:rPr>
                <w:rFonts w:hint="eastAsia" w:ascii="宋体" w:hAnsi="宋体" w:cs="Calibri"/>
                <w:b/>
                <w:bCs/>
                <w:sz w:val="24"/>
                <w:highlight w:val="none"/>
              </w:rPr>
            </w:pPr>
            <w:r>
              <w:rPr>
                <w:rFonts w:hint="eastAsia" w:ascii="宋体" w:hAnsi="宋体" w:cs="Calibri"/>
                <w:b/>
                <w:bCs/>
                <w:sz w:val="24"/>
                <w:highlight w:val="none"/>
                <w:lang w:eastAsia="zh-CN"/>
              </w:rPr>
              <w:t>1000000.00</w:t>
            </w:r>
            <w:r>
              <w:rPr>
                <w:rFonts w:hint="eastAsia" w:ascii="宋体" w:hAnsi="宋体" w:cs="Calibri"/>
                <w:b/>
                <w:bCs/>
                <w:sz w:val="24"/>
                <w:highlight w:val="none"/>
              </w:rPr>
              <w:t>元</w:t>
            </w:r>
          </w:p>
          <w:p w14:paraId="27164E33">
            <w:pPr>
              <w:widowControl/>
              <w:spacing w:line="360" w:lineRule="auto"/>
              <w:jc w:val="left"/>
              <w:rPr>
                <w:rFonts w:hint="eastAsia" w:ascii="宋体" w:hAnsi="宋体" w:cs="Calibri"/>
                <w:b/>
                <w:bCs/>
                <w:sz w:val="24"/>
                <w:highlight w:val="none"/>
              </w:rPr>
            </w:pPr>
            <w:r>
              <w:rPr>
                <w:rFonts w:hint="eastAsia" w:ascii="宋体" w:hAnsi="宋体" w:cs="Calibri"/>
                <w:b/>
                <w:bCs/>
                <w:sz w:val="24"/>
                <w:highlight w:val="none"/>
              </w:rPr>
              <w:t>供应商的投标报价不得超过最高投标限价，否则视为无效报价。</w:t>
            </w:r>
          </w:p>
        </w:tc>
      </w:tr>
      <w:tr w14:paraId="34E25594">
        <w:tblPrEx>
          <w:tblCellMar>
            <w:top w:w="0" w:type="dxa"/>
            <w:left w:w="108" w:type="dxa"/>
            <w:bottom w:w="0" w:type="dxa"/>
            <w:right w:w="108" w:type="dxa"/>
          </w:tblCellMar>
        </w:tblPrEx>
        <w:trPr>
          <w:trHeight w:val="2022"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566E0AEA">
            <w:pPr>
              <w:widowControl/>
              <w:spacing w:line="360" w:lineRule="auto"/>
              <w:jc w:val="center"/>
              <w:rPr>
                <w:rFonts w:hint="eastAsia" w:ascii="宋体" w:hAnsi="宋体" w:cs="Calibri"/>
                <w:sz w:val="24"/>
                <w:highlight w:val="none"/>
              </w:rPr>
            </w:pPr>
            <w:r>
              <w:rPr>
                <w:rFonts w:hint="eastAsia" w:ascii="宋体" w:hAnsi="宋体" w:cs="Calibri"/>
                <w:kern w:val="0"/>
                <w:sz w:val="24"/>
                <w:highlight w:val="none"/>
              </w:rPr>
              <w:t>14</w:t>
            </w:r>
          </w:p>
        </w:tc>
        <w:tc>
          <w:tcPr>
            <w:tcW w:w="2070" w:type="dxa"/>
            <w:tcBorders>
              <w:top w:val="single" w:color="auto" w:sz="4" w:space="0"/>
              <w:left w:val="nil"/>
              <w:bottom w:val="single" w:color="auto" w:sz="4" w:space="0"/>
              <w:right w:val="single" w:color="auto" w:sz="4" w:space="0"/>
            </w:tcBorders>
            <w:vAlign w:val="center"/>
          </w:tcPr>
          <w:p w14:paraId="56A595E9">
            <w:pPr>
              <w:widowControl/>
              <w:spacing w:line="360" w:lineRule="auto"/>
              <w:jc w:val="center"/>
              <w:rPr>
                <w:rFonts w:hint="eastAsia" w:ascii="宋体" w:hAnsi="宋体" w:cs="Calibri"/>
                <w:kern w:val="0"/>
                <w:sz w:val="24"/>
                <w:highlight w:val="none"/>
              </w:rPr>
            </w:pPr>
            <w:r>
              <w:rPr>
                <w:rFonts w:hint="eastAsia" w:ascii="宋体" w:hAnsi="宋体" w:cs="Calibri"/>
                <w:kern w:val="0"/>
                <w:sz w:val="24"/>
                <w:highlight w:val="none"/>
              </w:rPr>
              <w:t>磋商小组的</w:t>
            </w:r>
          </w:p>
          <w:p w14:paraId="297502DB">
            <w:pPr>
              <w:widowControl/>
              <w:spacing w:line="360" w:lineRule="auto"/>
              <w:jc w:val="center"/>
              <w:rPr>
                <w:rFonts w:hint="eastAsia" w:ascii="宋体" w:hAnsi="宋体" w:cs="Calibri"/>
                <w:sz w:val="24"/>
                <w:highlight w:val="none"/>
              </w:rPr>
            </w:pPr>
            <w:r>
              <w:rPr>
                <w:rFonts w:hint="eastAsia" w:ascii="宋体" w:hAnsi="宋体" w:cs="Calibri"/>
                <w:kern w:val="0"/>
                <w:sz w:val="24"/>
                <w:highlight w:val="none"/>
              </w:rPr>
              <w:t>组建</w:t>
            </w:r>
          </w:p>
        </w:tc>
        <w:tc>
          <w:tcPr>
            <w:tcW w:w="6353" w:type="dxa"/>
            <w:tcBorders>
              <w:top w:val="single" w:color="auto" w:sz="4" w:space="0"/>
              <w:left w:val="nil"/>
              <w:bottom w:val="single" w:color="auto" w:sz="4" w:space="0"/>
              <w:right w:val="single" w:color="auto" w:sz="4" w:space="0"/>
            </w:tcBorders>
            <w:vAlign w:val="center"/>
          </w:tcPr>
          <w:p w14:paraId="08FB6507">
            <w:pPr>
              <w:widowControl/>
              <w:spacing w:line="360" w:lineRule="auto"/>
              <w:jc w:val="left"/>
              <w:rPr>
                <w:rFonts w:hint="eastAsia" w:ascii="宋体" w:hAnsi="宋体" w:cs="Calibri"/>
                <w:sz w:val="24"/>
                <w:highlight w:val="none"/>
              </w:rPr>
            </w:pPr>
            <w:r>
              <w:rPr>
                <w:rFonts w:hint="eastAsia" w:ascii="宋体" w:hAnsi="宋体" w:cs="Calibri"/>
                <w:sz w:val="24"/>
                <w:highlight w:val="none"/>
              </w:rPr>
              <w:t>磋商小组构成：3人；</w:t>
            </w:r>
          </w:p>
          <w:p w14:paraId="2F5F6C60">
            <w:pPr>
              <w:widowControl/>
              <w:spacing w:line="360" w:lineRule="auto"/>
              <w:jc w:val="left"/>
              <w:rPr>
                <w:rFonts w:hint="eastAsia" w:ascii="宋体" w:hAnsi="宋体" w:cs="Calibri"/>
                <w:sz w:val="24"/>
                <w:highlight w:val="none"/>
              </w:rPr>
            </w:pPr>
            <w:r>
              <w:rPr>
                <w:rFonts w:hint="eastAsia" w:ascii="宋体" w:hAnsi="宋体" w:cs="Calibri"/>
                <w:sz w:val="24"/>
                <w:highlight w:val="none"/>
              </w:rPr>
              <w:t>其中</w:t>
            </w:r>
            <w:r>
              <w:rPr>
                <w:rFonts w:hint="eastAsia" w:ascii="宋体" w:hAnsi="宋体" w:cs="Calibri"/>
                <w:sz w:val="24"/>
                <w:highlight w:val="none"/>
                <w:lang w:eastAsia="zh-CN"/>
              </w:rPr>
              <w:t>采购人</w:t>
            </w:r>
            <w:r>
              <w:rPr>
                <w:rFonts w:hint="eastAsia" w:ascii="宋体" w:hAnsi="宋体" w:cs="Calibri"/>
                <w:sz w:val="24"/>
                <w:highlight w:val="none"/>
              </w:rPr>
              <w:t>代表1人，经济、技术类专家2人；</w:t>
            </w:r>
          </w:p>
          <w:p w14:paraId="7ACD6681">
            <w:pPr>
              <w:widowControl/>
              <w:spacing w:line="360" w:lineRule="auto"/>
              <w:jc w:val="left"/>
              <w:rPr>
                <w:rFonts w:hint="eastAsia" w:ascii="宋体" w:hAnsi="宋体" w:cs="Calibri"/>
                <w:sz w:val="24"/>
                <w:highlight w:val="none"/>
              </w:rPr>
            </w:pPr>
            <w:r>
              <w:rPr>
                <w:rFonts w:hint="eastAsia" w:ascii="宋体" w:hAnsi="宋体" w:cs="Calibri"/>
                <w:sz w:val="24"/>
                <w:highlight w:val="none"/>
              </w:rPr>
              <w:t>评标专家确定方式：</w:t>
            </w:r>
            <w:r>
              <w:rPr>
                <w:rFonts w:hint="eastAsia" w:ascii="宋体" w:hAnsi="宋体" w:eastAsia="宋体" w:cs="宋体"/>
                <w:kern w:val="0"/>
                <w:sz w:val="24"/>
                <w:szCs w:val="24"/>
                <w:highlight w:val="none"/>
              </w:rPr>
              <w:t>开标当天从河南省政府采购网专家库随机抽取。</w:t>
            </w:r>
          </w:p>
        </w:tc>
      </w:tr>
      <w:tr w14:paraId="3FD7E85C">
        <w:tblPrEx>
          <w:tblCellMar>
            <w:top w:w="0" w:type="dxa"/>
            <w:left w:w="108" w:type="dxa"/>
            <w:bottom w:w="0" w:type="dxa"/>
            <w:right w:w="108" w:type="dxa"/>
          </w:tblCellMar>
        </w:tblPrEx>
        <w:trPr>
          <w:trHeight w:val="90"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69F9EC33">
            <w:pPr>
              <w:widowControl/>
              <w:spacing w:line="360" w:lineRule="auto"/>
              <w:jc w:val="center"/>
              <w:rPr>
                <w:rFonts w:hint="eastAsia" w:ascii="宋体" w:hAnsi="宋体" w:cs="Calibri"/>
                <w:sz w:val="24"/>
                <w:highlight w:val="none"/>
              </w:rPr>
            </w:pPr>
            <w:r>
              <w:rPr>
                <w:rFonts w:hint="eastAsia" w:ascii="宋体" w:hAnsi="宋体" w:cs="Calibri"/>
                <w:kern w:val="0"/>
                <w:sz w:val="24"/>
                <w:highlight w:val="none"/>
              </w:rPr>
              <w:t>15</w:t>
            </w:r>
          </w:p>
        </w:tc>
        <w:tc>
          <w:tcPr>
            <w:tcW w:w="2070" w:type="dxa"/>
            <w:tcBorders>
              <w:top w:val="single" w:color="auto" w:sz="4" w:space="0"/>
              <w:left w:val="nil"/>
              <w:bottom w:val="single" w:color="auto" w:sz="4" w:space="0"/>
              <w:right w:val="single" w:color="auto" w:sz="4" w:space="0"/>
            </w:tcBorders>
            <w:vAlign w:val="center"/>
          </w:tcPr>
          <w:p w14:paraId="33E74DC6">
            <w:pPr>
              <w:widowControl/>
              <w:spacing w:line="360" w:lineRule="auto"/>
              <w:jc w:val="center"/>
              <w:rPr>
                <w:rFonts w:hint="eastAsia" w:ascii="宋体" w:hAnsi="宋体" w:cs="Calibri"/>
                <w:kern w:val="0"/>
                <w:sz w:val="24"/>
                <w:highlight w:val="none"/>
              </w:rPr>
            </w:pPr>
            <w:r>
              <w:rPr>
                <w:rFonts w:hint="eastAsia" w:ascii="宋体" w:hAnsi="宋体" w:cs="Calibri"/>
                <w:kern w:val="0"/>
                <w:sz w:val="24"/>
                <w:highlight w:val="none"/>
              </w:rPr>
              <w:t>授权评委小组推荐中标候选人</w:t>
            </w:r>
          </w:p>
        </w:tc>
        <w:tc>
          <w:tcPr>
            <w:tcW w:w="6353" w:type="dxa"/>
            <w:tcBorders>
              <w:top w:val="single" w:color="auto" w:sz="4" w:space="0"/>
              <w:left w:val="nil"/>
              <w:bottom w:val="single" w:color="auto" w:sz="4" w:space="0"/>
              <w:right w:val="single" w:color="auto" w:sz="4" w:space="0"/>
            </w:tcBorders>
            <w:vAlign w:val="center"/>
          </w:tcPr>
          <w:p w14:paraId="4B9F7853">
            <w:pPr>
              <w:widowControl/>
              <w:spacing w:line="360" w:lineRule="auto"/>
              <w:jc w:val="left"/>
              <w:rPr>
                <w:rFonts w:hint="eastAsia" w:ascii="宋体" w:hAnsi="宋体" w:cs="Calibri"/>
                <w:kern w:val="0"/>
                <w:sz w:val="24"/>
                <w:highlight w:val="none"/>
              </w:rPr>
            </w:pPr>
            <w:r>
              <w:rPr>
                <w:rFonts w:hint="eastAsia" w:ascii="宋体" w:hAnsi="宋体" w:cs="Calibri"/>
                <w:kern w:val="0"/>
                <w:sz w:val="24"/>
                <w:highlight w:val="none"/>
              </w:rPr>
              <w:t>是，推荐的中标候选人数：3个</w:t>
            </w:r>
          </w:p>
        </w:tc>
      </w:tr>
      <w:tr w14:paraId="24C6EC34">
        <w:tblPrEx>
          <w:tblCellMar>
            <w:top w:w="0" w:type="dxa"/>
            <w:left w:w="108" w:type="dxa"/>
            <w:bottom w:w="0" w:type="dxa"/>
            <w:right w:w="108" w:type="dxa"/>
          </w:tblCellMar>
        </w:tblPrEx>
        <w:trPr>
          <w:trHeight w:val="90"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58F9F3F4">
            <w:pPr>
              <w:widowControl/>
              <w:spacing w:line="360" w:lineRule="auto"/>
              <w:jc w:val="center"/>
              <w:rPr>
                <w:rFonts w:hint="eastAsia" w:ascii="宋体" w:hAnsi="宋体" w:cs="Calibri"/>
                <w:kern w:val="0"/>
                <w:sz w:val="24"/>
                <w:highlight w:val="none"/>
              </w:rPr>
            </w:pPr>
            <w:r>
              <w:rPr>
                <w:rFonts w:hint="eastAsia" w:ascii="宋体" w:hAnsi="宋体" w:cs="Calibri"/>
                <w:kern w:val="0"/>
                <w:sz w:val="24"/>
                <w:highlight w:val="none"/>
              </w:rPr>
              <w:t>16</w:t>
            </w:r>
          </w:p>
        </w:tc>
        <w:tc>
          <w:tcPr>
            <w:tcW w:w="2070" w:type="dxa"/>
            <w:tcBorders>
              <w:top w:val="single" w:color="auto" w:sz="4" w:space="0"/>
              <w:left w:val="nil"/>
              <w:bottom w:val="single" w:color="auto" w:sz="4" w:space="0"/>
              <w:right w:val="single" w:color="auto" w:sz="4" w:space="0"/>
            </w:tcBorders>
            <w:vAlign w:val="center"/>
          </w:tcPr>
          <w:p w14:paraId="0810AC03">
            <w:pPr>
              <w:widowControl/>
              <w:spacing w:line="360" w:lineRule="auto"/>
              <w:jc w:val="center"/>
              <w:rPr>
                <w:rFonts w:hint="eastAsia" w:ascii="宋体" w:hAnsi="宋体" w:cs="Calibri"/>
                <w:kern w:val="0"/>
                <w:sz w:val="24"/>
                <w:highlight w:val="none"/>
              </w:rPr>
            </w:pPr>
            <w:r>
              <w:rPr>
                <w:rFonts w:hint="eastAsia" w:ascii="宋体" w:hAnsi="宋体" w:cs="Calibri"/>
                <w:kern w:val="0"/>
                <w:sz w:val="24"/>
                <w:highlight w:val="none"/>
              </w:rPr>
              <w:t>结果公示</w:t>
            </w:r>
          </w:p>
        </w:tc>
        <w:tc>
          <w:tcPr>
            <w:tcW w:w="6353" w:type="dxa"/>
            <w:tcBorders>
              <w:top w:val="single" w:color="auto" w:sz="4" w:space="0"/>
              <w:left w:val="nil"/>
              <w:bottom w:val="single" w:color="auto" w:sz="4" w:space="0"/>
              <w:right w:val="single" w:color="auto" w:sz="4" w:space="0"/>
            </w:tcBorders>
            <w:vAlign w:val="center"/>
          </w:tcPr>
          <w:p w14:paraId="02A3B6CD">
            <w:pPr>
              <w:widowControl/>
              <w:spacing w:line="360" w:lineRule="auto"/>
              <w:jc w:val="left"/>
              <w:rPr>
                <w:rFonts w:hint="eastAsia" w:ascii="宋体" w:hAnsi="宋体" w:cs="Calibri"/>
                <w:kern w:val="0"/>
                <w:sz w:val="24"/>
                <w:highlight w:val="none"/>
              </w:rPr>
            </w:pPr>
            <w:r>
              <w:rPr>
                <w:rFonts w:hint="eastAsia" w:ascii="宋体" w:hAnsi="宋体" w:cs="Calibri"/>
                <w:kern w:val="0"/>
                <w:sz w:val="24"/>
                <w:highlight w:val="none"/>
              </w:rPr>
              <w:t>在《中国采购与招标网》、《河南省政府采购网》和《三门峡市公共资源交易中心网》三个网站同步中标结果公告。</w:t>
            </w:r>
          </w:p>
          <w:p w14:paraId="5DA8836E">
            <w:pPr>
              <w:widowControl/>
              <w:spacing w:line="360" w:lineRule="auto"/>
              <w:jc w:val="left"/>
              <w:rPr>
                <w:rFonts w:hint="eastAsia" w:ascii="宋体" w:hAnsi="宋体" w:cs="Calibri"/>
                <w:kern w:val="0"/>
                <w:sz w:val="24"/>
                <w:highlight w:val="none"/>
              </w:rPr>
            </w:pPr>
            <w:r>
              <w:rPr>
                <w:rFonts w:hint="eastAsia" w:ascii="宋体" w:hAnsi="宋体" w:cs="Calibri"/>
                <w:kern w:val="0"/>
                <w:sz w:val="24"/>
                <w:highlight w:val="none"/>
                <w:lang w:eastAsia="zh-CN"/>
              </w:rPr>
              <w:t>采购人</w:t>
            </w:r>
            <w:r>
              <w:rPr>
                <w:rFonts w:hint="eastAsia" w:ascii="宋体" w:hAnsi="宋体" w:cs="Calibri"/>
                <w:kern w:val="0"/>
                <w:sz w:val="24"/>
                <w:highlight w:val="none"/>
              </w:rPr>
              <w:t>以书面形式向中标人发出中标通知书，同时向未中标企业以书面或电子形式告知未中标原因。</w:t>
            </w:r>
          </w:p>
        </w:tc>
      </w:tr>
      <w:tr w14:paraId="279F905C">
        <w:tblPrEx>
          <w:tblCellMar>
            <w:top w:w="0" w:type="dxa"/>
            <w:left w:w="108" w:type="dxa"/>
            <w:bottom w:w="0" w:type="dxa"/>
            <w:right w:w="108" w:type="dxa"/>
          </w:tblCellMar>
        </w:tblPrEx>
        <w:trPr>
          <w:trHeight w:val="514"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7E605E2E">
            <w:pPr>
              <w:widowControl/>
              <w:spacing w:line="360" w:lineRule="auto"/>
              <w:jc w:val="center"/>
              <w:rPr>
                <w:rFonts w:hint="eastAsia" w:ascii="宋体" w:hAnsi="宋体" w:cs="Calibri"/>
                <w:sz w:val="24"/>
                <w:highlight w:val="none"/>
              </w:rPr>
            </w:pPr>
            <w:r>
              <w:rPr>
                <w:rFonts w:hint="eastAsia" w:ascii="宋体" w:hAnsi="宋体" w:cs="Calibri"/>
                <w:kern w:val="0"/>
                <w:sz w:val="24"/>
                <w:highlight w:val="none"/>
              </w:rPr>
              <w:t>17</w:t>
            </w:r>
          </w:p>
        </w:tc>
        <w:tc>
          <w:tcPr>
            <w:tcW w:w="2070" w:type="dxa"/>
            <w:tcBorders>
              <w:top w:val="single" w:color="auto" w:sz="4" w:space="0"/>
              <w:left w:val="nil"/>
              <w:bottom w:val="single" w:color="auto" w:sz="4" w:space="0"/>
              <w:right w:val="single" w:color="auto" w:sz="4" w:space="0"/>
            </w:tcBorders>
            <w:vAlign w:val="center"/>
          </w:tcPr>
          <w:p w14:paraId="5209FC00">
            <w:pPr>
              <w:widowControl/>
              <w:spacing w:line="360" w:lineRule="auto"/>
              <w:jc w:val="center"/>
              <w:rPr>
                <w:rFonts w:hint="eastAsia" w:ascii="宋体" w:hAnsi="宋体" w:cs="Calibri"/>
                <w:kern w:val="0"/>
                <w:sz w:val="24"/>
                <w:highlight w:val="none"/>
              </w:rPr>
            </w:pPr>
            <w:r>
              <w:rPr>
                <w:rFonts w:hint="eastAsia" w:ascii="宋体" w:hAnsi="宋体" w:cs="Calibri"/>
                <w:kern w:val="0"/>
                <w:sz w:val="24"/>
                <w:highlight w:val="none"/>
              </w:rPr>
              <w:t>签订合同时间</w:t>
            </w:r>
          </w:p>
        </w:tc>
        <w:tc>
          <w:tcPr>
            <w:tcW w:w="6353" w:type="dxa"/>
            <w:tcBorders>
              <w:top w:val="single" w:color="auto" w:sz="4" w:space="0"/>
              <w:left w:val="nil"/>
              <w:bottom w:val="single" w:color="auto" w:sz="4" w:space="0"/>
              <w:right w:val="single" w:color="auto" w:sz="4" w:space="0"/>
            </w:tcBorders>
            <w:vAlign w:val="center"/>
          </w:tcPr>
          <w:p w14:paraId="64157E6A">
            <w:pPr>
              <w:widowControl/>
              <w:spacing w:line="360" w:lineRule="auto"/>
              <w:jc w:val="left"/>
              <w:rPr>
                <w:rFonts w:hint="eastAsia" w:ascii="宋体" w:hAnsi="宋体" w:cs="Calibri"/>
                <w:kern w:val="0"/>
                <w:sz w:val="24"/>
                <w:highlight w:val="none"/>
              </w:rPr>
            </w:pPr>
            <w:r>
              <w:rPr>
                <w:rFonts w:hint="eastAsia" w:ascii="宋体" w:hAnsi="宋体" w:cs="Calibri"/>
                <w:kern w:val="0"/>
                <w:sz w:val="24"/>
                <w:highlight w:val="none"/>
              </w:rPr>
              <w:t>中标通知书发出后30日内</w:t>
            </w:r>
          </w:p>
        </w:tc>
      </w:tr>
      <w:tr w14:paraId="4E1CDA5C">
        <w:tblPrEx>
          <w:tblCellMar>
            <w:top w:w="0" w:type="dxa"/>
            <w:left w:w="108" w:type="dxa"/>
            <w:bottom w:w="0" w:type="dxa"/>
            <w:right w:w="108" w:type="dxa"/>
          </w:tblCellMar>
        </w:tblPrEx>
        <w:trPr>
          <w:trHeight w:val="90"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2F71E9D2">
            <w:pPr>
              <w:widowControl/>
              <w:spacing w:line="360" w:lineRule="auto"/>
              <w:jc w:val="center"/>
              <w:rPr>
                <w:rFonts w:hint="eastAsia" w:ascii="宋体" w:hAnsi="宋体" w:cs="Calibri"/>
                <w:sz w:val="24"/>
                <w:highlight w:val="none"/>
              </w:rPr>
            </w:pPr>
            <w:r>
              <w:rPr>
                <w:rFonts w:hint="eastAsia" w:ascii="宋体" w:hAnsi="宋体" w:cs="Calibri"/>
                <w:kern w:val="0"/>
                <w:sz w:val="24"/>
                <w:highlight w:val="none"/>
              </w:rPr>
              <w:t>18</w:t>
            </w:r>
          </w:p>
        </w:tc>
        <w:tc>
          <w:tcPr>
            <w:tcW w:w="2070" w:type="dxa"/>
            <w:tcBorders>
              <w:top w:val="single" w:color="auto" w:sz="4" w:space="0"/>
              <w:left w:val="nil"/>
              <w:bottom w:val="single" w:color="auto" w:sz="4" w:space="0"/>
              <w:right w:val="single" w:color="auto" w:sz="4" w:space="0"/>
            </w:tcBorders>
            <w:vAlign w:val="center"/>
          </w:tcPr>
          <w:p w14:paraId="4023F34F">
            <w:pPr>
              <w:widowControl/>
              <w:spacing w:line="360" w:lineRule="auto"/>
              <w:jc w:val="center"/>
              <w:rPr>
                <w:rFonts w:hint="eastAsia" w:ascii="宋体" w:hAnsi="宋体" w:cs="Calibri"/>
                <w:kern w:val="0"/>
                <w:sz w:val="24"/>
                <w:highlight w:val="none"/>
              </w:rPr>
            </w:pPr>
            <w:r>
              <w:rPr>
                <w:rFonts w:hint="eastAsia" w:ascii="宋体" w:hAnsi="宋体" w:cs="Calibri"/>
                <w:kern w:val="0"/>
                <w:sz w:val="24"/>
                <w:highlight w:val="none"/>
              </w:rPr>
              <w:t>投标有效期</w:t>
            </w:r>
          </w:p>
        </w:tc>
        <w:tc>
          <w:tcPr>
            <w:tcW w:w="6353" w:type="dxa"/>
            <w:tcBorders>
              <w:top w:val="single" w:color="auto" w:sz="4" w:space="0"/>
              <w:left w:val="nil"/>
              <w:bottom w:val="single" w:color="auto" w:sz="4" w:space="0"/>
              <w:right w:val="single" w:color="auto" w:sz="4" w:space="0"/>
            </w:tcBorders>
            <w:vAlign w:val="center"/>
          </w:tcPr>
          <w:p w14:paraId="3E39E542">
            <w:pPr>
              <w:widowControl/>
              <w:spacing w:line="360" w:lineRule="auto"/>
              <w:jc w:val="left"/>
              <w:rPr>
                <w:rFonts w:hint="eastAsia" w:ascii="宋体" w:hAnsi="宋体" w:cs="Calibri"/>
                <w:kern w:val="0"/>
                <w:sz w:val="24"/>
                <w:highlight w:val="none"/>
              </w:rPr>
            </w:pPr>
            <w:r>
              <w:rPr>
                <w:rFonts w:hint="eastAsia" w:ascii="宋体" w:hAnsi="宋体" w:cs="Calibri"/>
                <w:kern w:val="0"/>
                <w:sz w:val="24"/>
                <w:highlight w:val="none"/>
              </w:rPr>
              <w:t>投标截止之日起60日历天</w:t>
            </w:r>
          </w:p>
        </w:tc>
      </w:tr>
      <w:tr w14:paraId="5323B297">
        <w:tblPrEx>
          <w:tblCellMar>
            <w:top w:w="0" w:type="dxa"/>
            <w:left w:w="108" w:type="dxa"/>
            <w:bottom w:w="0" w:type="dxa"/>
            <w:right w:w="108" w:type="dxa"/>
          </w:tblCellMar>
        </w:tblPrEx>
        <w:trPr>
          <w:trHeight w:val="90"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43F1DCE7">
            <w:pPr>
              <w:widowControl/>
              <w:spacing w:line="360" w:lineRule="auto"/>
              <w:jc w:val="center"/>
              <w:rPr>
                <w:rFonts w:hint="eastAsia" w:ascii="宋体" w:hAnsi="宋体" w:cs="Calibri"/>
                <w:kern w:val="0"/>
                <w:sz w:val="24"/>
                <w:highlight w:val="none"/>
              </w:rPr>
            </w:pPr>
            <w:r>
              <w:rPr>
                <w:rFonts w:hint="eastAsia" w:ascii="宋体" w:hAnsi="宋体" w:cs="Calibri"/>
                <w:kern w:val="0"/>
                <w:sz w:val="24"/>
                <w:highlight w:val="none"/>
              </w:rPr>
              <w:t>19</w:t>
            </w:r>
          </w:p>
        </w:tc>
        <w:tc>
          <w:tcPr>
            <w:tcW w:w="2070" w:type="dxa"/>
            <w:tcBorders>
              <w:top w:val="single" w:color="auto" w:sz="4" w:space="0"/>
              <w:left w:val="nil"/>
              <w:bottom w:val="single" w:color="auto" w:sz="4" w:space="0"/>
              <w:right w:val="single" w:color="auto" w:sz="4" w:space="0"/>
            </w:tcBorders>
            <w:vAlign w:val="center"/>
          </w:tcPr>
          <w:p w14:paraId="30B46FD2">
            <w:pPr>
              <w:widowControl/>
              <w:spacing w:line="360" w:lineRule="auto"/>
              <w:jc w:val="center"/>
              <w:rPr>
                <w:rFonts w:hint="eastAsia" w:ascii="宋体" w:hAnsi="宋体" w:cs="Calibri"/>
                <w:kern w:val="0"/>
                <w:sz w:val="24"/>
                <w:highlight w:val="none"/>
              </w:rPr>
            </w:pPr>
            <w:r>
              <w:rPr>
                <w:rFonts w:hint="eastAsia" w:ascii="宋体" w:hAnsi="宋体" w:cs="Calibri"/>
                <w:kern w:val="0"/>
                <w:sz w:val="24"/>
                <w:highlight w:val="none"/>
              </w:rPr>
              <w:t>履约保证金</w:t>
            </w:r>
          </w:p>
        </w:tc>
        <w:tc>
          <w:tcPr>
            <w:tcW w:w="6353" w:type="dxa"/>
            <w:tcBorders>
              <w:top w:val="single" w:color="auto" w:sz="4" w:space="0"/>
              <w:left w:val="nil"/>
              <w:bottom w:val="single" w:color="auto" w:sz="4" w:space="0"/>
              <w:right w:val="single" w:color="auto" w:sz="4" w:space="0"/>
            </w:tcBorders>
            <w:vAlign w:val="center"/>
          </w:tcPr>
          <w:p w14:paraId="1532A654">
            <w:pPr>
              <w:widowControl/>
              <w:spacing w:line="360" w:lineRule="auto"/>
              <w:jc w:val="left"/>
              <w:rPr>
                <w:rFonts w:hint="eastAsia" w:ascii="宋体" w:hAnsi="宋体" w:cs="Calibri"/>
                <w:kern w:val="0"/>
                <w:sz w:val="24"/>
                <w:highlight w:val="none"/>
              </w:rPr>
            </w:pPr>
            <w:r>
              <w:rPr>
                <w:rFonts w:hint="eastAsia" w:ascii="宋体" w:hAnsi="宋体" w:cs="Calibri"/>
                <w:kern w:val="0"/>
                <w:sz w:val="24"/>
                <w:highlight w:val="none"/>
              </w:rPr>
              <w:t>本项目不收取履约保证金</w:t>
            </w:r>
          </w:p>
        </w:tc>
      </w:tr>
      <w:tr w14:paraId="2B60FAF1">
        <w:tblPrEx>
          <w:tblCellMar>
            <w:top w:w="0" w:type="dxa"/>
            <w:left w:w="108" w:type="dxa"/>
            <w:bottom w:w="0" w:type="dxa"/>
            <w:right w:w="108" w:type="dxa"/>
          </w:tblCellMar>
        </w:tblPrEx>
        <w:trPr>
          <w:trHeight w:val="90"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1B872F0A">
            <w:pPr>
              <w:widowControl/>
              <w:spacing w:line="360" w:lineRule="auto"/>
              <w:jc w:val="center"/>
              <w:rPr>
                <w:rFonts w:hint="eastAsia" w:ascii="宋体" w:hAnsi="宋体" w:cs="Calibri"/>
                <w:kern w:val="0"/>
                <w:sz w:val="24"/>
                <w:highlight w:val="none"/>
              </w:rPr>
            </w:pPr>
            <w:r>
              <w:rPr>
                <w:rFonts w:hint="eastAsia" w:ascii="宋体" w:hAnsi="宋体" w:cs="Calibri"/>
                <w:kern w:val="0"/>
                <w:sz w:val="24"/>
                <w:highlight w:val="none"/>
              </w:rPr>
              <w:t>20</w:t>
            </w:r>
          </w:p>
        </w:tc>
        <w:tc>
          <w:tcPr>
            <w:tcW w:w="2070" w:type="dxa"/>
            <w:tcBorders>
              <w:top w:val="single" w:color="auto" w:sz="4" w:space="0"/>
              <w:left w:val="nil"/>
              <w:bottom w:val="single" w:color="auto" w:sz="4" w:space="0"/>
              <w:right w:val="single" w:color="auto" w:sz="4" w:space="0"/>
            </w:tcBorders>
            <w:vAlign w:val="center"/>
          </w:tcPr>
          <w:p w14:paraId="2C24407E">
            <w:pPr>
              <w:spacing w:line="560" w:lineRule="exact"/>
              <w:jc w:val="center"/>
              <w:rPr>
                <w:rFonts w:hint="eastAsia" w:asciiTheme="minorEastAsia" w:hAnsiTheme="minorEastAsia" w:cstheme="minorEastAsia"/>
                <w:sz w:val="24"/>
                <w:szCs w:val="28"/>
                <w:highlight w:val="none"/>
              </w:rPr>
            </w:pPr>
            <w:r>
              <w:rPr>
                <w:rFonts w:hint="eastAsia" w:ascii="宋体" w:hAnsi="宋体" w:cs="Calibri"/>
                <w:sz w:val="24"/>
                <w:highlight w:val="none"/>
              </w:rPr>
              <w:t>报价及费用</w:t>
            </w:r>
          </w:p>
        </w:tc>
        <w:tc>
          <w:tcPr>
            <w:tcW w:w="6353" w:type="dxa"/>
            <w:tcBorders>
              <w:top w:val="single" w:color="auto" w:sz="4" w:space="0"/>
              <w:left w:val="nil"/>
              <w:bottom w:val="single" w:color="auto" w:sz="4" w:space="0"/>
              <w:right w:val="single" w:color="auto" w:sz="4" w:space="0"/>
            </w:tcBorders>
            <w:vAlign w:val="center"/>
          </w:tcPr>
          <w:p w14:paraId="05CADB8C">
            <w:pPr>
              <w:spacing w:line="420" w:lineRule="exact"/>
              <w:rPr>
                <w:rFonts w:hint="eastAsia" w:ascii="宋体" w:hAnsi="宋体" w:cs="Calibri"/>
                <w:sz w:val="24"/>
                <w:highlight w:val="none"/>
              </w:rPr>
            </w:pPr>
            <w:r>
              <w:rPr>
                <w:rFonts w:hint="eastAsia" w:ascii="宋体" w:hAnsi="宋体" w:cs="Calibri"/>
                <w:sz w:val="24"/>
                <w:highlight w:val="none"/>
              </w:rPr>
              <w:t>1．本项目应以人民币报价，供应商应就该项目完整投标（报价、服务、税费、售后服务等综合费用），</w:t>
            </w:r>
            <w:r>
              <w:rPr>
                <w:rFonts w:hint="eastAsia" w:ascii="宋体" w:hAnsi="宋体" w:cs="Calibri"/>
                <w:sz w:val="24"/>
                <w:highlight w:val="none"/>
                <w:lang w:eastAsia="zh-CN"/>
              </w:rPr>
              <w:t>采购人</w:t>
            </w:r>
            <w:r>
              <w:rPr>
                <w:rFonts w:hint="eastAsia" w:ascii="宋体" w:hAnsi="宋体" w:cs="Calibri"/>
                <w:sz w:val="24"/>
                <w:highlight w:val="none"/>
              </w:rPr>
              <w:t>不另外支付其他任何费用；</w:t>
            </w:r>
          </w:p>
          <w:p w14:paraId="52553F0F">
            <w:pPr>
              <w:spacing w:line="420" w:lineRule="exact"/>
              <w:rPr>
                <w:rFonts w:hint="eastAsia" w:ascii="宋体" w:hAnsi="宋体" w:cs="Calibri"/>
                <w:sz w:val="24"/>
                <w:highlight w:val="none"/>
              </w:rPr>
            </w:pPr>
            <w:r>
              <w:rPr>
                <w:rFonts w:hint="eastAsia" w:ascii="宋体" w:hAnsi="宋体" w:cs="Calibri"/>
                <w:sz w:val="24"/>
                <w:highlight w:val="none"/>
              </w:rPr>
              <w:t>2. 招标代理服务费按《河南省招标代理服务收费指导意见》豫招标（2023）002号向中标人收取。</w:t>
            </w:r>
            <w:r>
              <w:rPr>
                <w:rFonts w:hint="eastAsia" w:ascii="宋体" w:hAnsi="宋体" w:cs="Calibri"/>
                <w:sz w:val="24"/>
                <w:highlight w:val="none"/>
                <w:lang w:eastAsia="zh-CN"/>
              </w:rPr>
              <w:t>招标代理服务收费按差额定率累进法计算。</w:t>
            </w:r>
          </w:p>
        </w:tc>
      </w:tr>
      <w:tr w14:paraId="36F4E89F">
        <w:tblPrEx>
          <w:tblCellMar>
            <w:top w:w="0" w:type="dxa"/>
            <w:left w:w="108" w:type="dxa"/>
            <w:bottom w:w="0" w:type="dxa"/>
            <w:right w:w="108" w:type="dxa"/>
          </w:tblCellMar>
        </w:tblPrEx>
        <w:trPr>
          <w:trHeight w:val="357"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4287B6E2">
            <w:pPr>
              <w:widowControl/>
              <w:spacing w:line="360" w:lineRule="auto"/>
              <w:jc w:val="center"/>
              <w:rPr>
                <w:rFonts w:hint="eastAsia" w:ascii="宋体" w:hAnsi="宋体" w:cs="Calibri"/>
                <w:kern w:val="0"/>
                <w:sz w:val="24"/>
                <w:highlight w:val="none"/>
              </w:rPr>
            </w:pPr>
            <w:r>
              <w:rPr>
                <w:rFonts w:hint="eastAsia" w:ascii="宋体" w:hAnsi="宋体" w:cs="Calibri"/>
                <w:kern w:val="0"/>
                <w:sz w:val="24"/>
                <w:highlight w:val="none"/>
              </w:rPr>
              <w:t>2</w:t>
            </w:r>
            <w:r>
              <w:rPr>
                <w:rFonts w:ascii="宋体" w:hAnsi="宋体" w:cs="Calibri"/>
                <w:kern w:val="0"/>
                <w:sz w:val="24"/>
                <w:highlight w:val="none"/>
              </w:rPr>
              <w:t>1</w:t>
            </w:r>
          </w:p>
        </w:tc>
        <w:tc>
          <w:tcPr>
            <w:tcW w:w="2070" w:type="dxa"/>
            <w:tcBorders>
              <w:top w:val="single" w:color="auto" w:sz="4" w:space="0"/>
              <w:left w:val="nil"/>
              <w:bottom w:val="single" w:color="auto" w:sz="4" w:space="0"/>
              <w:right w:val="single" w:color="auto" w:sz="4" w:space="0"/>
            </w:tcBorders>
            <w:vAlign w:val="center"/>
          </w:tcPr>
          <w:p w14:paraId="6B7FD2F1">
            <w:pPr>
              <w:spacing w:line="360" w:lineRule="auto"/>
              <w:jc w:val="center"/>
              <w:rPr>
                <w:rFonts w:hint="eastAsia" w:ascii="宋体" w:hAnsi="宋体" w:cs="Calibri"/>
                <w:sz w:val="24"/>
                <w:highlight w:val="none"/>
              </w:rPr>
            </w:pPr>
            <w:r>
              <w:rPr>
                <w:rFonts w:hint="eastAsia" w:ascii="宋体" w:hAnsi="宋体" w:cs="Calibri"/>
                <w:sz w:val="24"/>
                <w:highlight w:val="none"/>
              </w:rPr>
              <w:t>偏离</w:t>
            </w:r>
          </w:p>
        </w:tc>
        <w:tc>
          <w:tcPr>
            <w:tcW w:w="6353" w:type="dxa"/>
            <w:tcBorders>
              <w:top w:val="single" w:color="auto" w:sz="4" w:space="0"/>
              <w:left w:val="nil"/>
              <w:bottom w:val="single" w:color="auto" w:sz="4" w:space="0"/>
              <w:right w:val="single" w:color="auto" w:sz="4" w:space="0"/>
            </w:tcBorders>
            <w:vAlign w:val="center"/>
          </w:tcPr>
          <w:p w14:paraId="21CC5566">
            <w:pPr>
              <w:spacing w:line="360" w:lineRule="auto"/>
              <w:jc w:val="left"/>
              <w:rPr>
                <w:rFonts w:hint="eastAsia" w:ascii="宋体" w:hAnsi="宋体" w:cs="Calibri"/>
                <w:sz w:val="24"/>
                <w:highlight w:val="none"/>
              </w:rPr>
            </w:pPr>
            <w:r>
              <w:rPr>
                <w:rFonts w:hint="eastAsia" w:ascii="宋体" w:hAnsi="宋体" w:cs="宋体"/>
                <w:kern w:val="10"/>
                <w:sz w:val="24"/>
              </w:rPr>
              <w:t>是，允许偏离</w:t>
            </w:r>
          </w:p>
        </w:tc>
      </w:tr>
      <w:tr w14:paraId="6DF62DBC">
        <w:tblPrEx>
          <w:tblCellMar>
            <w:top w:w="0" w:type="dxa"/>
            <w:left w:w="108" w:type="dxa"/>
            <w:bottom w:w="0" w:type="dxa"/>
            <w:right w:w="108" w:type="dxa"/>
          </w:tblCellMar>
        </w:tblPrEx>
        <w:trPr>
          <w:trHeight w:val="357"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4111D00E">
            <w:pPr>
              <w:widowControl/>
              <w:spacing w:line="360" w:lineRule="auto"/>
              <w:jc w:val="center"/>
              <w:rPr>
                <w:rFonts w:hint="default" w:ascii="宋体" w:hAnsi="宋体" w:cs="Calibri" w:eastAsiaTheme="minorEastAsia"/>
                <w:kern w:val="0"/>
                <w:sz w:val="24"/>
                <w:highlight w:val="none"/>
                <w:lang w:val="en-US" w:eastAsia="zh-CN"/>
              </w:rPr>
            </w:pPr>
            <w:r>
              <w:rPr>
                <w:rFonts w:hint="eastAsia" w:ascii="宋体" w:hAnsi="宋体" w:cs="Calibri"/>
                <w:kern w:val="0"/>
                <w:sz w:val="24"/>
                <w:highlight w:val="none"/>
                <w:lang w:val="en-US" w:eastAsia="zh-CN"/>
              </w:rPr>
              <w:t>22</w:t>
            </w:r>
          </w:p>
        </w:tc>
        <w:tc>
          <w:tcPr>
            <w:tcW w:w="2070" w:type="dxa"/>
            <w:tcBorders>
              <w:top w:val="single" w:color="auto" w:sz="4" w:space="0"/>
              <w:left w:val="nil"/>
              <w:bottom w:val="single" w:color="auto" w:sz="4" w:space="0"/>
              <w:right w:val="single" w:color="auto" w:sz="4" w:space="0"/>
            </w:tcBorders>
            <w:vAlign w:val="center"/>
          </w:tcPr>
          <w:p w14:paraId="6CFF5EEA">
            <w:pPr>
              <w:wordWrap w:val="0"/>
              <w:rPr>
                <w:rFonts w:hint="eastAsia" w:ascii="宋体" w:hAnsi="宋体" w:cs="Calibri"/>
                <w:sz w:val="24"/>
                <w:highlight w:val="none"/>
              </w:rPr>
            </w:pPr>
            <w:r>
              <w:rPr>
                <w:rFonts w:hint="eastAsia" w:ascii="宋体" w:hAnsi="宋体" w:eastAsia="宋体" w:cs="宋体"/>
                <w:color w:val="auto"/>
                <w:sz w:val="24"/>
                <w:highlight w:val="none"/>
                <w:lang w:val="en-US" w:eastAsia="zh-CN"/>
              </w:rPr>
              <w:t>采购标的对应的中小企业划分标准所属行业</w:t>
            </w:r>
          </w:p>
        </w:tc>
        <w:tc>
          <w:tcPr>
            <w:tcW w:w="6353" w:type="dxa"/>
            <w:tcBorders>
              <w:top w:val="single" w:color="auto" w:sz="4" w:space="0"/>
              <w:left w:val="nil"/>
              <w:bottom w:val="single" w:color="auto" w:sz="4" w:space="0"/>
              <w:right w:val="single" w:color="auto" w:sz="4" w:space="0"/>
            </w:tcBorders>
            <w:vAlign w:val="center"/>
          </w:tcPr>
          <w:p w14:paraId="5DBD300A">
            <w:pPr>
              <w:spacing w:line="4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根据工业和信息化部、国家统计局、国家发展改革委、财政部《关于印发中小企业划型标准规定的通知》（工信部联企业〔2011〕300号），本次采购标的对应的中小企业划分标准属于批发业。</w:t>
            </w:r>
          </w:p>
          <w:p w14:paraId="78FEE92F">
            <w:pPr>
              <w:spacing w:line="420" w:lineRule="exact"/>
              <w:rPr>
                <w:rFonts w:hint="eastAsia" w:ascii="宋体" w:hAnsi="宋体" w:cs="Calibri"/>
                <w:sz w:val="24"/>
                <w:highlight w:val="none"/>
              </w:rPr>
            </w:pPr>
          </w:p>
        </w:tc>
      </w:tr>
      <w:tr w14:paraId="0D5E454A">
        <w:tblPrEx>
          <w:tblCellMar>
            <w:top w:w="0" w:type="dxa"/>
            <w:left w:w="108" w:type="dxa"/>
            <w:bottom w:w="0" w:type="dxa"/>
            <w:right w:w="108" w:type="dxa"/>
          </w:tblCellMar>
        </w:tblPrEx>
        <w:trPr>
          <w:trHeight w:val="442"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6C8CE8EF">
            <w:pPr>
              <w:widowControl/>
              <w:spacing w:line="360" w:lineRule="auto"/>
              <w:jc w:val="center"/>
              <w:rPr>
                <w:rFonts w:hint="eastAsia" w:ascii="宋体" w:hAnsi="宋体" w:cs="Calibri" w:eastAsiaTheme="minorEastAsia"/>
                <w:sz w:val="24"/>
                <w:highlight w:val="none"/>
                <w:lang w:eastAsia="zh-CN"/>
              </w:rPr>
            </w:pPr>
            <w:r>
              <w:rPr>
                <w:rFonts w:hint="eastAsia" w:ascii="宋体" w:hAnsi="宋体" w:cs="Calibri"/>
                <w:kern w:val="0"/>
                <w:sz w:val="24"/>
                <w:highlight w:val="none"/>
              </w:rPr>
              <w:t>2</w:t>
            </w:r>
            <w:r>
              <w:rPr>
                <w:rFonts w:hint="eastAsia" w:ascii="宋体" w:hAnsi="宋体" w:cs="Calibri"/>
                <w:kern w:val="0"/>
                <w:sz w:val="24"/>
                <w:highlight w:val="none"/>
                <w:lang w:val="en-US" w:eastAsia="zh-CN"/>
              </w:rPr>
              <w:t>3</w:t>
            </w:r>
          </w:p>
        </w:tc>
        <w:tc>
          <w:tcPr>
            <w:tcW w:w="2070" w:type="dxa"/>
            <w:tcBorders>
              <w:top w:val="single" w:color="auto" w:sz="4" w:space="0"/>
              <w:left w:val="nil"/>
              <w:bottom w:val="single" w:color="auto" w:sz="4" w:space="0"/>
              <w:right w:val="single" w:color="auto" w:sz="4" w:space="0"/>
            </w:tcBorders>
            <w:vAlign w:val="center"/>
          </w:tcPr>
          <w:p w14:paraId="74D11C78">
            <w:pPr>
              <w:widowControl/>
              <w:spacing w:line="360" w:lineRule="auto"/>
              <w:jc w:val="center"/>
              <w:rPr>
                <w:rFonts w:hint="eastAsia" w:ascii="宋体" w:hAnsi="宋体" w:cs="Calibri"/>
                <w:kern w:val="0"/>
                <w:sz w:val="24"/>
                <w:highlight w:val="none"/>
              </w:rPr>
            </w:pPr>
            <w:r>
              <w:rPr>
                <w:rFonts w:hint="eastAsia" w:ascii="宋体" w:hAnsi="宋体" w:cs="Calibri"/>
                <w:kern w:val="0"/>
                <w:sz w:val="24"/>
                <w:highlight w:val="none"/>
              </w:rPr>
              <w:t>解释</w:t>
            </w:r>
          </w:p>
        </w:tc>
        <w:tc>
          <w:tcPr>
            <w:tcW w:w="6353" w:type="dxa"/>
            <w:tcBorders>
              <w:top w:val="single" w:color="auto" w:sz="4" w:space="0"/>
              <w:left w:val="nil"/>
              <w:bottom w:val="single" w:color="auto" w:sz="4" w:space="0"/>
              <w:right w:val="single" w:color="auto" w:sz="4" w:space="0"/>
            </w:tcBorders>
            <w:vAlign w:val="center"/>
          </w:tcPr>
          <w:p w14:paraId="153E2D58">
            <w:pPr>
              <w:widowControl/>
              <w:spacing w:line="360" w:lineRule="auto"/>
              <w:jc w:val="left"/>
              <w:rPr>
                <w:rFonts w:hint="eastAsia" w:ascii="宋体" w:hAnsi="宋体" w:cs="Calibri"/>
                <w:kern w:val="0"/>
                <w:sz w:val="24"/>
                <w:highlight w:val="none"/>
              </w:rPr>
            </w:pPr>
            <w:r>
              <w:rPr>
                <w:rFonts w:hint="eastAsia" w:ascii="宋体" w:hAnsi="宋体" w:cs="Calibri"/>
                <w:kern w:val="0"/>
                <w:sz w:val="24"/>
                <w:highlight w:val="none"/>
              </w:rPr>
              <w:t>本竞争性磋商文件的解释权属于采购人。</w:t>
            </w:r>
          </w:p>
        </w:tc>
      </w:tr>
      <w:tr w14:paraId="50E44CCC">
        <w:tblPrEx>
          <w:tblCellMar>
            <w:top w:w="0" w:type="dxa"/>
            <w:left w:w="108" w:type="dxa"/>
            <w:bottom w:w="0" w:type="dxa"/>
            <w:right w:w="108" w:type="dxa"/>
          </w:tblCellMar>
        </w:tblPrEx>
        <w:trPr>
          <w:trHeight w:val="683"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7494E3D3">
            <w:pPr>
              <w:widowControl/>
              <w:spacing w:line="360" w:lineRule="auto"/>
              <w:jc w:val="center"/>
              <w:rPr>
                <w:rFonts w:hint="eastAsia" w:ascii="宋体" w:hAnsi="宋体" w:cs="Calibri" w:eastAsiaTheme="minorEastAsia"/>
                <w:sz w:val="24"/>
                <w:highlight w:val="none"/>
                <w:lang w:val="en-US" w:eastAsia="zh-CN"/>
              </w:rPr>
            </w:pPr>
            <w:r>
              <w:rPr>
                <w:rFonts w:hint="eastAsia" w:ascii="宋体" w:hAnsi="宋体" w:cs="Calibri"/>
                <w:kern w:val="0"/>
                <w:sz w:val="24"/>
                <w:highlight w:val="none"/>
              </w:rPr>
              <w:t>2</w:t>
            </w:r>
            <w:r>
              <w:rPr>
                <w:rFonts w:hint="eastAsia" w:ascii="宋体" w:hAnsi="宋体" w:cs="Calibri"/>
                <w:kern w:val="0"/>
                <w:sz w:val="24"/>
                <w:highlight w:val="none"/>
                <w:lang w:val="en-US" w:eastAsia="zh-CN"/>
              </w:rPr>
              <w:t>4</w:t>
            </w:r>
          </w:p>
        </w:tc>
        <w:tc>
          <w:tcPr>
            <w:tcW w:w="2070" w:type="dxa"/>
            <w:tcBorders>
              <w:top w:val="single" w:color="auto" w:sz="4" w:space="0"/>
              <w:left w:val="nil"/>
              <w:bottom w:val="single" w:color="auto" w:sz="4" w:space="0"/>
              <w:right w:val="single" w:color="auto" w:sz="4" w:space="0"/>
            </w:tcBorders>
            <w:vAlign w:val="center"/>
          </w:tcPr>
          <w:p w14:paraId="0EF4FB7C">
            <w:pPr>
              <w:widowControl/>
              <w:spacing w:line="360" w:lineRule="auto"/>
              <w:jc w:val="center"/>
              <w:rPr>
                <w:rFonts w:hint="eastAsia" w:ascii="宋体" w:hAnsi="宋体" w:cs="Calibri"/>
                <w:sz w:val="24"/>
                <w:highlight w:val="none"/>
              </w:rPr>
            </w:pPr>
            <w:r>
              <w:rPr>
                <w:rFonts w:hint="eastAsia" w:ascii="宋体" w:hAnsi="宋体" w:cs="Calibri"/>
                <w:b/>
                <w:bCs/>
                <w:kern w:val="0"/>
                <w:sz w:val="24"/>
                <w:highlight w:val="none"/>
              </w:rPr>
              <w:t>电子化交易注意事项</w:t>
            </w:r>
          </w:p>
        </w:tc>
        <w:tc>
          <w:tcPr>
            <w:tcW w:w="6353" w:type="dxa"/>
            <w:tcBorders>
              <w:top w:val="single" w:color="auto" w:sz="4" w:space="0"/>
              <w:left w:val="nil"/>
              <w:bottom w:val="single" w:color="auto" w:sz="4" w:space="0"/>
              <w:right w:val="single" w:color="auto" w:sz="4" w:space="0"/>
            </w:tcBorders>
            <w:vAlign w:val="center"/>
          </w:tcPr>
          <w:p w14:paraId="676071D3">
            <w:pPr>
              <w:spacing w:line="400" w:lineRule="exact"/>
              <w:rPr>
                <w:rFonts w:hint="eastAsia" w:ascii="宋体" w:hAnsi="宋体"/>
                <w:sz w:val="24"/>
                <w:highlight w:val="none"/>
              </w:rPr>
            </w:pPr>
            <w:r>
              <w:rPr>
                <w:rFonts w:hint="eastAsia" w:ascii="宋体" w:hAnsi="宋体"/>
                <w:sz w:val="24"/>
                <w:highlight w:val="none"/>
              </w:rPr>
              <w:t>本项目为电子化交易项目，投标文件是供应商、投标人（以下简称“供应商”）通过中心投标文件制作系统制作，并经过电子签章和加密后生成的电子版投标文件。供应商投标时，不须提交纸质文件资料。</w:t>
            </w:r>
          </w:p>
          <w:p w14:paraId="79FBAB2D">
            <w:pPr>
              <w:spacing w:line="400" w:lineRule="exact"/>
              <w:rPr>
                <w:rFonts w:hint="eastAsia" w:ascii="宋体" w:hAnsi="宋体"/>
                <w:sz w:val="24"/>
                <w:highlight w:val="none"/>
              </w:rPr>
            </w:pPr>
            <w:r>
              <w:rPr>
                <w:rFonts w:hint="eastAsia" w:ascii="宋体" w:hAnsi="宋体"/>
                <w:sz w:val="24"/>
                <w:highlight w:val="none"/>
              </w:rPr>
              <w:t>电子化投标文件具体制作教材请供应商通过CA证书登录三门峡市公共资源电子化交易系统在 “交易智库”中下载操作流程</w:t>
            </w:r>
          </w:p>
          <w:p w14:paraId="46E2E365">
            <w:pPr>
              <w:spacing w:line="400" w:lineRule="exact"/>
              <w:rPr>
                <w:rFonts w:hint="eastAsia" w:ascii="宋体" w:hAnsi="宋体"/>
                <w:sz w:val="24"/>
                <w:highlight w:val="none"/>
              </w:rPr>
            </w:pPr>
            <w:r>
              <w:rPr>
                <w:rFonts w:hint="eastAsia" w:ascii="宋体" w:hAnsi="宋体"/>
                <w:sz w:val="24"/>
                <w:highlight w:val="none"/>
              </w:rPr>
              <w:t>温馨提示：本项目为电子化、无纸化交易项目，供应商时不接受任何纸质资料，为保证您能投标成功，请需仔细阅读以下条款。</w:t>
            </w:r>
          </w:p>
          <w:p w14:paraId="093A71E3">
            <w:pPr>
              <w:spacing w:line="400" w:lineRule="exact"/>
              <w:rPr>
                <w:rFonts w:hint="eastAsia" w:ascii="宋体" w:hAnsi="宋体"/>
                <w:sz w:val="24"/>
                <w:highlight w:val="none"/>
              </w:rPr>
            </w:pPr>
            <w:r>
              <w:rPr>
                <w:rFonts w:hint="eastAsia" w:ascii="宋体" w:hAnsi="宋体"/>
                <w:sz w:val="24"/>
                <w:highlight w:val="none"/>
              </w:rPr>
              <w:t>一、电子化投标</w:t>
            </w:r>
          </w:p>
          <w:p w14:paraId="222FBCED">
            <w:pPr>
              <w:spacing w:line="400" w:lineRule="exact"/>
              <w:rPr>
                <w:rFonts w:hint="eastAsia" w:ascii="宋体" w:hAnsi="宋体"/>
                <w:sz w:val="24"/>
                <w:highlight w:val="none"/>
              </w:rPr>
            </w:pPr>
            <w:r>
              <w:rPr>
                <w:rFonts w:hint="eastAsia" w:ascii="宋体" w:hAnsi="宋体"/>
                <w:sz w:val="24"/>
                <w:highlight w:val="none"/>
              </w:rPr>
              <w:t>（一）电子化投标文件的签章</w:t>
            </w:r>
          </w:p>
          <w:p w14:paraId="1C6F9110">
            <w:pPr>
              <w:spacing w:line="400" w:lineRule="exact"/>
              <w:rPr>
                <w:rFonts w:hint="eastAsia" w:ascii="宋体" w:hAnsi="宋体"/>
                <w:sz w:val="24"/>
                <w:highlight w:val="none"/>
              </w:rPr>
            </w:pPr>
            <w:r>
              <w:rPr>
                <w:rFonts w:hint="eastAsia" w:ascii="宋体" w:hAnsi="宋体"/>
                <w:sz w:val="24"/>
                <w:highlight w:val="none"/>
              </w:rPr>
              <w:t>1、供应商在生成电子化投标文件后，应对电子化投标文件进行签章，未进行签章的视为无效投标。</w:t>
            </w:r>
          </w:p>
          <w:p w14:paraId="7F1CD8CB">
            <w:pPr>
              <w:spacing w:line="400" w:lineRule="exact"/>
              <w:jc w:val="left"/>
              <w:rPr>
                <w:rFonts w:hint="eastAsia" w:ascii="宋体" w:hAnsi="宋体"/>
                <w:sz w:val="24"/>
                <w:highlight w:val="none"/>
              </w:rPr>
            </w:pPr>
            <w:r>
              <w:rPr>
                <w:rFonts w:hint="eastAsia" w:ascii="宋体" w:hAnsi="宋体"/>
                <w:sz w:val="24"/>
                <w:highlight w:val="none"/>
              </w:rPr>
              <w:t>2、投标文件中要求法定代表人或授权委托人签字或盖章的，供应商在进行电子化投标文件签章时，以签盖法定代表人签章为准。电子化投标文件具体制作教材请供应商通过CA证书登录三门峡市公共资源电子化交易系统在右上角“交易智库”中查看。电子化投标文件工具请点击</w:t>
            </w:r>
            <w:r>
              <w:rPr>
                <w:rFonts w:ascii="宋体" w:hAnsi="宋体"/>
                <w:sz w:val="24"/>
                <w:highlight w:val="none"/>
              </w:rPr>
              <w:t>https://download.bqpoint.com/download/downloadlist.html?SoftTypeCode=03</w:t>
            </w:r>
            <w:r>
              <w:rPr>
                <w:rFonts w:hint="eastAsia" w:ascii="宋体" w:hAnsi="宋体"/>
                <w:sz w:val="24"/>
                <w:highlight w:val="none"/>
              </w:rPr>
              <w:t>进行下载。</w:t>
            </w:r>
          </w:p>
          <w:p w14:paraId="10B5D69D">
            <w:pPr>
              <w:spacing w:line="400" w:lineRule="exact"/>
              <w:rPr>
                <w:rFonts w:hint="eastAsia" w:ascii="宋体" w:hAnsi="宋体"/>
                <w:sz w:val="24"/>
                <w:highlight w:val="none"/>
              </w:rPr>
            </w:pPr>
            <w:r>
              <w:rPr>
                <w:rFonts w:hint="eastAsia" w:ascii="宋体" w:hAnsi="宋体"/>
                <w:sz w:val="24"/>
                <w:highlight w:val="none"/>
              </w:rPr>
              <w:t>（二）电子化投标文件的格式及上传投标</w:t>
            </w:r>
          </w:p>
          <w:p w14:paraId="2AF70A0C">
            <w:pPr>
              <w:spacing w:line="400" w:lineRule="exact"/>
              <w:jc w:val="left"/>
              <w:rPr>
                <w:rFonts w:hint="eastAsia" w:ascii="宋体" w:hAnsi="宋体"/>
                <w:sz w:val="24"/>
                <w:highlight w:val="none"/>
              </w:rPr>
            </w:pPr>
            <w:r>
              <w:rPr>
                <w:rFonts w:hint="eastAsia" w:ascii="宋体" w:hAnsi="宋体"/>
                <w:sz w:val="24"/>
                <w:highlight w:val="none"/>
              </w:rPr>
              <w:t>1、供应商所上传的电子化投标文件，应是通过中心投标文件制作系统制作的（投标文件制作工具下载地址：</w:t>
            </w:r>
            <w:r>
              <w:rPr>
                <w:rFonts w:ascii="宋体" w:hAnsi="宋体"/>
                <w:sz w:val="24"/>
                <w:highlight w:val="none"/>
              </w:rPr>
              <w:t>https://download.bqpoint.com/download/downloadlist.html?SoftTypeCode=03</w:t>
            </w:r>
            <w:r>
              <w:rPr>
                <w:rFonts w:hint="eastAsia" w:ascii="宋体" w:hAnsi="宋体"/>
                <w:sz w:val="24"/>
                <w:highlight w:val="none"/>
              </w:rPr>
              <w:t>），经过签章和加密后生成的电子版投标文件。其中包含用于投标文件上传的主文件（后缀为.smxtf）和用于应急补救的投标文件备份文件（后缀为.nsmxtf）。备份文件主要用于电子化开标出现技术问题后的补救，请供应商随身携带。</w:t>
            </w:r>
          </w:p>
          <w:p w14:paraId="62492CFF">
            <w:pPr>
              <w:spacing w:line="400" w:lineRule="exact"/>
              <w:rPr>
                <w:rFonts w:hint="eastAsia" w:ascii="宋体" w:hAnsi="宋体"/>
                <w:sz w:val="24"/>
                <w:highlight w:val="none"/>
              </w:rPr>
            </w:pPr>
            <w:r>
              <w:rPr>
                <w:rFonts w:hint="eastAsia" w:ascii="宋体" w:hAnsi="宋体"/>
                <w:sz w:val="24"/>
                <w:highlight w:val="none"/>
              </w:rPr>
              <w:t>注：供应商投报多个标段的，需要每个标段单独制作电子投标文件。</w:t>
            </w:r>
          </w:p>
          <w:p w14:paraId="2C502D25">
            <w:pPr>
              <w:spacing w:line="400" w:lineRule="exact"/>
              <w:rPr>
                <w:rFonts w:hint="eastAsia" w:ascii="宋体" w:hAnsi="宋体"/>
                <w:sz w:val="24"/>
                <w:highlight w:val="none"/>
              </w:rPr>
            </w:pPr>
            <w:r>
              <w:rPr>
                <w:rFonts w:hint="eastAsia" w:ascii="宋体" w:hAnsi="宋体"/>
                <w:sz w:val="24"/>
                <w:highlight w:val="none"/>
              </w:rPr>
              <w:t>2、电子化投标文件应在投标截止时间前成功上传至三门峡市公共资源电子化交易系统。至投标截止时间止，仍未上传成功的电子化投标文件将不予接收。</w:t>
            </w:r>
          </w:p>
          <w:p w14:paraId="1AE0BD9C">
            <w:pPr>
              <w:spacing w:line="400" w:lineRule="exact"/>
              <w:rPr>
                <w:rFonts w:hint="eastAsia" w:ascii="宋体" w:hAnsi="宋体"/>
                <w:sz w:val="24"/>
                <w:highlight w:val="none"/>
              </w:rPr>
            </w:pPr>
            <w:r>
              <w:rPr>
                <w:rFonts w:hint="eastAsia" w:ascii="宋体" w:hAnsi="宋体"/>
                <w:sz w:val="24"/>
                <w:highlight w:val="none"/>
              </w:rPr>
              <w:t>注：如按照电子化投标操作教材制作完成的电子化投标文件无法上传的，供应商应在投标截止时间前尽早的联系中心技术人员，以便有充分的时间进行处理。供应商应充分考虑到处理技术问题和上传数据等工作所需的时间问题，投标文件未在投标截止时间前成功上传的，其投标文件不予接收。</w:t>
            </w:r>
          </w:p>
          <w:p w14:paraId="3AD6C2FE">
            <w:pPr>
              <w:spacing w:line="400" w:lineRule="exact"/>
              <w:rPr>
                <w:rFonts w:hint="eastAsia" w:ascii="宋体" w:hAnsi="宋体"/>
                <w:sz w:val="24"/>
                <w:highlight w:val="none"/>
              </w:rPr>
            </w:pPr>
            <w:r>
              <w:rPr>
                <w:rFonts w:hint="eastAsia" w:ascii="宋体" w:hAnsi="宋体"/>
                <w:sz w:val="24"/>
                <w:highlight w:val="none"/>
              </w:rPr>
              <w:t>技术联系电话：400-998-0000</w:t>
            </w:r>
          </w:p>
          <w:p w14:paraId="5C036263">
            <w:pPr>
              <w:spacing w:line="400" w:lineRule="exact"/>
              <w:rPr>
                <w:rFonts w:hint="eastAsia" w:ascii="宋体" w:hAnsi="宋体"/>
                <w:sz w:val="24"/>
                <w:highlight w:val="none"/>
              </w:rPr>
            </w:pPr>
            <w:r>
              <w:rPr>
                <w:rFonts w:hint="eastAsia" w:ascii="宋体" w:hAnsi="宋体"/>
                <w:sz w:val="24"/>
                <w:highlight w:val="none"/>
              </w:rPr>
              <w:t>主体库咨询电话:0398-3117815</w:t>
            </w:r>
          </w:p>
          <w:p w14:paraId="08E2612F">
            <w:pPr>
              <w:spacing w:line="400" w:lineRule="exact"/>
              <w:rPr>
                <w:rFonts w:hint="eastAsia" w:ascii="宋体" w:hAnsi="宋体"/>
                <w:sz w:val="24"/>
                <w:highlight w:val="none"/>
              </w:rPr>
            </w:pPr>
            <w:r>
              <w:rPr>
                <w:rFonts w:hint="eastAsia" w:ascii="宋体" w:hAnsi="宋体"/>
                <w:sz w:val="24"/>
                <w:highlight w:val="none"/>
              </w:rPr>
              <w:t>CA证书制发:0398-2181635</w:t>
            </w:r>
          </w:p>
          <w:p w14:paraId="6FB70D28">
            <w:pPr>
              <w:spacing w:line="400" w:lineRule="exact"/>
              <w:rPr>
                <w:rFonts w:hint="eastAsia" w:ascii="宋体" w:hAnsi="宋体"/>
                <w:sz w:val="24"/>
                <w:highlight w:val="none"/>
              </w:rPr>
            </w:pPr>
            <w:r>
              <w:rPr>
                <w:rFonts w:hint="eastAsia" w:ascii="宋体" w:hAnsi="宋体"/>
                <w:sz w:val="24"/>
                <w:highlight w:val="none"/>
              </w:rPr>
              <w:t>科技信息科:0398-3117095</w:t>
            </w:r>
          </w:p>
          <w:p w14:paraId="5C80A380">
            <w:pPr>
              <w:spacing w:line="400" w:lineRule="exact"/>
              <w:rPr>
                <w:rFonts w:hint="eastAsia" w:ascii="宋体" w:hAnsi="宋体"/>
                <w:sz w:val="24"/>
                <w:highlight w:val="none"/>
              </w:rPr>
            </w:pPr>
            <w:r>
              <w:rPr>
                <w:rFonts w:hint="eastAsia" w:ascii="宋体" w:hAnsi="宋体"/>
                <w:sz w:val="24"/>
                <w:highlight w:val="none"/>
              </w:rPr>
              <w:t>（三）电子化项目开标、解密、唱标、评标</w:t>
            </w:r>
          </w:p>
          <w:p w14:paraId="4E0D5BF6">
            <w:pPr>
              <w:wordWrap w:val="0"/>
              <w:spacing w:line="400" w:lineRule="exact"/>
              <w:ind w:firstLine="357"/>
              <w:rPr>
                <w:rFonts w:hint="eastAsia" w:ascii="宋体" w:hAnsi="宋体"/>
                <w:sz w:val="24"/>
                <w:highlight w:val="none"/>
              </w:rPr>
            </w:pPr>
            <w:r>
              <w:rPr>
                <w:rFonts w:hint="eastAsia" w:ascii="宋体" w:hAnsi="宋体"/>
                <w:sz w:val="24"/>
                <w:highlight w:val="none"/>
              </w:rPr>
              <w:t>1、本项目采用电子化、无纸化进行招标，开标当日，供应商无需到开标现场参加开标会议，供应商应当在投标截止时间前，登陆不见面开标大厅选择登陆三门峡市公共资源电子招投标系统进行登陆（</w:t>
            </w:r>
            <w:r>
              <w:rPr>
                <w:rFonts w:hint="eastAsia" w:ascii="宋体" w:hAnsi="宋体" w:cs="宋体"/>
                <w:sz w:val="24"/>
                <w:szCs w:val="24"/>
                <w:highlight w:val="none"/>
              </w:rPr>
              <w:t>网址为</w:t>
            </w:r>
            <w:r>
              <w:rPr>
                <w:rFonts w:ascii="宋体" w:hAnsi="宋体" w:cs="宋体"/>
                <w:sz w:val="24"/>
                <w:szCs w:val="24"/>
                <w:highlight w:val="none"/>
              </w:rPr>
              <w:t>http://120.194.249.36:10094/BidOpening/bidopeninghallaction/hall/login</w:t>
            </w:r>
            <w:r>
              <w:rPr>
                <w:rFonts w:hint="eastAsia" w:ascii="宋体" w:hAnsi="宋体"/>
                <w:sz w:val="24"/>
                <w:highlight w:val="none"/>
              </w:rPr>
              <w:t>）,在线准时参加开标活动并进行投标文件解密等。</w:t>
            </w:r>
          </w:p>
          <w:p w14:paraId="718DCCDF">
            <w:pPr>
              <w:spacing w:line="400" w:lineRule="exact"/>
              <w:rPr>
                <w:rFonts w:hint="eastAsia" w:ascii="宋体" w:hAnsi="宋体"/>
                <w:sz w:val="24"/>
                <w:highlight w:val="none"/>
              </w:rPr>
            </w:pPr>
            <w:r>
              <w:rPr>
                <w:rFonts w:hint="eastAsia" w:ascii="宋体" w:hAnsi="宋体"/>
                <w:sz w:val="24"/>
                <w:highlight w:val="none"/>
              </w:rPr>
              <w:t>2、电子化投标文件采用一次加密方式。开标时，由供应商使用CA 证书，在规定时间内对其电子化投标文件进行解密。每位供应商的解密时间为开标时间起30 分钟内，如在规定时间内未完成解密的，其投标文件不予开标、唱标。</w:t>
            </w:r>
          </w:p>
          <w:p w14:paraId="67F9856A">
            <w:pPr>
              <w:spacing w:line="400" w:lineRule="exact"/>
              <w:rPr>
                <w:rFonts w:hint="eastAsia" w:ascii="宋体" w:hAnsi="宋体"/>
                <w:sz w:val="24"/>
                <w:highlight w:val="none"/>
              </w:rPr>
            </w:pPr>
            <w:r>
              <w:rPr>
                <w:rFonts w:hint="eastAsia" w:ascii="宋体" w:hAnsi="宋体"/>
                <w:sz w:val="24"/>
                <w:highlight w:val="none"/>
              </w:rPr>
              <w:t>3、电子化投标文件解密异常的处理</w:t>
            </w:r>
          </w:p>
          <w:p w14:paraId="6A801DD4">
            <w:pPr>
              <w:spacing w:line="400" w:lineRule="exact"/>
              <w:rPr>
                <w:rFonts w:hint="eastAsia" w:ascii="宋体" w:hAnsi="宋体"/>
                <w:sz w:val="24"/>
                <w:highlight w:val="none"/>
              </w:rPr>
            </w:pPr>
            <w:r>
              <w:rPr>
                <w:rFonts w:hint="eastAsia" w:ascii="宋体" w:hAnsi="宋体"/>
                <w:sz w:val="24"/>
                <w:highlight w:val="none"/>
              </w:rPr>
              <w:t>如出现供应商的电子投标文件无法解密等异常情况，供应商应及时致电中介服务机构说明。投标文件异常，按以下步骤进行处理：</w:t>
            </w:r>
          </w:p>
          <w:p w14:paraId="5005448D">
            <w:pPr>
              <w:spacing w:line="400" w:lineRule="exact"/>
              <w:rPr>
                <w:rFonts w:hint="eastAsia" w:ascii="宋体" w:hAnsi="宋体"/>
                <w:sz w:val="24"/>
                <w:highlight w:val="none"/>
              </w:rPr>
            </w:pPr>
            <w:r>
              <w:rPr>
                <w:rFonts w:hint="eastAsia" w:ascii="宋体" w:hAnsi="宋体"/>
                <w:sz w:val="24"/>
                <w:highlight w:val="none"/>
              </w:rPr>
              <w:t>（1）首先由技术人员进行问题排查。</w:t>
            </w:r>
          </w:p>
          <w:p w14:paraId="7523BCB2">
            <w:pPr>
              <w:spacing w:line="400" w:lineRule="exact"/>
              <w:rPr>
                <w:rFonts w:hint="eastAsia" w:ascii="宋体" w:hAnsi="宋体"/>
                <w:sz w:val="24"/>
                <w:highlight w:val="none"/>
              </w:rPr>
            </w:pPr>
            <w:r>
              <w:rPr>
                <w:rFonts w:hint="eastAsia" w:ascii="宋体" w:hAnsi="宋体"/>
                <w:sz w:val="24"/>
                <w:highlight w:val="none"/>
              </w:rPr>
              <w:t>（2）经技术人员排查后，是供应商文件自身问题导致投标文件无法解密的，该投标文件将不予接收、解密和唱标。开标会议继续进行。</w:t>
            </w:r>
          </w:p>
          <w:p w14:paraId="770AF2F2">
            <w:pPr>
              <w:spacing w:line="400" w:lineRule="exact"/>
              <w:rPr>
                <w:rFonts w:hint="eastAsia" w:ascii="宋体" w:hAnsi="宋体"/>
                <w:sz w:val="24"/>
                <w:highlight w:val="none"/>
              </w:rPr>
            </w:pPr>
            <w:r>
              <w:rPr>
                <w:rFonts w:hint="eastAsia" w:ascii="宋体" w:hAnsi="宋体"/>
                <w:sz w:val="24"/>
                <w:highlight w:val="none"/>
              </w:rPr>
              <w:t>（3）经技术人员排查后，如果是电子化交易系统问题造成投标文件无法解密的，将由技术人员对问题进行处理。如短时间内问题无法解决的，将由中介服务机构向监督部门申请，经监督部门同意后，暂停开标会议，待问题解决后继续开标。</w:t>
            </w:r>
          </w:p>
          <w:p w14:paraId="7A171889">
            <w:pPr>
              <w:spacing w:line="400" w:lineRule="exact"/>
              <w:rPr>
                <w:rFonts w:hint="eastAsia" w:ascii="宋体" w:hAnsi="宋体"/>
                <w:sz w:val="24"/>
                <w:highlight w:val="none"/>
              </w:rPr>
            </w:pPr>
            <w:r>
              <w:rPr>
                <w:rFonts w:hint="eastAsia" w:ascii="宋体" w:hAnsi="宋体"/>
                <w:sz w:val="24"/>
                <w:highlight w:val="none"/>
              </w:rPr>
              <w:t>4、待所有供应商投标文件解密完成后，由中介服务机构操作，对所有已解密投标文件进行唱标。</w:t>
            </w:r>
          </w:p>
          <w:p w14:paraId="63152BE4">
            <w:pPr>
              <w:spacing w:line="400" w:lineRule="exact"/>
              <w:rPr>
                <w:rFonts w:hint="eastAsia" w:ascii="宋体" w:hAnsi="宋体"/>
                <w:sz w:val="24"/>
                <w:highlight w:val="none"/>
              </w:rPr>
            </w:pPr>
            <w:r>
              <w:rPr>
                <w:rFonts w:hint="eastAsia" w:ascii="宋体" w:hAnsi="宋体"/>
                <w:sz w:val="24"/>
                <w:highlight w:val="none"/>
              </w:rPr>
              <w:t>供应商应保证在开标期间电话、电脑、网络能够正常工作，供应商因停电、电脑病毒、网络堵塞等原因，未在规定的解密时间内对投标文件进行解密的，其投标文件不予接收、唱标。</w:t>
            </w:r>
          </w:p>
          <w:p w14:paraId="3E41A7DD">
            <w:pPr>
              <w:spacing w:line="400" w:lineRule="exact"/>
              <w:rPr>
                <w:rFonts w:hint="eastAsia" w:ascii="宋体" w:hAnsi="宋体"/>
                <w:sz w:val="24"/>
                <w:highlight w:val="none"/>
              </w:rPr>
            </w:pPr>
            <w:r>
              <w:rPr>
                <w:rFonts w:hint="eastAsia" w:ascii="宋体" w:hAnsi="宋体"/>
                <w:sz w:val="24"/>
                <w:highlight w:val="none"/>
              </w:rPr>
              <w:t>5、开标时供应商可登录到交易系统中在开标解密栏中点击报价一览表查看自己的投标报价。如对自己的唱标内容有异议的，应在供应商解密成功后10分钟内向中介服务机构电话质疑。中介服务机构应在监督人员的监督下进行免提通话接受供应商的质疑并做好书面记录。供应商未在规定时间内提出质疑的，视为认可唱标内容。</w:t>
            </w:r>
          </w:p>
          <w:p w14:paraId="77D1A18C">
            <w:pPr>
              <w:spacing w:line="400" w:lineRule="exact"/>
              <w:rPr>
                <w:rFonts w:hint="eastAsia" w:ascii="宋体" w:hAnsi="宋体"/>
                <w:sz w:val="24"/>
                <w:highlight w:val="none"/>
              </w:rPr>
            </w:pPr>
            <w:r>
              <w:rPr>
                <w:rFonts w:hint="eastAsia" w:ascii="宋体" w:hAnsi="宋体"/>
                <w:sz w:val="24"/>
                <w:highlight w:val="none"/>
              </w:rPr>
              <w:t>6、评标时，磋商小组对电子化投标文件有质疑的，将通过电子化交易系统对供应商发起质疑，并在监督人员的监督下，用免提模式致电需要答复的供应商对质疑进行回复。供应商的回复文件必须以经过供应商和其法定代表人签章的PDF格式文件为准，并通过电子化交易系统提交至磋商小组。</w:t>
            </w:r>
          </w:p>
          <w:p w14:paraId="402F7703">
            <w:pPr>
              <w:spacing w:line="400" w:lineRule="exact"/>
              <w:rPr>
                <w:rFonts w:hint="eastAsia" w:ascii="宋体" w:hAnsi="宋体"/>
                <w:sz w:val="24"/>
                <w:highlight w:val="none"/>
              </w:rPr>
            </w:pPr>
            <w:r>
              <w:rPr>
                <w:rFonts w:hint="eastAsia" w:ascii="宋体" w:hAnsi="宋体"/>
                <w:sz w:val="24"/>
                <w:highlight w:val="none"/>
              </w:rPr>
              <w:t>7、如磋商小组对需要回复的供应商连续三次致电未接通的，视为供应商放弃回复，磋商小组将自行对需要回复的内容进行认定。</w:t>
            </w:r>
          </w:p>
          <w:p w14:paraId="77F5915E">
            <w:pPr>
              <w:spacing w:line="400" w:lineRule="exact"/>
              <w:rPr>
                <w:rFonts w:hint="eastAsia" w:ascii="宋体" w:hAnsi="宋体"/>
                <w:sz w:val="24"/>
                <w:highlight w:val="none"/>
              </w:rPr>
            </w:pPr>
            <w:r>
              <w:rPr>
                <w:rFonts w:hint="eastAsia" w:ascii="宋体" w:hAnsi="宋体"/>
                <w:sz w:val="24"/>
                <w:highlight w:val="none"/>
              </w:rPr>
              <w:t>二、相关证书原件的提交</w:t>
            </w:r>
          </w:p>
          <w:p w14:paraId="22D6B6D7">
            <w:pPr>
              <w:spacing w:line="400" w:lineRule="exact"/>
              <w:rPr>
                <w:rFonts w:hint="eastAsia" w:ascii="宋体" w:hAnsi="宋体"/>
                <w:sz w:val="24"/>
                <w:highlight w:val="none"/>
              </w:rPr>
            </w:pPr>
            <w:r>
              <w:rPr>
                <w:rFonts w:hint="eastAsia" w:ascii="宋体" w:hAnsi="宋体"/>
                <w:sz w:val="24"/>
                <w:highlight w:val="none"/>
              </w:rPr>
              <w:t>本项目实行资格后审，资格评审以投标文件为准，其上传资料真实性由供应商自行承担，同时，供应商要完善主体库。</w:t>
            </w:r>
          </w:p>
          <w:p w14:paraId="22311AF7">
            <w:pPr>
              <w:spacing w:line="400" w:lineRule="exact"/>
              <w:rPr>
                <w:rFonts w:hint="eastAsia" w:ascii="宋体" w:hAnsi="宋体"/>
                <w:sz w:val="24"/>
                <w:highlight w:val="none"/>
              </w:rPr>
            </w:pPr>
            <w:r>
              <w:rPr>
                <w:rFonts w:hint="eastAsia" w:ascii="宋体" w:hAnsi="宋体"/>
                <w:sz w:val="24"/>
                <w:highlight w:val="none"/>
              </w:rPr>
              <w:t>提示：本项目为电子化、无纸化交易项目，开标时不再接受任何纸质资料，为保证您能投标成功，请需仔细阅读以上条款。</w:t>
            </w:r>
          </w:p>
        </w:tc>
      </w:tr>
    </w:tbl>
    <w:p w14:paraId="61630A7F">
      <w:pPr>
        <w:pStyle w:val="11"/>
        <w:spacing w:line="460" w:lineRule="exact"/>
        <w:jc w:val="center"/>
        <w:outlineLvl w:val="1"/>
        <w:rPr>
          <w:rFonts w:hint="eastAsia" w:ascii="宋体" w:hAnsi="宋体" w:eastAsia="宋体" w:cs="宋体"/>
          <w:b/>
          <w:kern w:val="0"/>
          <w:highlight w:val="none"/>
        </w:rPr>
      </w:pPr>
      <w:r>
        <w:rPr>
          <w:rFonts w:hint="eastAsia" w:ascii="宋体" w:hAnsi="宋体"/>
          <w:b/>
          <w:bCs/>
          <w:kern w:val="0"/>
          <w:highlight w:val="none"/>
        </w:rPr>
        <w:br w:type="page"/>
      </w:r>
      <w:bookmarkStart w:id="34" w:name="_Toc517178993"/>
      <w:bookmarkEnd w:id="34"/>
      <w:bookmarkStart w:id="35" w:name="_Toc20823275"/>
      <w:bookmarkEnd w:id="35"/>
      <w:bookmarkStart w:id="36" w:name="_Toc120614214"/>
      <w:bookmarkEnd w:id="36"/>
      <w:bookmarkStart w:id="37" w:name="_Toc16770549"/>
      <w:bookmarkEnd w:id="37"/>
      <w:bookmarkStart w:id="38" w:name="_Toc16938519"/>
      <w:bookmarkEnd w:id="38"/>
      <w:bookmarkStart w:id="39" w:name="_Toc513029203"/>
      <w:bookmarkEnd w:id="39"/>
      <w:bookmarkStart w:id="40" w:name="_Toc27178"/>
      <w:bookmarkStart w:id="41" w:name="_Toc3111_WPSOffice_Level1"/>
      <w:bookmarkStart w:id="42" w:name="_Toc2341_WPSOffice_Level1"/>
      <w:bookmarkStart w:id="43" w:name="_Toc4714_WPSOffice_Level1"/>
      <w:bookmarkStart w:id="44" w:name="_Toc27375_WPSOffice_Level1"/>
      <w:bookmarkStart w:id="45" w:name="_Toc32643"/>
      <w:r>
        <w:rPr>
          <w:rFonts w:hint="eastAsia" w:ascii="宋体" w:hAnsi="宋体" w:eastAsia="宋体" w:cs="宋体"/>
          <w:b/>
          <w:highlight w:val="none"/>
        </w:rPr>
        <w:t>1.总则</w:t>
      </w:r>
      <w:bookmarkEnd w:id="40"/>
    </w:p>
    <w:p w14:paraId="2F96828E">
      <w:pPr>
        <w:wordWrap w:val="0"/>
        <w:spacing w:line="460" w:lineRule="exact"/>
        <w:ind w:firstLine="480" w:firstLineChars="200"/>
        <w:jc w:val="left"/>
        <w:outlineLvl w:val="2"/>
        <w:rPr>
          <w:rFonts w:hint="eastAsia" w:ascii="宋体" w:hAnsi="宋体" w:eastAsia="宋体" w:cs="宋体"/>
          <w:sz w:val="24"/>
          <w:szCs w:val="24"/>
          <w:highlight w:val="none"/>
        </w:rPr>
      </w:pPr>
      <w:bookmarkStart w:id="46" w:name="_Toc20823276"/>
      <w:bookmarkEnd w:id="46"/>
      <w:bookmarkStart w:id="47" w:name="_Toc513029204"/>
      <w:bookmarkEnd w:id="47"/>
      <w:bookmarkStart w:id="48" w:name="_Toc16938520"/>
      <w:bookmarkEnd w:id="48"/>
      <w:bookmarkStart w:id="49" w:name="_Toc528078009"/>
      <w:bookmarkStart w:id="50" w:name="_Toc15871"/>
      <w:r>
        <w:rPr>
          <w:rFonts w:hint="eastAsia" w:ascii="宋体" w:hAnsi="宋体" w:eastAsia="宋体" w:cs="宋体"/>
          <w:sz w:val="24"/>
          <w:szCs w:val="24"/>
          <w:highlight w:val="none"/>
        </w:rPr>
        <w:t>1.1.1</w:t>
      </w:r>
      <w:bookmarkEnd w:id="49"/>
      <w:r>
        <w:rPr>
          <w:rFonts w:hint="eastAsia" w:ascii="宋体" w:hAnsi="宋体" w:eastAsia="宋体" w:cs="宋体"/>
          <w:sz w:val="24"/>
          <w:szCs w:val="24"/>
          <w:highlight w:val="none"/>
        </w:rPr>
        <w:t>采购方式及定义</w:t>
      </w:r>
      <w:bookmarkEnd w:id="50"/>
    </w:p>
    <w:p w14:paraId="3C1B41F3">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本次采购采用竞争性磋商方式（以下简称磋商），本竞争性磋商文件仅适用于竞争性磋商公告中所述项目。</w:t>
      </w:r>
    </w:p>
    <w:p w14:paraId="7CBDE23D">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合格的供应商</w:t>
      </w:r>
    </w:p>
    <w:p w14:paraId="1B9D2BA2">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1.满足竞争性磋商公告中供应商的资格条件的规定。</w:t>
      </w:r>
    </w:p>
    <w:p w14:paraId="779FA7DC">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2.满足本文件实质性条款的规定。</w:t>
      </w:r>
    </w:p>
    <w:p w14:paraId="42F7A419">
      <w:pPr>
        <w:wordWrap w:val="0"/>
        <w:spacing w:line="460" w:lineRule="exact"/>
        <w:ind w:firstLine="480" w:firstLineChars="200"/>
        <w:jc w:val="left"/>
        <w:outlineLvl w:val="2"/>
        <w:rPr>
          <w:rFonts w:hint="eastAsia" w:ascii="宋体" w:hAnsi="宋体" w:eastAsia="宋体" w:cs="宋体"/>
          <w:sz w:val="24"/>
          <w:szCs w:val="24"/>
          <w:highlight w:val="none"/>
        </w:rPr>
      </w:pPr>
      <w:bookmarkStart w:id="51" w:name="_Toc513029206"/>
      <w:bookmarkEnd w:id="51"/>
      <w:bookmarkStart w:id="52" w:name="_Toc16938522"/>
      <w:bookmarkEnd w:id="52"/>
      <w:bookmarkStart w:id="53" w:name="_Toc20823278"/>
      <w:bookmarkEnd w:id="53"/>
      <w:bookmarkStart w:id="54" w:name="_Toc528078010"/>
      <w:bookmarkStart w:id="55" w:name="_Toc31734"/>
      <w:r>
        <w:rPr>
          <w:rFonts w:hint="eastAsia" w:ascii="宋体" w:hAnsi="宋体" w:eastAsia="宋体" w:cs="宋体"/>
          <w:sz w:val="24"/>
          <w:szCs w:val="24"/>
          <w:highlight w:val="none"/>
        </w:rPr>
        <w:t>1.1.2</w:t>
      </w:r>
      <w:bookmarkEnd w:id="54"/>
      <w:r>
        <w:rPr>
          <w:rFonts w:hint="eastAsia" w:ascii="宋体" w:hAnsi="宋体" w:eastAsia="宋体" w:cs="宋体"/>
          <w:sz w:val="24"/>
          <w:szCs w:val="24"/>
          <w:highlight w:val="none"/>
        </w:rPr>
        <w:t>适用法律</w:t>
      </w:r>
      <w:bookmarkEnd w:id="55"/>
    </w:p>
    <w:p w14:paraId="315F329E">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本次竞争性磋商及由此产生的合同受中华人民共和国有关的法律法规制约和保护。</w:t>
      </w:r>
    </w:p>
    <w:p w14:paraId="2C25A194">
      <w:pPr>
        <w:wordWrap w:val="0"/>
        <w:spacing w:line="460" w:lineRule="exact"/>
        <w:ind w:firstLine="480" w:firstLineChars="200"/>
        <w:jc w:val="left"/>
        <w:outlineLvl w:val="2"/>
        <w:rPr>
          <w:rFonts w:hint="eastAsia" w:ascii="宋体" w:hAnsi="宋体" w:eastAsia="宋体" w:cs="宋体"/>
          <w:sz w:val="24"/>
          <w:szCs w:val="24"/>
          <w:highlight w:val="none"/>
        </w:rPr>
      </w:pPr>
      <w:bookmarkStart w:id="56" w:name="_Toc462564067"/>
      <w:bookmarkEnd w:id="56"/>
      <w:bookmarkStart w:id="57" w:name="_Toc20823279"/>
      <w:bookmarkEnd w:id="57"/>
      <w:bookmarkStart w:id="58" w:name="_Toc513029207"/>
      <w:bookmarkEnd w:id="58"/>
      <w:bookmarkStart w:id="59" w:name="_Toc16938523"/>
      <w:bookmarkEnd w:id="59"/>
      <w:bookmarkStart w:id="60" w:name="_Toc528078011"/>
      <w:bookmarkStart w:id="61" w:name="_Toc20062"/>
      <w:r>
        <w:rPr>
          <w:rFonts w:hint="eastAsia" w:ascii="宋体" w:hAnsi="宋体" w:eastAsia="宋体" w:cs="宋体"/>
          <w:sz w:val="24"/>
          <w:szCs w:val="24"/>
          <w:highlight w:val="none"/>
        </w:rPr>
        <w:t>1.1.3</w:t>
      </w:r>
      <w:bookmarkEnd w:id="60"/>
      <w:r>
        <w:rPr>
          <w:rFonts w:hint="eastAsia" w:ascii="宋体" w:hAnsi="宋体" w:eastAsia="宋体" w:cs="宋体"/>
          <w:sz w:val="24"/>
          <w:szCs w:val="24"/>
          <w:highlight w:val="none"/>
        </w:rPr>
        <w:t>磋商费用</w:t>
      </w:r>
      <w:bookmarkEnd w:id="61"/>
    </w:p>
    <w:p w14:paraId="3AB47DDD">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本次竞争性磋商磋商服务费：招标代理服务费参照《河南省招标代理服务收费指导意见》豫招协（2023）002号文件中，河南省招标代理服务收费计算标准计取。领取中标通知书前由中标人支付。</w:t>
      </w:r>
      <w:r>
        <w:rPr>
          <w:rFonts w:hint="eastAsia" w:ascii="宋体" w:hAnsi="宋体" w:eastAsia="宋体" w:cs="宋体"/>
          <w:sz w:val="24"/>
          <w:szCs w:val="24"/>
          <w:highlight w:val="none"/>
          <w:lang w:eastAsia="zh-CN"/>
        </w:rPr>
        <w:t>招标代理服务收费按差额定率累进法计算。</w:t>
      </w:r>
    </w:p>
    <w:p w14:paraId="394D4B9F">
      <w:pPr>
        <w:wordWrap w:val="0"/>
        <w:spacing w:line="460" w:lineRule="exact"/>
        <w:ind w:left="566" w:leftChars="218" w:hanging="108" w:hangingChars="45"/>
        <w:jc w:val="left"/>
        <w:outlineLvl w:val="1"/>
        <w:rPr>
          <w:rFonts w:hint="eastAsia" w:ascii="宋体" w:hAnsi="宋体" w:eastAsia="宋体" w:cs="宋体"/>
          <w:kern w:val="0"/>
          <w:sz w:val="24"/>
          <w:szCs w:val="24"/>
          <w:highlight w:val="none"/>
        </w:rPr>
      </w:pPr>
      <w:bookmarkStart w:id="62" w:name="_Toc120614215"/>
      <w:bookmarkEnd w:id="62"/>
      <w:bookmarkStart w:id="63" w:name="_Toc517178994"/>
      <w:bookmarkEnd w:id="63"/>
      <w:bookmarkStart w:id="64" w:name="_Toc16938525"/>
      <w:bookmarkEnd w:id="64"/>
      <w:bookmarkStart w:id="65" w:name="_Toc20823281"/>
      <w:bookmarkEnd w:id="65"/>
      <w:bookmarkStart w:id="66" w:name="_Toc403987206"/>
      <w:bookmarkEnd w:id="66"/>
      <w:bookmarkStart w:id="67" w:name="_Toc513029209"/>
      <w:bookmarkEnd w:id="67"/>
      <w:bookmarkStart w:id="68" w:name="_Toc505350554"/>
      <w:bookmarkEnd w:id="68"/>
      <w:bookmarkStart w:id="69" w:name="_Toc504491968"/>
      <w:bookmarkEnd w:id="69"/>
      <w:bookmarkStart w:id="70" w:name="_Toc528078012"/>
      <w:bookmarkStart w:id="71" w:name="_Toc18479"/>
      <w:r>
        <w:rPr>
          <w:rFonts w:hint="eastAsia" w:ascii="宋体" w:hAnsi="宋体" w:eastAsia="宋体" w:cs="宋体"/>
          <w:sz w:val="24"/>
          <w:szCs w:val="24"/>
          <w:highlight w:val="none"/>
        </w:rPr>
        <w:t>2.</w:t>
      </w:r>
      <w:bookmarkEnd w:id="70"/>
      <w:r>
        <w:rPr>
          <w:rFonts w:hint="eastAsia" w:ascii="宋体" w:hAnsi="宋体" w:eastAsia="宋体" w:cs="宋体"/>
          <w:sz w:val="24"/>
          <w:szCs w:val="24"/>
          <w:highlight w:val="none"/>
        </w:rPr>
        <w:t>竞争性磋商文件</w:t>
      </w:r>
      <w:bookmarkEnd w:id="71"/>
    </w:p>
    <w:p w14:paraId="655ADF69">
      <w:pPr>
        <w:wordWrap w:val="0"/>
        <w:spacing w:line="460" w:lineRule="exact"/>
        <w:ind w:firstLine="480" w:firstLineChars="200"/>
        <w:jc w:val="left"/>
        <w:outlineLvl w:val="2"/>
        <w:rPr>
          <w:rFonts w:hint="eastAsia" w:ascii="宋体" w:hAnsi="宋体" w:eastAsia="宋体" w:cs="宋体"/>
          <w:sz w:val="24"/>
          <w:szCs w:val="24"/>
          <w:highlight w:val="none"/>
        </w:rPr>
      </w:pPr>
      <w:bookmarkStart w:id="72" w:name="_Toc20823282"/>
      <w:bookmarkEnd w:id="72"/>
      <w:bookmarkStart w:id="73" w:name="_Toc513029210"/>
      <w:bookmarkEnd w:id="73"/>
      <w:bookmarkStart w:id="74" w:name="_Toc16938526"/>
      <w:bookmarkEnd w:id="74"/>
      <w:bookmarkStart w:id="75" w:name="_Toc528078013"/>
      <w:bookmarkStart w:id="76" w:name="_Toc1487"/>
      <w:r>
        <w:rPr>
          <w:rFonts w:hint="eastAsia" w:ascii="宋体" w:hAnsi="宋体" w:eastAsia="宋体" w:cs="宋体"/>
          <w:sz w:val="24"/>
          <w:szCs w:val="24"/>
          <w:highlight w:val="none"/>
        </w:rPr>
        <w:t>2.1</w:t>
      </w:r>
      <w:bookmarkEnd w:id="75"/>
      <w:r>
        <w:rPr>
          <w:rFonts w:hint="eastAsia" w:ascii="宋体" w:hAnsi="宋体" w:eastAsia="宋体" w:cs="宋体"/>
          <w:sz w:val="24"/>
          <w:szCs w:val="24"/>
          <w:highlight w:val="none"/>
        </w:rPr>
        <w:t>竞争性磋商文件构成</w:t>
      </w:r>
      <w:bookmarkEnd w:id="76"/>
    </w:p>
    <w:p w14:paraId="6A39B860">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2.1.1竞争性磋商公告</w:t>
      </w:r>
    </w:p>
    <w:p w14:paraId="43633708">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2.1.2供应商须知</w:t>
      </w:r>
    </w:p>
    <w:p w14:paraId="504306EC">
      <w:pPr>
        <w:wordWrap w:val="0"/>
        <w:spacing w:line="460" w:lineRule="exact"/>
        <w:ind w:firstLine="480" w:firstLineChars="200"/>
        <w:jc w:val="left"/>
        <w:outlineLvl w:val="3"/>
        <w:rPr>
          <w:rFonts w:hint="eastAsia" w:ascii="宋体" w:hAnsi="宋体" w:eastAsia="宋体" w:cs="宋体"/>
          <w:sz w:val="24"/>
          <w:szCs w:val="24"/>
          <w:highlight w:val="none"/>
        </w:rPr>
      </w:pPr>
      <w:r>
        <w:rPr>
          <w:rFonts w:hint="eastAsia" w:ascii="宋体" w:hAnsi="宋体" w:eastAsia="宋体" w:cs="宋体"/>
          <w:sz w:val="24"/>
          <w:szCs w:val="24"/>
          <w:highlight w:val="none"/>
        </w:rPr>
        <w:t>2.1.3评标办法（综合评估法）</w:t>
      </w:r>
    </w:p>
    <w:p w14:paraId="366D5D7B">
      <w:pPr>
        <w:wordWrap w:val="0"/>
        <w:spacing w:line="460" w:lineRule="exact"/>
        <w:ind w:firstLine="480" w:firstLineChars="200"/>
        <w:jc w:val="left"/>
        <w:outlineLvl w:val="3"/>
        <w:rPr>
          <w:rFonts w:hint="eastAsia" w:ascii="宋体" w:hAnsi="宋体" w:eastAsia="宋体" w:cs="宋体"/>
          <w:sz w:val="24"/>
          <w:szCs w:val="24"/>
          <w:highlight w:val="none"/>
        </w:rPr>
      </w:pPr>
      <w:r>
        <w:rPr>
          <w:rFonts w:hint="eastAsia" w:ascii="宋体" w:hAnsi="宋体" w:eastAsia="宋体" w:cs="宋体"/>
          <w:sz w:val="24"/>
          <w:szCs w:val="24"/>
          <w:highlight w:val="none"/>
        </w:rPr>
        <w:t>2.1.4合同主要条款及格式</w:t>
      </w:r>
    </w:p>
    <w:p w14:paraId="1CA8180B">
      <w:pPr>
        <w:wordWrap w:val="0"/>
        <w:spacing w:line="460" w:lineRule="exact"/>
        <w:ind w:firstLine="480" w:firstLineChars="200"/>
        <w:jc w:val="left"/>
        <w:outlineLvl w:val="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2.1.5</w:t>
      </w:r>
      <w:r>
        <w:rPr>
          <w:rFonts w:hint="eastAsia" w:ascii="宋体" w:hAnsi="宋体" w:eastAsia="宋体" w:cs="宋体"/>
          <w:sz w:val="24"/>
          <w:szCs w:val="24"/>
          <w:highlight w:val="none"/>
          <w:lang w:eastAsia="zh-CN"/>
        </w:rPr>
        <w:t>服务需求</w:t>
      </w:r>
    </w:p>
    <w:p w14:paraId="77AF2819">
      <w:pPr>
        <w:wordWrap w:val="0"/>
        <w:spacing w:line="460" w:lineRule="exact"/>
        <w:ind w:firstLine="480" w:firstLineChars="200"/>
        <w:jc w:val="left"/>
        <w:outlineLvl w:val="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2.1.6</w:t>
      </w:r>
      <w:r>
        <w:rPr>
          <w:rFonts w:hint="eastAsia" w:ascii="宋体" w:hAnsi="宋体" w:eastAsia="宋体" w:cs="宋体"/>
          <w:sz w:val="24"/>
          <w:szCs w:val="24"/>
          <w:highlight w:val="none"/>
          <w:lang w:eastAsia="zh-CN"/>
        </w:rPr>
        <w:t>响应文件格式</w:t>
      </w:r>
    </w:p>
    <w:p w14:paraId="15A23993">
      <w:pPr>
        <w:wordWrap w:val="0"/>
        <w:spacing w:line="460" w:lineRule="exact"/>
        <w:ind w:firstLine="480" w:firstLineChars="200"/>
        <w:jc w:val="left"/>
        <w:outlineLvl w:val="2"/>
        <w:rPr>
          <w:rFonts w:hint="eastAsia" w:ascii="宋体" w:hAnsi="宋体" w:eastAsia="宋体" w:cs="宋体"/>
          <w:sz w:val="24"/>
          <w:szCs w:val="24"/>
          <w:highlight w:val="none"/>
        </w:rPr>
      </w:pPr>
      <w:bookmarkStart w:id="77" w:name="_Toc20823283"/>
      <w:bookmarkEnd w:id="77"/>
      <w:bookmarkStart w:id="78" w:name="_Toc462564070"/>
      <w:bookmarkEnd w:id="78"/>
      <w:bookmarkStart w:id="79" w:name="_Toc513029211"/>
      <w:bookmarkEnd w:id="79"/>
      <w:bookmarkStart w:id="80" w:name="_Toc16938527"/>
      <w:bookmarkEnd w:id="80"/>
      <w:bookmarkStart w:id="81" w:name="_Toc528078014"/>
      <w:bookmarkStart w:id="82" w:name="_Toc4392"/>
      <w:r>
        <w:rPr>
          <w:rFonts w:hint="eastAsia" w:ascii="宋体" w:hAnsi="宋体" w:eastAsia="宋体" w:cs="宋体"/>
          <w:sz w:val="24"/>
          <w:szCs w:val="24"/>
          <w:highlight w:val="none"/>
        </w:rPr>
        <w:t>2.2</w:t>
      </w:r>
      <w:bookmarkEnd w:id="81"/>
      <w:r>
        <w:rPr>
          <w:rFonts w:hint="eastAsia" w:ascii="宋体" w:hAnsi="宋体" w:eastAsia="宋体" w:cs="宋体"/>
          <w:sz w:val="24"/>
          <w:szCs w:val="24"/>
          <w:highlight w:val="none"/>
        </w:rPr>
        <w:t>竞争性磋商文件的澄清及修改</w:t>
      </w:r>
      <w:bookmarkEnd w:id="82"/>
    </w:p>
    <w:p w14:paraId="0B8784DD">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2.2.1供应商应仔细阅读和检查磋商文件的全部内容。如发现电子文件缺页或附件不全，应及时向采购人提出，以便补齐。如有疑问，应在投标截止日期5日前在三门峡市公共资源交易系统中提出咨询并打电话至采购代理机构，要求采购人对磋商文件予以澄清。</w:t>
      </w:r>
    </w:p>
    <w:p w14:paraId="6900B832">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2.2.2磋商文件的澄清以澄清回复的方式在三门峡市公共资源交易系统中回复所有报名完成供应商或发布澄清公告，但不指明澄清问题的来源。澄清磋商文件实质性内容且影响响应文件编制的，应当顺延提交首次响应文件截止时间。</w:t>
      </w:r>
      <w:r>
        <w:rPr>
          <w:rFonts w:ascii="宋体" w:hAnsi="宋体" w:eastAsia="宋体" w:cs="宋体"/>
          <w:sz w:val="24"/>
          <w:szCs w:val="24"/>
          <w:highlight w:val="none"/>
        </w:rPr>
        <w:t xml:space="preserve">    </w:t>
      </w:r>
    </w:p>
    <w:p w14:paraId="5BA752EB">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2.2.3提交首次响应文件截止之日前，采购人、采购代理公司可以对已发出的磋商文件进行必要的澄清或者修改，澄清或者修改的内容作为磋商文件的组成部分。澄清或者修改的内容可能影响响应文件编制的，采购人、采购代理公司将在提交首次响应文件截止时间至少5日前，在相关网上发布变更公告形式通知所有获取磋商文件的供应商。不足5日的，应当顺延提交首次响应文件截止时间。</w:t>
      </w:r>
    </w:p>
    <w:p w14:paraId="3D24EBC5">
      <w:pPr>
        <w:wordWrap w:val="0"/>
        <w:spacing w:line="460" w:lineRule="exact"/>
        <w:ind w:firstLine="480" w:firstLineChars="200"/>
        <w:jc w:val="left"/>
        <w:outlineLvl w:val="3"/>
        <w:rPr>
          <w:rFonts w:hint="eastAsia" w:ascii="宋体" w:hAnsi="宋体" w:eastAsia="宋体" w:cs="宋体"/>
          <w:sz w:val="24"/>
          <w:szCs w:val="24"/>
          <w:highlight w:val="none"/>
        </w:rPr>
      </w:pPr>
      <w:r>
        <w:rPr>
          <w:rFonts w:hint="eastAsia" w:ascii="宋体" w:hAnsi="宋体" w:eastAsia="宋体" w:cs="宋体"/>
          <w:sz w:val="24"/>
          <w:szCs w:val="24"/>
          <w:highlight w:val="none"/>
        </w:rPr>
        <w:t>2.2.4供应商应自行查看澄清或变更信息。</w:t>
      </w:r>
    </w:p>
    <w:p w14:paraId="4C75BBB5">
      <w:pPr>
        <w:wordWrap w:val="0"/>
        <w:spacing w:line="460" w:lineRule="exact"/>
        <w:ind w:firstLine="480" w:firstLineChars="200"/>
        <w:jc w:val="left"/>
        <w:outlineLvl w:val="1"/>
        <w:rPr>
          <w:rFonts w:hint="eastAsia" w:ascii="宋体" w:hAnsi="宋体" w:eastAsia="宋体" w:cs="宋体"/>
          <w:kern w:val="0"/>
          <w:sz w:val="24"/>
          <w:szCs w:val="24"/>
          <w:highlight w:val="none"/>
        </w:rPr>
      </w:pPr>
      <w:bookmarkStart w:id="83" w:name="_Toc403987207"/>
      <w:bookmarkEnd w:id="83"/>
      <w:bookmarkStart w:id="84" w:name="_Toc462564072"/>
      <w:bookmarkEnd w:id="84"/>
      <w:bookmarkStart w:id="85" w:name="_Toc16938529"/>
      <w:bookmarkEnd w:id="85"/>
      <w:bookmarkStart w:id="86" w:name="_Toc120614216"/>
      <w:bookmarkEnd w:id="86"/>
      <w:bookmarkStart w:id="87" w:name="_Toc20823285"/>
      <w:bookmarkEnd w:id="87"/>
      <w:bookmarkStart w:id="88" w:name="_Toc513029213"/>
      <w:r>
        <w:rPr>
          <w:rFonts w:hint="eastAsia" w:ascii="宋体" w:hAnsi="宋体" w:eastAsia="宋体" w:cs="宋体"/>
          <w:sz w:val="24"/>
          <w:szCs w:val="24"/>
          <w:highlight w:val="none"/>
        </w:rPr>
        <w:t xml:space="preserve"> </w:t>
      </w:r>
      <w:bookmarkEnd w:id="88"/>
      <w:bookmarkStart w:id="89" w:name="_Toc504491969"/>
      <w:bookmarkEnd w:id="89"/>
      <w:bookmarkStart w:id="90" w:name="_Toc517178995"/>
      <w:bookmarkEnd w:id="90"/>
      <w:bookmarkStart w:id="91" w:name="_Toc528078015"/>
      <w:bookmarkEnd w:id="91"/>
      <w:bookmarkStart w:id="92" w:name="_Toc505350555"/>
      <w:bookmarkEnd w:id="92"/>
      <w:bookmarkStart w:id="93" w:name="_Toc4643"/>
      <w:r>
        <w:rPr>
          <w:rFonts w:hint="eastAsia" w:ascii="宋体" w:hAnsi="宋体" w:eastAsia="宋体" w:cs="宋体"/>
          <w:sz w:val="24"/>
          <w:szCs w:val="24"/>
          <w:highlight w:val="none"/>
        </w:rPr>
        <w:t>3.磋商响应文件的编制及递交</w:t>
      </w:r>
      <w:bookmarkEnd w:id="93"/>
    </w:p>
    <w:p w14:paraId="5BAEF21C">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电子化交易项目竞争性磋商响应文件（以下简称“响应文件”）是投标人、供应商（以下简称“供应商”）通过中心响应文件制作系统制作，并经过签章和加密后生成的电子版响应文件。供应商投标时，将不再接受任何纸质文件资料。</w:t>
      </w:r>
    </w:p>
    <w:p w14:paraId="618AF077">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电子化响应文件具体制作教材请供应商通过CA证书登录三门峡市公共资源电子化交易系统在“组建下载”中查看。</w:t>
      </w:r>
    </w:p>
    <w:p w14:paraId="2A37EC55">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温馨提示：本项目为电子化、无纸化交易项目，开标时不接受任何纸质资料，为保证您能投标成功，请需仔细阅读以下条款。</w:t>
      </w:r>
    </w:p>
    <w:p w14:paraId="3E725052">
      <w:pPr>
        <w:wordWrap w:val="0"/>
        <w:spacing w:line="460" w:lineRule="exact"/>
        <w:ind w:firstLine="480" w:firstLineChars="200"/>
        <w:jc w:val="left"/>
        <w:outlineLvl w:val="2"/>
        <w:rPr>
          <w:rFonts w:hint="eastAsia" w:ascii="宋体" w:hAnsi="宋体" w:eastAsia="宋体" w:cs="宋体"/>
          <w:sz w:val="24"/>
          <w:szCs w:val="24"/>
          <w:highlight w:val="none"/>
        </w:rPr>
      </w:pPr>
      <w:bookmarkStart w:id="94" w:name="_Toc5901"/>
      <w:r>
        <w:rPr>
          <w:rFonts w:hint="eastAsia" w:ascii="宋体" w:hAnsi="宋体" w:eastAsia="宋体" w:cs="宋体"/>
          <w:sz w:val="24"/>
          <w:szCs w:val="24"/>
          <w:highlight w:val="none"/>
        </w:rPr>
        <w:t>一、电子化投标</w:t>
      </w:r>
      <w:bookmarkEnd w:id="94"/>
    </w:p>
    <w:p w14:paraId="428032A7">
      <w:pPr>
        <w:wordWrap w:val="0"/>
        <w:spacing w:line="460" w:lineRule="exact"/>
        <w:ind w:firstLine="480" w:firstLineChars="200"/>
        <w:jc w:val="left"/>
        <w:outlineLvl w:val="3"/>
        <w:rPr>
          <w:rFonts w:hint="eastAsia" w:ascii="宋体" w:hAnsi="宋体" w:eastAsia="宋体" w:cs="宋体"/>
          <w:kern w:val="0"/>
          <w:sz w:val="24"/>
          <w:szCs w:val="24"/>
          <w:highlight w:val="none"/>
        </w:rPr>
      </w:pPr>
      <w:r>
        <w:rPr>
          <w:rFonts w:hint="eastAsia" w:ascii="宋体" w:hAnsi="宋体" w:eastAsia="宋体" w:cs="宋体"/>
          <w:sz w:val="24"/>
          <w:szCs w:val="24"/>
          <w:highlight w:val="none"/>
        </w:rPr>
        <w:t>（一）电子化响应文件的签章</w:t>
      </w:r>
    </w:p>
    <w:p w14:paraId="4B241AD7">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1、供应商在生成电子化响应文件后，应对电子化响应文件进行签章，未进行签章的视为无效投标。</w:t>
      </w:r>
    </w:p>
    <w:p w14:paraId="432692B5">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磋商文件中要求法定代表人或授权委托人签字或盖章的，供应商在进行电子化响应文件签章时，以签盖法定代表人签章为准。电子化响应文件具体制作教材请供应商通过CA证书登录三门峡市公共资源电子化交易系统在右上角“组建下载”中查看。</w:t>
      </w:r>
    </w:p>
    <w:p w14:paraId="39D6F31C">
      <w:pPr>
        <w:wordWrap w:val="0"/>
        <w:spacing w:line="460" w:lineRule="exact"/>
        <w:ind w:firstLine="480" w:firstLineChars="200"/>
        <w:jc w:val="left"/>
        <w:outlineLvl w:val="3"/>
        <w:rPr>
          <w:rFonts w:hint="eastAsia" w:ascii="宋体" w:hAnsi="宋体" w:eastAsia="宋体" w:cs="宋体"/>
          <w:sz w:val="24"/>
          <w:szCs w:val="24"/>
          <w:highlight w:val="none"/>
        </w:rPr>
      </w:pPr>
      <w:r>
        <w:rPr>
          <w:rFonts w:hint="eastAsia" w:ascii="宋体" w:hAnsi="宋体" w:eastAsia="宋体" w:cs="宋体"/>
          <w:sz w:val="24"/>
          <w:szCs w:val="24"/>
          <w:highlight w:val="none"/>
        </w:rPr>
        <w:t>（二）电子化响应文件的格式及上传投标</w:t>
      </w:r>
    </w:p>
    <w:p w14:paraId="06394C59">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1、供应商所上传的电子化响应文件，应是通过中心响应文件制作系统制作的，经过签章和加密后生成的电子版响应文件。</w:t>
      </w:r>
    </w:p>
    <w:p w14:paraId="5F329745">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2、电子化响应文件应在投标截止时间前成功上传至三门峡市公共资源电子化交易系统。至投标截止时间止，仍未上传成功的电子化响应文件将不予接收。</w:t>
      </w:r>
    </w:p>
    <w:p w14:paraId="32E220F6">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注：如按照电子化投标操作教材制作完成的电子化响应文件无法上传的，供应商应在投标截止时间前尽早的联系中心技术人员，以便有充分的时间进行处理。供应商应充分考虑到处理技术问题和上传数据等工作所需的时间问题，响应文件未在投标截止时间前成功上传的，其响应文件不予接收。</w:t>
      </w:r>
    </w:p>
    <w:p w14:paraId="2817509D">
      <w:pPr>
        <w:wordWrap w:val="0"/>
        <w:spacing w:line="460" w:lineRule="exact"/>
        <w:ind w:firstLine="480" w:firstLineChars="200"/>
        <w:jc w:val="left"/>
        <w:outlineLvl w:val="3"/>
        <w:rPr>
          <w:rFonts w:hint="eastAsia" w:ascii="宋体" w:hAnsi="宋体" w:eastAsia="宋体" w:cs="宋体"/>
          <w:sz w:val="24"/>
          <w:szCs w:val="24"/>
          <w:highlight w:val="none"/>
        </w:rPr>
      </w:pPr>
      <w:r>
        <w:rPr>
          <w:rFonts w:hint="eastAsia" w:ascii="宋体" w:hAnsi="宋体" w:eastAsia="宋体" w:cs="宋体"/>
          <w:sz w:val="24"/>
          <w:szCs w:val="24"/>
          <w:highlight w:val="none"/>
        </w:rPr>
        <w:t>（三）电子化项目开标、解密、唱标、磋商</w:t>
      </w:r>
    </w:p>
    <w:p w14:paraId="217C694F">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1、本项目采用电子化、无纸化进行招标，供应商可以通过网络登录交易平台进入项目开标大厅远程在线参加开标会议。</w:t>
      </w:r>
    </w:p>
    <w:p w14:paraId="3CE0C01C">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电子化响应文件采用双重加密方式。开标时，请供应商使用CA证书登录交易平台，进入本项目开标大厅点击解密来完成响应文件的解密工作。每位供应商的解密时间为开标时间起30分钟内完成。待所有供应商全部解密完成后，再由中介服务机构使用CA证书对响应文件进行再次解密。</w:t>
      </w:r>
    </w:p>
    <w:p w14:paraId="1536C5CB">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3、电子化响应文件解密异常的处理</w:t>
      </w:r>
    </w:p>
    <w:p w14:paraId="714ECB7E">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如出现供应商的电子响应文件无法解密等异常情况，供应商应及时致电中介服务机构说明。响应文件异常，按以下步骤进行处理：</w:t>
      </w:r>
    </w:p>
    <w:p w14:paraId="76E19D4D">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（1）首先由技术人员进行问题排查。</w:t>
      </w:r>
    </w:p>
    <w:p w14:paraId="485C8EFB">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（2）经技术人员排查后，是供应商文件自身问题导致响应文件无法解密的，该响应文件将不予接收、解密和唱标。开标会议继续进行。</w:t>
      </w:r>
    </w:p>
    <w:p w14:paraId="21E5FE57">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经技术人员排查后，如果是电子化交易系统问题造成响应文件无法解密的，将由技术人员对问题进行处理。如短时间内问题无法解决的，将由中介服务机构向监督部门申请，经监督部门同意后，暂停开标会议，待问题解决后继续开标。</w:t>
      </w:r>
    </w:p>
    <w:p w14:paraId="0F5B0A34">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4、供应商应保证在开标期间电话、电脑、网络能够正常工作，供应商因停电、电脑病毒、网络堵塞等原因，未在规定的解密时间内对响应文件进行解密的，其响应文件不予接收、唱标。</w:t>
      </w:r>
    </w:p>
    <w:p w14:paraId="32A32204">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磋商小组对电子化响应文件有质疑的，将通过电子化交易系统对供应商发起质疑，并在监督人员的监督下，用免提模式致电需要答复的供应商对质疑进行回复。供应商的回复文件必须以经过供应商和其法定代表人签章的PDF格式文件为准，并通过电子化交易系统提交至磋商小组。</w:t>
      </w:r>
    </w:p>
    <w:p w14:paraId="375CC4FA">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6、如磋商小组对需要回复的供应商连续三次致电未接通的，视为供应商放弃回复，磋商小组将自行对需要回复的内容进行认定。</w:t>
      </w:r>
    </w:p>
    <w:p w14:paraId="7CFD7645">
      <w:pPr>
        <w:wordWrap w:val="0"/>
        <w:spacing w:line="460" w:lineRule="exact"/>
        <w:ind w:firstLine="480" w:firstLineChars="200"/>
        <w:jc w:val="left"/>
        <w:outlineLvl w:val="2"/>
        <w:rPr>
          <w:rFonts w:hint="eastAsia" w:ascii="宋体" w:hAnsi="宋体" w:eastAsia="宋体" w:cs="宋体"/>
          <w:sz w:val="24"/>
          <w:szCs w:val="24"/>
          <w:highlight w:val="none"/>
        </w:rPr>
      </w:pPr>
      <w:bookmarkStart w:id="95" w:name="_Toc24048"/>
      <w:r>
        <w:rPr>
          <w:rFonts w:hint="eastAsia" w:ascii="宋体" w:hAnsi="宋体" w:eastAsia="宋体" w:cs="宋体"/>
          <w:sz w:val="24"/>
          <w:szCs w:val="24"/>
          <w:highlight w:val="none"/>
        </w:rPr>
        <w:t>二、相关证书原件的提交</w:t>
      </w:r>
      <w:bookmarkEnd w:id="95"/>
    </w:p>
    <w:p w14:paraId="22AF31E6">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本项目实行资格后审，竞争性磋商文件中要求供应商提交营业执照、业绩、荣誉及单位人员等相关资料，供应商需将原件扫描件制作到电子响应文件中</w:t>
      </w:r>
    </w:p>
    <w:p w14:paraId="361A0FB5">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供应商需应仔细阅读操作手册，保证上传内容齐全，真实有效，原件扫描件清晰可辨。因供应商上传原因导致应得分项而未得分或资格审查不合格等情况的，由供应商自行承担责任。</w:t>
      </w:r>
    </w:p>
    <w:p w14:paraId="20D973B7">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提示：本项目为电子化、无纸化交易项目，开标时不再接受任何纸质资料，为保证您能投标成功，请需仔细阅读以上条款。</w:t>
      </w:r>
    </w:p>
    <w:p w14:paraId="5138E89B">
      <w:pPr>
        <w:wordWrap w:val="0"/>
        <w:spacing w:line="460" w:lineRule="exact"/>
        <w:ind w:firstLine="480" w:firstLineChars="200"/>
        <w:jc w:val="left"/>
        <w:outlineLvl w:val="1"/>
        <w:rPr>
          <w:rFonts w:hint="eastAsia" w:ascii="宋体" w:hAnsi="宋体" w:eastAsia="宋体" w:cs="宋体"/>
          <w:sz w:val="24"/>
          <w:szCs w:val="24"/>
          <w:highlight w:val="none"/>
        </w:rPr>
      </w:pPr>
      <w:bookmarkStart w:id="96" w:name="_Toc528078016"/>
      <w:bookmarkEnd w:id="96"/>
      <w:bookmarkStart w:id="97" w:name="_Toc207"/>
      <w:r>
        <w:rPr>
          <w:rFonts w:hint="eastAsia" w:ascii="宋体" w:hAnsi="宋体" w:eastAsia="宋体" w:cs="宋体"/>
          <w:sz w:val="24"/>
          <w:szCs w:val="24"/>
          <w:highlight w:val="none"/>
        </w:rPr>
        <w:t>3.初次报价表</w:t>
      </w:r>
      <w:bookmarkEnd w:id="97"/>
    </w:p>
    <w:p w14:paraId="0F4053D5">
      <w:pPr>
        <w:wordWrap w:val="0"/>
        <w:spacing w:line="460" w:lineRule="exact"/>
        <w:ind w:firstLine="480" w:firstLineChars="200"/>
        <w:jc w:val="left"/>
        <w:outlineLvl w:val="2"/>
        <w:rPr>
          <w:rFonts w:hint="eastAsia" w:ascii="宋体" w:hAnsi="宋体" w:eastAsia="宋体" w:cs="宋体"/>
          <w:sz w:val="24"/>
          <w:szCs w:val="24"/>
          <w:highlight w:val="none"/>
        </w:rPr>
      </w:pPr>
      <w:bookmarkStart w:id="98" w:name="_Toc528078017"/>
      <w:bookmarkEnd w:id="98"/>
      <w:bookmarkStart w:id="99" w:name="_Toc2129"/>
      <w:r>
        <w:rPr>
          <w:rFonts w:hint="eastAsia" w:ascii="宋体" w:hAnsi="宋体" w:eastAsia="宋体" w:cs="宋体"/>
          <w:sz w:val="24"/>
          <w:szCs w:val="24"/>
          <w:highlight w:val="none"/>
        </w:rPr>
        <w:t>3.1供应商应按照竞争性磋商文件规定格式填报</w:t>
      </w:r>
      <w:bookmarkStart w:id="100" w:name="_Hlt26670399"/>
      <w:bookmarkEnd w:id="100"/>
      <w:r>
        <w:rPr>
          <w:rFonts w:hint="eastAsia" w:ascii="宋体" w:hAnsi="宋体" w:eastAsia="宋体" w:cs="宋体"/>
          <w:sz w:val="24"/>
          <w:szCs w:val="24"/>
          <w:highlight w:val="none"/>
        </w:rPr>
        <w:t>初次报价表。每项费用允许有一个报价，任何有选择的报价将不予接受。</w:t>
      </w:r>
      <w:bookmarkEnd w:id="99"/>
    </w:p>
    <w:p w14:paraId="31DCDDD5">
      <w:pPr>
        <w:wordWrap w:val="0"/>
        <w:spacing w:line="460" w:lineRule="exact"/>
        <w:ind w:firstLine="480" w:firstLineChars="200"/>
        <w:jc w:val="left"/>
        <w:outlineLvl w:val="2"/>
        <w:rPr>
          <w:rFonts w:hint="eastAsia" w:ascii="宋体" w:hAnsi="宋体" w:eastAsia="宋体" w:cs="宋体"/>
          <w:sz w:val="24"/>
          <w:szCs w:val="24"/>
          <w:highlight w:val="none"/>
        </w:rPr>
      </w:pPr>
      <w:bookmarkStart w:id="101" w:name="_Toc23903"/>
      <w:r>
        <w:rPr>
          <w:rFonts w:hint="eastAsia" w:ascii="宋体" w:hAnsi="宋体" w:eastAsia="宋体" w:cs="宋体"/>
          <w:sz w:val="24"/>
          <w:szCs w:val="24"/>
          <w:highlight w:val="none"/>
        </w:rPr>
        <w:t>3.2有关费用处理</w:t>
      </w:r>
      <w:bookmarkEnd w:id="101"/>
    </w:p>
    <w:p w14:paraId="01370ADA">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本项目应以人民币报价，供应商应就该项目完整投标（报价、服务、税费、售后服务等综合费用），采购人不另外支付其他任何费用；</w:t>
      </w:r>
    </w:p>
    <w:p w14:paraId="37A7F1D6">
      <w:pPr>
        <w:wordWrap w:val="0"/>
        <w:spacing w:line="460" w:lineRule="exact"/>
        <w:ind w:firstLine="480" w:firstLineChars="200"/>
        <w:jc w:val="left"/>
        <w:outlineLvl w:val="2"/>
        <w:rPr>
          <w:rFonts w:hint="eastAsia" w:ascii="宋体" w:hAnsi="宋体" w:eastAsia="宋体" w:cs="宋体"/>
          <w:sz w:val="24"/>
          <w:szCs w:val="24"/>
          <w:highlight w:val="none"/>
        </w:rPr>
      </w:pPr>
      <w:bookmarkStart w:id="102" w:name="_Toc528078018"/>
      <w:bookmarkEnd w:id="102"/>
      <w:bookmarkStart w:id="103" w:name="_Toc10149"/>
      <w:r>
        <w:rPr>
          <w:rFonts w:hint="eastAsia" w:ascii="宋体" w:hAnsi="宋体" w:eastAsia="宋体" w:cs="宋体"/>
          <w:sz w:val="24"/>
          <w:szCs w:val="24"/>
          <w:highlight w:val="none"/>
        </w:rPr>
        <w:t>3.3其它费用处理</w:t>
      </w:r>
      <w:bookmarkEnd w:id="103"/>
    </w:p>
    <w:p w14:paraId="40F571C4">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竞争性磋商文件未列明，而供应商认为必需的费用也需列入报价。</w:t>
      </w:r>
    </w:p>
    <w:p w14:paraId="231A3509">
      <w:pPr>
        <w:wordWrap w:val="0"/>
        <w:spacing w:line="460" w:lineRule="exact"/>
        <w:ind w:firstLine="480" w:firstLineChars="200"/>
        <w:jc w:val="left"/>
        <w:outlineLvl w:val="2"/>
        <w:rPr>
          <w:rFonts w:hint="eastAsia" w:ascii="宋体" w:hAnsi="宋体" w:eastAsia="宋体" w:cs="宋体"/>
          <w:sz w:val="24"/>
          <w:szCs w:val="24"/>
          <w:highlight w:val="none"/>
        </w:rPr>
      </w:pPr>
      <w:bookmarkStart w:id="104" w:name="_Toc528078019"/>
      <w:bookmarkEnd w:id="104"/>
      <w:bookmarkStart w:id="105" w:name="_Toc2035"/>
      <w:r>
        <w:rPr>
          <w:rFonts w:hint="eastAsia" w:ascii="宋体" w:hAnsi="宋体" w:eastAsia="宋体" w:cs="宋体"/>
          <w:sz w:val="24"/>
          <w:szCs w:val="24"/>
          <w:highlight w:val="none"/>
        </w:rPr>
        <w:t>3.4响应文件货币</w:t>
      </w:r>
      <w:bookmarkEnd w:id="105"/>
    </w:p>
    <w:p w14:paraId="3F716306">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响应文件中的货物单价和总价无特殊规定的采用人民币报价，以元为单位标注。竞争性磋商文件中另有规定的按规定执行。</w:t>
      </w:r>
    </w:p>
    <w:p w14:paraId="7BF0C554">
      <w:pPr>
        <w:wordWrap w:val="0"/>
        <w:spacing w:line="460" w:lineRule="exact"/>
        <w:ind w:firstLine="480" w:firstLineChars="200"/>
        <w:jc w:val="left"/>
        <w:outlineLvl w:val="2"/>
        <w:rPr>
          <w:rFonts w:hint="eastAsia" w:ascii="宋体" w:hAnsi="宋体" w:eastAsia="宋体" w:cs="宋体"/>
          <w:sz w:val="24"/>
          <w:szCs w:val="24"/>
          <w:highlight w:val="none"/>
        </w:rPr>
      </w:pPr>
      <w:bookmarkStart w:id="106" w:name="_Toc528078020"/>
      <w:bookmarkEnd w:id="106"/>
      <w:bookmarkStart w:id="107" w:name="_Toc5979"/>
      <w:r>
        <w:rPr>
          <w:rFonts w:hint="eastAsia" w:ascii="宋体" w:hAnsi="宋体" w:eastAsia="宋体" w:cs="宋体"/>
          <w:sz w:val="24"/>
          <w:szCs w:val="24"/>
          <w:highlight w:val="none"/>
        </w:rPr>
        <w:t>3.5初次报价表上的价格应按下列方式填写：</w:t>
      </w:r>
      <w:bookmarkEnd w:id="107"/>
    </w:p>
    <w:p w14:paraId="5ECF13C9">
      <w:pPr>
        <w:wordWrap w:val="0"/>
        <w:spacing w:line="460" w:lineRule="exact"/>
        <w:ind w:firstLine="480" w:firstLineChars="200"/>
        <w:jc w:val="left"/>
        <w:rPr>
          <w:rFonts w:hint="eastAsia" w:ascii="宋体" w:hAnsi="宋体" w:eastAsia="宋体" w:cs="宋体"/>
          <w:sz w:val="24"/>
          <w:szCs w:val="24"/>
          <w:highlight w:val="none"/>
        </w:rPr>
      </w:pPr>
      <w:bookmarkStart w:id="108" w:name="_Hlt26670425"/>
      <w:bookmarkEnd w:id="108"/>
      <w:bookmarkStart w:id="109" w:name="_Hlt26954842"/>
      <w:bookmarkEnd w:id="109"/>
      <w:bookmarkStart w:id="110" w:name="_Hlt26954844"/>
      <w:bookmarkEnd w:id="110"/>
      <w:bookmarkStart w:id="111" w:name="_Hlt26668983"/>
      <w:bookmarkEnd w:id="111"/>
      <w:bookmarkStart w:id="112" w:name="_Hlt26670403"/>
      <w:bookmarkEnd w:id="112"/>
      <w:r>
        <w:rPr>
          <w:rFonts w:hint="eastAsia" w:ascii="宋体" w:hAnsi="宋体" w:eastAsia="宋体" w:cs="宋体"/>
          <w:sz w:val="24"/>
          <w:szCs w:val="24"/>
          <w:highlight w:val="none"/>
        </w:rPr>
        <w:t>3.5.1项目总价：包括买方服务需求所涉及的所有费用。</w:t>
      </w:r>
    </w:p>
    <w:p w14:paraId="4936F1FE">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3.5.2各项报价的总和等于总价</w:t>
      </w:r>
    </w:p>
    <w:p w14:paraId="5BEE6D4C">
      <w:pPr>
        <w:wordWrap w:val="0"/>
        <w:spacing w:line="460" w:lineRule="exact"/>
        <w:ind w:firstLine="480" w:firstLineChars="200"/>
        <w:jc w:val="left"/>
        <w:outlineLvl w:val="1"/>
        <w:rPr>
          <w:rFonts w:hint="eastAsia" w:ascii="宋体" w:hAnsi="宋体" w:eastAsia="宋体" w:cs="宋体"/>
          <w:kern w:val="0"/>
          <w:sz w:val="24"/>
          <w:szCs w:val="24"/>
          <w:highlight w:val="none"/>
        </w:rPr>
      </w:pPr>
      <w:bookmarkStart w:id="113" w:name="_Hlt26670486"/>
      <w:bookmarkEnd w:id="113"/>
      <w:bookmarkStart w:id="114" w:name="_Hlt26670482"/>
      <w:bookmarkEnd w:id="114"/>
      <w:bookmarkStart w:id="115" w:name="_Hlt26954731"/>
      <w:bookmarkEnd w:id="115"/>
      <w:bookmarkStart w:id="116" w:name="_Toc505350556"/>
      <w:bookmarkEnd w:id="116"/>
      <w:bookmarkStart w:id="117" w:name="_Toc517178996"/>
      <w:bookmarkEnd w:id="117"/>
      <w:bookmarkStart w:id="118" w:name="_Hlt26954848"/>
      <w:bookmarkEnd w:id="118"/>
      <w:bookmarkStart w:id="119" w:name="_Hlt26954846"/>
      <w:bookmarkEnd w:id="119"/>
      <w:bookmarkStart w:id="120" w:name="_Toc528078025"/>
      <w:bookmarkStart w:id="121" w:name="_Toc20255"/>
      <w:r>
        <w:rPr>
          <w:rFonts w:hint="eastAsia" w:ascii="宋体" w:hAnsi="宋体" w:eastAsia="宋体" w:cs="宋体"/>
          <w:sz w:val="24"/>
          <w:szCs w:val="24"/>
          <w:highlight w:val="none"/>
        </w:rPr>
        <w:t>4.磋商与评审</w:t>
      </w:r>
      <w:bookmarkEnd w:id="120"/>
      <w:bookmarkEnd w:id="121"/>
      <w:bookmarkStart w:id="122" w:name="_Toc528078026"/>
      <w:bookmarkEnd w:id="122"/>
    </w:p>
    <w:p w14:paraId="64E3D626">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采购代理机构根据采购项目的特点依法组建磋商小组。磋商小组由采购人代表和有关技术、经济等方面的专家组成，成员为3人。其中：技术、经济等方面的专家不能少于磋商小组成员的2/3。采购人代表不得担任磋商小组组长。2名磋商小组成员确定方式：</w:t>
      </w:r>
      <w:r>
        <w:rPr>
          <w:rFonts w:hint="eastAsia" w:ascii="宋体" w:hAnsi="宋体" w:eastAsia="宋体" w:cs="宋体"/>
          <w:kern w:val="0"/>
          <w:sz w:val="24"/>
          <w:szCs w:val="24"/>
          <w:highlight w:val="none"/>
        </w:rPr>
        <w:t>开标当天从河南省政府采购网专家库随机抽取。</w:t>
      </w:r>
      <w:bookmarkStart w:id="123" w:name="_Toc528078027"/>
      <w:bookmarkEnd w:id="123"/>
    </w:p>
    <w:p w14:paraId="139B4BF8">
      <w:pPr>
        <w:wordWrap w:val="0"/>
        <w:spacing w:line="460" w:lineRule="exact"/>
        <w:ind w:firstLine="480" w:firstLineChars="200"/>
        <w:jc w:val="left"/>
        <w:outlineLvl w:val="1"/>
        <w:rPr>
          <w:rFonts w:hint="eastAsia" w:ascii="宋体" w:hAnsi="宋体" w:eastAsia="宋体" w:cs="宋体"/>
          <w:sz w:val="24"/>
          <w:szCs w:val="24"/>
          <w:highlight w:val="none"/>
        </w:rPr>
      </w:pPr>
      <w:bookmarkStart w:id="124" w:name="_Toc20748"/>
      <w:r>
        <w:rPr>
          <w:rFonts w:hint="eastAsia" w:ascii="宋体" w:hAnsi="宋体" w:eastAsia="宋体" w:cs="宋体"/>
          <w:sz w:val="24"/>
          <w:szCs w:val="24"/>
          <w:highlight w:val="none"/>
        </w:rPr>
        <w:t>5、磋商小组工作原则</w:t>
      </w:r>
      <w:bookmarkEnd w:id="124"/>
    </w:p>
    <w:p w14:paraId="47BE2C9B">
      <w:pPr>
        <w:wordWrap w:val="0"/>
        <w:spacing w:line="460" w:lineRule="exact"/>
        <w:ind w:firstLine="480" w:firstLineChars="200"/>
        <w:jc w:val="left"/>
        <w:outlineLvl w:val="2"/>
        <w:rPr>
          <w:rFonts w:hint="eastAsia" w:ascii="宋体" w:hAnsi="宋体" w:eastAsia="宋体" w:cs="宋体"/>
          <w:sz w:val="24"/>
          <w:szCs w:val="24"/>
          <w:highlight w:val="none"/>
        </w:rPr>
      </w:pPr>
      <w:bookmarkStart w:id="125" w:name="_Toc528078029"/>
      <w:bookmarkEnd w:id="125"/>
      <w:bookmarkStart w:id="126" w:name="_Toc32266"/>
      <w:r>
        <w:rPr>
          <w:rFonts w:hint="eastAsia" w:ascii="宋体" w:hAnsi="宋体" w:eastAsia="宋体" w:cs="宋体"/>
          <w:sz w:val="24"/>
          <w:szCs w:val="24"/>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磋商文件内容违反国家有关强制性规定的，磋商小组应当停止评审并向采购人或者采购代理机构说明情况。</w:t>
      </w:r>
      <w:bookmarkEnd w:id="126"/>
    </w:p>
    <w:p w14:paraId="65C20308">
      <w:pPr>
        <w:wordWrap w:val="0"/>
        <w:spacing w:line="460" w:lineRule="exact"/>
        <w:ind w:firstLine="480" w:firstLineChars="200"/>
        <w:jc w:val="left"/>
        <w:outlineLvl w:val="1"/>
        <w:rPr>
          <w:rFonts w:hint="eastAsia" w:ascii="宋体" w:hAnsi="宋体" w:eastAsia="宋体" w:cs="宋体"/>
          <w:sz w:val="24"/>
          <w:szCs w:val="24"/>
          <w:highlight w:val="none"/>
        </w:rPr>
      </w:pPr>
      <w:bookmarkStart w:id="127" w:name="_Toc528078030"/>
      <w:bookmarkEnd w:id="127"/>
      <w:bookmarkStart w:id="128" w:name="_Toc4976"/>
      <w:r>
        <w:rPr>
          <w:rFonts w:hint="eastAsia" w:ascii="宋体" w:hAnsi="宋体" w:eastAsia="宋体" w:cs="宋体"/>
          <w:sz w:val="24"/>
          <w:szCs w:val="24"/>
          <w:highlight w:val="none"/>
        </w:rPr>
        <w:t>6、响应文件审查</w:t>
      </w:r>
      <w:bookmarkEnd w:id="128"/>
    </w:p>
    <w:p w14:paraId="5EFB4A1B">
      <w:pPr>
        <w:wordWrap w:val="0"/>
        <w:spacing w:line="460" w:lineRule="exact"/>
        <w:ind w:firstLine="480" w:firstLineChars="200"/>
        <w:jc w:val="left"/>
        <w:outlineLvl w:val="2"/>
        <w:rPr>
          <w:rFonts w:hint="eastAsia" w:ascii="宋体" w:hAnsi="宋体" w:eastAsia="宋体" w:cs="宋体"/>
          <w:sz w:val="24"/>
          <w:szCs w:val="24"/>
          <w:highlight w:val="none"/>
        </w:rPr>
      </w:pPr>
      <w:bookmarkStart w:id="129" w:name="_Toc528078031"/>
      <w:bookmarkEnd w:id="129"/>
      <w:bookmarkStart w:id="130" w:name="_Toc8206"/>
      <w:r>
        <w:rPr>
          <w:rFonts w:hint="eastAsia" w:ascii="宋体" w:hAnsi="宋体" w:eastAsia="宋体" w:cs="宋体"/>
          <w:sz w:val="24"/>
          <w:szCs w:val="24"/>
          <w:highlight w:val="none"/>
        </w:rPr>
        <w:t>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bookmarkEnd w:id="130"/>
    </w:p>
    <w:p w14:paraId="6956E5D7">
      <w:pPr>
        <w:wordWrap w:val="0"/>
        <w:spacing w:line="460" w:lineRule="exact"/>
        <w:ind w:firstLine="480" w:firstLineChars="200"/>
        <w:jc w:val="left"/>
        <w:outlineLvl w:val="1"/>
        <w:rPr>
          <w:rFonts w:hint="eastAsia" w:ascii="宋体" w:hAnsi="宋体" w:eastAsia="宋体" w:cs="宋体"/>
          <w:sz w:val="24"/>
          <w:szCs w:val="24"/>
          <w:highlight w:val="none"/>
        </w:rPr>
      </w:pPr>
      <w:bookmarkStart w:id="131" w:name="_Toc16938548"/>
      <w:bookmarkEnd w:id="131"/>
      <w:bookmarkStart w:id="132" w:name="_Toc20823304"/>
      <w:bookmarkEnd w:id="132"/>
      <w:bookmarkStart w:id="133" w:name="_Toc513029232"/>
      <w:bookmarkEnd w:id="133"/>
      <w:bookmarkStart w:id="134" w:name="_Toc28147"/>
      <w:r>
        <w:rPr>
          <w:rFonts w:hint="eastAsia" w:ascii="宋体" w:hAnsi="宋体" w:eastAsia="宋体" w:cs="宋体"/>
          <w:sz w:val="24"/>
          <w:szCs w:val="24"/>
          <w:highlight w:val="none"/>
        </w:rPr>
        <w:t>7、磋商程序、最后报价、综合评分</w:t>
      </w:r>
      <w:bookmarkEnd w:id="134"/>
    </w:p>
    <w:p w14:paraId="45BC68DC">
      <w:pPr>
        <w:wordWrap w:val="0"/>
        <w:spacing w:line="460" w:lineRule="exact"/>
        <w:ind w:firstLine="480" w:firstLineChars="200"/>
        <w:jc w:val="left"/>
        <w:outlineLvl w:val="2"/>
        <w:rPr>
          <w:rFonts w:hint="eastAsia" w:ascii="宋体" w:hAnsi="宋体" w:eastAsia="宋体" w:cs="宋体"/>
          <w:sz w:val="24"/>
          <w:szCs w:val="24"/>
          <w:highlight w:val="none"/>
        </w:rPr>
      </w:pPr>
      <w:bookmarkStart w:id="135" w:name="_Toc528078034"/>
      <w:bookmarkEnd w:id="135"/>
      <w:bookmarkStart w:id="136" w:name="_Toc23161"/>
      <w:r>
        <w:rPr>
          <w:rFonts w:hint="eastAsia" w:ascii="宋体" w:hAnsi="宋体" w:eastAsia="宋体" w:cs="宋体"/>
          <w:sz w:val="24"/>
          <w:szCs w:val="24"/>
          <w:highlight w:val="none"/>
        </w:rPr>
        <w:t>7.1磋商小组所有成员应当集中与供应商分别进行磋商，并给予所有参加磋商的供应商平等的磋商机会。</w:t>
      </w:r>
      <w:bookmarkEnd w:id="136"/>
    </w:p>
    <w:p w14:paraId="680F8E25">
      <w:pPr>
        <w:wordWrap w:val="0"/>
        <w:spacing w:line="460" w:lineRule="exact"/>
        <w:ind w:firstLine="480" w:firstLineChars="200"/>
        <w:jc w:val="left"/>
        <w:outlineLvl w:val="2"/>
        <w:rPr>
          <w:rFonts w:hint="eastAsia" w:ascii="宋体" w:hAnsi="宋体" w:eastAsia="宋体" w:cs="宋体"/>
          <w:sz w:val="24"/>
          <w:szCs w:val="24"/>
          <w:highlight w:val="none"/>
        </w:rPr>
      </w:pPr>
      <w:bookmarkStart w:id="137" w:name="_Toc528078035"/>
      <w:bookmarkEnd w:id="137"/>
      <w:bookmarkStart w:id="138" w:name="_Toc15859"/>
      <w:r>
        <w:rPr>
          <w:rFonts w:hint="eastAsia" w:ascii="宋体" w:hAnsi="宋体" w:eastAsia="宋体" w:cs="宋体"/>
          <w:sz w:val="24"/>
          <w:szCs w:val="24"/>
          <w:highlight w:val="none"/>
        </w:rPr>
        <w:t>7.2在磋商过程中，磋商小组可以根据磋商文件和磋商情况实质性变动采购需求中的技术、服务要求以及合同草案条款，但不得变动磋商文件中的其他内容。对磋商文件做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w:t>
      </w:r>
      <w:bookmarkEnd w:id="138"/>
    </w:p>
    <w:p w14:paraId="37CD138F">
      <w:pPr>
        <w:wordWrap w:val="0"/>
        <w:spacing w:line="460" w:lineRule="exact"/>
        <w:ind w:firstLine="480" w:firstLineChars="200"/>
        <w:jc w:val="left"/>
        <w:outlineLvl w:val="2"/>
        <w:rPr>
          <w:rFonts w:hint="eastAsia" w:ascii="宋体" w:hAnsi="宋体" w:eastAsia="宋体" w:cs="宋体"/>
          <w:sz w:val="24"/>
          <w:szCs w:val="24"/>
          <w:highlight w:val="none"/>
        </w:rPr>
      </w:pPr>
      <w:bookmarkStart w:id="139" w:name="_Toc528078036"/>
      <w:bookmarkEnd w:id="139"/>
      <w:bookmarkStart w:id="140" w:name="_Toc21845"/>
      <w:r>
        <w:rPr>
          <w:rFonts w:hint="eastAsia" w:ascii="宋体" w:hAnsi="宋体" w:eastAsia="宋体" w:cs="宋体"/>
          <w:sz w:val="24"/>
          <w:szCs w:val="24"/>
          <w:highlight w:val="none"/>
        </w:rPr>
        <w:t>7.3磋商文件能够详细列明采购标的的技术、服务要求的，磋商结束后，磋商小组将要求所有实质性响应的供应商在规定时间内提交最后报价。最后报价是供应商响应文件的有效组成部分。</w:t>
      </w:r>
      <w:bookmarkEnd w:id="140"/>
    </w:p>
    <w:p w14:paraId="517420ED">
      <w:pPr>
        <w:wordWrap w:val="0"/>
        <w:spacing w:line="460" w:lineRule="exact"/>
        <w:ind w:firstLine="480" w:firstLineChars="200"/>
        <w:jc w:val="left"/>
        <w:outlineLvl w:val="2"/>
        <w:rPr>
          <w:rFonts w:hint="eastAsia" w:ascii="宋体" w:hAnsi="宋体" w:eastAsia="宋体" w:cs="宋体"/>
          <w:sz w:val="24"/>
          <w:szCs w:val="24"/>
          <w:highlight w:val="none"/>
        </w:rPr>
      </w:pPr>
      <w:bookmarkStart w:id="141" w:name="_Toc528078037"/>
      <w:bookmarkEnd w:id="141"/>
      <w:bookmarkStart w:id="142" w:name="_Toc21230"/>
      <w:r>
        <w:rPr>
          <w:rFonts w:hint="eastAsia" w:ascii="宋体" w:hAnsi="宋体" w:eastAsia="宋体" w:cs="宋体"/>
          <w:sz w:val="24"/>
          <w:szCs w:val="24"/>
          <w:highlight w:val="none"/>
        </w:rPr>
        <w:t>7.4已提交响应文件的供应商，在提交最后报价之前，可以根据磋商情况退出磋商。</w:t>
      </w:r>
      <w:bookmarkEnd w:id="142"/>
    </w:p>
    <w:p w14:paraId="6F2004FA">
      <w:pPr>
        <w:wordWrap w:val="0"/>
        <w:spacing w:line="460" w:lineRule="exact"/>
        <w:ind w:firstLine="480" w:firstLineChars="200"/>
        <w:jc w:val="left"/>
        <w:outlineLvl w:val="2"/>
        <w:rPr>
          <w:rFonts w:hint="eastAsia" w:ascii="宋体" w:hAnsi="宋体" w:eastAsia="宋体" w:cs="宋体"/>
          <w:sz w:val="24"/>
          <w:szCs w:val="24"/>
          <w:highlight w:val="none"/>
        </w:rPr>
      </w:pPr>
      <w:bookmarkStart w:id="143" w:name="_Toc528078038"/>
      <w:bookmarkEnd w:id="143"/>
      <w:bookmarkStart w:id="144" w:name="_Toc13144"/>
      <w:r>
        <w:rPr>
          <w:rFonts w:hint="eastAsia" w:ascii="宋体" w:hAnsi="宋体" w:eastAsia="宋体" w:cs="宋体"/>
          <w:sz w:val="24"/>
          <w:szCs w:val="24"/>
          <w:highlight w:val="none"/>
        </w:rPr>
        <w:t>7.5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bookmarkEnd w:id="144"/>
    </w:p>
    <w:p w14:paraId="3A6BE5B4">
      <w:pPr>
        <w:wordWrap w:val="0"/>
        <w:spacing w:line="460" w:lineRule="exact"/>
        <w:ind w:firstLine="480" w:firstLineChars="200"/>
        <w:jc w:val="left"/>
        <w:outlineLvl w:val="2"/>
        <w:rPr>
          <w:rFonts w:hint="eastAsia" w:ascii="宋体" w:hAnsi="宋体" w:eastAsia="宋体" w:cs="宋体"/>
          <w:sz w:val="24"/>
          <w:szCs w:val="24"/>
          <w:highlight w:val="none"/>
        </w:rPr>
      </w:pPr>
      <w:bookmarkStart w:id="145" w:name="_Toc528078039"/>
      <w:bookmarkEnd w:id="145"/>
      <w:bookmarkStart w:id="146" w:name="_Toc22828"/>
      <w:r>
        <w:rPr>
          <w:rFonts w:hint="eastAsia" w:ascii="宋体" w:hAnsi="宋体" w:eastAsia="宋体" w:cs="宋体"/>
          <w:sz w:val="24"/>
          <w:szCs w:val="24"/>
          <w:highlight w:val="none"/>
        </w:rPr>
        <w:t>7.6评审时，磋商小组各成员独立对每个有效响应的文件进行评价、打分，然后汇总每个供应商每项评分因素的得分。</w:t>
      </w:r>
      <w:bookmarkEnd w:id="146"/>
    </w:p>
    <w:p w14:paraId="58580008">
      <w:pPr>
        <w:wordWrap w:val="0"/>
        <w:spacing w:line="460" w:lineRule="exact"/>
        <w:ind w:firstLine="480" w:firstLineChars="200"/>
        <w:jc w:val="left"/>
        <w:outlineLvl w:val="2"/>
        <w:rPr>
          <w:rFonts w:hint="eastAsia" w:ascii="宋体" w:hAnsi="宋体" w:eastAsia="宋体" w:cs="宋体"/>
          <w:sz w:val="24"/>
          <w:szCs w:val="24"/>
          <w:highlight w:val="none"/>
        </w:rPr>
      </w:pPr>
      <w:bookmarkStart w:id="147" w:name="_Toc528078040"/>
      <w:bookmarkEnd w:id="147"/>
      <w:bookmarkStart w:id="148" w:name="_Toc23148"/>
      <w:r>
        <w:rPr>
          <w:rFonts w:hint="eastAsia" w:ascii="宋体" w:hAnsi="宋体" w:eastAsia="宋体" w:cs="宋体"/>
          <w:sz w:val="24"/>
          <w:szCs w:val="24"/>
          <w:highlight w:val="none"/>
        </w:rPr>
        <w:t>磋商小组应当根据综合评分情况，按照评审得分由高到低顺序推荐1-3名成交候选供应商，并编写评审报告。评审得</w:t>
      </w:r>
      <w:r>
        <w:rPr>
          <w:rFonts w:hint="eastAsia" w:ascii="Times New Roman" w:hAnsi="Times New Roman" w:eastAsia="宋体" w:cs="Times New Roman"/>
          <w:sz w:val="24"/>
          <w:szCs w:val="24"/>
          <w:highlight w:val="none"/>
        </w:rPr>
        <w:t>分相同的，按照最后报价由低到高的顺序推荐。评审得分且最后报价相同的，按照技术指标优劣顺序推荐。</w:t>
      </w:r>
      <w:bookmarkEnd w:id="148"/>
    </w:p>
    <w:p w14:paraId="43062459">
      <w:pPr>
        <w:wordWrap w:val="0"/>
        <w:spacing w:line="460" w:lineRule="exact"/>
        <w:ind w:firstLine="480" w:firstLineChars="200"/>
        <w:jc w:val="left"/>
        <w:outlineLvl w:val="2"/>
        <w:rPr>
          <w:rFonts w:hint="eastAsia" w:ascii="宋体" w:hAnsi="宋体" w:eastAsia="宋体" w:cs="宋体"/>
          <w:sz w:val="24"/>
          <w:szCs w:val="24"/>
          <w:highlight w:val="none"/>
        </w:rPr>
      </w:pPr>
      <w:bookmarkStart w:id="149" w:name="_Toc528078041"/>
      <w:bookmarkEnd w:id="149"/>
      <w:bookmarkStart w:id="150" w:name="_Toc26278"/>
      <w:r>
        <w:rPr>
          <w:rFonts w:hint="eastAsia" w:ascii="宋体" w:hAnsi="宋体" w:eastAsia="宋体" w:cs="宋体"/>
          <w:sz w:val="24"/>
          <w:szCs w:val="24"/>
          <w:highlight w:val="none"/>
        </w:rPr>
        <w:t>7.7响应无效和终止磋商活动条款</w:t>
      </w:r>
      <w:bookmarkEnd w:id="150"/>
    </w:p>
    <w:p w14:paraId="5DAD4452">
      <w:pPr>
        <w:wordWrap w:val="0"/>
        <w:spacing w:line="460" w:lineRule="exact"/>
        <w:ind w:firstLine="480" w:firstLineChars="200"/>
        <w:jc w:val="left"/>
        <w:rPr>
          <w:rFonts w:hint="eastAsia" w:ascii="宋体" w:hAnsi="宋体" w:eastAsia="宋体" w:cs="宋体"/>
          <w:sz w:val="24"/>
          <w:szCs w:val="24"/>
          <w:highlight w:val="none"/>
        </w:rPr>
      </w:pPr>
      <w:bookmarkStart w:id="151" w:name="_Toc513029235"/>
      <w:bookmarkEnd w:id="151"/>
      <w:bookmarkStart w:id="152" w:name="_Toc16938551"/>
      <w:bookmarkEnd w:id="152"/>
      <w:r>
        <w:rPr>
          <w:rFonts w:hint="eastAsia" w:ascii="宋体" w:hAnsi="宋体" w:eastAsia="宋体" w:cs="宋体"/>
          <w:sz w:val="24"/>
          <w:szCs w:val="24"/>
          <w:highlight w:val="none"/>
        </w:rPr>
        <w:t>1）未按照竞争性磋商文件规定要求签署、盖章的；</w:t>
      </w:r>
    </w:p>
    <w:p w14:paraId="5B22DD65">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2）供应商不具备竞争性磋商文件中规定资格条件的；</w:t>
      </w:r>
    </w:p>
    <w:p w14:paraId="63946333">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3）不符合法律、法规和竞争性磋商文件中规定的其他实质性要求的；</w:t>
      </w:r>
    </w:p>
    <w:p w14:paraId="4EAE90DD">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4）其他法律、法规及本竞争性磋商文件规定的属响应无效的情形。</w:t>
      </w:r>
    </w:p>
    <w:p w14:paraId="19F8595C">
      <w:pPr>
        <w:wordWrap w:val="0"/>
        <w:spacing w:line="460" w:lineRule="exact"/>
        <w:ind w:firstLine="480" w:firstLineChars="200"/>
        <w:jc w:val="left"/>
        <w:outlineLvl w:val="2"/>
        <w:rPr>
          <w:rFonts w:hint="eastAsia" w:ascii="宋体" w:hAnsi="宋体" w:eastAsia="宋体" w:cs="宋体"/>
          <w:sz w:val="24"/>
          <w:szCs w:val="24"/>
          <w:highlight w:val="none"/>
        </w:rPr>
      </w:pPr>
      <w:bookmarkStart w:id="153" w:name="_Toc6517"/>
      <w:r>
        <w:rPr>
          <w:rFonts w:hint="eastAsia" w:ascii="宋体" w:hAnsi="宋体" w:eastAsia="宋体" w:cs="宋体"/>
          <w:sz w:val="24"/>
          <w:szCs w:val="24"/>
          <w:highlight w:val="none"/>
        </w:rPr>
        <w:t>7.8终止竞争性磋商采购活动的条款</w:t>
      </w:r>
      <w:bookmarkEnd w:id="153"/>
    </w:p>
    <w:p w14:paraId="6788E78D">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出现下列情形之一的，采购人将终止竞争性磋商采购活动，发布项目终止公告并说明原因，重新开展采购活动：</w:t>
      </w:r>
    </w:p>
    <w:p w14:paraId="0A27F0DB">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1）因情况变化，不再符合规定的竞争性磋商采购方式适用情形的；</w:t>
      </w:r>
    </w:p>
    <w:p w14:paraId="394FB2DD">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2）出现影响采购公正的违法、违规行为的；</w:t>
      </w:r>
    </w:p>
    <w:p w14:paraId="418D8FB1">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3)在采购过程中符合要求的供应商的供应商不足2家的。</w:t>
      </w:r>
    </w:p>
    <w:p w14:paraId="6ECE571C">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7.9根据财库（2015）124号文，竞争性磋商只有2家响应人仍可继续进行。</w:t>
      </w:r>
    </w:p>
    <w:p w14:paraId="7CF0B6E4">
      <w:pPr>
        <w:wordWrap w:val="0"/>
        <w:spacing w:line="460" w:lineRule="exact"/>
        <w:ind w:firstLine="480" w:firstLineChars="200"/>
        <w:jc w:val="left"/>
        <w:outlineLvl w:val="1"/>
        <w:rPr>
          <w:rFonts w:hint="eastAsia" w:ascii="宋体" w:hAnsi="宋体" w:eastAsia="宋体" w:cs="宋体"/>
          <w:kern w:val="0"/>
          <w:sz w:val="24"/>
          <w:szCs w:val="24"/>
          <w:highlight w:val="none"/>
        </w:rPr>
      </w:pPr>
      <w:bookmarkStart w:id="154" w:name="_Toc505350557"/>
      <w:bookmarkEnd w:id="154"/>
      <w:bookmarkStart w:id="155" w:name="_Toc504491971"/>
      <w:bookmarkEnd w:id="155"/>
      <w:bookmarkStart w:id="156" w:name="_Toc517178997"/>
      <w:bookmarkEnd w:id="156"/>
      <w:bookmarkStart w:id="157" w:name="_Toc528078042"/>
      <w:bookmarkStart w:id="158" w:name="_Toc9277"/>
      <w:r>
        <w:rPr>
          <w:rFonts w:hint="eastAsia" w:ascii="宋体" w:hAnsi="宋体" w:eastAsia="宋体" w:cs="宋体"/>
          <w:sz w:val="24"/>
          <w:szCs w:val="24"/>
          <w:highlight w:val="none"/>
        </w:rPr>
        <w:t>8.确定成交、询问及质疑</w:t>
      </w:r>
      <w:bookmarkEnd w:id="157"/>
      <w:bookmarkEnd w:id="158"/>
    </w:p>
    <w:p w14:paraId="39A5546C">
      <w:pPr>
        <w:wordWrap w:val="0"/>
        <w:spacing w:line="460" w:lineRule="exact"/>
        <w:ind w:firstLine="480" w:firstLineChars="200"/>
        <w:jc w:val="left"/>
        <w:outlineLvl w:val="2"/>
        <w:rPr>
          <w:rFonts w:hint="eastAsia" w:ascii="宋体" w:hAnsi="宋体" w:eastAsia="宋体" w:cs="宋体"/>
          <w:sz w:val="24"/>
          <w:szCs w:val="24"/>
          <w:highlight w:val="none"/>
        </w:rPr>
      </w:pPr>
      <w:bookmarkStart w:id="159" w:name="_Toc20823310"/>
      <w:bookmarkEnd w:id="159"/>
      <w:bookmarkStart w:id="160" w:name="_Toc16938554"/>
      <w:bookmarkEnd w:id="160"/>
      <w:bookmarkStart w:id="161" w:name="_Toc528078043"/>
      <w:bookmarkStart w:id="162" w:name="_Toc23867"/>
      <w:r>
        <w:rPr>
          <w:rFonts w:hint="eastAsia" w:ascii="宋体" w:hAnsi="宋体" w:eastAsia="宋体" w:cs="宋体"/>
          <w:sz w:val="24"/>
          <w:szCs w:val="24"/>
          <w:highlight w:val="none"/>
        </w:rPr>
        <w:t>8.1</w:t>
      </w:r>
      <w:bookmarkEnd w:id="161"/>
      <w:r>
        <w:rPr>
          <w:rFonts w:hint="eastAsia" w:ascii="宋体" w:hAnsi="宋体" w:eastAsia="宋体" w:cs="宋体"/>
          <w:sz w:val="24"/>
          <w:szCs w:val="24"/>
          <w:highlight w:val="none"/>
        </w:rPr>
        <w:t>确定成交供应商</w:t>
      </w:r>
      <w:bookmarkEnd w:id="162"/>
    </w:p>
    <w:p w14:paraId="16A47600">
      <w:pPr>
        <w:wordWrap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8.1.1采购代理机构应当在评标结束后2个工作日内将评标报告送采购人。</w:t>
      </w:r>
    </w:p>
    <w:p w14:paraId="3E4F8B68">
      <w:pPr>
        <w:wordWrap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采购人应当自收到评标报告之日起5个工作日内，在评标报告确定的中标候选人名单中按顺序确定中标人。中标候选人并列的，由采购人或者采购人委托磋商小组按照竞争性磋商文件规定的方式确定中标人；竞争性磋商文件未规定的，采取随机抽取的方式确定。</w:t>
      </w:r>
    </w:p>
    <w:p w14:paraId="0CA3F179">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8.1.2成交供应商确定后2个工作日内在“《中国采购与招标网》、《河南省政府采购网》和《三门峡市公共资源交易中心网》”公告成交结果。</w:t>
      </w:r>
    </w:p>
    <w:p w14:paraId="08735686">
      <w:pPr>
        <w:wordWrap w:val="0"/>
        <w:spacing w:line="460" w:lineRule="exact"/>
        <w:ind w:firstLine="480" w:firstLineChars="200"/>
        <w:jc w:val="left"/>
        <w:outlineLvl w:val="2"/>
        <w:rPr>
          <w:rFonts w:hint="eastAsia" w:ascii="宋体" w:hAnsi="宋体" w:eastAsia="宋体" w:cs="宋体"/>
          <w:sz w:val="24"/>
          <w:szCs w:val="24"/>
          <w:highlight w:val="none"/>
        </w:rPr>
      </w:pPr>
      <w:bookmarkStart w:id="163" w:name="_Toc200451960"/>
      <w:bookmarkEnd w:id="163"/>
      <w:bookmarkStart w:id="164" w:name="_Toc7540"/>
      <w:bookmarkStart w:id="165" w:name="_Toc528078044"/>
      <w:r>
        <w:rPr>
          <w:rFonts w:hint="eastAsia" w:ascii="宋体" w:hAnsi="宋体" w:eastAsia="宋体" w:cs="宋体"/>
          <w:sz w:val="24"/>
          <w:szCs w:val="24"/>
          <w:highlight w:val="none"/>
        </w:rPr>
        <w:t>8.2询问及质疑</w:t>
      </w:r>
      <w:bookmarkEnd w:id="164"/>
      <w:bookmarkEnd w:id="165"/>
    </w:p>
    <w:p w14:paraId="4BCB028F">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8.2.1询问及质疑依据《中华人民共和国政府采购法》、《中华人民共和国政府采购法实施条例》及相关法律法规处理。</w:t>
      </w:r>
    </w:p>
    <w:p w14:paraId="462E0469">
      <w:pPr>
        <w:wordWrap w:val="0"/>
        <w:spacing w:line="460" w:lineRule="exact"/>
        <w:ind w:firstLine="480" w:firstLineChars="200"/>
        <w:jc w:val="left"/>
        <w:outlineLvl w:val="1"/>
        <w:rPr>
          <w:rFonts w:hint="eastAsia" w:ascii="宋体" w:hAnsi="宋体" w:eastAsia="宋体" w:cs="宋体"/>
          <w:kern w:val="0"/>
          <w:sz w:val="24"/>
          <w:szCs w:val="24"/>
          <w:highlight w:val="none"/>
        </w:rPr>
      </w:pPr>
      <w:bookmarkStart w:id="166" w:name="_Toc403987211"/>
      <w:bookmarkEnd w:id="166"/>
      <w:bookmarkStart w:id="167" w:name="_Toc16938552"/>
      <w:bookmarkEnd w:id="167"/>
      <w:bookmarkStart w:id="168" w:name="_Toc20823308"/>
      <w:bookmarkEnd w:id="168"/>
      <w:bookmarkStart w:id="169" w:name="_Toc513029236"/>
      <w:bookmarkEnd w:id="169"/>
      <w:bookmarkStart w:id="170" w:name="_Toc517178998"/>
      <w:bookmarkEnd w:id="170"/>
      <w:bookmarkStart w:id="171" w:name="_Toc120614220"/>
      <w:bookmarkEnd w:id="171"/>
      <w:bookmarkStart w:id="172" w:name="_Toc505350558"/>
      <w:bookmarkEnd w:id="172"/>
      <w:bookmarkStart w:id="173" w:name="_Toc504491972"/>
      <w:bookmarkEnd w:id="173"/>
      <w:bookmarkStart w:id="174" w:name="_Toc528078045"/>
      <w:bookmarkStart w:id="175" w:name="_Toc30108"/>
      <w:r>
        <w:rPr>
          <w:rFonts w:hint="eastAsia" w:ascii="宋体" w:hAnsi="宋体" w:eastAsia="宋体" w:cs="宋体"/>
          <w:sz w:val="24"/>
          <w:szCs w:val="24"/>
          <w:highlight w:val="none"/>
        </w:rPr>
        <w:t>9.</w:t>
      </w:r>
      <w:bookmarkEnd w:id="174"/>
      <w:r>
        <w:rPr>
          <w:rFonts w:hint="eastAsia" w:ascii="宋体" w:hAnsi="宋体" w:eastAsia="宋体" w:cs="宋体"/>
          <w:sz w:val="24"/>
          <w:szCs w:val="24"/>
          <w:highlight w:val="none"/>
        </w:rPr>
        <w:t>授予合同</w:t>
      </w:r>
      <w:bookmarkEnd w:id="175"/>
    </w:p>
    <w:p w14:paraId="6E6C0F87">
      <w:pPr>
        <w:wordWrap w:val="0"/>
        <w:spacing w:line="460" w:lineRule="exact"/>
        <w:ind w:firstLine="480" w:firstLineChars="200"/>
        <w:jc w:val="left"/>
        <w:outlineLvl w:val="2"/>
        <w:rPr>
          <w:rFonts w:hint="eastAsia" w:ascii="宋体" w:hAnsi="宋体" w:eastAsia="宋体" w:cs="宋体"/>
          <w:sz w:val="24"/>
          <w:szCs w:val="24"/>
          <w:highlight w:val="none"/>
        </w:rPr>
      </w:pPr>
      <w:bookmarkStart w:id="176" w:name="_Toc20823309"/>
      <w:bookmarkEnd w:id="176"/>
      <w:bookmarkStart w:id="177" w:name="_Toc16938553"/>
      <w:bookmarkEnd w:id="177"/>
      <w:bookmarkStart w:id="178" w:name="_Toc513029237"/>
      <w:bookmarkEnd w:id="178"/>
      <w:bookmarkStart w:id="179" w:name="_Toc528078046"/>
      <w:bookmarkStart w:id="180" w:name="_Toc21335"/>
      <w:r>
        <w:rPr>
          <w:rFonts w:hint="eastAsia" w:ascii="宋体" w:hAnsi="宋体" w:eastAsia="宋体" w:cs="宋体"/>
          <w:sz w:val="24"/>
          <w:szCs w:val="24"/>
          <w:highlight w:val="none"/>
        </w:rPr>
        <w:t>9.1签订合同</w:t>
      </w:r>
      <w:bookmarkEnd w:id="179"/>
      <w:bookmarkEnd w:id="180"/>
    </w:p>
    <w:p w14:paraId="429C90A6">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9.1.1采购人、成交供应商在成交通知书发出之日起30日内（不超过30日），根据竞争性磋商文件确定的事项和成交供应商响应性文件签订合同。双方所签订的合同不得对竞争性磋商文件和成交供应商响应性文件作实质性修改。成交供应商逾期未签订合同，视为成交后无正当理由不与采购人签订合同，按照有关法律规定承担相应的法律责任。采购人逾期不与成交供应商签订合同的，按政府采购的有关规定处理。</w:t>
      </w:r>
    </w:p>
    <w:p w14:paraId="0B660BA5">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9.1.2竞争性磋商文件、竞争性磋商文件的修改文件、成交供应商的响应性文件、补充或修改的文件及澄清或承诺文件等，均为双方签订合同的组成部分，并与合同一并作为本竞争性磋商文件所列采购项目的互补性法律文件，与合同具有同等法律效力。</w:t>
      </w:r>
    </w:p>
    <w:p w14:paraId="64D97C86">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9.1.3成交供应商放弃成交、因不可抗力不能履行合同、或者被查实存在影响成交结果的违法行为等情形，不符合成交条件的，采购人可以按照磋商小组提出的成交候选供应商名单排序依次确定其他成交候选供应商为成交供应商，也可以重新组织采购</w:t>
      </w:r>
      <w:bookmarkStart w:id="181" w:name="_Toc479757211"/>
      <w:bookmarkEnd w:id="181"/>
      <w:bookmarkStart w:id="182" w:name="_Toc528078047"/>
      <w:bookmarkEnd w:id="182"/>
      <w:bookmarkStart w:id="183" w:name="_Toc513029242"/>
      <w:bookmarkEnd w:id="183"/>
      <w:bookmarkStart w:id="184" w:name="_Toc16938558"/>
      <w:bookmarkEnd w:id="184"/>
      <w:bookmarkStart w:id="185" w:name="_Toc517178999"/>
      <w:bookmarkEnd w:id="185"/>
      <w:bookmarkStart w:id="186" w:name="_Toc20823314"/>
      <w:bookmarkEnd w:id="186"/>
      <w:bookmarkStart w:id="187" w:name="_Toc479757207"/>
      <w:bookmarkEnd w:id="187"/>
      <w:bookmarkStart w:id="188" w:name="_Toc120614221"/>
      <w:bookmarkEnd w:id="188"/>
      <w:bookmarkStart w:id="189" w:name="_Hlt16619475"/>
      <w:bookmarkEnd w:id="189"/>
      <w:bookmarkStart w:id="190" w:name="_Toc528078062"/>
      <w:r>
        <w:rPr>
          <w:rFonts w:hint="eastAsia" w:ascii="宋体" w:hAnsi="宋体" w:eastAsia="宋体" w:cs="宋体"/>
          <w:sz w:val="24"/>
          <w:szCs w:val="24"/>
          <w:highlight w:val="none"/>
        </w:rPr>
        <w:t>。</w:t>
      </w:r>
      <w:bookmarkEnd w:id="190"/>
    </w:p>
    <w:p w14:paraId="068B1ABE">
      <w:pPr>
        <w:widowControl/>
        <w:spacing w:line="480" w:lineRule="exact"/>
        <w:ind w:firstLine="482" w:firstLineChars="200"/>
        <w:outlineLvl w:val="2"/>
        <w:rPr>
          <w:rFonts w:hint="eastAsia" w:ascii="宋体" w:hAnsi="宋体" w:eastAsia="宋体" w:cs="宋体"/>
          <w:b/>
          <w:bCs/>
          <w:sz w:val="24"/>
          <w:szCs w:val="24"/>
          <w:highlight w:val="none"/>
        </w:rPr>
      </w:pPr>
      <w:bookmarkStart w:id="191" w:name="_Toc13695"/>
      <w:r>
        <w:rPr>
          <w:rFonts w:hint="eastAsia" w:ascii="宋体" w:hAnsi="宋体" w:eastAsia="宋体" w:cs="宋体"/>
          <w:b/>
          <w:bCs/>
          <w:sz w:val="24"/>
          <w:szCs w:val="24"/>
          <w:highlight w:val="none"/>
        </w:rPr>
        <w:t>9.</w:t>
      </w:r>
      <w:r>
        <w:rPr>
          <w:rFonts w:ascii="宋体" w:hAnsi="宋体" w:eastAsia="宋体" w:cs="宋体"/>
          <w:b/>
          <w:bCs/>
          <w:sz w:val="24"/>
          <w:szCs w:val="24"/>
          <w:highlight w:val="none"/>
        </w:rPr>
        <w:t>2</w:t>
      </w:r>
      <w:r>
        <w:rPr>
          <w:rFonts w:hint="eastAsia" w:ascii="宋体" w:hAnsi="宋体" w:eastAsia="宋体" w:cs="宋体"/>
          <w:b/>
          <w:bCs/>
          <w:sz w:val="24"/>
          <w:szCs w:val="24"/>
          <w:highlight w:val="none"/>
        </w:rPr>
        <w:t>投诉</w:t>
      </w:r>
      <w:bookmarkEnd w:id="191"/>
    </w:p>
    <w:p w14:paraId="218D9A61">
      <w:pPr>
        <w:spacing w:line="500" w:lineRule="exact"/>
        <w:ind w:firstLine="480" w:firstLineChars="200"/>
        <w:rPr>
          <w:rFonts w:hint="eastAsia" w:ascii="宋体" w:hAnsi="宋体" w:eastAsia="宋体" w:cs="Times New Roman"/>
          <w:sz w:val="24"/>
          <w:szCs w:val="24"/>
          <w:highlight w:val="none"/>
        </w:rPr>
      </w:pPr>
      <w:bookmarkStart w:id="192" w:name="_Toc466566702"/>
      <w:r>
        <w:rPr>
          <w:rFonts w:ascii="宋体" w:hAnsi="宋体" w:eastAsia="宋体" w:cs="Times New Roman"/>
          <w:sz w:val="24"/>
          <w:szCs w:val="24"/>
          <w:highlight w:val="none"/>
        </w:rPr>
        <w:t>9</w:t>
      </w:r>
      <w:r>
        <w:rPr>
          <w:rFonts w:hint="eastAsia" w:ascii="宋体" w:hAnsi="宋体" w:eastAsia="宋体" w:cs="Times New Roman"/>
          <w:sz w:val="24"/>
          <w:szCs w:val="24"/>
          <w:highlight w:val="none"/>
        </w:rPr>
        <w:t>.</w:t>
      </w:r>
      <w:r>
        <w:rPr>
          <w:rFonts w:ascii="宋体" w:hAnsi="宋体" w:eastAsia="宋体" w:cs="Times New Roman"/>
          <w:sz w:val="24"/>
          <w:szCs w:val="24"/>
          <w:highlight w:val="none"/>
        </w:rPr>
        <w:t>2</w:t>
      </w:r>
      <w:r>
        <w:rPr>
          <w:rFonts w:hint="eastAsia" w:ascii="宋体" w:hAnsi="宋体" w:eastAsia="宋体" w:cs="Times New Roman"/>
          <w:sz w:val="24"/>
          <w:szCs w:val="24"/>
          <w:highlight w:val="none"/>
        </w:rPr>
        <w:t>.1 供应商或有关当事人对磋商过程、成交结果有异议的，可以向采购人或者采购代理机构提出询问。</w:t>
      </w:r>
    </w:p>
    <w:p w14:paraId="50684D49">
      <w:pPr>
        <w:spacing w:line="500" w:lineRule="exact"/>
        <w:ind w:firstLine="480" w:firstLineChars="200"/>
        <w:rPr>
          <w:rFonts w:hint="eastAsia" w:ascii="宋体" w:hAnsi="宋体" w:eastAsia="宋体" w:cs="Times New Roman"/>
          <w:sz w:val="24"/>
          <w:szCs w:val="24"/>
          <w:highlight w:val="none"/>
        </w:rPr>
      </w:pPr>
      <w:r>
        <w:rPr>
          <w:rFonts w:ascii="宋体" w:hAnsi="宋体" w:eastAsia="宋体" w:cs="Times New Roman"/>
          <w:sz w:val="24"/>
          <w:szCs w:val="24"/>
          <w:highlight w:val="none"/>
        </w:rPr>
        <w:t>9</w:t>
      </w:r>
      <w:r>
        <w:rPr>
          <w:rFonts w:hint="eastAsia" w:ascii="宋体" w:hAnsi="宋体" w:eastAsia="宋体" w:cs="Times New Roman"/>
          <w:sz w:val="24"/>
          <w:szCs w:val="24"/>
          <w:highlight w:val="none"/>
        </w:rPr>
        <w:t>.</w:t>
      </w:r>
      <w:r>
        <w:rPr>
          <w:rFonts w:ascii="宋体" w:hAnsi="宋体" w:eastAsia="宋体" w:cs="Times New Roman"/>
          <w:sz w:val="24"/>
          <w:szCs w:val="24"/>
          <w:highlight w:val="none"/>
        </w:rPr>
        <w:t>2</w:t>
      </w:r>
      <w:r>
        <w:rPr>
          <w:rFonts w:hint="eastAsia" w:ascii="宋体" w:hAnsi="宋体" w:eastAsia="宋体" w:cs="Times New Roman"/>
          <w:sz w:val="24"/>
          <w:szCs w:val="24"/>
          <w:highlight w:val="none"/>
        </w:rPr>
        <w:t>.2 采购人或者采购代理机构应当在三个工作日内对供应商依法提出的询问作出答复。</w:t>
      </w:r>
    </w:p>
    <w:p w14:paraId="4C69BF63">
      <w:pPr>
        <w:spacing w:line="500" w:lineRule="exact"/>
        <w:ind w:firstLine="480" w:firstLineChars="200"/>
        <w:rPr>
          <w:rFonts w:hint="eastAsia" w:ascii="宋体" w:hAnsi="宋体" w:eastAsia="宋体" w:cs="Times New Roman"/>
          <w:sz w:val="24"/>
          <w:szCs w:val="24"/>
          <w:highlight w:val="none"/>
        </w:rPr>
      </w:pPr>
      <w:r>
        <w:rPr>
          <w:rFonts w:ascii="宋体" w:hAnsi="宋体" w:eastAsia="宋体" w:cs="Times New Roman"/>
          <w:sz w:val="24"/>
          <w:szCs w:val="24"/>
          <w:highlight w:val="none"/>
        </w:rPr>
        <w:t>9</w:t>
      </w:r>
      <w:r>
        <w:rPr>
          <w:rFonts w:hint="eastAsia" w:ascii="宋体" w:hAnsi="宋体" w:eastAsia="宋体" w:cs="Times New Roman"/>
          <w:sz w:val="24"/>
          <w:szCs w:val="24"/>
          <w:highlight w:val="none"/>
        </w:rPr>
        <w:t>.</w:t>
      </w:r>
      <w:r>
        <w:rPr>
          <w:rFonts w:ascii="宋体" w:hAnsi="宋体" w:eastAsia="宋体" w:cs="Times New Roman"/>
          <w:sz w:val="24"/>
          <w:szCs w:val="24"/>
          <w:highlight w:val="none"/>
        </w:rPr>
        <w:t>2</w:t>
      </w:r>
      <w:r>
        <w:rPr>
          <w:rFonts w:hint="eastAsia" w:ascii="宋体" w:hAnsi="宋体" w:eastAsia="宋体" w:cs="Times New Roman"/>
          <w:sz w:val="24"/>
          <w:szCs w:val="24"/>
          <w:highlight w:val="none"/>
        </w:rPr>
        <w:t>.3 供应商认为竞争性磋商文件、采购过程使自己的权益受到损害的，可以在知道或者应知其权益受到损害之日起七个工作日内，以书面形式向采购人提出质疑。</w:t>
      </w:r>
    </w:p>
    <w:p w14:paraId="0FE018F4">
      <w:pPr>
        <w:spacing w:line="500" w:lineRule="exact"/>
        <w:ind w:firstLine="480" w:firstLineChars="200"/>
        <w:rPr>
          <w:rFonts w:hint="eastAsia" w:ascii="宋体" w:hAnsi="宋体" w:eastAsia="宋体" w:cs="Times New Roman"/>
          <w:sz w:val="24"/>
          <w:szCs w:val="24"/>
          <w:highlight w:val="none"/>
        </w:rPr>
      </w:pPr>
      <w:r>
        <w:rPr>
          <w:rFonts w:ascii="宋体" w:hAnsi="宋体" w:eastAsia="宋体" w:cs="Times New Roman"/>
          <w:sz w:val="24"/>
          <w:szCs w:val="24"/>
          <w:highlight w:val="none"/>
        </w:rPr>
        <w:t>9</w:t>
      </w:r>
      <w:r>
        <w:rPr>
          <w:rFonts w:hint="eastAsia" w:ascii="宋体" w:hAnsi="宋体" w:eastAsia="宋体" w:cs="Times New Roman"/>
          <w:sz w:val="24"/>
          <w:szCs w:val="24"/>
          <w:highlight w:val="none"/>
        </w:rPr>
        <w:t>.</w:t>
      </w:r>
      <w:r>
        <w:rPr>
          <w:rFonts w:ascii="宋体" w:hAnsi="宋体" w:eastAsia="宋体" w:cs="Times New Roman"/>
          <w:sz w:val="24"/>
          <w:szCs w:val="24"/>
          <w:highlight w:val="none"/>
        </w:rPr>
        <w:t>2</w:t>
      </w:r>
      <w:r>
        <w:rPr>
          <w:rFonts w:hint="eastAsia" w:ascii="宋体" w:hAnsi="宋体" w:eastAsia="宋体" w:cs="Times New Roman"/>
          <w:sz w:val="24"/>
          <w:szCs w:val="24"/>
          <w:highlight w:val="none"/>
        </w:rPr>
        <w:t>.4 供应商认为成交结果使自己的权益受到损害的，可以在成交结果公告期限届满之日起七个工作日内，以书面形式向采购人提出质疑，接收质疑函联系部门、电话及地址详见竞争性磋商公告。在法定质疑期内供应商针对同一采购程序环节的质疑应当一次性提出。</w:t>
      </w:r>
    </w:p>
    <w:p w14:paraId="2329EFE8">
      <w:pPr>
        <w:spacing w:line="500" w:lineRule="exact"/>
        <w:ind w:firstLine="480" w:firstLineChars="200"/>
        <w:rPr>
          <w:rFonts w:hint="eastAsia" w:ascii="宋体" w:hAnsi="宋体" w:eastAsia="宋体" w:cs="Times New Roman"/>
          <w:sz w:val="24"/>
          <w:szCs w:val="24"/>
          <w:highlight w:val="none"/>
        </w:rPr>
      </w:pPr>
      <w:r>
        <w:rPr>
          <w:rFonts w:ascii="宋体" w:hAnsi="宋体" w:eastAsia="宋体" w:cs="Times New Roman"/>
          <w:sz w:val="24"/>
          <w:szCs w:val="24"/>
          <w:highlight w:val="none"/>
        </w:rPr>
        <w:t>9</w:t>
      </w:r>
      <w:r>
        <w:rPr>
          <w:rFonts w:hint="eastAsia" w:ascii="宋体" w:hAnsi="宋体" w:eastAsia="宋体" w:cs="Times New Roman"/>
          <w:sz w:val="24"/>
          <w:szCs w:val="24"/>
          <w:highlight w:val="none"/>
        </w:rPr>
        <w:t>.</w:t>
      </w:r>
      <w:r>
        <w:rPr>
          <w:rFonts w:ascii="宋体" w:hAnsi="宋体" w:eastAsia="宋体" w:cs="Times New Roman"/>
          <w:sz w:val="24"/>
          <w:szCs w:val="24"/>
          <w:highlight w:val="none"/>
        </w:rPr>
        <w:t>2</w:t>
      </w:r>
      <w:r>
        <w:rPr>
          <w:rFonts w:hint="eastAsia" w:ascii="宋体" w:hAnsi="宋体" w:eastAsia="宋体" w:cs="Times New Roman"/>
          <w:sz w:val="24"/>
          <w:szCs w:val="24"/>
          <w:highlight w:val="none"/>
        </w:rPr>
        <w:t>.5 采购人或者采购代理机构应当在收到供应商的书面质疑后七个工作日内作出答复，并以书面形式通知质疑供应商和其他有关供应商，但答复的内容不得涉及商业秘密。</w:t>
      </w:r>
    </w:p>
    <w:p w14:paraId="1AE551A7">
      <w:pPr>
        <w:spacing w:line="500" w:lineRule="exact"/>
        <w:ind w:firstLine="480" w:firstLineChars="200"/>
        <w:rPr>
          <w:rFonts w:hint="eastAsia" w:ascii="宋体" w:hAnsi="宋体" w:eastAsia="宋体" w:cs="Times New Roman"/>
          <w:sz w:val="24"/>
          <w:szCs w:val="24"/>
          <w:highlight w:val="none"/>
        </w:rPr>
      </w:pPr>
      <w:r>
        <w:rPr>
          <w:rFonts w:ascii="宋体" w:hAnsi="宋体" w:eastAsia="宋体" w:cs="Times New Roman"/>
          <w:sz w:val="24"/>
          <w:szCs w:val="24"/>
          <w:highlight w:val="none"/>
        </w:rPr>
        <w:t>9</w:t>
      </w:r>
      <w:r>
        <w:rPr>
          <w:rFonts w:hint="eastAsia" w:ascii="宋体" w:hAnsi="宋体" w:eastAsia="宋体" w:cs="Times New Roman"/>
          <w:sz w:val="24"/>
          <w:szCs w:val="24"/>
          <w:highlight w:val="none"/>
        </w:rPr>
        <w:t>.</w:t>
      </w:r>
      <w:r>
        <w:rPr>
          <w:rFonts w:ascii="宋体" w:hAnsi="宋体" w:eastAsia="宋体" w:cs="Times New Roman"/>
          <w:sz w:val="24"/>
          <w:szCs w:val="24"/>
          <w:highlight w:val="none"/>
        </w:rPr>
        <w:t>2</w:t>
      </w:r>
      <w:r>
        <w:rPr>
          <w:rFonts w:hint="eastAsia" w:ascii="宋体" w:hAnsi="宋体" w:eastAsia="宋体" w:cs="Times New Roman"/>
          <w:sz w:val="24"/>
          <w:szCs w:val="24"/>
          <w:highlight w:val="none"/>
        </w:rPr>
        <w:t>.6 质疑单位对采购人、采购代理机构的答复不满意或者采购人、采购代理机构未在规定的时间内作出答复的，可以在答复期满后十五个工作日内向同级政府采购监督管理部门投诉。</w:t>
      </w:r>
    </w:p>
    <w:p w14:paraId="6A7A3A40">
      <w:pPr>
        <w:spacing w:line="500" w:lineRule="exact"/>
        <w:ind w:firstLine="480" w:firstLineChars="200"/>
        <w:rPr>
          <w:rFonts w:ascii="Calibri" w:hAnsi="Calibri" w:eastAsia="宋体" w:cs="Times New Roman"/>
          <w:kern w:val="0"/>
          <w:sz w:val="24"/>
          <w:szCs w:val="24"/>
          <w:highlight w:val="none"/>
        </w:rPr>
      </w:pPr>
      <w:r>
        <w:rPr>
          <w:rFonts w:ascii="宋体" w:hAnsi="宋体" w:eastAsia="宋体" w:cs="Times New Roman"/>
          <w:sz w:val="24"/>
          <w:szCs w:val="24"/>
          <w:highlight w:val="none"/>
        </w:rPr>
        <w:t>9</w:t>
      </w:r>
      <w:r>
        <w:rPr>
          <w:rFonts w:hint="eastAsia" w:ascii="宋体" w:hAnsi="宋体" w:eastAsia="宋体" w:cs="Times New Roman"/>
          <w:sz w:val="24"/>
          <w:szCs w:val="24"/>
          <w:highlight w:val="none"/>
        </w:rPr>
        <w:t>.</w:t>
      </w:r>
      <w:r>
        <w:rPr>
          <w:rFonts w:ascii="宋体" w:hAnsi="宋体" w:eastAsia="宋体" w:cs="Times New Roman"/>
          <w:sz w:val="24"/>
          <w:szCs w:val="24"/>
          <w:highlight w:val="none"/>
        </w:rPr>
        <w:t>2</w:t>
      </w:r>
      <w:r>
        <w:rPr>
          <w:rFonts w:hint="eastAsia" w:ascii="宋体" w:hAnsi="宋体" w:eastAsia="宋体" w:cs="Times New Roman"/>
          <w:sz w:val="24"/>
          <w:szCs w:val="24"/>
          <w:highlight w:val="none"/>
        </w:rPr>
        <w:t>.7 供应商质疑、投诉应当有明确的请求和必要的证明材料。供应商投诉的事项不得超出已质疑事项的范围。</w:t>
      </w:r>
      <w:r>
        <w:rPr>
          <w:rFonts w:hint="eastAsia" w:ascii="Calibri" w:hAnsi="Calibri" w:eastAsia="宋体" w:cs="Times New Roman"/>
          <w:kern w:val="0"/>
          <w:sz w:val="24"/>
          <w:szCs w:val="24"/>
          <w:highlight w:val="none"/>
        </w:rPr>
        <w:t>质疑函应当包括下列内容：</w:t>
      </w:r>
    </w:p>
    <w:p w14:paraId="6E198722">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1、供应商的姓名或者名称、地址、邮编、联系人及联系电话；</w:t>
      </w:r>
    </w:p>
    <w:p w14:paraId="6462140B">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2、质疑项目的名称、编号；</w:t>
      </w:r>
    </w:p>
    <w:p w14:paraId="21A7CB08">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3、具体、明确的质疑事项和与质疑事项相关的请求；</w:t>
      </w:r>
    </w:p>
    <w:p w14:paraId="3D24AE00">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4、事实依据；</w:t>
      </w:r>
    </w:p>
    <w:p w14:paraId="43340367">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5、必要的法律依据；</w:t>
      </w:r>
    </w:p>
    <w:p w14:paraId="3D73523F">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6、提出质疑的日期。</w:t>
      </w:r>
    </w:p>
    <w:p w14:paraId="0C270DD6">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质疑事项按照有关法律、法规和规章规定及招标文件要求属于保密或者处于保密阶段的事项，供应商必须提供正常的信息来源或有效证据，供应商不能提供或者拒绝提供合法的信息来源或有效证据的，其质疑将被拒绝；</w:t>
      </w:r>
    </w:p>
    <w:p w14:paraId="514A8124">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质疑函应提供充足有效的相关证明材料；如果涉及到产品功能或技术指标的，应出具相关制造商的证明文件；</w:t>
      </w:r>
    </w:p>
    <w:p w14:paraId="324916F9">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质疑材料中有外文资料的，应一并附上中文译本，并以中文译本为准。</w:t>
      </w:r>
    </w:p>
    <w:p w14:paraId="39032094">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供应商质疑实行实名制并须在质疑书上署名。供应商不得进行虚假、恶意质疑，不得以质疑为手段获取不当得利、实现非法目的。</w:t>
      </w:r>
    </w:p>
    <w:p w14:paraId="4805AA9A">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供应商可以委托代理人进行质疑和投诉。其授权委托书应当载明代理人的姓名或者名称、代理事项、具体权限、期限和相关事项。供应商为自然人的，应当由本人签</w:t>
      </w:r>
      <w:bookmarkStart w:id="193" w:name="第四部分_合同条款"/>
      <w:bookmarkEnd w:id="193"/>
      <w:r>
        <w:rPr>
          <w:rFonts w:hint="eastAsia" w:ascii="宋体" w:hAnsi="宋体" w:eastAsia="宋体" w:cs="宋体"/>
          <w:sz w:val="24"/>
          <w:szCs w:val="24"/>
          <w:highlight w:val="none"/>
        </w:rPr>
        <w:t>字；供应商为法人或者其他组织的，应当由法定代表人、主要负责人签字或者盖章，并加盖公章。代理人提出质疑和投诉，应当提交供应商签署的授权委托书。授权委托书应载明委托代理的具体权限和事项。授权委托书应当由委托人签字并加盖单位公章。</w:t>
      </w:r>
    </w:p>
    <w:p w14:paraId="1C6EB1CF">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质疑书提交方式。供应商或者其委托代理人应当当面提交质疑书及相关证明材料。提交质疑书时，供应商应同时提交本人身份证，委托他人代理质疑事宜的，还应提交被委托人的身份证。</w:t>
      </w:r>
    </w:p>
    <w:p w14:paraId="5DA82033">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供应商不得虚假质疑和恶意质疑，并对质疑内容的真实性承担责任。供应商或者其他利害关系人通过捏造事实、伪造证明材料等方式提出异议或投诉，阻碍招投标活动正常进行的，属于严重不良行为，监督部门将其列入不良行为记录名单，并依法予以处罚。</w:t>
      </w:r>
    </w:p>
    <w:p w14:paraId="15E821BE">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采购人或招标代理机构将在收到符合上述条件的书面质疑后7个工作日内审查质疑事项，采购人做出答复或相关处理决定，并以书面形式通知质疑供应商和其他有关供应商。</w:t>
      </w:r>
    </w:p>
    <w:p w14:paraId="05632801">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依法提出质疑的供应商对采购人或招标代理机构的答复不满意、以及采购人或招标代理机构未在规定的时间内做出答复的，可以在答复期满后15个工作日内向监督部门投诉。</w:t>
      </w:r>
    </w:p>
    <w:p w14:paraId="480267C2">
      <w:pPr>
        <w:spacing w:line="500" w:lineRule="exact"/>
        <w:ind w:firstLine="480" w:firstLineChars="200"/>
        <w:outlineLvl w:val="3"/>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质疑函格式详见附件1</w:t>
      </w:r>
    </w:p>
    <w:p w14:paraId="1F535C90">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9</w:t>
      </w:r>
      <w:r>
        <w:rPr>
          <w:rFonts w:ascii="宋体" w:hAnsi="宋体" w:eastAsia="宋体" w:cs="宋体"/>
          <w:sz w:val="24"/>
          <w:szCs w:val="24"/>
          <w:highlight w:val="none"/>
        </w:rPr>
        <w:t>.2.8</w:t>
      </w:r>
      <w:r>
        <w:rPr>
          <w:rFonts w:hint="eastAsia" w:ascii="宋体" w:hAnsi="宋体" w:eastAsia="宋体" w:cs="宋体"/>
          <w:sz w:val="24"/>
          <w:szCs w:val="24"/>
          <w:highlight w:val="none"/>
        </w:rPr>
        <w:t>投诉人在全国范围12个月内三次以上投诉查无实据的，由财政部门列入不良行为记录名单，投诉人有下列行为之一的，属于虚假、恶意投诉，由财政部门列入不良行为记录名单，禁止其1至3年内参加政府采购活动：</w:t>
      </w:r>
    </w:p>
    <w:p w14:paraId="5C12C70B">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1、捏造事实；</w:t>
      </w:r>
    </w:p>
    <w:p w14:paraId="576ADCD1">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2、提供虚假材料；</w:t>
      </w:r>
    </w:p>
    <w:p w14:paraId="39A62660">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3、以非法手段取得证明材料。证据来源的合法性存在明显疑问，投诉人无法证明其取得方式合法的，视为以非法手段取得证明材料。</w:t>
      </w:r>
    </w:p>
    <w:bookmarkEnd w:id="192"/>
    <w:p w14:paraId="361B12A8">
      <w:pPr>
        <w:widowControl/>
        <w:jc w:val="left"/>
        <w:rPr>
          <w:rFonts w:hint="eastAsia" w:ascii="宋体" w:hAnsi="宋体" w:eastAsia="宋体" w:cs="宋体"/>
          <w:b/>
          <w:sz w:val="24"/>
          <w:szCs w:val="24"/>
          <w:highlight w:val="none"/>
        </w:rPr>
      </w:pPr>
      <w:r>
        <w:rPr>
          <w:rFonts w:ascii="宋体" w:hAnsi="宋体" w:eastAsia="宋体" w:cs="宋体"/>
          <w:b/>
          <w:sz w:val="24"/>
          <w:szCs w:val="24"/>
          <w:highlight w:val="none"/>
        </w:rPr>
        <w:br w:type="page"/>
      </w:r>
    </w:p>
    <w:p w14:paraId="47A79272">
      <w:pPr>
        <w:spacing w:line="480" w:lineRule="exact"/>
        <w:ind w:firstLine="405" w:firstLineChars="168"/>
        <w:rPr>
          <w:rFonts w:hint="eastAsia" w:ascii="宋体" w:hAnsi="宋体" w:eastAsia="宋体" w:cs="宋体"/>
          <w:b/>
          <w:sz w:val="24"/>
          <w:szCs w:val="24"/>
          <w:highlight w:val="none"/>
        </w:rPr>
      </w:pPr>
      <w:r>
        <w:rPr>
          <w:rFonts w:hint="eastAsia" w:ascii="宋体" w:hAnsi="宋体" w:eastAsia="宋体" w:cs="宋体"/>
          <w:b/>
          <w:sz w:val="24"/>
          <w:szCs w:val="24"/>
          <w:highlight w:val="none"/>
        </w:rPr>
        <w:t>附件1：质疑函范本</w:t>
      </w:r>
    </w:p>
    <w:p w14:paraId="02A9E9F9">
      <w:pPr>
        <w:spacing w:line="480" w:lineRule="exact"/>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质疑函范本</w:t>
      </w:r>
    </w:p>
    <w:p w14:paraId="4B819EAB">
      <w:pPr>
        <w:spacing w:line="480" w:lineRule="exact"/>
        <w:ind w:firstLine="480" w:firstLineChars="200"/>
        <w:outlineLvl w:val="3"/>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一、质疑供应商基本信息</w:t>
      </w:r>
    </w:p>
    <w:p w14:paraId="46B0DC37">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质疑供应商：                                        </w:t>
      </w:r>
    </w:p>
    <w:p w14:paraId="09FD0F83">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地址：                          邮编：                                 </w:t>
      </w:r>
    </w:p>
    <w:p w14:paraId="4C48CCC9">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联系人：                      联系电话：                              </w:t>
      </w:r>
    </w:p>
    <w:p w14:paraId="1FE51DB4">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授权代表：                                          </w:t>
      </w:r>
    </w:p>
    <w:p w14:paraId="33B13E56">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联系电话：                                            </w:t>
      </w:r>
    </w:p>
    <w:p w14:paraId="31B128B5">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地址：                         邮编：                                       </w:t>
      </w:r>
    </w:p>
    <w:p w14:paraId="74737BD2">
      <w:pPr>
        <w:spacing w:line="480" w:lineRule="exact"/>
        <w:ind w:firstLine="480" w:firstLineChars="200"/>
        <w:outlineLvl w:val="3"/>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二、质疑项目基本情况</w:t>
      </w:r>
    </w:p>
    <w:p w14:paraId="0D621FDA">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质疑项目的名称：                                      </w:t>
      </w:r>
    </w:p>
    <w:p w14:paraId="086CABB7">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质疑项目的编号：               包号：                 </w:t>
      </w:r>
    </w:p>
    <w:p w14:paraId="4C0443D3">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eastAsia="zh-CN"/>
        </w:rPr>
        <w:t>采购人</w:t>
      </w:r>
      <w:r>
        <w:rPr>
          <w:rFonts w:hint="eastAsia" w:ascii="宋体" w:hAnsi="宋体" w:eastAsia="宋体" w:cs="宋体"/>
          <w:kern w:val="0"/>
          <w:sz w:val="24"/>
          <w:szCs w:val="24"/>
          <w:highlight w:val="none"/>
        </w:rPr>
        <w:t xml:space="preserve">名称：                                         </w:t>
      </w:r>
    </w:p>
    <w:p w14:paraId="5AAAE645">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招标文件获取日期：                                           </w:t>
      </w:r>
    </w:p>
    <w:p w14:paraId="6950BF21">
      <w:pPr>
        <w:spacing w:line="480" w:lineRule="exact"/>
        <w:ind w:firstLine="480" w:firstLineChars="200"/>
        <w:outlineLvl w:val="3"/>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三、质疑事项具体内容</w:t>
      </w:r>
    </w:p>
    <w:p w14:paraId="59C13B90">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质疑事项1：                                         </w:t>
      </w:r>
    </w:p>
    <w:p w14:paraId="6516F6B3">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事实依据：                                          </w:t>
      </w:r>
    </w:p>
    <w:p w14:paraId="3D0326BD">
      <w:pPr>
        <w:spacing w:line="480" w:lineRule="exact"/>
        <w:ind w:firstLine="480" w:firstLineChars="200"/>
        <w:rPr>
          <w:rFonts w:hint="eastAsia" w:ascii="宋体" w:hAnsi="宋体" w:eastAsia="宋体" w:cs="宋体"/>
          <w:kern w:val="0"/>
          <w:sz w:val="24"/>
          <w:szCs w:val="24"/>
          <w:highlight w:val="none"/>
        </w:rPr>
      </w:pPr>
    </w:p>
    <w:p w14:paraId="3CF20836">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法律依据：                                          </w:t>
      </w:r>
    </w:p>
    <w:p w14:paraId="2C31DA82">
      <w:pPr>
        <w:spacing w:line="480" w:lineRule="exact"/>
        <w:ind w:firstLine="480" w:firstLineChars="200"/>
        <w:rPr>
          <w:rFonts w:hint="eastAsia" w:ascii="宋体" w:hAnsi="宋体" w:eastAsia="宋体" w:cs="宋体"/>
          <w:kern w:val="0"/>
          <w:sz w:val="24"/>
          <w:szCs w:val="24"/>
          <w:highlight w:val="none"/>
        </w:rPr>
      </w:pPr>
    </w:p>
    <w:p w14:paraId="0F986D5E">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质疑事项2</w:t>
      </w:r>
    </w:p>
    <w:p w14:paraId="65A87534">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w:t>
      </w:r>
    </w:p>
    <w:p w14:paraId="0AA545BA">
      <w:pPr>
        <w:spacing w:line="480" w:lineRule="exact"/>
        <w:ind w:firstLine="480" w:firstLineChars="200"/>
        <w:outlineLvl w:val="3"/>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四、与质疑事项相关的质疑请求</w:t>
      </w:r>
    </w:p>
    <w:p w14:paraId="0170B163">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请求：                                               </w:t>
      </w:r>
    </w:p>
    <w:p w14:paraId="5B51DB03">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签字(签章)：                   公章：                      </w:t>
      </w:r>
    </w:p>
    <w:p w14:paraId="6E4BD6D5">
      <w:pPr>
        <w:autoSpaceDE w:val="0"/>
        <w:autoSpaceDN w:val="0"/>
        <w:spacing w:before="90" w:line="312" w:lineRule="auto"/>
        <w:ind w:right="95" w:firstLine="480" w:firstLineChars="200"/>
        <w:rPr>
          <w:rFonts w:hint="eastAsia" w:ascii="宋体" w:hAnsi="宋体" w:eastAsia="宋体" w:cs="宋体"/>
          <w:kern w:val="0"/>
          <w:sz w:val="24"/>
          <w:szCs w:val="24"/>
          <w:highlight w:val="none"/>
        </w:rPr>
      </w:pPr>
      <w:r>
        <w:rPr>
          <w:rFonts w:hint="eastAsia" w:ascii="宋体" w:hAnsi="宋体" w:eastAsia="宋体" w:cs="宋体"/>
          <w:sz w:val="24"/>
          <w:szCs w:val="24"/>
          <w:highlight w:val="none"/>
        </w:rPr>
        <w:t>日期：</w:t>
      </w:r>
      <w:r>
        <w:rPr>
          <w:rFonts w:hint="eastAsia" w:ascii="宋体" w:hAnsi="宋体" w:eastAsia="宋体" w:cs="Times New Roman"/>
          <w:sz w:val="24"/>
          <w:szCs w:val="24"/>
          <w:highlight w:val="none"/>
        </w:rPr>
        <w:br w:type="page"/>
      </w:r>
    </w:p>
    <w:p w14:paraId="6E7D9F63">
      <w:pPr>
        <w:pStyle w:val="3"/>
        <w:jc w:val="center"/>
        <w:rPr>
          <w:highlight w:val="none"/>
        </w:rPr>
      </w:pPr>
      <w:bookmarkStart w:id="194" w:name="_Toc21295"/>
      <w:bookmarkStart w:id="195" w:name="_Toc14135"/>
      <w:bookmarkStart w:id="196" w:name="_Toc6120"/>
      <w:r>
        <w:rPr>
          <w:rFonts w:hint="eastAsia"/>
          <w:highlight w:val="none"/>
        </w:rPr>
        <w:t>第三章  评标办法（综合评估法）</w:t>
      </w:r>
      <w:bookmarkEnd w:id="41"/>
      <w:bookmarkEnd w:id="42"/>
      <w:bookmarkEnd w:id="43"/>
      <w:bookmarkEnd w:id="44"/>
      <w:bookmarkEnd w:id="45"/>
      <w:bookmarkEnd w:id="194"/>
      <w:bookmarkEnd w:id="195"/>
      <w:bookmarkEnd w:id="196"/>
    </w:p>
    <w:p w14:paraId="64589C76">
      <w:pPr>
        <w:widowControl/>
        <w:spacing w:line="400" w:lineRule="exact"/>
        <w:ind w:firstLine="420"/>
        <w:rPr>
          <w:rFonts w:hint="eastAsia" w:ascii="宋体" w:hAnsi="宋体" w:cs="Calibri"/>
          <w:sz w:val="24"/>
          <w:highlight w:val="none"/>
        </w:rPr>
      </w:pPr>
      <w:bookmarkStart w:id="197" w:name="_Toc179632618"/>
      <w:bookmarkEnd w:id="197"/>
      <w:bookmarkStart w:id="198" w:name="_Toc466566705"/>
      <w:bookmarkEnd w:id="198"/>
      <w:bookmarkStart w:id="199" w:name="_Toc144974567"/>
      <w:bookmarkEnd w:id="199"/>
      <w:bookmarkStart w:id="200" w:name="_Toc466566794"/>
      <w:bookmarkEnd w:id="200"/>
      <w:bookmarkStart w:id="201" w:name="_Toc152045600"/>
      <w:bookmarkEnd w:id="201"/>
      <w:bookmarkStart w:id="202" w:name="_Toc375053347"/>
      <w:bookmarkEnd w:id="202"/>
      <w:bookmarkStart w:id="203" w:name="OLE_LINK1"/>
      <w:r>
        <w:rPr>
          <w:rFonts w:hint="eastAsia" w:ascii="宋体" w:hAnsi="宋体" w:cs="Calibri"/>
          <w:kern w:val="0"/>
          <w:sz w:val="24"/>
          <w:highlight w:val="none"/>
        </w:rPr>
        <w:t>本次项目的评审分为初步审查和详细审查。详细审查采用综合评分法，总分为100分。</w:t>
      </w:r>
      <w:bookmarkEnd w:id="203"/>
      <w:r>
        <w:rPr>
          <w:rFonts w:hint="eastAsia" w:ascii="宋体" w:hAnsi="宋体" w:cs="Calibri"/>
          <w:kern w:val="0"/>
          <w:sz w:val="24"/>
          <w:highlight w:val="none"/>
        </w:rPr>
        <w:t>评审因素如下：</w:t>
      </w:r>
    </w:p>
    <w:p w14:paraId="367752AE">
      <w:pPr>
        <w:widowControl/>
        <w:spacing w:line="400" w:lineRule="exact"/>
        <w:rPr>
          <w:rFonts w:hint="eastAsia" w:ascii="宋体" w:hAnsi="宋体" w:cs="Calibri"/>
          <w:b/>
          <w:bCs/>
          <w:sz w:val="24"/>
          <w:highlight w:val="none"/>
        </w:rPr>
      </w:pPr>
      <w:r>
        <w:rPr>
          <w:rFonts w:hint="eastAsia" w:ascii="宋体" w:hAnsi="宋体" w:cs="Calibri"/>
          <w:b/>
          <w:bCs/>
          <w:kern w:val="0"/>
          <w:sz w:val="24"/>
          <w:highlight w:val="none"/>
        </w:rPr>
        <w:t>一、初步审查</w:t>
      </w:r>
    </w:p>
    <w:tbl>
      <w:tblPr>
        <w:tblStyle w:val="13"/>
        <w:tblW w:w="93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978"/>
        <w:gridCol w:w="2528"/>
        <w:gridCol w:w="5351"/>
      </w:tblGrid>
      <w:tr w14:paraId="524BA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1499" w:type="dxa"/>
            <w:gridSpan w:val="2"/>
            <w:tcBorders>
              <w:top w:val="single" w:color="auto" w:sz="4" w:space="0"/>
              <w:left w:val="single" w:color="auto" w:sz="4" w:space="0"/>
              <w:bottom w:val="single" w:color="auto" w:sz="4" w:space="0"/>
              <w:right w:val="single" w:color="auto" w:sz="4" w:space="0"/>
            </w:tcBorders>
            <w:vAlign w:val="center"/>
          </w:tcPr>
          <w:p w14:paraId="1AABA1B3">
            <w:pPr>
              <w:spacing w:line="360" w:lineRule="auto"/>
              <w:jc w:val="center"/>
              <w:rPr>
                <w:rFonts w:hint="eastAsia" w:ascii="宋体" w:hAnsi="宋体" w:eastAsia="宋体" w:cs="Courier New"/>
                <w:sz w:val="24"/>
                <w:szCs w:val="21"/>
                <w:highlight w:val="none"/>
              </w:rPr>
            </w:pPr>
            <w:r>
              <w:rPr>
                <w:rFonts w:hint="eastAsia" w:ascii="宋体" w:hAnsi="宋体" w:eastAsia="宋体" w:cs="Courier New"/>
                <w:sz w:val="24"/>
                <w:szCs w:val="21"/>
                <w:highlight w:val="none"/>
              </w:rPr>
              <w:t>条款号</w:t>
            </w:r>
          </w:p>
        </w:tc>
        <w:tc>
          <w:tcPr>
            <w:tcW w:w="2528" w:type="dxa"/>
            <w:tcBorders>
              <w:top w:val="single" w:color="auto" w:sz="4" w:space="0"/>
              <w:left w:val="nil"/>
              <w:bottom w:val="single" w:color="auto" w:sz="4" w:space="0"/>
              <w:right w:val="single" w:color="auto" w:sz="4" w:space="0"/>
            </w:tcBorders>
            <w:vAlign w:val="center"/>
          </w:tcPr>
          <w:p w14:paraId="45670441">
            <w:pPr>
              <w:spacing w:line="360" w:lineRule="auto"/>
              <w:ind w:firstLine="60" w:firstLineChars="25"/>
              <w:jc w:val="center"/>
              <w:rPr>
                <w:rFonts w:hint="eastAsia" w:ascii="宋体" w:hAnsi="宋体" w:eastAsia="宋体" w:cs="Courier New"/>
                <w:sz w:val="24"/>
                <w:szCs w:val="21"/>
                <w:highlight w:val="none"/>
              </w:rPr>
            </w:pPr>
            <w:r>
              <w:rPr>
                <w:rFonts w:hint="eastAsia" w:ascii="宋体" w:hAnsi="宋体" w:eastAsia="宋体" w:cs="Courier New"/>
                <w:sz w:val="24"/>
                <w:szCs w:val="21"/>
                <w:highlight w:val="none"/>
              </w:rPr>
              <w:t>评审因素</w:t>
            </w:r>
          </w:p>
        </w:tc>
        <w:tc>
          <w:tcPr>
            <w:tcW w:w="5351" w:type="dxa"/>
            <w:tcBorders>
              <w:top w:val="single" w:color="auto" w:sz="4" w:space="0"/>
              <w:left w:val="nil"/>
              <w:bottom w:val="single" w:color="auto" w:sz="4" w:space="0"/>
              <w:right w:val="single" w:color="auto" w:sz="4" w:space="0"/>
            </w:tcBorders>
            <w:vAlign w:val="center"/>
          </w:tcPr>
          <w:p w14:paraId="1C1AFC3F">
            <w:pPr>
              <w:spacing w:line="360" w:lineRule="auto"/>
              <w:ind w:firstLine="1920" w:firstLineChars="800"/>
              <w:rPr>
                <w:rFonts w:hint="eastAsia" w:ascii="宋体" w:hAnsi="宋体" w:eastAsia="宋体" w:cs="Courier New"/>
                <w:sz w:val="24"/>
                <w:szCs w:val="21"/>
                <w:highlight w:val="none"/>
              </w:rPr>
            </w:pPr>
            <w:r>
              <w:rPr>
                <w:rFonts w:hint="eastAsia" w:ascii="宋体" w:hAnsi="宋体" w:eastAsia="宋体" w:cs="Courier New"/>
                <w:sz w:val="24"/>
                <w:szCs w:val="21"/>
                <w:highlight w:val="none"/>
              </w:rPr>
              <w:t>评审标准</w:t>
            </w:r>
          </w:p>
        </w:tc>
      </w:tr>
      <w:tr w14:paraId="6B7B9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521" w:type="dxa"/>
            <w:vMerge w:val="restart"/>
            <w:tcBorders>
              <w:top w:val="nil"/>
              <w:left w:val="single" w:color="auto" w:sz="4" w:space="0"/>
              <w:right w:val="single" w:color="auto" w:sz="4" w:space="0"/>
            </w:tcBorders>
            <w:vAlign w:val="center"/>
          </w:tcPr>
          <w:p w14:paraId="3C3B3726">
            <w:pPr>
              <w:spacing w:line="360" w:lineRule="auto"/>
              <w:jc w:val="center"/>
              <w:rPr>
                <w:rFonts w:hint="eastAsia" w:ascii="宋体" w:hAnsi="宋体" w:eastAsia="宋体" w:cs="Courier New"/>
                <w:sz w:val="24"/>
                <w:szCs w:val="21"/>
                <w:highlight w:val="none"/>
              </w:rPr>
            </w:pPr>
            <w:r>
              <w:rPr>
                <w:rFonts w:hint="eastAsia" w:ascii="宋体" w:hAnsi="宋体" w:eastAsia="宋体" w:cs="Courier New"/>
                <w:sz w:val="24"/>
                <w:szCs w:val="21"/>
                <w:highlight w:val="none"/>
              </w:rPr>
              <w:t>初</w:t>
            </w:r>
          </w:p>
          <w:p w14:paraId="46BF7BB4">
            <w:pPr>
              <w:spacing w:line="360" w:lineRule="auto"/>
              <w:jc w:val="center"/>
              <w:rPr>
                <w:rFonts w:hint="eastAsia" w:ascii="宋体" w:hAnsi="宋体" w:eastAsia="宋体" w:cs="Courier New"/>
                <w:sz w:val="24"/>
                <w:szCs w:val="21"/>
                <w:highlight w:val="none"/>
              </w:rPr>
            </w:pPr>
            <w:r>
              <w:rPr>
                <w:rFonts w:hint="eastAsia" w:ascii="宋体" w:hAnsi="宋体" w:eastAsia="宋体" w:cs="Courier New"/>
                <w:sz w:val="24"/>
                <w:szCs w:val="21"/>
                <w:highlight w:val="none"/>
              </w:rPr>
              <w:t>步</w:t>
            </w:r>
          </w:p>
          <w:p w14:paraId="3AF98C7F">
            <w:pPr>
              <w:spacing w:line="360" w:lineRule="auto"/>
              <w:jc w:val="center"/>
              <w:rPr>
                <w:rFonts w:hint="eastAsia" w:ascii="宋体" w:hAnsi="宋体" w:eastAsia="宋体" w:cs="Courier New"/>
                <w:sz w:val="24"/>
                <w:szCs w:val="21"/>
                <w:highlight w:val="none"/>
              </w:rPr>
            </w:pPr>
            <w:r>
              <w:rPr>
                <w:rFonts w:hint="eastAsia" w:ascii="宋体" w:hAnsi="宋体" w:eastAsia="宋体" w:cs="Courier New"/>
                <w:sz w:val="24"/>
                <w:szCs w:val="21"/>
                <w:highlight w:val="none"/>
              </w:rPr>
              <w:t>评</w:t>
            </w:r>
          </w:p>
          <w:p w14:paraId="128FB164">
            <w:pPr>
              <w:spacing w:line="360" w:lineRule="auto"/>
              <w:jc w:val="center"/>
              <w:rPr>
                <w:rFonts w:hint="eastAsia" w:ascii="宋体" w:hAnsi="宋体" w:eastAsia="宋体" w:cs="Courier New"/>
                <w:sz w:val="24"/>
                <w:szCs w:val="21"/>
                <w:highlight w:val="none"/>
              </w:rPr>
            </w:pPr>
            <w:r>
              <w:rPr>
                <w:rFonts w:hint="eastAsia" w:ascii="宋体" w:hAnsi="宋体" w:eastAsia="宋体" w:cs="Courier New"/>
                <w:sz w:val="24"/>
                <w:szCs w:val="21"/>
                <w:highlight w:val="none"/>
              </w:rPr>
              <w:t>审</w:t>
            </w:r>
          </w:p>
        </w:tc>
        <w:tc>
          <w:tcPr>
            <w:tcW w:w="978" w:type="dxa"/>
            <w:vMerge w:val="restart"/>
            <w:tcBorders>
              <w:top w:val="nil"/>
              <w:left w:val="nil"/>
              <w:bottom w:val="single" w:color="auto" w:sz="4" w:space="0"/>
              <w:right w:val="single" w:color="auto" w:sz="4" w:space="0"/>
            </w:tcBorders>
            <w:vAlign w:val="center"/>
          </w:tcPr>
          <w:p w14:paraId="2D950738">
            <w:pPr>
              <w:spacing w:line="360" w:lineRule="auto"/>
              <w:rPr>
                <w:rFonts w:hint="eastAsia" w:ascii="宋体" w:hAnsi="宋体" w:eastAsia="宋体" w:cs="Courier New"/>
                <w:sz w:val="24"/>
                <w:szCs w:val="21"/>
                <w:highlight w:val="none"/>
              </w:rPr>
            </w:pPr>
            <w:r>
              <w:rPr>
                <w:rFonts w:hint="eastAsia" w:ascii="宋体" w:hAnsi="宋体" w:eastAsia="宋体" w:cs="Courier New"/>
                <w:sz w:val="24"/>
                <w:szCs w:val="21"/>
                <w:highlight w:val="none"/>
              </w:rPr>
              <w:t>形式</w:t>
            </w:r>
          </w:p>
          <w:p w14:paraId="4942CA88">
            <w:pPr>
              <w:spacing w:line="360" w:lineRule="auto"/>
              <w:rPr>
                <w:rFonts w:hint="eastAsia" w:ascii="宋体" w:hAnsi="宋体" w:eastAsia="宋体" w:cs="Courier New"/>
                <w:sz w:val="24"/>
                <w:szCs w:val="21"/>
                <w:highlight w:val="none"/>
              </w:rPr>
            </w:pPr>
            <w:r>
              <w:rPr>
                <w:rFonts w:hint="eastAsia" w:ascii="宋体" w:hAnsi="宋体" w:eastAsia="宋体" w:cs="Courier New"/>
                <w:sz w:val="24"/>
                <w:szCs w:val="21"/>
                <w:highlight w:val="none"/>
              </w:rPr>
              <w:t>评审</w:t>
            </w:r>
          </w:p>
          <w:p w14:paraId="22609F6C">
            <w:pPr>
              <w:spacing w:line="360" w:lineRule="auto"/>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标准</w:t>
            </w:r>
          </w:p>
        </w:tc>
        <w:tc>
          <w:tcPr>
            <w:tcW w:w="2528" w:type="dxa"/>
            <w:tcBorders>
              <w:top w:val="single" w:color="auto" w:sz="4" w:space="0"/>
              <w:left w:val="nil"/>
              <w:bottom w:val="single" w:color="auto" w:sz="4" w:space="0"/>
              <w:right w:val="single" w:color="auto" w:sz="4" w:space="0"/>
            </w:tcBorders>
            <w:vAlign w:val="center"/>
          </w:tcPr>
          <w:p w14:paraId="6FD0A7CE">
            <w:pPr>
              <w:spacing w:line="266" w:lineRule="auto"/>
              <w:rPr>
                <w:rFonts w:hint="eastAsia" w:ascii="宋体" w:hAnsi="宋体" w:eastAsia="宋体" w:cs="Courier New"/>
                <w:sz w:val="24"/>
                <w:szCs w:val="21"/>
                <w:highlight w:val="none"/>
              </w:rPr>
            </w:pPr>
            <w:r>
              <w:rPr>
                <w:rFonts w:hint="eastAsia" w:ascii="宋体" w:hAnsi="宋体" w:eastAsia="宋体" w:cs="Courier New"/>
                <w:sz w:val="24"/>
                <w:szCs w:val="21"/>
                <w:highlight w:val="none"/>
              </w:rPr>
              <w:t>供应商名称</w:t>
            </w:r>
          </w:p>
        </w:tc>
        <w:tc>
          <w:tcPr>
            <w:tcW w:w="5351" w:type="dxa"/>
            <w:tcBorders>
              <w:top w:val="single" w:color="auto" w:sz="4" w:space="0"/>
              <w:left w:val="nil"/>
              <w:bottom w:val="single" w:color="auto" w:sz="4" w:space="0"/>
              <w:right w:val="single" w:color="auto" w:sz="4" w:space="0"/>
            </w:tcBorders>
            <w:vAlign w:val="center"/>
          </w:tcPr>
          <w:p w14:paraId="32C2852B">
            <w:pPr>
              <w:spacing w:line="266" w:lineRule="auto"/>
              <w:rPr>
                <w:rFonts w:hint="eastAsia" w:ascii="宋体" w:hAnsi="宋体" w:eastAsia="宋体" w:cs="Courier New"/>
                <w:sz w:val="24"/>
                <w:szCs w:val="21"/>
                <w:highlight w:val="none"/>
              </w:rPr>
            </w:pPr>
            <w:r>
              <w:rPr>
                <w:rFonts w:hint="eastAsia" w:ascii="宋体" w:hAnsi="宋体" w:eastAsia="宋体" w:cs="Courier New"/>
                <w:sz w:val="24"/>
                <w:szCs w:val="21"/>
                <w:highlight w:val="none"/>
              </w:rPr>
              <w:t>与营业执照一致</w:t>
            </w:r>
          </w:p>
        </w:tc>
      </w:tr>
      <w:tr w14:paraId="3958D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521" w:type="dxa"/>
            <w:vMerge w:val="continue"/>
            <w:tcBorders>
              <w:left w:val="single" w:color="auto" w:sz="4" w:space="0"/>
              <w:right w:val="single" w:color="auto" w:sz="4" w:space="0"/>
            </w:tcBorders>
            <w:vAlign w:val="center"/>
          </w:tcPr>
          <w:p w14:paraId="00172D94">
            <w:pPr>
              <w:spacing w:line="360" w:lineRule="auto"/>
              <w:jc w:val="center"/>
              <w:rPr>
                <w:rFonts w:hint="eastAsia" w:ascii="宋体" w:hAnsi="宋体" w:eastAsia="宋体" w:cs="Courier New"/>
                <w:sz w:val="24"/>
                <w:szCs w:val="21"/>
                <w:highlight w:val="none"/>
              </w:rPr>
            </w:pPr>
          </w:p>
        </w:tc>
        <w:tc>
          <w:tcPr>
            <w:tcW w:w="978" w:type="dxa"/>
            <w:vMerge w:val="continue"/>
            <w:tcBorders>
              <w:top w:val="nil"/>
              <w:left w:val="nil"/>
              <w:bottom w:val="single" w:color="auto" w:sz="4" w:space="0"/>
              <w:right w:val="single" w:color="auto" w:sz="4" w:space="0"/>
            </w:tcBorders>
            <w:vAlign w:val="center"/>
          </w:tcPr>
          <w:p w14:paraId="143C348D">
            <w:pPr>
              <w:widowControl/>
              <w:jc w:val="left"/>
              <w:rPr>
                <w:rFonts w:hint="eastAsia" w:ascii="宋体" w:hAnsi="宋体" w:eastAsia="宋体" w:cs="Times New Roman"/>
                <w:sz w:val="24"/>
                <w:szCs w:val="21"/>
                <w:highlight w:val="none"/>
              </w:rPr>
            </w:pPr>
          </w:p>
        </w:tc>
        <w:tc>
          <w:tcPr>
            <w:tcW w:w="2528" w:type="dxa"/>
            <w:tcBorders>
              <w:top w:val="single" w:color="auto" w:sz="4" w:space="0"/>
              <w:left w:val="nil"/>
              <w:bottom w:val="single" w:color="auto" w:sz="4" w:space="0"/>
              <w:right w:val="single" w:color="auto" w:sz="4" w:space="0"/>
            </w:tcBorders>
            <w:vAlign w:val="center"/>
          </w:tcPr>
          <w:p w14:paraId="64B8B806">
            <w:pPr>
              <w:widowControl/>
              <w:spacing w:line="360" w:lineRule="auto"/>
              <w:jc w:val="both"/>
              <w:rPr>
                <w:rFonts w:hint="eastAsia" w:ascii="宋体" w:hAnsi="宋体" w:eastAsia="宋体" w:cs="Courier New"/>
                <w:sz w:val="24"/>
                <w:szCs w:val="21"/>
                <w:highlight w:val="none"/>
              </w:rPr>
            </w:pPr>
            <w:r>
              <w:rPr>
                <w:rFonts w:hint="eastAsia" w:ascii="宋体" w:hAnsi="宋体" w:cs="宋体"/>
                <w:kern w:val="0"/>
                <w:sz w:val="24"/>
              </w:rPr>
              <w:t>响应文件签署、盖章</w:t>
            </w:r>
          </w:p>
        </w:tc>
        <w:tc>
          <w:tcPr>
            <w:tcW w:w="5351" w:type="dxa"/>
            <w:tcBorders>
              <w:top w:val="single" w:color="auto" w:sz="4" w:space="0"/>
              <w:left w:val="nil"/>
              <w:bottom w:val="single" w:color="auto" w:sz="4" w:space="0"/>
              <w:right w:val="single" w:color="auto" w:sz="4" w:space="0"/>
            </w:tcBorders>
            <w:vAlign w:val="center"/>
          </w:tcPr>
          <w:p w14:paraId="1D78AB85">
            <w:pPr>
              <w:widowControl/>
              <w:spacing w:line="360" w:lineRule="auto"/>
              <w:jc w:val="left"/>
              <w:rPr>
                <w:rFonts w:hint="eastAsia" w:ascii="宋体" w:hAnsi="宋体" w:eastAsia="宋体" w:cs="Courier New"/>
                <w:sz w:val="24"/>
                <w:szCs w:val="21"/>
                <w:highlight w:val="none"/>
              </w:rPr>
            </w:pPr>
            <w:r>
              <w:rPr>
                <w:rFonts w:hint="eastAsia" w:ascii="宋体" w:hAnsi="宋体" w:cs="宋体"/>
                <w:sz w:val="24"/>
              </w:rPr>
              <w:t>响应文件按竞争性磋商文件要求签署、盖章的</w:t>
            </w:r>
          </w:p>
        </w:tc>
      </w:tr>
      <w:tr w14:paraId="4C75B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21" w:type="dxa"/>
            <w:vMerge w:val="continue"/>
            <w:tcBorders>
              <w:left w:val="single" w:color="auto" w:sz="4" w:space="0"/>
              <w:right w:val="single" w:color="auto" w:sz="4" w:space="0"/>
            </w:tcBorders>
            <w:vAlign w:val="center"/>
          </w:tcPr>
          <w:p w14:paraId="218F07E1">
            <w:pPr>
              <w:spacing w:line="360" w:lineRule="auto"/>
              <w:jc w:val="center"/>
              <w:rPr>
                <w:rFonts w:hint="eastAsia" w:ascii="宋体" w:hAnsi="宋体" w:eastAsia="宋体" w:cs="Courier New"/>
                <w:sz w:val="24"/>
                <w:szCs w:val="21"/>
                <w:highlight w:val="none"/>
              </w:rPr>
            </w:pPr>
          </w:p>
        </w:tc>
        <w:tc>
          <w:tcPr>
            <w:tcW w:w="978" w:type="dxa"/>
            <w:vMerge w:val="continue"/>
            <w:tcBorders>
              <w:top w:val="nil"/>
              <w:left w:val="nil"/>
              <w:bottom w:val="single" w:color="auto" w:sz="4" w:space="0"/>
              <w:right w:val="single" w:color="auto" w:sz="4" w:space="0"/>
            </w:tcBorders>
            <w:vAlign w:val="center"/>
          </w:tcPr>
          <w:p w14:paraId="072E0A00">
            <w:pPr>
              <w:widowControl/>
              <w:jc w:val="left"/>
              <w:rPr>
                <w:rFonts w:hint="eastAsia" w:ascii="宋体" w:hAnsi="宋体" w:eastAsia="宋体" w:cs="Times New Roman"/>
                <w:sz w:val="24"/>
                <w:szCs w:val="21"/>
                <w:highlight w:val="none"/>
              </w:rPr>
            </w:pPr>
          </w:p>
        </w:tc>
        <w:tc>
          <w:tcPr>
            <w:tcW w:w="2528" w:type="dxa"/>
            <w:tcBorders>
              <w:top w:val="single" w:color="auto" w:sz="4" w:space="0"/>
              <w:left w:val="nil"/>
              <w:bottom w:val="single" w:color="auto" w:sz="4" w:space="0"/>
              <w:right w:val="single" w:color="auto" w:sz="4" w:space="0"/>
            </w:tcBorders>
            <w:vAlign w:val="center"/>
          </w:tcPr>
          <w:p w14:paraId="0C424B84">
            <w:pPr>
              <w:spacing w:line="266" w:lineRule="auto"/>
              <w:rPr>
                <w:rFonts w:hint="eastAsia" w:ascii="宋体" w:hAnsi="宋体" w:eastAsia="宋体" w:cs="Courier New"/>
                <w:sz w:val="24"/>
                <w:szCs w:val="21"/>
                <w:highlight w:val="none"/>
              </w:rPr>
            </w:pPr>
            <w:r>
              <w:rPr>
                <w:rFonts w:hint="eastAsia" w:ascii="宋体" w:hAnsi="宋体" w:eastAsia="宋体" w:cs="Courier New"/>
                <w:sz w:val="24"/>
                <w:szCs w:val="21"/>
                <w:highlight w:val="none"/>
              </w:rPr>
              <w:t>报价唯一</w:t>
            </w:r>
          </w:p>
        </w:tc>
        <w:tc>
          <w:tcPr>
            <w:tcW w:w="5351" w:type="dxa"/>
            <w:tcBorders>
              <w:top w:val="single" w:color="auto" w:sz="4" w:space="0"/>
              <w:left w:val="nil"/>
              <w:bottom w:val="single" w:color="auto" w:sz="4" w:space="0"/>
              <w:right w:val="single" w:color="auto" w:sz="4" w:space="0"/>
            </w:tcBorders>
            <w:vAlign w:val="center"/>
          </w:tcPr>
          <w:p w14:paraId="6657AC31">
            <w:pPr>
              <w:spacing w:line="266" w:lineRule="auto"/>
              <w:rPr>
                <w:rFonts w:hint="eastAsia" w:ascii="宋体" w:hAnsi="宋体" w:eastAsia="宋体" w:cs="Courier New"/>
                <w:sz w:val="24"/>
                <w:szCs w:val="21"/>
                <w:highlight w:val="none"/>
              </w:rPr>
            </w:pPr>
            <w:r>
              <w:rPr>
                <w:rFonts w:hint="eastAsia" w:ascii="宋体" w:hAnsi="宋体" w:eastAsia="宋体" w:cs="Courier New"/>
                <w:sz w:val="24"/>
                <w:szCs w:val="21"/>
                <w:highlight w:val="none"/>
              </w:rPr>
              <w:t>只能有一个有效报价，且不超过控制价</w:t>
            </w:r>
          </w:p>
        </w:tc>
      </w:tr>
      <w:tr w14:paraId="5DD22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521" w:type="dxa"/>
            <w:vMerge w:val="continue"/>
            <w:tcBorders>
              <w:left w:val="single" w:color="auto" w:sz="4" w:space="0"/>
              <w:right w:val="single" w:color="auto" w:sz="4" w:space="0"/>
            </w:tcBorders>
            <w:vAlign w:val="center"/>
          </w:tcPr>
          <w:p w14:paraId="5B288C04">
            <w:pPr>
              <w:spacing w:line="360" w:lineRule="auto"/>
              <w:jc w:val="center"/>
              <w:rPr>
                <w:rFonts w:hint="eastAsia" w:ascii="宋体" w:hAnsi="宋体" w:eastAsia="宋体" w:cs="Courier New"/>
                <w:sz w:val="24"/>
                <w:szCs w:val="21"/>
                <w:highlight w:val="none"/>
              </w:rPr>
            </w:pPr>
          </w:p>
        </w:tc>
        <w:tc>
          <w:tcPr>
            <w:tcW w:w="978" w:type="dxa"/>
            <w:vMerge w:val="restart"/>
            <w:tcBorders>
              <w:top w:val="nil"/>
              <w:left w:val="nil"/>
              <w:bottom w:val="single" w:color="auto" w:sz="4" w:space="0"/>
              <w:right w:val="single" w:color="auto" w:sz="4" w:space="0"/>
            </w:tcBorders>
            <w:vAlign w:val="center"/>
          </w:tcPr>
          <w:p w14:paraId="3D904939">
            <w:pPr>
              <w:spacing w:line="360" w:lineRule="auto"/>
              <w:rPr>
                <w:rFonts w:hint="eastAsia" w:ascii="宋体" w:hAnsi="宋体" w:eastAsia="宋体" w:cs="Courier New"/>
                <w:sz w:val="24"/>
                <w:szCs w:val="21"/>
                <w:highlight w:val="none"/>
              </w:rPr>
            </w:pPr>
            <w:r>
              <w:rPr>
                <w:rFonts w:hint="eastAsia" w:ascii="宋体" w:hAnsi="宋体" w:eastAsia="宋体" w:cs="Courier New"/>
                <w:sz w:val="24"/>
                <w:szCs w:val="21"/>
                <w:highlight w:val="none"/>
              </w:rPr>
              <w:t>资格</w:t>
            </w:r>
          </w:p>
          <w:p w14:paraId="6355EC64">
            <w:pPr>
              <w:spacing w:line="360" w:lineRule="auto"/>
              <w:rPr>
                <w:rFonts w:hint="eastAsia" w:ascii="宋体" w:hAnsi="宋体" w:eastAsia="宋体" w:cs="Courier New"/>
                <w:sz w:val="24"/>
                <w:szCs w:val="21"/>
                <w:highlight w:val="none"/>
              </w:rPr>
            </w:pPr>
            <w:r>
              <w:rPr>
                <w:rFonts w:hint="eastAsia" w:ascii="宋体" w:hAnsi="宋体" w:eastAsia="宋体" w:cs="Courier New"/>
                <w:sz w:val="24"/>
                <w:szCs w:val="21"/>
                <w:highlight w:val="none"/>
              </w:rPr>
              <w:t>评审</w:t>
            </w:r>
          </w:p>
          <w:p w14:paraId="725AAC9D">
            <w:pPr>
              <w:spacing w:line="360" w:lineRule="auto"/>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标准</w:t>
            </w:r>
          </w:p>
        </w:tc>
        <w:tc>
          <w:tcPr>
            <w:tcW w:w="2528" w:type="dxa"/>
            <w:tcBorders>
              <w:top w:val="single" w:color="auto" w:sz="4" w:space="0"/>
              <w:left w:val="nil"/>
              <w:bottom w:val="single" w:color="auto" w:sz="4" w:space="0"/>
              <w:right w:val="single" w:color="auto" w:sz="4" w:space="0"/>
            </w:tcBorders>
            <w:vAlign w:val="center"/>
          </w:tcPr>
          <w:p w14:paraId="1B9CFFA5">
            <w:pPr>
              <w:widowControl/>
              <w:spacing w:line="360" w:lineRule="auto"/>
              <w:jc w:val="center"/>
              <w:rPr>
                <w:rFonts w:hint="eastAsia" w:ascii="宋体" w:hAnsi="宋体" w:eastAsia="宋体" w:cs="Times New Roman"/>
                <w:sz w:val="24"/>
                <w:szCs w:val="21"/>
                <w:highlight w:val="none"/>
              </w:rPr>
            </w:pPr>
            <w:r>
              <w:rPr>
                <w:rFonts w:hint="eastAsia" w:ascii="宋体" w:hAnsi="宋体" w:cs="宋体"/>
                <w:kern w:val="0"/>
                <w:sz w:val="24"/>
                <w:highlight w:val="none"/>
              </w:rPr>
              <w:t>政府采购法二十二条</w:t>
            </w:r>
          </w:p>
        </w:tc>
        <w:tc>
          <w:tcPr>
            <w:tcW w:w="5351" w:type="dxa"/>
            <w:tcBorders>
              <w:top w:val="single" w:color="auto" w:sz="4" w:space="0"/>
              <w:left w:val="nil"/>
              <w:bottom w:val="single" w:color="auto" w:sz="4" w:space="0"/>
              <w:right w:val="single" w:color="auto" w:sz="4" w:space="0"/>
            </w:tcBorders>
            <w:vAlign w:val="center"/>
          </w:tcPr>
          <w:p w14:paraId="7108131D">
            <w:pPr>
              <w:widowControl/>
              <w:spacing w:line="360" w:lineRule="auto"/>
              <w:jc w:val="left"/>
              <w:rPr>
                <w:rFonts w:hint="eastAsia" w:ascii="宋体" w:hAnsi="宋体" w:eastAsia="宋体" w:cs="宋体"/>
                <w:sz w:val="24"/>
                <w:szCs w:val="21"/>
                <w:highlight w:val="none"/>
              </w:rPr>
            </w:pPr>
            <w:r>
              <w:rPr>
                <w:rFonts w:hint="eastAsia" w:ascii="宋体" w:hAnsi="宋体" w:cs="宋体"/>
                <w:sz w:val="24"/>
                <w:lang w:val="en-US" w:eastAsia="zh-CN"/>
              </w:rPr>
              <w:t>满足政府采购法二十二条规定（</w:t>
            </w:r>
            <w:r>
              <w:rPr>
                <w:rFonts w:hint="eastAsia" w:ascii="宋体" w:hAnsi="宋体" w:eastAsia="宋体" w:cs="宋体"/>
                <w:i w:val="0"/>
                <w:iCs w:val="0"/>
                <w:caps w:val="0"/>
                <w:color w:val="333333"/>
                <w:spacing w:val="0"/>
                <w:sz w:val="24"/>
                <w:szCs w:val="24"/>
              </w:rPr>
              <w:t>提供相关证明资料或承诺书</w:t>
            </w:r>
            <w:r>
              <w:rPr>
                <w:rFonts w:hint="eastAsia" w:ascii="宋体" w:hAnsi="宋体" w:cs="宋体"/>
                <w:sz w:val="24"/>
                <w:lang w:val="en-US" w:eastAsia="zh-CN"/>
              </w:rPr>
              <w:t>）</w:t>
            </w:r>
          </w:p>
        </w:tc>
      </w:tr>
      <w:tr w14:paraId="6AB74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 w:hRule="atLeast"/>
          <w:jc w:val="center"/>
        </w:trPr>
        <w:tc>
          <w:tcPr>
            <w:tcW w:w="521" w:type="dxa"/>
            <w:vMerge w:val="continue"/>
            <w:tcBorders>
              <w:left w:val="single" w:color="auto" w:sz="4" w:space="0"/>
              <w:right w:val="single" w:color="auto" w:sz="4" w:space="0"/>
            </w:tcBorders>
            <w:vAlign w:val="center"/>
          </w:tcPr>
          <w:p w14:paraId="62045419">
            <w:pPr>
              <w:spacing w:line="360" w:lineRule="auto"/>
              <w:jc w:val="center"/>
              <w:rPr>
                <w:rFonts w:hint="eastAsia" w:ascii="宋体" w:hAnsi="宋体" w:eastAsia="宋体" w:cs="Courier New"/>
                <w:sz w:val="24"/>
                <w:szCs w:val="21"/>
                <w:highlight w:val="none"/>
              </w:rPr>
            </w:pPr>
          </w:p>
        </w:tc>
        <w:tc>
          <w:tcPr>
            <w:tcW w:w="978" w:type="dxa"/>
            <w:vMerge w:val="continue"/>
            <w:tcBorders>
              <w:left w:val="nil"/>
              <w:right w:val="single" w:color="auto" w:sz="4" w:space="0"/>
            </w:tcBorders>
            <w:vAlign w:val="center"/>
          </w:tcPr>
          <w:p w14:paraId="5B1B2CBB">
            <w:pPr>
              <w:spacing w:line="360" w:lineRule="auto"/>
              <w:rPr>
                <w:rFonts w:hint="eastAsia" w:ascii="宋体" w:hAnsi="宋体" w:eastAsia="宋体" w:cs="Times New Roman"/>
                <w:sz w:val="24"/>
                <w:szCs w:val="21"/>
                <w:highlight w:val="none"/>
              </w:rPr>
            </w:pPr>
          </w:p>
        </w:tc>
        <w:tc>
          <w:tcPr>
            <w:tcW w:w="2528" w:type="dxa"/>
            <w:tcBorders>
              <w:top w:val="single" w:color="auto" w:sz="4" w:space="0"/>
              <w:left w:val="nil"/>
              <w:bottom w:val="single" w:color="auto" w:sz="4" w:space="0"/>
              <w:right w:val="single" w:color="auto" w:sz="4" w:space="0"/>
            </w:tcBorders>
            <w:vAlign w:val="center"/>
          </w:tcPr>
          <w:p w14:paraId="3C8FE01E">
            <w:pPr>
              <w:spacing w:line="360" w:lineRule="auto"/>
              <w:jc w:val="center"/>
              <w:rPr>
                <w:rFonts w:hint="default" w:ascii="宋体" w:hAnsi="宋体" w:eastAsia="宋体" w:cs="Times New Roman"/>
                <w:color w:val="auto"/>
                <w:sz w:val="24"/>
                <w:szCs w:val="21"/>
                <w:highlight w:val="none"/>
                <w:lang w:val="en-US" w:eastAsia="zh-CN"/>
              </w:rPr>
            </w:pPr>
            <w:r>
              <w:rPr>
                <w:rFonts w:hint="eastAsia" w:ascii="宋体" w:hAnsi="宋体" w:eastAsia="宋体" w:cs="宋体"/>
                <w:color w:val="000000"/>
                <w:kern w:val="0"/>
                <w:sz w:val="24"/>
                <w:szCs w:val="24"/>
                <w:lang w:val="en-US" w:eastAsia="zh-CN"/>
              </w:rPr>
              <w:t>营业执照</w:t>
            </w:r>
          </w:p>
        </w:tc>
        <w:tc>
          <w:tcPr>
            <w:tcW w:w="5351" w:type="dxa"/>
            <w:tcBorders>
              <w:top w:val="single" w:color="auto" w:sz="4" w:space="0"/>
              <w:left w:val="nil"/>
              <w:bottom w:val="single" w:color="auto" w:sz="4" w:space="0"/>
              <w:right w:val="single" w:color="auto" w:sz="4" w:space="0"/>
            </w:tcBorders>
            <w:vAlign w:val="center"/>
          </w:tcPr>
          <w:p w14:paraId="7695C519">
            <w:pPr>
              <w:pStyle w:val="2"/>
              <w:ind w:left="0" w:leftChars="0" w:firstLine="0" w:firstLineChars="0"/>
              <w:rPr>
                <w:rFonts w:hint="eastAsia" w:ascii="宋体" w:hAnsi="宋体" w:eastAsia="宋体" w:cs="宋体"/>
                <w:color w:val="auto"/>
                <w:sz w:val="24"/>
                <w:szCs w:val="21"/>
                <w:highlight w:val="none"/>
              </w:rPr>
            </w:pPr>
            <w:r>
              <w:rPr>
                <w:rFonts w:hint="eastAsia" w:ascii="宋体" w:hAnsi="宋体" w:eastAsia="宋体" w:cs="宋体"/>
                <w:kern w:val="0"/>
                <w:sz w:val="24"/>
                <w:szCs w:val="24"/>
                <w:lang w:eastAsia="zh-CN"/>
              </w:rPr>
              <w:t>供应商须具有独立法人资格（具有有效的营业执照）</w:t>
            </w:r>
          </w:p>
        </w:tc>
      </w:tr>
      <w:tr w14:paraId="57BD5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521" w:type="dxa"/>
            <w:vMerge w:val="continue"/>
            <w:tcBorders>
              <w:left w:val="single" w:color="auto" w:sz="4" w:space="0"/>
              <w:right w:val="single" w:color="auto" w:sz="4" w:space="0"/>
            </w:tcBorders>
            <w:vAlign w:val="center"/>
          </w:tcPr>
          <w:p w14:paraId="142B624E">
            <w:pPr>
              <w:spacing w:line="360" w:lineRule="auto"/>
              <w:jc w:val="center"/>
              <w:rPr>
                <w:rFonts w:hint="eastAsia" w:ascii="宋体" w:hAnsi="宋体" w:eastAsia="宋体" w:cs="Courier New"/>
                <w:sz w:val="24"/>
                <w:szCs w:val="21"/>
                <w:highlight w:val="none"/>
              </w:rPr>
            </w:pPr>
          </w:p>
        </w:tc>
        <w:tc>
          <w:tcPr>
            <w:tcW w:w="978" w:type="dxa"/>
            <w:vMerge w:val="continue"/>
            <w:tcBorders>
              <w:top w:val="nil"/>
              <w:left w:val="nil"/>
              <w:bottom w:val="single" w:color="auto" w:sz="4" w:space="0"/>
              <w:right w:val="single" w:color="auto" w:sz="4" w:space="0"/>
            </w:tcBorders>
            <w:vAlign w:val="center"/>
          </w:tcPr>
          <w:p w14:paraId="5F67109E">
            <w:pPr>
              <w:widowControl/>
              <w:jc w:val="left"/>
              <w:rPr>
                <w:rFonts w:hint="eastAsia" w:ascii="宋体" w:hAnsi="宋体" w:eastAsia="宋体" w:cs="Times New Roman"/>
                <w:sz w:val="24"/>
                <w:szCs w:val="21"/>
                <w:highlight w:val="none"/>
              </w:rPr>
            </w:pPr>
          </w:p>
        </w:tc>
        <w:tc>
          <w:tcPr>
            <w:tcW w:w="2528" w:type="dxa"/>
            <w:tcBorders>
              <w:top w:val="single" w:color="auto" w:sz="4" w:space="0"/>
              <w:left w:val="nil"/>
              <w:bottom w:val="single" w:color="auto" w:sz="4" w:space="0"/>
              <w:right w:val="single" w:color="auto" w:sz="4" w:space="0"/>
            </w:tcBorders>
            <w:vAlign w:val="center"/>
          </w:tcPr>
          <w:p w14:paraId="0FF565C7">
            <w:pPr>
              <w:spacing w:line="360" w:lineRule="auto"/>
              <w:jc w:val="center"/>
              <w:rPr>
                <w:rFonts w:hint="eastAsia" w:ascii="宋体" w:hAnsi="宋体" w:eastAsia="宋体" w:cs="Courier New"/>
                <w:sz w:val="24"/>
                <w:szCs w:val="21"/>
                <w:highlight w:val="none"/>
              </w:rPr>
            </w:pPr>
            <w:r>
              <w:rPr>
                <w:rFonts w:hint="eastAsia" w:ascii="宋体" w:hAnsi="宋体" w:eastAsia="宋体" w:cs="宋体"/>
                <w:kern w:val="0"/>
                <w:sz w:val="24"/>
                <w:szCs w:val="24"/>
                <w:highlight w:val="none"/>
                <w:lang w:val="en-US" w:eastAsia="zh-CN"/>
              </w:rPr>
              <w:t>资质</w:t>
            </w:r>
          </w:p>
        </w:tc>
        <w:tc>
          <w:tcPr>
            <w:tcW w:w="5351" w:type="dxa"/>
            <w:tcBorders>
              <w:top w:val="single" w:color="auto" w:sz="4" w:space="0"/>
              <w:left w:val="nil"/>
              <w:bottom w:val="single" w:color="auto" w:sz="4" w:space="0"/>
              <w:right w:val="single" w:color="auto" w:sz="4" w:space="0"/>
            </w:tcBorders>
            <w:vAlign w:val="center"/>
          </w:tcPr>
          <w:p w14:paraId="544E37BE">
            <w:pPr>
              <w:pStyle w:val="2"/>
              <w:ind w:left="0" w:leftChars="0" w:firstLine="0" w:firstLineChars="0"/>
              <w:rPr>
                <w:rFonts w:hint="eastAsia" w:ascii="宋体" w:hAnsi="宋体" w:eastAsia="宋体" w:cs="宋体"/>
                <w:sz w:val="24"/>
                <w:szCs w:val="21"/>
                <w:highlight w:val="none"/>
              </w:rPr>
            </w:pPr>
            <w:r>
              <w:rPr>
                <w:rFonts w:hint="eastAsia" w:ascii="宋体" w:hAnsi="宋体" w:eastAsia="宋体" w:cs="宋体"/>
                <w:kern w:val="0"/>
                <w:sz w:val="24"/>
                <w:szCs w:val="24"/>
                <w:highlight w:val="none"/>
                <w:lang w:val="en-US" w:eastAsia="zh-CN"/>
              </w:rPr>
              <w:t>供应商具有有效的《药品生产许可证》；供应商为代理经销商的具有有效的《药品经营许可证》；</w:t>
            </w:r>
          </w:p>
        </w:tc>
      </w:tr>
      <w:tr w14:paraId="66C46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521" w:type="dxa"/>
            <w:vMerge w:val="continue"/>
            <w:tcBorders>
              <w:left w:val="single" w:color="auto" w:sz="4" w:space="0"/>
              <w:right w:val="single" w:color="auto" w:sz="4" w:space="0"/>
            </w:tcBorders>
            <w:vAlign w:val="center"/>
          </w:tcPr>
          <w:p w14:paraId="153B5F22">
            <w:pPr>
              <w:spacing w:line="360" w:lineRule="auto"/>
              <w:jc w:val="center"/>
              <w:rPr>
                <w:rFonts w:hint="eastAsia" w:ascii="宋体" w:hAnsi="宋体" w:eastAsia="宋体" w:cs="Courier New"/>
                <w:sz w:val="24"/>
                <w:szCs w:val="21"/>
                <w:highlight w:val="none"/>
              </w:rPr>
            </w:pPr>
          </w:p>
        </w:tc>
        <w:tc>
          <w:tcPr>
            <w:tcW w:w="978" w:type="dxa"/>
            <w:vMerge w:val="continue"/>
            <w:tcBorders>
              <w:top w:val="nil"/>
              <w:left w:val="nil"/>
              <w:bottom w:val="single" w:color="auto" w:sz="4" w:space="0"/>
              <w:right w:val="single" w:color="auto" w:sz="4" w:space="0"/>
            </w:tcBorders>
            <w:vAlign w:val="center"/>
          </w:tcPr>
          <w:p w14:paraId="27439566">
            <w:pPr>
              <w:widowControl/>
              <w:jc w:val="left"/>
              <w:rPr>
                <w:rFonts w:hint="eastAsia" w:ascii="宋体" w:hAnsi="宋体" w:eastAsia="宋体" w:cs="Times New Roman"/>
                <w:sz w:val="24"/>
                <w:szCs w:val="21"/>
                <w:highlight w:val="none"/>
              </w:rPr>
            </w:pPr>
          </w:p>
        </w:tc>
        <w:tc>
          <w:tcPr>
            <w:tcW w:w="2528" w:type="dxa"/>
            <w:tcBorders>
              <w:top w:val="single" w:color="auto" w:sz="4" w:space="0"/>
              <w:left w:val="nil"/>
              <w:bottom w:val="single" w:color="auto" w:sz="4" w:space="0"/>
              <w:right w:val="single" w:color="auto" w:sz="4" w:space="0"/>
            </w:tcBorders>
            <w:vAlign w:val="center"/>
          </w:tcPr>
          <w:p w14:paraId="3B99F1DC">
            <w:pPr>
              <w:spacing w:line="360" w:lineRule="auto"/>
              <w:jc w:val="center"/>
              <w:rPr>
                <w:rFonts w:hint="default" w:ascii="宋体" w:hAnsi="宋体" w:eastAsia="宋体" w:cs="Courier New"/>
                <w:sz w:val="24"/>
                <w:szCs w:val="21"/>
                <w:highlight w:val="none"/>
                <w:lang w:val="en-US" w:eastAsia="zh-CN"/>
              </w:rPr>
            </w:pPr>
            <w:r>
              <w:rPr>
                <w:rFonts w:hint="eastAsia" w:ascii="宋体" w:hAnsi="宋体" w:eastAsia="宋体" w:cs="宋体"/>
                <w:kern w:val="0"/>
                <w:sz w:val="24"/>
                <w:szCs w:val="24"/>
                <w:lang w:val="en-US" w:eastAsia="zh-CN"/>
              </w:rPr>
              <w:t>设备和专业技术能力</w:t>
            </w:r>
          </w:p>
        </w:tc>
        <w:tc>
          <w:tcPr>
            <w:tcW w:w="5351" w:type="dxa"/>
            <w:tcBorders>
              <w:top w:val="single" w:color="auto" w:sz="4" w:space="0"/>
              <w:left w:val="nil"/>
              <w:bottom w:val="single" w:color="auto" w:sz="4" w:space="0"/>
              <w:right w:val="single" w:color="auto" w:sz="4" w:space="0"/>
            </w:tcBorders>
            <w:vAlign w:val="center"/>
          </w:tcPr>
          <w:p w14:paraId="3C808364">
            <w:pPr>
              <w:pStyle w:val="2"/>
              <w:ind w:left="0" w:leftChars="0" w:firstLine="0" w:firstLineChars="0"/>
              <w:rPr>
                <w:rFonts w:hint="eastAsia" w:ascii="宋体" w:hAnsi="宋体" w:eastAsia="宋体" w:cs="宋体"/>
                <w:sz w:val="24"/>
                <w:szCs w:val="21"/>
                <w:highlight w:val="none"/>
              </w:rPr>
            </w:pPr>
            <w:r>
              <w:rPr>
                <w:rFonts w:hint="eastAsia" w:ascii="宋体" w:hAnsi="宋体" w:eastAsia="宋体" w:cs="宋体"/>
                <w:kern w:val="0"/>
                <w:sz w:val="24"/>
                <w:szCs w:val="24"/>
                <w:lang w:val="en-US" w:eastAsia="zh-CN"/>
              </w:rPr>
              <w:t>供应商具有履行合同所必需的设备和专业技术能力（自行承诺，格式自拟）</w:t>
            </w:r>
          </w:p>
        </w:tc>
      </w:tr>
      <w:tr w14:paraId="245D3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521" w:type="dxa"/>
            <w:vMerge w:val="continue"/>
            <w:tcBorders>
              <w:left w:val="single" w:color="auto" w:sz="4" w:space="0"/>
              <w:right w:val="single" w:color="auto" w:sz="4" w:space="0"/>
            </w:tcBorders>
            <w:vAlign w:val="center"/>
          </w:tcPr>
          <w:p w14:paraId="7FC88CF3">
            <w:pPr>
              <w:spacing w:line="360" w:lineRule="auto"/>
              <w:jc w:val="center"/>
              <w:rPr>
                <w:rFonts w:hint="eastAsia" w:ascii="宋体" w:hAnsi="宋体" w:eastAsia="宋体" w:cs="Courier New"/>
                <w:sz w:val="24"/>
                <w:szCs w:val="21"/>
                <w:highlight w:val="none"/>
              </w:rPr>
            </w:pPr>
          </w:p>
        </w:tc>
        <w:tc>
          <w:tcPr>
            <w:tcW w:w="978" w:type="dxa"/>
            <w:vMerge w:val="continue"/>
            <w:tcBorders>
              <w:top w:val="nil"/>
              <w:left w:val="nil"/>
              <w:bottom w:val="single" w:color="auto" w:sz="4" w:space="0"/>
              <w:right w:val="single" w:color="auto" w:sz="4" w:space="0"/>
            </w:tcBorders>
            <w:vAlign w:val="center"/>
          </w:tcPr>
          <w:p w14:paraId="21BD4816">
            <w:pPr>
              <w:widowControl/>
              <w:jc w:val="left"/>
              <w:rPr>
                <w:rFonts w:hint="eastAsia" w:ascii="宋体" w:hAnsi="宋体" w:eastAsia="宋体" w:cs="Times New Roman"/>
                <w:sz w:val="24"/>
                <w:szCs w:val="21"/>
                <w:highlight w:val="none"/>
              </w:rPr>
            </w:pPr>
          </w:p>
        </w:tc>
        <w:tc>
          <w:tcPr>
            <w:tcW w:w="2528" w:type="dxa"/>
            <w:tcBorders>
              <w:top w:val="single" w:color="auto" w:sz="4" w:space="0"/>
              <w:left w:val="nil"/>
              <w:bottom w:val="single" w:color="auto" w:sz="4" w:space="0"/>
              <w:right w:val="single" w:color="auto" w:sz="4" w:space="0"/>
            </w:tcBorders>
            <w:vAlign w:val="center"/>
          </w:tcPr>
          <w:p w14:paraId="75833853">
            <w:pPr>
              <w:spacing w:line="360" w:lineRule="auto"/>
              <w:jc w:val="center"/>
              <w:rPr>
                <w:rFonts w:hint="eastAsia" w:ascii="宋体" w:hAnsi="宋体" w:eastAsia="宋体" w:cs="Courier New"/>
                <w:sz w:val="24"/>
                <w:szCs w:val="21"/>
                <w:highlight w:val="none"/>
              </w:rPr>
            </w:pPr>
            <w:r>
              <w:rPr>
                <w:rFonts w:hint="eastAsia" w:ascii="宋体" w:hAnsi="宋体" w:eastAsia="宋体" w:cs="宋体"/>
                <w:kern w:val="2"/>
                <w:sz w:val="24"/>
                <w:szCs w:val="22"/>
                <w:lang w:val="en-US" w:eastAsia="zh-CN" w:bidi="ar-SA"/>
              </w:rPr>
              <w:t>无商业贿赂及无不正当竞争行为承诺书</w:t>
            </w:r>
          </w:p>
        </w:tc>
        <w:tc>
          <w:tcPr>
            <w:tcW w:w="5351" w:type="dxa"/>
            <w:tcBorders>
              <w:top w:val="single" w:color="auto" w:sz="4" w:space="0"/>
              <w:left w:val="nil"/>
              <w:bottom w:val="single" w:color="auto" w:sz="4" w:space="0"/>
              <w:right w:val="single" w:color="auto" w:sz="4" w:space="0"/>
            </w:tcBorders>
            <w:vAlign w:val="center"/>
          </w:tcPr>
          <w:p w14:paraId="4614BB2B">
            <w:pPr>
              <w:rPr>
                <w:rFonts w:hint="eastAsia" w:ascii="宋体" w:hAnsi="宋体" w:eastAsia="宋体" w:cs="宋体"/>
                <w:sz w:val="24"/>
                <w:szCs w:val="21"/>
                <w:highlight w:val="none"/>
              </w:rPr>
            </w:pPr>
            <w:r>
              <w:rPr>
                <w:rFonts w:hint="eastAsia" w:ascii="宋体" w:hAnsi="宋体" w:eastAsia="宋体" w:cs="宋体"/>
                <w:color w:val="000000"/>
                <w:kern w:val="0"/>
                <w:sz w:val="24"/>
                <w:szCs w:val="24"/>
                <w:lang w:eastAsia="zh-CN"/>
              </w:rPr>
              <w:t>供应商自行出具本单位无商业贿赂及无不正当竞争行为的承诺书</w:t>
            </w:r>
          </w:p>
        </w:tc>
      </w:tr>
      <w:tr w14:paraId="2C0DC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521" w:type="dxa"/>
            <w:vMerge w:val="continue"/>
            <w:tcBorders>
              <w:left w:val="single" w:color="auto" w:sz="4" w:space="0"/>
              <w:right w:val="single" w:color="auto" w:sz="4" w:space="0"/>
            </w:tcBorders>
            <w:vAlign w:val="center"/>
          </w:tcPr>
          <w:p w14:paraId="26901E70">
            <w:pPr>
              <w:spacing w:line="360" w:lineRule="auto"/>
              <w:jc w:val="center"/>
              <w:rPr>
                <w:rFonts w:hint="eastAsia" w:ascii="宋体" w:hAnsi="宋体" w:eastAsia="宋体" w:cs="Courier New"/>
                <w:sz w:val="24"/>
                <w:szCs w:val="21"/>
                <w:highlight w:val="none"/>
              </w:rPr>
            </w:pPr>
          </w:p>
        </w:tc>
        <w:tc>
          <w:tcPr>
            <w:tcW w:w="978" w:type="dxa"/>
            <w:vMerge w:val="continue"/>
            <w:tcBorders>
              <w:top w:val="nil"/>
              <w:left w:val="nil"/>
              <w:bottom w:val="single" w:color="auto" w:sz="4" w:space="0"/>
              <w:right w:val="single" w:color="auto" w:sz="4" w:space="0"/>
            </w:tcBorders>
            <w:vAlign w:val="center"/>
          </w:tcPr>
          <w:p w14:paraId="01EC8396">
            <w:pPr>
              <w:widowControl/>
              <w:jc w:val="left"/>
              <w:rPr>
                <w:rFonts w:hint="eastAsia" w:ascii="宋体" w:hAnsi="宋体" w:eastAsia="宋体" w:cs="Times New Roman"/>
                <w:sz w:val="24"/>
                <w:szCs w:val="21"/>
                <w:highlight w:val="none"/>
              </w:rPr>
            </w:pPr>
          </w:p>
        </w:tc>
        <w:tc>
          <w:tcPr>
            <w:tcW w:w="2528" w:type="dxa"/>
            <w:tcBorders>
              <w:top w:val="single" w:color="auto" w:sz="4" w:space="0"/>
              <w:left w:val="nil"/>
              <w:bottom w:val="single" w:color="auto" w:sz="4" w:space="0"/>
              <w:right w:val="single" w:color="auto" w:sz="4" w:space="0"/>
            </w:tcBorders>
            <w:vAlign w:val="center"/>
          </w:tcPr>
          <w:p w14:paraId="6980BD40">
            <w:pPr>
              <w:spacing w:line="360" w:lineRule="auto"/>
              <w:jc w:val="center"/>
              <w:rPr>
                <w:rFonts w:hint="eastAsia" w:ascii="宋体" w:hAnsi="宋体" w:eastAsia="宋体" w:cs="Courier New"/>
                <w:sz w:val="24"/>
                <w:szCs w:val="21"/>
                <w:highlight w:val="none"/>
              </w:rPr>
            </w:pPr>
            <w:r>
              <w:rPr>
                <w:rFonts w:hint="eastAsia" w:ascii="宋体" w:hAnsi="宋体" w:eastAsia="宋体" w:cs="宋体"/>
                <w:color w:val="000000"/>
                <w:kern w:val="0"/>
                <w:sz w:val="24"/>
                <w:shd w:val="clear" w:color="auto" w:fill="FFFFFF"/>
              </w:rPr>
              <w:t>信用截图</w:t>
            </w:r>
          </w:p>
        </w:tc>
        <w:tc>
          <w:tcPr>
            <w:tcW w:w="5351" w:type="dxa"/>
            <w:tcBorders>
              <w:top w:val="single" w:color="auto" w:sz="4" w:space="0"/>
              <w:left w:val="nil"/>
              <w:bottom w:val="single" w:color="auto" w:sz="4" w:space="0"/>
              <w:right w:val="single" w:color="auto" w:sz="4" w:space="0"/>
            </w:tcBorders>
            <w:vAlign w:val="center"/>
          </w:tcPr>
          <w:p w14:paraId="0AE91D18">
            <w:pPr>
              <w:spacing w:line="360" w:lineRule="auto"/>
              <w:jc w:val="both"/>
              <w:rPr>
                <w:rFonts w:hint="eastAsia" w:ascii="宋体" w:hAnsi="宋体" w:eastAsia="宋体" w:cs="宋体"/>
                <w:sz w:val="24"/>
                <w:szCs w:val="21"/>
                <w:highlight w:val="none"/>
                <w:lang w:val="zh-CN"/>
              </w:rPr>
            </w:pPr>
            <w:r>
              <w:rPr>
                <w:rFonts w:hint="eastAsia" w:ascii="宋体" w:hAnsi="宋体" w:eastAsia="宋体" w:cs="宋体"/>
                <w:kern w:val="0"/>
                <w:sz w:val="24"/>
                <w:szCs w:val="24"/>
                <w:lang w:val="en-US" w:eastAsia="zh-CN"/>
              </w:rPr>
              <w:t>未被列入中国执行信息公开网（http://zxgk.court.gov.cn/shixin/）失信被执行人、“信用中国”网站（www.creditchina.gov.cn）重大税收违法失信主体、“中国政府采购网”（http://www.ccgp.gov.cn/）政府采购严重违法失信行为名单，提供网页查询信息截图（查询时间自公告发布之日起截止至开标时间）</w:t>
            </w:r>
            <w:r>
              <w:rPr>
                <w:rFonts w:hint="eastAsia" w:ascii="宋体" w:hAnsi="宋体" w:eastAsia="宋体" w:cs="宋体"/>
                <w:color w:val="000000"/>
                <w:kern w:val="0"/>
                <w:sz w:val="24"/>
                <w:shd w:val="clear" w:color="auto" w:fill="FFFFFF"/>
                <w:lang w:val="en-US" w:eastAsia="zh-CN"/>
              </w:rPr>
              <w:t>；</w:t>
            </w:r>
          </w:p>
        </w:tc>
      </w:tr>
      <w:tr w14:paraId="119C9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521" w:type="dxa"/>
            <w:vMerge w:val="continue"/>
            <w:tcBorders>
              <w:left w:val="single" w:color="auto" w:sz="4" w:space="0"/>
              <w:right w:val="single" w:color="auto" w:sz="4" w:space="0"/>
            </w:tcBorders>
            <w:vAlign w:val="center"/>
          </w:tcPr>
          <w:p w14:paraId="27B907DC">
            <w:pPr>
              <w:spacing w:line="360" w:lineRule="auto"/>
              <w:jc w:val="center"/>
              <w:rPr>
                <w:rFonts w:hint="eastAsia" w:ascii="宋体" w:hAnsi="宋体" w:eastAsia="宋体" w:cs="Courier New"/>
                <w:sz w:val="24"/>
                <w:szCs w:val="21"/>
                <w:highlight w:val="none"/>
              </w:rPr>
            </w:pPr>
          </w:p>
        </w:tc>
        <w:tc>
          <w:tcPr>
            <w:tcW w:w="978" w:type="dxa"/>
            <w:vMerge w:val="continue"/>
            <w:tcBorders>
              <w:top w:val="nil"/>
              <w:left w:val="nil"/>
              <w:bottom w:val="single" w:color="auto" w:sz="4" w:space="0"/>
              <w:right w:val="single" w:color="auto" w:sz="4" w:space="0"/>
            </w:tcBorders>
            <w:vAlign w:val="center"/>
          </w:tcPr>
          <w:p w14:paraId="006F3A99">
            <w:pPr>
              <w:widowControl/>
              <w:jc w:val="left"/>
              <w:rPr>
                <w:rFonts w:hint="eastAsia" w:ascii="宋体" w:hAnsi="宋体" w:eastAsia="宋体" w:cs="Times New Roman"/>
                <w:sz w:val="24"/>
                <w:szCs w:val="21"/>
                <w:highlight w:val="none"/>
              </w:rPr>
            </w:pPr>
          </w:p>
        </w:tc>
        <w:tc>
          <w:tcPr>
            <w:tcW w:w="2528" w:type="dxa"/>
            <w:tcBorders>
              <w:top w:val="single" w:color="auto" w:sz="4" w:space="0"/>
              <w:left w:val="nil"/>
              <w:bottom w:val="single" w:color="auto" w:sz="4" w:space="0"/>
              <w:right w:val="single" w:color="auto" w:sz="4" w:space="0"/>
            </w:tcBorders>
            <w:vAlign w:val="center"/>
          </w:tcPr>
          <w:p w14:paraId="4627B17C">
            <w:pPr>
              <w:spacing w:line="360" w:lineRule="auto"/>
              <w:jc w:val="center"/>
              <w:rPr>
                <w:rFonts w:hint="eastAsia" w:ascii="宋体" w:hAnsi="宋体" w:eastAsia="宋体" w:cs="Courier New"/>
                <w:sz w:val="24"/>
                <w:szCs w:val="21"/>
                <w:highlight w:val="none"/>
              </w:rPr>
            </w:pPr>
            <w:r>
              <w:rPr>
                <w:rFonts w:hint="eastAsia" w:ascii="宋体" w:hAnsi="宋体" w:eastAsia="宋体" w:cs="宋体"/>
                <w:color w:val="000000"/>
                <w:kern w:val="0"/>
                <w:sz w:val="24"/>
                <w:shd w:val="clear" w:color="auto" w:fill="FFFFFF"/>
              </w:rPr>
              <w:t>国家企业公示截图</w:t>
            </w:r>
          </w:p>
        </w:tc>
        <w:tc>
          <w:tcPr>
            <w:tcW w:w="5351" w:type="dxa"/>
            <w:tcBorders>
              <w:top w:val="single" w:color="auto" w:sz="4" w:space="0"/>
              <w:left w:val="nil"/>
              <w:bottom w:val="single" w:color="auto" w:sz="4" w:space="0"/>
              <w:right w:val="single" w:color="auto" w:sz="4" w:space="0"/>
            </w:tcBorders>
            <w:vAlign w:val="center"/>
          </w:tcPr>
          <w:p w14:paraId="7BD0BAD6">
            <w:pPr>
              <w:spacing w:line="360" w:lineRule="auto"/>
              <w:jc w:val="both"/>
              <w:rPr>
                <w:rFonts w:hint="eastAsia" w:ascii="宋体" w:hAnsi="宋体" w:cs="宋体" w:eastAsiaTheme="minorEastAsia"/>
                <w:sz w:val="24"/>
                <w:szCs w:val="21"/>
                <w:highlight w:val="none"/>
                <w:lang w:eastAsia="zh-CN"/>
              </w:rPr>
            </w:pPr>
            <w:r>
              <w:rPr>
                <w:rFonts w:hint="eastAsia" w:ascii="宋体" w:hAnsi="宋体" w:eastAsia="宋体" w:cs="宋体"/>
                <w:color w:val="000000"/>
                <w:kern w:val="0"/>
                <w:sz w:val="24"/>
                <w:shd w:val="clear" w:color="auto" w:fill="FFFFFF"/>
                <w:lang w:eastAsia="zh-CN"/>
              </w:rPr>
              <w:t>单位负责人为同一个人或者存在控股、管理关系的不同单位，不得同时参加投标（以“国家企业信用信息公示系统”查询为准，需包含公司基本信息、股东信息及股权变更信息内容）</w:t>
            </w:r>
            <w:r>
              <w:rPr>
                <w:rFonts w:hint="eastAsia" w:ascii="宋体" w:hAnsi="宋体" w:eastAsia="宋体" w:cs="宋体"/>
                <w:color w:val="000000"/>
                <w:kern w:val="0"/>
                <w:sz w:val="24"/>
                <w:shd w:val="clear" w:color="auto" w:fill="FFFFFF"/>
              </w:rPr>
              <w:t>；</w:t>
            </w:r>
          </w:p>
        </w:tc>
      </w:tr>
      <w:tr w14:paraId="66C02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521" w:type="dxa"/>
            <w:vMerge w:val="continue"/>
            <w:tcBorders>
              <w:left w:val="single" w:color="auto" w:sz="4" w:space="0"/>
              <w:right w:val="single" w:color="auto" w:sz="4" w:space="0"/>
            </w:tcBorders>
            <w:vAlign w:val="center"/>
          </w:tcPr>
          <w:p w14:paraId="27A0241C">
            <w:pPr>
              <w:spacing w:line="360" w:lineRule="auto"/>
              <w:jc w:val="center"/>
              <w:rPr>
                <w:rFonts w:hint="eastAsia" w:ascii="宋体" w:hAnsi="宋体" w:eastAsia="宋体" w:cs="Courier New"/>
                <w:sz w:val="24"/>
                <w:szCs w:val="21"/>
                <w:highlight w:val="none"/>
              </w:rPr>
            </w:pPr>
          </w:p>
        </w:tc>
        <w:tc>
          <w:tcPr>
            <w:tcW w:w="978" w:type="dxa"/>
            <w:tcBorders>
              <w:top w:val="single" w:color="auto" w:sz="4" w:space="0"/>
              <w:left w:val="single" w:color="auto" w:sz="4" w:space="0"/>
              <w:bottom w:val="single" w:color="auto" w:sz="4" w:space="0"/>
              <w:right w:val="single" w:color="auto" w:sz="4" w:space="0"/>
            </w:tcBorders>
            <w:vAlign w:val="center"/>
          </w:tcPr>
          <w:p w14:paraId="7BB6516A">
            <w:pPr>
              <w:widowControl/>
              <w:jc w:val="left"/>
              <w:rPr>
                <w:rFonts w:hint="eastAsia" w:ascii="宋体" w:hAnsi="宋体" w:eastAsia="宋体" w:cs="Times New Roman"/>
                <w:sz w:val="24"/>
                <w:szCs w:val="21"/>
                <w:highlight w:val="none"/>
              </w:rPr>
            </w:pPr>
          </w:p>
        </w:tc>
        <w:tc>
          <w:tcPr>
            <w:tcW w:w="2528" w:type="dxa"/>
            <w:tcBorders>
              <w:top w:val="single" w:color="auto" w:sz="4" w:space="0"/>
              <w:left w:val="nil"/>
              <w:bottom w:val="single" w:color="auto" w:sz="4" w:space="0"/>
              <w:right w:val="single" w:color="auto" w:sz="4" w:space="0"/>
            </w:tcBorders>
            <w:vAlign w:val="center"/>
          </w:tcPr>
          <w:p w14:paraId="0D9021C8">
            <w:pPr>
              <w:spacing w:line="360" w:lineRule="auto"/>
              <w:jc w:val="center"/>
              <w:rPr>
                <w:rFonts w:hint="eastAsia" w:ascii="宋体" w:hAnsi="宋体" w:eastAsia="宋体" w:cs="Courier New"/>
                <w:sz w:val="24"/>
                <w:szCs w:val="21"/>
                <w:highlight w:val="none"/>
              </w:rPr>
            </w:pPr>
            <w:r>
              <w:rPr>
                <w:rFonts w:hint="eastAsia" w:ascii="宋体" w:hAnsi="宋体" w:cs="宋体"/>
                <w:color w:val="000000"/>
                <w:kern w:val="0"/>
                <w:sz w:val="24"/>
                <w:shd w:val="clear" w:color="auto" w:fill="FFFFFF"/>
              </w:rPr>
              <w:t>联合体供应商</w:t>
            </w:r>
          </w:p>
        </w:tc>
        <w:tc>
          <w:tcPr>
            <w:tcW w:w="5351" w:type="dxa"/>
            <w:tcBorders>
              <w:top w:val="single" w:color="auto" w:sz="4" w:space="0"/>
              <w:left w:val="nil"/>
              <w:bottom w:val="single" w:color="auto" w:sz="4" w:space="0"/>
              <w:right w:val="single" w:color="auto" w:sz="4" w:space="0"/>
            </w:tcBorders>
            <w:vAlign w:val="center"/>
          </w:tcPr>
          <w:p w14:paraId="32F210AC">
            <w:pPr>
              <w:pStyle w:val="2"/>
              <w:ind w:left="0" w:leftChars="0" w:firstLine="0" w:firstLineChars="0"/>
              <w:rPr>
                <w:rFonts w:hint="eastAsia" w:asciiTheme="minorEastAsia" w:hAnsiTheme="minorEastAsia" w:cstheme="minorEastAsia"/>
                <w:color w:val="auto"/>
                <w:sz w:val="24"/>
                <w:szCs w:val="24"/>
                <w:highlight w:val="none"/>
              </w:rPr>
            </w:pPr>
            <w:r>
              <w:rPr>
                <w:rFonts w:hint="eastAsia" w:ascii="宋体" w:hAnsi="宋体" w:eastAsia="宋体" w:cs="宋体"/>
                <w:color w:val="000000"/>
                <w:kern w:val="0"/>
                <w:sz w:val="24"/>
                <w:szCs w:val="22"/>
                <w:shd w:val="clear" w:color="auto" w:fill="FFFFFF"/>
                <w:lang w:val="en-US" w:eastAsia="zh-CN" w:bidi="ar-SA"/>
              </w:rPr>
              <w:t>本项目不接受联合体投标</w:t>
            </w:r>
          </w:p>
        </w:tc>
      </w:tr>
      <w:tr w14:paraId="6FC94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521" w:type="dxa"/>
            <w:vMerge w:val="continue"/>
            <w:tcBorders>
              <w:left w:val="single" w:color="auto" w:sz="4" w:space="0"/>
              <w:right w:val="single" w:color="auto" w:sz="4" w:space="0"/>
            </w:tcBorders>
            <w:vAlign w:val="center"/>
          </w:tcPr>
          <w:p w14:paraId="26A7D3A3">
            <w:pPr>
              <w:spacing w:line="360" w:lineRule="auto"/>
              <w:jc w:val="center"/>
              <w:rPr>
                <w:rFonts w:hint="eastAsia" w:ascii="宋体" w:hAnsi="宋体" w:eastAsia="宋体" w:cs="Courier New"/>
                <w:sz w:val="24"/>
                <w:szCs w:val="21"/>
                <w:highlight w:val="none"/>
              </w:rPr>
            </w:pPr>
          </w:p>
        </w:tc>
        <w:tc>
          <w:tcPr>
            <w:tcW w:w="978" w:type="dxa"/>
            <w:vMerge w:val="restart"/>
            <w:tcBorders>
              <w:top w:val="single" w:color="auto" w:sz="4" w:space="0"/>
              <w:left w:val="nil"/>
              <w:bottom w:val="single" w:color="auto" w:sz="4" w:space="0"/>
              <w:right w:val="single" w:color="auto" w:sz="4" w:space="0"/>
            </w:tcBorders>
            <w:vAlign w:val="center"/>
          </w:tcPr>
          <w:p w14:paraId="0E0F0557">
            <w:pPr>
              <w:spacing w:line="360" w:lineRule="auto"/>
              <w:jc w:val="center"/>
              <w:rPr>
                <w:rFonts w:hint="eastAsia" w:ascii="宋体" w:hAnsi="宋体" w:eastAsia="宋体" w:cs="Courier New"/>
                <w:sz w:val="24"/>
                <w:szCs w:val="21"/>
                <w:highlight w:val="none"/>
              </w:rPr>
            </w:pPr>
            <w:r>
              <w:rPr>
                <w:rFonts w:hint="eastAsia" w:ascii="宋体" w:hAnsi="宋体" w:eastAsia="宋体" w:cs="Courier New"/>
                <w:sz w:val="24"/>
                <w:szCs w:val="21"/>
                <w:highlight w:val="none"/>
              </w:rPr>
              <w:t>响</w:t>
            </w:r>
          </w:p>
          <w:p w14:paraId="714C99C4">
            <w:pPr>
              <w:spacing w:line="360" w:lineRule="auto"/>
              <w:jc w:val="center"/>
              <w:rPr>
                <w:rFonts w:hint="eastAsia" w:ascii="宋体" w:hAnsi="宋体" w:eastAsia="宋体" w:cs="Courier New"/>
                <w:sz w:val="24"/>
                <w:szCs w:val="21"/>
                <w:highlight w:val="none"/>
              </w:rPr>
            </w:pPr>
            <w:r>
              <w:rPr>
                <w:rFonts w:hint="eastAsia" w:ascii="宋体" w:hAnsi="宋体" w:eastAsia="宋体" w:cs="Courier New"/>
                <w:sz w:val="24"/>
                <w:szCs w:val="21"/>
                <w:highlight w:val="none"/>
              </w:rPr>
              <w:t>应</w:t>
            </w:r>
          </w:p>
          <w:p w14:paraId="22B3F921">
            <w:pPr>
              <w:spacing w:line="360" w:lineRule="auto"/>
              <w:jc w:val="center"/>
              <w:rPr>
                <w:rFonts w:hint="eastAsia" w:ascii="宋体" w:hAnsi="宋体" w:eastAsia="宋体" w:cs="Courier New"/>
                <w:sz w:val="24"/>
                <w:szCs w:val="21"/>
                <w:highlight w:val="none"/>
              </w:rPr>
            </w:pPr>
            <w:r>
              <w:rPr>
                <w:rFonts w:hint="eastAsia" w:ascii="宋体" w:hAnsi="宋体" w:eastAsia="宋体" w:cs="Courier New"/>
                <w:sz w:val="24"/>
                <w:szCs w:val="21"/>
                <w:highlight w:val="none"/>
              </w:rPr>
              <w:t>评</w:t>
            </w:r>
          </w:p>
          <w:p w14:paraId="6D692374">
            <w:pPr>
              <w:spacing w:line="360" w:lineRule="auto"/>
              <w:jc w:val="center"/>
              <w:rPr>
                <w:rFonts w:hint="eastAsia" w:ascii="宋体" w:hAnsi="宋体" w:eastAsia="宋体" w:cs="Courier New"/>
                <w:sz w:val="24"/>
                <w:szCs w:val="21"/>
                <w:highlight w:val="none"/>
              </w:rPr>
            </w:pPr>
            <w:r>
              <w:rPr>
                <w:rFonts w:hint="eastAsia" w:ascii="宋体" w:hAnsi="宋体" w:eastAsia="宋体" w:cs="Courier New"/>
                <w:sz w:val="24"/>
                <w:szCs w:val="21"/>
                <w:highlight w:val="none"/>
              </w:rPr>
              <w:t>审</w:t>
            </w:r>
          </w:p>
          <w:p w14:paraId="75820961">
            <w:pPr>
              <w:spacing w:line="360" w:lineRule="auto"/>
              <w:jc w:val="center"/>
              <w:rPr>
                <w:rFonts w:hint="eastAsia" w:ascii="宋体" w:hAnsi="宋体" w:eastAsia="宋体" w:cs="Courier New"/>
                <w:sz w:val="24"/>
                <w:szCs w:val="21"/>
                <w:highlight w:val="none"/>
              </w:rPr>
            </w:pPr>
            <w:r>
              <w:rPr>
                <w:rFonts w:hint="eastAsia" w:ascii="宋体" w:hAnsi="宋体" w:eastAsia="宋体" w:cs="Courier New"/>
                <w:sz w:val="24"/>
                <w:szCs w:val="21"/>
                <w:highlight w:val="none"/>
              </w:rPr>
              <w:t>标</w:t>
            </w:r>
          </w:p>
          <w:p w14:paraId="18AED257">
            <w:pPr>
              <w:spacing w:line="360" w:lineRule="auto"/>
              <w:jc w:val="center"/>
              <w:rPr>
                <w:rFonts w:hint="eastAsia" w:ascii="宋体" w:hAnsi="宋体" w:eastAsia="宋体" w:cs="Courier New"/>
                <w:sz w:val="24"/>
                <w:szCs w:val="21"/>
                <w:highlight w:val="none"/>
              </w:rPr>
            </w:pPr>
            <w:r>
              <w:rPr>
                <w:rFonts w:hint="eastAsia" w:ascii="宋体" w:hAnsi="宋体" w:eastAsia="宋体" w:cs="Courier New"/>
                <w:sz w:val="24"/>
                <w:szCs w:val="21"/>
                <w:highlight w:val="none"/>
              </w:rPr>
              <w:t>准</w:t>
            </w:r>
          </w:p>
        </w:tc>
        <w:tc>
          <w:tcPr>
            <w:tcW w:w="2528" w:type="dxa"/>
            <w:tcBorders>
              <w:top w:val="single" w:color="auto" w:sz="4" w:space="0"/>
              <w:left w:val="nil"/>
              <w:bottom w:val="single" w:color="auto" w:sz="4" w:space="0"/>
              <w:right w:val="single" w:color="auto" w:sz="4" w:space="0"/>
            </w:tcBorders>
            <w:vAlign w:val="center"/>
          </w:tcPr>
          <w:p w14:paraId="05C81014">
            <w:pPr>
              <w:adjustRightInd w:val="0"/>
              <w:spacing w:line="360" w:lineRule="auto"/>
              <w:jc w:val="center"/>
              <w:textAlignment w:val="baseline"/>
              <w:rPr>
                <w:rFonts w:hint="eastAsia" w:ascii="宋体" w:hAnsi="宋体" w:eastAsia="宋体" w:cs="宋体"/>
                <w:sz w:val="24"/>
                <w:szCs w:val="21"/>
                <w:highlight w:val="none"/>
                <w:lang w:eastAsia="zh-CN"/>
              </w:rPr>
            </w:pPr>
            <w:r>
              <w:rPr>
                <w:rFonts w:hint="eastAsia" w:ascii="宋体" w:hAnsi="宋体" w:eastAsia="宋体" w:cs="宋体"/>
                <w:sz w:val="24"/>
                <w:szCs w:val="21"/>
                <w:highlight w:val="none"/>
                <w:lang w:eastAsia="zh-CN"/>
              </w:rPr>
              <w:t>服务期限</w:t>
            </w:r>
          </w:p>
        </w:tc>
        <w:tc>
          <w:tcPr>
            <w:tcW w:w="5351" w:type="dxa"/>
            <w:tcBorders>
              <w:top w:val="single" w:color="auto" w:sz="4" w:space="0"/>
              <w:left w:val="nil"/>
              <w:bottom w:val="single" w:color="auto" w:sz="4" w:space="0"/>
              <w:right w:val="single" w:color="auto" w:sz="4" w:space="0"/>
            </w:tcBorders>
            <w:vAlign w:val="center"/>
          </w:tcPr>
          <w:p w14:paraId="671D72C8">
            <w:pPr>
              <w:adjustRightInd w:val="0"/>
              <w:spacing w:line="360" w:lineRule="auto"/>
              <w:jc w:val="left"/>
              <w:textAlignment w:val="baseline"/>
              <w:rPr>
                <w:rFonts w:hint="eastAsia" w:ascii="宋体" w:hAnsi="宋体" w:eastAsia="宋体" w:cs="宋体"/>
                <w:sz w:val="24"/>
                <w:szCs w:val="21"/>
                <w:highlight w:val="none"/>
                <w:lang w:val="zh-CN"/>
              </w:rPr>
            </w:pPr>
            <w:r>
              <w:rPr>
                <w:rFonts w:hint="eastAsia" w:ascii="宋体" w:hAnsi="宋体" w:cs="宋体"/>
                <w:kern w:val="0"/>
                <w:sz w:val="24"/>
                <w:szCs w:val="24"/>
                <w:highlight w:val="none"/>
                <w:lang w:val="en-US" w:eastAsia="zh-CN"/>
              </w:rPr>
              <w:t>三年</w:t>
            </w:r>
          </w:p>
        </w:tc>
      </w:tr>
      <w:tr w14:paraId="24614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521" w:type="dxa"/>
            <w:vMerge w:val="continue"/>
            <w:tcBorders>
              <w:left w:val="single" w:color="auto" w:sz="4" w:space="0"/>
              <w:right w:val="single" w:color="auto" w:sz="4" w:space="0"/>
            </w:tcBorders>
            <w:vAlign w:val="center"/>
          </w:tcPr>
          <w:p w14:paraId="16B25F58">
            <w:pPr>
              <w:spacing w:line="360" w:lineRule="auto"/>
              <w:jc w:val="center"/>
              <w:rPr>
                <w:rFonts w:hint="eastAsia" w:ascii="宋体" w:hAnsi="宋体" w:eastAsia="宋体" w:cs="Courier New"/>
                <w:sz w:val="24"/>
                <w:szCs w:val="21"/>
                <w:highlight w:val="none"/>
              </w:rPr>
            </w:pPr>
          </w:p>
        </w:tc>
        <w:tc>
          <w:tcPr>
            <w:tcW w:w="978" w:type="dxa"/>
            <w:vMerge w:val="continue"/>
            <w:tcBorders>
              <w:top w:val="single" w:color="auto" w:sz="4" w:space="0"/>
              <w:left w:val="nil"/>
              <w:bottom w:val="single" w:color="auto" w:sz="4" w:space="0"/>
              <w:right w:val="single" w:color="auto" w:sz="4" w:space="0"/>
            </w:tcBorders>
            <w:vAlign w:val="center"/>
          </w:tcPr>
          <w:p w14:paraId="54007E1F">
            <w:pPr>
              <w:spacing w:line="360" w:lineRule="auto"/>
              <w:jc w:val="center"/>
              <w:rPr>
                <w:rFonts w:hint="eastAsia" w:ascii="宋体" w:hAnsi="宋体" w:eastAsia="宋体" w:cs="Courier New"/>
                <w:sz w:val="24"/>
                <w:szCs w:val="21"/>
                <w:highlight w:val="none"/>
              </w:rPr>
            </w:pPr>
          </w:p>
        </w:tc>
        <w:tc>
          <w:tcPr>
            <w:tcW w:w="2528" w:type="dxa"/>
            <w:tcBorders>
              <w:top w:val="single" w:color="auto" w:sz="4" w:space="0"/>
              <w:left w:val="nil"/>
              <w:bottom w:val="single" w:color="auto" w:sz="4" w:space="0"/>
              <w:right w:val="single" w:color="auto" w:sz="4" w:space="0"/>
            </w:tcBorders>
            <w:vAlign w:val="center"/>
          </w:tcPr>
          <w:p w14:paraId="31F34C38">
            <w:pPr>
              <w:widowControl/>
              <w:spacing w:line="360" w:lineRule="auto"/>
              <w:jc w:val="center"/>
              <w:rPr>
                <w:rFonts w:hint="eastAsia" w:ascii="宋体" w:hAnsi="宋体" w:eastAsia="宋体" w:cs="宋体"/>
                <w:sz w:val="24"/>
                <w:szCs w:val="21"/>
                <w:highlight w:val="none"/>
              </w:rPr>
            </w:pPr>
            <w:r>
              <w:rPr>
                <w:rFonts w:hint="eastAsia" w:ascii="宋体" w:hAnsi="宋体" w:cs="宋体"/>
                <w:kern w:val="0"/>
                <w:sz w:val="24"/>
                <w:highlight w:val="none"/>
              </w:rPr>
              <w:t>质量要求</w:t>
            </w:r>
          </w:p>
        </w:tc>
        <w:tc>
          <w:tcPr>
            <w:tcW w:w="5351" w:type="dxa"/>
            <w:tcBorders>
              <w:top w:val="single" w:color="auto" w:sz="4" w:space="0"/>
              <w:left w:val="nil"/>
              <w:bottom w:val="single" w:color="auto" w:sz="4" w:space="0"/>
              <w:right w:val="single" w:color="auto" w:sz="4" w:space="0"/>
            </w:tcBorders>
            <w:vAlign w:val="center"/>
          </w:tcPr>
          <w:p w14:paraId="5DBFDBD4">
            <w:pPr>
              <w:widowControl/>
              <w:spacing w:line="360" w:lineRule="auto"/>
              <w:jc w:val="left"/>
              <w:rPr>
                <w:rFonts w:hint="eastAsia" w:ascii="宋体" w:hAnsi="宋体" w:eastAsia="宋体" w:cs="宋体"/>
                <w:sz w:val="24"/>
                <w:szCs w:val="21"/>
                <w:highlight w:val="none"/>
                <w:lang w:val="zh-CN"/>
              </w:rPr>
            </w:pPr>
            <w:r>
              <w:rPr>
                <w:rFonts w:hint="eastAsia" w:ascii="宋体" w:hAnsi="宋体" w:cs="Times New Roman"/>
                <w:sz w:val="24"/>
                <w:szCs w:val="21"/>
                <w:highlight w:val="none"/>
                <w:lang w:eastAsia="zh-CN"/>
              </w:rPr>
              <w:t>符合国家、省、地方及行业规范相关标准，按最高标准执行，满足采购人要求</w:t>
            </w:r>
          </w:p>
        </w:tc>
      </w:tr>
      <w:tr w14:paraId="17090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521" w:type="dxa"/>
            <w:vMerge w:val="continue"/>
            <w:tcBorders>
              <w:left w:val="single" w:color="auto" w:sz="4" w:space="0"/>
              <w:right w:val="single" w:color="auto" w:sz="4" w:space="0"/>
            </w:tcBorders>
            <w:vAlign w:val="center"/>
          </w:tcPr>
          <w:p w14:paraId="43A9A85F">
            <w:pPr>
              <w:widowControl/>
              <w:jc w:val="left"/>
              <w:rPr>
                <w:rFonts w:hint="eastAsia" w:ascii="宋体" w:hAnsi="宋体" w:eastAsia="宋体" w:cs="Courier New"/>
                <w:sz w:val="24"/>
                <w:szCs w:val="21"/>
                <w:highlight w:val="none"/>
              </w:rPr>
            </w:pPr>
          </w:p>
        </w:tc>
        <w:tc>
          <w:tcPr>
            <w:tcW w:w="978" w:type="dxa"/>
            <w:vMerge w:val="continue"/>
            <w:tcBorders>
              <w:top w:val="single" w:color="auto" w:sz="4" w:space="0"/>
              <w:left w:val="nil"/>
              <w:bottom w:val="single" w:color="auto" w:sz="4" w:space="0"/>
              <w:right w:val="single" w:color="auto" w:sz="4" w:space="0"/>
            </w:tcBorders>
            <w:vAlign w:val="center"/>
          </w:tcPr>
          <w:p w14:paraId="5EAD1AFA">
            <w:pPr>
              <w:widowControl/>
              <w:jc w:val="left"/>
              <w:rPr>
                <w:rFonts w:hint="eastAsia" w:ascii="宋体" w:hAnsi="宋体" w:eastAsia="宋体" w:cs="Courier New"/>
                <w:sz w:val="24"/>
                <w:szCs w:val="21"/>
                <w:highlight w:val="none"/>
              </w:rPr>
            </w:pPr>
          </w:p>
        </w:tc>
        <w:tc>
          <w:tcPr>
            <w:tcW w:w="2528" w:type="dxa"/>
            <w:tcBorders>
              <w:top w:val="single" w:color="auto" w:sz="4" w:space="0"/>
              <w:left w:val="nil"/>
              <w:bottom w:val="single" w:color="auto" w:sz="4" w:space="0"/>
              <w:right w:val="single" w:color="auto" w:sz="4" w:space="0"/>
            </w:tcBorders>
            <w:vAlign w:val="center"/>
          </w:tcPr>
          <w:p w14:paraId="31F0DA30">
            <w:pPr>
              <w:widowControl/>
              <w:spacing w:line="360" w:lineRule="auto"/>
              <w:jc w:val="center"/>
              <w:rPr>
                <w:rFonts w:hint="eastAsia" w:ascii="宋体" w:hAnsi="宋体" w:eastAsia="宋体" w:cs="宋体"/>
                <w:sz w:val="24"/>
                <w:szCs w:val="21"/>
                <w:highlight w:val="none"/>
              </w:rPr>
            </w:pPr>
            <w:r>
              <w:rPr>
                <w:rFonts w:hint="eastAsia" w:ascii="宋体" w:hAnsi="宋体" w:cs="宋体"/>
                <w:sz w:val="24"/>
              </w:rPr>
              <w:t>磋商有效期</w:t>
            </w:r>
          </w:p>
        </w:tc>
        <w:tc>
          <w:tcPr>
            <w:tcW w:w="5351" w:type="dxa"/>
            <w:tcBorders>
              <w:top w:val="single" w:color="auto" w:sz="4" w:space="0"/>
              <w:left w:val="nil"/>
              <w:bottom w:val="single" w:color="auto" w:sz="4" w:space="0"/>
              <w:right w:val="single" w:color="auto" w:sz="4" w:space="0"/>
            </w:tcBorders>
            <w:vAlign w:val="center"/>
          </w:tcPr>
          <w:p w14:paraId="7FEF3674">
            <w:pPr>
              <w:widowControl/>
              <w:spacing w:line="360" w:lineRule="auto"/>
              <w:jc w:val="left"/>
              <w:rPr>
                <w:rFonts w:hint="eastAsia" w:ascii="宋体" w:hAnsi="宋体" w:eastAsia="宋体" w:cs="宋体"/>
                <w:sz w:val="24"/>
                <w:szCs w:val="21"/>
                <w:highlight w:val="none"/>
                <w:lang w:val="zh-CN"/>
              </w:rPr>
            </w:pPr>
            <w:r>
              <w:rPr>
                <w:rFonts w:hint="eastAsia" w:ascii="宋体" w:hAnsi="宋体" w:eastAsia="宋体" w:cs="Times New Roman"/>
                <w:sz w:val="24"/>
                <w:szCs w:val="24"/>
              </w:rPr>
              <w:t>60日历天（从投标截止之日算起）</w:t>
            </w:r>
          </w:p>
        </w:tc>
      </w:tr>
      <w:tr w14:paraId="3C1D3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21" w:type="dxa"/>
            <w:vMerge w:val="continue"/>
            <w:tcBorders>
              <w:left w:val="single" w:color="auto" w:sz="4" w:space="0"/>
              <w:right w:val="single" w:color="auto" w:sz="4" w:space="0"/>
            </w:tcBorders>
            <w:vAlign w:val="center"/>
          </w:tcPr>
          <w:p w14:paraId="50DA70A5">
            <w:pPr>
              <w:widowControl/>
              <w:jc w:val="left"/>
              <w:rPr>
                <w:rFonts w:hint="eastAsia" w:ascii="宋体" w:hAnsi="宋体" w:eastAsia="宋体" w:cs="Courier New"/>
                <w:sz w:val="24"/>
                <w:szCs w:val="21"/>
                <w:highlight w:val="none"/>
              </w:rPr>
            </w:pPr>
          </w:p>
        </w:tc>
        <w:tc>
          <w:tcPr>
            <w:tcW w:w="978" w:type="dxa"/>
            <w:vMerge w:val="continue"/>
            <w:tcBorders>
              <w:top w:val="single" w:color="auto" w:sz="4" w:space="0"/>
              <w:left w:val="nil"/>
              <w:bottom w:val="single" w:color="auto" w:sz="4" w:space="0"/>
              <w:right w:val="single" w:color="auto" w:sz="4" w:space="0"/>
            </w:tcBorders>
            <w:vAlign w:val="center"/>
          </w:tcPr>
          <w:p w14:paraId="67204367">
            <w:pPr>
              <w:widowControl/>
              <w:jc w:val="left"/>
              <w:rPr>
                <w:rFonts w:hint="eastAsia" w:ascii="宋体" w:hAnsi="宋体" w:eastAsia="宋体" w:cs="Courier New"/>
                <w:sz w:val="24"/>
                <w:szCs w:val="21"/>
                <w:highlight w:val="none"/>
              </w:rPr>
            </w:pPr>
          </w:p>
        </w:tc>
        <w:tc>
          <w:tcPr>
            <w:tcW w:w="2528" w:type="dxa"/>
            <w:tcBorders>
              <w:top w:val="single" w:color="auto" w:sz="4" w:space="0"/>
              <w:left w:val="nil"/>
              <w:bottom w:val="single" w:color="auto" w:sz="4" w:space="0"/>
              <w:right w:val="single" w:color="auto" w:sz="4" w:space="0"/>
            </w:tcBorders>
            <w:vAlign w:val="center"/>
          </w:tcPr>
          <w:p w14:paraId="5BC6C1F9">
            <w:pPr>
              <w:widowControl/>
              <w:spacing w:line="360" w:lineRule="auto"/>
              <w:jc w:val="center"/>
              <w:rPr>
                <w:rFonts w:hint="eastAsia" w:ascii="宋体" w:hAnsi="宋体" w:eastAsia="宋体" w:cs="宋体"/>
                <w:sz w:val="24"/>
                <w:szCs w:val="21"/>
                <w:highlight w:val="none"/>
              </w:rPr>
            </w:pPr>
            <w:r>
              <w:rPr>
                <w:rFonts w:hint="eastAsia" w:ascii="宋体" w:hAnsi="宋体" w:cs="宋体"/>
                <w:sz w:val="24"/>
              </w:rPr>
              <w:t>其他响应性</w:t>
            </w:r>
          </w:p>
        </w:tc>
        <w:tc>
          <w:tcPr>
            <w:tcW w:w="5351" w:type="dxa"/>
            <w:tcBorders>
              <w:top w:val="single" w:color="auto" w:sz="4" w:space="0"/>
              <w:left w:val="nil"/>
              <w:bottom w:val="single" w:color="auto" w:sz="4" w:space="0"/>
              <w:right w:val="single" w:color="auto" w:sz="4" w:space="0"/>
            </w:tcBorders>
            <w:vAlign w:val="center"/>
          </w:tcPr>
          <w:p w14:paraId="730C5B73">
            <w:pPr>
              <w:widowControl/>
              <w:spacing w:line="360" w:lineRule="auto"/>
              <w:rPr>
                <w:rFonts w:hint="default" w:ascii="宋体" w:hAnsi="宋体" w:eastAsia="宋体" w:cs="宋体"/>
                <w:sz w:val="24"/>
                <w:szCs w:val="21"/>
                <w:highlight w:val="none"/>
                <w:lang w:val="en-US" w:eastAsia="zh-CN"/>
              </w:rPr>
            </w:pPr>
            <w:r>
              <w:rPr>
                <w:rFonts w:hint="eastAsia" w:ascii="宋体" w:hAnsi="宋体" w:cs="宋体"/>
                <w:sz w:val="24"/>
              </w:rPr>
              <w:t>满足磋商文件的其他实质性要求</w:t>
            </w:r>
          </w:p>
        </w:tc>
      </w:tr>
    </w:tbl>
    <w:p w14:paraId="6CFC1550">
      <w:pPr>
        <w:widowControl/>
        <w:spacing w:line="400" w:lineRule="exact"/>
        <w:rPr>
          <w:rFonts w:hint="eastAsia" w:ascii="宋体" w:hAnsi="宋体" w:cs="Calibri"/>
          <w:b/>
          <w:bCs/>
          <w:kern w:val="0"/>
          <w:sz w:val="24"/>
          <w:highlight w:val="none"/>
        </w:rPr>
      </w:pPr>
    </w:p>
    <w:p w14:paraId="77F5267F">
      <w:pPr>
        <w:widowControl/>
        <w:jc w:val="left"/>
        <w:rPr>
          <w:rFonts w:hint="eastAsia" w:ascii="宋体" w:hAnsi="宋体" w:cs="Calibri"/>
          <w:b/>
          <w:bCs/>
          <w:kern w:val="0"/>
          <w:sz w:val="24"/>
          <w:highlight w:val="none"/>
        </w:rPr>
      </w:pPr>
      <w:r>
        <w:rPr>
          <w:rFonts w:ascii="宋体" w:hAnsi="宋体" w:cs="Calibri"/>
          <w:b/>
          <w:bCs/>
          <w:kern w:val="0"/>
          <w:sz w:val="24"/>
          <w:highlight w:val="none"/>
        </w:rPr>
        <w:br w:type="page"/>
      </w:r>
    </w:p>
    <w:p w14:paraId="12D2CFE6">
      <w:pPr>
        <w:widowControl/>
        <w:spacing w:line="400" w:lineRule="exact"/>
        <w:jc w:val="left"/>
        <w:rPr>
          <w:rFonts w:hint="eastAsia" w:ascii="宋体" w:hAnsi="宋体" w:cs="Calibri"/>
          <w:b/>
          <w:bCs/>
          <w:sz w:val="24"/>
          <w:highlight w:val="none"/>
        </w:rPr>
      </w:pPr>
      <w:r>
        <w:rPr>
          <w:rFonts w:hint="eastAsia" w:ascii="宋体" w:hAnsi="宋体" w:cs="Calibri"/>
          <w:b/>
          <w:bCs/>
          <w:kern w:val="0"/>
          <w:sz w:val="24"/>
          <w:highlight w:val="none"/>
        </w:rPr>
        <w:t>二、详细审查：</w:t>
      </w:r>
    </w:p>
    <w:p w14:paraId="3C7E647A">
      <w:pPr>
        <w:widowControl/>
        <w:rPr>
          <w:rFonts w:hint="eastAsia" w:ascii="宋体" w:hAnsi="宋体" w:eastAsia="宋体" w:cs="宋体"/>
          <w:sz w:val="24"/>
          <w:szCs w:val="32"/>
          <w:highlight w:val="none"/>
        </w:rPr>
      </w:pPr>
      <w:bookmarkStart w:id="204" w:name="_Toc512514899"/>
      <w:bookmarkEnd w:id="204"/>
      <w:bookmarkStart w:id="205" w:name="_Toc517179004"/>
      <w:bookmarkEnd w:id="205"/>
      <w:bookmarkStart w:id="206" w:name="_Toc16770583"/>
      <w:bookmarkEnd w:id="206"/>
      <w:bookmarkStart w:id="207" w:name="_Toc528078063"/>
      <w:bookmarkEnd w:id="207"/>
      <w:bookmarkStart w:id="208" w:name="_Toc43302814"/>
      <w:bookmarkStart w:id="209" w:name="_Toc13219"/>
      <w:r>
        <w:rPr>
          <w:rFonts w:hint="eastAsia" w:ascii="宋体" w:hAnsi="宋体" w:eastAsia="宋体" w:cs="宋体"/>
          <w:sz w:val="24"/>
          <w:szCs w:val="32"/>
          <w:highlight w:val="none"/>
        </w:rPr>
        <w:t>评分标准</w:t>
      </w:r>
      <w:bookmarkEnd w:id="208"/>
      <w:bookmarkEnd w:id="209"/>
    </w:p>
    <w:p w14:paraId="57E15F74">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分值构成(总分100分) 报价分：</w:t>
      </w:r>
      <w:r>
        <w:rPr>
          <w:rFonts w:hint="eastAsia" w:ascii="宋体" w:hAnsi="宋体" w:eastAsia="宋体" w:cs="宋体"/>
          <w:sz w:val="24"/>
          <w:szCs w:val="24"/>
          <w:highlight w:val="none"/>
          <w:lang w:val="en-US" w:eastAsia="zh-CN"/>
        </w:rPr>
        <w:t>25</w:t>
      </w:r>
      <w:r>
        <w:rPr>
          <w:rFonts w:hint="eastAsia" w:ascii="宋体" w:hAnsi="宋体" w:eastAsia="宋体" w:cs="宋体"/>
          <w:sz w:val="24"/>
          <w:szCs w:val="24"/>
          <w:highlight w:val="none"/>
        </w:rPr>
        <w:t>分</w:t>
      </w:r>
      <w:r>
        <w:rPr>
          <w:rFonts w:hint="eastAsia" w:ascii="宋体" w:hAnsi="宋体" w:eastAsia="宋体" w:cs="宋体"/>
          <w:color w:val="auto"/>
          <w:sz w:val="24"/>
          <w:szCs w:val="24"/>
          <w:highlight w:val="none"/>
        </w:rPr>
        <w:t>；技术分：</w:t>
      </w:r>
      <w:r>
        <w:rPr>
          <w:rFonts w:hint="eastAsia" w:ascii="宋体" w:hAnsi="宋体" w:eastAsia="宋体" w:cs="宋体"/>
          <w:color w:val="auto"/>
          <w:sz w:val="24"/>
          <w:szCs w:val="24"/>
          <w:highlight w:val="none"/>
          <w:lang w:val="en-US" w:eastAsia="zh-CN"/>
        </w:rPr>
        <w:t>40</w:t>
      </w:r>
      <w:r>
        <w:rPr>
          <w:rFonts w:hint="eastAsia" w:ascii="宋体" w:hAnsi="宋体" w:eastAsia="宋体" w:cs="宋体"/>
          <w:color w:val="auto"/>
          <w:sz w:val="24"/>
          <w:szCs w:val="24"/>
          <w:highlight w:val="none"/>
        </w:rPr>
        <w:t>分；商务分：</w:t>
      </w:r>
      <w:r>
        <w:rPr>
          <w:rFonts w:hint="eastAsia" w:ascii="宋体" w:hAnsi="宋体" w:eastAsia="宋体" w:cs="宋体"/>
          <w:color w:val="auto"/>
          <w:sz w:val="24"/>
          <w:szCs w:val="24"/>
          <w:highlight w:val="none"/>
          <w:lang w:val="en-US" w:eastAsia="zh-CN"/>
        </w:rPr>
        <w:t>35</w:t>
      </w:r>
      <w:r>
        <w:rPr>
          <w:rFonts w:hint="eastAsia" w:ascii="宋体" w:hAnsi="宋体" w:eastAsia="宋体" w:cs="宋体"/>
          <w:color w:val="auto"/>
          <w:sz w:val="24"/>
          <w:szCs w:val="24"/>
          <w:highlight w:val="none"/>
        </w:rPr>
        <w:t>分；</w:t>
      </w:r>
    </w:p>
    <w:p w14:paraId="7C17DBC0">
      <w:pPr>
        <w:widowControl/>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综合得分按公式计算：综合得分=报价得分＋技术得分＋商务得分；</w:t>
      </w:r>
    </w:p>
    <w:tbl>
      <w:tblPr>
        <w:tblStyle w:val="13"/>
        <w:tblpPr w:leftFromText="180" w:rightFromText="180" w:vertAnchor="text" w:horzAnchor="page" w:tblpXSpec="center" w:tblpY="460"/>
        <w:tblOverlap w:val="never"/>
        <w:tblW w:w="97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0"/>
        <w:gridCol w:w="1232"/>
        <w:gridCol w:w="749"/>
        <w:gridCol w:w="6426"/>
      </w:tblGrid>
      <w:tr w14:paraId="592F1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00" w:type="dxa"/>
            <w:tcBorders>
              <w:top w:val="single" w:color="auto" w:sz="4" w:space="0"/>
              <w:left w:val="single" w:color="auto" w:sz="4" w:space="0"/>
              <w:bottom w:val="single" w:color="auto" w:sz="4" w:space="0"/>
              <w:right w:val="single" w:color="auto" w:sz="4" w:space="0"/>
            </w:tcBorders>
          </w:tcPr>
          <w:p w14:paraId="3A564332">
            <w:pPr>
              <w:widowControl/>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评分项</w:t>
            </w:r>
          </w:p>
        </w:tc>
        <w:tc>
          <w:tcPr>
            <w:tcW w:w="1232" w:type="dxa"/>
            <w:tcBorders>
              <w:top w:val="single" w:color="auto" w:sz="4" w:space="0"/>
              <w:left w:val="nil"/>
              <w:bottom w:val="single" w:color="auto" w:sz="4" w:space="0"/>
              <w:right w:val="single" w:color="auto" w:sz="4" w:space="0"/>
            </w:tcBorders>
          </w:tcPr>
          <w:p w14:paraId="1A5CA51D">
            <w:pPr>
              <w:widowControl/>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评审内容</w:t>
            </w:r>
          </w:p>
        </w:tc>
        <w:tc>
          <w:tcPr>
            <w:tcW w:w="749" w:type="dxa"/>
            <w:tcBorders>
              <w:top w:val="single" w:color="auto" w:sz="4" w:space="0"/>
              <w:left w:val="nil"/>
              <w:bottom w:val="single" w:color="auto" w:sz="4" w:space="0"/>
              <w:right w:val="single" w:color="auto" w:sz="4" w:space="0"/>
            </w:tcBorders>
          </w:tcPr>
          <w:p w14:paraId="6F371C1B">
            <w:pPr>
              <w:widowControl/>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分值</w:t>
            </w:r>
          </w:p>
        </w:tc>
        <w:tc>
          <w:tcPr>
            <w:tcW w:w="6426" w:type="dxa"/>
            <w:tcBorders>
              <w:top w:val="single" w:color="auto" w:sz="4" w:space="0"/>
              <w:left w:val="nil"/>
              <w:bottom w:val="single" w:color="auto" w:sz="4" w:space="0"/>
              <w:right w:val="single" w:color="auto" w:sz="4" w:space="0"/>
            </w:tcBorders>
          </w:tcPr>
          <w:p w14:paraId="303E1818">
            <w:pPr>
              <w:widowControl/>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评分准则</w:t>
            </w:r>
          </w:p>
        </w:tc>
      </w:tr>
      <w:tr w14:paraId="40C62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300" w:type="dxa"/>
            <w:tcBorders>
              <w:top w:val="single" w:color="auto" w:sz="4" w:space="0"/>
              <w:left w:val="single" w:color="auto" w:sz="4" w:space="0"/>
              <w:bottom w:val="single" w:color="auto" w:sz="4" w:space="0"/>
              <w:right w:val="single" w:color="auto" w:sz="4" w:space="0"/>
            </w:tcBorders>
            <w:vAlign w:val="center"/>
          </w:tcPr>
          <w:p w14:paraId="7E1C68AD">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报价</w:t>
            </w:r>
          </w:p>
          <w:p w14:paraId="22E89F2C">
            <w:pPr>
              <w:widowControl/>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25</w:t>
            </w:r>
            <w:r>
              <w:rPr>
                <w:rFonts w:hint="eastAsia" w:ascii="宋体" w:hAnsi="宋体" w:eastAsia="宋体" w:cs="宋体"/>
                <w:sz w:val="24"/>
                <w:szCs w:val="24"/>
                <w:highlight w:val="none"/>
              </w:rPr>
              <w:t>分）</w:t>
            </w:r>
          </w:p>
        </w:tc>
        <w:tc>
          <w:tcPr>
            <w:tcW w:w="1981" w:type="dxa"/>
            <w:gridSpan w:val="2"/>
            <w:tcBorders>
              <w:top w:val="single" w:color="auto" w:sz="4" w:space="0"/>
              <w:left w:val="nil"/>
              <w:bottom w:val="single" w:color="auto" w:sz="4" w:space="0"/>
              <w:right w:val="single" w:color="auto" w:sz="4" w:space="0"/>
            </w:tcBorders>
            <w:vAlign w:val="center"/>
          </w:tcPr>
          <w:p w14:paraId="512F2B3B">
            <w:pPr>
              <w:widowControl/>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投标报价（</w:t>
            </w:r>
            <w:r>
              <w:rPr>
                <w:rFonts w:hint="eastAsia" w:ascii="宋体" w:hAnsi="宋体" w:eastAsia="宋体" w:cs="宋体"/>
                <w:sz w:val="24"/>
                <w:szCs w:val="24"/>
                <w:highlight w:val="none"/>
                <w:lang w:val="en-US" w:eastAsia="zh-CN"/>
              </w:rPr>
              <w:t>25</w:t>
            </w:r>
            <w:r>
              <w:rPr>
                <w:rFonts w:hint="eastAsia" w:ascii="宋体" w:hAnsi="宋体" w:eastAsia="宋体" w:cs="宋体"/>
                <w:sz w:val="24"/>
                <w:szCs w:val="24"/>
                <w:highlight w:val="none"/>
              </w:rPr>
              <w:t>分）</w:t>
            </w:r>
          </w:p>
        </w:tc>
        <w:tc>
          <w:tcPr>
            <w:tcW w:w="6426" w:type="dxa"/>
            <w:tcBorders>
              <w:top w:val="single" w:color="auto" w:sz="4" w:space="0"/>
              <w:left w:val="nil"/>
              <w:bottom w:val="single" w:color="auto" w:sz="4" w:space="0"/>
              <w:right w:val="single" w:color="auto" w:sz="4" w:space="0"/>
            </w:tcBorders>
          </w:tcPr>
          <w:p w14:paraId="3A31F19A">
            <w:pPr>
              <w:keepNext w:val="0"/>
              <w:keepLines w:val="0"/>
              <w:pageBreakBefore w:val="0"/>
              <w:wordWrap/>
              <w:overflowPunct/>
              <w:topLinePunct w:val="0"/>
              <w:bidi w:val="0"/>
              <w:adjustRightInd w:val="0"/>
              <w:snapToGrid w:val="0"/>
              <w:spacing w:line="360" w:lineRule="auto"/>
              <w:ind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rPr>
              <w:t>1、按照《财政部关于加强政府采购货物和服务项目价格评审管理的通知》（财库【2007】2 号）规定，综合评分法中的价格分用低价优先法计算，即满足竞争性磋商文件要求且最终磋商价格最低的磋商报价为评标基准价，其价格分为满分</w:t>
            </w:r>
            <w:r>
              <w:rPr>
                <w:rFonts w:hint="eastAsia" w:ascii="宋体" w:hAnsi="宋体" w:eastAsia="宋体" w:cs="宋体"/>
                <w:sz w:val="24"/>
                <w:szCs w:val="24"/>
                <w:lang w:val="en-US" w:eastAsia="zh-CN"/>
              </w:rPr>
              <w:t>25</w:t>
            </w:r>
            <w:r>
              <w:rPr>
                <w:rFonts w:hint="eastAsia" w:ascii="宋体" w:hAnsi="宋体" w:eastAsia="宋体" w:cs="宋体"/>
                <w:sz w:val="24"/>
                <w:szCs w:val="24"/>
                <w:highlight w:val="none"/>
              </w:rPr>
              <w:t>分。</w:t>
            </w:r>
          </w:p>
          <w:p w14:paraId="044235BB">
            <w:pPr>
              <w:keepNext w:val="0"/>
              <w:keepLines w:val="0"/>
              <w:pageBreakBefore w:val="0"/>
              <w:wordWrap/>
              <w:overflowPunct/>
              <w:topLinePunct w:val="0"/>
              <w:bidi w:val="0"/>
              <w:adjustRightInd w:val="0"/>
              <w:snapToGrid w:val="0"/>
              <w:spacing w:line="360" w:lineRule="auto"/>
              <w:ind w:firstLine="0" w:firstLineChars="0"/>
              <w:jc w:val="left"/>
              <w:rPr>
                <w:rFonts w:hint="default" w:ascii="宋体" w:hAnsi="宋体" w:eastAsia="宋体" w:cs="宋体"/>
                <w:sz w:val="24"/>
                <w:szCs w:val="24"/>
                <w:lang w:val="en-US" w:eastAsia="zh-CN"/>
              </w:rPr>
            </w:pPr>
            <w:r>
              <w:rPr>
                <w:rFonts w:hint="eastAsia" w:ascii="宋体" w:hAnsi="宋体" w:eastAsia="宋体" w:cs="宋体"/>
                <w:sz w:val="24"/>
                <w:szCs w:val="24"/>
                <w:highlight w:val="none"/>
              </w:rPr>
              <w:t>磋商报价得分=(评标基准价/最终磋商报价)×</w:t>
            </w:r>
            <w:r>
              <w:rPr>
                <w:rFonts w:hint="eastAsia" w:ascii="宋体" w:hAnsi="宋体" w:eastAsia="宋体" w:cs="宋体"/>
                <w:sz w:val="24"/>
                <w:szCs w:val="24"/>
                <w:lang w:val="en-US" w:eastAsia="zh-CN"/>
              </w:rPr>
              <w:t>25</w:t>
            </w:r>
          </w:p>
          <w:p w14:paraId="13C80369">
            <w:pPr>
              <w:keepNext w:val="0"/>
              <w:keepLines w:val="0"/>
              <w:pageBreakBefore w:val="0"/>
              <w:wordWrap/>
              <w:overflowPunct/>
              <w:topLinePunct w:val="0"/>
              <w:bidi w:val="0"/>
              <w:adjustRightInd w:val="0"/>
              <w:snapToGrid w:val="0"/>
              <w:spacing w:line="360" w:lineRule="auto"/>
              <w:ind w:firstLine="0" w:firstLineChars="0"/>
              <w:jc w:val="left"/>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lang w:val="en-US" w:eastAsia="zh-CN"/>
              </w:rPr>
              <w:t>投标人报价得分</w:t>
            </w:r>
            <w:r>
              <w:rPr>
                <w:rFonts w:hint="eastAsia" w:ascii="宋体" w:hAnsi="宋体" w:eastAsia="宋体" w:cs="宋体"/>
                <w:color w:val="auto"/>
                <w:sz w:val="24"/>
                <w:szCs w:val="24"/>
                <w:highlight w:val="none"/>
              </w:rPr>
              <w:t>保留小数点后</w:t>
            </w:r>
            <w:r>
              <w:rPr>
                <w:rFonts w:hint="eastAsia" w:ascii="宋体" w:hAnsi="宋体" w:eastAsia="宋体" w:cs="宋体"/>
                <w:color w:val="auto"/>
                <w:sz w:val="24"/>
                <w:szCs w:val="24"/>
                <w:highlight w:val="none"/>
                <w:lang w:val="en-US" w:eastAsia="zh-CN"/>
              </w:rPr>
              <w:t>两</w:t>
            </w:r>
            <w:r>
              <w:rPr>
                <w:rFonts w:hint="eastAsia" w:ascii="宋体" w:hAnsi="宋体" w:eastAsia="宋体" w:cs="宋体"/>
                <w:color w:val="auto"/>
                <w:sz w:val="24"/>
                <w:szCs w:val="24"/>
                <w:highlight w:val="none"/>
              </w:rPr>
              <w:t>位。</w:t>
            </w:r>
          </w:p>
          <w:p w14:paraId="6E94BD36">
            <w:pPr>
              <w:widowControl/>
              <w:numPr>
                <w:ilvl w:val="0"/>
                <w:numId w:val="1"/>
              </w:numPr>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根据《政府采购促进中小企业发展管理办法》（财库﹝2020﹞46 号）及《三门峡市财政局关于进一步优化提升政府采购营商环境有关事项通知》（三财购（2021）14号）及《三门峡市财政局关于进一步加大政府采购支持中小企业发展有关事项的通知》（三财购（2022）9号）《财政部、司法部关于政府采购支持监狱企业发展有关问题的通知》（财库[2014]68号）、《三部门联合发布关于促进残疾人就业政府采购政策的通知》（财库[2017]141号）的要求，对小型、微型企业、监狱企业及残疾人福利性单位产品的价格给予20%的扣除，用扣除后的价格参与评审，本项目的扣除比例为：小型企业扣除20%，微型企业扣除20%，监狱企业扣除20%，残疾人福利性单位扣除20%。监狱企业和残疾人福利性单位属于小型、微型企业的，不重复享受政策。</w:t>
            </w:r>
          </w:p>
          <w:p w14:paraId="7450EA21">
            <w:pPr>
              <w:widowControl/>
              <w:numPr>
                <w:ilvl w:val="0"/>
                <w:numId w:val="0"/>
              </w:num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default" w:ascii="宋体" w:hAnsi="宋体" w:eastAsia="宋体" w:cs="宋体"/>
                <w:color w:val="auto"/>
                <w:sz w:val="24"/>
                <w:szCs w:val="24"/>
                <w:highlight w:val="none"/>
                <w:lang w:val="en-US" w:eastAsia="zh-CN"/>
              </w:rPr>
              <w:t>、中小企业应在响应文件提供《中小企业声明函》。监狱企业应当在响应文件中提供由省级以上监狱管理局、戒毒管理局(含新疆生产建设兵团)出具的属于监狱企业的证明文件。残疾人福利性单位应当在响应文件中提供《残疾人福利性单位声明函》。</w:t>
            </w:r>
          </w:p>
          <w:p w14:paraId="06E3F7E3">
            <w:pPr>
              <w:widowControl/>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4</w:t>
            </w:r>
            <w:r>
              <w:rPr>
                <w:rFonts w:hint="default" w:ascii="宋体" w:hAnsi="宋体" w:eastAsia="宋体" w:cs="宋体"/>
                <w:color w:val="auto"/>
                <w:sz w:val="24"/>
                <w:szCs w:val="24"/>
                <w:highlight w:val="none"/>
                <w:lang w:val="en-US" w:eastAsia="zh-CN"/>
              </w:rPr>
              <w:t>、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报价处理</w:t>
            </w:r>
            <w:r>
              <w:rPr>
                <w:rFonts w:hint="eastAsia" w:ascii="宋体" w:hAnsi="宋体" w:eastAsia="宋体" w:cs="宋体"/>
                <w:color w:val="auto"/>
                <w:sz w:val="24"/>
                <w:szCs w:val="24"/>
                <w:highlight w:val="none"/>
                <w:lang w:val="en-US" w:eastAsia="zh-CN"/>
              </w:rPr>
              <w:t>。</w:t>
            </w:r>
          </w:p>
        </w:tc>
      </w:tr>
      <w:tr w14:paraId="476F7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9" w:hRule="atLeast"/>
          <w:jc w:val="center"/>
        </w:trPr>
        <w:tc>
          <w:tcPr>
            <w:tcW w:w="1300" w:type="dxa"/>
            <w:vMerge w:val="restart"/>
            <w:tcBorders>
              <w:top w:val="single" w:color="auto" w:sz="4" w:space="0"/>
              <w:left w:val="single" w:color="auto" w:sz="4" w:space="0"/>
              <w:right w:val="single" w:color="auto" w:sz="4" w:space="0"/>
            </w:tcBorders>
            <w:vAlign w:val="center"/>
          </w:tcPr>
          <w:p w14:paraId="0D37FEF3">
            <w:pPr>
              <w:widowControl/>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技术</w:t>
            </w:r>
            <w:r>
              <w:rPr>
                <w:rFonts w:hint="eastAsia" w:ascii="宋体" w:hAnsi="宋体" w:eastAsia="宋体" w:cs="宋体"/>
                <w:color w:val="auto"/>
                <w:sz w:val="24"/>
                <w:szCs w:val="24"/>
                <w:highlight w:val="none"/>
                <w:lang w:eastAsia="zh-CN"/>
              </w:rPr>
              <w:t>部分</w:t>
            </w:r>
          </w:p>
          <w:p w14:paraId="383C749D">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40</w:t>
            </w:r>
            <w:r>
              <w:rPr>
                <w:rFonts w:hint="eastAsia" w:ascii="宋体" w:hAnsi="宋体" w:eastAsia="宋体" w:cs="宋体"/>
                <w:color w:val="auto"/>
                <w:sz w:val="24"/>
                <w:szCs w:val="24"/>
                <w:highlight w:val="none"/>
              </w:rPr>
              <w:t>分）</w:t>
            </w:r>
          </w:p>
        </w:tc>
        <w:tc>
          <w:tcPr>
            <w:tcW w:w="1981" w:type="dxa"/>
            <w:gridSpan w:val="2"/>
            <w:tcBorders>
              <w:top w:val="single" w:color="auto" w:sz="4" w:space="0"/>
              <w:left w:val="nil"/>
              <w:bottom w:val="single" w:color="auto" w:sz="4" w:space="0"/>
              <w:right w:val="single" w:color="auto" w:sz="4" w:space="0"/>
            </w:tcBorders>
            <w:vAlign w:val="center"/>
          </w:tcPr>
          <w:p w14:paraId="031B7C1D">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服务及供货方案</w:t>
            </w:r>
          </w:p>
          <w:p w14:paraId="6750951F">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sz w:val="24"/>
                <w:szCs w:val="24"/>
              </w:rPr>
              <w:t>(8分)</w:t>
            </w:r>
          </w:p>
        </w:tc>
        <w:tc>
          <w:tcPr>
            <w:tcW w:w="6426" w:type="dxa"/>
            <w:tcBorders>
              <w:top w:val="single" w:color="auto" w:sz="4" w:space="0"/>
              <w:left w:val="nil"/>
              <w:bottom w:val="single" w:color="auto" w:sz="4" w:space="0"/>
              <w:right w:val="single" w:color="auto" w:sz="4" w:space="0"/>
            </w:tcBorders>
            <w:vAlign w:val="center"/>
          </w:tcPr>
          <w:p w14:paraId="4928F4D6">
            <w:pPr>
              <w:adjustRightInd w:val="0"/>
              <w:snapToGrid w:val="0"/>
              <w:spacing w:line="360" w:lineRule="auto"/>
              <w:jc w:val="left"/>
              <w:rPr>
                <w:rFonts w:hint="eastAsia" w:ascii="宋体" w:hAnsi="宋体" w:eastAsia="宋体" w:cs="宋体"/>
                <w:sz w:val="24"/>
                <w:szCs w:val="24"/>
                <w:lang w:eastAsia="zh-CN"/>
              </w:rPr>
            </w:pPr>
            <w:r>
              <w:rPr>
                <w:rFonts w:hint="eastAsia" w:ascii="宋体" w:hAnsi="宋体" w:eastAsia="宋体" w:cs="宋体"/>
                <w:sz w:val="24"/>
                <w:szCs w:val="24"/>
              </w:rPr>
              <w:t>供应商为本项目提供切合实际的服务流程、服务保障体系及措施</w:t>
            </w:r>
            <w:r>
              <w:rPr>
                <w:rFonts w:hint="eastAsia" w:ascii="宋体" w:hAnsi="宋体" w:eastAsia="宋体" w:cs="宋体"/>
                <w:sz w:val="24"/>
                <w:szCs w:val="24"/>
                <w:lang w:eastAsia="zh-CN"/>
              </w:rPr>
              <w:t>，</w:t>
            </w:r>
            <w:r>
              <w:rPr>
                <w:rFonts w:hint="eastAsia" w:ascii="宋体" w:hAnsi="宋体" w:eastAsia="宋体" w:cs="宋体"/>
                <w:sz w:val="24"/>
                <w:szCs w:val="24"/>
              </w:rPr>
              <w:t>各服务质量环节的管理机制齐全，有明确的运输配送计划及管理方案，服务人员配置合理，有详细的配送流程图、配送时效、配送方式等内容科学合理完善得8分</w:t>
            </w:r>
            <w:r>
              <w:rPr>
                <w:rFonts w:hint="eastAsia" w:ascii="宋体" w:hAnsi="宋体" w:eastAsia="宋体" w:cs="宋体"/>
                <w:sz w:val="24"/>
                <w:szCs w:val="24"/>
                <w:lang w:eastAsia="zh-CN"/>
              </w:rPr>
              <w:t>；</w:t>
            </w:r>
          </w:p>
          <w:p w14:paraId="6B099DD3">
            <w:pPr>
              <w:adjustRightInd w:val="0"/>
              <w:snapToGrid w:val="0"/>
              <w:spacing w:line="360" w:lineRule="auto"/>
              <w:jc w:val="left"/>
              <w:rPr>
                <w:rFonts w:hint="eastAsia" w:ascii="宋体" w:hAnsi="宋体" w:eastAsia="宋体" w:cs="宋体"/>
                <w:sz w:val="24"/>
                <w:szCs w:val="24"/>
                <w:lang w:eastAsia="zh-CN"/>
              </w:rPr>
            </w:pPr>
            <w:r>
              <w:rPr>
                <w:rFonts w:hint="eastAsia" w:ascii="宋体" w:hAnsi="宋体" w:eastAsia="宋体" w:cs="宋体"/>
                <w:sz w:val="24"/>
                <w:szCs w:val="24"/>
              </w:rPr>
              <w:t>服务保障体系及措施，服务质量环节的管理机制基本齐全，有运输配送计划及管理方案等内容，可以满足项目的需要，但有个别细节需要进一步完善或提高者得4分</w:t>
            </w:r>
            <w:r>
              <w:rPr>
                <w:rFonts w:hint="eastAsia" w:ascii="宋体" w:hAnsi="宋体" w:eastAsia="宋体" w:cs="宋体"/>
                <w:sz w:val="24"/>
                <w:szCs w:val="24"/>
                <w:lang w:eastAsia="zh-CN"/>
              </w:rPr>
              <w:t>；</w:t>
            </w:r>
          </w:p>
          <w:p w14:paraId="431044A8">
            <w:pPr>
              <w:adjustRightInd w:val="0"/>
              <w:snapToGrid w:val="0"/>
              <w:spacing w:line="360" w:lineRule="auto"/>
              <w:jc w:val="left"/>
              <w:rPr>
                <w:rFonts w:hint="eastAsia" w:ascii="宋体" w:hAnsi="宋体" w:eastAsia="宋体" w:cs="宋体"/>
                <w:color w:val="0000FF"/>
                <w:sz w:val="24"/>
                <w:szCs w:val="24"/>
                <w:highlight w:val="none"/>
              </w:rPr>
            </w:pPr>
            <w:r>
              <w:rPr>
                <w:rFonts w:hint="eastAsia" w:ascii="宋体" w:hAnsi="宋体" w:eastAsia="宋体" w:cs="宋体"/>
                <w:sz w:val="24"/>
                <w:szCs w:val="24"/>
              </w:rPr>
              <w:t>供应商提供的供货服务方案简单，无具体的服务保障措施及明确的运输配送计划，针对性差，不能满足项目需求，得2分</w:t>
            </w:r>
            <w:r>
              <w:rPr>
                <w:rFonts w:hint="eastAsia" w:ascii="宋体" w:hAnsi="宋体" w:eastAsia="宋体" w:cs="宋体"/>
                <w:sz w:val="24"/>
                <w:szCs w:val="24"/>
                <w:lang w:eastAsia="zh-CN"/>
              </w:rPr>
              <w:t>；</w:t>
            </w:r>
            <w:r>
              <w:rPr>
                <w:rFonts w:hint="eastAsia" w:ascii="宋体" w:hAnsi="宋体" w:eastAsia="宋体" w:cs="宋体"/>
                <w:sz w:val="24"/>
                <w:szCs w:val="24"/>
              </w:rPr>
              <w:t>缺项</w:t>
            </w:r>
            <w:r>
              <w:rPr>
                <w:rFonts w:hint="eastAsia" w:ascii="宋体" w:hAnsi="宋体" w:eastAsia="宋体" w:cs="宋体"/>
                <w:sz w:val="24"/>
                <w:szCs w:val="24"/>
                <w:lang w:val="en-US" w:eastAsia="zh-CN"/>
              </w:rPr>
              <w:t>不得分。</w:t>
            </w:r>
          </w:p>
        </w:tc>
      </w:tr>
      <w:tr w14:paraId="00C41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9" w:hRule="atLeast"/>
          <w:jc w:val="center"/>
        </w:trPr>
        <w:tc>
          <w:tcPr>
            <w:tcW w:w="1300" w:type="dxa"/>
            <w:vMerge w:val="continue"/>
            <w:tcBorders>
              <w:left w:val="single" w:color="auto" w:sz="4" w:space="0"/>
              <w:right w:val="single" w:color="auto" w:sz="4" w:space="0"/>
            </w:tcBorders>
            <w:vAlign w:val="center"/>
          </w:tcPr>
          <w:p w14:paraId="1CD8A4B2">
            <w:pPr>
              <w:widowControl/>
              <w:spacing w:line="360" w:lineRule="auto"/>
              <w:jc w:val="center"/>
              <w:rPr>
                <w:rFonts w:hint="eastAsia" w:ascii="宋体" w:hAnsi="宋体" w:eastAsia="宋体" w:cs="宋体"/>
                <w:color w:val="auto"/>
                <w:sz w:val="24"/>
                <w:szCs w:val="24"/>
                <w:highlight w:val="none"/>
              </w:rPr>
            </w:pPr>
          </w:p>
        </w:tc>
        <w:tc>
          <w:tcPr>
            <w:tcW w:w="1981" w:type="dxa"/>
            <w:gridSpan w:val="2"/>
            <w:tcBorders>
              <w:top w:val="single" w:color="auto" w:sz="4" w:space="0"/>
              <w:left w:val="nil"/>
              <w:bottom w:val="single" w:color="auto" w:sz="4" w:space="0"/>
              <w:right w:val="single" w:color="auto" w:sz="4" w:space="0"/>
            </w:tcBorders>
            <w:vAlign w:val="center"/>
          </w:tcPr>
          <w:p w14:paraId="289F80EA">
            <w:pPr>
              <w:widowControl/>
              <w:spacing w:line="340" w:lineRule="exact"/>
              <w:jc w:val="center"/>
              <w:rPr>
                <w:rFonts w:hint="eastAsia" w:ascii="宋体" w:hAnsi="宋体" w:eastAsia="宋体" w:cs="宋体"/>
                <w:color w:val="auto"/>
                <w:sz w:val="24"/>
                <w:szCs w:val="24"/>
                <w:highlight w:val="none"/>
                <w:lang w:val="zh-CN"/>
              </w:rPr>
            </w:pPr>
            <w:r>
              <w:rPr>
                <w:rFonts w:hint="eastAsia" w:ascii="宋体" w:hAnsi="宋体" w:eastAsia="宋体" w:cs="宋体"/>
                <w:sz w:val="24"/>
                <w:szCs w:val="24"/>
              </w:rPr>
              <w:t>质量保证与控制措施(8分)</w:t>
            </w:r>
          </w:p>
        </w:tc>
        <w:tc>
          <w:tcPr>
            <w:tcW w:w="6426" w:type="dxa"/>
            <w:tcBorders>
              <w:top w:val="single" w:color="auto" w:sz="4" w:space="0"/>
              <w:left w:val="nil"/>
              <w:bottom w:val="single" w:color="auto" w:sz="4" w:space="0"/>
              <w:right w:val="single" w:color="auto" w:sz="4" w:space="0"/>
            </w:tcBorders>
            <w:vAlign w:val="center"/>
          </w:tcPr>
          <w:p w14:paraId="221FD894">
            <w:pPr>
              <w:widowControl/>
              <w:adjustRightInd w:val="0"/>
              <w:snapToGrid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有配送中药质量保障措施，包括但不限于:中药供应渠道保障、运输中安全质量保障、中药仓储保障措施等</w:t>
            </w:r>
            <w:r>
              <w:rPr>
                <w:rFonts w:hint="eastAsia" w:ascii="宋体" w:hAnsi="宋体" w:eastAsia="宋体" w:cs="宋体"/>
                <w:sz w:val="24"/>
                <w:szCs w:val="24"/>
                <w:lang w:eastAsia="zh-CN"/>
              </w:rPr>
              <w:t>；</w:t>
            </w:r>
            <w:r>
              <w:rPr>
                <w:rFonts w:hint="eastAsia" w:ascii="宋体" w:hAnsi="宋体" w:eastAsia="宋体" w:cs="宋体"/>
                <w:sz w:val="24"/>
                <w:szCs w:val="24"/>
              </w:rPr>
              <w:t>对质量控制的各个环节描述详细具体，考虑周全，并对质量控制的重点环节有严格的管理标准，质检设施完备，措施到位针对性强，完全能够满足项目的需要得8分</w:t>
            </w:r>
            <w:r>
              <w:rPr>
                <w:rFonts w:hint="eastAsia" w:ascii="宋体" w:hAnsi="宋体" w:eastAsia="宋体" w:cs="宋体"/>
                <w:sz w:val="24"/>
                <w:szCs w:val="24"/>
                <w:lang w:eastAsia="zh-CN"/>
              </w:rPr>
              <w:t>；</w:t>
            </w:r>
            <w:r>
              <w:rPr>
                <w:rFonts w:hint="eastAsia" w:ascii="宋体" w:hAnsi="宋体" w:eastAsia="宋体" w:cs="宋体"/>
                <w:sz w:val="24"/>
                <w:szCs w:val="24"/>
              </w:rPr>
              <w:t>质量控制方案，对质量控制的各个环节描述完整，对质量控制的重点环节分析较完善，有针对性，可以满足项目的需要，但有个别细节需要进一步完善或提高得4分</w:t>
            </w:r>
            <w:r>
              <w:rPr>
                <w:rFonts w:hint="eastAsia" w:ascii="宋体" w:hAnsi="宋体" w:eastAsia="宋体" w:cs="宋体"/>
                <w:sz w:val="24"/>
                <w:szCs w:val="24"/>
                <w:lang w:eastAsia="zh-CN"/>
              </w:rPr>
              <w:t>；</w:t>
            </w:r>
          </w:p>
          <w:p w14:paraId="51739343">
            <w:pPr>
              <w:widowControl/>
              <w:adjustRightInd w:val="0"/>
              <w:snapToGrid w:val="0"/>
              <w:spacing w:line="360" w:lineRule="auto"/>
              <w:rPr>
                <w:rFonts w:hint="eastAsia" w:ascii="宋体" w:hAnsi="宋体" w:cs="宋体"/>
                <w:kern w:val="0"/>
                <w:sz w:val="24"/>
              </w:rPr>
            </w:pPr>
            <w:r>
              <w:rPr>
                <w:rFonts w:hint="eastAsia" w:ascii="宋体" w:hAnsi="宋体" w:eastAsia="宋体" w:cs="宋体"/>
                <w:sz w:val="24"/>
                <w:szCs w:val="24"/>
              </w:rPr>
              <w:t>质量控制方案对质量控制的各个环节描述简单，内容不完整，针对性差，不能满足项目需求，得2分</w:t>
            </w:r>
            <w:r>
              <w:rPr>
                <w:rFonts w:hint="eastAsia" w:ascii="宋体" w:hAnsi="宋体" w:eastAsia="宋体" w:cs="宋体"/>
                <w:sz w:val="24"/>
                <w:szCs w:val="24"/>
                <w:lang w:eastAsia="zh-CN"/>
              </w:rPr>
              <w:t>；</w:t>
            </w:r>
            <w:r>
              <w:rPr>
                <w:rFonts w:hint="eastAsia" w:ascii="宋体" w:hAnsi="宋体" w:eastAsia="宋体" w:cs="宋体"/>
                <w:sz w:val="24"/>
                <w:szCs w:val="24"/>
              </w:rPr>
              <w:t>缺项</w:t>
            </w:r>
            <w:r>
              <w:rPr>
                <w:rFonts w:hint="eastAsia" w:ascii="宋体" w:hAnsi="宋体" w:eastAsia="宋体" w:cs="宋体"/>
                <w:sz w:val="24"/>
                <w:szCs w:val="24"/>
                <w:lang w:val="en-US" w:eastAsia="zh-CN"/>
              </w:rPr>
              <w:t>不得分。</w:t>
            </w:r>
          </w:p>
        </w:tc>
      </w:tr>
      <w:tr w14:paraId="55B29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9" w:hRule="atLeast"/>
          <w:jc w:val="center"/>
        </w:trPr>
        <w:tc>
          <w:tcPr>
            <w:tcW w:w="1300" w:type="dxa"/>
            <w:vMerge w:val="continue"/>
            <w:tcBorders>
              <w:left w:val="single" w:color="auto" w:sz="4" w:space="0"/>
              <w:right w:val="single" w:color="auto" w:sz="4" w:space="0"/>
            </w:tcBorders>
            <w:vAlign w:val="center"/>
          </w:tcPr>
          <w:p w14:paraId="3A4A3BFB">
            <w:pPr>
              <w:widowControl/>
              <w:spacing w:line="360" w:lineRule="auto"/>
              <w:jc w:val="center"/>
              <w:rPr>
                <w:rFonts w:hint="eastAsia" w:ascii="宋体" w:hAnsi="宋体" w:eastAsia="宋体" w:cs="宋体"/>
                <w:color w:val="auto"/>
                <w:sz w:val="24"/>
                <w:szCs w:val="24"/>
                <w:highlight w:val="none"/>
              </w:rPr>
            </w:pPr>
          </w:p>
        </w:tc>
        <w:tc>
          <w:tcPr>
            <w:tcW w:w="1981" w:type="dxa"/>
            <w:gridSpan w:val="2"/>
            <w:tcBorders>
              <w:top w:val="single" w:color="auto" w:sz="4" w:space="0"/>
              <w:left w:val="nil"/>
              <w:bottom w:val="single" w:color="auto" w:sz="4" w:space="0"/>
              <w:right w:val="single" w:color="auto" w:sz="4" w:space="0"/>
            </w:tcBorders>
            <w:vAlign w:val="center"/>
          </w:tcPr>
          <w:p w14:paraId="3D0223A5">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紧急响应应变方案</w:t>
            </w:r>
          </w:p>
          <w:p w14:paraId="0BDF88DD">
            <w:pPr>
              <w:adjustRightInd w:val="0"/>
              <w:snapToGrid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sz w:val="24"/>
                <w:szCs w:val="24"/>
              </w:rPr>
              <w:t>(8分)</w:t>
            </w:r>
          </w:p>
        </w:tc>
        <w:tc>
          <w:tcPr>
            <w:tcW w:w="6426" w:type="dxa"/>
            <w:tcBorders>
              <w:top w:val="single" w:color="auto" w:sz="4" w:space="0"/>
              <w:left w:val="nil"/>
              <w:bottom w:val="single" w:color="auto" w:sz="4" w:space="0"/>
              <w:right w:val="single" w:color="auto" w:sz="4" w:space="0"/>
            </w:tcBorders>
            <w:vAlign w:val="center"/>
          </w:tcPr>
          <w:p w14:paraId="1C57EBB0">
            <w:pPr>
              <w:adjustRightInd w:val="0"/>
              <w:snapToGrid w:val="0"/>
              <w:spacing w:line="360" w:lineRule="auto"/>
              <w:jc w:val="left"/>
              <w:rPr>
                <w:rFonts w:hint="eastAsia" w:ascii="宋体" w:hAnsi="宋体" w:eastAsia="宋体" w:cs="宋体"/>
                <w:sz w:val="24"/>
                <w:szCs w:val="24"/>
                <w:lang w:eastAsia="zh-CN"/>
              </w:rPr>
            </w:pPr>
            <w:r>
              <w:rPr>
                <w:rFonts w:hint="eastAsia" w:ascii="宋体" w:hAnsi="宋体" w:eastAsia="宋体" w:cs="宋体"/>
                <w:sz w:val="24"/>
                <w:szCs w:val="24"/>
              </w:rPr>
              <w:t>供应商针对紧急响应应变方案(如停水、停电、恶劣天气等情况</w:t>
            </w:r>
            <w:r>
              <w:rPr>
                <w:rFonts w:hint="eastAsia" w:ascii="宋体" w:hAnsi="宋体" w:eastAsia="宋体" w:cs="宋体"/>
                <w:sz w:val="24"/>
                <w:szCs w:val="24"/>
                <w:lang w:eastAsia="zh-CN"/>
              </w:rPr>
              <w:t>）</w:t>
            </w:r>
            <w:r>
              <w:rPr>
                <w:rFonts w:hint="eastAsia" w:ascii="宋体" w:hAnsi="宋体" w:eastAsia="宋体" w:cs="宋体"/>
                <w:sz w:val="24"/>
                <w:szCs w:val="24"/>
              </w:rPr>
              <w:t>和采购方紧急需求采取的临时紧急配送方案措施，包括配送位置、人员与车辆配备、到达时间、到达路线等。方案内容详实，方案科学、合理、安全，考虑周全，措施到位，针对性强，完全能够满足项目的需要得8分</w:t>
            </w:r>
            <w:r>
              <w:rPr>
                <w:rFonts w:hint="eastAsia" w:ascii="宋体" w:hAnsi="宋体" w:eastAsia="宋体" w:cs="宋体"/>
                <w:sz w:val="24"/>
                <w:szCs w:val="24"/>
                <w:lang w:eastAsia="zh-CN"/>
              </w:rPr>
              <w:t>；</w:t>
            </w:r>
          </w:p>
          <w:p w14:paraId="537DDB04">
            <w:pPr>
              <w:adjustRightInd w:val="0"/>
              <w:snapToGrid w:val="0"/>
              <w:spacing w:line="360" w:lineRule="auto"/>
              <w:jc w:val="left"/>
              <w:rPr>
                <w:rFonts w:hint="eastAsia" w:ascii="宋体" w:hAnsi="宋体" w:eastAsia="宋体" w:cs="宋体"/>
                <w:sz w:val="24"/>
                <w:szCs w:val="24"/>
                <w:lang w:eastAsia="zh-CN"/>
              </w:rPr>
            </w:pPr>
            <w:r>
              <w:rPr>
                <w:rFonts w:hint="eastAsia" w:ascii="宋体" w:hAnsi="宋体" w:eastAsia="宋体" w:cs="宋体"/>
                <w:sz w:val="24"/>
                <w:szCs w:val="24"/>
              </w:rPr>
              <w:t>紧急响应应变方案和临时紧急配送方案措施各个环节内容完整，方案完善，有针对性，可以满足项目的需要，但有个别细节需要进一步完善或提高得4分</w:t>
            </w:r>
            <w:r>
              <w:rPr>
                <w:rFonts w:hint="eastAsia" w:ascii="宋体" w:hAnsi="宋体" w:eastAsia="宋体" w:cs="宋体"/>
                <w:sz w:val="24"/>
                <w:szCs w:val="24"/>
                <w:lang w:eastAsia="zh-CN"/>
              </w:rPr>
              <w:t>；</w:t>
            </w:r>
          </w:p>
          <w:p w14:paraId="0BE548CB">
            <w:pPr>
              <w:adjustRightInd w:val="0"/>
              <w:snapToGrid w:val="0"/>
              <w:spacing w:line="360" w:lineRule="auto"/>
              <w:jc w:val="left"/>
              <w:rPr>
                <w:rFonts w:hint="eastAsia" w:ascii="宋体" w:hAnsi="宋体" w:cs="宋体"/>
                <w:kern w:val="0"/>
                <w:sz w:val="24"/>
              </w:rPr>
            </w:pPr>
            <w:r>
              <w:rPr>
                <w:rFonts w:hint="eastAsia" w:ascii="宋体" w:hAnsi="宋体" w:eastAsia="宋体" w:cs="宋体"/>
                <w:sz w:val="24"/>
                <w:szCs w:val="24"/>
              </w:rPr>
              <w:t>方案内容不完整，各环节描述简单，针对性差，不能满足项目需求，得2分</w:t>
            </w:r>
            <w:r>
              <w:rPr>
                <w:rFonts w:hint="eastAsia" w:ascii="宋体" w:hAnsi="宋体" w:eastAsia="宋体" w:cs="宋体"/>
                <w:sz w:val="24"/>
                <w:szCs w:val="24"/>
                <w:lang w:eastAsia="zh-CN"/>
              </w:rPr>
              <w:t>；</w:t>
            </w:r>
            <w:r>
              <w:rPr>
                <w:rFonts w:hint="eastAsia" w:ascii="宋体" w:hAnsi="宋体" w:eastAsia="宋体" w:cs="宋体"/>
                <w:sz w:val="24"/>
                <w:szCs w:val="24"/>
              </w:rPr>
              <w:t>缺项</w:t>
            </w:r>
            <w:r>
              <w:rPr>
                <w:rFonts w:hint="eastAsia" w:ascii="宋体" w:hAnsi="宋体" w:eastAsia="宋体" w:cs="宋体"/>
                <w:sz w:val="24"/>
                <w:szCs w:val="24"/>
                <w:lang w:val="en-US" w:eastAsia="zh-CN"/>
              </w:rPr>
              <w:t>不得分。</w:t>
            </w:r>
          </w:p>
        </w:tc>
      </w:tr>
      <w:tr w14:paraId="1EE5C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9" w:hRule="atLeast"/>
          <w:jc w:val="center"/>
        </w:trPr>
        <w:tc>
          <w:tcPr>
            <w:tcW w:w="1300" w:type="dxa"/>
            <w:vMerge w:val="continue"/>
            <w:tcBorders>
              <w:left w:val="single" w:color="auto" w:sz="4" w:space="0"/>
              <w:right w:val="single" w:color="auto" w:sz="4" w:space="0"/>
            </w:tcBorders>
            <w:vAlign w:val="center"/>
          </w:tcPr>
          <w:p w14:paraId="4D638A71">
            <w:pPr>
              <w:widowControl/>
              <w:spacing w:line="360" w:lineRule="auto"/>
              <w:jc w:val="center"/>
              <w:rPr>
                <w:rFonts w:hint="eastAsia" w:ascii="宋体" w:hAnsi="宋体" w:eastAsia="宋体" w:cs="宋体"/>
                <w:color w:val="auto"/>
                <w:sz w:val="24"/>
                <w:szCs w:val="24"/>
                <w:highlight w:val="none"/>
              </w:rPr>
            </w:pPr>
          </w:p>
        </w:tc>
        <w:tc>
          <w:tcPr>
            <w:tcW w:w="1981" w:type="dxa"/>
            <w:gridSpan w:val="2"/>
            <w:tcBorders>
              <w:top w:val="single" w:color="auto" w:sz="4" w:space="0"/>
              <w:left w:val="nil"/>
              <w:bottom w:val="single" w:color="auto" w:sz="4" w:space="0"/>
              <w:right w:val="single" w:color="auto" w:sz="4" w:space="0"/>
            </w:tcBorders>
            <w:vAlign w:val="center"/>
          </w:tcPr>
          <w:p w14:paraId="3BF78898">
            <w:pPr>
              <w:adjustRightInd w:val="0"/>
              <w:snapToGrid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sz w:val="24"/>
                <w:szCs w:val="24"/>
                <w:lang w:eastAsia="zh-CN"/>
              </w:rPr>
              <w:t>针对医院现有业务的接替措施及解决方案(8分)</w:t>
            </w:r>
          </w:p>
        </w:tc>
        <w:tc>
          <w:tcPr>
            <w:tcW w:w="6426" w:type="dxa"/>
            <w:tcBorders>
              <w:top w:val="single" w:color="auto" w:sz="4" w:space="0"/>
              <w:left w:val="nil"/>
              <w:bottom w:val="single" w:color="auto" w:sz="4" w:space="0"/>
              <w:right w:val="single" w:color="auto" w:sz="4" w:space="0"/>
            </w:tcBorders>
            <w:vAlign w:val="center"/>
          </w:tcPr>
          <w:p w14:paraId="55D9BAB2">
            <w:pPr>
              <w:adjustRightInd w:val="0"/>
              <w:snapToGrid w:val="0"/>
              <w:spacing w:line="360" w:lineRule="auto"/>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针对医院现有业务的接替措施及解决方案，内容详实，方案科学，考虑周全，措施到位，针对性强，完全能够保证用人单位的正常工作不受影响得8分；</w:t>
            </w:r>
          </w:p>
          <w:p w14:paraId="5B35AD01">
            <w:pPr>
              <w:adjustRightInd w:val="0"/>
              <w:snapToGrid w:val="0"/>
              <w:spacing w:line="360" w:lineRule="auto"/>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内容完整，方案合理，不够详实，可以满足项目的需要，但有个别细节需要进一步完善或提高者得4分；</w:t>
            </w:r>
          </w:p>
          <w:p w14:paraId="4FA8F528">
            <w:pPr>
              <w:adjustRightInd w:val="0"/>
              <w:snapToGrid w:val="0"/>
              <w:spacing w:line="360" w:lineRule="auto"/>
              <w:jc w:val="left"/>
              <w:rPr>
                <w:rFonts w:hint="eastAsia" w:ascii="宋体" w:hAnsi="宋体" w:cs="宋体"/>
                <w:kern w:val="0"/>
                <w:sz w:val="24"/>
              </w:rPr>
            </w:pPr>
            <w:r>
              <w:rPr>
                <w:rFonts w:hint="eastAsia" w:ascii="宋体" w:hAnsi="宋体" w:eastAsia="宋体" w:cs="宋体"/>
                <w:sz w:val="24"/>
                <w:szCs w:val="24"/>
                <w:lang w:eastAsia="zh-CN"/>
              </w:rPr>
              <w:t>内容不完整，考虑不够周全，针对性差，不能满足项目需求，得</w:t>
            </w:r>
            <w:r>
              <w:rPr>
                <w:rFonts w:hint="eastAsia" w:ascii="宋体" w:hAnsi="宋体" w:eastAsia="宋体" w:cs="宋体"/>
                <w:sz w:val="24"/>
                <w:szCs w:val="24"/>
              </w:rPr>
              <w:t>2分</w:t>
            </w:r>
            <w:r>
              <w:rPr>
                <w:rFonts w:hint="eastAsia" w:ascii="宋体" w:hAnsi="宋体" w:eastAsia="宋体" w:cs="宋体"/>
                <w:sz w:val="24"/>
                <w:szCs w:val="24"/>
                <w:lang w:eastAsia="zh-CN"/>
              </w:rPr>
              <w:t>；</w:t>
            </w:r>
            <w:r>
              <w:rPr>
                <w:rFonts w:hint="eastAsia" w:ascii="宋体" w:hAnsi="宋体" w:eastAsia="宋体" w:cs="宋体"/>
                <w:sz w:val="24"/>
                <w:szCs w:val="24"/>
              </w:rPr>
              <w:t>缺项</w:t>
            </w:r>
            <w:r>
              <w:rPr>
                <w:rFonts w:hint="eastAsia" w:ascii="宋体" w:hAnsi="宋体" w:eastAsia="宋体" w:cs="宋体"/>
                <w:sz w:val="24"/>
                <w:szCs w:val="24"/>
                <w:lang w:val="en-US" w:eastAsia="zh-CN"/>
              </w:rPr>
              <w:t>不得分。</w:t>
            </w:r>
          </w:p>
        </w:tc>
      </w:tr>
      <w:tr w14:paraId="4FAA2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9" w:hRule="atLeast"/>
          <w:jc w:val="center"/>
        </w:trPr>
        <w:tc>
          <w:tcPr>
            <w:tcW w:w="1300" w:type="dxa"/>
            <w:vMerge w:val="continue"/>
            <w:tcBorders>
              <w:left w:val="single" w:color="auto" w:sz="4" w:space="0"/>
              <w:right w:val="single" w:color="auto" w:sz="4" w:space="0"/>
            </w:tcBorders>
            <w:vAlign w:val="center"/>
          </w:tcPr>
          <w:p w14:paraId="6D578050">
            <w:pPr>
              <w:widowControl/>
              <w:spacing w:line="360" w:lineRule="auto"/>
              <w:jc w:val="center"/>
              <w:rPr>
                <w:rFonts w:hint="eastAsia" w:ascii="宋体" w:hAnsi="宋体" w:eastAsia="宋体" w:cs="宋体"/>
                <w:color w:val="auto"/>
                <w:sz w:val="24"/>
                <w:szCs w:val="24"/>
                <w:highlight w:val="none"/>
              </w:rPr>
            </w:pPr>
          </w:p>
        </w:tc>
        <w:tc>
          <w:tcPr>
            <w:tcW w:w="1981" w:type="dxa"/>
            <w:gridSpan w:val="2"/>
            <w:tcBorders>
              <w:top w:val="single" w:color="auto" w:sz="4" w:space="0"/>
              <w:left w:val="nil"/>
              <w:bottom w:val="single" w:color="auto" w:sz="4" w:space="0"/>
              <w:right w:val="single" w:color="auto" w:sz="4" w:space="0"/>
            </w:tcBorders>
            <w:vAlign w:val="center"/>
          </w:tcPr>
          <w:p w14:paraId="3134ECD0">
            <w:pPr>
              <w:adjustRightInd w:val="0"/>
              <w:snapToGrid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sz w:val="24"/>
                <w:szCs w:val="24"/>
              </w:rPr>
              <w:t>本地化服务及沟通方案(8分)</w:t>
            </w:r>
          </w:p>
        </w:tc>
        <w:tc>
          <w:tcPr>
            <w:tcW w:w="6426" w:type="dxa"/>
            <w:tcBorders>
              <w:top w:val="single" w:color="auto" w:sz="4" w:space="0"/>
              <w:left w:val="nil"/>
              <w:bottom w:val="single" w:color="auto" w:sz="4" w:space="0"/>
              <w:right w:val="single" w:color="auto" w:sz="4" w:space="0"/>
            </w:tcBorders>
            <w:vAlign w:val="center"/>
          </w:tcPr>
          <w:p w14:paraId="13D218B2">
            <w:pPr>
              <w:adjustRightInd w:val="0"/>
              <w:snapToGrid w:val="0"/>
              <w:spacing w:line="360" w:lineRule="auto"/>
              <w:jc w:val="left"/>
              <w:rPr>
                <w:rFonts w:hint="eastAsia" w:ascii="宋体" w:hAnsi="宋体" w:eastAsia="宋体" w:cs="宋体"/>
                <w:sz w:val="24"/>
                <w:szCs w:val="24"/>
                <w:lang w:eastAsia="zh-CN"/>
              </w:rPr>
            </w:pPr>
            <w:r>
              <w:rPr>
                <w:rFonts w:hint="eastAsia" w:ascii="宋体" w:hAnsi="宋体" w:eastAsia="宋体" w:cs="宋体"/>
                <w:sz w:val="24"/>
                <w:szCs w:val="24"/>
              </w:rPr>
              <w:t>本项目采购非一次性供应物资，将分多批次供货，供应商应根据项目实际情况提供本地化服务的方案及为良好完成本项目的沟通服务方案。本地化服务及沟通方案内容详实，方案科学、合理、安全，考虑周全，措施到位，针对性强，完全能够满足招标的需要得8分</w:t>
            </w:r>
            <w:r>
              <w:rPr>
                <w:rFonts w:hint="eastAsia" w:ascii="宋体" w:hAnsi="宋体" w:eastAsia="宋体" w:cs="宋体"/>
                <w:sz w:val="24"/>
                <w:szCs w:val="24"/>
                <w:lang w:eastAsia="zh-CN"/>
              </w:rPr>
              <w:t>；</w:t>
            </w:r>
          </w:p>
          <w:p w14:paraId="73B50DF8">
            <w:pPr>
              <w:adjustRightInd w:val="0"/>
              <w:snapToGrid w:val="0"/>
              <w:spacing w:line="360" w:lineRule="auto"/>
              <w:jc w:val="left"/>
              <w:rPr>
                <w:rFonts w:hint="eastAsia" w:ascii="宋体" w:hAnsi="宋体" w:eastAsia="宋体" w:cs="宋体"/>
                <w:sz w:val="24"/>
                <w:szCs w:val="24"/>
                <w:lang w:eastAsia="zh-CN"/>
              </w:rPr>
            </w:pPr>
            <w:r>
              <w:rPr>
                <w:rFonts w:hint="eastAsia" w:ascii="宋体" w:hAnsi="宋体" w:eastAsia="宋体" w:cs="宋体"/>
                <w:sz w:val="24"/>
                <w:szCs w:val="24"/>
              </w:rPr>
              <w:t>本地化服务及沟通方案内容科学合理，有针对性，能满足项目的需要，但有个别细节需要进一步完善或提高者得4分</w:t>
            </w:r>
            <w:r>
              <w:rPr>
                <w:rFonts w:hint="eastAsia" w:ascii="宋体" w:hAnsi="宋体" w:eastAsia="宋体" w:cs="宋体"/>
                <w:sz w:val="24"/>
                <w:szCs w:val="24"/>
                <w:lang w:eastAsia="zh-CN"/>
              </w:rPr>
              <w:t>；</w:t>
            </w:r>
          </w:p>
          <w:p w14:paraId="21322E90">
            <w:pPr>
              <w:adjustRightInd w:val="0"/>
              <w:snapToGrid w:val="0"/>
              <w:spacing w:line="360" w:lineRule="auto"/>
              <w:jc w:val="left"/>
              <w:rPr>
                <w:rFonts w:hint="eastAsia" w:ascii="宋体" w:hAnsi="宋体" w:cs="宋体"/>
                <w:kern w:val="0"/>
                <w:sz w:val="24"/>
              </w:rPr>
            </w:pPr>
            <w:r>
              <w:rPr>
                <w:rFonts w:hint="eastAsia" w:ascii="宋体" w:hAnsi="宋体" w:eastAsia="宋体" w:cs="宋体"/>
                <w:sz w:val="24"/>
                <w:szCs w:val="24"/>
              </w:rPr>
              <w:t>有本地化服务及沟通方案</w:t>
            </w:r>
            <w:r>
              <w:rPr>
                <w:rFonts w:hint="eastAsia" w:ascii="宋体" w:hAnsi="宋体" w:eastAsia="宋体" w:cs="宋体"/>
                <w:sz w:val="24"/>
                <w:szCs w:val="24"/>
                <w:lang w:eastAsia="zh-CN"/>
              </w:rPr>
              <w:t>，</w:t>
            </w:r>
            <w:r>
              <w:rPr>
                <w:rFonts w:hint="eastAsia" w:ascii="宋体" w:hAnsi="宋体" w:eastAsia="宋体" w:cs="宋体"/>
                <w:sz w:val="24"/>
                <w:szCs w:val="24"/>
              </w:rPr>
              <w:t>内容不完整</w:t>
            </w:r>
            <w:r>
              <w:rPr>
                <w:rFonts w:hint="eastAsia" w:ascii="宋体" w:hAnsi="宋体" w:eastAsia="宋体" w:cs="宋体"/>
                <w:sz w:val="24"/>
                <w:szCs w:val="24"/>
                <w:lang w:val="en-US" w:eastAsia="zh-CN"/>
              </w:rPr>
              <w:t>.</w:t>
            </w:r>
            <w:r>
              <w:rPr>
                <w:rFonts w:hint="eastAsia" w:ascii="宋体" w:hAnsi="宋体" w:eastAsia="宋体" w:cs="宋体"/>
                <w:sz w:val="24"/>
                <w:szCs w:val="24"/>
              </w:rPr>
              <w:t>针对性差</w:t>
            </w:r>
            <w:r>
              <w:rPr>
                <w:rFonts w:hint="eastAsia" w:ascii="宋体" w:hAnsi="宋体" w:eastAsia="宋体" w:cs="宋体"/>
                <w:sz w:val="24"/>
                <w:szCs w:val="24"/>
                <w:lang w:val="en-US" w:eastAsia="zh-CN"/>
              </w:rPr>
              <w:t>.</w:t>
            </w:r>
            <w:r>
              <w:rPr>
                <w:rFonts w:hint="eastAsia" w:ascii="宋体" w:hAnsi="宋体" w:eastAsia="宋体" w:cs="宋体"/>
                <w:sz w:val="24"/>
                <w:szCs w:val="24"/>
              </w:rPr>
              <w:t>不能满足项目需求，得2分</w:t>
            </w:r>
            <w:r>
              <w:rPr>
                <w:rFonts w:hint="eastAsia" w:ascii="宋体" w:hAnsi="宋体" w:eastAsia="宋体" w:cs="宋体"/>
                <w:sz w:val="24"/>
                <w:szCs w:val="24"/>
                <w:lang w:eastAsia="zh-CN"/>
              </w:rPr>
              <w:t>；</w:t>
            </w:r>
            <w:r>
              <w:rPr>
                <w:rFonts w:hint="eastAsia" w:ascii="宋体" w:hAnsi="宋体" w:eastAsia="宋体" w:cs="宋体"/>
                <w:sz w:val="24"/>
                <w:szCs w:val="24"/>
              </w:rPr>
              <w:t>缺项</w:t>
            </w:r>
            <w:r>
              <w:rPr>
                <w:rFonts w:hint="eastAsia" w:ascii="宋体" w:hAnsi="宋体" w:eastAsia="宋体" w:cs="宋体"/>
                <w:sz w:val="24"/>
                <w:szCs w:val="24"/>
                <w:lang w:val="en-US" w:eastAsia="zh-CN"/>
              </w:rPr>
              <w:t>不得分。</w:t>
            </w:r>
          </w:p>
        </w:tc>
      </w:tr>
      <w:tr w14:paraId="544F8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 w:hRule="atLeast"/>
          <w:jc w:val="center"/>
        </w:trPr>
        <w:tc>
          <w:tcPr>
            <w:tcW w:w="1300" w:type="dxa"/>
            <w:vMerge w:val="restart"/>
            <w:tcBorders>
              <w:top w:val="single" w:color="auto" w:sz="4" w:space="0"/>
              <w:left w:val="single" w:color="auto" w:sz="4" w:space="0"/>
              <w:right w:val="single" w:color="auto" w:sz="4" w:space="0"/>
            </w:tcBorders>
            <w:vAlign w:val="center"/>
          </w:tcPr>
          <w:p w14:paraId="20143746">
            <w:pPr>
              <w:spacing w:line="360" w:lineRule="exact"/>
              <w:jc w:val="center"/>
              <w:rPr>
                <w:rFonts w:hint="eastAsia" w:ascii="宋体" w:hAnsi="宋体" w:cs="宋体"/>
                <w:color w:val="0000FF"/>
                <w:sz w:val="24"/>
                <w:szCs w:val="24"/>
              </w:rPr>
            </w:pPr>
          </w:p>
          <w:p w14:paraId="0761B815">
            <w:pPr>
              <w:spacing w:line="360" w:lineRule="exact"/>
              <w:jc w:val="center"/>
              <w:rPr>
                <w:rFonts w:hint="eastAsia" w:ascii="宋体" w:hAnsi="宋体" w:cs="宋体"/>
                <w:color w:val="0000FF"/>
                <w:sz w:val="24"/>
                <w:szCs w:val="24"/>
              </w:rPr>
            </w:pPr>
          </w:p>
          <w:p w14:paraId="66E043F0">
            <w:pPr>
              <w:spacing w:line="360" w:lineRule="exact"/>
              <w:jc w:val="center"/>
              <w:rPr>
                <w:rFonts w:hint="eastAsia" w:ascii="宋体" w:hAnsi="宋体" w:cs="宋体"/>
                <w:color w:val="0000FF"/>
                <w:sz w:val="24"/>
                <w:szCs w:val="24"/>
              </w:rPr>
            </w:pPr>
          </w:p>
          <w:p w14:paraId="5641CF0E">
            <w:pPr>
              <w:spacing w:line="360" w:lineRule="exact"/>
              <w:jc w:val="center"/>
              <w:rPr>
                <w:rFonts w:hint="eastAsia" w:ascii="宋体" w:hAnsi="宋体" w:cs="宋体"/>
                <w:color w:val="0000FF"/>
                <w:sz w:val="24"/>
                <w:szCs w:val="24"/>
              </w:rPr>
            </w:pPr>
          </w:p>
          <w:p w14:paraId="3B9AB62B">
            <w:pPr>
              <w:spacing w:line="360" w:lineRule="exact"/>
              <w:jc w:val="center"/>
              <w:rPr>
                <w:rFonts w:hint="eastAsia" w:ascii="宋体" w:hAnsi="宋体" w:cs="宋体"/>
                <w:color w:val="0000FF"/>
                <w:sz w:val="24"/>
                <w:szCs w:val="24"/>
              </w:rPr>
            </w:pPr>
          </w:p>
          <w:p w14:paraId="2007E273">
            <w:pPr>
              <w:spacing w:line="360" w:lineRule="exact"/>
              <w:jc w:val="center"/>
              <w:rPr>
                <w:rFonts w:hint="eastAsia" w:ascii="宋体" w:hAnsi="宋体" w:cs="宋体"/>
                <w:color w:val="0000FF"/>
                <w:sz w:val="24"/>
                <w:szCs w:val="24"/>
              </w:rPr>
            </w:pPr>
          </w:p>
          <w:p w14:paraId="3FC5BD52">
            <w:pPr>
              <w:spacing w:line="360" w:lineRule="exact"/>
              <w:jc w:val="center"/>
              <w:rPr>
                <w:rFonts w:hint="eastAsia" w:ascii="宋体" w:hAnsi="宋体" w:cs="宋体"/>
                <w:color w:val="0000FF"/>
                <w:sz w:val="24"/>
                <w:szCs w:val="24"/>
              </w:rPr>
            </w:pPr>
          </w:p>
          <w:p w14:paraId="5B9099B1">
            <w:pPr>
              <w:spacing w:line="360" w:lineRule="exact"/>
              <w:jc w:val="center"/>
              <w:rPr>
                <w:rFonts w:hint="eastAsia" w:ascii="宋体" w:hAnsi="宋体" w:cs="宋体"/>
                <w:color w:val="0000FF"/>
                <w:sz w:val="24"/>
                <w:szCs w:val="24"/>
              </w:rPr>
            </w:pPr>
          </w:p>
          <w:p w14:paraId="3474B15F">
            <w:pPr>
              <w:spacing w:line="360" w:lineRule="exact"/>
              <w:jc w:val="center"/>
              <w:rPr>
                <w:rFonts w:ascii="宋体" w:hAnsi="宋体" w:cs="宋体"/>
                <w:color w:val="auto"/>
                <w:sz w:val="24"/>
                <w:szCs w:val="24"/>
              </w:rPr>
            </w:pPr>
            <w:r>
              <w:rPr>
                <w:rFonts w:hint="eastAsia" w:ascii="宋体" w:hAnsi="宋体" w:cs="宋体"/>
                <w:color w:val="auto"/>
                <w:sz w:val="24"/>
                <w:szCs w:val="24"/>
              </w:rPr>
              <w:t>商务</w:t>
            </w:r>
          </w:p>
          <w:p w14:paraId="0A4ABA9E">
            <w:pPr>
              <w:spacing w:line="360" w:lineRule="exact"/>
              <w:jc w:val="center"/>
              <w:rPr>
                <w:rFonts w:ascii="宋体" w:hAnsi="宋体" w:cs="宋体"/>
                <w:color w:val="auto"/>
                <w:sz w:val="24"/>
                <w:szCs w:val="24"/>
              </w:rPr>
            </w:pPr>
            <w:r>
              <w:rPr>
                <w:rFonts w:hint="eastAsia" w:ascii="宋体" w:hAnsi="宋体" w:cs="宋体"/>
                <w:color w:val="auto"/>
                <w:sz w:val="24"/>
                <w:szCs w:val="24"/>
              </w:rPr>
              <w:t>部分</w:t>
            </w:r>
          </w:p>
          <w:p w14:paraId="3CA498D0">
            <w:pPr>
              <w:widowControl/>
              <w:spacing w:line="360" w:lineRule="exact"/>
              <w:ind w:left="-176" w:leftChars="-84"/>
              <w:jc w:val="center"/>
              <w:rPr>
                <w:rFonts w:hint="eastAsia" w:ascii="宋体" w:hAnsi="宋体" w:eastAsia="宋体" w:cs="宋体"/>
                <w:color w:val="0000FF"/>
                <w:sz w:val="24"/>
                <w:szCs w:val="24"/>
                <w:highlight w:val="none"/>
              </w:rPr>
            </w:pPr>
            <w:r>
              <w:rPr>
                <w:rFonts w:hint="eastAsia" w:ascii="宋体" w:hAnsi="宋体" w:cs="宋体"/>
                <w:color w:val="auto"/>
                <w:sz w:val="24"/>
                <w:szCs w:val="24"/>
              </w:rPr>
              <w:t>（</w:t>
            </w:r>
            <w:r>
              <w:rPr>
                <w:rFonts w:hint="eastAsia" w:ascii="宋体" w:hAnsi="宋体" w:cs="宋体"/>
                <w:color w:val="auto"/>
                <w:sz w:val="24"/>
                <w:szCs w:val="24"/>
                <w:lang w:val="en-US" w:eastAsia="zh-CN"/>
              </w:rPr>
              <w:t>35</w:t>
            </w:r>
            <w:r>
              <w:rPr>
                <w:rFonts w:hint="eastAsia" w:ascii="宋体" w:hAnsi="宋体" w:cs="宋体"/>
                <w:color w:val="auto"/>
                <w:sz w:val="24"/>
                <w:szCs w:val="24"/>
              </w:rPr>
              <w:t>分）</w:t>
            </w:r>
          </w:p>
        </w:tc>
        <w:tc>
          <w:tcPr>
            <w:tcW w:w="1981" w:type="dxa"/>
            <w:gridSpan w:val="2"/>
            <w:tcBorders>
              <w:top w:val="single" w:color="auto" w:sz="4" w:space="0"/>
              <w:left w:val="single" w:color="auto" w:sz="4" w:space="0"/>
              <w:bottom w:val="single" w:color="auto" w:sz="4" w:space="0"/>
              <w:right w:val="single" w:color="auto" w:sz="4" w:space="0"/>
            </w:tcBorders>
            <w:vAlign w:val="center"/>
          </w:tcPr>
          <w:p w14:paraId="03C3ADA4">
            <w:pPr>
              <w:pStyle w:val="7"/>
              <w:spacing w:line="340" w:lineRule="exact"/>
              <w:jc w:val="center"/>
              <w:rPr>
                <w:rFonts w:hint="eastAsia" w:hAnsi="宋体" w:eastAsia="宋体" w:cs="宋体"/>
                <w:b w:val="0"/>
                <w:bCs/>
                <w:kern w:val="0"/>
                <w:sz w:val="24"/>
                <w:szCs w:val="24"/>
                <w:highlight w:val="none"/>
                <w:lang w:val="en-US" w:eastAsia="zh-CN"/>
              </w:rPr>
            </w:pPr>
          </w:p>
          <w:p w14:paraId="52DC2E33">
            <w:pPr>
              <w:pStyle w:val="7"/>
              <w:spacing w:line="340" w:lineRule="exact"/>
              <w:jc w:val="center"/>
              <w:rPr>
                <w:rFonts w:hint="eastAsia" w:hAnsi="宋体" w:eastAsia="宋体" w:cs="宋体"/>
                <w:b w:val="0"/>
                <w:bCs/>
                <w:kern w:val="0"/>
                <w:sz w:val="24"/>
                <w:szCs w:val="24"/>
                <w:highlight w:val="none"/>
                <w:lang w:val="en-US" w:eastAsia="zh-CN"/>
              </w:rPr>
            </w:pPr>
          </w:p>
          <w:p w14:paraId="27D9783C">
            <w:pPr>
              <w:pStyle w:val="7"/>
              <w:spacing w:line="340" w:lineRule="exact"/>
              <w:jc w:val="center"/>
              <w:rPr>
                <w:rFonts w:hint="eastAsia" w:hAnsi="宋体" w:eastAsia="宋体" w:cs="宋体"/>
                <w:b w:val="0"/>
                <w:bCs/>
                <w:kern w:val="0"/>
                <w:sz w:val="24"/>
                <w:szCs w:val="24"/>
                <w:highlight w:val="none"/>
                <w:lang w:val="en-US" w:eastAsia="zh-CN"/>
              </w:rPr>
            </w:pPr>
          </w:p>
          <w:p w14:paraId="7872E297">
            <w:pPr>
              <w:pStyle w:val="7"/>
              <w:spacing w:line="340" w:lineRule="exact"/>
              <w:jc w:val="center"/>
              <w:rPr>
                <w:rFonts w:hint="eastAsia" w:hAnsi="宋体" w:eastAsia="宋体" w:cs="宋体"/>
                <w:b w:val="0"/>
                <w:bCs/>
                <w:kern w:val="0"/>
                <w:sz w:val="24"/>
                <w:szCs w:val="24"/>
                <w:highlight w:val="none"/>
                <w:lang w:val="en-US" w:eastAsia="zh-CN"/>
              </w:rPr>
            </w:pPr>
            <w:r>
              <w:rPr>
                <w:rFonts w:hint="eastAsia" w:hAnsi="宋体" w:eastAsia="宋体" w:cs="宋体"/>
                <w:b w:val="0"/>
                <w:bCs/>
                <w:kern w:val="0"/>
                <w:sz w:val="24"/>
                <w:szCs w:val="24"/>
                <w:highlight w:val="none"/>
                <w:lang w:val="en-US" w:eastAsia="zh-CN"/>
              </w:rPr>
              <w:t>配送服务能力</w:t>
            </w:r>
          </w:p>
          <w:p w14:paraId="1558D294">
            <w:pPr>
              <w:pStyle w:val="7"/>
              <w:spacing w:line="340" w:lineRule="exact"/>
              <w:jc w:val="center"/>
              <w:rPr>
                <w:rFonts w:hint="eastAsia" w:ascii="宋体" w:hAnsi="宋体" w:cs="宋体" w:eastAsiaTheme="minorEastAsia"/>
                <w:color w:val="0000FF"/>
                <w:kern w:val="0"/>
                <w:sz w:val="24"/>
                <w:szCs w:val="24"/>
                <w:highlight w:val="none"/>
                <w:lang w:val="en-US" w:eastAsia="zh-CN"/>
              </w:rPr>
            </w:pPr>
            <w:r>
              <w:rPr>
                <w:rFonts w:hint="eastAsia" w:hAnsi="宋体" w:eastAsia="宋体" w:cs="宋体"/>
                <w:b w:val="0"/>
                <w:bCs/>
                <w:kern w:val="0"/>
                <w:sz w:val="24"/>
                <w:szCs w:val="24"/>
                <w:highlight w:val="none"/>
                <w:lang w:val="en-US" w:eastAsia="zh-CN"/>
              </w:rPr>
              <w:t>（18分）</w:t>
            </w:r>
          </w:p>
        </w:tc>
        <w:tc>
          <w:tcPr>
            <w:tcW w:w="6426" w:type="dxa"/>
            <w:tcBorders>
              <w:top w:val="single" w:color="auto" w:sz="4" w:space="0"/>
              <w:left w:val="nil"/>
              <w:bottom w:val="single" w:color="auto" w:sz="4" w:space="0"/>
              <w:right w:val="single" w:color="auto" w:sz="4" w:space="0"/>
            </w:tcBorders>
            <w:vAlign w:val="center"/>
          </w:tcPr>
          <w:p w14:paraId="109CAB15">
            <w:pPr>
              <w:pStyle w:val="7"/>
              <w:adjustRightInd w:val="0"/>
              <w:snapToGrid w:val="0"/>
              <w:spacing w:line="360" w:lineRule="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1.仓储设施</w:t>
            </w:r>
          </w:p>
          <w:p w14:paraId="781827C7">
            <w:pPr>
              <w:pStyle w:val="7"/>
              <w:adjustRightInd w:val="0"/>
              <w:snapToGrid w:val="0"/>
              <w:spacing w:line="360" w:lineRule="auto"/>
              <w:rPr>
                <w:rFonts w:hint="eastAsia" w:hAnsi="宋体" w:eastAsia="宋体" w:cs="宋体"/>
                <w:kern w:val="0"/>
                <w:sz w:val="24"/>
                <w:szCs w:val="24"/>
                <w:highlight w:val="none"/>
                <w:lang w:eastAsia="zh-CN"/>
              </w:rPr>
            </w:pPr>
            <w:r>
              <w:rPr>
                <w:rFonts w:hint="eastAsia" w:ascii="宋体" w:hAnsi="宋体" w:eastAsia="宋体" w:cs="宋体"/>
                <w:kern w:val="0"/>
                <w:sz w:val="24"/>
                <w:szCs w:val="24"/>
                <w:highlight w:val="none"/>
              </w:rPr>
              <w:t>(1)普通仓储:供应商自有或租赁有符合中药存储要求的固定的仓储场所的得3分，</w:t>
            </w:r>
            <w:r>
              <w:rPr>
                <w:rFonts w:hint="eastAsia" w:hAnsi="宋体" w:eastAsia="宋体" w:cs="宋体"/>
                <w:kern w:val="0"/>
                <w:sz w:val="24"/>
                <w:szCs w:val="24"/>
                <w:highlight w:val="none"/>
                <w:lang w:val="en-US" w:eastAsia="zh-CN"/>
              </w:rPr>
              <w:t>没有</w:t>
            </w:r>
            <w:r>
              <w:rPr>
                <w:rFonts w:hint="eastAsia" w:ascii="宋体" w:hAnsi="宋体" w:eastAsia="宋体" w:cs="宋体"/>
                <w:kern w:val="0"/>
                <w:sz w:val="24"/>
                <w:szCs w:val="24"/>
                <w:highlight w:val="none"/>
              </w:rPr>
              <w:t>不得分</w:t>
            </w:r>
            <w:r>
              <w:rPr>
                <w:rFonts w:hint="eastAsia" w:hAnsi="宋体" w:eastAsia="宋体" w:cs="宋体"/>
                <w:kern w:val="0"/>
                <w:sz w:val="24"/>
                <w:szCs w:val="24"/>
                <w:highlight w:val="none"/>
                <w:lang w:eastAsia="zh-CN"/>
              </w:rPr>
              <w:t>；</w:t>
            </w:r>
          </w:p>
          <w:p w14:paraId="07F096E1">
            <w:pPr>
              <w:pStyle w:val="7"/>
              <w:adjustRightInd w:val="0"/>
              <w:snapToGrid w:val="0"/>
              <w:spacing w:line="360" w:lineRule="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(2)冷库:供应商自有或租赁有符合中药存储的固定的存储冷库得3分，</w:t>
            </w:r>
            <w:r>
              <w:rPr>
                <w:rFonts w:hint="eastAsia" w:hAnsi="宋体" w:eastAsia="宋体" w:cs="宋体"/>
                <w:kern w:val="0"/>
                <w:sz w:val="24"/>
                <w:szCs w:val="24"/>
                <w:highlight w:val="none"/>
                <w:lang w:val="en-US" w:eastAsia="zh-CN"/>
              </w:rPr>
              <w:t>没有</w:t>
            </w:r>
            <w:r>
              <w:rPr>
                <w:rFonts w:hint="eastAsia" w:ascii="宋体" w:hAnsi="宋体" w:eastAsia="宋体" w:cs="宋体"/>
                <w:kern w:val="0"/>
                <w:sz w:val="24"/>
                <w:szCs w:val="24"/>
                <w:highlight w:val="none"/>
              </w:rPr>
              <w:t>不得分</w:t>
            </w:r>
            <w:r>
              <w:rPr>
                <w:rFonts w:hint="eastAsia" w:hAnsi="宋体" w:eastAsia="宋体" w:cs="宋体"/>
                <w:kern w:val="0"/>
                <w:sz w:val="24"/>
                <w:szCs w:val="24"/>
                <w:highlight w:val="none"/>
                <w:lang w:eastAsia="zh-CN"/>
              </w:rPr>
              <w:t>；</w:t>
            </w:r>
            <w:r>
              <w:rPr>
                <w:rFonts w:hint="eastAsia" w:ascii="宋体" w:hAnsi="宋体" w:eastAsia="宋体" w:cs="宋体"/>
                <w:kern w:val="0"/>
                <w:sz w:val="24"/>
                <w:szCs w:val="24"/>
                <w:highlight w:val="none"/>
              </w:rPr>
              <w:t>(供应商应提供图片、房屋产权证资料或租赁合同，证件不全的不得分)</w:t>
            </w:r>
          </w:p>
          <w:p w14:paraId="4C5ADA89">
            <w:pPr>
              <w:pStyle w:val="7"/>
              <w:adjustRightInd w:val="0"/>
              <w:snapToGrid w:val="0"/>
              <w:spacing w:line="360" w:lineRule="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2.专用配送车辆</w:t>
            </w:r>
          </w:p>
          <w:p w14:paraId="5D9538E0">
            <w:pPr>
              <w:pStyle w:val="7"/>
              <w:adjustRightInd w:val="0"/>
              <w:snapToGrid w:val="0"/>
              <w:spacing w:line="360" w:lineRule="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专用配送车辆:供应商拟投入本项目自有或租赁配送专用车辆，符合中药运输配送要求的，每提供1辆专用配送车辆得2分，最高得4分，</w:t>
            </w:r>
            <w:r>
              <w:rPr>
                <w:rFonts w:hint="eastAsia" w:ascii="宋体" w:hAnsi="宋体" w:eastAsia="宋体" w:cs="宋体"/>
                <w:kern w:val="0"/>
                <w:sz w:val="24"/>
                <w:szCs w:val="24"/>
                <w:highlight w:val="none"/>
                <w:lang w:val="en-US" w:eastAsia="zh-CN"/>
              </w:rPr>
              <w:t>没有</w:t>
            </w:r>
            <w:r>
              <w:rPr>
                <w:rFonts w:hint="eastAsia" w:ascii="宋体" w:hAnsi="宋体" w:eastAsia="宋体" w:cs="宋体"/>
                <w:kern w:val="0"/>
                <w:sz w:val="24"/>
                <w:szCs w:val="24"/>
                <w:highlight w:val="none"/>
              </w:rPr>
              <w:t>不得分。(供应商应提供车辆行驶证扫描件、车辆图片，如租赁车辆须同时附租赁协议，证件不全的不得分)</w:t>
            </w:r>
          </w:p>
          <w:p w14:paraId="3A32C015">
            <w:pPr>
              <w:pStyle w:val="7"/>
              <w:adjustRightInd w:val="0"/>
              <w:snapToGrid w:val="0"/>
              <w:spacing w:line="360" w:lineRule="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3.服务团队</w:t>
            </w:r>
          </w:p>
          <w:p w14:paraId="04D8FA99">
            <w:pPr>
              <w:pStyle w:val="7"/>
              <w:adjustRightInd w:val="0"/>
              <w:snapToGrid w:val="0"/>
              <w:spacing w:line="360" w:lineRule="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供应商应派驻固定服务团队(含项目负责人及服务人员)，其中服务人员具有药学相关专业学历或证书，每有1人得1分，最多得3分，</w:t>
            </w:r>
            <w:r>
              <w:rPr>
                <w:rFonts w:hint="eastAsia" w:hAnsi="宋体" w:eastAsia="宋体" w:cs="宋体"/>
                <w:kern w:val="0"/>
                <w:sz w:val="24"/>
                <w:szCs w:val="24"/>
                <w:highlight w:val="none"/>
                <w:lang w:val="en-US" w:eastAsia="zh-CN"/>
              </w:rPr>
              <w:t>没有</w:t>
            </w:r>
            <w:r>
              <w:rPr>
                <w:rFonts w:hint="eastAsia" w:ascii="宋体" w:hAnsi="宋体" w:eastAsia="宋体" w:cs="宋体"/>
                <w:kern w:val="0"/>
                <w:sz w:val="24"/>
                <w:szCs w:val="24"/>
                <w:highlight w:val="none"/>
              </w:rPr>
              <w:t>不得分。(须提供服务团队人员名单、提供2025年1月1日以来任意3个月在本公司缴纳的养老保险缴纳证明材料</w:t>
            </w:r>
            <w:r>
              <w:rPr>
                <w:rFonts w:hint="eastAsia" w:hAnsi="宋体" w:eastAsia="宋体" w:cs="宋体"/>
                <w:kern w:val="0"/>
                <w:sz w:val="24"/>
                <w:szCs w:val="24"/>
                <w:highlight w:val="none"/>
                <w:lang w:eastAsia="zh-CN"/>
              </w:rPr>
              <w:t>、</w:t>
            </w:r>
            <w:r>
              <w:rPr>
                <w:rFonts w:hint="eastAsia" w:ascii="宋体" w:hAnsi="宋体" w:eastAsia="宋体" w:cs="宋体"/>
                <w:kern w:val="0"/>
                <w:sz w:val="24"/>
                <w:szCs w:val="24"/>
                <w:highlight w:val="none"/>
              </w:rPr>
              <w:t>劳动合同扫描件</w:t>
            </w:r>
            <w:r>
              <w:rPr>
                <w:rFonts w:hint="eastAsia" w:hAnsi="宋体" w:eastAsia="宋体" w:cs="宋体"/>
                <w:kern w:val="0"/>
                <w:sz w:val="24"/>
                <w:szCs w:val="24"/>
                <w:highlight w:val="none"/>
                <w:lang w:eastAsia="zh-CN"/>
              </w:rPr>
              <w:t>）</w:t>
            </w:r>
            <w:r>
              <w:rPr>
                <w:rFonts w:hint="eastAsia" w:hAnsi="宋体" w:eastAsia="宋体" w:cs="宋体"/>
                <w:kern w:val="0"/>
                <w:sz w:val="24"/>
                <w:szCs w:val="24"/>
                <w:highlight w:val="none"/>
                <w:lang w:val="en-US" w:eastAsia="zh-CN"/>
              </w:rPr>
              <w:t>没有</w:t>
            </w:r>
            <w:r>
              <w:rPr>
                <w:rFonts w:hint="eastAsia" w:ascii="宋体" w:hAnsi="宋体" w:eastAsia="宋体" w:cs="宋体"/>
                <w:kern w:val="0"/>
                <w:sz w:val="24"/>
                <w:szCs w:val="24"/>
                <w:highlight w:val="none"/>
              </w:rPr>
              <w:t>不得分。</w:t>
            </w:r>
          </w:p>
          <w:p w14:paraId="3D56F9F4">
            <w:pPr>
              <w:pStyle w:val="7"/>
              <w:adjustRightInd w:val="0"/>
              <w:snapToGrid w:val="0"/>
              <w:spacing w:line="360" w:lineRule="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4.药品追溯</w:t>
            </w:r>
          </w:p>
          <w:p w14:paraId="61B55AD2">
            <w:pPr>
              <w:pStyle w:val="7"/>
              <w:adjustRightInd w:val="0"/>
              <w:snapToGrid w:val="0"/>
              <w:spacing w:line="360" w:lineRule="auto"/>
              <w:rPr>
                <w:rFonts w:hint="eastAsia" w:ascii="宋体" w:hAnsi="宋体" w:eastAsia="宋体" w:cs="宋体"/>
                <w:kern w:val="0"/>
                <w:sz w:val="24"/>
                <w:szCs w:val="24"/>
                <w:highlight w:val="none"/>
                <w:lang w:val="zh-CN"/>
              </w:rPr>
            </w:pPr>
            <w:r>
              <w:rPr>
                <w:rFonts w:hint="eastAsia" w:ascii="宋体" w:hAnsi="宋体" w:eastAsia="宋体" w:cs="宋体"/>
                <w:kern w:val="0"/>
                <w:sz w:val="24"/>
                <w:szCs w:val="24"/>
                <w:highlight w:val="none"/>
              </w:rPr>
              <w:t>供应商建立溯源系统的，提供有效依据材料的得5分，没有不得分。</w:t>
            </w:r>
          </w:p>
        </w:tc>
      </w:tr>
      <w:tr w14:paraId="25D3B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0" w:hRule="atLeast"/>
          <w:jc w:val="center"/>
        </w:trPr>
        <w:tc>
          <w:tcPr>
            <w:tcW w:w="1300" w:type="dxa"/>
            <w:vMerge w:val="continue"/>
            <w:tcBorders>
              <w:left w:val="single" w:color="auto" w:sz="4" w:space="0"/>
              <w:right w:val="single" w:color="auto" w:sz="4" w:space="0"/>
            </w:tcBorders>
            <w:vAlign w:val="center"/>
          </w:tcPr>
          <w:p w14:paraId="0A3A69B4">
            <w:pPr>
              <w:spacing w:line="360" w:lineRule="exact"/>
              <w:rPr>
                <w:rFonts w:hint="eastAsia" w:ascii="宋体" w:hAnsi="宋体" w:eastAsia="宋体" w:cs="宋体"/>
                <w:color w:val="0000FF"/>
                <w:sz w:val="24"/>
                <w:szCs w:val="24"/>
                <w:highlight w:val="none"/>
              </w:rPr>
            </w:pPr>
          </w:p>
        </w:tc>
        <w:tc>
          <w:tcPr>
            <w:tcW w:w="1981" w:type="dxa"/>
            <w:gridSpan w:val="2"/>
            <w:tcBorders>
              <w:top w:val="single" w:color="auto" w:sz="4" w:space="0"/>
              <w:left w:val="nil"/>
              <w:bottom w:val="single" w:color="auto" w:sz="4" w:space="0"/>
              <w:right w:val="single" w:color="auto" w:sz="4" w:space="0"/>
            </w:tcBorders>
            <w:vAlign w:val="center"/>
          </w:tcPr>
          <w:p w14:paraId="68F1B3FD">
            <w:pPr>
              <w:widowControl/>
              <w:spacing w:line="340" w:lineRule="exact"/>
              <w:jc w:val="center"/>
              <w:rPr>
                <w:rFonts w:hint="eastAsia" w:ascii="宋体" w:hAnsi="宋体" w:cs="宋体"/>
                <w:color w:val="0000FF"/>
                <w:kern w:val="0"/>
                <w:sz w:val="24"/>
                <w:szCs w:val="24"/>
                <w:highlight w:val="none"/>
                <w:lang w:val="zh-CN"/>
              </w:rPr>
            </w:pPr>
            <w:r>
              <w:rPr>
                <w:rFonts w:hint="eastAsia" w:ascii="宋体" w:hAnsi="宋体" w:eastAsia="宋体" w:cs="宋体"/>
                <w:b w:val="0"/>
                <w:bCs/>
                <w:kern w:val="0"/>
                <w:sz w:val="24"/>
                <w:szCs w:val="24"/>
                <w:lang w:val="en-US" w:eastAsia="zh-CN"/>
              </w:rPr>
              <w:t>售后服务方案（5分）</w:t>
            </w:r>
          </w:p>
        </w:tc>
        <w:tc>
          <w:tcPr>
            <w:tcW w:w="6426" w:type="dxa"/>
            <w:tcBorders>
              <w:top w:val="single" w:color="auto" w:sz="4" w:space="0"/>
              <w:left w:val="nil"/>
              <w:bottom w:val="single" w:color="auto" w:sz="4" w:space="0"/>
              <w:right w:val="single" w:color="auto" w:sz="4" w:space="0"/>
            </w:tcBorders>
            <w:vAlign w:val="center"/>
          </w:tcPr>
          <w:p w14:paraId="13C37EDB">
            <w:pPr>
              <w:pStyle w:val="7"/>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hAnsi="宋体" w:eastAsia="宋体" w:cs="宋体"/>
                <w:kern w:val="0"/>
                <w:sz w:val="24"/>
                <w:szCs w:val="24"/>
                <w:lang w:eastAsia="zh-CN"/>
              </w:rPr>
            </w:pPr>
            <w:r>
              <w:rPr>
                <w:rFonts w:hint="eastAsia" w:ascii="宋体" w:hAnsi="宋体" w:eastAsia="宋体" w:cs="宋体"/>
                <w:kern w:val="0"/>
                <w:sz w:val="24"/>
                <w:szCs w:val="24"/>
              </w:rPr>
              <w:t>售后服务方案完善，后续服务体系及服务措施承诺及计划内容完善合理，服务响应计划及人员安排合理，对采购人服务配合度高</w:t>
            </w:r>
            <w:r>
              <w:rPr>
                <w:rFonts w:hint="eastAsia" w:hAnsi="宋体" w:eastAsia="宋体" w:cs="宋体"/>
                <w:kern w:val="0"/>
                <w:sz w:val="24"/>
                <w:szCs w:val="24"/>
                <w:lang w:eastAsia="zh-CN"/>
              </w:rPr>
              <w:t>，</w:t>
            </w:r>
            <w:r>
              <w:rPr>
                <w:rFonts w:hint="eastAsia" w:ascii="宋体" w:hAnsi="宋体" w:eastAsia="宋体" w:cs="宋体"/>
                <w:kern w:val="0"/>
                <w:sz w:val="24"/>
                <w:szCs w:val="24"/>
              </w:rPr>
              <w:t>跟踪服务到位，能主动配合采购人，得5分</w:t>
            </w:r>
            <w:r>
              <w:rPr>
                <w:rFonts w:hint="eastAsia" w:hAnsi="宋体" w:eastAsia="宋体" w:cs="宋体"/>
                <w:kern w:val="0"/>
                <w:sz w:val="24"/>
                <w:szCs w:val="24"/>
                <w:lang w:eastAsia="zh-CN"/>
              </w:rPr>
              <w:t>；</w:t>
            </w:r>
          </w:p>
          <w:p w14:paraId="38926DD9">
            <w:pPr>
              <w:pStyle w:val="7"/>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hAnsi="宋体" w:eastAsia="宋体" w:cs="宋体"/>
                <w:kern w:val="0"/>
                <w:sz w:val="24"/>
                <w:szCs w:val="24"/>
                <w:lang w:eastAsia="zh-CN"/>
              </w:rPr>
            </w:pPr>
            <w:r>
              <w:rPr>
                <w:rFonts w:hint="eastAsia" w:ascii="宋体" w:hAnsi="宋体" w:eastAsia="宋体" w:cs="宋体"/>
                <w:kern w:val="0"/>
                <w:sz w:val="24"/>
                <w:szCs w:val="24"/>
              </w:rPr>
              <w:t>有后续服务体系及服务措施承诺及计划内容但不完善，有服务响应、人员安排计划，能配合采购人开展工作，得3分</w:t>
            </w:r>
            <w:r>
              <w:rPr>
                <w:rFonts w:hint="eastAsia" w:hAnsi="宋体" w:eastAsia="宋体" w:cs="宋体"/>
                <w:kern w:val="0"/>
                <w:sz w:val="24"/>
                <w:szCs w:val="24"/>
                <w:lang w:eastAsia="zh-CN"/>
              </w:rPr>
              <w:t>；</w:t>
            </w:r>
          </w:p>
          <w:p w14:paraId="39BDA00F">
            <w:pPr>
              <w:pStyle w:val="7"/>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color w:val="0000FF"/>
                <w:kern w:val="0"/>
                <w:sz w:val="24"/>
                <w:szCs w:val="24"/>
                <w:highlight w:val="none"/>
                <w:lang w:val="zh-CN"/>
              </w:rPr>
            </w:pPr>
            <w:r>
              <w:rPr>
                <w:rFonts w:hint="eastAsia" w:ascii="宋体" w:hAnsi="宋体" w:eastAsia="宋体" w:cs="宋体"/>
                <w:kern w:val="0"/>
                <w:sz w:val="24"/>
                <w:szCs w:val="24"/>
              </w:rPr>
              <w:t>后续服务体系及服务措施承诺及计划内容不完善，缺少服务响应、人员安排计划，配合度不高，得1分</w:t>
            </w:r>
            <w:r>
              <w:rPr>
                <w:rFonts w:hint="eastAsia" w:hAnsi="宋体" w:eastAsia="宋体" w:cs="宋体"/>
                <w:kern w:val="0"/>
                <w:sz w:val="24"/>
                <w:szCs w:val="24"/>
                <w:lang w:eastAsia="zh-CN"/>
              </w:rPr>
              <w:t>；</w:t>
            </w:r>
            <w:r>
              <w:rPr>
                <w:rFonts w:hint="eastAsia" w:ascii="宋体" w:hAnsi="宋体" w:eastAsia="宋体" w:cs="宋体"/>
                <w:kern w:val="0"/>
                <w:sz w:val="24"/>
                <w:szCs w:val="24"/>
              </w:rPr>
              <w:t>完全不合理或缺项，得0分。</w:t>
            </w:r>
          </w:p>
        </w:tc>
      </w:tr>
      <w:tr w14:paraId="589B3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00" w:type="dxa"/>
            <w:vMerge w:val="continue"/>
            <w:tcBorders>
              <w:left w:val="single" w:color="auto" w:sz="4" w:space="0"/>
              <w:right w:val="single" w:color="auto" w:sz="4" w:space="0"/>
            </w:tcBorders>
            <w:vAlign w:val="center"/>
          </w:tcPr>
          <w:p w14:paraId="099A879F">
            <w:pPr>
              <w:spacing w:line="360" w:lineRule="exact"/>
              <w:rPr>
                <w:rFonts w:hint="eastAsia" w:ascii="宋体" w:hAnsi="宋体" w:eastAsia="宋体" w:cs="宋体"/>
                <w:color w:val="0000FF"/>
                <w:sz w:val="24"/>
                <w:szCs w:val="24"/>
                <w:highlight w:val="none"/>
              </w:rPr>
            </w:pPr>
          </w:p>
        </w:tc>
        <w:tc>
          <w:tcPr>
            <w:tcW w:w="1981" w:type="dxa"/>
            <w:gridSpan w:val="2"/>
            <w:tcBorders>
              <w:top w:val="single" w:color="auto" w:sz="4" w:space="0"/>
              <w:left w:val="nil"/>
              <w:bottom w:val="single" w:color="auto" w:sz="4" w:space="0"/>
              <w:right w:val="single" w:color="auto" w:sz="4" w:space="0"/>
            </w:tcBorders>
            <w:shd w:val="clear" w:color="auto" w:fill="auto"/>
            <w:vAlign w:val="center"/>
          </w:tcPr>
          <w:p w14:paraId="417C7B34">
            <w:pPr>
              <w:widowControl/>
              <w:spacing w:line="340" w:lineRule="exact"/>
              <w:jc w:val="center"/>
              <w:rPr>
                <w:rFonts w:hint="eastAsia" w:ascii="宋体" w:hAnsi="宋体" w:cs="宋体" w:eastAsiaTheme="minorEastAsia"/>
                <w:color w:val="0000FF"/>
                <w:kern w:val="0"/>
                <w:sz w:val="24"/>
                <w:szCs w:val="24"/>
                <w:highlight w:val="none"/>
                <w:lang w:val="en-US" w:eastAsia="zh-CN" w:bidi="ar-SA"/>
              </w:rPr>
            </w:pPr>
            <w:r>
              <w:rPr>
                <w:rFonts w:hint="eastAsia" w:ascii="宋体" w:hAnsi="宋体" w:eastAsia="宋体" w:cs="宋体"/>
                <w:sz w:val="24"/>
                <w:szCs w:val="24"/>
                <w:lang w:val="en-US" w:eastAsia="zh-CN"/>
              </w:rPr>
              <w:t>服务承诺（8分）</w:t>
            </w:r>
          </w:p>
        </w:tc>
        <w:tc>
          <w:tcPr>
            <w:tcW w:w="6426" w:type="dxa"/>
            <w:tcBorders>
              <w:top w:val="single" w:color="auto" w:sz="4" w:space="0"/>
              <w:left w:val="nil"/>
              <w:bottom w:val="single" w:color="auto" w:sz="4" w:space="0"/>
              <w:right w:val="single" w:color="auto" w:sz="4" w:space="0"/>
            </w:tcBorders>
            <w:shd w:val="clear" w:color="auto" w:fill="auto"/>
            <w:vAlign w:val="center"/>
          </w:tcPr>
          <w:p w14:paraId="03D1FE6B">
            <w:pPr>
              <w:pStyle w:val="7"/>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1、供应商承诺无论何种原因均可随时调换货的得1分，否则不得分。</w:t>
            </w:r>
          </w:p>
          <w:p w14:paraId="3B0F0490">
            <w:pPr>
              <w:pStyle w:val="7"/>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2、供应商承诺采购人有紧急需求时保证及时供货的得1分，否则不得分。</w:t>
            </w:r>
          </w:p>
          <w:p w14:paraId="1C5A5ADA">
            <w:pPr>
              <w:pStyle w:val="7"/>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3、有需要退换货时处置响应时间快速性、便捷性承诺的得1分，否则不得分。</w:t>
            </w:r>
          </w:p>
          <w:p w14:paraId="4E67DA9A">
            <w:pPr>
              <w:pStyle w:val="7"/>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4、供应商承诺中标签订合同后，一个月内保证保证医院中药供应的平稳</w:t>
            </w:r>
            <w:r>
              <w:rPr>
                <w:rFonts w:hint="eastAsia" w:ascii="宋体" w:hAnsi="宋体" w:eastAsia="宋体" w:cs="宋体"/>
                <w:kern w:val="0"/>
                <w:sz w:val="24"/>
                <w:szCs w:val="24"/>
                <w:lang w:val="en-US" w:eastAsia="zh-CN"/>
              </w:rPr>
              <w:t>过渡</w:t>
            </w:r>
            <w:r>
              <w:rPr>
                <w:rFonts w:hint="eastAsia" w:ascii="宋体" w:hAnsi="宋体" w:eastAsia="宋体" w:cs="宋体"/>
                <w:kern w:val="0"/>
                <w:sz w:val="24"/>
                <w:szCs w:val="24"/>
              </w:rPr>
              <w:t>，出现与此相关的纠纷，由供应商负责的得2分，否则不得分。</w:t>
            </w:r>
          </w:p>
          <w:p w14:paraId="0BD2F2FA">
            <w:pPr>
              <w:pStyle w:val="7"/>
              <w:adjustRightInd w:val="0"/>
              <w:snapToGrid w:val="0"/>
              <w:spacing w:line="360" w:lineRule="auto"/>
              <w:rPr>
                <w:rFonts w:hint="eastAsia" w:ascii="宋体" w:hAnsi="宋体" w:cs="宋体" w:eastAsiaTheme="minorEastAsia"/>
                <w:color w:val="0000FF"/>
                <w:kern w:val="0"/>
                <w:sz w:val="24"/>
                <w:szCs w:val="24"/>
                <w:highlight w:val="none"/>
                <w:lang w:val="en-US" w:eastAsia="zh-CN" w:bidi="ar-SA"/>
              </w:rPr>
            </w:pPr>
            <w:r>
              <w:rPr>
                <w:rFonts w:hint="eastAsia" w:ascii="宋体" w:hAnsi="宋体" w:eastAsia="宋体" w:cs="宋体"/>
                <w:kern w:val="0"/>
                <w:sz w:val="24"/>
                <w:szCs w:val="24"/>
              </w:rPr>
              <w:t>5、供应商提供因中药质量(使用产品后出现不良反应、药物中毒等)以及其他意外事件等情形需要供应商处理的应急预案</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如响应时间、相关配合、可采取的相关措施或技术支撑能力情况:描述内容详细、方案可行的得3分</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描述内容简单的得1分，完全不合理或缺项，得0分。</w:t>
            </w:r>
          </w:p>
        </w:tc>
      </w:tr>
      <w:tr w14:paraId="0CB49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00" w:type="dxa"/>
            <w:vMerge w:val="continue"/>
            <w:tcBorders>
              <w:left w:val="single" w:color="auto" w:sz="4" w:space="0"/>
              <w:bottom w:val="nil"/>
              <w:right w:val="single" w:color="auto" w:sz="4" w:space="0"/>
            </w:tcBorders>
            <w:vAlign w:val="center"/>
          </w:tcPr>
          <w:p w14:paraId="4A37E73D">
            <w:pPr>
              <w:spacing w:line="360" w:lineRule="exact"/>
              <w:rPr>
                <w:rFonts w:hint="eastAsia" w:ascii="宋体" w:hAnsi="宋体" w:eastAsia="宋体" w:cs="宋体"/>
                <w:color w:val="0000FF"/>
                <w:sz w:val="24"/>
                <w:szCs w:val="24"/>
                <w:highlight w:val="none"/>
              </w:rPr>
            </w:pPr>
          </w:p>
        </w:tc>
        <w:tc>
          <w:tcPr>
            <w:tcW w:w="1981" w:type="dxa"/>
            <w:gridSpan w:val="2"/>
            <w:tcBorders>
              <w:top w:val="single" w:color="auto" w:sz="4" w:space="0"/>
              <w:left w:val="nil"/>
              <w:bottom w:val="single" w:color="auto" w:sz="4" w:space="0"/>
              <w:right w:val="single" w:color="auto" w:sz="4" w:space="0"/>
            </w:tcBorders>
            <w:shd w:val="clear" w:color="auto" w:fill="auto"/>
            <w:vAlign w:val="center"/>
          </w:tcPr>
          <w:p w14:paraId="21BB3F66">
            <w:pPr>
              <w:widowControl/>
              <w:spacing w:line="340" w:lineRule="exact"/>
              <w:jc w:val="center"/>
              <w:rPr>
                <w:rFonts w:hint="eastAsia" w:ascii="宋体" w:hAnsi="宋体" w:cs="宋体"/>
                <w:color w:val="0000FF"/>
                <w:sz w:val="24"/>
                <w:szCs w:val="24"/>
                <w:lang w:val="en-US" w:eastAsia="zh-CN"/>
              </w:rPr>
            </w:pPr>
            <w:r>
              <w:rPr>
                <w:rFonts w:hint="eastAsia" w:ascii="宋体" w:hAnsi="宋体" w:eastAsia="宋体" w:cs="宋体"/>
                <w:b w:val="0"/>
                <w:bCs/>
                <w:kern w:val="0"/>
                <w:sz w:val="24"/>
                <w:szCs w:val="24"/>
                <w:lang w:val="en-US" w:eastAsia="zh-CN"/>
              </w:rPr>
              <w:t>企业业绩（4分）</w:t>
            </w:r>
          </w:p>
        </w:tc>
        <w:tc>
          <w:tcPr>
            <w:tcW w:w="6426" w:type="dxa"/>
            <w:tcBorders>
              <w:top w:val="single" w:color="auto" w:sz="4" w:space="0"/>
              <w:left w:val="nil"/>
              <w:bottom w:val="single" w:color="auto" w:sz="4" w:space="0"/>
              <w:right w:val="single" w:color="auto" w:sz="4" w:space="0"/>
            </w:tcBorders>
            <w:shd w:val="clear" w:color="auto" w:fill="auto"/>
            <w:vAlign w:val="center"/>
          </w:tcPr>
          <w:p w14:paraId="62EA1CE1">
            <w:pPr>
              <w:pStyle w:val="7"/>
              <w:adjustRightInd w:val="0"/>
              <w:snapToGrid w:val="0"/>
              <w:spacing w:line="360" w:lineRule="auto"/>
              <w:rPr>
                <w:rFonts w:hint="eastAsia" w:ascii="宋体" w:hAnsi="宋体" w:cs="宋体"/>
                <w:color w:val="0000FF"/>
                <w:kern w:val="0"/>
                <w:sz w:val="24"/>
                <w:szCs w:val="24"/>
                <w:lang w:val="en-US" w:eastAsia="zh-CN"/>
              </w:rPr>
            </w:pPr>
            <w:r>
              <w:rPr>
                <w:rFonts w:hint="eastAsia" w:ascii="宋体" w:hAnsi="宋体" w:eastAsia="宋体" w:cs="宋体"/>
                <w:kern w:val="0"/>
                <w:sz w:val="24"/>
                <w:szCs w:val="24"/>
              </w:rPr>
              <w:t>供应商具有2022年1月1日以来具有类似项目业绩，一个得2分</w:t>
            </w:r>
            <w:r>
              <w:rPr>
                <w:rFonts w:hint="eastAsia" w:hAnsi="宋体" w:eastAsia="宋体" w:cs="宋体"/>
                <w:kern w:val="0"/>
                <w:sz w:val="24"/>
                <w:szCs w:val="24"/>
                <w:lang w:eastAsia="zh-CN"/>
              </w:rPr>
              <w:t>，</w:t>
            </w:r>
            <w:r>
              <w:rPr>
                <w:rFonts w:hint="eastAsia" w:ascii="宋体" w:hAnsi="宋体" w:eastAsia="宋体" w:cs="宋体"/>
                <w:kern w:val="0"/>
                <w:sz w:val="24"/>
                <w:szCs w:val="24"/>
              </w:rPr>
              <w:t>最高得4分。(提供合同原件的扫描件，以签订合同日期为准</w:t>
            </w:r>
            <w:r>
              <w:rPr>
                <w:rFonts w:hint="eastAsia" w:hAnsi="宋体" w:eastAsia="宋体" w:cs="宋体"/>
                <w:kern w:val="0"/>
                <w:sz w:val="24"/>
                <w:szCs w:val="24"/>
                <w:lang w:eastAsia="zh-CN"/>
              </w:rPr>
              <w:t>）</w:t>
            </w:r>
          </w:p>
        </w:tc>
      </w:tr>
    </w:tbl>
    <w:p w14:paraId="36C0B401">
      <w:pPr>
        <w:widowControl/>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供应商综合得分按下列公式计算（计算分值均保留两位小数）；</w:t>
      </w:r>
    </w:p>
    <w:p w14:paraId="19C658D1">
      <w:pPr>
        <w:widowControl/>
        <w:spacing w:line="360" w:lineRule="auto"/>
        <w:rPr>
          <w:rFonts w:hint="eastAsia" w:ascii="宋体" w:hAnsi="宋体" w:cs="Calibri"/>
          <w:szCs w:val="21"/>
          <w:highlight w:val="none"/>
        </w:rPr>
      </w:pPr>
      <w:r>
        <w:rPr>
          <w:rFonts w:hint="eastAsia" w:ascii="宋体" w:hAnsi="宋体" w:cs="Calibri"/>
          <w:b/>
          <w:bCs/>
          <w:kern w:val="0"/>
          <w:sz w:val="24"/>
          <w:highlight w:val="none"/>
        </w:rPr>
        <w:t>注：评分办法中要求材料均以原件扫描件为准，保证清晰可见。</w:t>
      </w:r>
    </w:p>
    <w:p w14:paraId="694A0438">
      <w:pPr>
        <w:spacing w:line="480" w:lineRule="exact"/>
        <w:jc w:val="left"/>
        <w:outlineLvl w:val="1"/>
        <w:rPr>
          <w:rFonts w:hint="eastAsia" w:ascii="宋体" w:hAnsi="宋体" w:eastAsia="宋体" w:cs="宋体"/>
          <w:b/>
          <w:bCs/>
          <w:sz w:val="24"/>
          <w:szCs w:val="24"/>
          <w:highlight w:val="none"/>
        </w:rPr>
      </w:pPr>
      <w:bookmarkStart w:id="210" w:name="_Toc19222"/>
      <w:r>
        <w:rPr>
          <w:rFonts w:hint="eastAsia" w:ascii="宋体" w:hAnsi="宋体" w:eastAsia="宋体" w:cs="宋体"/>
          <w:b/>
          <w:bCs/>
          <w:sz w:val="24"/>
          <w:szCs w:val="24"/>
          <w:highlight w:val="none"/>
        </w:rPr>
        <w:t>三、综合评估法</w:t>
      </w:r>
      <w:bookmarkEnd w:id="210"/>
    </w:p>
    <w:p w14:paraId="5790BE52">
      <w:pPr>
        <w:spacing w:line="460" w:lineRule="exact"/>
        <w:ind w:firstLine="480" w:firstLineChars="200"/>
        <w:jc w:val="left"/>
        <w:outlineLvl w:val="2"/>
        <w:rPr>
          <w:rFonts w:hint="eastAsia" w:ascii="宋体" w:hAnsi="宋体" w:eastAsia="宋体" w:cs="宋体"/>
          <w:sz w:val="24"/>
          <w:szCs w:val="24"/>
          <w:highlight w:val="none"/>
        </w:rPr>
      </w:pPr>
      <w:bookmarkStart w:id="211" w:name="_Toc22573"/>
      <w:r>
        <w:rPr>
          <w:rFonts w:hint="eastAsia" w:ascii="宋体" w:hAnsi="宋体" w:eastAsia="宋体" w:cs="宋体"/>
          <w:sz w:val="24"/>
          <w:szCs w:val="24"/>
          <w:highlight w:val="none"/>
        </w:rPr>
        <w:t>3.1、本次采用综合评估法。</w:t>
      </w:r>
      <w:bookmarkEnd w:id="211"/>
    </w:p>
    <w:p w14:paraId="66E231CB">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磋商小组按与各供应商分别单独就采购需求、质量和服务等进行磋商，并将磋商内容记录在案，磋商结束后，磋商小组将要求实质性响应竞争性磋商文件的供应商在规定时间内提交最后报价。在规定时间内没有提交最后报价的磋商供应商，将视其首次报价为最终报价。未通过实质性响应的供应商将不再进行最后报价。经磋商确定最终采购需求和提交最后报价的供应商后，由磋商小组采用综合评分法对提交最后报价的供应商的响应文件和最后报价进行综合评分。</w:t>
      </w:r>
    </w:p>
    <w:p w14:paraId="0E9D2911">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磋商小组对满足采购文件实质性要求的响应文件，按照本章规定的评分标准进行打分，按最终得分由高到低顺序推荐候选成交供应商。得分相同的，按照最后报价由低到高的顺序推荐。评审得分且最后报价相同的，按照技术指标优劣顺序推荐。</w:t>
      </w:r>
    </w:p>
    <w:p w14:paraId="3E3D2F5E">
      <w:pPr>
        <w:spacing w:line="460" w:lineRule="exact"/>
        <w:ind w:firstLine="520" w:firstLineChars="21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3.2、评分分值计算保留小数点后两位，小数点后第三位“四舍五入”。</w:t>
      </w:r>
    </w:p>
    <w:p w14:paraId="4C4EF9D9">
      <w:pPr>
        <w:spacing w:line="460" w:lineRule="exact"/>
        <w:ind w:firstLine="520" w:firstLineChars="21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3.3、在评标过程中，凡遇到磋商文件中无界定或界定不清、前后不一致使磋商小组成员意见有分歧且又难以协商一致的问题，均由磋商小组成员投票予以表决，少数服从多数原则确定。 </w:t>
      </w:r>
    </w:p>
    <w:p w14:paraId="0CD3C55D">
      <w:pPr>
        <w:spacing w:line="460" w:lineRule="exact"/>
        <w:ind w:firstLine="480" w:firstLineChars="200"/>
        <w:jc w:val="left"/>
        <w:outlineLvl w:val="2"/>
        <w:rPr>
          <w:rFonts w:hint="eastAsia" w:ascii="宋体" w:hAnsi="宋体" w:eastAsia="宋体" w:cs="宋体"/>
          <w:sz w:val="24"/>
          <w:szCs w:val="24"/>
          <w:highlight w:val="none"/>
        </w:rPr>
      </w:pPr>
      <w:bookmarkStart w:id="212" w:name="_Toc23408"/>
      <w:r>
        <w:rPr>
          <w:rFonts w:hint="eastAsia" w:ascii="宋体" w:hAnsi="宋体" w:eastAsia="宋体" w:cs="宋体"/>
          <w:sz w:val="24"/>
          <w:szCs w:val="24"/>
          <w:highlight w:val="none"/>
        </w:rPr>
        <w:t>3.4、磋商小组完成评审后，向采购人出具评审报告。</w:t>
      </w:r>
      <w:bookmarkEnd w:id="212"/>
    </w:p>
    <w:p w14:paraId="334737DC">
      <w:pPr>
        <w:spacing w:line="480" w:lineRule="exact"/>
        <w:jc w:val="left"/>
        <w:outlineLvl w:val="1"/>
        <w:rPr>
          <w:rFonts w:hint="eastAsia" w:ascii="宋体" w:hAnsi="宋体" w:eastAsia="宋体" w:cs="宋体"/>
          <w:b/>
          <w:bCs/>
          <w:sz w:val="24"/>
          <w:szCs w:val="24"/>
          <w:highlight w:val="none"/>
        </w:rPr>
      </w:pPr>
      <w:bookmarkStart w:id="213" w:name="_Toc30530"/>
      <w:r>
        <w:rPr>
          <w:rFonts w:hint="eastAsia" w:ascii="宋体" w:hAnsi="宋体" w:eastAsia="宋体" w:cs="宋体"/>
          <w:b/>
          <w:bCs/>
          <w:sz w:val="24"/>
          <w:szCs w:val="24"/>
          <w:highlight w:val="none"/>
        </w:rPr>
        <w:t>四、磋商程序</w:t>
      </w:r>
      <w:bookmarkEnd w:id="213"/>
      <w:r>
        <w:rPr>
          <w:rFonts w:hint="eastAsia" w:ascii="宋体" w:hAnsi="宋体" w:eastAsia="宋体" w:cs="宋体"/>
          <w:b/>
          <w:bCs/>
          <w:sz w:val="24"/>
          <w:szCs w:val="24"/>
          <w:highlight w:val="none"/>
        </w:rPr>
        <w:t xml:space="preserve"> </w:t>
      </w:r>
    </w:p>
    <w:p w14:paraId="4E36B9CE">
      <w:pPr>
        <w:spacing w:line="480" w:lineRule="exact"/>
        <w:ind w:firstLine="482" w:firstLineChars="200"/>
        <w:jc w:val="left"/>
        <w:outlineLvl w:val="2"/>
        <w:rPr>
          <w:rFonts w:hint="eastAsia" w:ascii="宋体" w:hAnsi="宋体" w:eastAsia="宋体" w:cs="宋体"/>
          <w:b/>
          <w:bCs/>
          <w:sz w:val="24"/>
          <w:szCs w:val="24"/>
          <w:highlight w:val="none"/>
        </w:rPr>
      </w:pPr>
      <w:bookmarkStart w:id="214" w:name="_Toc880"/>
      <w:r>
        <w:rPr>
          <w:rFonts w:hint="eastAsia" w:ascii="宋体" w:hAnsi="宋体" w:eastAsia="宋体" w:cs="宋体"/>
          <w:b/>
          <w:bCs/>
          <w:sz w:val="24"/>
          <w:szCs w:val="24"/>
          <w:highlight w:val="none"/>
        </w:rPr>
        <w:t>4.1 初步评审</w:t>
      </w:r>
      <w:bookmarkEnd w:id="214"/>
      <w:r>
        <w:rPr>
          <w:rFonts w:hint="eastAsia" w:ascii="宋体" w:hAnsi="宋体" w:eastAsia="宋体" w:cs="宋体"/>
          <w:b/>
          <w:bCs/>
          <w:sz w:val="24"/>
          <w:szCs w:val="24"/>
          <w:highlight w:val="none"/>
        </w:rPr>
        <w:t xml:space="preserve"> </w:t>
      </w:r>
    </w:p>
    <w:p w14:paraId="2482E73C">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4.1.</w:t>
      </w:r>
      <w:r>
        <w:rPr>
          <w:rFonts w:ascii="宋体" w:hAnsi="宋体" w:eastAsia="宋体" w:cs="宋体"/>
          <w:sz w:val="24"/>
          <w:szCs w:val="24"/>
          <w:highlight w:val="none"/>
        </w:rPr>
        <w:t>1</w:t>
      </w:r>
      <w:r>
        <w:rPr>
          <w:rFonts w:hint="eastAsia" w:ascii="宋体" w:hAnsi="宋体" w:eastAsia="宋体" w:cs="宋体"/>
          <w:sz w:val="24"/>
          <w:szCs w:val="24"/>
          <w:highlight w:val="none"/>
        </w:rPr>
        <w:t xml:space="preserve">磋商小组依据本章附表 1 初步评审表规定的标准对磋商响应文件进行初步评审。有一项不符合评审标准的，作无效标处理。 </w:t>
      </w:r>
    </w:p>
    <w:p w14:paraId="4CEDA2A4">
      <w:pPr>
        <w:spacing w:line="460" w:lineRule="exact"/>
        <w:ind w:firstLine="480" w:firstLineChars="200"/>
        <w:jc w:val="left"/>
        <w:outlineLvl w:val="3"/>
        <w:rPr>
          <w:rFonts w:hint="eastAsia" w:ascii="宋体" w:hAnsi="宋体" w:eastAsia="宋体" w:cs="宋体"/>
          <w:sz w:val="24"/>
          <w:szCs w:val="24"/>
          <w:highlight w:val="none"/>
        </w:rPr>
      </w:pPr>
      <w:r>
        <w:rPr>
          <w:rFonts w:hint="eastAsia" w:ascii="宋体" w:hAnsi="宋体" w:eastAsia="宋体" w:cs="宋体"/>
          <w:sz w:val="24"/>
          <w:szCs w:val="24"/>
          <w:highlight w:val="none"/>
        </w:rPr>
        <w:t>4.1.</w:t>
      </w:r>
      <w:r>
        <w:rPr>
          <w:rFonts w:ascii="宋体" w:hAnsi="宋体" w:eastAsia="宋体" w:cs="宋体"/>
          <w:sz w:val="24"/>
          <w:szCs w:val="24"/>
          <w:highlight w:val="none"/>
        </w:rPr>
        <w:t>2</w:t>
      </w:r>
      <w:r>
        <w:rPr>
          <w:rFonts w:hint="eastAsia" w:ascii="宋体" w:hAnsi="宋体" w:eastAsia="宋体" w:cs="宋体"/>
          <w:sz w:val="24"/>
          <w:szCs w:val="24"/>
          <w:highlight w:val="none"/>
        </w:rPr>
        <w:t xml:space="preserve">供应商有以下情形之一的，其磋商作无效标处理： </w:t>
      </w:r>
    </w:p>
    <w:p w14:paraId="5385501C">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（1）串通磋商或弄虚作假或有其他违法行为的； </w:t>
      </w:r>
    </w:p>
    <w:p w14:paraId="3C5F168B">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（2）不按磋商小组要求澄清、说明或补正的。 </w:t>
      </w:r>
    </w:p>
    <w:p w14:paraId="26F09A34">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4.1.</w:t>
      </w:r>
      <w:r>
        <w:rPr>
          <w:rFonts w:ascii="宋体" w:hAnsi="宋体" w:eastAsia="宋体" w:cs="宋体"/>
          <w:sz w:val="24"/>
          <w:szCs w:val="24"/>
          <w:highlight w:val="none"/>
        </w:rPr>
        <w:t>3</w:t>
      </w:r>
      <w:r>
        <w:rPr>
          <w:rFonts w:hint="eastAsia" w:ascii="宋体" w:hAnsi="宋体" w:eastAsia="宋体" w:cs="宋体"/>
          <w:sz w:val="24"/>
          <w:szCs w:val="24"/>
          <w:highlight w:val="none"/>
        </w:rPr>
        <w:t xml:space="preserve">磋商报价有算术错误的，磋商小组按以下原则对磋商报价进行修正，修正的价格经供应商确认后具有约束力。供应商不接受修正价格的，其磋商作废标处理。 </w:t>
      </w:r>
    </w:p>
    <w:p w14:paraId="77589035">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（1）磋商文件中的大写金额与小写金额不一致的，以大写金额为准； </w:t>
      </w:r>
    </w:p>
    <w:p w14:paraId="1BA140DC">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（2）总价金额与依据单价计算出的结果不一致的，以单价金额为准修正总价，但单价金额小数点有明显错误的除外。</w:t>
      </w:r>
    </w:p>
    <w:p w14:paraId="1441F84A">
      <w:pPr>
        <w:spacing w:line="460" w:lineRule="exact"/>
        <w:ind w:firstLine="482" w:firstLineChars="200"/>
        <w:jc w:val="left"/>
        <w:outlineLvl w:val="2"/>
        <w:rPr>
          <w:rFonts w:hint="eastAsia" w:ascii="宋体" w:hAnsi="宋体" w:eastAsia="宋体" w:cs="宋体"/>
          <w:b/>
          <w:bCs/>
          <w:sz w:val="24"/>
          <w:szCs w:val="24"/>
          <w:highlight w:val="none"/>
        </w:rPr>
      </w:pPr>
      <w:bookmarkStart w:id="215" w:name="_Toc3753"/>
      <w:r>
        <w:rPr>
          <w:rFonts w:hint="eastAsia" w:ascii="宋体" w:hAnsi="宋体" w:eastAsia="宋体" w:cs="宋体"/>
          <w:b/>
          <w:bCs/>
          <w:sz w:val="24"/>
          <w:szCs w:val="24"/>
          <w:highlight w:val="none"/>
        </w:rPr>
        <w:t>4.2详细评审</w:t>
      </w:r>
      <w:bookmarkEnd w:id="215"/>
      <w:r>
        <w:rPr>
          <w:rFonts w:hint="eastAsia" w:ascii="宋体" w:hAnsi="宋体" w:eastAsia="宋体" w:cs="宋体"/>
          <w:b/>
          <w:bCs/>
          <w:sz w:val="24"/>
          <w:szCs w:val="24"/>
          <w:highlight w:val="none"/>
        </w:rPr>
        <w:t xml:space="preserve"> </w:t>
      </w:r>
    </w:p>
    <w:p w14:paraId="41DEE37C">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4.2.1磋商小组按本章评标办法前附表规定的量化因素和分值进行打分，并计算出综合评估得分。</w:t>
      </w:r>
    </w:p>
    <w:p w14:paraId="1EC9D328">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4.2.2在评审过程中，磋商小组发现供应商的磋商报价明显低于其他供应商的报价，并有可能低于其企业成本的，则磋商小组可以要求该供应商作出说明并提供相关证明材料。供应商不能合理说明或不能提供相关证明材料的，经磋商小组</w:t>
      </w:r>
      <w:r>
        <w:rPr>
          <w:rFonts w:hint="eastAsia" w:ascii="宋体" w:hAnsi="宋体" w:eastAsia="宋体" w:cs="宋体"/>
          <w:spacing w:val="6"/>
          <w:sz w:val="24"/>
          <w:szCs w:val="20"/>
          <w:highlight w:val="none"/>
        </w:rPr>
        <w:t>小组认定，属于恶性竞标的，可以按废标处理；磋商小组将不对无效响应文件或废标的供应商进行评审或打分。</w:t>
      </w:r>
      <w:r>
        <w:rPr>
          <w:rFonts w:hint="eastAsia" w:ascii="宋体" w:hAnsi="宋体" w:eastAsia="宋体" w:cs="宋体"/>
          <w:sz w:val="24"/>
          <w:szCs w:val="24"/>
          <w:highlight w:val="none"/>
        </w:rPr>
        <w:t xml:space="preserve"> </w:t>
      </w:r>
    </w:p>
    <w:p w14:paraId="3FB66778">
      <w:pPr>
        <w:spacing w:line="460" w:lineRule="exact"/>
        <w:ind w:firstLine="482" w:firstLineChars="200"/>
        <w:jc w:val="left"/>
        <w:outlineLvl w:val="2"/>
        <w:rPr>
          <w:rFonts w:hint="eastAsia" w:ascii="宋体" w:hAnsi="宋体" w:eastAsia="宋体" w:cs="宋体"/>
          <w:b/>
          <w:bCs/>
          <w:sz w:val="24"/>
          <w:szCs w:val="24"/>
          <w:highlight w:val="none"/>
        </w:rPr>
      </w:pPr>
      <w:bookmarkStart w:id="216" w:name="_Toc12705"/>
      <w:r>
        <w:rPr>
          <w:rFonts w:hint="eastAsia" w:ascii="宋体" w:hAnsi="宋体" w:eastAsia="宋体" w:cs="宋体"/>
          <w:b/>
          <w:bCs/>
          <w:sz w:val="24"/>
          <w:szCs w:val="24"/>
          <w:highlight w:val="none"/>
        </w:rPr>
        <w:t>4.3磋商文件的澄清和补正</w:t>
      </w:r>
      <w:bookmarkEnd w:id="216"/>
      <w:r>
        <w:rPr>
          <w:rFonts w:hint="eastAsia" w:ascii="宋体" w:hAnsi="宋体" w:eastAsia="宋体" w:cs="宋体"/>
          <w:b/>
          <w:bCs/>
          <w:sz w:val="24"/>
          <w:szCs w:val="24"/>
          <w:highlight w:val="none"/>
        </w:rPr>
        <w:t xml:space="preserve"> </w:t>
      </w:r>
    </w:p>
    <w:p w14:paraId="53AC3A70">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4.3.1在磋商过程中，磋商小组可以要求供应商对所提交磋商响应文件中不明确的内容进行澄清或说明，或者对细微偏差进行补正。磋商小组不接受供应商主动提出的澄清、说明或补正。 </w:t>
      </w:r>
    </w:p>
    <w:p w14:paraId="114ABE58">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4.3.2澄清、说明和补正不得改变磋商文件的实质性内容（算术性错误修正的除外）。供应商的澄清、说明和补正属于磋商响应文件的组成部分。 </w:t>
      </w:r>
    </w:p>
    <w:p w14:paraId="7B74FFC5">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4.3.3磋商小组对供应商提交的澄清、说明或补正有疑问的，可以要求供应商进一步澄清、说明或补正，直至满足磋商小组的要求。 </w:t>
      </w:r>
    </w:p>
    <w:p w14:paraId="5285258C">
      <w:pPr>
        <w:spacing w:line="460" w:lineRule="exact"/>
        <w:ind w:firstLine="482" w:firstLineChars="200"/>
        <w:jc w:val="left"/>
        <w:outlineLvl w:val="2"/>
        <w:rPr>
          <w:rFonts w:hint="eastAsia" w:ascii="宋体" w:hAnsi="宋体" w:eastAsia="宋体" w:cs="宋体"/>
          <w:b/>
          <w:bCs/>
          <w:sz w:val="24"/>
          <w:szCs w:val="24"/>
          <w:highlight w:val="none"/>
        </w:rPr>
      </w:pPr>
      <w:bookmarkStart w:id="217" w:name="_Toc16129"/>
      <w:r>
        <w:rPr>
          <w:rFonts w:hint="eastAsia" w:ascii="宋体" w:hAnsi="宋体" w:eastAsia="宋体" w:cs="宋体"/>
          <w:b/>
          <w:bCs/>
          <w:sz w:val="24"/>
          <w:szCs w:val="24"/>
          <w:highlight w:val="none"/>
        </w:rPr>
        <w:t>4.4、计分办法</w:t>
      </w:r>
      <w:bookmarkEnd w:id="217"/>
    </w:p>
    <w:p w14:paraId="58FE44CC">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根据磋商文件、响应文件，按照评分办法，得出每个评委对响应单位的评标分数。响应单位的最终得分为所有评委对其打分的算术平均值。计分过程按四舍五入取至小数点后两位，最终得分取至小数点后二位。</w:t>
      </w:r>
    </w:p>
    <w:p w14:paraId="2DA23741">
      <w:pPr>
        <w:spacing w:line="460" w:lineRule="exact"/>
        <w:ind w:firstLine="482" w:firstLineChars="200"/>
        <w:jc w:val="left"/>
        <w:outlineLvl w:val="2"/>
        <w:rPr>
          <w:rFonts w:hint="eastAsia" w:ascii="宋体" w:hAnsi="宋体" w:eastAsia="宋体" w:cs="宋体"/>
          <w:b/>
          <w:bCs/>
          <w:sz w:val="24"/>
          <w:szCs w:val="24"/>
          <w:highlight w:val="none"/>
        </w:rPr>
      </w:pPr>
      <w:bookmarkStart w:id="218" w:name="_Toc10110"/>
      <w:r>
        <w:rPr>
          <w:rFonts w:hint="eastAsia" w:ascii="宋体" w:hAnsi="宋体" w:eastAsia="宋体" w:cs="宋体"/>
          <w:b/>
          <w:bCs/>
          <w:sz w:val="24"/>
          <w:szCs w:val="24"/>
          <w:highlight w:val="none"/>
        </w:rPr>
        <w:t>4.5  磋商结果</w:t>
      </w:r>
      <w:bookmarkEnd w:id="218"/>
    </w:p>
    <w:p w14:paraId="432E76BB">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磋商小组按照得分由高到低的顺序推荐3名中标候选人。磋商小组完成磋商后，应当向采购人提交磋商报告。</w:t>
      </w:r>
    </w:p>
    <w:p w14:paraId="688DADA9">
      <w:pPr>
        <w:spacing w:line="460" w:lineRule="exact"/>
        <w:ind w:firstLine="482" w:firstLineChars="200"/>
        <w:jc w:val="left"/>
        <w:outlineLvl w:val="2"/>
        <w:rPr>
          <w:rFonts w:hint="eastAsia" w:ascii="宋体" w:hAnsi="宋体" w:eastAsia="宋体" w:cs="宋体"/>
          <w:b/>
          <w:bCs/>
          <w:sz w:val="24"/>
          <w:szCs w:val="24"/>
          <w:highlight w:val="none"/>
        </w:rPr>
      </w:pPr>
      <w:bookmarkStart w:id="219" w:name="_Toc8670"/>
      <w:r>
        <w:rPr>
          <w:rFonts w:hint="eastAsia" w:ascii="宋体" w:hAnsi="宋体" w:eastAsia="宋体" w:cs="宋体"/>
          <w:b/>
          <w:bCs/>
          <w:sz w:val="24"/>
          <w:szCs w:val="24"/>
          <w:highlight w:val="none"/>
        </w:rPr>
        <w:t>4.6 定标办法</w:t>
      </w:r>
      <w:bookmarkEnd w:id="219"/>
    </w:p>
    <w:p w14:paraId="1E4C2269">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（1）磋商小组应当根据供应商最终得分由高到低的顺序推荐3名成交候选供应商，出具磋商评审报告。</w:t>
      </w:r>
    </w:p>
    <w:p w14:paraId="69D0CCD7">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最终得分相同的，按照最后报价由低到高的顺序推荐。最终得分和最后报价均相同的，按照技术指标优劣顺序或磋商小组举手表决，少数服从多数的原则推荐。</w:t>
      </w:r>
    </w:p>
    <w:p w14:paraId="0A4F44E0">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（2）采购人按磋商小组写出磋商报告确定排序第一的响应单位为成交人。</w:t>
      </w:r>
    </w:p>
    <w:p w14:paraId="1E120704">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成交供应商拒绝签订政府采购合同的，采购人可以按照“财库【2014】214号”文第二十八条第二款规定的原则确定其他供应商作为成交供应商并签订政府采购合同，也可以重新开展采购活动。拒绝签订政府采购合同的成交供应商不得参加对该项目重新开展的采购活动。</w:t>
      </w:r>
    </w:p>
    <w:p w14:paraId="34A3DC6D">
      <w:pPr>
        <w:spacing w:line="360" w:lineRule="auto"/>
        <w:ind w:firstLine="456" w:firstLineChars="200"/>
        <w:jc w:val="left"/>
        <w:rPr>
          <w:highlight w:val="none"/>
        </w:rPr>
      </w:pPr>
      <w:r>
        <w:rPr>
          <w:rFonts w:hint="eastAsia" w:ascii="宋体" w:hAnsi="宋体" w:cs="宋体"/>
          <w:spacing w:val="-6"/>
          <w:kern w:val="0"/>
          <w:sz w:val="24"/>
          <w:highlight w:val="none"/>
        </w:rPr>
        <w:br w:type="page"/>
      </w:r>
    </w:p>
    <w:p w14:paraId="0D4C0F60">
      <w:pPr>
        <w:pStyle w:val="3"/>
        <w:jc w:val="center"/>
        <w:rPr>
          <w:highlight w:val="none"/>
        </w:rPr>
      </w:pPr>
      <w:bookmarkStart w:id="220" w:name="_Toc11512_WPSOffice_Level1"/>
      <w:bookmarkStart w:id="221" w:name="_Toc2414"/>
      <w:bookmarkStart w:id="222" w:name="_Toc6551_WPSOffice_Level1"/>
      <w:bookmarkStart w:id="223" w:name="_Toc8518"/>
      <w:bookmarkStart w:id="224" w:name="_Toc26959_WPSOffice_Level1"/>
      <w:bookmarkStart w:id="225" w:name="_Toc17744"/>
      <w:bookmarkStart w:id="226" w:name="_Toc9767"/>
      <w:bookmarkStart w:id="227" w:name="_Toc13565_WPSOffice_Level1"/>
      <w:r>
        <w:rPr>
          <w:rFonts w:hint="eastAsia"/>
          <w:highlight w:val="none"/>
        </w:rPr>
        <w:t>第四章  合同主要条款及格式</w:t>
      </w:r>
      <w:bookmarkEnd w:id="220"/>
      <w:bookmarkEnd w:id="221"/>
      <w:bookmarkEnd w:id="222"/>
      <w:bookmarkEnd w:id="223"/>
      <w:bookmarkEnd w:id="224"/>
      <w:bookmarkEnd w:id="225"/>
      <w:bookmarkEnd w:id="226"/>
      <w:bookmarkEnd w:id="227"/>
    </w:p>
    <w:p w14:paraId="62034570">
      <w:pPr>
        <w:pStyle w:val="11"/>
        <w:keepNext w:val="0"/>
        <w:keepLines w:val="0"/>
        <w:widowControl/>
        <w:suppressLineNumbers w:val="0"/>
        <w:spacing w:before="0" w:beforeAutospacing="0" w:after="0" w:afterAutospacing="0"/>
        <w:ind w:left="0" w:right="0"/>
        <w:jc w:val="center"/>
        <w:rPr>
          <w:rFonts w:hint="eastAsia" w:ascii="宋体" w:hAnsi="宋体" w:cs="宋体" w:eastAsiaTheme="minorEastAsia"/>
          <w:b/>
          <w:bCs/>
          <w:sz w:val="24"/>
          <w:szCs w:val="24"/>
          <w:highlight w:val="none"/>
          <w:lang w:eastAsia="zh-CN"/>
        </w:rPr>
      </w:pPr>
      <w:r>
        <w:rPr>
          <w:rFonts w:hint="eastAsia" w:ascii="宋体" w:hAnsi="宋体" w:cs="宋体"/>
          <w:b/>
          <w:bCs/>
          <w:sz w:val="24"/>
          <w:szCs w:val="24"/>
          <w:highlight w:val="none"/>
          <w:lang w:eastAsia="zh-CN"/>
        </w:rPr>
        <w:t>（</w:t>
      </w:r>
      <w:r>
        <w:rPr>
          <w:rFonts w:hint="eastAsia" w:ascii="宋体" w:hAnsi="宋体" w:eastAsia="宋体" w:cs="宋体"/>
          <w:b/>
          <w:bCs/>
          <w:i w:val="0"/>
          <w:iCs w:val="0"/>
          <w:color w:val="000000"/>
          <w:spacing w:val="0"/>
          <w:w w:val="100"/>
          <w:sz w:val="21"/>
          <w:szCs w:val="21"/>
          <w:vertAlign w:val="baseline"/>
        </w:rPr>
        <w:t>本合同仅供参考，中标后甲乙双方可根据实际情况自行修改。</w:t>
      </w:r>
      <w:r>
        <w:rPr>
          <w:rFonts w:hint="eastAsia" w:ascii="宋体" w:hAnsi="宋体" w:cs="宋体"/>
          <w:b/>
          <w:bCs/>
          <w:sz w:val="24"/>
          <w:szCs w:val="24"/>
          <w:highlight w:val="none"/>
          <w:lang w:eastAsia="zh-CN"/>
        </w:rPr>
        <w:t>）</w:t>
      </w:r>
    </w:p>
    <w:p w14:paraId="0B78FFC6">
      <w:pPr>
        <w:widowControl/>
        <w:jc w:val="left"/>
        <w:rPr>
          <w:rFonts w:hint="eastAsia" w:ascii="宋体" w:hAnsi="宋体" w:eastAsia="宋体" w:cs="宋体"/>
          <w:kern w:val="0"/>
          <w:sz w:val="24"/>
          <w:szCs w:val="24"/>
          <w:highlight w:val="none"/>
        </w:rPr>
      </w:pPr>
    </w:p>
    <w:p w14:paraId="3651171B">
      <w:pPr>
        <w:keepNext w:val="0"/>
        <w:keepLines w:val="0"/>
        <w:pageBreakBefore w:val="0"/>
        <w:widowControl w:val="0"/>
        <w:kinsoku/>
        <w:wordWrap/>
        <w:overflowPunct/>
        <w:topLinePunct w:val="0"/>
        <w:autoSpaceDE/>
        <w:autoSpaceDN/>
        <w:bidi w:val="0"/>
        <w:adjustRightInd w:val="0"/>
        <w:snapToGrid w:val="0"/>
        <w:spacing w:afterAutospacing="0" w:line="360" w:lineRule="auto"/>
        <w:jc w:val="left"/>
        <w:textAlignment w:val="auto"/>
        <w:rPr>
          <w:rFonts w:hint="eastAsia" w:ascii="宋体" w:hAnsi="宋体" w:eastAsia="宋体" w:cs="宋体"/>
          <w:b w:val="0"/>
          <w:bCs/>
          <w:color w:val="000000"/>
          <w:sz w:val="24"/>
          <w:szCs w:val="24"/>
        </w:rPr>
      </w:pPr>
    </w:p>
    <w:p w14:paraId="7FD7E4B3">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甲、乙双方根据《中华人民共和国采购法》、《中华人民共和国民法典》等法律法规的规定，按照</w:t>
      </w:r>
      <w:r>
        <w:rPr>
          <w:rFonts w:hint="eastAsia" w:ascii="宋体" w:hAnsi="宋体" w:eastAsia="宋体" w:cs="宋体"/>
          <w:b w:val="0"/>
          <w:bCs/>
          <w:color w:val="000000"/>
          <w:sz w:val="24"/>
          <w:szCs w:val="24"/>
          <w:u w:val="single"/>
          <w:lang w:val="en-US" w:eastAsia="zh-CN"/>
        </w:rPr>
        <w:t xml:space="preserve">      </w:t>
      </w:r>
      <w:r>
        <w:rPr>
          <w:rFonts w:hint="eastAsia" w:ascii="宋体" w:hAnsi="宋体" w:eastAsia="宋体" w:cs="宋体"/>
          <w:b w:val="0"/>
          <w:bCs/>
          <w:color w:val="000000"/>
          <w:sz w:val="24"/>
          <w:szCs w:val="24"/>
        </w:rPr>
        <w:t>(项目编号)的招标结果本着公开、公正、公平、诚实信用、质量优先、互惠互赢的原则，经协商签订本合同。</w:t>
      </w:r>
    </w:p>
    <w:p w14:paraId="59E22607">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一、甲方的权利与义务</w:t>
      </w:r>
    </w:p>
    <w:p w14:paraId="4EF36337">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(一)自协议生效之日起，甲方所需中药由乙方负责配送。</w:t>
      </w:r>
    </w:p>
    <w:p w14:paraId="2768BB4E">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(二)甲方根据工作需要，按照医院中药采购程序，负责向乙方提供本院使用的常用中药目录(中药名称、规格、数量等)。</w:t>
      </w:r>
    </w:p>
    <w:p w14:paraId="382A0BAF">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(三)甲方对乙方按计划配送的中药，按规定程序验收、入库、发放，如验收发现与采购计划不符的，可以拒收。</w:t>
      </w:r>
    </w:p>
    <w:p w14:paraId="50BEE630">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(四)中药出现质量问题，甲方有权要求无条件退、换货，由此造成的一切损失由乙方承担。</w:t>
      </w:r>
    </w:p>
    <w:p w14:paraId="75ABB508">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(五)甲方应根据中药的实际使用量，每月定期向乙方提供中药采购计划(具体时间由双方协商)。甲方应对所使用中药进行动态监测，对滞销品种或近效期中药及时通知乙方调换或退货。</w:t>
      </w:r>
    </w:p>
    <w:p w14:paraId="3FF4C189">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(六)甲方有权定期对乙方配送服务质量进行考核，乙方应积极配合。</w:t>
      </w:r>
    </w:p>
    <w:p w14:paraId="57E4FB2C">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二、乙方的权利和义务</w:t>
      </w:r>
    </w:p>
    <w:p w14:paraId="7EF53727">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(一)乙方向甲方提供其资质等相关证明，证明其合法性。乙方必须严格按照国家的相关法律法规的要求做好中药配送工作，按甲方要求完成配送。</w:t>
      </w:r>
    </w:p>
    <w:p w14:paraId="5B1F160B">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二)自协议生效之日起，乙方负责甲方在用中药的配送，并提供安全稳定，使用便捷的电子采购操作平台，每次配送量和配送时间以甲方的采购计划及协议为准。乙方指定专人负责中药配送，以便出现特殊情况时及时联系沟通解决。</w:t>
      </w:r>
    </w:p>
    <w:p w14:paraId="36C895AB">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三)乙方应保证甲方用药的连续性，按照医院制定的《基本用药供应目录》和中药采购计划保质保量按时配送，不经医院允许，不得私自调整供应中药的生产厂家、规格、数量和价格等，特殊情况(如厂家停止生产等)，甲乙双方协商解决。</w:t>
      </w:r>
    </w:p>
    <w:p w14:paraId="32CBF23B">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(四)乙方严格按照《中华人民共和国药典》(2025年版)、国家部颁标准、国家或省级中药炮制规范提供符合相应标准的中药及其炮制品种，能满足采购人的用药习惯和“选货”标准。</w:t>
      </w:r>
    </w:p>
    <w:p w14:paraId="470F36D5">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(五)乙方中药储存、调配、配送所使用的场地、设备、环境卫生和人员资质等必须符合国家相关法律法规的要求。中药饮片运输、仓储、发放、配置等流程应符合国家相关规定。</w:t>
      </w:r>
    </w:p>
    <w:p w14:paraId="21B47708">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六)乙方供应的药材不得出现虫蛀、霉变、走油酸败等现象。有效成分、含水量、杂质、灰分、非药用部位、辅料、重金属含量、农药残留量等应符合标准要求:药品外观整洁:中药必须包装严密，基本要求:包装袋(箱)应干净、结实、无破损、封口严密，方便储存、运输和使用，在每件包装上须注明:品名、数量、产地、供应单位、批号、生产日期、质量合格标志等。</w:t>
      </w:r>
    </w:p>
    <w:p w14:paraId="40FBC754">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(七)对于国家实行批准文号管理的中药，乙方应能提供相应的注册批件。</w:t>
      </w:r>
    </w:p>
    <w:p w14:paraId="1347155A">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八)乙方根据甲方提供的应急用药目录，储备一定数量的应急中药，在甲方急需时及时送达。遇有突发公共卫生事件或重大自然灾害事件等情况时，乙方有责任和义务参与公共卫生事件的救治，应按特殊和紧急情况下配送中药的要求随时采购和配送。</w:t>
      </w:r>
    </w:p>
    <w:p w14:paraId="1C2E5701">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九)乙方应严格按照《药品经营质量管理规范》的要求管理中药，中药的运输、仓储、发放、配置等流程应符合国家相关规定。甲方对乙方按中药饮片购置计划配送的中药，按规定的验收程序进行验收入库，配送数量与计划不符、无检验报告、存在质量问题、中药外观损毁等，可以拒收，甲方有权不予入库，及时退回。</w:t>
      </w:r>
    </w:p>
    <w:p w14:paraId="6A62BCEB">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十)乙方应当按照双方约定的时间为甲方配送所需中药。乙方必须具有满足甲方用药需求的供货能力，保证节假日期间照常配送，每次接采购人通知之日起3个日历天内完成配送。乙方不得以采购价超过中标价等理由停止供应所需中药。乙方超过约定时间(不可抗力除外)未配送到位，乙方必须向甲方支付违约金，每逾期一天按逾期部分货款0.5%计算。</w:t>
      </w:r>
    </w:p>
    <w:p w14:paraId="624F90E8">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十一)甲方需要的中药，乙方确实不能按时配送，应在接到计划的24小时内通知甲方，甲方有权向其他配送公司采购。若因未及时通知甲方造成药品配送延迟，乙方必须向甲方支付违约金，每逾期一天按逾期部分货款0.5%计算。</w:t>
      </w:r>
    </w:p>
    <w:p w14:paraId="1A0644BC">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(十二)根据订货通知确定的内容及交易习惯，由配送公司负责配送上门，并根据需要提供延伸服务和院内物流:</w:t>
      </w:r>
    </w:p>
    <w:p w14:paraId="1830BC65">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1、实施所供的中药的现场搬运或入库:</w:t>
      </w:r>
    </w:p>
    <w:p w14:paraId="6540856A">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2</w:t>
      </w:r>
      <w:r>
        <w:rPr>
          <w:rFonts w:hint="eastAsia" w:ascii="宋体" w:hAnsi="宋体" w:eastAsia="宋体" w:cs="宋体"/>
          <w:b w:val="0"/>
          <w:bCs/>
          <w:color w:val="000000"/>
          <w:sz w:val="24"/>
          <w:szCs w:val="24"/>
        </w:rPr>
        <w:t>、为了保证中药的及时供应，保证采购人需要，供应商应配备专职经理、专职业务员及专职负责下送的服务人员。</w:t>
      </w:r>
    </w:p>
    <w:p w14:paraId="34295F9E">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3</w:t>
      </w:r>
      <w:r>
        <w:rPr>
          <w:rFonts w:hint="eastAsia" w:ascii="宋体" w:hAnsi="宋体" w:eastAsia="宋体" w:cs="宋体"/>
          <w:b w:val="0"/>
          <w:bCs/>
          <w:color w:val="000000"/>
          <w:sz w:val="24"/>
          <w:szCs w:val="24"/>
        </w:rPr>
        <w:t>、定期开展相关培训服务:</w:t>
      </w:r>
    </w:p>
    <w:p w14:paraId="6B0E3BEF">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(十三)供货周期内出现质量问题，无条件退换货。</w:t>
      </w:r>
    </w:p>
    <w:p w14:paraId="5B96615E">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十四)中药一旦出现质量问题，接到医院通知后，乙方应于30分钟内作出响应，2小时内到达现场，24小时内解决问题。因质量问题或供货延误等引发相关医疗纠纷或经济赔偿、投诉、行政处罚的，由乙方承担一切的经济和法律责任。</w:t>
      </w:r>
    </w:p>
    <w:p w14:paraId="6D952EC7">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(十五)上级监督及主管部门等对医院库存中药抽检，所抽取样品数量由乙方负担，如因质量问题出现封存或处罚由乙方承担全部责任。</w:t>
      </w:r>
    </w:p>
    <w:p w14:paraId="6308DCA8">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(十六)乙方配送的中药滞销时间超过三个月，甲方应及时通知乙方，乙方负责退货。距失效期前三个月中药，因使用情况变化出现滞销，乙方应无条件退回。</w:t>
      </w:r>
    </w:p>
    <w:p w14:paraId="2FCFE616">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rPr>
        <w:t>(十七)乙方供应的中药必须符合国家行业监督管理部门规定的质量标准，确保使用安全有效。保证所供中药符合政府相关采购、销售管理规定</w:t>
      </w:r>
      <w:r>
        <w:rPr>
          <w:rFonts w:hint="eastAsia" w:ascii="宋体" w:hAnsi="宋体" w:eastAsia="宋体" w:cs="宋体"/>
          <w:b w:val="0"/>
          <w:bCs/>
          <w:color w:val="000000"/>
          <w:sz w:val="24"/>
          <w:szCs w:val="24"/>
          <w:lang w:eastAsia="zh-CN"/>
        </w:rPr>
        <w:t>。</w:t>
      </w:r>
    </w:p>
    <w:p w14:paraId="2F0ED39C">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十八)乙方供应的中药有效期应满足甲方的要求，若有效期内出现中药质量问题，须给予退货;对于各种原因导致的不合格中药、监督管理部门召回的中药、医院规定的近效期未使用完的中药，由乙方负责无条件退换货。</w:t>
      </w:r>
    </w:p>
    <w:p w14:paraId="40B932BD">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(十九)乙方配送的中药，甲方在验收或使用中，发现原包装破损、短缺等现象，应保存原样，乙方验证后及时调换。</w:t>
      </w:r>
    </w:p>
    <w:p w14:paraId="43208E2D">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(二十)为确保医院的中药供应配送顺利，公司将派驻专职人员为医院做好服务工作，处理退货、补差、票据等相关事宜。</w:t>
      </w:r>
    </w:p>
    <w:p w14:paraId="0E2A8995">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(二十一)在执行过程中，如涉及到协议未规定的内容，双方协商解决。</w:t>
      </w:r>
    </w:p>
    <w:p w14:paraId="742B203C">
      <w:pPr>
        <w:keepNext w:val="0"/>
        <w:keepLines w:val="0"/>
        <w:pageBreakBefore w:val="0"/>
        <w:widowControl w:val="0"/>
        <w:numPr>
          <w:ilvl w:val="0"/>
          <w:numId w:val="0"/>
        </w:numPr>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kern w:val="2"/>
          <w:sz w:val="24"/>
          <w:szCs w:val="24"/>
          <w:lang w:val="en-US" w:eastAsia="zh-CN" w:bidi="ar-SA"/>
        </w:rPr>
        <w:t>三、</w:t>
      </w:r>
      <w:r>
        <w:rPr>
          <w:rFonts w:hint="eastAsia" w:ascii="宋体" w:hAnsi="宋体" w:eastAsia="宋体" w:cs="宋体"/>
          <w:b w:val="0"/>
          <w:bCs/>
          <w:color w:val="000000"/>
          <w:sz w:val="24"/>
          <w:szCs w:val="24"/>
        </w:rPr>
        <w:t>付款约定</w:t>
      </w:r>
    </w:p>
    <w:p w14:paraId="3FBBF8E3">
      <w:pPr>
        <w:keepNext w:val="0"/>
        <w:keepLines w:val="0"/>
        <w:pageBreakBefore w:val="0"/>
        <w:widowControl w:val="0"/>
        <w:numPr>
          <w:ilvl w:val="0"/>
          <w:numId w:val="0"/>
        </w:numPr>
        <w:kinsoku/>
        <w:wordWrap/>
        <w:overflowPunct/>
        <w:topLinePunct w:val="0"/>
        <w:autoSpaceDE/>
        <w:autoSpaceDN/>
        <w:bidi w:val="0"/>
        <w:adjustRightInd w:val="0"/>
        <w:snapToGrid w:val="0"/>
        <w:spacing w:afterAutospacing="0" w:line="360" w:lineRule="auto"/>
        <w:jc w:val="left"/>
        <w:textAlignment w:val="auto"/>
        <w:rPr>
          <w:rFonts w:hint="default"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 w:val="0"/>
          <w:bCs/>
          <w:color w:val="000000"/>
          <w:sz w:val="24"/>
          <w:szCs w:val="24"/>
          <w:u w:val="single"/>
          <w:lang w:val="en-US" w:eastAsia="zh-CN"/>
        </w:rPr>
        <w:t xml:space="preserve">                              </w:t>
      </w:r>
      <w:r>
        <w:rPr>
          <w:rFonts w:hint="eastAsia" w:ascii="宋体" w:hAnsi="宋体" w:eastAsia="宋体" w:cs="宋体"/>
          <w:b w:val="0"/>
          <w:bCs/>
          <w:color w:val="000000"/>
          <w:sz w:val="24"/>
          <w:szCs w:val="24"/>
          <w:lang w:val="en-US" w:eastAsia="zh-CN"/>
        </w:rPr>
        <w:t xml:space="preserve">    </w:t>
      </w:r>
    </w:p>
    <w:p w14:paraId="57A8034F">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甲方： </w:t>
      </w: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 w:val="0"/>
          <w:bCs/>
          <w:color w:val="000000"/>
          <w:sz w:val="24"/>
          <w:szCs w:val="24"/>
        </w:rPr>
        <w:t xml:space="preserve">乙方： </w:t>
      </w:r>
    </w:p>
    <w:p w14:paraId="4A68452F">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单位地址： </w:t>
      </w: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 w:val="0"/>
          <w:bCs/>
          <w:color w:val="000000"/>
          <w:sz w:val="24"/>
          <w:szCs w:val="24"/>
        </w:rPr>
        <w:t xml:space="preserve">单位地址： </w:t>
      </w:r>
    </w:p>
    <w:p w14:paraId="3DDCC64F">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法定代表人：</w:t>
      </w: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 w:val="0"/>
          <w:bCs/>
          <w:color w:val="000000"/>
          <w:sz w:val="24"/>
          <w:szCs w:val="24"/>
        </w:rPr>
        <w:t xml:space="preserve"> </w:t>
      </w: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 w:val="0"/>
          <w:bCs/>
          <w:color w:val="000000"/>
          <w:sz w:val="24"/>
          <w:szCs w:val="24"/>
        </w:rPr>
        <w:t xml:space="preserve">法定代表人： </w:t>
      </w:r>
    </w:p>
    <w:p w14:paraId="626C46F0">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委托代理人： </w:t>
      </w: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 w:val="0"/>
          <w:bCs/>
          <w:color w:val="000000"/>
          <w:sz w:val="24"/>
          <w:szCs w:val="24"/>
        </w:rPr>
        <w:t xml:space="preserve">委托代理人： </w:t>
      </w:r>
    </w:p>
    <w:p w14:paraId="327F843A">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电话： </w:t>
      </w: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 w:val="0"/>
          <w:bCs/>
          <w:color w:val="000000"/>
          <w:sz w:val="24"/>
          <w:szCs w:val="24"/>
        </w:rPr>
        <w:t>电话：</w:t>
      </w:r>
    </w:p>
    <w:p w14:paraId="451F2F6A">
      <w:pPr>
        <w:widowControl/>
        <w:spacing w:line="360" w:lineRule="auto"/>
        <w:jc w:val="left"/>
        <w:rPr>
          <w:rFonts w:hint="default"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 xml:space="preserve">  </w:t>
      </w:r>
    </w:p>
    <w:p w14:paraId="155952BB">
      <w:pPr>
        <w:pStyle w:val="4"/>
        <w:rPr>
          <w:rFonts w:hint="eastAsia" w:ascii="宋体" w:hAnsi="宋体" w:cs="宋体"/>
          <w:b/>
          <w:bCs/>
          <w:sz w:val="24"/>
          <w:szCs w:val="24"/>
          <w:highlight w:val="none"/>
        </w:rPr>
      </w:pPr>
    </w:p>
    <w:p w14:paraId="1D38C3B2">
      <w:pPr>
        <w:pStyle w:val="4"/>
        <w:rPr>
          <w:rFonts w:hint="eastAsia" w:ascii="宋体" w:hAnsi="宋体" w:cs="宋体"/>
          <w:b/>
          <w:bCs/>
          <w:sz w:val="24"/>
          <w:szCs w:val="24"/>
          <w:highlight w:val="none"/>
        </w:rPr>
      </w:pPr>
    </w:p>
    <w:p w14:paraId="5801F15C">
      <w:pPr>
        <w:pStyle w:val="4"/>
        <w:rPr>
          <w:rFonts w:hint="eastAsia" w:ascii="宋体" w:hAnsi="宋体" w:cs="宋体"/>
          <w:b/>
          <w:bCs/>
          <w:sz w:val="24"/>
          <w:szCs w:val="24"/>
          <w:highlight w:val="none"/>
        </w:rPr>
      </w:pPr>
    </w:p>
    <w:p w14:paraId="215D7BD8">
      <w:pPr>
        <w:pStyle w:val="3"/>
        <w:numPr>
          <w:ilvl w:val="0"/>
          <w:numId w:val="0"/>
        </w:numPr>
        <w:jc w:val="both"/>
        <w:rPr>
          <w:rFonts w:hint="eastAsia" w:asciiTheme="minorHAnsi" w:hAnsiTheme="minorHAnsi" w:eastAsiaTheme="minorEastAsia" w:cstheme="minorBidi"/>
          <w:b/>
          <w:bCs/>
          <w:kern w:val="2"/>
          <w:sz w:val="28"/>
          <w:szCs w:val="32"/>
          <w:highlight w:val="none"/>
          <w:lang w:val="en-US" w:eastAsia="zh-CN" w:bidi="ar-SA"/>
        </w:rPr>
        <w:sectPr>
          <w:footerReference r:id="rId11" w:type="first"/>
          <w:headerReference r:id="rId9" w:type="default"/>
          <w:footerReference r:id="rId10" w:type="default"/>
          <w:pgSz w:w="11906" w:h="16838"/>
          <w:pgMar w:top="1440" w:right="1083" w:bottom="1440" w:left="1083" w:header="851" w:footer="850" w:gutter="0"/>
          <w:pgNumType w:fmt="decimal" w:start="1"/>
          <w:cols w:space="0" w:num="1"/>
          <w:titlePg/>
          <w:docGrid w:linePitch="312" w:charSpace="0"/>
        </w:sectPr>
      </w:pPr>
      <w:bookmarkStart w:id="228" w:name="_Toc29042"/>
      <w:bookmarkStart w:id="229" w:name="_Toc21666"/>
    </w:p>
    <w:p w14:paraId="3014F626">
      <w:pPr>
        <w:pStyle w:val="3"/>
        <w:numPr>
          <w:ilvl w:val="0"/>
          <w:numId w:val="0"/>
        </w:numPr>
        <w:ind w:left="420" w:leftChars="0" w:firstLine="0" w:firstLineChars="0"/>
        <w:jc w:val="center"/>
        <w:rPr>
          <w:rFonts w:hint="eastAsia"/>
          <w:highlight w:val="none"/>
        </w:rPr>
      </w:pPr>
      <w:bookmarkStart w:id="230" w:name="_Toc28413"/>
      <w:r>
        <w:rPr>
          <w:rFonts w:hint="eastAsia" w:asciiTheme="minorHAnsi" w:hAnsiTheme="minorHAnsi" w:eastAsiaTheme="minorEastAsia" w:cstheme="minorBidi"/>
          <w:b/>
          <w:bCs/>
          <w:kern w:val="2"/>
          <w:sz w:val="28"/>
          <w:szCs w:val="32"/>
          <w:highlight w:val="none"/>
          <w:lang w:val="en-US" w:eastAsia="zh-CN" w:bidi="ar-SA"/>
        </w:rPr>
        <w:t>第五章</w:t>
      </w:r>
      <w:r>
        <w:rPr>
          <w:rFonts w:hint="eastAsia" w:cstheme="minorBidi"/>
          <w:b/>
          <w:bCs/>
          <w:kern w:val="2"/>
          <w:sz w:val="28"/>
          <w:szCs w:val="32"/>
          <w:highlight w:val="none"/>
          <w:lang w:val="en-US" w:eastAsia="zh-CN" w:bidi="ar-SA"/>
        </w:rPr>
        <w:t xml:space="preserve"> 服务需求 </w:t>
      </w:r>
      <w:bookmarkEnd w:id="7"/>
      <w:bookmarkEnd w:id="8"/>
      <w:bookmarkEnd w:id="9"/>
      <w:bookmarkEnd w:id="10"/>
      <w:bookmarkEnd w:id="11"/>
      <w:bookmarkEnd w:id="12"/>
      <w:bookmarkEnd w:id="13"/>
      <w:bookmarkEnd w:id="228"/>
      <w:bookmarkEnd w:id="229"/>
      <w:bookmarkEnd w:id="230"/>
      <w:bookmarkStart w:id="231" w:name="_Toc1755_WPSOffice_Level1"/>
      <w:bookmarkStart w:id="232" w:name="_Toc25497"/>
      <w:bookmarkStart w:id="233" w:name="_Toc708_WPSOffice_Level1"/>
      <w:bookmarkStart w:id="234" w:name="_Toc5137"/>
      <w:bookmarkStart w:id="235" w:name="_Toc15342_WPSOffice_Level1"/>
      <w:bookmarkStart w:id="236" w:name="_Toc24845_WPSOffice_Level1"/>
      <w:bookmarkStart w:id="237" w:name="_Toc6078"/>
    </w:p>
    <w:p w14:paraId="0DFC32E2">
      <w:pPr>
        <w:keepNext w:val="0"/>
        <w:keepLines w:val="0"/>
        <w:pageBreakBefore w:val="0"/>
        <w:widowControl w:val="0"/>
        <w:kinsoku/>
        <w:wordWrap/>
        <w:overflowPunct/>
        <w:topLinePunct w:val="0"/>
        <w:autoSpaceDE w:val="0"/>
        <w:autoSpaceDN w:val="0"/>
        <w:bidi w:val="0"/>
        <w:adjustRightInd w:val="0"/>
        <w:snapToGrid w:val="0"/>
        <w:spacing w:line="360" w:lineRule="auto"/>
        <w:ind w:right="0" w:firstLine="0" w:firstLineChars="0"/>
        <w:textAlignment w:val="auto"/>
        <w:outlineLvl w:val="0"/>
        <w:rPr>
          <w:rFonts w:hint="eastAsia"/>
          <w:b/>
          <w:bCs/>
          <w:sz w:val="28"/>
          <w:szCs w:val="28"/>
          <w:lang w:eastAsia="zh-CN"/>
        </w:rPr>
      </w:pPr>
      <w:r>
        <w:rPr>
          <w:rFonts w:hint="eastAsia" w:ascii="宋体" w:hAnsi="宋体" w:cs="宋体"/>
          <w:b/>
          <w:bCs/>
          <w:kern w:val="0"/>
          <w:sz w:val="24"/>
          <w:szCs w:val="24"/>
        </w:rPr>
        <w:t>一、</w:t>
      </w:r>
      <w:r>
        <w:rPr>
          <w:rFonts w:hint="eastAsia"/>
          <w:b/>
          <w:bCs/>
          <w:sz w:val="28"/>
          <w:szCs w:val="28"/>
          <w:lang w:val="en-US" w:eastAsia="zh-CN"/>
        </w:rPr>
        <w:t>项目基本情况</w:t>
      </w:r>
    </w:p>
    <w:p w14:paraId="158C04C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cs="宋体"/>
          <w:color w:val="000000"/>
          <w:kern w:val="0"/>
          <w:sz w:val="24"/>
          <w:szCs w:val="24"/>
          <w:lang w:eastAsia="zh-CN"/>
        </w:rPr>
      </w:pPr>
      <w:r>
        <w:rPr>
          <w:rFonts w:hint="eastAsia" w:ascii="宋体" w:hAnsi="宋体" w:cs="宋体"/>
          <w:color w:val="000000"/>
          <w:kern w:val="0"/>
          <w:sz w:val="24"/>
          <w:szCs w:val="24"/>
          <w:lang w:val="en-US" w:eastAsia="zh-CN"/>
        </w:rPr>
        <w:t>1</w:t>
      </w:r>
      <w:r>
        <w:rPr>
          <w:rFonts w:hint="eastAsia" w:ascii="宋体" w:hAnsi="宋体" w:cs="宋体"/>
          <w:color w:val="000000"/>
          <w:kern w:val="0"/>
          <w:sz w:val="24"/>
          <w:szCs w:val="24"/>
        </w:rPr>
        <w:t>、项目名称：</w:t>
      </w:r>
      <w:r>
        <w:rPr>
          <w:rFonts w:hint="eastAsia" w:ascii="宋体" w:hAnsi="宋体" w:cs="宋体"/>
          <w:color w:val="000000"/>
          <w:kern w:val="0"/>
          <w:sz w:val="24"/>
          <w:szCs w:val="24"/>
          <w:lang w:eastAsia="zh-CN"/>
        </w:rPr>
        <w:t>渑池县人民医院中药配方颗粒配送服务采购项目</w:t>
      </w:r>
    </w:p>
    <w:p w14:paraId="3A7943E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000000"/>
          <w:kern w:val="0"/>
          <w:sz w:val="24"/>
          <w:szCs w:val="24"/>
        </w:rPr>
      </w:pPr>
      <w:r>
        <w:rPr>
          <w:rFonts w:hint="eastAsia" w:ascii="宋体" w:hAnsi="宋体" w:cs="宋体"/>
          <w:color w:val="000000"/>
          <w:kern w:val="0"/>
          <w:sz w:val="24"/>
          <w:szCs w:val="24"/>
          <w:lang w:val="en-US" w:eastAsia="zh-CN"/>
        </w:rPr>
        <w:t>2</w:t>
      </w:r>
      <w:r>
        <w:rPr>
          <w:rFonts w:hint="eastAsia" w:ascii="宋体" w:hAnsi="宋体" w:cs="宋体"/>
          <w:color w:val="000000"/>
          <w:kern w:val="0"/>
          <w:sz w:val="24"/>
          <w:szCs w:val="24"/>
        </w:rPr>
        <w:t>、采购方式：竞争性磋商</w:t>
      </w:r>
    </w:p>
    <w:p w14:paraId="73E1DBB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cs="宋体"/>
          <w:color w:val="000000"/>
          <w:kern w:val="0"/>
          <w:sz w:val="24"/>
          <w:szCs w:val="24"/>
          <w:highlight w:val="none"/>
          <w:lang w:eastAsia="zh-CN"/>
        </w:rPr>
      </w:pPr>
      <w:r>
        <w:rPr>
          <w:rFonts w:hint="eastAsia" w:ascii="宋体" w:hAnsi="宋体" w:cs="宋体"/>
          <w:kern w:val="0"/>
          <w:sz w:val="24"/>
          <w:szCs w:val="24"/>
          <w:lang w:val="en-US" w:eastAsia="zh-CN"/>
        </w:rPr>
        <w:t>3</w:t>
      </w:r>
      <w:r>
        <w:rPr>
          <w:rFonts w:hint="eastAsia" w:ascii="宋体" w:hAnsi="宋体" w:cs="宋体"/>
          <w:kern w:val="0"/>
          <w:sz w:val="24"/>
          <w:szCs w:val="24"/>
          <w:highlight w:val="none"/>
        </w:rPr>
        <w:t>、预算金额：</w:t>
      </w:r>
      <w:r>
        <w:rPr>
          <w:rFonts w:hint="eastAsia" w:ascii="宋体" w:hAnsi="宋体" w:cs="宋体"/>
          <w:color w:val="000000"/>
          <w:kern w:val="0"/>
          <w:sz w:val="24"/>
          <w:szCs w:val="24"/>
          <w:highlight w:val="none"/>
          <w:lang w:eastAsia="zh-CN"/>
        </w:rPr>
        <w:t>1000000.00</w:t>
      </w:r>
      <w:r>
        <w:rPr>
          <w:rFonts w:hint="eastAsia" w:ascii="宋体" w:hAnsi="宋体" w:cs="宋体"/>
          <w:color w:val="000000"/>
          <w:kern w:val="0"/>
          <w:sz w:val="24"/>
          <w:szCs w:val="24"/>
          <w:highlight w:val="none"/>
        </w:rPr>
        <w:t>元</w:t>
      </w:r>
      <w:r>
        <w:rPr>
          <w:rFonts w:hint="eastAsia" w:ascii="宋体" w:hAnsi="宋体" w:cs="宋体"/>
          <w:color w:val="000000"/>
          <w:kern w:val="0"/>
          <w:sz w:val="24"/>
          <w:szCs w:val="24"/>
          <w:highlight w:val="none"/>
          <w:lang w:eastAsia="zh-CN"/>
        </w:rPr>
        <w:t>，</w:t>
      </w:r>
    </w:p>
    <w:p w14:paraId="699C6DE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sz w:val="24"/>
          <w:szCs w:val="21"/>
          <w:lang w:eastAsia="zh-CN"/>
        </w:rPr>
      </w:pPr>
      <w:r>
        <w:rPr>
          <w:rFonts w:hint="eastAsia" w:ascii="宋体" w:hAnsi="宋体" w:cs="宋体"/>
          <w:kern w:val="0"/>
          <w:sz w:val="24"/>
          <w:szCs w:val="24"/>
          <w:highlight w:val="none"/>
          <w:lang w:val="en-US" w:eastAsia="zh-CN"/>
        </w:rPr>
        <w:t>4</w:t>
      </w:r>
      <w:r>
        <w:rPr>
          <w:rFonts w:hint="eastAsia" w:ascii="宋体" w:hAnsi="宋体" w:cs="宋体"/>
          <w:kern w:val="0"/>
          <w:sz w:val="24"/>
          <w:szCs w:val="24"/>
          <w:highlight w:val="none"/>
          <w:lang w:eastAsia="zh-CN"/>
        </w:rPr>
        <w:t>、</w:t>
      </w:r>
      <w:r>
        <w:rPr>
          <w:rFonts w:hint="eastAsia" w:ascii="宋体" w:hAnsi="宋体" w:cs="宋体"/>
          <w:kern w:val="0"/>
          <w:sz w:val="24"/>
          <w:szCs w:val="24"/>
          <w:highlight w:val="none"/>
          <w:lang w:val="en-US" w:eastAsia="zh-CN"/>
        </w:rPr>
        <w:t>项目概况：</w:t>
      </w:r>
      <w:r>
        <w:rPr>
          <w:rFonts w:hint="eastAsia" w:ascii="宋体" w:hAnsi="宋体" w:eastAsia="宋体" w:cs="宋体"/>
          <w:sz w:val="24"/>
          <w:szCs w:val="21"/>
          <w:highlight w:val="none"/>
          <w:lang w:val="en-US" w:eastAsia="zh-CN"/>
        </w:rPr>
        <w:t>本项</w:t>
      </w:r>
      <w:r>
        <w:rPr>
          <w:rFonts w:hint="eastAsia" w:ascii="宋体" w:hAnsi="宋体" w:eastAsia="宋体" w:cs="宋体"/>
          <w:sz w:val="24"/>
          <w:szCs w:val="21"/>
          <w:lang w:val="en-US" w:eastAsia="zh-CN"/>
        </w:rPr>
        <w:t>目为</w:t>
      </w:r>
      <w:r>
        <w:rPr>
          <w:rFonts w:hint="eastAsia" w:ascii="宋体" w:hAnsi="宋体" w:cs="宋体"/>
          <w:sz w:val="24"/>
          <w:szCs w:val="21"/>
          <w:lang w:eastAsia="zh-CN"/>
        </w:rPr>
        <w:t>渑池县人民医院中药配方颗粒配送服务采购项目；</w:t>
      </w:r>
      <w:r>
        <w:rPr>
          <w:rFonts w:hint="eastAsia" w:ascii="宋体" w:hAnsi="宋体" w:eastAsia="宋体" w:cs="宋体"/>
          <w:kern w:val="0"/>
          <w:sz w:val="24"/>
          <w:szCs w:val="24"/>
        </w:rPr>
        <w:t>为各临床科室、药房提供中药配方颗粒的供应、配送及配套服务，覆盖医院全部诊疗需求场景</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包含中药颗粒的合规供应、按时配送、质量保障、退换货处理、售后支持及全程追溯管理等全流程服务</w:t>
      </w:r>
      <w:r>
        <w:rPr>
          <w:rFonts w:hint="eastAsia" w:ascii="宋体" w:hAnsi="宋体" w:eastAsia="宋体" w:cs="宋体"/>
          <w:kern w:val="0"/>
          <w:sz w:val="24"/>
          <w:szCs w:val="24"/>
          <w:lang w:eastAsia="zh-CN"/>
        </w:rPr>
        <w:t>。</w:t>
      </w:r>
    </w:p>
    <w:p w14:paraId="7681423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kern w:val="0"/>
          <w:sz w:val="24"/>
          <w:szCs w:val="24"/>
          <w:highlight w:val="none"/>
        </w:rPr>
      </w:pPr>
      <w:r>
        <w:rPr>
          <w:rFonts w:hint="eastAsia" w:ascii="宋体" w:hAnsi="宋体" w:cs="宋体"/>
          <w:kern w:val="0"/>
          <w:sz w:val="24"/>
          <w:szCs w:val="24"/>
          <w:lang w:val="en-US" w:eastAsia="zh-CN"/>
        </w:rPr>
        <w:t>5、</w:t>
      </w:r>
      <w:r>
        <w:rPr>
          <w:rFonts w:hint="eastAsia" w:ascii="宋体" w:hAnsi="宋体" w:cs="宋体"/>
          <w:kern w:val="0"/>
          <w:sz w:val="24"/>
          <w:szCs w:val="24"/>
        </w:rPr>
        <w:t>资金来</w:t>
      </w:r>
      <w:r>
        <w:rPr>
          <w:rFonts w:hint="eastAsia" w:ascii="宋体" w:hAnsi="宋体" w:cs="宋体"/>
          <w:kern w:val="0"/>
          <w:sz w:val="24"/>
          <w:szCs w:val="24"/>
          <w:highlight w:val="none"/>
        </w:rPr>
        <w:t>源：</w:t>
      </w:r>
      <w:r>
        <w:rPr>
          <w:rFonts w:hint="eastAsia" w:ascii="宋体" w:hAnsi="宋体" w:cs="宋体"/>
          <w:kern w:val="0"/>
          <w:sz w:val="24"/>
          <w:szCs w:val="24"/>
          <w:highlight w:val="none"/>
          <w:lang w:val="en-US" w:eastAsia="zh-CN"/>
        </w:rPr>
        <w:t>自筹资金</w:t>
      </w:r>
    </w:p>
    <w:p w14:paraId="406EC65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kern w:val="0"/>
          <w:sz w:val="24"/>
          <w:szCs w:val="24"/>
          <w:highlight w:val="none"/>
          <w:lang w:eastAsia="zh-CN"/>
        </w:rPr>
      </w:pPr>
      <w:r>
        <w:rPr>
          <w:rFonts w:hint="eastAsia" w:ascii="宋体" w:hAnsi="宋体" w:cs="宋体"/>
          <w:kern w:val="0"/>
          <w:sz w:val="24"/>
          <w:szCs w:val="24"/>
          <w:highlight w:val="none"/>
          <w:lang w:val="en-US" w:eastAsia="zh-CN"/>
        </w:rPr>
        <w:t>6、服务</w:t>
      </w:r>
      <w:r>
        <w:rPr>
          <w:rFonts w:hint="eastAsia" w:ascii="宋体" w:hAnsi="宋体" w:cs="宋体"/>
          <w:kern w:val="0"/>
          <w:sz w:val="24"/>
          <w:szCs w:val="24"/>
          <w:highlight w:val="none"/>
          <w:lang w:eastAsia="zh-CN"/>
        </w:rPr>
        <w:t>地点</w:t>
      </w:r>
      <w:r>
        <w:rPr>
          <w:rFonts w:hint="eastAsia" w:ascii="宋体" w:hAnsi="宋体" w:cs="宋体"/>
          <w:kern w:val="0"/>
          <w:sz w:val="24"/>
          <w:szCs w:val="24"/>
          <w:highlight w:val="none"/>
        </w:rPr>
        <w:t>：</w:t>
      </w:r>
      <w:r>
        <w:rPr>
          <w:rFonts w:hint="eastAsia" w:ascii="宋体" w:hAnsi="宋体" w:cs="宋体"/>
          <w:kern w:val="0"/>
          <w:sz w:val="24"/>
          <w:szCs w:val="24"/>
          <w:highlight w:val="none"/>
          <w:lang w:eastAsia="zh-CN"/>
        </w:rPr>
        <w:t>渑池县</w:t>
      </w:r>
    </w:p>
    <w:p w14:paraId="45BC780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FF0000"/>
          <w:kern w:val="0"/>
          <w:sz w:val="24"/>
          <w:szCs w:val="24"/>
          <w:highlight w:val="none"/>
          <w:lang w:eastAsia="zh-CN"/>
        </w:rPr>
      </w:pPr>
      <w:r>
        <w:rPr>
          <w:rFonts w:hint="eastAsia" w:ascii="宋体" w:hAnsi="宋体" w:cs="宋体"/>
          <w:kern w:val="0"/>
          <w:sz w:val="24"/>
          <w:szCs w:val="24"/>
          <w:highlight w:val="none"/>
          <w:lang w:val="en-US" w:eastAsia="zh-CN"/>
        </w:rPr>
        <w:t>7、服务期限：三年</w:t>
      </w:r>
    </w:p>
    <w:p w14:paraId="7A017C8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cs="宋体"/>
          <w:kern w:val="0"/>
          <w:sz w:val="24"/>
          <w:szCs w:val="24"/>
          <w:highlight w:val="none"/>
          <w:lang w:eastAsia="zh-CN"/>
        </w:rPr>
      </w:pPr>
      <w:r>
        <w:rPr>
          <w:rFonts w:hint="eastAsia" w:ascii="宋体" w:hAnsi="宋体" w:cs="宋体"/>
          <w:kern w:val="0"/>
          <w:sz w:val="24"/>
          <w:szCs w:val="24"/>
          <w:highlight w:val="none"/>
          <w:lang w:val="en-US" w:eastAsia="zh-CN"/>
        </w:rPr>
        <w:t>8、</w:t>
      </w:r>
      <w:r>
        <w:rPr>
          <w:rFonts w:hint="eastAsia" w:ascii="宋体" w:hAnsi="宋体" w:cs="宋体"/>
          <w:kern w:val="0"/>
          <w:sz w:val="24"/>
          <w:szCs w:val="24"/>
          <w:highlight w:val="none"/>
        </w:rPr>
        <w:t>质量要求：</w:t>
      </w:r>
      <w:r>
        <w:rPr>
          <w:rFonts w:hint="eastAsia" w:ascii="宋体" w:hAnsi="宋体" w:cs="宋体"/>
          <w:kern w:val="0"/>
          <w:sz w:val="24"/>
          <w:szCs w:val="24"/>
          <w:highlight w:val="none"/>
          <w:lang w:eastAsia="zh-CN"/>
        </w:rPr>
        <w:t>符合国家、省、地方及行业规范相关标准，按最高标准执行，满足采购人要求。</w:t>
      </w:r>
    </w:p>
    <w:p w14:paraId="0227C437">
      <w:pPr>
        <w:keepNext w:val="0"/>
        <w:keepLines w:val="0"/>
        <w:pageBreakBefore w:val="0"/>
        <w:widowControl w:val="0"/>
        <w:kinsoku/>
        <w:wordWrap/>
        <w:overflowPunct/>
        <w:topLinePunct w:val="0"/>
        <w:bidi w:val="0"/>
        <w:adjustRightInd w:val="0"/>
        <w:snapToGrid w:val="0"/>
        <w:spacing w:line="360" w:lineRule="auto"/>
        <w:ind w:firstLine="0" w:firstLineChars="0"/>
        <w:textAlignment w:val="auto"/>
        <w:rPr>
          <w:rFonts w:hint="eastAsia"/>
          <w:b/>
          <w:bCs/>
          <w:sz w:val="28"/>
          <w:szCs w:val="28"/>
          <w:lang w:val="en-US" w:eastAsia="zh-CN"/>
        </w:rPr>
      </w:pPr>
      <w:r>
        <w:rPr>
          <w:rFonts w:hint="eastAsia"/>
          <w:b/>
          <w:bCs/>
          <w:sz w:val="28"/>
          <w:szCs w:val="28"/>
          <w:lang w:val="en-US" w:eastAsia="zh-CN"/>
        </w:rPr>
        <w:t>二、服务范围与内容</w:t>
      </w:r>
    </w:p>
    <w:p w14:paraId="639C769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1.服务对象：为人民医院各临床科室、药房提供中药配方颗粒的供应、配送及配套服务，覆盖医院全部诊疗需求场景。</w:t>
      </w:r>
    </w:p>
    <w:p w14:paraId="32B22B5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2.服务内容：包含中药颗粒的合规供应、按时配送、质量保障、退换货处理、售后支持及全程追溯管理等全流程服务。</w:t>
      </w:r>
    </w:p>
    <w:p w14:paraId="6B1E832E">
      <w:pPr>
        <w:keepNext w:val="0"/>
        <w:keepLines w:val="0"/>
        <w:pageBreakBefore w:val="0"/>
        <w:widowControl w:val="0"/>
        <w:kinsoku/>
        <w:wordWrap/>
        <w:overflowPunct/>
        <w:topLinePunct w:val="0"/>
        <w:bidi w:val="0"/>
        <w:adjustRightInd w:val="0"/>
        <w:snapToGrid w:val="0"/>
        <w:spacing w:line="360" w:lineRule="auto"/>
        <w:ind w:firstLine="0" w:firstLineChars="0"/>
        <w:textAlignment w:val="auto"/>
        <w:rPr>
          <w:rFonts w:hint="eastAsia"/>
          <w:b/>
          <w:bCs/>
          <w:sz w:val="28"/>
          <w:szCs w:val="28"/>
          <w:lang w:val="en-US" w:eastAsia="zh-CN"/>
        </w:rPr>
      </w:pPr>
      <w:r>
        <w:rPr>
          <w:rFonts w:hint="eastAsia"/>
          <w:b/>
          <w:bCs/>
          <w:sz w:val="28"/>
          <w:szCs w:val="28"/>
          <w:lang w:val="en-US" w:eastAsia="zh-CN"/>
        </w:rPr>
        <w:t>三、质量要求</w:t>
      </w:r>
    </w:p>
    <w:p w14:paraId="7A4CC46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1.质量标准：生产企业需通过GMP认证，产品为正规合格批次，无变质、污染、破损等问题。</w:t>
      </w:r>
    </w:p>
    <w:p w14:paraId="33ADA97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2.合规性：所供中药颗粒须符合《中华人民共和国药典》（最新版）、《中药配方颗粒管理细则》等国家及地方现行标准，具备合法注册备案资质 。</w:t>
      </w:r>
    </w:p>
    <w:p w14:paraId="61A75C3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3.效期要求：到货入库剩余保质期不少于总质保期60%；临期（3个月内）产品须按医院要求无条件退货。</w:t>
      </w:r>
    </w:p>
    <w:p w14:paraId="1D0F3516">
      <w:pPr>
        <w:keepNext w:val="0"/>
        <w:keepLines w:val="0"/>
        <w:pageBreakBefore w:val="0"/>
        <w:widowControl w:val="0"/>
        <w:kinsoku/>
        <w:wordWrap/>
        <w:overflowPunct/>
        <w:topLinePunct w:val="0"/>
        <w:bidi w:val="0"/>
        <w:adjustRightInd w:val="0"/>
        <w:snapToGrid w:val="0"/>
        <w:spacing w:line="360" w:lineRule="auto"/>
        <w:ind w:firstLine="0" w:firstLineChars="0"/>
        <w:textAlignment w:val="auto"/>
        <w:rPr>
          <w:rFonts w:hint="eastAsia"/>
          <w:sz w:val="28"/>
          <w:szCs w:val="28"/>
        </w:rPr>
      </w:pPr>
      <w:r>
        <w:rPr>
          <w:rFonts w:hint="eastAsia"/>
          <w:b/>
          <w:bCs/>
          <w:sz w:val="28"/>
          <w:szCs w:val="28"/>
          <w:lang w:val="en-US" w:eastAsia="zh-CN"/>
        </w:rPr>
        <w:t>四、配送要求</w:t>
      </w:r>
    </w:p>
    <w:p w14:paraId="266F3B1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1.时效要求：常规订单按医院采购计划配送，到货不超过3个日历天；急救/急用订单8小时内送达，节假日无休。</w:t>
      </w:r>
    </w:p>
    <w:p w14:paraId="508BD67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2.精准要求：严格匹配“品名、规格、批号、数量、生产厂家”，做到票、账、货相符，杜绝错配漏配 。</w:t>
      </w:r>
    </w:p>
    <w:p w14:paraId="1E5CAC4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3.冷链要求：如需冷链运输，运输温度须符合药品特性，全程温湿度监控，记录随货同行，偏差超阈值需立即上报并处置。</w:t>
      </w:r>
    </w:p>
    <w:p w14:paraId="43DC4A3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4.配送能力：具备覆盖医院服务范围的物流体系，配备专业运输设备，可应对突发订单、批量采购等场景。</w:t>
      </w:r>
    </w:p>
    <w:p w14:paraId="2EB1F4BB">
      <w:pPr>
        <w:keepNext w:val="0"/>
        <w:keepLines w:val="0"/>
        <w:pageBreakBefore w:val="0"/>
        <w:widowControl w:val="0"/>
        <w:kinsoku/>
        <w:wordWrap/>
        <w:overflowPunct/>
        <w:topLinePunct w:val="0"/>
        <w:bidi w:val="0"/>
        <w:adjustRightInd w:val="0"/>
        <w:snapToGrid w:val="0"/>
        <w:spacing w:line="360" w:lineRule="auto"/>
        <w:ind w:firstLine="0" w:firstLineChars="0"/>
        <w:textAlignment w:val="auto"/>
        <w:rPr>
          <w:rFonts w:hint="eastAsia"/>
          <w:b/>
          <w:bCs/>
          <w:sz w:val="28"/>
          <w:szCs w:val="28"/>
        </w:rPr>
      </w:pPr>
      <w:r>
        <w:rPr>
          <w:rFonts w:hint="eastAsia"/>
          <w:b/>
          <w:bCs/>
          <w:sz w:val="28"/>
          <w:szCs w:val="28"/>
          <w:lang w:val="en-US" w:eastAsia="zh-CN"/>
        </w:rPr>
        <w:t>五</w:t>
      </w:r>
      <w:r>
        <w:rPr>
          <w:rFonts w:hint="eastAsia"/>
          <w:b/>
          <w:bCs/>
          <w:sz w:val="28"/>
          <w:szCs w:val="28"/>
        </w:rPr>
        <w:t>、服务管理要求</w:t>
      </w:r>
    </w:p>
    <w:p w14:paraId="162D926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1.资质管理：提供营业执照、药品经营许可证、GMP/GSP认证等全套合规资质，首营企业/品种需完成医院审核备案 。</w:t>
      </w:r>
    </w:p>
    <w:p w14:paraId="23C76AF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2.人员管理：配备专属项目负责人与服务团队，人员变更需提前7个工作日书面告知医院，确保服务连续性 。</w:t>
      </w:r>
    </w:p>
    <w:p w14:paraId="306E55F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3.追溯管理：建立全流程追溯体系，记录采购、生产、配送、验收等环节，数据至少保存1年，配合医院及监管部门核查。</w:t>
      </w:r>
    </w:p>
    <w:p w14:paraId="4DBE8AC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4.售后管理：设立24小时售后响应机制，质量问题、退换货需求需24小时内响应，48小时内完成处置。</w:t>
      </w:r>
    </w:p>
    <w:p w14:paraId="269817DE">
      <w:pPr>
        <w:keepNext w:val="0"/>
        <w:keepLines w:val="0"/>
        <w:pageBreakBefore w:val="0"/>
        <w:widowControl w:val="0"/>
        <w:kinsoku/>
        <w:wordWrap/>
        <w:overflowPunct/>
        <w:topLinePunct w:val="0"/>
        <w:bidi w:val="0"/>
        <w:adjustRightInd w:val="0"/>
        <w:snapToGrid w:val="0"/>
        <w:spacing w:line="360" w:lineRule="auto"/>
        <w:ind w:firstLine="0" w:firstLineChars="0"/>
        <w:textAlignment w:val="auto"/>
        <w:rPr>
          <w:rFonts w:hint="eastAsia"/>
          <w:b/>
          <w:bCs/>
          <w:sz w:val="28"/>
          <w:szCs w:val="28"/>
        </w:rPr>
      </w:pPr>
      <w:r>
        <w:rPr>
          <w:rFonts w:hint="eastAsia"/>
          <w:b/>
          <w:bCs/>
          <w:sz w:val="28"/>
          <w:szCs w:val="28"/>
          <w:lang w:val="en-US" w:eastAsia="zh-CN"/>
        </w:rPr>
        <w:t>六</w:t>
      </w:r>
      <w:r>
        <w:rPr>
          <w:rFonts w:hint="eastAsia"/>
          <w:b/>
          <w:bCs/>
          <w:sz w:val="28"/>
          <w:szCs w:val="28"/>
        </w:rPr>
        <w:t>、服务承诺</w:t>
      </w:r>
    </w:p>
    <w:p w14:paraId="13C1C6D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1.供应保障：承诺按医院采购计划持续供货，不得以缺货、量少等理由拒绝供货。</w:t>
      </w:r>
    </w:p>
    <w:p w14:paraId="3DDE2D2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2.价格合规：严格执行医院医保挂网价格，价格调整需提前告知并配合医院完成系统更新。</w:t>
      </w:r>
    </w:p>
    <w:p w14:paraId="6ACC564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3.安全责任：对药品质量、配送安全承担全部责任，因药品质量或配送失误导致的医疗纠纷及损失，由供应商全额承担。</w:t>
      </w:r>
    </w:p>
    <w:p w14:paraId="6698D35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sz w:val="28"/>
          <w:szCs w:val="28"/>
        </w:rPr>
      </w:pPr>
      <w:r>
        <w:rPr>
          <w:rFonts w:hint="eastAsia" w:ascii="宋体" w:hAnsi="宋体" w:eastAsia="宋体" w:cs="宋体"/>
          <w:kern w:val="0"/>
          <w:sz w:val="24"/>
          <w:szCs w:val="24"/>
        </w:rPr>
        <w:t xml:space="preserve">4.配合考核：接受医院定期服务考核，考核不合格项需限期整改，接受对应违约处理 </w:t>
      </w:r>
      <w:r>
        <w:rPr>
          <w:rFonts w:hint="eastAsia"/>
          <w:sz w:val="28"/>
          <w:szCs w:val="28"/>
        </w:rPr>
        <w:t>。</w:t>
      </w:r>
    </w:p>
    <w:p w14:paraId="7B2BA9A7">
      <w:pPr>
        <w:keepNext w:val="0"/>
        <w:keepLines w:val="0"/>
        <w:pageBreakBefore w:val="0"/>
        <w:widowControl w:val="0"/>
        <w:kinsoku/>
        <w:wordWrap/>
        <w:overflowPunct/>
        <w:topLinePunct w:val="0"/>
        <w:bidi w:val="0"/>
        <w:adjustRightInd w:val="0"/>
        <w:snapToGrid w:val="0"/>
        <w:spacing w:line="360" w:lineRule="auto"/>
        <w:ind w:firstLine="0" w:firstLineChars="0"/>
        <w:textAlignment w:val="auto"/>
        <w:rPr>
          <w:rFonts w:hint="eastAsia"/>
          <w:b/>
          <w:bCs/>
          <w:sz w:val="28"/>
          <w:szCs w:val="28"/>
          <w:lang w:val="en-US" w:eastAsia="zh-CN"/>
        </w:rPr>
      </w:pPr>
      <w:r>
        <w:rPr>
          <w:rFonts w:hint="eastAsia"/>
          <w:b/>
          <w:bCs/>
          <w:sz w:val="28"/>
          <w:szCs w:val="28"/>
          <w:lang w:val="en-US" w:eastAsia="zh-CN"/>
        </w:rPr>
        <w:t>七、考核与违约责任</w:t>
      </w:r>
    </w:p>
    <w:p w14:paraId="0A32B1F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1.考核机制：医院按时效、质量、服务响应等维度定期考核，考核结果与服务费用、合作续约挂钩 。</w:t>
      </w:r>
    </w:p>
    <w:p w14:paraId="638BEE83">
      <w:pPr>
        <w:rPr>
          <w:highlight w:val="none"/>
        </w:rPr>
      </w:pPr>
      <w:r>
        <w:rPr>
          <w:rFonts w:hint="eastAsia" w:ascii="宋体" w:hAnsi="宋体" w:eastAsia="宋体" w:cs="宋体"/>
          <w:kern w:val="0"/>
          <w:sz w:val="24"/>
          <w:szCs w:val="24"/>
        </w:rPr>
        <w:t>2.违约责任：未按要求配送、药品质量不达标、超期响应售后等，按合同约定扣除服务费用；情节严重或造成不良后果的，终止合作并追究法律责任。</w:t>
      </w:r>
    </w:p>
    <w:p w14:paraId="4412BA01">
      <w:pPr>
        <w:rPr>
          <w:rFonts w:hint="default" w:asciiTheme="minorEastAsia" w:hAnsiTheme="minorEastAsia" w:cstheme="minorEastAsia"/>
          <w:highlight w:val="none"/>
          <w:lang w:val="en-US" w:eastAsia="zh-CN"/>
        </w:rPr>
      </w:pPr>
      <w:r>
        <w:rPr>
          <w:rFonts w:ascii="Segoe UI" w:hAnsi="Segoe UI" w:eastAsia="宋体" w:cs="Segoe UI"/>
          <w:b/>
          <w:bCs/>
          <w:color w:val="0F1115"/>
          <w:kern w:val="0"/>
          <w:sz w:val="27"/>
          <w:szCs w:val="27"/>
        </w:rPr>
        <w:br w:type="page"/>
      </w:r>
    </w:p>
    <w:p w14:paraId="30F39790">
      <w:pPr>
        <w:rPr>
          <w:rFonts w:hint="eastAsia"/>
          <w:highlight w:val="none"/>
        </w:rPr>
      </w:pPr>
      <w:bookmarkStart w:id="238" w:name="_Toc9749"/>
    </w:p>
    <w:p w14:paraId="47905ABF">
      <w:pPr>
        <w:pStyle w:val="3"/>
        <w:jc w:val="center"/>
        <w:rPr>
          <w:highlight w:val="none"/>
        </w:rPr>
      </w:pPr>
      <w:r>
        <w:rPr>
          <w:rFonts w:hint="eastAsia"/>
          <w:highlight w:val="none"/>
        </w:rPr>
        <w:t>第六章  响应性文件格式</w:t>
      </w:r>
      <w:bookmarkEnd w:id="231"/>
      <w:bookmarkEnd w:id="232"/>
      <w:bookmarkEnd w:id="233"/>
      <w:bookmarkEnd w:id="234"/>
      <w:bookmarkEnd w:id="235"/>
      <w:bookmarkEnd w:id="236"/>
      <w:bookmarkEnd w:id="237"/>
      <w:bookmarkEnd w:id="238"/>
    </w:p>
    <w:p w14:paraId="07F63A84">
      <w:pPr>
        <w:widowControl/>
        <w:ind w:firstLine="360"/>
        <w:jc w:val="center"/>
        <w:rPr>
          <w:rFonts w:hint="eastAsia" w:ascii="宋体" w:hAnsi="宋体" w:eastAsia="宋体" w:cs="宋体"/>
          <w:b/>
          <w:kern w:val="0"/>
          <w:sz w:val="24"/>
          <w:highlight w:val="none"/>
        </w:rPr>
      </w:pPr>
      <w:bookmarkStart w:id="239" w:name="_Toc528078066"/>
      <w:bookmarkEnd w:id="239"/>
      <w:bookmarkStart w:id="240" w:name="_Toc394651921"/>
      <w:bookmarkEnd w:id="240"/>
      <w:bookmarkStart w:id="241" w:name="_Toc27687"/>
      <w:bookmarkEnd w:id="241"/>
      <w:bookmarkStart w:id="242" w:name="_Toc19996"/>
    </w:p>
    <w:p w14:paraId="0C2F875D">
      <w:pPr>
        <w:widowControl/>
        <w:ind w:firstLine="360"/>
        <w:jc w:val="center"/>
        <w:rPr>
          <w:rFonts w:hint="eastAsia" w:ascii="宋体" w:hAnsi="宋体" w:eastAsia="宋体" w:cs="宋体"/>
          <w:b/>
          <w:kern w:val="0"/>
          <w:sz w:val="24"/>
          <w:highlight w:val="none"/>
        </w:rPr>
      </w:pPr>
    </w:p>
    <w:p w14:paraId="1668B11C">
      <w:pPr>
        <w:widowControl/>
        <w:ind w:firstLine="360"/>
        <w:jc w:val="center"/>
        <w:rPr>
          <w:rFonts w:hint="eastAsia" w:ascii="宋体" w:hAnsi="宋体" w:eastAsia="宋体" w:cs="宋体"/>
          <w:b/>
          <w:kern w:val="0"/>
          <w:sz w:val="24"/>
          <w:highlight w:val="none"/>
        </w:rPr>
      </w:pPr>
    </w:p>
    <w:p w14:paraId="495F4D19">
      <w:pPr>
        <w:widowControl/>
        <w:ind w:firstLine="360"/>
        <w:jc w:val="center"/>
        <w:rPr>
          <w:rFonts w:hint="eastAsia" w:ascii="宋体" w:hAnsi="宋体" w:eastAsia="宋体" w:cs="宋体"/>
          <w:b/>
          <w:kern w:val="0"/>
          <w:sz w:val="24"/>
          <w:highlight w:val="none"/>
          <w:u w:val="single"/>
        </w:rPr>
      </w:pPr>
    </w:p>
    <w:p w14:paraId="681D8E53">
      <w:pPr>
        <w:widowControl/>
        <w:ind w:firstLine="360"/>
        <w:jc w:val="center"/>
        <w:rPr>
          <w:rFonts w:hint="eastAsia" w:ascii="宋体" w:hAnsi="宋体" w:eastAsia="宋体" w:cs="宋体"/>
          <w:b/>
          <w:kern w:val="0"/>
          <w:sz w:val="24"/>
          <w:highlight w:val="none"/>
        </w:rPr>
      </w:pPr>
      <w:r>
        <w:rPr>
          <w:rFonts w:hint="eastAsia" w:ascii="宋体" w:hAnsi="宋体" w:eastAsia="宋体" w:cs="宋体"/>
          <w:b/>
          <w:kern w:val="0"/>
          <w:sz w:val="24"/>
          <w:highlight w:val="none"/>
          <w:u w:val="single"/>
        </w:rPr>
        <w:t xml:space="preserve">                     </w:t>
      </w:r>
      <w:r>
        <w:rPr>
          <w:rFonts w:hint="eastAsia" w:ascii="宋体" w:hAnsi="宋体" w:eastAsia="宋体" w:cs="宋体"/>
          <w:b/>
          <w:kern w:val="0"/>
          <w:sz w:val="24"/>
          <w:highlight w:val="none"/>
        </w:rPr>
        <w:t>（项目名称）</w:t>
      </w:r>
    </w:p>
    <w:p w14:paraId="50E9E29D">
      <w:pPr>
        <w:widowControl/>
        <w:ind w:firstLine="360"/>
        <w:jc w:val="center"/>
        <w:rPr>
          <w:rFonts w:hint="eastAsia" w:ascii="宋体" w:hAnsi="宋体" w:eastAsia="宋体" w:cs="宋体"/>
          <w:b/>
          <w:kern w:val="0"/>
          <w:sz w:val="24"/>
          <w:highlight w:val="none"/>
        </w:rPr>
      </w:pPr>
    </w:p>
    <w:p w14:paraId="37A7806B">
      <w:pPr>
        <w:widowControl/>
        <w:ind w:firstLine="3132" w:firstLineChars="1300"/>
        <w:jc w:val="left"/>
        <w:rPr>
          <w:rFonts w:hint="eastAsia" w:ascii="宋体" w:hAnsi="宋体" w:eastAsia="宋体" w:cs="宋体"/>
          <w:b/>
          <w:kern w:val="0"/>
          <w:sz w:val="24"/>
          <w:highlight w:val="none"/>
        </w:rPr>
      </w:pPr>
      <w:r>
        <w:rPr>
          <w:rFonts w:hint="eastAsia" w:ascii="宋体" w:hAnsi="宋体" w:eastAsia="宋体" w:cs="宋体"/>
          <w:b/>
          <w:kern w:val="0"/>
          <w:sz w:val="24"/>
          <w:highlight w:val="none"/>
        </w:rPr>
        <w:t>项目编号：</w:t>
      </w:r>
    </w:p>
    <w:p w14:paraId="2FF66B7A">
      <w:pPr>
        <w:widowControl/>
        <w:ind w:firstLine="360"/>
        <w:jc w:val="center"/>
        <w:rPr>
          <w:rFonts w:hint="eastAsia" w:ascii="宋体" w:hAnsi="宋体" w:eastAsia="宋体" w:cs="宋体"/>
          <w:b/>
          <w:kern w:val="0"/>
          <w:sz w:val="24"/>
          <w:highlight w:val="none"/>
        </w:rPr>
      </w:pPr>
    </w:p>
    <w:p w14:paraId="1B8602A9">
      <w:pPr>
        <w:widowControl/>
        <w:ind w:firstLine="360"/>
        <w:jc w:val="center"/>
        <w:rPr>
          <w:rFonts w:hint="eastAsia" w:ascii="宋体" w:hAnsi="宋体" w:eastAsia="宋体" w:cs="宋体"/>
          <w:b/>
          <w:kern w:val="0"/>
          <w:sz w:val="24"/>
          <w:highlight w:val="none"/>
        </w:rPr>
      </w:pPr>
    </w:p>
    <w:p w14:paraId="7F20D0FA">
      <w:pPr>
        <w:widowControl/>
        <w:ind w:firstLine="360"/>
        <w:jc w:val="center"/>
        <w:rPr>
          <w:rFonts w:hint="eastAsia" w:ascii="宋体" w:hAnsi="宋体" w:eastAsia="宋体" w:cs="宋体"/>
          <w:b/>
          <w:kern w:val="0"/>
          <w:sz w:val="24"/>
          <w:highlight w:val="none"/>
        </w:rPr>
      </w:pPr>
    </w:p>
    <w:p w14:paraId="28FE00E1">
      <w:pPr>
        <w:widowControl/>
        <w:ind w:firstLine="360"/>
        <w:jc w:val="center"/>
        <w:rPr>
          <w:rFonts w:hint="eastAsia" w:ascii="宋体" w:hAnsi="宋体" w:eastAsia="宋体" w:cs="宋体"/>
          <w:b/>
          <w:kern w:val="0"/>
          <w:sz w:val="24"/>
          <w:highlight w:val="none"/>
        </w:rPr>
      </w:pPr>
    </w:p>
    <w:p w14:paraId="33748D88">
      <w:pPr>
        <w:widowControl/>
        <w:ind w:firstLine="360"/>
        <w:jc w:val="center"/>
        <w:rPr>
          <w:rFonts w:hint="eastAsia" w:ascii="宋体" w:hAnsi="宋体" w:eastAsia="宋体" w:cs="宋体"/>
          <w:b/>
          <w:kern w:val="0"/>
          <w:sz w:val="24"/>
          <w:highlight w:val="none"/>
        </w:rPr>
      </w:pPr>
    </w:p>
    <w:p w14:paraId="1966736C">
      <w:pPr>
        <w:widowControl/>
        <w:ind w:firstLine="360"/>
        <w:jc w:val="center"/>
        <w:rPr>
          <w:rFonts w:hint="eastAsia" w:ascii="宋体" w:hAnsi="宋体" w:eastAsia="宋体" w:cs="宋体"/>
          <w:b/>
          <w:kern w:val="0"/>
          <w:sz w:val="28"/>
          <w:szCs w:val="24"/>
          <w:highlight w:val="none"/>
        </w:rPr>
      </w:pPr>
    </w:p>
    <w:p w14:paraId="0A66C7FC">
      <w:pPr>
        <w:widowControl/>
        <w:ind w:firstLine="360"/>
        <w:jc w:val="center"/>
        <w:rPr>
          <w:rFonts w:hint="eastAsia" w:ascii="宋体" w:hAnsi="宋体" w:eastAsia="宋体" w:cs="宋体"/>
          <w:b/>
          <w:kern w:val="0"/>
          <w:sz w:val="32"/>
          <w:szCs w:val="28"/>
          <w:highlight w:val="none"/>
        </w:rPr>
      </w:pPr>
      <w:r>
        <w:rPr>
          <w:rFonts w:hint="eastAsia" w:ascii="宋体" w:hAnsi="宋体" w:eastAsia="宋体" w:cs="宋体"/>
          <w:b/>
          <w:kern w:val="0"/>
          <w:sz w:val="32"/>
          <w:szCs w:val="28"/>
          <w:highlight w:val="none"/>
        </w:rPr>
        <w:t>响</w:t>
      </w:r>
    </w:p>
    <w:p w14:paraId="2412C88B">
      <w:pPr>
        <w:widowControl/>
        <w:ind w:firstLine="360"/>
        <w:jc w:val="center"/>
        <w:rPr>
          <w:rFonts w:hint="eastAsia" w:ascii="宋体" w:hAnsi="宋体" w:eastAsia="宋体" w:cs="宋体"/>
          <w:b/>
          <w:kern w:val="0"/>
          <w:sz w:val="32"/>
          <w:szCs w:val="28"/>
          <w:highlight w:val="none"/>
        </w:rPr>
      </w:pPr>
    </w:p>
    <w:p w14:paraId="7FA44699">
      <w:pPr>
        <w:widowControl/>
        <w:ind w:firstLine="360"/>
        <w:jc w:val="center"/>
        <w:rPr>
          <w:rFonts w:hint="eastAsia" w:ascii="宋体" w:hAnsi="宋体" w:eastAsia="宋体" w:cs="宋体"/>
          <w:b/>
          <w:kern w:val="0"/>
          <w:sz w:val="32"/>
          <w:szCs w:val="28"/>
          <w:highlight w:val="none"/>
        </w:rPr>
      </w:pPr>
      <w:r>
        <w:rPr>
          <w:rFonts w:hint="eastAsia" w:ascii="宋体" w:hAnsi="宋体" w:eastAsia="宋体" w:cs="宋体"/>
          <w:b/>
          <w:kern w:val="0"/>
          <w:sz w:val="32"/>
          <w:szCs w:val="28"/>
          <w:highlight w:val="none"/>
        </w:rPr>
        <w:t>应</w:t>
      </w:r>
    </w:p>
    <w:p w14:paraId="5C354E12">
      <w:pPr>
        <w:widowControl/>
        <w:ind w:firstLine="360"/>
        <w:jc w:val="center"/>
        <w:rPr>
          <w:rFonts w:hint="eastAsia" w:ascii="宋体" w:hAnsi="宋体" w:eastAsia="宋体" w:cs="宋体"/>
          <w:b/>
          <w:kern w:val="0"/>
          <w:sz w:val="32"/>
          <w:szCs w:val="28"/>
          <w:highlight w:val="none"/>
        </w:rPr>
      </w:pPr>
    </w:p>
    <w:p w14:paraId="0400F75D">
      <w:pPr>
        <w:widowControl/>
        <w:ind w:firstLine="360"/>
        <w:jc w:val="center"/>
        <w:rPr>
          <w:rFonts w:hint="eastAsia" w:ascii="宋体" w:hAnsi="宋体" w:eastAsia="宋体" w:cs="宋体"/>
          <w:b/>
          <w:kern w:val="0"/>
          <w:sz w:val="32"/>
          <w:szCs w:val="28"/>
          <w:highlight w:val="none"/>
        </w:rPr>
      </w:pPr>
      <w:r>
        <w:rPr>
          <w:rFonts w:hint="eastAsia" w:ascii="宋体" w:hAnsi="宋体" w:eastAsia="宋体" w:cs="宋体"/>
          <w:b/>
          <w:kern w:val="0"/>
          <w:sz w:val="32"/>
          <w:szCs w:val="28"/>
          <w:highlight w:val="none"/>
        </w:rPr>
        <w:t xml:space="preserve">性 </w:t>
      </w:r>
    </w:p>
    <w:p w14:paraId="341E50B3">
      <w:pPr>
        <w:widowControl/>
        <w:ind w:firstLine="360"/>
        <w:jc w:val="center"/>
        <w:rPr>
          <w:rFonts w:hint="eastAsia" w:ascii="宋体" w:hAnsi="宋体" w:eastAsia="宋体" w:cs="宋体"/>
          <w:b/>
          <w:kern w:val="0"/>
          <w:sz w:val="32"/>
          <w:szCs w:val="28"/>
          <w:highlight w:val="none"/>
        </w:rPr>
      </w:pPr>
      <w:r>
        <w:rPr>
          <w:rFonts w:ascii="宋体" w:hAnsi="宋体" w:eastAsia="宋体" w:cs="宋体"/>
          <w:b/>
          <w:kern w:val="0"/>
          <w:sz w:val="32"/>
          <w:szCs w:val="28"/>
          <w:highlight w:val="none"/>
        </w:rPr>
        <w:t xml:space="preserve"> </w:t>
      </w:r>
    </w:p>
    <w:p w14:paraId="0A0AB96C">
      <w:pPr>
        <w:widowControl/>
        <w:ind w:firstLine="360"/>
        <w:jc w:val="center"/>
        <w:rPr>
          <w:rFonts w:hint="eastAsia" w:ascii="宋体" w:hAnsi="宋体" w:eastAsia="宋体" w:cs="宋体"/>
          <w:b/>
          <w:kern w:val="0"/>
          <w:sz w:val="32"/>
          <w:szCs w:val="28"/>
          <w:highlight w:val="none"/>
        </w:rPr>
      </w:pPr>
      <w:r>
        <w:rPr>
          <w:rFonts w:hint="eastAsia" w:ascii="宋体" w:hAnsi="宋体" w:eastAsia="宋体" w:cs="宋体"/>
          <w:b/>
          <w:kern w:val="0"/>
          <w:sz w:val="32"/>
          <w:szCs w:val="28"/>
          <w:highlight w:val="none"/>
        </w:rPr>
        <w:t xml:space="preserve">文 </w:t>
      </w:r>
    </w:p>
    <w:p w14:paraId="58782845">
      <w:pPr>
        <w:widowControl/>
        <w:ind w:firstLine="360"/>
        <w:jc w:val="center"/>
        <w:rPr>
          <w:rFonts w:hint="eastAsia" w:ascii="宋体" w:hAnsi="宋体" w:eastAsia="宋体" w:cs="宋体"/>
          <w:b/>
          <w:kern w:val="0"/>
          <w:sz w:val="32"/>
          <w:szCs w:val="28"/>
          <w:highlight w:val="none"/>
        </w:rPr>
      </w:pPr>
      <w:r>
        <w:rPr>
          <w:rFonts w:ascii="宋体" w:hAnsi="宋体" w:eastAsia="宋体" w:cs="宋体"/>
          <w:b/>
          <w:kern w:val="0"/>
          <w:sz w:val="32"/>
          <w:szCs w:val="28"/>
          <w:highlight w:val="none"/>
        </w:rPr>
        <w:t xml:space="preserve"> </w:t>
      </w:r>
    </w:p>
    <w:p w14:paraId="14ADB636">
      <w:pPr>
        <w:widowControl/>
        <w:ind w:firstLine="360"/>
        <w:jc w:val="center"/>
        <w:rPr>
          <w:rFonts w:hint="eastAsia" w:ascii="宋体" w:hAnsi="宋体" w:eastAsia="宋体" w:cs="宋体"/>
          <w:b/>
          <w:kern w:val="0"/>
          <w:sz w:val="32"/>
          <w:szCs w:val="28"/>
          <w:highlight w:val="none"/>
        </w:rPr>
      </w:pPr>
      <w:r>
        <w:rPr>
          <w:rFonts w:hint="eastAsia" w:ascii="宋体" w:hAnsi="宋体" w:eastAsia="宋体" w:cs="宋体"/>
          <w:b/>
          <w:kern w:val="0"/>
          <w:sz w:val="32"/>
          <w:szCs w:val="28"/>
          <w:highlight w:val="none"/>
        </w:rPr>
        <w:t>件</w:t>
      </w:r>
    </w:p>
    <w:p w14:paraId="6733F29B">
      <w:pPr>
        <w:widowControl/>
        <w:ind w:firstLine="360"/>
        <w:jc w:val="center"/>
        <w:rPr>
          <w:rFonts w:hint="eastAsia" w:ascii="宋体" w:hAnsi="宋体" w:eastAsia="宋体" w:cs="宋体"/>
          <w:b/>
          <w:kern w:val="0"/>
          <w:sz w:val="24"/>
          <w:highlight w:val="none"/>
        </w:rPr>
      </w:pPr>
    </w:p>
    <w:p w14:paraId="4EEF1EF7">
      <w:pPr>
        <w:widowControl/>
        <w:spacing w:line="360" w:lineRule="auto"/>
        <w:ind w:firstLine="840" w:firstLineChars="350"/>
        <w:jc w:val="left"/>
        <w:rPr>
          <w:rFonts w:ascii="Calibri" w:hAnsi="Calibri" w:eastAsia="宋体" w:cs="Times New Roman"/>
          <w:kern w:val="0"/>
          <w:sz w:val="24"/>
          <w:highlight w:val="none"/>
        </w:rPr>
      </w:pPr>
    </w:p>
    <w:p w14:paraId="4683D0D5">
      <w:pPr>
        <w:widowControl/>
        <w:spacing w:line="360" w:lineRule="auto"/>
        <w:ind w:firstLine="840" w:firstLineChars="350"/>
        <w:jc w:val="left"/>
        <w:rPr>
          <w:rFonts w:ascii="Calibri" w:hAnsi="Calibri" w:eastAsia="宋体" w:cs="Times New Roman"/>
          <w:kern w:val="0"/>
          <w:sz w:val="24"/>
          <w:highlight w:val="none"/>
        </w:rPr>
      </w:pPr>
    </w:p>
    <w:p w14:paraId="49EF52D2">
      <w:pPr>
        <w:widowControl/>
        <w:spacing w:line="360" w:lineRule="auto"/>
        <w:ind w:firstLine="840" w:firstLineChars="350"/>
        <w:jc w:val="left"/>
        <w:rPr>
          <w:rFonts w:ascii="Calibri" w:hAnsi="Calibri" w:eastAsia="宋体" w:cs="Times New Roman"/>
          <w:kern w:val="0"/>
          <w:sz w:val="24"/>
          <w:highlight w:val="none"/>
        </w:rPr>
      </w:pPr>
    </w:p>
    <w:p w14:paraId="7D491B27">
      <w:pPr>
        <w:widowControl/>
        <w:spacing w:line="360" w:lineRule="auto"/>
        <w:ind w:firstLine="840" w:firstLineChars="350"/>
        <w:jc w:val="left"/>
        <w:rPr>
          <w:rFonts w:ascii="Calibri" w:hAnsi="Calibri" w:eastAsia="宋体" w:cs="Times New Roman"/>
          <w:kern w:val="0"/>
          <w:sz w:val="24"/>
          <w:highlight w:val="none"/>
        </w:rPr>
      </w:pPr>
    </w:p>
    <w:p w14:paraId="78A39157">
      <w:pPr>
        <w:widowControl/>
        <w:spacing w:line="360" w:lineRule="auto"/>
        <w:ind w:firstLine="840" w:firstLineChars="350"/>
        <w:jc w:val="left"/>
        <w:rPr>
          <w:rFonts w:ascii="Calibri" w:hAnsi="Calibri" w:eastAsia="宋体" w:cs="Times New Roman"/>
          <w:kern w:val="0"/>
          <w:sz w:val="24"/>
          <w:highlight w:val="none"/>
        </w:rPr>
      </w:pPr>
    </w:p>
    <w:p w14:paraId="360B9F48">
      <w:pPr>
        <w:widowControl/>
        <w:spacing w:line="360" w:lineRule="auto"/>
        <w:ind w:firstLine="1446" w:firstLineChars="600"/>
        <w:jc w:val="left"/>
        <w:rPr>
          <w:rFonts w:ascii="Calibri" w:hAnsi="Calibri" w:eastAsia="宋体" w:cs="Times New Roman"/>
          <w:b/>
          <w:kern w:val="0"/>
          <w:sz w:val="24"/>
          <w:highlight w:val="none"/>
        </w:rPr>
      </w:pPr>
      <w:r>
        <w:rPr>
          <w:rFonts w:hint="eastAsia" w:ascii="Calibri" w:hAnsi="Calibri" w:eastAsia="宋体" w:cs="Times New Roman"/>
          <w:b/>
          <w:kern w:val="0"/>
          <w:sz w:val="24"/>
          <w:highlight w:val="none"/>
        </w:rPr>
        <w:t>供应商：</w:t>
      </w:r>
      <w:r>
        <w:rPr>
          <w:rFonts w:hint="eastAsia" w:ascii="Calibri" w:hAnsi="Calibri" w:eastAsia="宋体" w:cs="Times New Roman"/>
          <w:b/>
          <w:kern w:val="0"/>
          <w:sz w:val="24"/>
          <w:highlight w:val="none"/>
          <w:u w:val="single"/>
        </w:rPr>
        <w:t xml:space="preserve">                                  </w:t>
      </w:r>
      <w:r>
        <w:rPr>
          <w:rFonts w:hint="eastAsia" w:ascii="Calibri" w:hAnsi="Calibri" w:eastAsia="宋体" w:cs="Times New Roman"/>
          <w:b/>
          <w:kern w:val="0"/>
          <w:sz w:val="24"/>
          <w:highlight w:val="none"/>
        </w:rPr>
        <w:t>（盖单位章）</w:t>
      </w:r>
    </w:p>
    <w:p w14:paraId="76EA5D8D">
      <w:pPr>
        <w:widowControl/>
        <w:spacing w:line="360" w:lineRule="auto"/>
        <w:ind w:firstLine="1446" w:firstLineChars="600"/>
        <w:jc w:val="left"/>
        <w:rPr>
          <w:rFonts w:ascii="Calibri" w:hAnsi="Calibri" w:eastAsia="宋体" w:cs="Times New Roman"/>
          <w:b/>
          <w:kern w:val="0"/>
          <w:sz w:val="24"/>
          <w:highlight w:val="none"/>
        </w:rPr>
      </w:pPr>
      <w:r>
        <w:rPr>
          <w:rFonts w:hint="eastAsia" w:ascii="Calibri" w:hAnsi="Calibri" w:eastAsia="宋体" w:cs="Times New Roman"/>
          <w:b/>
          <w:kern w:val="0"/>
          <w:sz w:val="24"/>
          <w:highlight w:val="none"/>
        </w:rPr>
        <w:t>法定代表人：</w:t>
      </w:r>
      <w:r>
        <w:rPr>
          <w:rFonts w:hint="eastAsia" w:ascii="Calibri" w:hAnsi="Calibri" w:eastAsia="宋体" w:cs="Times New Roman"/>
          <w:b/>
          <w:kern w:val="0"/>
          <w:sz w:val="24"/>
          <w:highlight w:val="none"/>
          <w:u w:val="single"/>
        </w:rPr>
        <w:t xml:space="preserve">                </w:t>
      </w:r>
      <w:r>
        <w:rPr>
          <w:rFonts w:hint="eastAsia" w:ascii="Calibri" w:hAnsi="Calibri" w:eastAsia="宋体" w:cs="Times New Roman"/>
          <w:b/>
          <w:kern w:val="0"/>
          <w:sz w:val="24"/>
          <w:highlight w:val="none"/>
        </w:rPr>
        <w:t>（电子签章）</w:t>
      </w:r>
    </w:p>
    <w:p w14:paraId="1813E69B">
      <w:pPr>
        <w:widowControl/>
        <w:spacing w:line="360" w:lineRule="auto"/>
        <w:ind w:firstLine="843" w:firstLineChars="350"/>
        <w:jc w:val="left"/>
        <w:rPr>
          <w:rFonts w:ascii="Calibri" w:hAnsi="Calibri" w:eastAsia="宋体" w:cs="Times New Roman"/>
          <w:b/>
          <w:kern w:val="0"/>
          <w:sz w:val="24"/>
          <w:highlight w:val="none"/>
        </w:rPr>
      </w:pPr>
      <w:r>
        <w:rPr>
          <w:rFonts w:hint="eastAsia" w:ascii="Calibri" w:hAnsi="Calibri" w:eastAsia="宋体" w:cs="Times New Roman"/>
          <w:b/>
          <w:kern w:val="0"/>
          <w:sz w:val="24"/>
          <w:highlight w:val="none"/>
        </w:rPr>
        <w:t xml:space="preserve">        </w:t>
      </w:r>
      <w:r>
        <w:rPr>
          <w:rFonts w:hint="eastAsia" w:ascii="Calibri" w:hAnsi="Calibri" w:eastAsia="宋体" w:cs="Times New Roman"/>
          <w:b/>
          <w:kern w:val="0"/>
          <w:sz w:val="24"/>
          <w:highlight w:val="none"/>
          <w:u w:val="single"/>
        </w:rPr>
        <w:t xml:space="preserve">            </w:t>
      </w:r>
      <w:r>
        <w:rPr>
          <w:rFonts w:hint="eastAsia" w:ascii="Calibri" w:hAnsi="Calibri" w:eastAsia="宋体" w:cs="Times New Roman"/>
          <w:b/>
          <w:kern w:val="0"/>
          <w:sz w:val="24"/>
          <w:highlight w:val="none"/>
        </w:rPr>
        <w:t xml:space="preserve"> 年</w:t>
      </w:r>
      <w:r>
        <w:rPr>
          <w:rFonts w:hint="eastAsia" w:ascii="Calibri" w:hAnsi="Calibri" w:eastAsia="宋体" w:cs="Times New Roman"/>
          <w:b/>
          <w:kern w:val="0"/>
          <w:sz w:val="24"/>
          <w:highlight w:val="none"/>
          <w:u w:val="single"/>
        </w:rPr>
        <w:t xml:space="preserve">        </w:t>
      </w:r>
      <w:r>
        <w:rPr>
          <w:rFonts w:hint="eastAsia" w:ascii="Calibri" w:hAnsi="Calibri" w:eastAsia="宋体" w:cs="Times New Roman"/>
          <w:b/>
          <w:kern w:val="0"/>
          <w:sz w:val="24"/>
          <w:highlight w:val="none"/>
        </w:rPr>
        <w:t xml:space="preserve">月 </w:t>
      </w:r>
      <w:r>
        <w:rPr>
          <w:rFonts w:hint="eastAsia" w:ascii="Calibri" w:hAnsi="Calibri" w:eastAsia="宋体" w:cs="Times New Roman"/>
          <w:b/>
          <w:kern w:val="0"/>
          <w:sz w:val="24"/>
          <w:highlight w:val="none"/>
          <w:u w:val="single"/>
        </w:rPr>
        <w:t xml:space="preserve">       </w:t>
      </w:r>
      <w:r>
        <w:rPr>
          <w:rFonts w:hint="eastAsia" w:ascii="Calibri" w:hAnsi="Calibri" w:eastAsia="宋体" w:cs="Times New Roman"/>
          <w:b/>
          <w:kern w:val="0"/>
          <w:sz w:val="24"/>
          <w:highlight w:val="none"/>
        </w:rPr>
        <w:t>日</w:t>
      </w:r>
    </w:p>
    <w:p w14:paraId="4E828FDD">
      <w:pPr>
        <w:widowControl/>
        <w:jc w:val="left"/>
        <w:rPr>
          <w:rFonts w:hint="eastAsia" w:asciiTheme="minorEastAsia" w:hAnsiTheme="minorEastAsia" w:cstheme="minorEastAsia"/>
          <w:b/>
          <w:sz w:val="28"/>
          <w:szCs w:val="28"/>
          <w:highlight w:val="none"/>
        </w:rPr>
      </w:pPr>
      <w:r>
        <w:rPr>
          <w:rFonts w:asciiTheme="minorEastAsia" w:hAnsiTheme="minorEastAsia" w:cstheme="minorEastAsia"/>
          <w:b/>
          <w:sz w:val="28"/>
          <w:szCs w:val="28"/>
          <w:highlight w:val="none"/>
        </w:rPr>
        <w:br w:type="page"/>
      </w:r>
    </w:p>
    <w:p w14:paraId="01D5FD09">
      <w:pPr>
        <w:spacing w:line="560" w:lineRule="exact"/>
        <w:jc w:val="center"/>
        <w:rPr>
          <w:rFonts w:hint="eastAsia" w:asciiTheme="minorEastAsia" w:hAnsiTheme="minorEastAsia" w:cstheme="minorEastAsia"/>
          <w:b/>
          <w:sz w:val="28"/>
          <w:szCs w:val="28"/>
          <w:highlight w:val="none"/>
        </w:rPr>
      </w:pPr>
      <w:r>
        <w:rPr>
          <w:rFonts w:hint="eastAsia" w:asciiTheme="minorEastAsia" w:hAnsiTheme="minorEastAsia" w:cstheme="minorEastAsia"/>
          <w:b/>
          <w:sz w:val="28"/>
          <w:szCs w:val="28"/>
          <w:highlight w:val="none"/>
        </w:rPr>
        <w:t>目  录</w:t>
      </w:r>
    </w:p>
    <w:p w14:paraId="0958FD64">
      <w:pPr>
        <w:spacing w:line="560" w:lineRule="exact"/>
        <w:jc w:val="center"/>
        <w:rPr>
          <w:rFonts w:hint="eastAsia" w:asciiTheme="minorEastAsia" w:hAnsiTheme="minorEastAsia" w:cstheme="minorEastAsia"/>
          <w:sz w:val="28"/>
          <w:szCs w:val="28"/>
          <w:highlight w:val="none"/>
        </w:rPr>
      </w:pPr>
      <w:r>
        <w:rPr>
          <w:rFonts w:hint="eastAsia" w:asciiTheme="minorEastAsia" w:hAnsiTheme="minorEastAsia" w:cstheme="minorEastAsia"/>
          <w:sz w:val="28"/>
          <w:szCs w:val="28"/>
          <w:highlight w:val="none"/>
        </w:rPr>
        <w:t>（自拟）</w:t>
      </w:r>
    </w:p>
    <w:p w14:paraId="35FDA4DF">
      <w:pPr>
        <w:spacing w:line="560" w:lineRule="exact"/>
        <w:rPr>
          <w:rFonts w:hint="eastAsia" w:asciiTheme="minorEastAsia" w:hAnsiTheme="minorEastAsia" w:cstheme="minorEastAsia"/>
          <w:b/>
          <w:sz w:val="28"/>
          <w:szCs w:val="28"/>
          <w:highlight w:val="none"/>
        </w:rPr>
      </w:pPr>
    </w:p>
    <w:p w14:paraId="5EAACAAE">
      <w:pPr>
        <w:widowControl/>
        <w:spacing w:line="560" w:lineRule="exact"/>
        <w:jc w:val="left"/>
        <w:rPr>
          <w:rFonts w:hint="eastAsia" w:asciiTheme="minorEastAsia" w:hAnsiTheme="minorEastAsia" w:cstheme="minorEastAsia"/>
          <w:b/>
          <w:sz w:val="28"/>
          <w:szCs w:val="28"/>
          <w:highlight w:val="none"/>
        </w:rPr>
      </w:pPr>
      <w:r>
        <w:rPr>
          <w:rFonts w:hint="eastAsia" w:asciiTheme="minorEastAsia" w:hAnsiTheme="minorEastAsia" w:cstheme="minorEastAsia"/>
          <w:bCs/>
          <w:sz w:val="28"/>
          <w:szCs w:val="28"/>
          <w:highlight w:val="none"/>
        </w:rPr>
        <w:br w:type="page"/>
      </w:r>
    </w:p>
    <w:bookmarkEnd w:id="242"/>
    <w:p w14:paraId="592E514C">
      <w:pPr>
        <w:pStyle w:val="3"/>
        <w:jc w:val="center"/>
        <w:rPr>
          <w:highlight w:val="none"/>
        </w:rPr>
      </w:pPr>
      <w:bookmarkStart w:id="243" w:name="_Toc9537"/>
      <w:r>
        <w:rPr>
          <w:rFonts w:hint="eastAsia"/>
          <w:highlight w:val="none"/>
        </w:rPr>
        <w:t>一、投标函</w:t>
      </w:r>
      <w:bookmarkStart w:id="244" w:name="_Toc152042578"/>
      <w:bookmarkEnd w:id="244"/>
      <w:bookmarkStart w:id="245" w:name="_Toc152045789"/>
      <w:bookmarkEnd w:id="245"/>
      <w:bookmarkStart w:id="246" w:name="_Toc394651922"/>
      <w:bookmarkEnd w:id="246"/>
      <w:bookmarkStart w:id="247" w:name="_Toc247085875"/>
      <w:bookmarkEnd w:id="247"/>
      <w:bookmarkStart w:id="248" w:name="_Toc144974858"/>
      <w:bookmarkEnd w:id="248"/>
      <w:bookmarkStart w:id="249" w:name="_Toc179632809"/>
      <w:bookmarkEnd w:id="249"/>
      <w:bookmarkStart w:id="250" w:name="_Toc246996357"/>
      <w:bookmarkEnd w:id="250"/>
      <w:bookmarkStart w:id="251" w:name="_Toc19389"/>
      <w:bookmarkEnd w:id="251"/>
      <w:bookmarkStart w:id="252" w:name="_Toc246997100"/>
      <w:bookmarkEnd w:id="252"/>
      <w:r>
        <w:rPr>
          <w:rFonts w:hint="eastAsia"/>
          <w:highlight w:val="none"/>
        </w:rPr>
        <w:t>及投标函附录</w:t>
      </w:r>
      <w:bookmarkEnd w:id="243"/>
    </w:p>
    <w:p w14:paraId="60F1B383">
      <w:pPr>
        <w:spacing w:line="560" w:lineRule="exact"/>
        <w:ind w:left="420"/>
        <w:jc w:val="center"/>
        <w:rPr>
          <w:rFonts w:hint="eastAsia" w:asciiTheme="minorEastAsia" w:hAnsiTheme="minorEastAsia" w:cstheme="minorEastAsia"/>
          <w:b/>
          <w:sz w:val="28"/>
          <w:szCs w:val="28"/>
          <w:highlight w:val="none"/>
        </w:rPr>
      </w:pPr>
      <w:r>
        <w:rPr>
          <w:rFonts w:hint="eastAsia" w:asciiTheme="minorEastAsia" w:hAnsiTheme="minorEastAsia" w:cstheme="minorEastAsia"/>
          <w:b/>
          <w:sz w:val="28"/>
          <w:szCs w:val="28"/>
          <w:highlight w:val="none"/>
        </w:rPr>
        <w:t>（1）投标函</w:t>
      </w:r>
    </w:p>
    <w:p w14:paraId="33809FCD">
      <w:pPr>
        <w:rPr>
          <w:highlight w:val="none"/>
        </w:rPr>
      </w:pPr>
    </w:p>
    <w:p w14:paraId="687F54EF">
      <w:pPr>
        <w:spacing w:line="480" w:lineRule="exact"/>
        <w:rPr>
          <w:rFonts w:hint="eastAsia" w:ascii="宋体" w:hAnsi="宋体" w:cs="宋体"/>
          <w:sz w:val="24"/>
          <w:szCs w:val="24"/>
          <w:highlight w:val="none"/>
        </w:rPr>
      </w:pP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（采购人名称） ： </w:t>
      </w:r>
    </w:p>
    <w:p w14:paraId="6042DEC1">
      <w:pPr>
        <w:numPr>
          <w:ilvl w:val="0"/>
          <w:numId w:val="2"/>
        </w:numPr>
        <w:spacing w:line="480" w:lineRule="exact"/>
        <w:ind w:firstLine="480" w:firstLineChars="200"/>
        <w:rPr>
          <w:rFonts w:hint="eastAsia" w:ascii="宋体" w:hAnsi="宋体" w:eastAsia="宋体" w:cs="宋体"/>
          <w:sz w:val="24"/>
          <w:szCs w:val="24"/>
          <w:u w:val="single"/>
        </w:rPr>
      </w:pPr>
      <w:r>
        <w:rPr>
          <w:rFonts w:hint="eastAsia" w:ascii="宋体" w:hAnsi="宋体" w:cs="宋体"/>
          <w:sz w:val="24"/>
          <w:szCs w:val="24"/>
          <w:highlight w:val="none"/>
        </w:rPr>
        <w:t>我方已仔细研究了</w:t>
      </w:r>
      <w:r>
        <w:rPr>
          <w:rFonts w:hint="eastAsia" w:ascii="宋体" w:hAnsi="宋体" w:cs="宋体"/>
          <w:sz w:val="24"/>
          <w:szCs w:val="24"/>
          <w:highlight w:val="none"/>
          <w:u w:val="single"/>
        </w:rPr>
        <w:t xml:space="preserve">                            </w:t>
      </w:r>
      <w:r>
        <w:rPr>
          <w:rFonts w:hint="eastAsia" w:ascii="宋体" w:hAnsi="宋体" w:cs="宋体"/>
          <w:sz w:val="24"/>
          <w:szCs w:val="24"/>
          <w:highlight w:val="none"/>
        </w:rPr>
        <w:t>（项目名称 ）</w:t>
      </w:r>
      <w:r>
        <w:rPr>
          <w:rFonts w:hint="eastAsia" w:ascii="宋体" w:hAnsi="宋体" w:cs="宋体"/>
          <w:spacing w:val="-2"/>
          <w:sz w:val="24"/>
          <w:szCs w:val="24"/>
          <w:highlight w:val="none"/>
        </w:rPr>
        <w:t>竞争性磋商文件</w:t>
      </w:r>
      <w:r>
        <w:rPr>
          <w:rFonts w:hint="eastAsia" w:ascii="宋体" w:hAnsi="宋体" w:cs="宋体"/>
          <w:sz w:val="24"/>
          <w:szCs w:val="24"/>
          <w:highlight w:val="none"/>
        </w:rPr>
        <w:t>的全部内容</w:t>
      </w:r>
      <w:r>
        <w:rPr>
          <w:rFonts w:hint="eastAsia" w:ascii="宋体" w:hAnsi="宋体" w:cs="宋体"/>
          <w:spacing w:val="-2"/>
          <w:sz w:val="24"/>
          <w:szCs w:val="24"/>
          <w:highlight w:val="none"/>
        </w:rPr>
        <w:t>，</w:t>
      </w:r>
      <w:r>
        <w:rPr>
          <w:rFonts w:hint="eastAsia" w:ascii="宋体" w:hAnsi="宋体" w:eastAsia="宋体" w:cs="宋体"/>
          <w:sz w:val="24"/>
          <w:szCs w:val="24"/>
        </w:rPr>
        <w:t>愿意以</w:t>
      </w:r>
      <w:r>
        <w:rPr>
          <w:rFonts w:hint="eastAsia" w:ascii="宋体" w:hAnsi="宋体" w:eastAsia="宋体" w:cs="宋体"/>
          <w:spacing w:val="-3"/>
          <w:sz w:val="24"/>
          <w:szCs w:val="24"/>
        </w:rPr>
        <w:t>：</w:t>
      </w:r>
      <w:r>
        <w:rPr>
          <w:rFonts w:hint="eastAsia" w:ascii="宋体" w:hAnsi="宋体" w:eastAsia="宋体" w:cs="宋体"/>
          <w:sz w:val="24"/>
          <w:szCs w:val="24"/>
        </w:rPr>
        <w:t>人民币（大</w:t>
      </w:r>
      <w:r>
        <w:rPr>
          <w:rFonts w:hint="eastAsia" w:ascii="宋体" w:hAnsi="宋体" w:eastAsia="宋体" w:cs="宋体"/>
          <w:spacing w:val="4"/>
          <w:sz w:val="24"/>
          <w:szCs w:val="24"/>
        </w:rPr>
        <w:t>写</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元</w:t>
      </w:r>
      <w:r>
        <w:rPr>
          <w:rFonts w:hint="eastAsia" w:ascii="宋体" w:hAnsi="宋体" w:eastAsia="宋体" w:cs="宋体"/>
          <w:sz w:val="24"/>
          <w:szCs w:val="24"/>
        </w:rPr>
        <w:t>）为投标</w:t>
      </w:r>
      <w:r>
        <w:rPr>
          <w:rFonts w:hint="eastAsia" w:ascii="宋体" w:hAnsi="宋体" w:eastAsia="宋体" w:cs="宋体"/>
          <w:spacing w:val="4"/>
          <w:sz w:val="24"/>
          <w:szCs w:val="24"/>
        </w:rPr>
        <w:t>总</w:t>
      </w:r>
      <w:r>
        <w:rPr>
          <w:rFonts w:hint="eastAsia" w:ascii="宋体" w:hAnsi="宋体" w:eastAsia="宋体" w:cs="宋体"/>
          <w:sz w:val="24"/>
          <w:szCs w:val="24"/>
        </w:rPr>
        <w:t>报价、合同履行</w:t>
      </w:r>
      <w:r>
        <w:rPr>
          <w:rFonts w:hint="eastAsia" w:ascii="宋体" w:hAnsi="宋体" w:eastAsia="宋体" w:cs="宋体"/>
          <w:spacing w:val="4"/>
          <w:sz w:val="24"/>
          <w:szCs w:val="24"/>
        </w:rPr>
        <w:t>期</w:t>
      </w:r>
      <w:r>
        <w:rPr>
          <w:rFonts w:hint="eastAsia" w:ascii="宋体" w:hAnsi="宋体" w:eastAsia="宋体" w:cs="宋体"/>
          <w:sz w:val="24"/>
          <w:szCs w:val="24"/>
        </w:rPr>
        <w:t>限</w:t>
      </w:r>
      <w:r>
        <w:rPr>
          <w:rFonts w:hint="eastAsia"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，按合同</w:t>
      </w:r>
      <w:r>
        <w:rPr>
          <w:rFonts w:hint="eastAsia" w:ascii="宋体" w:hAnsi="宋体" w:eastAsia="宋体" w:cs="宋体"/>
          <w:spacing w:val="4"/>
          <w:sz w:val="24"/>
          <w:szCs w:val="24"/>
        </w:rPr>
        <w:t>约</w:t>
      </w:r>
      <w:r>
        <w:rPr>
          <w:rFonts w:hint="eastAsia" w:ascii="宋体" w:hAnsi="宋体" w:eastAsia="宋体" w:cs="宋体"/>
          <w:sz w:val="24"/>
          <w:szCs w:val="24"/>
        </w:rPr>
        <w:t>定完成该项</w:t>
      </w:r>
      <w:r>
        <w:rPr>
          <w:rFonts w:hint="eastAsia" w:ascii="宋体" w:hAnsi="宋体" w:eastAsia="宋体" w:cs="宋体"/>
          <w:spacing w:val="-14"/>
          <w:sz w:val="24"/>
          <w:szCs w:val="24"/>
        </w:rPr>
        <w:t>目</w:t>
      </w:r>
      <w:r>
        <w:rPr>
          <w:rFonts w:hint="eastAsia" w:ascii="宋体" w:hAnsi="宋体" w:eastAsia="宋体" w:cs="宋体"/>
          <w:sz w:val="24"/>
          <w:szCs w:val="24"/>
        </w:rPr>
        <w:t>服务工作，服务质量达到</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none"/>
          <w:lang w:eastAsia="zh-CN"/>
        </w:rPr>
        <w:t>。</w:t>
      </w:r>
    </w:p>
    <w:p w14:paraId="731A873B">
      <w:pPr>
        <w:numPr>
          <w:ilvl w:val="0"/>
          <w:numId w:val="2"/>
        </w:numPr>
        <w:spacing w:line="480" w:lineRule="exact"/>
        <w:ind w:firstLine="480" w:firstLineChars="200"/>
        <w:rPr>
          <w:rFonts w:cs="宋体"/>
          <w:sz w:val="24"/>
          <w:szCs w:val="24"/>
          <w:highlight w:val="none"/>
        </w:rPr>
      </w:pPr>
      <w:r>
        <w:rPr>
          <w:rFonts w:hint="eastAsia" w:cs="宋体"/>
          <w:sz w:val="24"/>
          <w:szCs w:val="24"/>
          <w:highlight w:val="none"/>
        </w:rPr>
        <w:t>我方承诺在竞争性磋商文件规定的投标有效期内不修改、撤销响应文件。</w:t>
      </w:r>
    </w:p>
    <w:p w14:paraId="5BC2D526">
      <w:pPr>
        <w:spacing w:line="480" w:lineRule="exact"/>
        <w:ind w:firstLine="480" w:firstLineChars="200"/>
        <w:outlineLvl w:val="2"/>
        <w:rPr>
          <w:rFonts w:cs="宋体"/>
          <w:sz w:val="24"/>
          <w:szCs w:val="24"/>
          <w:highlight w:val="none"/>
        </w:rPr>
      </w:pPr>
      <w:bookmarkStart w:id="253" w:name="_Toc24078"/>
      <w:r>
        <w:rPr>
          <w:rFonts w:hint="eastAsia" w:cs="宋体"/>
          <w:sz w:val="24"/>
          <w:szCs w:val="24"/>
          <w:highlight w:val="none"/>
        </w:rPr>
        <w:t>3．如我方中标：</w:t>
      </w:r>
      <w:bookmarkEnd w:id="253"/>
    </w:p>
    <w:p w14:paraId="68E04A7A">
      <w:pPr>
        <w:pStyle w:val="27"/>
        <w:numPr>
          <w:ilvl w:val="0"/>
          <w:numId w:val="0"/>
        </w:numPr>
        <w:tabs>
          <w:tab w:val="left" w:pos="1458"/>
        </w:tabs>
        <w:spacing w:before="170" w:after="0" w:line="240" w:lineRule="auto"/>
        <w:ind w:right="0" w:rightChars="0" w:firstLine="480" w:firstLineChars="200"/>
        <w:jc w:val="left"/>
        <w:rPr>
          <w:rFonts w:hint="eastAsia" w:ascii="宋体" w:hAnsi="宋体" w:eastAsia="宋体" w:cs="宋体"/>
          <w:sz w:val="24"/>
          <w:szCs w:val="24"/>
        </w:rPr>
      </w:pPr>
      <w:r>
        <w:rPr>
          <w:rFonts w:hint="eastAsia" w:cs="宋体"/>
          <w:sz w:val="24"/>
          <w:szCs w:val="24"/>
          <w:lang w:eastAsia="zh-CN"/>
        </w:rPr>
        <w:t>（</w:t>
      </w:r>
      <w:r>
        <w:rPr>
          <w:rFonts w:hint="eastAsia" w:cs="宋体"/>
          <w:sz w:val="24"/>
          <w:szCs w:val="24"/>
          <w:lang w:val="en-US" w:eastAsia="zh-CN"/>
        </w:rPr>
        <w:t>1</w:t>
      </w:r>
      <w:r>
        <w:rPr>
          <w:rFonts w:hint="eastAsia" w:cs="宋体"/>
          <w:sz w:val="24"/>
          <w:szCs w:val="24"/>
          <w:lang w:eastAsia="zh-CN"/>
        </w:rPr>
        <w:t>）</w:t>
      </w:r>
      <w:r>
        <w:rPr>
          <w:rFonts w:hint="eastAsia" w:ascii="宋体" w:hAnsi="宋体" w:eastAsia="宋体" w:cs="宋体"/>
          <w:sz w:val="24"/>
          <w:szCs w:val="24"/>
        </w:rPr>
        <w:t>我方承诺在收到</w:t>
      </w:r>
      <w:r>
        <w:rPr>
          <w:rFonts w:hint="eastAsia" w:cs="宋体"/>
          <w:sz w:val="24"/>
          <w:szCs w:val="24"/>
          <w:lang w:val="en-US" w:eastAsia="zh-CN"/>
        </w:rPr>
        <w:t>成交</w:t>
      </w:r>
      <w:r>
        <w:rPr>
          <w:rFonts w:hint="eastAsia" w:ascii="宋体" w:hAnsi="宋体" w:eastAsia="宋体" w:cs="宋体"/>
          <w:sz w:val="24"/>
          <w:szCs w:val="24"/>
        </w:rPr>
        <w:t>通知书后，在</w:t>
      </w:r>
      <w:r>
        <w:rPr>
          <w:rFonts w:hint="eastAsia" w:cs="宋体"/>
          <w:sz w:val="24"/>
          <w:szCs w:val="24"/>
          <w:lang w:val="en-US" w:eastAsia="zh-CN"/>
        </w:rPr>
        <w:t>成交</w:t>
      </w:r>
      <w:r>
        <w:rPr>
          <w:rFonts w:hint="eastAsia" w:ascii="宋体" w:hAnsi="宋体" w:eastAsia="宋体" w:cs="宋体"/>
          <w:sz w:val="24"/>
          <w:szCs w:val="24"/>
        </w:rPr>
        <w:t>通知书规定的期限内与你方签订合同。</w:t>
      </w:r>
    </w:p>
    <w:p w14:paraId="27FF4531">
      <w:pPr>
        <w:pStyle w:val="27"/>
        <w:numPr>
          <w:ilvl w:val="0"/>
          <w:numId w:val="0"/>
        </w:numPr>
        <w:tabs>
          <w:tab w:val="left" w:pos="1464"/>
        </w:tabs>
        <w:spacing w:before="170" w:after="0" w:line="393" w:lineRule="auto"/>
        <w:ind w:right="312" w:rightChars="0" w:firstLine="480" w:firstLineChars="200"/>
        <w:jc w:val="left"/>
        <w:rPr>
          <w:rFonts w:hint="eastAsia" w:ascii="宋体" w:hAnsi="宋体" w:eastAsia="宋体" w:cs="宋体"/>
          <w:sz w:val="24"/>
          <w:szCs w:val="24"/>
        </w:rPr>
      </w:pPr>
      <w:r>
        <w:rPr>
          <w:rFonts w:hint="eastAsia" w:cs="宋体"/>
          <w:sz w:val="24"/>
          <w:szCs w:val="24"/>
          <w:lang w:eastAsia="zh-CN"/>
        </w:rPr>
        <w:t>（</w:t>
      </w:r>
      <w:r>
        <w:rPr>
          <w:rFonts w:hint="eastAsia" w:cs="宋体"/>
          <w:sz w:val="24"/>
          <w:szCs w:val="24"/>
          <w:lang w:val="en-US" w:eastAsia="zh-CN"/>
        </w:rPr>
        <w:t>2</w:t>
      </w:r>
      <w:r>
        <w:rPr>
          <w:rFonts w:hint="eastAsia" w:cs="宋体"/>
          <w:sz w:val="24"/>
          <w:szCs w:val="24"/>
          <w:lang w:eastAsia="zh-CN"/>
        </w:rPr>
        <w:t>）</w:t>
      </w:r>
      <w:r>
        <w:rPr>
          <w:rFonts w:hint="eastAsia" w:ascii="宋体" w:hAnsi="宋体" w:eastAsia="宋体" w:cs="宋体"/>
          <w:sz w:val="24"/>
          <w:szCs w:val="24"/>
        </w:rPr>
        <w:t>我单位愿意履行</w:t>
      </w:r>
      <w:r>
        <w:rPr>
          <w:rFonts w:hint="eastAsia" w:cs="宋体"/>
          <w:sz w:val="24"/>
          <w:szCs w:val="24"/>
          <w:lang w:eastAsia="zh-CN"/>
        </w:rPr>
        <w:t>响应文件</w:t>
      </w:r>
      <w:r>
        <w:rPr>
          <w:rFonts w:hint="eastAsia" w:ascii="宋体" w:hAnsi="宋体" w:eastAsia="宋体" w:cs="宋体"/>
          <w:sz w:val="24"/>
          <w:szCs w:val="24"/>
        </w:rPr>
        <w:t>中的一切优惠条件和承诺措施,提供优质高效的服务，并承诺在合同约定的期限内完成并移交全部工作内容。</w:t>
      </w:r>
    </w:p>
    <w:p w14:paraId="2282BE36">
      <w:pPr>
        <w:pStyle w:val="27"/>
        <w:numPr>
          <w:ilvl w:val="0"/>
          <w:numId w:val="0"/>
        </w:numPr>
        <w:tabs>
          <w:tab w:val="left" w:pos="1458"/>
        </w:tabs>
        <w:spacing w:before="0" w:after="0" w:line="267" w:lineRule="exact"/>
        <w:ind w:right="0" w:rightChars="0" w:firstLine="464" w:firstLineChars="200"/>
        <w:jc w:val="left"/>
        <w:rPr>
          <w:rFonts w:hint="eastAsia" w:ascii="宋体" w:hAnsi="宋体" w:eastAsia="宋体" w:cs="宋体"/>
          <w:sz w:val="24"/>
          <w:szCs w:val="24"/>
        </w:rPr>
      </w:pPr>
      <w:r>
        <w:rPr>
          <w:rFonts w:hint="eastAsia" w:cs="宋体"/>
          <w:spacing w:val="-4"/>
          <w:sz w:val="24"/>
          <w:szCs w:val="24"/>
          <w:lang w:eastAsia="zh-CN"/>
        </w:rPr>
        <w:t>（</w:t>
      </w:r>
      <w:r>
        <w:rPr>
          <w:rFonts w:hint="eastAsia" w:cs="宋体"/>
          <w:spacing w:val="-4"/>
          <w:sz w:val="24"/>
          <w:szCs w:val="24"/>
          <w:lang w:val="en-US" w:eastAsia="zh-CN"/>
        </w:rPr>
        <w:t>3</w:t>
      </w:r>
      <w:r>
        <w:rPr>
          <w:rFonts w:hint="eastAsia" w:cs="宋体"/>
          <w:spacing w:val="-4"/>
          <w:sz w:val="24"/>
          <w:szCs w:val="24"/>
          <w:lang w:eastAsia="zh-CN"/>
        </w:rPr>
        <w:t>）</w:t>
      </w:r>
      <w:r>
        <w:rPr>
          <w:rFonts w:hint="eastAsia" w:ascii="宋体" w:hAnsi="宋体" w:eastAsia="宋体" w:cs="宋体"/>
          <w:spacing w:val="-4"/>
          <w:sz w:val="24"/>
          <w:szCs w:val="24"/>
        </w:rPr>
        <w:t xml:space="preserve">我方承诺在从规定的自开标之日起 </w:t>
      </w:r>
      <w:r>
        <w:rPr>
          <w:rFonts w:hint="eastAsia" w:ascii="宋体" w:hAnsi="宋体" w:eastAsia="宋体" w:cs="宋体"/>
          <w:sz w:val="24"/>
          <w:szCs w:val="24"/>
        </w:rPr>
        <w:t>60</w:t>
      </w:r>
      <w:r>
        <w:rPr>
          <w:rFonts w:hint="eastAsia" w:ascii="宋体" w:hAnsi="宋体" w:eastAsia="宋体" w:cs="宋体"/>
          <w:spacing w:val="-9"/>
          <w:sz w:val="24"/>
          <w:szCs w:val="24"/>
        </w:rPr>
        <w:t xml:space="preserve"> 日历天的投标有效期内不修改、撤销</w:t>
      </w:r>
      <w:r>
        <w:rPr>
          <w:rFonts w:hint="eastAsia" w:cs="宋体"/>
          <w:spacing w:val="-9"/>
          <w:sz w:val="24"/>
          <w:szCs w:val="24"/>
          <w:lang w:eastAsia="zh-CN"/>
        </w:rPr>
        <w:t>响应文件</w:t>
      </w:r>
      <w:r>
        <w:rPr>
          <w:rFonts w:hint="eastAsia" w:ascii="宋体" w:hAnsi="宋体" w:eastAsia="宋体" w:cs="宋体"/>
          <w:spacing w:val="-9"/>
          <w:sz w:val="24"/>
          <w:szCs w:val="24"/>
        </w:rPr>
        <w:t>。</w:t>
      </w:r>
    </w:p>
    <w:p w14:paraId="09671DB1">
      <w:pPr>
        <w:pStyle w:val="27"/>
        <w:numPr>
          <w:ilvl w:val="0"/>
          <w:numId w:val="0"/>
        </w:numPr>
        <w:tabs>
          <w:tab w:val="left" w:pos="844"/>
          <w:tab w:val="left" w:pos="2101"/>
          <w:tab w:val="left" w:pos="2439"/>
          <w:tab w:val="left" w:pos="3503"/>
          <w:tab w:val="left" w:pos="3729"/>
          <w:tab w:val="left" w:pos="5451"/>
          <w:tab w:val="left" w:pos="7527"/>
        </w:tabs>
        <w:spacing w:before="170" w:after="0" w:line="393" w:lineRule="auto"/>
        <w:ind w:right="312" w:rightChars="0" w:firstLine="480" w:firstLineChars="200"/>
        <w:jc w:val="both"/>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我单位同意提供与招标有关的一切数据和资料,完全理解最低报价不是中标唯一条件。</w:t>
      </w:r>
    </w:p>
    <w:p w14:paraId="1874D97B">
      <w:pPr>
        <w:pStyle w:val="27"/>
        <w:numPr>
          <w:ilvl w:val="0"/>
          <w:numId w:val="0"/>
        </w:numPr>
        <w:tabs>
          <w:tab w:val="left" w:pos="844"/>
          <w:tab w:val="left" w:pos="2101"/>
          <w:tab w:val="left" w:pos="2439"/>
          <w:tab w:val="left" w:pos="3503"/>
          <w:tab w:val="left" w:pos="3729"/>
          <w:tab w:val="left" w:pos="5451"/>
          <w:tab w:val="left" w:pos="7527"/>
        </w:tabs>
        <w:spacing w:before="170" w:after="0" w:line="393" w:lineRule="auto"/>
        <w:ind w:right="312" w:rightChars="0" w:firstLine="480" w:firstLineChars="200"/>
        <w:jc w:val="both"/>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w:t>
      </w:r>
      <w:r>
        <w:rPr>
          <w:rFonts w:hint="eastAsia" w:ascii="宋体" w:hAnsi="宋体" w:eastAsia="宋体" w:cs="宋体"/>
          <w:sz w:val="24"/>
          <w:szCs w:val="24"/>
        </w:rPr>
        <w:t>我方承诺若我方有幸中标，在领取</w:t>
      </w:r>
      <w:r>
        <w:rPr>
          <w:rFonts w:hint="eastAsia" w:cs="宋体"/>
          <w:sz w:val="24"/>
          <w:szCs w:val="24"/>
          <w:lang w:val="en-US" w:eastAsia="zh-CN"/>
        </w:rPr>
        <w:t>成交</w:t>
      </w:r>
      <w:r>
        <w:rPr>
          <w:rFonts w:hint="eastAsia" w:ascii="宋体" w:hAnsi="宋体" w:eastAsia="宋体" w:cs="宋体"/>
          <w:sz w:val="24"/>
          <w:szCs w:val="24"/>
        </w:rPr>
        <w:t xml:space="preserve">通知书前向代理机构支付代理服务费及相关费用。   </w:t>
      </w:r>
    </w:p>
    <w:p w14:paraId="3568542D">
      <w:pPr>
        <w:pStyle w:val="27"/>
        <w:numPr>
          <w:ilvl w:val="0"/>
          <w:numId w:val="0"/>
        </w:numPr>
        <w:tabs>
          <w:tab w:val="left" w:pos="844"/>
          <w:tab w:val="left" w:pos="2101"/>
          <w:tab w:val="left" w:pos="2439"/>
          <w:tab w:val="left" w:pos="3503"/>
          <w:tab w:val="left" w:pos="3729"/>
          <w:tab w:val="left" w:pos="5451"/>
          <w:tab w:val="left" w:pos="7527"/>
        </w:tabs>
        <w:spacing w:before="170" w:after="0" w:line="393" w:lineRule="auto"/>
        <w:ind w:left="632" w:leftChars="0" w:right="312" w:rightChars="0"/>
        <w:jc w:val="both"/>
        <w:rPr>
          <w:rFonts w:hint="eastAsia" w:ascii="宋体" w:hAnsi="宋体" w:eastAsia="宋体" w:cs="宋体"/>
          <w:sz w:val="24"/>
          <w:szCs w:val="24"/>
        </w:rPr>
      </w:pPr>
      <w:r>
        <w:rPr>
          <w:rFonts w:hint="eastAsia" w:ascii="宋体" w:hAnsi="宋体" w:eastAsia="宋体" w:cs="宋体"/>
          <w:sz w:val="24"/>
          <w:szCs w:val="24"/>
        </w:rPr>
        <w:t>4.我方在此声明，所递交的</w:t>
      </w:r>
      <w:r>
        <w:rPr>
          <w:rFonts w:hint="eastAsia" w:cs="宋体"/>
          <w:sz w:val="24"/>
          <w:szCs w:val="24"/>
          <w:lang w:eastAsia="zh-CN"/>
        </w:rPr>
        <w:t>响应文件</w:t>
      </w:r>
      <w:r>
        <w:rPr>
          <w:rFonts w:hint="eastAsia" w:ascii="宋体" w:hAnsi="宋体" w:eastAsia="宋体" w:cs="宋体"/>
          <w:sz w:val="24"/>
          <w:szCs w:val="24"/>
        </w:rPr>
        <w:t>及有关资料内容完整、真实和准确。</w:t>
      </w:r>
    </w:p>
    <w:p w14:paraId="64A837C6">
      <w:pPr>
        <w:spacing w:line="480" w:lineRule="exact"/>
        <w:ind w:firstLine="4200" w:firstLineChars="1750"/>
        <w:rPr>
          <w:rFonts w:hint="eastAsia" w:ascii="宋体" w:hAnsi="宋体" w:cs="宋体"/>
          <w:sz w:val="24"/>
          <w:highlight w:val="none"/>
        </w:rPr>
      </w:pPr>
    </w:p>
    <w:p w14:paraId="3D7FD4EC">
      <w:pPr>
        <w:spacing w:line="480" w:lineRule="exact"/>
        <w:ind w:firstLine="4200" w:firstLineChars="1750"/>
        <w:rPr>
          <w:rFonts w:hint="eastAsia" w:ascii="宋体" w:hAnsi="宋体" w:cs="宋体"/>
          <w:sz w:val="24"/>
          <w:highlight w:val="none"/>
        </w:rPr>
      </w:pPr>
    </w:p>
    <w:p w14:paraId="6C18411E">
      <w:pPr>
        <w:spacing w:line="540" w:lineRule="exact"/>
        <w:jc w:val="right"/>
        <w:rPr>
          <w:rFonts w:ascii="Calibri" w:hAnsi="Calibri" w:eastAsia="宋体" w:cs="Times New Roman"/>
          <w:kern w:val="0"/>
          <w:sz w:val="24"/>
          <w:highlight w:val="none"/>
          <w:u w:val="single"/>
        </w:rPr>
      </w:pPr>
      <w:r>
        <w:rPr>
          <w:rFonts w:hint="eastAsia" w:asciiTheme="minorEastAsia" w:hAnsiTheme="minorEastAsia" w:cstheme="minorEastAsia"/>
          <w:sz w:val="28"/>
          <w:szCs w:val="28"/>
          <w:highlight w:val="none"/>
        </w:rPr>
        <w:t xml:space="preserve">                       </w:t>
      </w:r>
      <w:r>
        <w:rPr>
          <w:rFonts w:hint="eastAsia" w:ascii="Calibri" w:hAnsi="Calibri" w:eastAsia="宋体" w:cs="Times New Roman"/>
          <w:kern w:val="0"/>
          <w:sz w:val="24"/>
          <w:highlight w:val="none"/>
        </w:rPr>
        <w:t>供应商</w:t>
      </w:r>
      <w:r>
        <w:rPr>
          <w:rFonts w:ascii="Calibri" w:hAnsi="Calibri" w:eastAsia="宋体" w:cs="Times New Roman"/>
          <w:kern w:val="0"/>
          <w:sz w:val="24"/>
          <w:highlight w:val="none"/>
        </w:rPr>
        <w:t>：</w:t>
      </w:r>
      <w:r>
        <w:rPr>
          <w:rFonts w:ascii="Calibri" w:hAnsi="Calibri" w:eastAsia="宋体" w:cs="Times New Roman"/>
          <w:kern w:val="0"/>
          <w:sz w:val="24"/>
          <w:highlight w:val="none"/>
          <w:u w:val="single"/>
        </w:rPr>
        <w:t xml:space="preserve">                      （</w:t>
      </w:r>
      <w:r>
        <w:rPr>
          <w:rFonts w:hint="eastAsia" w:ascii="Calibri" w:hAnsi="Calibri" w:eastAsia="宋体" w:cs="Times New Roman"/>
          <w:kern w:val="0"/>
          <w:sz w:val="24"/>
          <w:highlight w:val="none"/>
          <w:u w:val="single"/>
        </w:rPr>
        <w:t>盖单位公章</w:t>
      </w:r>
      <w:r>
        <w:rPr>
          <w:rFonts w:ascii="Calibri" w:hAnsi="Calibri" w:eastAsia="宋体" w:cs="Times New Roman"/>
          <w:kern w:val="0"/>
          <w:sz w:val="24"/>
          <w:highlight w:val="none"/>
          <w:u w:val="single"/>
        </w:rPr>
        <w:t>）</w:t>
      </w:r>
    </w:p>
    <w:p w14:paraId="7986FE80">
      <w:pPr>
        <w:widowControl/>
        <w:spacing w:line="540" w:lineRule="exact"/>
        <w:ind w:firstLine="360"/>
        <w:jc w:val="right"/>
        <w:rPr>
          <w:rFonts w:ascii="Calibri" w:hAnsi="Calibri" w:eastAsia="宋体" w:cs="Times New Roman"/>
          <w:kern w:val="0"/>
          <w:sz w:val="24"/>
          <w:highlight w:val="none"/>
          <w:u w:val="single"/>
        </w:rPr>
      </w:pPr>
      <w:r>
        <w:rPr>
          <w:rFonts w:ascii="Calibri" w:hAnsi="Calibri" w:eastAsia="宋体" w:cs="Times New Roman"/>
          <w:kern w:val="0"/>
          <w:sz w:val="24"/>
          <w:highlight w:val="none"/>
        </w:rPr>
        <w:t xml:space="preserve">法定代表人： </w:t>
      </w:r>
      <w:r>
        <w:rPr>
          <w:rFonts w:ascii="Calibri" w:hAnsi="Calibri" w:eastAsia="宋体" w:cs="Times New Roman"/>
          <w:kern w:val="0"/>
          <w:sz w:val="24"/>
          <w:highlight w:val="none"/>
          <w:u w:val="single"/>
        </w:rPr>
        <w:t xml:space="preserve">             （</w:t>
      </w:r>
      <w:r>
        <w:rPr>
          <w:rFonts w:hint="eastAsia" w:ascii="Calibri" w:hAnsi="Calibri" w:eastAsia="宋体" w:cs="Times New Roman"/>
          <w:kern w:val="0"/>
          <w:sz w:val="24"/>
          <w:highlight w:val="none"/>
          <w:u w:val="single"/>
        </w:rPr>
        <w:t>电子签章</w:t>
      </w:r>
      <w:r>
        <w:rPr>
          <w:rFonts w:ascii="Calibri" w:hAnsi="Calibri" w:eastAsia="宋体" w:cs="Times New Roman"/>
          <w:kern w:val="0"/>
          <w:sz w:val="24"/>
          <w:highlight w:val="none"/>
          <w:u w:val="single"/>
        </w:rPr>
        <w:t>）</w:t>
      </w:r>
    </w:p>
    <w:p w14:paraId="4ADE7633">
      <w:pPr>
        <w:widowControl/>
        <w:spacing w:line="540" w:lineRule="exact"/>
        <w:ind w:firstLine="360"/>
        <w:jc w:val="right"/>
        <w:rPr>
          <w:rFonts w:ascii="Calibri" w:hAnsi="Calibri" w:eastAsia="宋体" w:cs="Times New Roman"/>
          <w:kern w:val="0"/>
          <w:sz w:val="24"/>
          <w:highlight w:val="none"/>
        </w:rPr>
      </w:pPr>
      <w:r>
        <w:rPr>
          <w:rFonts w:ascii="Calibri" w:hAnsi="Calibri" w:eastAsia="宋体" w:cs="Times New Roman"/>
          <w:kern w:val="0"/>
          <w:sz w:val="24"/>
          <w:highlight w:val="none"/>
        </w:rPr>
        <w:t>日期：</w:t>
      </w:r>
      <w:r>
        <w:rPr>
          <w:rFonts w:ascii="Calibri" w:hAnsi="Calibri" w:eastAsia="宋体" w:cs="Times New Roman"/>
          <w:kern w:val="0"/>
          <w:sz w:val="24"/>
          <w:highlight w:val="none"/>
          <w:u w:val="single"/>
        </w:rPr>
        <w:t xml:space="preserve">        </w:t>
      </w:r>
      <w:r>
        <w:rPr>
          <w:rFonts w:ascii="Calibri" w:hAnsi="Calibri" w:eastAsia="宋体" w:cs="Times New Roman"/>
          <w:kern w:val="0"/>
          <w:sz w:val="24"/>
          <w:highlight w:val="none"/>
        </w:rPr>
        <w:t>年</w:t>
      </w:r>
      <w:r>
        <w:rPr>
          <w:rFonts w:ascii="Calibri" w:hAnsi="Calibri" w:eastAsia="宋体" w:cs="Times New Roman"/>
          <w:kern w:val="0"/>
          <w:sz w:val="24"/>
          <w:highlight w:val="none"/>
          <w:u w:val="single"/>
        </w:rPr>
        <w:t xml:space="preserve">      </w:t>
      </w:r>
      <w:r>
        <w:rPr>
          <w:rFonts w:ascii="Calibri" w:hAnsi="Calibri" w:eastAsia="宋体" w:cs="Times New Roman"/>
          <w:kern w:val="0"/>
          <w:sz w:val="24"/>
          <w:highlight w:val="none"/>
        </w:rPr>
        <w:t>月</w:t>
      </w:r>
      <w:r>
        <w:rPr>
          <w:rFonts w:ascii="Calibri" w:hAnsi="Calibri" w:eastAsia="宋体" w:cs="Times New Roman"/>
          <w:kern w:val="0"/>
          <w:sz w:val="24"/>
          <w:highlight w:val="none"/>
          <w:u w:val="single"/>
        </w:rPr>
        <w:t xml:space="preserve">      </w:t>
      </w:r>
      <w:r>
        <w:rPr>
          <w:rFonts w:ascii="Calibri" w:hAnsi="Calibri" w:eastAsia="宋体" w:cs="Times New Roman"/>
          <w:kern w:val="0"/>
          <w:sz w:val="24"/>
          <w:highlight w:val="none"/>
        </w:rPr>
        <w:t>日</w:t>
      </w:r>
    </w:p>
    <w:p w14:paraId="53696C8D">
      <w:pPr>
        <w:jc w:val="center"/>
        <w:rPr>
          <w:rFonts w:hint="eastAsia" w:ascii="宋体" w:hAnsi="宋体" w:cs="宋体"/>
          <w:b/>
          <w:bCs/>
          <w:sz w:val="24"/>
          <w:highlight w:val="none"/>
        </w:rPr>
      </w:pPr>
      <w:r>
        <w:rPr>
          <w:rFonts w:hint="eastAsia" w:ascii="宋体" w:hAnsi="宋体" w:cs="宋体"/>
          <w:b/>
          <w:bCs/>
          <w:sz w:val="24"/>
          <w:highlight w:val="none"/>
        </w:rPr>
        <w:br w:type="page"/>
      </w:r>
      <w:bookmarkStart w:id="254" w:name="_Toc528078068"/>
      <w:bookmarkEnd w:id="254"/>
      <w:r>
        <w:rPr>
          <w:rFonts w:hint="eastAsia" w:ascii="宋体" w:hAnsi="宋体" w:cs="宋体"/>
          <w:b/>
          <w:bCs/>
          <w:sz w:val="24"/>
          <w:highlight w:val="none"/>
        </w:rPr>
        <w:t>（2）投标函附录</w:t>
      </w:r>
    </w:p>
    <w:tbl>
      <w:tblPr>
        <w:tblStyle w:val="13"/>
        <w:tblW w:w="0" w:type="auto"/>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
      <w:tblGrid>
        <w:gridCol w:w="1768"/>
        <w:gridCol w:w="6733"/>
      </w:tblGrid>
      <w:tr w14:paraId="1943253C">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59" w:hRule="atLeast"/>
        </w:trPr>
        <w:tc>
          <w:tcPr>
            <w:tcW w:w="1768" w:type="dxa"/>
            <w:tcBorders>
              <w:top w:val="single" w:color="auto" w:sz="4" w:space="0"/>
              <w:left w:val="single" w:color="auto" w:sz="4" w:space="0"/>
              <w:bottom w:val="single" w:color="auto" w:sz="4" w:space="0"/>
              <w:right w:val="single" w:color="auto" w:sz="4" w:space="0"/>
            </w:tcBorders>
            <w:vAlign w:val="center"/>
          </w:tcPr>
          <w:p w14:paraId="0E7637E4">
            <w:pPr>
              <w:spacing w:line="480" w:lineRule="exact"/>
              <w:jc w:val="center"/>
              <w:rPr>
                <w:rFonts w:cs="宋体"/>
                <w:sz w:val="24"/>
                <w:szCs w:val="24"/>
                <w:highlight w:val="none"/>
              </w:rPr>
            </w:pPr>
            <w:r>
              <w:rPr>
                <w:rFonts w:hint="eastAsia" w:cs="宋体"/>
                <w:sz w:val="24"/>
                <w:szCs w:val="24"/>
                <w:highlight w:val="none"/>
              </w:rPr>
              <w:t>项目名称</w:t>
            </w:r>
          </w:p>
        </w:tc>
        <w:tc>
          <w:tcPr>
            <w:tcW w:w="6733" w:type="dxa"/>
            <w:tcBorders>
              <w:top w:val="single" w:color="auto" w:sz="4" w:space="0"/>
              <w:left w:val="nil"/>
              <w:bottom w:val="single" w:color="auto" w:sz="4" w:space="0"/>
              <w:right w:val="single" w:color="auto" w:sz="4" w:space="0"/>
            </w:tcBorders>
            <w:vAlign w:val="center"/>
          </w:tcPr>
          <w:p w14:paraId="684AD10F">
            <w:pPr>
              <w:spacing w:line="480" w:lineRule="exact"/>
              <w:ind w:firstLine="818" w:firstLineChars="341"/>
              <w:rPr>
                <w:rFonts w:cs="宋体"/>
                <w:sz w:val="24"/>
                <w:szCs w:val="24"/>
                <w:highlight w:val="none"/>
              </w:rPr>
            </w:pPr>
          </w:p>
        </w:tc>
      </w:tr>
      <w:tr w14:paraId="2A818ECA">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59" w:hRule="atLeast"/>
        </w:trPr>
        <w:tc>
          <w:tcPr>
            <w:tcW w:w="1768" w:type="dxa"/>
            <w:tcBorders>
              <w:top w:val="single" w:color="auto" w:sz="4" w:space="0"/>
              <w:left w:val="single" w:color="auto" w:sz="4" w:space="0"/>
              <w:bottom w:val="single" w:color="auto" w:sz="4" w:space="0"/>
              <w:right w:val="single" w:color="auto" w:sz="4" w:space="0"/>
            </w:tcBorders>
            <w:vAlign w:val="center"/>
          </w:tcPr>
          <w:p w14:paraId="3FF84125">
            <w:pPr>
              <w:spacing w:line="480" w:lineRule="exact"/>
              <w:jc w:val="center"/>
              <w:rPr>
                <w:rFonts w:cs="宋体"/>
                <w:sz w:val="24"/>
                <w:szCs w:val="24"/>
                <w:highlight w:val="none"/>
              </w:rPr>
            </w:pPr>
            <w:r>
              <w:rPr>
                <w:rFonts w:hint="eastAsia" w:cs="宋体"/>
                <w:sz w:val="24"/>
                <w:szCs w:val="24"/>
                <w:highlight w:val="none"/>
              </w:rPr>
              <w:t>供应商名称</w:t>
            </w:r>
          </w:p>
        </w:tc>
        <w:tc>
          <w:tcPr>
            <w:tcW w:w="6733" w:type="dxa"/>
            <w:tcBorders>
              <w:top w:val="single" w:color="auto" w:sz="4" w:space="0"/>
              <w:left w:val="nil"/>
              <w:bottom w:val="single" w:color="auto" w:sz="4" w:space="0"/>
              <w:right w:val="single" w:color="auto" w:sz="4" w:space="0"/>
            </w:tcBorders>
            <w:vAlign w:val="center"/>
          </w:tcPr>
          <w:p w14:paraId="31E7F3D2">
            <w:pPr>
              <w:spacing w:line="480" w:lineRule="exact"/>
              <w:ind w:firstLine="818" w:firstLineChars="341"/>
              <w:rPr>
                <w:rFonts w:cs="宋体"/>
                <w:sz w:val="24"/>
                <w:szCs w:val="24"/>
                <w:highlight w:val="none"/>
              </w:rPr>
            </w:pPr>
          </w:p>
        </w:tc>
      </w:tr>
      <w:tr w14:paraId="6566C543">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59" w:hRule="atLeast"/>
        </w:trPr>
        <w:tc>
          <w:tcPr>
            <w:tcW w:w="1768" w:type="dxa"/>
            <w:tcBorders>
              <w:top w:val="single" w:color="auto" w:sz="4" w:space="0"/>
              <w:left w:val="single" w:color="auto" w:sz="4" w:space="0"/>
              <w:bottom w:val="single" w:color="auto" w:sz="4" w:space="0"/>
              <w:right w:val="single" w:color="auto" w:sz="4" w:space="0"/>
            </w:tcBorders>
            <w:vAlign w:val="center"/>
          </w:tcPr>
          <w:p w14:paraId="474FAA82">
            <w:pPr>
              <w:spacing w:line="480" w:lineRule="exact"/>
              <w:jc w:val="center"/>
              <w:rPr>
                <w:rFonts w:cs="宋体"/>
                <w:sz w:val="24"/>
                <w:szCs w:val="24"/>
                <w:highlight w:val="none"/>
              </w:rPr>
            </w:pPr>
            <w:r>
              <w:rPr>
                <w:rFonts w:hint="eastAsia" w:cs="宋体"/>
                <w:sz w:val="24"/>
                <w:szCs w:val="24"/>
                <w:highlight w:val="none"/>
              </w:rPr>
              <w:t>供应商地址</w:t>
            </w:r>
          </w:p>
        </w:tc>
        <w:tc>
          <w:tcPr>
            <w:tcW w:w="6733" w:type="dxa"/>
            <w:tcBorders>
              <w:top w:val="single" w:color="auto" w:sz="4" w:space="0"/>
              <w:left w:val="nil"/>
              <w:bottom w:val="single" w:color="auto" w:sz="4" w:space="0"/>
              <w:right w:val="single" w:color="auto" w:sz="4" w:space="0"/>
            </w:tcBorders>
            <w:vAlign w:val="center"/>
          </w:tcPr>
          <w:p w14:paraId="564D0FDF">
            <w:pPr>
              <w:spacing w:line="480" w:lineRule="exact"/>
              <w:ind w:firstLine="818" w:firstLineChars="341"/>
              <w:rPr>
                <w:rFonts w:cs="宋体"/>
                <w:sz w:val="24"/>
                <w:szCs w:val="24"/>
                <w:highlight w:val="none"/>
              </w:rPr>
            </w:pPr>
          </w:p>
        </w:tc>
      </w:tr>
      <w:tr w14:paraId="1FDB3728">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59" w:hRule="atLeast"/>
        </w:trPr>
        <w:tc>
          <w:tcPr>
            <w:tcW w:w="1768" w:type="dxa"/>
            <w:tcBorders>
              <w:top w:val="single" w:color="auto" w:sz="4" w:space="0"/>
              <w:left w:val="single" w:color="auto" w:sz="4" w:space="0"/>
              <w:bottom w:val="single" w:color="auto" w:sz="4" w:space="0"/>
              <w:right w:val="single" w:color="auto" w:sz="4" w:space="0"/>
            </w:tcBorders>
            <w:vAlign w:val="center"/>
          </w:tcPr>
          <w:p w14:paraId="32AA80B8">
            <w:pPr>
              <w:spacing w:line="480" w:lineRule="exact"/>
              <w:jc w:val="center"/>
              <w:rPr>
                <w:rFonts w:cs="宋体"/>
                <w:sz w:val="24"/>
                <w:szCs w:val="24"/>
                <w:highlight w:val="none"/>
              </w:rPr>
            </w:pPr>
            <w:r>
              <w:rPr>
                <w:rFonts w:hint="eastAsia" w:cs="宋体"/>
                <w:sz w:val="24"/>
                <w:szCs w:val="24"/>
                <w:highlight w:val="none"/>
              </w:rPr>
              <w:t>供应商统一社会信用代码</w:t>
            </w:r>
          </w:p>
        </w:tc>
        <w:tc>
          <w:tcPr>
            <w:tcW w:w="6733" w:type="dxa"/>
            <w:tcBorders>
              <w:top w:val="single" w:color="auto" w:sz="4" w:space="0"/>
              <w:left w:val="nil"/>
              <w:bottom w:val="single" w:color="auto" w:sz="4" w:space="0"/>
              <w:right w:val="single" w:color="auto" w:sz="4" w:space="0"/>
            </w:tcBorders>
            <w:vAlign w:val="center"/>
          </w:tcPr>
          <w:p w14:paraId="5218E377">
            <w:pPr>
              <w:spacing w:line="480" w:lineRule="exact"/>
              <w:ind w:firstLine="818" w:firstLineChars="341"/>
              <w:rPr>
                <w:rFonts w:cs="宋体"/>
                <w:sz w:val="24"/>
                <w:szCs w:val="24"/>
                <w:highlight w:val="none"/>
              </w:rPr>
            </w:pPr>
          </w:p>
        </w:tc>
      </w:tr>
      <w:tr w14:paraId="5400782E">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860" w:hRule="atLeast"/>
        </w:trPr>
        <w:tc>
          <w:tcPr>
            <w:tcW w:w="1768" w:type="dxa"/>
            <w:tcBorders>
              <w:top w:val="single" w:color="auto" w:sz="4" w:space="0"/>
              <w:left w:val="single" w:color="auto" w:sz="4" w:space="0"/>
              <w:bottom w:val="nil"/>
              <w:right w:val="single" w:color="auto" w:sz="4" w:space="0"/>
            </w:tcBorders>
            <w:vAlign w:val="center"/>
          </w:tcPr>
          <w:p w14:paraId="37DFB4BA">
            <w:pPr>
              <w:spacing w:line="480" w:lineRule="exact"/>
              <w:jc w:val="center"/>
              <w:rPr>
                <w:rFonts w:cs="宋体"/>
                <w:sz w:val="24"/>
                <w:szCs w:val="24"/>
                <w:highlight w:val="none"/>
              </w:rPr>
            </w:pPr>
            <w:r>
              <w:rPr>
                <w:rFonts w:hint="eastAsia" w:cs="宋体"/>
                <w:sz w:val="24"/>
                <w:szCs w:val="24"/>
                <w:highlight w:val="none"/>
              </w:rPr>
              <w:t>投标报价</w:t>
            </w:r>
          </w:p>
        </w:tc>
        <w:tc>
          <w:tcPr>
            <w:tcW w:w="6733" w:type="dxa"/>
            <w:tcBorders>
              <w:top w:val="single" w:color="auto" w:sz="4" w:space="0"/>
              <w:left w:val="nil"/>
              <w:bottom w:val="single" w:color="auto" w:sz="4" w:space="0"/>
              <w:right w:val="single" w:color="auto" w:sz="4" w:space="0"/>
            </w:tcBorders>
            <w:vAlign w:val="center"/>
          </w:tcPr>
          <w:p w14:paraId="1C250A15">
            <w:pPr>
              <w:spacing w:line="480" w:lineRule="exact"/>
              <w:ind w:firstLine="818" w:firstLineChars="341"/>
              <w:rPr>
                <w:rFonts w:cs="宋体"/>
                <w:sz w:val="24"/>
                <w:szCs w:val="24"/>
                <w:highlight w:val="none"/>
              </w:rPr>
            </w:pPr>
            <w:r>
              <w:rPr>
                <w:rFonts w:hint="eastAsia" w:cs="宋体"/>
                <w:sz w:val="24"/>
                <w:szCs w:val="24"/>
                <w:highlight w:val="none"/>
              </w:rPr>
              <w:t>（大写）     ，    （小写）    元</w:t>
            </w:r>
          </w:p>
        </w:tc>
      </w:tr>
      <w:tr w14:paraId="14FD8339">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708" w:hRule="atLeast"/>
        </w:trPr>
        <w:tc>
          <w:tcPr>
            <w:tcW w:w="1768" w:type="dxa"/>
            <w:tcBorders>
              <w:top w:val="single" w:color="auto" w:sz="4" w:space="0"/>
              <w:left w:val="single" w:color="auto" w:sz="4" w:space="0"/>
              <w:bottom w:val="nil"/>
              <w:right w:val="single" w:color="auto" w:sz="4" w:space="0"/>
            </w:tcBorders>
            <w:vAlign w:val="center"/>
          </w:tcPr>
          <w:p w14:paraId="310F7186">
            <w:pPr>
              <w:spacing w:line="480" w:lineRule="exact"/>
              <w:jc w:val="center"/>
              <w:rPr>
                <w:rFonts w:hint="eastAsia" w:cs="宋体" w:eastAsiaTheme="minorEastAsia"/>
                <w:sz w:val="24"/>
                <w:szCs w:val="24"/>
                <w:highlight w:val="none"/>
                <w:lang w:eastAsia="zh-CN"/>
              </w:rPr>
            </w:pPr>
            <w:r>
              <w:rPr>
                <w:rFonts w:hint="eastAsia" w:cs="宋体"/>
                <w:sz w:val="24"/>
                <w:szCs w:val="24"/>
                <w:highlight w:val="none"/>
                <w:lang w:eastAsia="zh-CN"/>
              </w:rPr>
              <w:t>服务期限</w:t>
            </w:r>
          </w:p>
        </w:tc>
        <w:tc>
          <w:tcPr>
            <w:tcW w:w="6733" w:type="dxa"/>
            <w:tcBorders>
              <w:top w:val="single" w:color="auto" w:sz="4" w:space="0"/>
              <w:left w:val="nil"/>
              <w:bottom w:val="single" w:color="auto" w:sz="4" w:space="0"/>
              <w:right w:val="single" w:color="auto" w:sz="4" w:space="0"/>
            </w:tcBorders>
            <w:vAlign w:val="center"/>
          </w:tcPr>
          <w:p w14:paraId="38830257">
            <w:pPr>
              <w:spacing w:line="480" w:lineRule="exact"/>
              <w:rPr>
                <w:rFonts w:cs="宋体"/>
                <w:sz w:val="24"/>
                <w:szCs w:val="24"/>
                <w:highlight w:val="none"/>
              </w:rPr>
            </w:pPr>
          </w:p>
        </w:tc>
      </w:tr>
      <w:tr w14:paraId="02EF05F9">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923" w:hRule="atLeast"/>
        </w:trPr>
        <w:tc>
          <w:tcPr>
            <w:tcW w:w="1768" w:type="dxa"/>
            <w:tcBorders>
              <w:top w:val="single" w:color="auto" w:sz="4" w:space="0"/>
              <w:left w:val="single" w:color="auto" w:sz="4" w:space="0"/>
              <w:bottom w:val="single" w:color="auto" w:sz="4" w:space="0"/>
              <w:right w:val="single" w:color="auto" w:sz="4" w:space="0"/>
            </w:tcBorders>
            <w:vAlign w:val="center"/>
          </w:tcPr>
          <w:p w14:paraId="551443C5">
            <w:pPr>
              <w:spacing w:line="480" w:lineRule="exact"/>
              <w:jc w:val="center"/>
              <w:rPr>
                <w:rFonts w:cs="宋体"/>
                <w:sz w:val="24"/>
                <w:szCs w:val="24"/>
                <w:highlight w:val="none"/>
              </w:rPr>
            </w:pPr>
            <w:r>
              <w:rPr>
                <w:rFonts w:hint="eastAsia" w:cs="宋体"/>
                <w:sz w:val="24"/>
                <w:szCs w:val="24"/>
                <w:highlight w:val="none"/>
              </w:rPr>
              <w:t>质量要求</w:t>
            </w:r>
          </w:p>
        </w:tc>
        <w:tc>
          <w:tcPr>
            <w:tcW w:w="6733" w:type="dxa"/>
            <w:tcBorders>
              <w:top w:val="single" w:color="auto" w:sz="4" w:space="0"/>
              <w:left w:val="nil"/>
              <w:bottom w:val="single" w:color="auto" w:sz="4" w:space="0"/>
              <w:right w:val="single" w:color="auto" w:sz="4" w:space="0"/>
            </w:tcBorders>
            <w:vAlign w:val="center"/>
          </w:tcPr>
          <w:p w14:paraId="0578B61C">
            <w:pPr>
              <w:spacing w:line="480" w:lineRule="exact"/>
              <w:ind w:firstLine="818" w:firstLineChars="341"/>
              <w:rPr>
                <w:rFonts w:cs="宋体"/>
                <w:sz w:val="24"/>
                <w:szCs w:val="24"/>
                <w:highlight w:val="none"/>
              </w:rPr>
            </w:pPr>
          </w:p>
        </w:tc>
      </w:tr>
      <w:tr w14:paraId="4FC1CB21">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923" w:hRule="atLeast"/>
        </w:trPr>
        <w:tc>
          <w:tcPr>
            <w:tcW w:w="1768" w:type="dxa"/>
            <w:tcBorders>
              <w:top w:val="single" w:color="auto" w:sz="4" w:space="0"/>
              <w:left w:val="single" w:color="auto" w:sz="4" w:space="0"/>
              <w:bottom w:val="single" w:color="auto" w:sz="4" w:space="0"/>
              <w:right w:val="single" w:color="auto" w:sz="4" w:space="0"/>
            </w:tcBorders>
            <w:vAlign w:val="center"/>
          </w:tcPr>
          <w:p w14:paraId="26C4E4F8">
            <w:pPr>
              <w:spacing w:line="480" w:lineRule="exact"/>
              <w:jc w:val="center"/>
              <w:rPr>
                <w:rFonts w:cs="宋体"/>
                <w:sz w:val="24"/>
                <w:szCs w:val="24"/>
                <w:highlight w:val="none"/>
              </w:rPr>
            </w:pPr>
            <w:r>
              <w:rPr>
                <w:rFonts w:hint="eastAsia" w:cs="宋体"/>
                <w:sz w:val="24"/>
                <w:szCs w:val="24"/>
                <w:highlight w:val="none"/>
              </w:rPr>
              <w:t>投标有效期</w:t>
            </w:r>
          </w:p>
        </w:tc>
        <w:tc>
          <w:tcPr>
            <w:tcW w:w="6733" w:type="dxa"/>
            <w:tcBorders>
              <w:top w:val="single" w:color="auto" w:sz="4" w:space="0"/>
              <w:left w:val="nil"/>
              <w:bottom w:val="single" w:color="auto" w:sz="4" w:space="0"/>
              <w:right w:val="single" w:color="auto" w:sz="4" w:space="0"/>
            </w:tcBorders>
            <w:vAlign w:val="center"/>
          </w:tcPr>
          <w:p w14:paraId="6A90CAD2">
            <w:pPr>
              <w:spacing w:line="480" w:lineRule="exact"/>
              <w:ind w:firstLine="818" w:firstLineChars="341"/>
              <w:rPr>
                <w:rFonts w:cs="宋体"/>
                <w:sz w:val="24"/>
                <w:szCs w:val="24"/>
                <w:highlight w:val="none"/>
              </w:rPr>
            </w:pPr>
          </w:p>
        </w:tc>
      </w:tr>
      <w:tr w14:paraId="3166B67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923" w:hRule="atLeast"/>
        </w:trPr>
        <w:tc>
          <w:tcPr>
            <w:tcW w:w="1768" w:type="dxa"/>
            <w:tcBorders>
              <w:top w:val="single" w:color="auto" w:sz="4" w:space="0"/>
              <w:left w:val="single" w:color="auto" w:sz="4" w:space="0"/>
              <w:bottom w:val="single" w:color="auto" w:sz="4" w:space="0"/>
              <w:right w:val="single" w:color="auto" w:sz="4" w:space="0"/>
            </w:tcBorders>
            <w:vAlign w:val="center"/>
          </w:tcPr>
          <w:p w14:paraId="589A9FF5">
            <w:pPr>
              <w:spacing w:line="480" w:lineRule="exact"/>
              <w:jc w:val="center"/>
              <w:rPr>
                <w:rFonts w:cs="宋体"/>
                <w:sz w:val="24"/>
                <w:szCs w:val="24"/>
                <w:highlight w:val="none"/>
              </w:rPr>
            </w:pPr>
            <w:r>
              <w:rPr>
                <w:rFonts w:hint="eastAsia" w:cs="宋体"/>
                <w:sz w:val="24"/>
                <w:szCs w:val="24"/>
                <w:highlight w:val="none"/>
              </w:rPr>
              <w:t>项目负责人及联系方式</w:t>
            </w:r>
          </w:p>
        </w:tc>
        <w:tc>
          <w:tcPr>
            <w:tcW w:w="6733" w:type="dxa"/>
            <w:tcBorders>
              <w:top w:val="single" w:color="auto" w:sz="4" w:space="0"/>
              <w:left w:val="nil"/>
              <w:bottom w:val="single" w:color="auto" w:sz="4" w:space="0"/>
              <w:right w:val="single" w:color="auto" w:sz="4" w:space="0"/>
            </w:tcBorders>
            <w:vAlign w:val="center"/>
          </w:tcPr>
          <w:p w14:paraId="3EF75438">
            <w:pPr>
              <w:spacing w:line="480" w:lineRule="exact"/>
              <w:ind w:firstLine="818" w:firstLineChars="341"/>
              <w:rPr>
                <w:rFonts w:cs="宋体"/>
                <w:sz w:val="24"/>
                <w:szCs w:val="24"/>
                <w:highlight w:val="none"/>
              </w:rPr>
            </w:pPr>
          </w:p>
        </w:tc>
      </w:tr>
      <w:tr w14:paraId="16082FD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13" w:hRule="atLeast"/>
        </w:trPr>
        <w:tc>
          <w:tcPr>
            <w:tcW w:w="8501" w:type="dxa"/>
            <w:gridSpan w:val="2"/>
            <w:tcBorders>
              <w:top w:val="single" w:color="auto" w:sz="4" w:space="0"/>
              <w:left w:val="single" w:color="auto" w:sz="4" w:space="0"/>
              <w:bottom w:val="single" w:color="auto" w:sz="4" w:space="0"/>
              <w:right w:val="single" w:color="auto" w:sz="4" w:space="0"/>
            </w:tcBorders>
          </w:tcPr>
          <w:p w14:paraId="4C73EAEC">
            <w:pPr>
              <w:spacing w:line="480" w:lineRule="exact"/>
              <w:ind w:firstLine="818" w:firstLineChars="341"/>
              <w:rPr>
                <w:rFonts w:cs="宋体"/>
                <w:sz w:val="24"/>
                <w:szCs w:val="24"/>
                <w:highlight w:val="none"/>
              </w:rPr>
            </w:pPr>
            <w:r>
              <w:rPr>
                <w:rFonts w:hint="eastAsia" w:cs="宋体"/>
                <w:sz w:val="24"/>
                <w:szCs w:val="24"/>
                <w:highlight w:val="none"/>
              </w:rPr>
              <w:t>补充（如有）</w:t>
            </w:r>
          </w:p>
        </w:tc>
      </w:tr>
    </w:tbl>
    <w:p w14:paraId="531FDEE3">
      <w:pPr>
        <w:spacing w:line="540" w:lineRule="exact"/>
        <w:jc w:val="right"/>
        <w:rPr>
          <w:rFonts w:ascii="Calibri" w:hAnsi="Calibri" w:eastAsia="宋体" w:cs="Times New Roman"/>
          <w:kern w:val="0"/>
          <w:sz w:val="24"/>
          <w:highlight w:val="none"/>
          <w:u w:val="single"/>
        </w:rPr>
      </w:pPr>
      <w:r>
        <w:rPr>
          <w:rFonts w:hint="eastAsia" w:asciiTheme="minorEastAsia" w:hAnsiTheme="minorEastAsia" w:cstheme="minorEastAsia"/>
          <w:sz w:val="28"/>
          <w:szCs w:val="28"/>
          <w:highlight w:val="none"/>
        </w:rPr>
        <w:t xml:space="preserve">                       </w:t>
      </w:r>
      <w:r>
        <w:rPr>
          <w:rFonts w:hint="eastAsia" w:ascii="Calibri" w:hAnsi="Calibri" w:eastAsia="宋体" w:cs="Times New Roman"/>
          <w:kern w:val="0"/>
          <w:sz w:val="24"/>
          <w:highlight w:val="none"/>
        </w:rPr>
        <w:t>供应商</w:t>
      </w:r>
      <w:r>
        <w:rPr>
          <w:rFonts w:ascii="Calibri" w:hAnsi="Calibri" w:eastAsia="宋体" w:cs="Times New Roman"/>
          <w:kern w:val="0"/>
          <w:sz w:val="24"/>
          <w:highlight w:val="none"/>
        </w:rPr>
        <w:t>：</w:t>
      </w:r>
      <w:r>
        <w:rPr>
          <w:rFonts w:ascii="Calibri" w:hAnsi="Calibri" w:eastAsia="宋体" w:cs="Times New Roman"/>
          <w:kern w:val="0"/>
          <w:sz w:val="24"/>
          <w:highlight w:val="none"/>
          <w:u w:val="single"/>
        </w:rPr>
        <w:t xml:space="preserve">                      （</w:t>
      </w:r>
      <w:r>
        <w:rPr>
          <w:rFonts w:hint="eastAsia" w:ascii="Calibri" w:hAnsi="Calibri" w:eastAsia="宋体" w:cs="Times New Roman"/>
          <w:kern w:val="0"/>
          <w:sz w:val="24"/>
          <w:highlight w:val="none"/>
          <w:u w:val="single"/>
        </w:rPr>
        <w:t>盖单位公章</w:t>
      </w:r>
      <w:r>
        <w:rPr>
          <w:rFonts w:ascii="Calibri" w:hAnsi="Calibri" w:eastAsia="宋体" w:cs="Times New Roman"/>
          <w:kern w:val="0"/>
          <w:sz w:val="24"/>
          <w:highlight w:val="none"/>
          <w:u w:val="single"/>
        </w:rPr>
        <w:t>）</w:t>
      </w:r>
    </w:p>
    <w:p w14:paraId="08B68282">
      <w:pPr>
        <w:widowControl/>
        <w:spacing w:line="540" w:lineRule="exact"/>
        <w:ind w:firstLine="360"/>
        <w:jc w:val="right"/>
        <w:rPr>
          <w:rFonts w:ascii="Calibri" w:hAnsi="Calibri" w:eastAsia="宋体" w:cs="Times New Roman"/>
          <w:kern w:val="0"/>
          <w:sz w:val="24"/>
          <w:highlight w:val="none"/>
          <w:u w:val="single"/>
        </w:rPr>
      </w:pPr>
      <w:r>
        <w:rPr>
          <w:rFonts w:ascii="Calibri" w:hAnsi="Calibri" w:eastAsia="宋体" w:cs="Times New Roman"/>
          <w:kern w:val="0"/>
          <w:sz w:val="24"/>
          <w:highlight w:val="none"/>
        </w:rPr>
        <w:t xml:space="preserve">法定代表人： </w:t>
      </w:r>
      <w:r>
        <w:rPr>
          <w:rFonts w:ascii="Calibri" w:hAnsi="Calibri" w:eastAsia="宋体" w:cs="Times New Roman"/>
          <w:kern w:val="0"/>
          <w:sz w:val="24"/>
          <w:highlight w:val="none"/>
          <w:u w:val="single"/>
        </w:rPr>
        <w:t xml:space="preserve">             （</w:t>
      </w:r>
      <w:r>
        <w:rPr>
          <w:rFonts w:hint="eastAsia" w:ascii="Calibri" w:hAnsi="Calibri" w:eastAsia="宋体" w:cs="Times New Roman"/>
          <w:kern w:val="0"/>
          <w:sz w:val="24"/>
          <w:highlight w:val="none"/>
          <w:u w:val="single"/>
        </w:rPr>
        <w:t>电子签章</w:t>
      </w:r>
      <w:r>
        <w:rPr>
          <w:rFonts w:ascii="Calibri" w:hAnsi="Calibri" w:eastAsia="宋体" w:cs="Times New Roman"/>
          <w:kern w:val="0"/>
          <w:sz w:val="24"/>
          <w:highlight w:val="none"/>
          <w:u w:val="single"/>
        </w:rPr>
        <w:t>）</w:t>
      </w:r>
    </w:p>
    <w:p w14:paraId="5CB9791C">
      <w:pPr>
        <w:widowControl/>
        <w:spacing w:line="540" w:lineRule="exact"/>
        <w:ind w:firstLine="360"/>
        <w:jc w:val="right"/>
        <w:rPr>
          <w:rFonts w:ascii="Calibri" w:hAnsi="Calibri" w:eastAsia="宋体" w:cs="Times New Roman"/>
          <w:kern w:val="0"/>
          <w:sz w:val="24"/>
          <w:highlight w:val="none"/>
        </w:rPr>
      </w:pPr>
      <w:r>
        <w:rPr>
          <w:rFonts w:ascii="Calibri" w:hAnsi="Calibri" w:eastAsia="宋体" w:cs="Times New Roman"/>
          <w:kern w:val="0"/>
          <w:sz w:val="24"/>
          <w:highlight w:val="none"/>
        </w:rPr>
        <w:t>日期：</w:t>
      </w:r>
      <w:r>
        <w:rPr>
          <w:rFonts w:ascii="Calibri" w:hAnsi="Calibri" w:eastAsia="宋体" w:cs="Times New Roman"/>
          <w:kern w:val="0"/>
          <w:sz w:val="24"/>
          <w:highlight w:val="none"/>
          <w:u w:val="single"/>
        </w:rPr>
        <w:t xml:space="preserve">        </w:t>
      </w:r>
      <w:r>
        <w:rPr>
          <w:rFonts w:ascii="Calibri" w:hAnsi="Calibri" w:eastAsia="宋体" w:cs="Times New Roman"/>
          <w:kern w:val="0"/>
          <w:sz w:val="24"/>
          <w:highlight w:val="none"/>
        </w:rPr>
        <w:t>年</w:t>
      </w:r>
      <w:r>
        <w:rPr>
          <w:rFonts w:ascii="Calibri" w:hAnsi="Calibri" w:eastAsia="宋体" w:cs="Times New Roman"/>
          <w:kern w:val="0"/>
          <w:sz w:val="24"/>
          <w:highlight w:val="none"/>
          <w:u w:val="single"/>
        </w:rPr>
        <w:t xml:space="preserve">      </w:t>
      </w:r>
      <w:r>
        <w:rPr>
          <w:rFonts w:ascii="Calibri" w:hAnsi="Calibri" w:eastAsia="宋体" w:cs="Times New Roman"/>
          <w:kern w:val="0"/>
          <w:sz w:val="24"/>
          <w:highlight w:val="none"/>
        </w:rPr>
        <w:t>月</w:t>
      </w:r>
      <w:r>
        <w:rPr>
          <w:rFonts w:ascii="Calibri" w:hAnsi="Calibri" w:eastAsia="宋体" w:cs="Times New Roman"/>
          <w:kern w:val="0"/>
          <w:sz w:val="24"/>
          <w:highlight w:val="none"/>
          <w:u w:val="single"/>
        </w:rPr>
        <w:t xml:space="preserve">      </w:t>
      </w:r>
      <w:r>
        <w:rPr>
          <w:rFonts w:ascii="Calibri" w:hAnsi="Calibri" w:eastAsia="宋体" w:cs="Times New Roman"/>
          <w:kern w:val="0"/>
          <w:sz w:val="24"/>
          <w:highlight w:val="none"/>
        </w:rPr>
        <w:t>日</w:t>
      </w:r>
    </w:p>
    <w:p w14:paraId="526816BD">
      <w:pPr>
        <w:pStyle w:val="3"/>
        <w:jc w:val="center"/>
        <w:rPr>
          <w:highlight w:val="none"/>
        </w:rPr>
      </w:pPr>
      <w:r>
        <w:rPr>
          <w:rFonts w:hint="eastAsia" w:ascii="宋体" w:hAnsi="宋体" w:cs="宋体"/>
          <w:szCs w:val="24"/>
          <w:highlight w:val="none"/>
        </w:rPr>
        <w:br w:type="page"/>
      </w:r>
      <w:bookmarkStart w:id="255" w:name="_Toc26862"/>
      <w:bookmarkEnd w:id="255"/>
      <w:bookmarkStart w:id="256" w:name="_Toc26023"/>
      <w:r>
        <w:rPr>
          <w:rFonts w:hint="eastAsia"/>
          <w:highlight w:val="none"/>
        </w:rPr>
        <w:t>二、法定代表人身份证明</w:t>
      </w:r>
      <w:bookmarkEnd w:id="256"/>
    </w:p>
    <w:p w14:paraId="7E3D3C41">
      <w:pPr>
        <w:spacing w:line="560" w:lineRule="exact"/>
        <w:ind w:right="420" w:rightChars="200" w:firstLine="480" w:firstLineChars="200"/>
        <w:rPr>
          <w:rFonts w:hint="eastAsia" w:asciiTheme="minorEastAsia" w:hAnsiTheme="minorEastAsia" w:cstheme="minorEastAsia"/>
          <w:sz w:val="24"/>
          <w:szCs w:val="28"/>
          <w:highlight w:val="none"/>
        </w:rPr>
      </w:pPr>
      <w:r>
        <w:rPr>
          <w:rFonts w:hint="eastAsia" w:asciiTheme="minorEastAsia" w:hAnsiTheme="minorEastAsia" w:cstheme="minorEastAsia"/>
          <w:sz w:val="24"/>
          <w:szCs w:val="28"/>
          <w:highlight w:val="none"/>
        </w:rPr>
        <w:t>供应商名称：</w:t>
      </w:r>
      <w:r>
        <w:rPr>
          <w:rFonts w:hint="eastAsia" w:asciiTheme="minorEastAsia" w:hAnsiTheme="minorEastAsia" w:cstheme="minorEastAsia"/>
          <w:sz w:val="24"/>
          <w:szCs w:val="28"/>
          <w:highlight w:val="none"/>
          <w:u w:val="single"/>
        </w:rPr>
        <w:t xml:space="preserve">                       </w:t>
      </w:r>
      <w:r>
        <w:rPr>
          <w:rFonts w:hint="eastAsia" w:asciiTheme="minorEastAsia" w:hAnsiTheme="minorEastAsia" w:cstheme="minorEastAsia"/>
          <w:sz w:val="24"/>
          <w:szCs w:val="28"/>
          <w:highlight w:val="none"/>
        </w:rPr>
        <w:t xml:space="preserve"> </w:t>
      </w:r>
    </w:p>
    <w:p w14:paraId="0E3D8386">
      <w:pPr>
        <w:spacing w:line="560" w:lineRule="exact"/>
        <w:ind w:right="420" w:rightChars="200" w:firstLine="480" w:firstLineChars="200"/>
        <w:rPr>
          <w:rFonts w:hint="eastAsia" w:asciiTheme="minorEastAsia" w:hAnsiTheme="minorEastAsia" w:cstheme="minorEastAsia"/>
          <w:sz w:val="24"/>
          <w:szCs w:val="28"/>
          <w:highlight w:val="none"/>
        </w:rPr>
      </w:pPr>
      <w:r>
        <w:rPr>
          <w:rFonts w:hint="eastAsia" w:asciiTheme="minorEastAsia" w:hAnsiTheme="minorEastAsia" w:cstheme="minorEastAsia"/>
          <w:sz w:val="24"/>
          <w:szCs w:val="28"/>
          <w:highlight w:val="none"/>
        </w:rPr>
        <w:t>单位性质：</w:t>
      </w:r>
      <w:r>
        <w:rPr>
          <w:rFonts w:hint="eastAsia" w:asciiTheme="minorEastAsia" w:hAnsiTheme="minorEastAsia" w:cstheme="minorEastAsia"/>
          <w:sz w:val="24"/>
          <w:szCs w:val="28"/>
          <w:highlight w:val="none"/>
          <w:u w:val="single"/>
        </w:rPr>
        <w:t xml:space="preserve">                        </w:t>
      </w:r>
    </w:p>
    <w:p w14:paraId="68EB7389">
      <w:pPr>
        <w:spacing w:line="560" w:lineRule="exact"/>
        <w:ind w:right="420" w:rightChars="200" w:firstLine="480" w:firstLineChars="200"/>
        <w:rPr>
          <w:rFonts w:hint="eastAsia" w:asciiTheme="minorEastAsia" w:hAnsiTheme="minorEastAsia" w:cstheme="minorEastAsia"/>
          <w:sz w:val="24"/>
          <w:szCs w:val="28"/>
          <w:highlight w:val="none"/>
        </w:rPr>
      </w:pPr>
      <w:r>
        <w:rPr>
          <w:rFonts w:hint="eastAsia" w:asciiTheme="minorEastAsia" w:hAnsiTheme="minorEastAsia" w:cstheme="minorEastAsia"/>
          <w:sz w:val="24"/>
          <w:szCs w:val="28"/>
          <w:highlight w:val="none"/>
        </w:rPr>
        <w:t>地址：</w:t>
      </w:r>
      <w:r>
        <w:rPr>
          <w:rFonts w:hint="eastAsia" w:asciiTheme="minorEastAsia" w:hAnsiTheme="minorEastAsia" w:cstheme="minorEastAsia"/>
          <w:sz w:val="24"/>
          <w:szCs w:val="28"/>
          <w:highlight w:val="none"/>
          <w:u w:val="single"/>
        </w:rPr>
        <w:t xml:space="preserve">                        </w:t>
      </w:r>
    </w:p>
    <w:p w14:paraId="2BBC3007">
      <w:pPr>
        <w:spacing w:line="560" w:lineRule="exact"/>
        <w:ind w:right="420" w:rightChars="200" w:firstLine="480" w:firstLineChars="200"/>
        <w:rPr>
          <w:rFonts w:hint="eastAsia" w:asciiTheme="minorEastAsia" w:hAnsiTheme="minorEastAsia" w:cstheme="minorEastAsia"/>
          <w:sz w:val="24"/>
          <w:szCs w:val="28"/>
          <w:highlight w:val="none"/>
        </w:rPr>
      </w:pPr>
      <w:r>
        <w:rPr>
          <w:rFonts w:hint="eastAsia" w:asciiTheme="minorEastAsia" w:hAnsiTheme="minorEastAsia" w:cstheme="minorEastAsia"/>
          <w:sz w:val="24"/>
          <w:szCs w:val="28"/>
          <w:highlight w:val="none"/>
        </w:rPr>
        <w:t>成立时间：</w:t>
      </w:r>
      <w:r>
        <w:rPr>
          <w:rFonts w:hint="eastAsia" w:asciiTheme="minorEastAsia" w:hAnsiTheme="minorEastAsia" w:cstheme="minorEastAsia"/>
          <w:sz w:val="24"/>
          <w:szCs w:val="28"/>
          <w:highlight w:val="none"/>
          <w:u w:val="single"/>
        </w:rPr>
        <w:t xml:space="preserve">     </w:t>
      </w:r>
      <w:r>
        <w:rPr>
          <w:rFonts w:hint="eastAsia" w:asciiTheme="minorEastAsia" w:hAnsiTheme="minorEastAsia" w:cstheme="minorEastAsia"/>
          <w:sz w:val="24"/>
          <w:szCs w:val="28"/>
          <w:highlight w:val="none"/>
        </w:rPr>
        <w:t>年</w:t>
      </w:r>
      <w:r>
        <w:rPr>
          <w:rFonts w:hint="eastAsia" w:asciiTheme="minorEastAsia" w:hAnsiTheme="minorEastAsia" w:cstheme="minorEastAsia"/>
          <w:sz w:val="24"/>
          <w:szCs w:val="28"/>
          <w:highlight w:val="none"/>
          <w:u w:val="single"/>
        </w:rPr>
        <w:t xml:space="preserve">       </w:t>
      </w:r>
      <w:r>
        <w:rPr>
          <w:rFonts w:hint="eastAsia" w:asciiTheme="minorEastAsia" w:hAnsiTheme="minorEastAsia" w:cstheme="minorEastAsia"/>
          <w:sz w:val="24"/>
          <w:szCs w:val="28"/>
          <w:highlight w:val="none"/>
        </w:rPr>
        <w:t>月</w:t>
      </w:r>
      <w:r>
        <w:rPr>
          <w:rFonts w:hint="eastAsia" w:asciiTheme="minorEastAsia" w:hAnsiTheme="minorEastAsia" w:cstheme="minorEastAsia"/>
          <w:sz w:val="24"/>
          <w:szCs w:val="28"/>
          <w:highlight w:val="none"/>
          <w:u w:val="single"/>
        </w:rPr>
        <w:t xml:space="preserve">      </w:t>
      </w:r>
      <w:r>
        <w:rPr>
          <w:rFonts w:hint="eastAsia" w:asciiTheme="minorEastAsia" w:hAnsiTheme="minorEastAsia" w:cstheme="minorEastAsia"/>
          <w:sz w:val="24"/>
          <w:szCs w:val="28"/>
          <w:highlight w:val="none"/>
        </w:rPr>
        <w:t>日</w:t>
      </w:r>
    </w:p>
    <w:p w14:paraId="6D8B4D8A">
      <w:pPr>
        <w:spacing w:line="560" w:lineRule="exact"/>
        <w:ind w:right="420" w:rightChars="200" w:firstLine="480" w:firstLineChars="200"/>
        <w:rPr>
          <w:rFonts w:hint="eastAsia" w:asciiTheme="minorEastAsia" w:hAnsiTheme="minorEastAsia" w:cstheme="minorEastAsia"/>
          <w:sz w:val="24"/>
          <w:szCs w:val="28"/>
          <w:highlight w:val="none"/>
        </w:rPr>
      </w:pPr>
      <w:r>
        <w:rPr>
          <w:rFonts w:hint="eastAsia" w:asciiTheme="minorEastAsia" w:hAnsiTheme="minorEastAsia" w:cstheme="minorEastAsia"/>
          <w:sz w:val="24"/>
          <w:szCs w:val="28"/>
          <w:highlight w:val="none"/>
        </w:rPr>
        <w:t>经营期限：</w:t>
      </w:r>
      <w:r>
        <w:rPr>
          <w:rFonts w:hint="eastAsia" w:asciiTheme="minorEastAsia" w:hAnsiTheme="minorEastAsia" w:cstheme="minorEastAsia"/>
          <w:sz w:val="24"/>
          <w:szCs w:val="28"/>
          <w:highlight w:val="none"/>
          <w:u w:val="single"/>
        </w:rPr>
        <w:t xml:space="preserve">                        </w:t>
      </w:r>
    </w:p>
    <w:p w14:paraId="142A8E89">
      <w:pPr>
        <w:spacing w:line="560" w:lineRule="exact"/>
        <w:ind w:right="420" w:rightChars="200" w:firstLine="480" w:firstLineChars="200"/>
        <w:rPr>
          <w:rFonts w:hint="eastAsia" w:asciiTheme="minorEastAsia" w:hAnsiTheme="minorEastAsia" w:cstheme="minorEastAsia"/>
          <w:sz w:val="24"/>
          <w:szCs w:val="28"/>
          <w:highlight w:val="none"/>
        </w:rPr>
      </w:pPr>
      <w:r>
        <w:rPr>
          <w:rFonts w:hint="eastAsia" w:asciiTheme="minorEastAsia" w:hAnsiTheme="minorEastAsia" w:cstheme="minorEastAsia"/>
          <w:sz w:val="24"/>
          <w:szCs w:val="28"/>
          <w:highlight w:val="none"/>
        </w:rPr>
        <w:t>姓名：</w:t>
      </w:r>
      <w:r>
        <w:rPr>
          <w:rFonts w:hint="eastAsia" w:asciiTheme="minorEastAsia" w:hAnsiTheme="minorEastAsia" w:cstheme="minorEastAsia"/>
          <w:sz w:val="24"/>
          <w:szCs w:val="28"/>
          <w:highlight w:val="none"/>
          <w:u w:val="single"/>
        </w:rPr>
        <w:t xml:space="preserve">                </w:t>
      </w:r>
      <w:r>
        <w:rPr>
          <w:rFonts w:hint="eastAsia" w:asciiTheme="minorEastAsia" w:hAnsiTheme="minorEastAsia" w:cstheme="minorEastAsia"/>
          <w:sz w:val="24"/>
          <w:szCs w:val="28"/>
          <w:highlight w:val="none"/>
        </w:rPr>
        <w:t>；性别：</w:t>
      </w:r>
      <w:r>
        <w:rPr>
          <w:rFonts w:hint="eastAsia" w:asciiTheme="minorEastAsia" w:hAnsiTheme="minorEastAsia" w:cstheme="minorEastAsia"/>
          <w:sz w:val="24"/>
          <w:szCs w:val="28"/>
          <w:highlight w:val="none"/>
          <w:u w:val="single"/>
        </w:rPr>
        <w:t xml:space="preserve">                </w:t>
      </w:r>
      <w:r>
        <w:rPr>
          <w:rFonts w:hint="eastAsia" w:asciiTheme="minorEastAsia" w:hAnsiTheme="minorEastAsia" w:cstheme="minorEastAsia"/>
          <w:sz w:val="24"/>
          <w:szCs w:val="28"/>
          <w:highlight w:val="none"/>
        </w:rPr>
        <w:t>；</w:t>
      </w:r>
    </w:p>
    <w:p w14:paraId="3FAAEAB9">
      <w:pPr>
        <w:spacing w:line="560" w:lineRule="exact"/>
        <w:ind w:right="420" w:rightChars="200" w:firstLine="480" w:firstLineChars="200"/>
        <w:rPr>
          <w:rFonts w:hint="eastAsia" w:asciiTheme="minorEastAsia" w:hAnsiTheme="minorEastAsia" w:cstheme="minorEastAsia"/>
          <w:sz w:val="24"/>
          <w:szCs w:val="28"/>
          <w:highlight w:val="none"/>
        </w:rPr>
      </w:pPr>
      <w:r>
        <w:rPr>
          <w:rFonts w:hint="eastAsia" w:asciiTheme="minorEastAsia" w:hAnsiTheme="minorEastAsia" w:cstheme="minorEastAsia"/>
          <w:sz w:val="24"/>
          <w:szCs w:val="28"/>
          <w:highlight w:val="none"/>
        </w:rPr>
        <w:t>年龄：</w:t>
      </w:r>
      <w:r>
        <w:rPr>
          <w:rFonts w:hint="eastAsia" w:asciiTheme="minorEastAsia" w:hAnsiTheme="minorEastAsia" w:cstheme="minorEastAsia"/>
          <w:sz w:val="24"/>
          <w:szCs w:val="28"/>
          <w:highlight w:val="none"/>
          <w:u w:val="single"/>
        </w:rPr>
        <w:t xml:space="preserve">                </w:t>
      </w:r>
      <w:r>
        <w:rPr>
          <w:rFonts w:hint="eastAsia" w:asciiTheme="minorEastAsia" w:hAnsiTheme="minorEastAsia" w:cstheme="minorEastAsia"/>
          <w:sz w:val="24"/>
          <w:szCs w:val="28"/>
          <w:highlight w:val="none"/>
        </w:rPr>
        <w:t>；职务：</w:t>
      </w:r>
      <w:r>
        <w:rPr>
          <w:rFonts w:hint="eastAsia" w:asciiTheme="minorEastAsia" w:hAnsiTheme="minorEastAsia" w:cstheme="minorEastAsia"/>
          <w:sz w:val="24"/>
          <w:szCs w:val="28"/>
          <w:highlight w:val="none"/>
          <w:u w:val="single"/>
        </w:rPr>
        <w:t xml:space="preserve">                </w:t>
      </w:r>
      <w:r>
        <w:rPr>
          <w:rFonts w:hint="eastAsia" w:asciiTheme="minorEastAsia" w:hAnsiTheme="minorEastAsia" w:cstheme="minorEastAsia"/>
          <w:sz w:val="24"/>
          <w:szCs w:val="28"/>
          <w:highlight w:val="none"/>
        </w:rPr>
        <w:t>；</w:t>
      </w:r>
    </w:p>
    <w:p w14:paraId="1AFB8397">
      <w:pPr>
        <w:spacing w:line="560" w:lineRule="exact"/>
        <w:ind w:right="420" w:rightChars="200" w:firstLine="480" w:firstLineChars="200"/>
        <w:rPr>
          <w:rFonts w:hint="eastAsia" w:asciiTheme="minorEastAsia" w:hAnsiTheme="minorEastAsia" w:cstheme="minorEastAsia"/>
          <w:sz w:val="24"/>
          <w:szCs w:val="28"/>
          <w:highlight w:val="none"/>
        </w:rPr>
      </w:pPr>
      <w:r>
        <w:rPr>
          <w:rFonts w:hint="eastAsia" w:asciiTheme="minorEastAsia" w:hAnsiTheme="minorEastAsia" w:cstheme="minorEastAsia"/>
          <w:sz w:val="24"/>
          <w:szCs w:val="28"/>
          <w:highlight w:val="none"/>
        </w:rPr>
        <w:t>身份证号码：</w:t>
      </w:r>
      <w:r>
        <w:rPr>
          <w:rFonts w:hint="eastAsia" w:asciiTheme="minorEastAsia" w:hAnsiTheme="minorEastAsia" w:cstheme="minorEastAsia"/>
          <w:sz w:val="24"/>
          <w:szCs w:val="28"/>
          <w:highlight w:val="none"/>
          <w:u w:val="single"/>
        </w:rPr>
        <w:t xml:space="preserve">                       </w:t>
      </w:r>
      <w:r>
        <w:rPr>
          <w:rFonts w:hint="eastAsia" w:asciiTheme="minorEastAsia" w:hAnsiTheme="minorEastAsia" w:cstheme="minorEastAsia"/>
          <w:sz w:val="24"/>
          <w:szCs w:val="28"/>
          <w:highlight w:val="none"/>
        </w:rPr>
        <w:t>，系</w:t>
      </w:r>
      <w:r>
        <w:rPr>
          <w:rFonts w:hint="eastAsia" w:asciiTheme="minorEastAsia" w:hAnsiTheme="minorEastAsia" w:cstheme="minorEastAsia"/>
          <w:sz w:val="24"/>
          <w:szCs w:val="28"/>
          <w:highlight w:val="none"/>
          <w:u w:val="single"/>
        </w:rPr>
        <w:t xml:space="preserve">                  </w:t>
      </w:r>
      <w:r>
        <w:rPr>
          <w:rFonts w:hint="eastAsia" w:asciiTheme="minorEastAsia" w:hAnsiTheme="minorEastAsia" w:cstheme="minorEastAsia"/>
          <w:sz w:val="24"/>
          <w:szCs w:val="28"/>
          <w:highlight w:val="none"/>
        </w:rPr>
        <w:t>（供应商名称）的法定代表人。</w:t>
      </w:r>
    </w:p>
    <w:p w14:paraId="3DF3FD2A">
      <w:pPr>
        <w:spacing w:line="560" w:lineRule="exact"/>
        <w:ind w:right="420" w:rightChars="200" w:firstLine="480" w:firstLineChars="200"/>
        <w:rPr>
          <w:rFonts w:hint="eastAsia" w:asciiTheme="minorEastAsia" w:hAnsiTheme="minorEastAsia" w:cstheme="minorEastAsia"/>
          <w:sz w:val="24"/>
          <w:szCs w:val="28"/>
          <w:highlight w:val="none"/>
        </w:rPr>
      </w:pPr>
      <w:r>
        <w:rPr>
          <w:rFonts w:hint="eastAsia" w:asciiTheme="minorEastAsia" w:hAnsiTheme="minorEastAsia" w:cstheme="minorEastAsia"/>
          <w:sz w:val="24"/>
          <w:szCs w:val="28"/>
          <w:highlight w:val="none"/>
        </w:rPr>
        <w:t>特此证明。</w:t>
      </w:r>
    </w:p>
    <w:p w14:paraId="54440EC5">
      <w:pPr>
        <w:spacing w:line="560" w:lineRule="exact"/>
        <w:ind w:right="420" w:rightChars="200" w:firstLine="480" w:firstLineChars="200"/>
        <w:rPr>
          <w:rFonts w:hint="eastAsia" w:asciiTheme="minorEastAsia" w:hAnsiTheme="minorEastAsia" w:cstheme="minorEastAsia"/>
          <w:sz w:val="24"/>
          <w:szCs w:val="28"/>
          <w:highlight w:val="none"/>
        </w:rPr>
      </w:pPr>
      <w:r>
        <w:rPr>
          <w:rFonts w:hint="eastAsia" w:asciiTheme="minorEastAsia" w:hAnsiTheme="minorEastAsia" w:cstheme="minorEastAsia"/>
          <w:sz w:val="24"/>
          <w:szCs w:val="28"/>
          <w:highlight w:val="none"/>
        </w:rPr>
        <w:t>附：法定代表人身份证扫描件，加盖公章。</w:t>
      </w:r>
    </w:p>
    <w:p w14:paraId="51F78597">
      <w:pPr>
        <w:spacing w:line="560" w:lineRule="exact"/>
        <w:ind w:left="170" w:firstLine="480" w:firstLineChars="200"/>
        <w:rPr>
          <w:rFonts w:hint="eastAsia" w:asciiTheme="minorEastAsia" w:hAnsiTheme="minorEastAsia" w:cstheme="minorEastAsia"/>
          <w:sz w:val="24"/>
          <w:szCs w:val="28"/>
          <w:highlight w:val="none"/>
        </w:rPr>
      </w:pPr>
    </w:p>
    <w:p w14:paraId="1FCCCC85">
      <w:pPr>
        <w:autoSpaceDE w:val="0"/>
        <w:autoSpaceDN w:val="0"/>
        <w:adjustRightInd w:val="0"/>
        <w:spacing w:line="560" w:lineRule="exact"/>
        <w:ind w:firstLine="3084" w:firstLineChars="1285"/>
        <w:jc w:val="right"/>
        <w:rPr>
          <w:rFonts w:hint="eastAsia" w:asciiTheme="minorEastAsia" w:hAnsiTheme="minorEastAsia" w:cstheme="minorEastAsia"/>
          <w:kern w:val="0"/>
          <w:sz w:val="24"/>
          <w:szCs w:val="28"/>
          <w:highlight w:val="none"/>
        </w:rPr>
      </w:pPr>
    </w:p>
    <w:p w14:paraId="0ECEDBEB">
      <w:pPr>
        <w:autoSpaceDE w:val="0"/>
        <w:autoSpaceDN w:val="0"/>
        <w:adjustRightInd w:val="0"/>
        <w:spacing w:line="560" w:lineRule="exact"/>
        <w:ind w:firstLine="3084" w:firstLineChars="1285"/>
        <w:jc w:val="center"/>
        <w:rPr>
          <w:rFonts w:hint="eastAsia" w:asciiTheme="minorEastAsia" w:hAnsiTheme="minorEastAsia" w:cstheme="minorEastAsia"/>
          <w:kern w:val="0"/>
          <w:sz w:val="24"/>
          <w:szCs w:val="28"/>
          <w:highlight w:val="none"/>
        </w:rPr>
      </w:pPr>
      <w:r>
        <w:rPr>
          <w:rFonts w:hint="eastAsia" w:asciiTheme="minorEastAsia" w:hAnsiTheme="minorEastAsia" w:cstheme="minorEastAsia"/>
          <w:kern w:val="0"/>
          <w:sz w:val="24"/>
          <w:szCs w:val="28"/>
          <w:highlight w:val="none"/>
        </w:rPr>
        <w:t>供应商：</w:t>
      </w:r>
      <w:r>
        <w:rPr>
          <w:rFonts w:hint="eastAsia" w:asciiTheme="minorEastAsia" w:hAnsiTheme="minorEastAsia" w:cstheme="minorEastAsia"/>
          <w:sz w:val="24"/>
          <w:szCs w:val="28"/>
          <w:highlight w:val="none"/>
          <w:u w:val="single"/>
        </w:rPr>
        <w:t xml:space="preserve">                  </w:t>
      </w:r>
      <w:r>
        <w:rPr>
          <w:rFonts w:hint="eastAsia" w:asciiTheme="minorEastAsia" w:hAnsiTheme="minorEastAsia" w:cstheme="minorEastAsia"/>
          <w:kern w:val="0"/>
          <w:sz w:val="24"/>
          <w:szCs w:val="28"/>
          <w:highlight w:val="none"/>
        </w:rPr>
        <w:t>（盖单位公章）</w:t>
      </w:r>
    </w:p>
    <w:p w14:paraId="30D7726E">
      <w:pPr>
        <w:autoSpaceDE w:val="0"/>
        <w:autoSpaceDN w:val="0"/>
        <w:adjustRightInd w:val="0"/>
        <w:spacing w:line="560" w:lineRule="exact"/>
        <w:ind w:right="420" w:firstLine="3760" w:firstLineChars="1567"/>
        <w:rPr>
          <w:rFonts w:hint="eastAsia" w:asciiTheme="minorEastAsia" w:hAnsiTheme="minorEastAsia" w:cstheme="minorEastAsia"/>
          <w:kern w:val="0"/>
          <w:sz w:val="24"/>
          <w:szCs w:val="28"/>
          <w:highlight w:val="none"/>
        </w:rPr>
      </w:pPr>
      <w:r>
        <w:rPr>
          <w:rFonts w:hint="eastAsia" w:asciiTheme="minorEastAsia" w:hAnsiTheme="minorEastAsia" w:cstheme="minorEastAsia"/>
          <w:kern w:val="0"/>
          <w:sz w:val="24"/>
          <w:szCs w:val="28"/>
          <w:highlight w:val="none"/>
        </w:rPr>
        <w:t>日期：</w:t>
      </w:r>
      <w:r>
        <w:rPr>
          <w:rFonts w:hint="eastAsia" w:asciiTheme="minorEastAsia" w:hAnsiTheme="minorEastAsia" w:cstheme="minorEastAsia"/>
          <w:kern w:val="0"/>
          <w:sz w:val="24"/>
          <w:szCs w:val="28"/>
          <w:highlight w:val="none"/>
          <w:u w:val="single"/>
        </w:rPr>
        <w:t xml:space="preserve">      年       月      日</w:t>
      </w:r>
    </w:p>
    <w:p w14:paraId="544DB84E">
      <w:pPr>
        <w:pStyle w:val="3"/>
        <w:jc w:val="center"/>
        <w:rPr>
          <w:highlight w:val="none"/>
        </w:rPr>
      </w:pPr>
      <w:r>
        <w:rPr>
          <w:rFonts w:hint="eastAsia" w:ascii="宋体" w:hAnsi="宋体" w:cs="宋体"/>
          <w:szCs w:val="24"/>
          <w:highlight w:val="none"/>
        </w:rPr>
        <w:br w:type="page"/>
      </w:r>
      <w:bookmarkStart w:id="257" w:name="_Toc528078069"/>
      <w:bookmarkEnd w:id="257"/>
      <w:bookmarkStart w:id="258" w:name="_Toc31248"/>
      <w:bookmarkStart w:id="259" w:name="_Toc23204"/>
      <w:r>
        <w:rPr>
          <w:rFonts w:hint="eastAsia"/>
          <w:highlight w:val="none"/>
        </w:rPr>
        <w:t>三、授权委托书</w:t>
      </w:r>
      <w:bookmarkEnd w:id="258"/>
      <w:bookmarkEnd w:id="259"/>
    </w:p>
    <w:p w14:paraId="44A47A14">
      <w:pPr>
        <w:spacing w:line="500" w:lineRule="exact"/>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本人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（姓名）系</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（供应商名称）的法定代表人，现委托</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（姓名）为我方代理人。代理人根据授权，以我方名义签署、澄清、说明、补正、递交、撤回、修改</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（项目名称）投标文件、签订合同和处理有关事宜，其法律后果由我方承担。</w:t>
      </w:r>
    </w:p>
    <w:p w14:paraId="74EC20C3">
      <w:pPr>
        <w:spacing w:line="500" w:lineRule="exact"/>
        <w:ind w:firstLine="480" w:firstLineChars="200"/>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rPr>
        <w:t>委托期限：</w:t>
      </w:r>
      <w:r>
        <w:rPr>
          <w:rFonts w:hint="eastAsia" w:ascii="宋体" w:hAnsi="宋体" w:eastAsia="宋体" w:cs="Times New Roman"/>
          <w:sz w:val="24"/>
          <w:szCs w:val="24"/>
          <w:highlight w:val="none"/>
          <w:u w:val="single"/>
        </w:rPr>
        <w:t xml:space="preserve">                        </w:t>
      </w:r>
    </w:p>
    <w:p w14:paraId="21B1CE54">
      <w:pPr>
        <w:spacing w:line="500" w:lineRule="exact"/>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代理人无转委托权。</w:t>
      </w:r>
    </w:p>
    <w:p w14:paraId="3D453F29">
      <w:pPr>
        <w:spacing w:line="500" w:lineRule="exact"/>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附：法定代表人身份证复印件、被授权委托人身份证复印件</w:t>
      </w:r>
    </w:p>
    <w:p w14:paraId="2494EF26">
      <w:pPr>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p>
    <w:p w14:paraId="00A743D3">
      <w:pPr>
        <w:suppressAutoHyphens/>
        <w:spacing w:line="360" w:lineRule="auto"/>
        <w:ind w:firstLine="3120" w:firstLineChars="1300"/>
        <w:rPr>
          <w:rFonts w:hint="eastAsia" w:ascii="宋体" w:hAnsi="宋体" w:eastAsia="宋体" w:cs="Times New Roman"/>
          <w:kern w:val="1"/>
          <w:sz w:val="24"/>
          <w:szCs w:val="24"/>
          <w:highlight w:val="none"/>
        </w:rPr>
      </w:pPr>
    </w:p>
    <w:p w14:paraId="2BE19FEA">
      <w:pPr>
        <w:suppressAutoHyphens/>
        <w:spacing w:line="360" w:lineRule="auto"/>
        <w:ind w:firstLine="3120" w:firstLineChars="1300"/>
        <w:rPr>
          <w:rFonts w:hint="eastAsia" w:ascii="宋体" w:hAnsi="宋体" w:eastAsia="宋体" w:cs="Times New Roman"/>
          <w:kern w:val="1"/>
          <w:sz w:val="24"/>
          <w:szCs w:val="24"/>
          <w:highlight w:val="none"/>
        </w:rPr>
      </w:pPr>
    </w:p>
    <w:p w14:paraId="09C09892">
      <w:pPr>
        <w:suppressAutoHyphens/>
        <w:spacing w:line="480" w:lineRule="auto"/>
        <w:ind w:firstLine="3120" w:firstLineChars="1300"/>
        <w:rPr>
          <w:rFonts w:hint="eastAsia" w:ascii="宋体" w:hAnsi="宋体" w:eastAsia="宋体" w:cs="Times New Roman"/>
          <w:kern w:val="1"/>
          <w:sz w:val="24"/>
          <w:szCs w:val="24"/>
          <w:highlight w:val="none"/>
        </w:rPr>
      </w:pPr>
      <w:r>
        <w:rPr>
          <w:rFonts w:hint="eastAsia" w:ascii="宋体" w:hAnsi="宋体" w:eastAsia="宋体" w:cs="Times New Roman"/>
          <w:kern w:val="1"/>
          <w:sz w:val="24"/>
          <w:szCs w:val="24"/>
          <w:highlight w:val="none"/>
        </w:rPr>
        <w:t>供应商：</w:t>
      </w:r>
      <w:r>
        <w:rPr>
          <w:rFonts w:hint="eastAsia" w:ascii="宋体" w:hAnsi="宋体" w:eastAsia="宋体" w:cs="Times New Roman"/>
          <w:kern w:val="1"/>
          <w:sz w:val="24"/>
          <w:szCs w:val="24"/>
          <w:highlight w:val="none"/>
          <w:u w:val="single"/>
        </w:rPr>
        <w:t xml:space="preserve">                        </w:t>
      </w:r>
      <w:r>
        <w:rPr>
          <w:rFonts w:hint="eastAsia" w:ascii="宋体" w:hAnsi="宋体" w:eastAsia="宋体" w:cs="Times New Roman"/>
          <w:kern w:val="1"/>
          <w:sz w:val="24"/>
          <w:szCs w:val="24"/>
          <w:highlight w:val="none"/>
        </w:rPr>
        <w:t>（盖单位公章）</w:t>
      </w:r>
    </w:p>
    <w:p w14:paraId="3CA9DFBC">
      <w:pPr>
        <w:suppressAutoHyphens/>
        <w:spacing w:line="480" w:lineRule="auto"/>
        <w:ind w:firstLine="3120" w:firstLineChars="1300"/>
        <w:rPr>
          <w:rFonts w:hint="eastAsia" w:ascii="宋体" w:hAnsi="宋体" w:eastAsia="宋体" w:cs="Times New Roman"/>
          <w:kern w:val="1"/>
          <w:sz w:val="24"/>
          <w:szCs w:val="24"/>
          <w:highlight w:val="none"/>
        </w:rPr>
      </w:pPr>
      <w:r>
        <w:rPr>
          <w:rFonts w:hint="eastAsia" w:ascii="宋体" w:hAnsi="宋体" w:eastAsia="宋体" w:cs="Times New Roman"/>
          <w:kern w:val="1"/>
          <w:sz w:val="24"/>
          <w:szCs w:val="24"/>
          <w:highlight w:val="none"/>
        </w:rPr>
        <w:t>法定代表人：</w:t>
      </w:r>
      <w:r>
        <w:rPr>
          <w:rFonts w:hint="eastAsia" w:ascii="宋体" w:hAnsi="宋体" w:eastAsia="宋体" w:cs="Times New Roman"/>
          <w:kern w:val="1"/>
          <w:sz w:val="24"/>
          <w:szCs w:val="24"/>
          <w:highlight w:val="none"/>
          <w:u w:val="single"/>
        </w:rPr>
        <w:t xml:space="preserve">                   </w:t>
      </w:r>
      <w:r>
        <w:rPr>
          <w:rFonts w:hint="eastAsia" w:ascii="宋体" w:hAnsi="宋体" w:eastAsia="宋体" w:cs="Times New Roman"/>
          <w:kern w:val="1"/>
          <w:sz w:val="24"/>
          <w:szCs w:val="24"/>
          <w:highlight w:val="none"/>
        </w:rPr>
        <w:t>（</w:t>
      </w:r>
      <w:r>
        <w:rPr>
          <w:rFonts w:hint="eastAsia" w:ascii="宋体" w:hAnsi="宋体" w:eastAsia="宋体" w:cs="黑体"/>
          <w:bCs/>
          <w:kern w:val="0"/>
          <w:sz w:val="24"/>
          <w:szCs w:val="21"/>
          <w:highlight w:val="none"/>
        </w:rPr>
        <w:t>电子签章</w:t>
      </w:r>
      <w:r>
        <w:rPr>
          <w:rFonts w:hint="eastAsia" w:ascii="宋体" w:hAnsi="宋体" w:eastAsia="宋体" w:cs="Times New Roman"/>
          <w:kern w:val="1"/>
          <w:sz w:val="24"/>
          <w:szCs w:val="24"/>
          <w:highlight w:val="none"/>
        </w:rPr>
        <w:t>）</w:t>
      </w:r>
    </w:p>
    <w:p w14:paraId="5BF90474">
      <w:pPr>
        <w:suppressAutoHyphens/>
        <w:spacing w:line="480" w:lineRule="auto"/>
        <w:ind w:firstLine="3120" w:firstLineChars="1300"/>
        <w:rPr>
          <w:rFonts w:hint="eastAsia" w:ascii="宋体" w:hAnsi="宋体" w:eastAsia="宋体" w:cs="Times New Roman"/>
          <w:kern w:val="1"/>
          <w:sz w:val="24"/>
          <w:szCs w:val="24"/>
          <w:highlight w:val="none"/>
          <w:u w:val="single"/>
        </w:rPr>
      </w:pPr>
      <w:r>
        <w:rPr>
          <w:rFonts w:hint="eastAsia" w:ascii="宋体" w:hAnsi="宋体" w:eastAsia="宋体" w:cs="仿宋_GB2312"/>
          <w:kern w:val="0"/>
          <w:sz w:val="24"/>
          <w:szCs w:val="24"/>
          <w:highlight w:val="none"/>
        </w:rPr>
        <w:t>身份证号码：</w:t>
      </w:r>
      <w:r>
        <w:rPr>
          <w:rFonts w:hint="eastAsia" w:ascii="宋体" w:hAnsi="宋体" w:eastAsia="宋体" w:cs="仿宋_GB2312"/>
          <w:kern w:val="0"/>
          <w:sz w:val="24"/>
          <w:szCs w:val="24"/>
          <w:highlight w:val="none"/>
          <w:u w:val="single"/>
        </w:rPr>
        <w:t xml:space="preserve">                  </w:t>
      </w:r>
      <w:r>
        <w:rPr>
          <w:rFonts w:hint="eastAsia" w:ascii="宋体" w:hAnsi="宋体" w:eastAsia="宋体" w:cs="Times New Roman"/>
          <w:kern w:val="1"/>
          <w:sz w:val="24"/>
          <w:szCs w:val="24"/>
          <w:highlight w:val="none"/>
          <w:u w:val="single"/>
        </w:rPr>
        <w:t xml:space="preserve">   </w:t>
      </w:r>
    </w:p>
    <w:p w14:paraId="7B2CAD81">
      <w:pPr>
        <w:suppressAutoHyphens/>
        <w:spacing w:line="480" w:lineRule="auto"/>
        <w:ind w:firstLine="3120" w:firstLineChars="1300"/>
        <w:rPr>
          <w:rFonts w:hint="eastAsia" w:ascii="宋体" w:hAnsi="宋体" w:eastAsia="宋体" w:cs="Times New Roman"/>
          <w:kern w:val="1"/>
          <w:sz w:val="24"/>
          <w:szCs w:val="24"/>
          <w:highlight w:val="none"/>
          <w:u w:val="single"/>
        </w:rPr>
      </w:pPr>
      <w:r>
        <w:rPr>
          <w:rFonts w:hint="eastAsia" w:ascii="宋体" w:hAnsi="宋体" w:eastAsia="宋体" w:cs="Times New Roman"/>
          <w:kern w:val="1"/>
          <w:sz w:val="24"/>
          <w:szCs w:val="24"/>
          <w:highlight w:val="none"/>
        </w:rPr>
        <w:t>联系电话：</w:t>
      </w:r>
      <w:r>
        <w:rPr>
          <w:rFonts w:hint="eastAsia" w:ascii="宋体" w:hAnsi="宋体" w:eastAsia="宋体" w:cs="仿宋_GB2312"/>
          <w:kern w:val="0"/>
          <w:sz w:val="24"/>
          <w:szCs w:val="24"/>
          <w:highlight w:val="none"/>
          <w:u w:val="single"/>
        </w:rPr>
        <w:t xml:space="preserve">                  </w:t>
      </w:r>
      <w:r>
        <w:rPr>
          <w:rFonts w:hint="eastAsia" w:ascii="宋体" w:hAnsi="宋体" w:eastAsia="宋体" w:cs="Times New Roman"/>
          <w:kern w:val="1"/>
          <w:sz w:val="24"/>
          <w:szCs w:val="24"/>
          <w:highlight w:val="none"/>
          <w:u w:val="single"/>
        </w:rPr>
        <w:t xml:space="preserve">   </w:t>
      </w:r>
    </w:p>
    <w:p w14:paraId="7C09261F">
      <w:pPr>
        <w:suppressAutoHyphens/>
        <w:spacing w:line="480" w:lineRule="auto"/>
        <w:ind w:firstLine="3120" w:firstLineChars="1300"/>
        <w:rPr>
          <w:rFonts w:hint="eastAsia" w:ascii="宋体" w:hAnsi="宋体" w:eastAsia="宋体" w:cs="Times New Roman"/>
          <w:kern w:val="1"/>
          <w:sz w:val="24"/>
          <w:szCs w:val="24"/>
          <w:highlight w:val="none"/>
        </w:rPr>
      </w:pPr>
      <w:r>
        <w:rPr>
          <w:rFonts w:hint="eastAsia" w:ascii="宋体" w:hAnsi="宋体" w:eastAsia="宋体" w:cs="Times New Roman"/>
          <w:kern w:val="1"/>
          <w:sz w:val="24"/>
          <w:szCs w:val="24"/>
          <w:highlight w:val="none"/>
        </w:rPr>
        <w:t>委托代理人：</w:t>
      </w:r>
      <w:r>
        <w:rPr>
          <w:rFonts w:hint="eastAsia" w:ascii="宋体" w:hAnsi="宋体" w:eastAsia="宋体" w:cs="Times New Roman"/>
          <w:kern w:val="1"/>
          <w:sz w:val="24"/>
          <w:szCs w:val="24"/>
          <w:highlight w:val="none"/>
          <w:u w:val="single"/>
        </w:rPr>
        <w:t xml:space="preserve">                   </w:t>
      </w:r>
      <w:r>
        <w:rPr>
          <w:rFonts w:hint="eastAsia" w:ascii="宋体" w:hAnsi="宋体" w:eastAsia="宋体" w:cs="Times New Roman"/>
          <w:kern w:val="1"/>
          <w:sz w:val="24"/>
          <w:szCs w:val="24"/>
          <w:highlight w:val="none"/>
        </w:rPr>
        <w:t xml:space="preserve">（签字） </w:t>
      </w:r>
    </w:p>
    <w:p w14:paraId="060861A3">
      <w:pPr>
        <w:suppressAutoHyphens/>
        <w:spacing w:line="480" w:lineRule="auto"/>
        <w:ind w:firstLine="3120" w:firstLineChars="1300"/>
        <w:rPr>
          <w:rFonts w:hint="eastAsia" w:ascii="宋体" w:hAnsi="宋体" w:eastAsia="宋体" w:cs="Times New Roman"/>
          <w:kern w:val="1"/>
          <w:sz w:val="24"/>
          <w:szCs w:val="24"/>
          <w:highlight w:val="none"/>
          <w:u w:val="single"/>
        </w:rPr>
      </w:pPr>
      <w:r>
        <w:rPr>
          <w:rFonts w:hint="eastAsia" w:ascii="宋体" w:hAnsi="宋体" w:eastAsia="宋体" w:cs="Times New Roman"/>
          <w:kern w:val="1"/>
          <w:sz w:val="24"/>
          <w:szCs w:val="24"/>
          <w:highlight w:val="none"/>
        </w:rPr>
        <w:t>身份证号码：</w:t>
      </w:r>
      <w:r>
        <w:rPr>
          <w:rFonts w:hint="eastAsia" w:ascii="宋体" w:hAnsi="宋体" w:eastAsia="宋体" w:cs="Times New Roman"/>
          <w:kern w:val="1"/>
          <w:sz w:val="24"/>
          <w:szCs w:val="24"/>
          <w:highlight w:val="none"/>
          <w:u w:val="single"/>
        </w:rPr>
        <w:t xml:space="preserve">                      </w:t>
      </w:r>
    </w:p>
    <w:p w14:paraId="0A964CC3">
      <w:pPr>
        <w:suppressAutoHyphens/>
        <w:spacing w:line="480" w:lineRule="auto"/>
        <w:ind w:firstLine="3120" w:firstLineChars="1300"/>
        <w:rPr>
          <w:rFonts w:hint="eastAsia" w:ascii="宋体" w:hAnsi="宋体" w:eastAsia="宋体" w:cs="Times New Roman"/>
          <w:kern w:val="1"/>
          <w:sz w:val="24"/>
          <w:szCs w:val="24"/>
          <w:highlight w:val="none"/>
          <w:u w:val="single"/>
        </w:rPr>
      </w:pPr>
      <w:r>
        <w:rPr>
          <w:rFonts w:hint="eastAsia" w:ascii="宋体" w:hAnsi="宋体" w:eastAsia="宋体" w:cs="Times New Roman"/>
          <w:kern w:val="1"/>
          <w:sz w:val="24"/>
          <w:szCs w:val="24"/>
          <w:highlight w:val="none"/>
        </w:rPr>
        <w:t>联系电话：</w:t>
      </w:r>
      <w:r>
        <w:rPr>
          <w:rFonts w:hint="eastAsia" w:ascii="宋体" w:hAnsi="宋体" w:eastAsia="宋体" w:cs="仿宋_GB2312"/>
          <w:kern w:val="0"/>
          <w:sz w:val="24"/>
          <w:szCs w:val="24"/>
          <w:highlight w:val="none"/>
          <w:u w:val="single"/>
        </w:rPr>
        <w:t xml:space="preserve">                  </w:t>
      </w:r>
      <w:r>
        <w:rPr>
          <w:rFonts w:hint="eastAsia" w:ascii="宋体" w:hAnsi="宋体" w:eastAsia="宋体" w:cs="Times New Roman"/>
          <w:kern w:val="1"/>
          <w:sz w:val="24"/>
          <w:szCs w:val="24"/>
          <w:highlight w:val="none"/>
          <w:u w:val="single"/>
        </w:rPr>
        <w:t xml:space="preserve">      </w:t>
      </w:r>
    </w:p>
    <w:p w14:paraId="430B7E33">
      <w:pPr>
        <w:suppressAutoHyphens/>
        <w:spacing w:line="360" w:lineRule="auto"/>
        <w:ind w:firstLine="3120" w:firstLineChars="1300"/>
        <w:rPr>
          <w:rFonts w:hint="eastAsia" w:ascii="宋体" w:hAnsi="宋体" w:eastAsia="宋体" w:cs="Times New Roman"/>
          <w:kern w:val="1"/>
          <w:sz w:val="24"/>
          <w:szCs w:val="24"/>
          <w:highlight w:val="none"/>
        </w:rPr>
      </w:pPr>
    </w:p>
    <w:p w14:paraId="2AF54E8F">
      <w:pPr>
        <w:suppressAutoHyphens/>
        <w:spacing w:line="360" w:lineRule="auto"/>
        <w:ind w:firstLine="4920" w:firstLineChars="2050"/>
        <w:rPr>
          <w:rFonts w:hint="eastAsia" w:ascii="宋体" w:hAnsi="宋体" w:eastAsia="宋体" w:cs="Times New Roman"/>
          <w:kern w:val="1"/>
          <w:sz w:val="24"/>
          <w:szCs w:val="24"/>
          <w:highlight w:val="none"/>
        </w:rPr>
      </w:pPr>
      <w:r>
        <w:rPr>
          <w:rFonts w:hint="eastAsia" w:ascii="宋体" w:hAnsi="宋体" w:eastAsia="宋体" w:cs="Times New Roman"/>
          <w:kern w:val="1"/>
          <w:sz w:val="24"/>
          <w:szCs w:val="24"/>
          <w:highlight w:val="none"/>
          <w:u w:val="single"/>
        </w:rPr>
        <w:t xml:space="preserve">       </w:t>
      </w:r>
      <w:r>
        <w:rPr>
          <w:rFonts w:hint="eastAsia" w:ascii="宋体" w:hAnsi="宋体" w:eastAsia="宋体" w:cs="Times New Roman"/>
          <w:kern w:val="1"/>
          <w:sz w:val="24"/>
          <w:szCs w:val="24"/>
          <w:highlight w:val="none"/>
        </w:rPr>
        <w:t>年</w:t>
      </w:r>
      <w:r>
        <w:rPr>
          <w:rFonts w:hint="eastAsia" w:ascii="宋体" w:hAnsi="宋体" w:eastAsia="宋体" w:cs="Times New Roman"/>
          <w:kern w:val="1"/>
          <w:sz w:val="24"/>
          <w:szCs w:val="24"/>
          <w:highlight w:val="none"/>
          <w:u w:val="single"/>
        </w:rPr>
        <w:t xml:space="preserve">       </w:t>
      </w:r>
      <w:r>
        <w:rPr>
          <w:rFonts w:hint="eastAsia" w:ascii="宋体" w:hAnsi="宋体" w:eastAsia="宋体" w:cs="Times New Roman"/>
          <w:kern w:val="1"/>
          <w:sz w:val="24"/>
          <w:szCs w:val="24"/>
          <w:highlight w:val="none"/>
        </w:rPr>
        <w:t>月</w:t>
      </w:r>
      <w:r>
        <w:rPr>
          <w:rFonts w:hint="eastAsia" w:ascii="宋体" w:hAnsi="宋体" w:eastAsia="宋体" w:cs="Times New Roman"/>
          <w:kern w:val="1"/>
          <w:sz w:val="24"/>
          <w:szCs w:val="24"/>
          <w:highlight w:val="none"/>
          <w:u w:val="single"/>
        </w:rPr>
        <w:t xml:space="preserve">       </w:t>
      </w:r>
      <w:r>
        <w:rPr>
          <w:rFonts w:hint="eastAsia" w:ascii="宋体" w:hAnsi="宋体" w:eastAsia="宋体" w:cs="Times New Roman"/>
          <w:kern w:val="1"/>
          <w:sz w:val="24"/>
          <w:szCs w:val="24"/>
          <w:highlight w:val="none"/>
        </w:rPr>
        <w:t>日</w:t>
      </w:r>
    </w:p>
    <w:p w14:paraId="1FD38A3C">
      <w:pPr>
        <w:widowControl/>
        <w:jc w:val="left"/>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 xml:space="preserve"> </w:t>
      </w:r>
    </w:p>
    <w:p w14:paraId="116AE1D0">
      <w:pPr>
        <w:widowControl/>
        <w:jc w:val="left"/>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 xml:space="preserve"> </w:t>
      </w:r>
    </w:p>
    <w:p w14:paraId="4C659D03">
      <w:pPr>
        <w:widowControl/>
        <w:jc w:val="left"/>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 xml:space="preserve"> </w:t>
      </w:r>
    </w:p>
    <w:p w14:paraId="71455B9F">
      <w:pPr>
        <w:widowControl/>
        <w:ind w:firstLine="360"/>
        <w:jc w:val="left"/>
        <w:rPr>
          <w:rFonts w:hint="eastAsia" w:ascii="宋体" w:hAnsi="宋体" w:eastAsia="宋体" w:cs="宋体"/>
          <w:b/>
          <w:bCs/>
          <w:spacing w:val="10"/>
          <w:kern w:val="0"/>
          <w:sz w:val="24"/>
          <w:highlight w:val="none"/>
        </w:rPr>
      </w:pPr>
    </w:p>
    <w:p w14:paraId="0CD8D34F">
      <w:pPr>
        <w:spacing w:line="560" w:lineRule="exact"/>
        <w:rPr>
          <w:rFonts w:hint="eastAsia" w:asciiTheme="minorEastAsia" w:hAnsiTheme="minorEastAsia" w:cstheme="minorEastAsia"/>
          <w:b/>
          <w:bCs/>
          <w:kern w:val="0"/>
          <w:sz w:val="28"/>
          <w:szCs w:val="28"/>
          <w:highlight w:val="none"/>
        </w:rPr>
      </w:pPr>
    </w:p>
    <w:p w14:paraId="752F2A94">
      <w:pPr>
        <w:rPr>
          <w:rFonts w:hint="eastAsia" w:ascii="宋体" w:hAnsi="宋体" w:cs="宋体"/>
          <w:b/>
          <w:bCs/>
          <w:sz w:val="24"/>
          <w:highlight w:val="none"/>
        </w:rPr>
      </w:pPr>
      <w:r>
        <w:rPr>
          <w:rFonts w:hint="eastAsia" w:ascii="宋体" w:hAnsi="宋体" w:cs="宋体"/>
          <w:b/>
          <w:bCs/>
          <w:sz w:val="24"/>
          <w:highlight w:val="none"/>
        </w:rPr>
        <w:t xml:space="preserve"> </w:t>
      </w:r>
    </w:p>
    <w:p w14:paraId="2D816867">
      <w:pPr>
        <w:pStyle w:val="3"/>
        <w:jc w:val="center"/>
        <w:rPr>
          <w:highlight w:val="none"/>
        </w:rPr>
      </w:pPr>
      <w:bookmarkStart w:id="260" w:name="_Toc10352"/>
      <w:bookmarkEnd w:id="260"/>
      <w:r>
        <w:rPr>
          <w:rFonts w:hint="eastAsia" w:ascii="宋体" w:hAnsi="宋体" w:cs="宋体"/>
          <w:szCs w:val="24"/>
          <w:highlight w:val="none"/>
        </w:rPr>
        <w:br w:type="page"/>
      </w:r>
      <w:bookmarkStart w:id="261" w:name="_Toc14248"/>
      <w:r>
        <w:rPr>
          <w:rFonts w:hint="eastAsia"/>
          <w:highlight w:val="none"/>
        </w:rPr>
        <w:t>四、投标承诺函</w:t>
      </w:r>
      <w:bookmarkEnd w:id="261"/>
    </w:p>
    <w:p w14:paraId="588EFBFA">
      <w:pPr>
        <w:spacing w:line="360" w:lineRule="auto"/>
        <w:ind w:firstLine="480" w:firstLineChars="200"/>
        <w:rPr>
          <w:sz w:val="24"/>
          <w:szCs w:val="28"/>
          <w:highlight w:val="none"/>
        </w:rPr>
      </w:pPr>
      <w:r>
        <w:rPr>
          <w:rFonts w:hint="eastAsia"/>
          <w:sz w:val="24"/>
          <w:szCs w:val="28"/>
          <w:highlight w:val="none"/>
        </w:rPr>
        <w:t>致 （</w:t>
      </w:r>
      <w:r>
        <w:rPr>
          <w:rFonts w:hint="eastAsia"/>
          <w:sz w:val="24"/>
          <w:szCs w:val="28"/>
          <w:highlight w:val="none"/>
          <w:lang w:eastAsia="zh-CN"/>
        </w:rPr>
        <w:t>采购人</w:t>
      </w:r>
      <w:r>
        <w:rPr>
          <w:rFonts w:hint="eastAsia"/>
          <w:sz w:val="24"/>
          <w:szCs w:val="28"/>
          <w:highlight w:val="none"/>
        </w:rPr>
        <w:t xml:space="preserve">）：                     </w:t>
      </w:r>
    </w:p>
    <w:p w14:paraId="00658762">
      <w:pPr>
        <w:spacing w:line="360" w:lineRule="auto"/>
        <w:ind w:firstLine="480" w:firstLineChars="200"/>
        <w:rPr>
          <w:sz w:val="24"/>
          <w:szCs w:val="28"/>
          <w:highlight w:val="none"/>
        </w:rPr>
      </w:pPr>
      <w:r>
        <w:rPr>
          <w:rFonts w:hint="eastAsia"/>
          <w:sz w:val="24"/>
          <w:szCs w:val="28"/>
          <w:highlight w:val="none"/>
        </w:rPr>
        <w:t>我公司作为本次采购项目的供应商，根据招标文件要求，现郑重承诺如下：</w:t>
      </w:r>
    </w:p>
    <w:p w14:paraId="52075ABF">
      <w:pPr>
        <w:spacing w:line="360" w:lineRule="auto"/>
        <w:ind w:firstLine="480" w:firstLineChars="200"/>
        <w:rPr>
          <w:sz w:val="24"/>
          <w:szCs w:val="28"/>
          <w:highlight w:val="none"/>
        </w:rPr>
      </w:pPr>
      <w:r>
        <w:rPr>
          <w:rFonts w:hint="eastAsia"/>
          <w:sz w:val="24"/>
          <w:szCs w:val="28"/>
          <w:highlight w:val="none"/>
        </w:rPr>
        <w:t>一、具备《中华人民共和国政府采购法》第二十二条第一款和本项目规定的条件：</w:t>
      </w:r>
    </w:p>
    <w:p w14:paraId="7F31284D">
      <w:pPr>
        <w:spacing w:line="360" w:lineRule="auto"/>
        <w:ind w:firstLine="480" w:firstLineChars="200"/>
        <w:rPr>
          <w:sz w:val="24"/>
          <w:szCs w:val="28"/>
          <w:highlight w:val="none"/>
        </w:rPr>
      </w:pPr>
      <w:r>
        <w:rPr>
          <w:rFonts w:hint="eastAsia"/>
          <w:sz w:val="24"/>
          <w:szCs w:val="28"/>
          <w:highlight w:val="none"/>
        </w:rPr>
        <w:t>（一）具有独立承担民事责任的能力；</w:t>
      </w:r>
    </w:p>
    <w:p w14:paraId="1BE4152D">
      <w:pPr>
        <w:spacing w:line="360" w:lineRule="auto"/>
        <w:ind w:firstLine="480" w:firstLineChars="200"/>
        <w:rPr>
          <w:sz w:val="24"/>
          <w:szCs w:val="28"/>
          <w:highlight w:val="none"/>
        </w:rPr>
      </w:pPr>
      <w:r>
        <w:rPr>
          <w:rFonts w:hint="eastAsia"/>
          <w:sz w:val="24"/>
          <w:szCs w:val="28"/>
          <w:highlight w:val="none"/>
        </w:rPr>
        <w:t>（二）具有良好的商业信誉和健全的财务会计制度；</w:t>
      </w:r>
    </w:p>
    <w:p w14:paraId="180D14ED">
      <w:pPr>
        <w:spacing w:line="360" w:lineRule="auto"/>
        <w:ind w:firstLine="480" w:firstLineChars="200"/>
        <w:rPr>
          <w:sz w:val="24"/>
          <w:szCs w:val="28"/>
          <w:highlight w:val="none"/>
        </w:rPr>
      </w:pPr>
      <w:r>
        <w:rPr>
          <w:rFonts w:hint="eastAsia"/>
          <w:sz w:val="24"/>
          <w:szCs w:val="28"/>
          <w:highlight w:val="none"/>
        </w:rPr>
        <w:t>（三）具有履行合同所必需的设备和专业技术能力；</w:t>
      </w:r>
    </w:p>
    <w:p w14:paraId="48E876B4">
      <w:pPr>
        <w:spacing w:line="360" w:lineRule="auto"/>
        <w:ind w:firstLine="480" w:firstLineChars="200"/>
        <w:rPr>
          <w:sz w:val="24"/>
          <w:szCs w:val="28"/>
          <w:highlight w:val="none"/>
        </w:rPr>
      </w:pPr>
      <w:r>
        <w:rPr>
          <w:rFonts w:hint="eastAsia"/>
          <w:sz w:val="24"/>
          <w:szCs w:val="28"/>
          <w:highlight w:val="none"/>
        </w:rPr>
        <w:t>（四）有依法缴纳税收的良好记录；</w:t>
      </w:r>
    </w:p>
    <w:p w14:paraId="191EB07C">
      <w:pPr>
        <w:spacing w:line="360" w:lineRule="auto"/>
        <w:ind w:firstLine="480" w:firstLineChars="200"/>
        <w:rPr>
          <w:sz w:val="24"/>
          <w:szCs w:val="28"/>
          <w:highlight w:val="none"/>
        </w:rPr>
      </w:pPr>
      <w:r>
        <w:rPr>
          <w:rFonts w:hint="eastAsia"/>
          <w:sz w:val="24"/>
          <w:szCs w:val="28"/>
          <w:highlight w:val="none"/>
        </w:rPr>
        <w:t>（五）参加政府采购活动前三年内，在经营活动中没有重大违法记录；</w:t>
      </w:r>
    </w:p>
    <w:p w14:paraId="49653766">
      <w:pPr>
        <w:spacing w:line="360" w:lineRule="auto"/>
        <w:ind w:firstLine="480" w:firstLineChars="200"/>
        <w:rPr>
          <w:sz w:val="24"/>
          <w:szCs w:val="28"/>
          <w:highlight w:val="none"/>
        </w:rPr>
      </w:pPr>
      <w:r>
        <w:rPr>
          <w:rFonts w:hint="eastAsia"/>
          <w:sz w:val="24"/>
          <w:szCs w:val="28"/>
          <w:highlight w:val="none"/>
        </w:rPr>
        <w:t>（六）法律、行政法规规定的其他条件；</w:t>
      </w:r>
    </w:p>
    <w:p w14:paraId="4B0B204B">
      <w:pPr>
        <w:spacing w:line="360" w:lineRule="auto"/>
        <w:ind w:firstLine="480" w:firstLineChars="200"/>
        <w:rPr>
          <w:sz w:val="24"/>
          <w:szCs w:val="28"/>
          <w:highlight w:val="none"/>
        </w:rPr>
      </w:pPr>
      <w:r>
        <w:rPr>
          <w:rFonts w:hint="eastAsia"/>
          <w:sz w:val="24"/>
          <w:szCs w:val="28"/>
          <w:highlight w:val="none"/>
        </w:rPr>
        <w:t>（七）根据采购项目提出的特殊条件。</w:t>
      </w:r>
    </w:p>
    <w:p w14:paraId="04E2A7BB">
      <w:pPr>
        <w:spacing w:line="360" w:lineRule="auto"/>
        <w:ind w:firstLine="480" w:firstLineChars="200"/>
        <w:rPr>
          <w:sz w:val="24"/>
          <w:szCs w:val="28"/>
          <w:highlight w:val="none"/>
        </w:rPr>
      </w:pPr>
      <w:r>
        <w:rPr>
          <w:rFonts w:hint="eastAsia"/>
          <w:sz w:val="24"/>
          <w:szCs w:val="28"/>
          <w:highlight w:val="none"/>
        </w:rPr>
        <w:t>二、完全接受和满足本项目招标文件中规定的实质性要求，如对竞招标文件有异议，已经在投标截止时间届满前依法进行维权救济，不存在对招标文件有异议的同时又参加投标以求侥幸中标或者为实现其他非法目的的行为。</w:t>
      </w:r>
    </w:p>
    <w:p w14:paraId="0649532E">
      <w:pPr>
        <w:spacing w:line="360" w:lineRule="auto"/>
        <w:ind w:firstLine="480" w:firstLineChars="200"/>
        <w:rPr>
          <w:sz w:val="24"/>
          <w:szCs w:val="28"/>
          <w:highlight w:val="none"/>
        </w:rPr>
      </w:pPr>
      <w:r>
        <w:rPr>
          <w:rFonts w:hint="eastAsia"/>
          <w:sz w:val="24"/>
          <w:szCs w:val="28"/>
          <w:highlight w:val="none"/>
        </w:rPr>
        <w:t>三、参加本次招标采购活动，不存在与单位负责人为同一人或者存在直接控股、管理关系的其他供应商参与同一合同项下的政府采购活动的行为。</w:t>
      </w:r>
    </w:p>
    <w:p w14:paraId="4608BF90">
      <w:pPr>
        <w:spacing w:line="360" w:lineRule="auto"/>
        <w:ind w:firstLine="480" w:firstLineChars="200"/>
        <w:rPr>
          <w:sz w:val="24"/>
          <w:szCs w:val="28"/>
          <w:highlight w:val="none"/>
        </w:rPr>
      </w:pPr>
      <w:r>
        <w:rPr>
          <w:rFonts w:hint="eastAsia"/>
          <w:sz w:val="24"/>
          <w:szCs w:val="28"/>
          <w:highlight w:val="none"/>
        </w:rPr>
        <w:t>四、参加本次招标采购活动，不存在为采购项目提供整体设计、规范编制或者项目管理、监理、检测等服务的行为。</w:t>
      </w:r>
    </w:p>
    <w:p w14:paraId="58A9C576">
      <w:pPr>
        <w:spacing w:line="360" w:lineRule="auto"/>
        <w:ind w:firstLine="480" w:firstLineChars="200"/>
        <w:rPr>
          <w:sz w:val="24"/>
          <w:szCs w:val="28"/>
          <w:highlight w:val="none"/>
        </w:rPr>
      </w:pPr>
      <w:r>
        <w:rPr>
          <w:rFonts w:hint="eastAsia"/>
          <w:sz w:val="24"/>
          <w:szCs w:val="28"/>
          <w:highlight w:val="none"/>
        </w:rPr>
        <w:t>五、参加本次招标采购活动，不存在和其他供应商在同一合同项下的采购项目中，同时委托同一个自然人、同一家庭的人员、同一单位的人员作为代理人的行为。</w:t>
      </w:r>
    </w:p>
    <w:p w14:paraId="04092B05">
      <w:pPr>
        <w:spacing w:line="360" w:lineRule="auto"/>
        <w:ind w:firstLine="480" w:firstLineChars="200"/>
        <w:rPr>
          <w:sz w:val="24"/>
          <w:szCs w:val="28"/>
          <w:highlight w:val="none"/>
        </w:rPr>
      </w:pPr>
      <w:r>
        <w:rPr>
          <w:rFonts w:hint="eastAsia"/>
          <w:sz w:val="24"/>
          <w:szCs w:val="28"/>
          <w:highlight w:val="none"/>
        </w:rPr>
        <w:t>六、供应商参加本次政府采购活动要求在近三年内供应商和其法定代表人没有行贿犯罪行为。</w:t>
      </w:r>
    </w:p>
    <w:p w14:paraId="6EC4088D">
      <w:pPr>
        <w:spacing w:line="360" w:lineRule="auto"/>
        <w:ind w:firstLine="480" w:firstLineChars="200"/>
        <w:rPr>
          <w:sz w:val="24"/>
          <w:szCs w:val="28"/>
          <w:highlight w:val="none"/>
        </w:rPr>
      </w:pPr>
      <w:r>
        <w:rPr>
          <w:rFonts w:hint="eastAsia"/>
          <w:sz w:val="24"/>
          <w:szCs w:val="28"/>
          <w:highlight w:val="none"/>
        </w:rPr>
        <w:t>七、参加本次招标采购活动，不存在联合体投标。</w:t>
      </w:r>
    </w:p>
    <w:p w14:paraId="7188E9BA">
      <w:pPr>
        <w:spacing w:line="360" w:lineRule="auto"/>
        <w:ind w:firstLine="480" w:firstLineChars="200"/>
        <w:rPr>
          <w:sz w:val="24"/>
          <w:szCs w:val="28"/>
          <w:highlight w:val="none"/>
        </w:rPr>
      </w:pPr>
      <w:r>
        <w:rPr>
          <w:rFonts w:hint="eastAsia"/>
          <w:sz w:val="24"/>
          <w:szCs w:val="28"/>
          <w:highlight w:val="none"/>
        </w:rPr>
        <w:t>八、投标文件中提供的能够给予我公司带来优惠、好处的任何材料资料和技术、服务、商务等响应承诺情况都是真实的、有效的、合法的。</w:t>
      </w:r>
    </w:p>
    <w:p w14:paraId="2C7B82FA">
      <w:pPr>
        <w:spacing w:line="360" w:lineRule="auto"/>
        <w:ind w:firstLine="480" w:firstLineChars="200"/>
        <w:rPr>
          <w:sz w:val="24"/>
          <w:szCs w:val="28"/>
          <w:highlight w:val="none"/>
        </w:rPr>
      </w:pPr>
      <w:r>
        <w:rPr>
          <w:rFonts w:hint="eastAsia"/>
          <w:sz w:val="24"/>
          <w:szCs w:val="28"/>
          <w:highlight w:val="none"/>
        </w:rPr>
        <w:t>九、如本项目评标过程中需要提供样品，则我公司提供的样品即为中标后将要提供的中标产品，我公司对提供样品的性能和质量负责，因样品存在缺陷或者不符合招标文件导致未能中标的，我公司愿意承担相应不利后果。（如提供样品）</w:t>
      </w:r>
    </w:p>
    <w:p w14:paraId="195C74C8">
      <w:pPr>
        <w:spacing w:line="360" w:lineRule="auto"/>
        <w:ind w:firstLine="480" w:firstLineChars="200"/>
        <w:rPr>
          <w:sz w:val="24"/>
          <w:szCs w:val="28"/>
          <w:highlight w:val="none"/>
        </w:rPr>
      </w:pPr>
      <w:r>
        <w:rPr>
          <w:rFonts w:hint="eastAsia"/>
          <w:sz w:val="24"/>
          <w:szCs w:val="28"/>
          <w:highlight w:val="none"/>
        </w:rPr>
        <w:t>十、存在以下行为之一的愿意接受相关部门的处理：</w:t>
      </w:r>
    </w:p>
    <w:p w14:paraId="0AF8ECD5">
      <w:pPr>
        <w:spacing w:line="360" w:lineRule="auto"/>
        <w:ind w:firstLine="480" w:firstLineChars="200"/>
        <w:rPr>
          <w:sz w:val="24"/>
          <w:szCs w:val="28"/>
          <w:highlight w:val="none"/>
        </w:rPr>
      </w:pPr>
      <w:r>
        <w:rPr>
          <w:rFonts w:hint="eastAsia"/>
          <w:sz w:val="24"/>
          <w:szCs w:val="28"/>
          <w:highlight w:val="none"/>
        </w:rPr>
        <w:t>（一）投标有效期内撤销投标文件的；</w:t>
      </w:r>
    </w:p>
    <w:p w14:paraId="0AA2687F">
      <w:pPr>
        <w:spacing w:line="360" w:lineRule="auto"/>
        <w:ind w:firstLine="480" w:firstLineChars="200"/>
        <w:rPr>
          <w:sz w:val="24"/>
          <w:szCs w:val="28"/>
          <w:highlight w:val="none"/>
        </w:rPr>
      </w:pPr>
      <w:r>
        <w:rPr>
          <w:rFonts w:hint="eastAsia"/>
          <w:sz w:val="24"/>
          <w:szCs w:val="28"/>
          <w:highlight w:val="none"/>
        </w:rPr>
        <w:t>（二）在</w:t>
      </w:r>
      <w:r>
        <w:rPr>
          <w:rFonts w:hint="eastAsia"/>
          <w:sz w:val="24"/>
          <w:szCs w:val="28"/>
          <w:highlight w:val="none"/>
          <w:lang w:eastAsia="zh-CN"/>
        </w:rPr>
        <w:t>采购人</w:t>
      </w:r>
      <w:r>
        <w:rPr>
          <w:rFonts w:hint="eastAsia"/>
          <w:sz w:val="24"/>
          <w:szCs w:val="28"/>
          <w:highlight w:val="none"/>
        </w:rPr>
        <w:t>确定中标人以前放弃中标候选资格的；</w:t>
      </w:r>
    </w:p>
    <w:p w14:paraId="138F7DB2">
      <w:pPr>
        <w:spacing w:line="360" w:lineRule="auto"/>
        <w:ind w:firstLine="480" w:firstLineChars="200"/>
        <w:rPr>
          <w:sz w:val="24"/>
          <w:szCs w:val="28"/>
          <w:highlight w:val="none"/>
        </w:rPr>
      </w:pPr>
      <w:r>
        <w:rPr>
          <w:rFonts w:hint="eastAsia"/>
          <w:sz w:val="24"/>
          <w:szCs w:val="28"/>
          <w:highlight w:val="none"/>
        </w:rPr>
        <w:t>（三）由于中标人的原因未能按照招标文件的规定与</w:t>
      </w:r>
      <w:r>
        <w:rPr>
          <w:rFonts w:hint="eastAsia"/>
          <w:sz w:val="24"/>
          <w:szCs w:val="28"/>
          <w:highlight w:val="none"/>
          <w:lang w:eastAsia="zh-CN"/>
        </w:rPr>
        <w:t>采购人</w:t>
      </w:r>
      <w:r>
        <w:rPr>
          <w:rFonts w:hint="eastAsia"/>
          <w:sz w:val="24"/>
          <w:szCs w:val="28"/>
          <w:highlight w:val="none"/>
        </w:rPr>
        <w:t>签订合同；</w:t>
      </w:r>
    </w:p>
    <w:p w14:paraId="02D5D9EE">
      <w:pPr>
        <w:spacing w:line="360" w:lineRule="auto"/>
        <w:ind w:firstLine="480" w:firstLineChars="200"/>
        <w:rPr>
          <w:sz w:val="24"/>
          <w:szCs w:val="28"/>
          <w:highlight w:val="none"/>
        </w:rPr>
      </w:pPr>
      <w:r>
        <w:rPr>
          <w:rFonts w:hint="eastAsia"/>
          <w:sz w:val="24"/>
          <w:szCs w:val="28"/>
          <w:highlight w:val="none"/>
        </w:rPr>
        <w:t>（四）在投标文件中提供虚假材料谋取中标；</w:t>
      </w:r>
    </w:p>
    <w:p w14:paraId="61161EC7">
      <w:pPr>
        <w:spacing w:line="360" w:lineRule="auto"/>
        <w:ind w:firstLine="480" w:firstLineChars="200"/>
        <w:rPr>
          <w:sz w:val="24"/>
          <w:szCs w:val="28"/>
          <w:highlight w:val="none"/>
        </w:rPr>
      </w:pPr>
      <w:r>
        <w:rPr>
          <w:rFonts w:hint="eastAsia"/>
          <w:sz w:val="24"/>
          <w:szCs w:val="28"/>
          <w:highlight w:val="none"/>
        </w:rPr>
        <w:t>（五）与</w:t>
      </w:r>
      <w:r>
        <w:rPr>
          <w:rFonts w:hint="eastAsia"/>
          <w:sz w:val="24"/>
          <w:szCs w:val="28"/>
          <w:highlight w:val="none"/>
          <w:lang w:eastAsia="zh-CN"/>
        </w:rPr>
        <w:t>采购人</w:t>
      </w:r>
      <w:r>
        <w:rPr>
          <w:rFonts w:hint="eastAsia"/>
          <w:sz w:val="24"/>
          <w:szCs w:val="28"/>
          <w:highlight w:val="none"/>
        </w:rPr>
        <w:t>、其他供应商或者招标代理机构恶意串通的；</w:t>
      </w:r>
    </w:p>
    <w:p w14:paraId="28A7B5A7">
      <w:pPr>
        <w:spacing w:line="360" w:lineRule="auto"/>
        <w:ind w:firstLine="480" w:firstLineChars="200"/>
        <w:rPr>
          <w:sz w:val="24"/>
          <w:szCs w:val="28"/>
          <w:highlight w:val="none"/>
        </w:rPr>
      </w:pPr>
      <w:r>
        <w:rPr>
          <w:rFonts w:hint="eastAsia"/>
          <w:sz w:val="24"/>
          <w:szCs w:val="28"/>
          <w:highlight w:val="none"/>
        </w:rPr>
        <w:t>（六）投标有效期内，供应商在政府采购活动中有违法、违规、违纪行为。由此产生的一切法律后果和责任由我公司承担。我公司声明放弃对此提出任何异议和追索的权利。</w:t>
      </w:r>
    </w:p>
    <w:p w14:paraId="44F08DBA">
      <w:pPr>
        <w:spacing w:line="360" w:lineRule="auto"/>
        <w:ind w:firstLine="480" w:firstLineChars="200"/>
        <w:rPr>
          <w:sz w:val="24"/>
          <w:szCs w:val="28"/>
          <w:highlight w:val="none"/>
        </w:rPr>
      </w:pPr>
      <w:r>
        <w:rPr>
          <w:rFonts w:hint="eastAsia"/>
          <w:sz w:val="24"/>
          <w:szCs w:val="28"/>
          <w:highlight w:val="none"/>
        </w:rPr>
        <w:t>本公司对上述承诺的内容事项真实性负责。如经查实上述承诺的内容事项存在虚假，我公司愿意接受以提供虚假材料谋取中标追究法律责任。</w:t>
      </w:r>
    </w:p>
    <w:p w14:paraId="5B79EC0A">
      <w:pPr>
        <w:spacing w:line="360" w:lineRule="auto"/>
        <w:ind w:firstLine="480" w:firstLineChars="200"/>
        <w:rPr>
          <w:sz w:val="24"/>
          <w:szCs w:val="28"/>
          <w:highlight w:val="none"/>
        </w:rPr>
      </w:pPr>
    </w:p>
    <w:p w14:paraId="6F6122CE">
      <w:pPr>
        <w:spacing w:line="360" w:lineRule="auto"/>
        <w:ind w:firstLine="480" w:firstLineChars="200"/>
        <w:rPr>
          <w:sz w:val="24"/>
          <w:szCs w:val="28"/>
          <w:highlight w:val="none"/>
        </w:rPr>
      </w:pPr>
      <w:bookmarkStart w:id="262" w:name="五、磋商报价明细表"/>
      <w:bookmarkEnd w:id="262"/>
    </w:p>
    <w:p w14:paraId="7C813D9B">
      <w:pPr>
        <w:spacing w:line="360" w:lineRule="auto"/>
        <w:ind w:firstLine="480" w:firstLineChars="200"/>
        <w:rPr>
          <w:sz w:val="24"/>
          <w:szCs w:val="28"/>
          <w:highlight w:val="none"/>
        </w:rPr>
      </w:pPr>
      <w:r>
        <w:rPr>
          <w:rFonts w:hint="eastAsia"/>
          <w:sz w:val="24"/>
          <w:szCs w:val="28"/>
          <w:highlight w:val="none"/>
        </w:rPr>
        <w:t>供应商：                      （盖单位公章）</w:t>
      </w:r>
    </w:p>
    <w:p w14:paraId="05255E6B">
      <w:pPr>
        <w:spacing w:line="360" w:lineRule="auto"/>
        <w:ind w:firstLine="480" w:firstLineChars="200"/>
        <w:rPr>
          <w:sz w:val="24"/>
          <w:szCs w:val="28"/>
          <w:highlight w:val="none"/>
        </w:rPr>
      </w:pPr>
      <w:r>
        <w:rPr>
          <w:rFonts w:hint="eastAsia"/>
          <w:sz w:val="24"/>
          <w:szCs w:val="28"/>
          <w:highlight w:val="none"/>
        </w:rPr>
        <w:t>法定代表人：              （电子签章）</w:t>
      </w:r>
    </w:p>
    <w:p w14:paraId="05A3F322">
      <w:pPr>
        <w:spacing w:line="360" w:lineRule="auto"/>
        <w:ind w:firstLine="480" w:firstLineChars="200"/>
        <w:rPr>
          <w:sz w:val="24"/>
          <w:szCs w:val="28"/>
          <w:highlight w:val="none"/>
        </w:rPr>
      </w:pPr>
      <w:r>
        <w:rPr>
          <w:rFonts w:hint="eastAsia"/>
          <w:sz w:val="24"/>
          <w:szCs w:val="28"/>
          <w:highlight w:val="none"/>
        </w:rPr>
        <w:t>日期：        年      月      日</w:t>
      </w:r>
    </w:p>
    <w:p w14:paraId="7DB32508">
      <w:pPr>
        <w:pStyle w:val="3"/>
        <w:numPr>
          <w:ilvl w:val="0"/>
          <w:numId w:val="0"/>
        </w:numPr>
        <w:ind w:left="0" w:leftChars="0" w:firstLine="562" w:firstLineChars="200"/>
        <w:jc w:val="center"/>
        <w:rPr>
          <w:rFonts w:hint="eastAsia"/>
          <w:color w:val="auto"/>
          <w:highlight w:val="none"/>
          <w:lang w:eastAsia="zh-CN"/>
        </w:rPr>
      </w:pPr>
      <w:r>
        <w:rPr>
          <w:rFonts w:hint="eastAsia" w:ascii="宋体" w:hAnsi="宋体" w:cs="宋体"/>
          <w:szCs w:val="24"/>
          <w:highlight w:val="none"/>
        </w:rPr>
        <w:br w:type="page"/>
      </w:r>
      <w:bookmarkStart w:id="263" w:name="_Hlk3282331"/>
      <w:bookmarkEnd w:id="263"/>
      <w:bookmarkStart w:id="264" w:name="_Toc244934212"/>
      <w:bookmarkEnd w:id="264"/>
      <w:bookmarkStart w:id="265" w:name="_Toc528078071"/>
      <w:bookmarkEnd w:id="265"/>
      <w:bookmarkStart w:id="266" w:name="_Toc361989462"/>
      <w:bookmarkEnd w:id="266"/>
      <w:r>
        <w:rPr>
          <w:rFonts w:hint="eastAsia" w:ascii="宋体" w:hAnsi="宋体" w:cs="宋体"/>
          <w:szCs w:val="24"/>
          <w:highlight w:val="none"/>
          <w:lang w:val="en-US" w:eastAsia="zh-CN"/>
        </w:rPr>
        <w:t>五、</w:t>
      </w:r>
      <w:r>
        <w:rPr>
          <w:rFonts w:hint="eastAsia"/>
          <w:color w:val="auto"/>
          <w:highlight w:val="none"/>
          <w:lang w:eastAsia="zh-CN"/>
        </w:rPr>
        <w:t>拟派项目人员</w:t>
      </w:r>
    </w:p>
    <w:p w14:paraId="095287A4">
      <w:pPr>
        <w:numPr>
          <w:ilvl w:val="0"/>
          <w:numId w:val="0"/>
        </w:numPr>
        <w:ind w:leftChars="200"/>
        <w:rPr>
          <w:rFonts w:hint="eastAsia"/>
          <w:lang w:eastAsia="zh-CN"/>
        </w:rPr>
      </w:pPr>
    </w:p>
    <w:p w14:paraId="2702D38B">
      <w:pPr>
        <w:numPr>
          <w:ilvl w:val="0"/>
          <w:numId w:val="0"/>
        </w:numPr>
        <w:ind w:leftChars="200"/>
        <w:rPr>
          <w:rFonts w:hint="eastAsia"/>
          <w:lang w:eastAsia="zh-CN"/>
        </w:rPr>
      </w:pPr>
    </w:p>
    <w:p w14:paraId="200C47A5">
      <w:pPr>
        <w:numPr>
          <w:ilvl w:val="0"/>
          <w:numId w:val="0"/>
        </w:numPr>
        <w:ind w:leftChars="200"/>
        <w:rPr>
          <w:rFonts w:hint="eastAsia"/>
          <w:lang w:eastAsia="zh-CN"/>
        </w:rPr>
      </w:pPr>
    </w:p>
    <w:p w14:paraId="71D21D1A">
      <w:pPr>
        <w:numPr>
          <w:ilvl w:val="0"/>
          <w:numId w:val="0"/>
        </w:numPr>
        <w:ind w:leftChars="200"/>
        <w:rPr>
          <w:rFonts w:hint="eastAsia"/>
          <w:lang w:eastAsia="zh-CN"/>
        </w:rPr>
      </w:pPr>
    </w:p>
    <w:p w14:paraId="11AFB289">
      <w:pPr>
        <w:numPr>
          <w:ilvl w:val="0"/>
          <w:numId w:val="0"/>
        </w:numPr>
        <w:ind w:leftChars="200"/>
        <w:rPr>
          <w:rFonts w:hint="eastAsia"/>
          <w:lang w:eastAsia="zh-CN"/>
        </w:rPr>
      </w:pPr>
    </w:p>
    <w:p w14:paraId="6B0C2699">
      <w:pPr>
        <w:numPr>
          <w:ilvl w:val="0"/>
          <w:numId w:val="0"/>
        </w:numPr>
        <w:ind w:leftChars="200"/>
        <w:rPr>
          <w:rFonts w:hint="eastAsia"/>
          <w:lang w:eastAsia="zh-CN"/>
        </w:rPr>
      </w:pPr>
    </w:p>
    <w:p w14:paraId="0CCCDF1B">
      <w:pPr>
        <w:spacing w:line="360" w:lineRule="auto"/>
        <w:ind w:right="-340" w:rightChars="-162" w:firstLine="2940" w:firstLineChars="1400"/>
        <w:rPr>
          <w:rFonts w:hint="eastAsia" w:ascii="宋体" w:hAnsi="宋体" w:eastAsia="宋体" w:cs="宋体"/>
          <w:sz w:val="24"/>
          <w:szCs w:val="20"/>
          <w:highlight w:val="none"/>
        </w:rPr>
      </w:pPr>
      <w:bookmarkStart w:id="267" w:name="_Toc244934213"/>
      <w:bookmarkEnd w:id="267"/>
      <w:bookmarkStart w:id="268" w:name="_Toc361989463"/>
      <w:bookmarkEnd w:id="268"/>
      <w:bookmarkStart w:id="269" w:name="_Toc25298"/>
      <w:bookmarkStart w:id="270" w:name="_Toc10655"/>
      <w:bookmarkStart w:id="271" w:name="_Toc17010"/>
      <w:r>
        <w:rPr>
          <w:rFonts w:ascii="宋体" w:hAnsi="宋体" w:cs="宋体"/>
          <w:szCs w:val="24"/>
          <w:highlight w:val="none"/>
        </w:rPr>
        <w:br w:type="page"/>
      </w:r>
    </w:p>
    <w:p w14:paraId="12FF5EE3">
      <w:pPr>
        <w:pStyle w:val="3"/>
        <w:jc w:val="center"/>
        <w:rPr>
          <w:highlight w:val="none"/>
        </w:rPr>
      </w:pPr>
      <w:bookmarkStart w:id="272" w:name="_Toc21996"/>
      <w:r>
        <w:rPr>
          <w:rFonts w:hint="eastAsia"/>
          <w:highlight w:val="none"/>
          <w:lang w:val="en-US" w:eastAsia="zh-CN"/>
        </w:rPr>
        <w:t>六</w:t>
      </w:r>
      <w:r>
        <w:rPr>
          <w:rFonts w:hint="eastAsia"/>
          <w:highlight w:val="none"/>
        </w:rPr>
        <w:t>、技术标部分</w:t>
      </w:r>
      <w:bookmarkEnd w:id="269"/>
      <w:bookmarkEnd w:id="270"/>
      <w:bookmarkEnd w:id="271"/>
      <w:bookmarkEnd w:id="272"/>
    </w:p>
    <w:p w14:paraId="69E7F863">
      <w:pPr>
        <w:spacing w:line="500" w:lineRule="exact"/>
        <w:jc w:val="center"/>
        <w:rPr>
          <w:rFonts w:hint="eastAsia" w:ascii="宋体" w:hAnsi="宋体" w:cs="宋体"/>
          <w:sz w:val="22"/>
          <w:highlight w:val="none"/>
        </w:rPr>
      </w:pPr>
      <w:r>
        <w:rPr>
          <w:rFonts w:hint="eastAsia" w:ascii="宋体" w:hAnsi="宋体" w:cs="宋体"/>
          <w:sz w:val="22"/>
          <w:highlight w:val="none"/>
        </w:rPr>
        <w:t>（格式自拟）</w:t>
      </w:r>
    </w:p>
    <w:p w14:paraId="0330EA93">
      <w:pPr>
        <w:rPr>
          <w:highlight w:val="none"/>
        </w:rPr>
      </w:pPr>
      <w:bookmarkStart w:id="273" w:name="_Toc12073"/>
      <w:bookmarkEnd w:id="273"/>
      <w:r>
        <w:rPr>
          <w:rFonts w:hint="eastAsia"/>
          <w:highlight w:val="none"/>
        </w:rPr>
        <w:br w:type="page"/>
      </w:r>
      <w:bookmarkStart w:id="274" w:name="_Toc2770"/>
      <w:bookmarkEnd w:id="274"/>
      <w:bookmarkStart w:id="275" w:name="_Toc20210"/>
      <w:bookmarkStart w:id="276" w:name="_Toc4724"/>
    </w:p>
    <w:p w14:paraId="06A3BF81">
      <w:pPr>
        <w:pStyle w:val="3"/>
        <w:jc w:val="center"/>
        <w:rPr>
          <w:highlight w:val="none"/>
        </w:rPr>
      </w:pPr>
      <w:bookmarkStart w:id="277" w:name="_Toc26781"/>
      <w:r>
        <w:rPr>
          <w:rFonts w:hint="eastAsia"/>
          <w:highlight w:val="none"/>
          <w:lang w:val="en-US" w:eastAsia="zh-CN"/>
        </w:rPr>
        <w:t>七</w:t>
      </w:r>
      <w:r>
        <w:rPr>
          <w:rFonts w:hint="eastAsia"/>
          <w:highlight w:val="none"/>
        </w:rPr>
        <w:t>、供应商资格证明</w:t>
      </w:r>
      <w:bookmarkEnd w:id="275"/>
      <w:bookmarkEnd w:id="276"/>
      <w:r>
        <w:rPr>
          <w:rFonts w:hint="eastAsia"/>
          <w:highlight w:val="none"/>
        </w:rPr>
        <w:t>材料</w:t>
      </w:r>
      <w:bookmarkEnd w:id="277"/>
    </w:p>
    <w:p w14:paraId="52F670E3">
      <w:pPr>
        <w:jc w:val="center"/>
        <w:rPr>
          <w:rFonts w:hint="eastAsia" w:ascii="宋体" w:hAnsi="宋体" w:cs="宋体"/>
          <w:sz w:val="24"/>
          <w:highlight w:val="none"/>
        </w:rPr>
      </w:pPr>
      <w:bookmarkStart w:id="278" w:name="_Toc361989464"/>
      <w:bookmarkEnd w:id="278"/>
      <w:r>
        <w:rPr>
          <w:rFonts w:hint="eastAsia" w:ascii="宋体" w:hAnsi="宋体" w:cs="宋体"/>
          <w:sz w:val="24"/>
          <w:highlight w:val="none"/>
        </w:rPr>
        <w:br w:type="page"/>
      </w:r>
      <w:bookmarkStart w:id="279" w:name="_Toc244934216"/>
      <w:bookmarkEnd w:id="279"/>
      <w:bookmarkStart w:id="280" w:name="_Toc234213567"/>
      <w:bookmarkEnd w:id="280"/>
      <w:bookmarkStart w:id="281" w:name="_Toc361989466"/>
      <w:bookmarkEnd w:id="281"/>
      <w:bookmarkStart w:id="282" w:name="_Toc528078075"/>
      <w:bookmarkEnd w:id="282"/>
      <w:bookmarkStart w:id="283" w:name="_Toc361989467"/>
      <w:bookmarkEnd w:id="283"/>
      <w:bookmarkStart w:id="284" w:name="_Toc7868"/>
    </w:p>
    <w:p w14:paraId="535587B3">
      <w:pPr>
        <w:pStyle w:val="3"/>
        <w:jc w:val="center"/>
        <w:rPr>
          <w:highlight w:val="none"/>
        </w:rPr>
      </w:pPr>
      <w:bookmarkStart w:id="285" w:name="_Toc21708"/>
      <w:r>
        <w:rPr>
          <w:rFonts w:hint="eastAsia"/>
          <w:highlight w:val="none"/>
          <w:lang w:val="en-US" w:eastAsia="zh-CN"/>
        </w:rPr>
        <w:t>八</w:t>
      </w:r>
      <w:r>
        <w:rPr>
          <w:rFonts w:hint="eastAsia"/>
          <w:highlight w:val="none"/>
        </w:rPr>
        <w:t>、</w:t>
      </w:r>
      <w:bookmarkEnd w:id="284"/>
      <w:r>
        <w:rPr>
          <w:rFonts w:hint="eastAsia"/>
          <w:highlight w:val="none"/>
        </w:rPr>
        <w:t>商务标部分</w:t>
      </w:r>
      <w:bookmarkEnd w:id="285"/>
    </w:p>
    <w:p w14:paraId="1343C761">
      <w:pPr>
        <w:jc w:val="center"/>
        <w:outlineLvl w:val="2"/>
        <w:rPr>
          <w:rFonts w:hint="eastAsia" w:ascii="宋体" w:hAnsi="宋体" w:cs="宋体"/>
          <w:b/>
          <w:bCs/>
          <w:sz w:val="24"/>
          <w:highlight w:val="none"/>
        </w:rPr>
      </w:pPr>
      <w:bookmarkStart w:id="286" w:name="_Toc21162"/>
      <w:r>
        <w:rPr>
          <w:rFonts w:hint="eastAsia" w:ascii="宋体" w:hAnsi="宋体" w:cs="宋体"/>
          <w:b/>
          <w:bCs/>
          <w:sz w:val="24"/>
          <w:highlight w:val="none"/>
        </w:rPr>
        <w:t>（格式自拟）</w:t>
      </w:r>
      <w:bookmarkEnd w:id="286"/>
    </w:p>
    <w:p w14:paraId="2A44968D">
      <w:pPr>
        <w:jc w:val="center"/>
        <w:rPr>
          <w:rFonts w:hint="eastAsia" w:ascii="宋体" w:hAnsi="宋体" w:cs="宋体"/>
          <w:b/>
          <w:bCs/>
          <w:sz w:val="24"/>
          <w:highlight w:val="none"/>
        </w:rPr>
      </w:pPr>
      <w:r>
        <w:rPr>
          <w:rFonts w:hint="eastAsia" w:ascii="宋体" w:hAnsi="宋体" w:cs="宋体"/>
          <w:b/>
          <w:bCs/>
          <w:sz w:val="24"/>
          <w:highlight w:val="none"/>
        </w:rPr>
        <w:br w:type="page"/>
      </w:r>
    </w:p>
    <w:p w14:paraId="24506F8C">
      <w:pPr>
        <w:ind w:firstLine="420"/>
        <w:jc w:val="center"/>
        <w:rPr>
          <w:rFonts w:hint="eastAsia" w:ascii="宋体" w:hAnsi="宋体" w:cs="宋体"/>
          <w:b/>
          <w:bCs/>
          <w:sz w:val="24"/>
          <w:highlight w:val="none"/>
        </w:rPr>
      </w:pPr>
    </w:p>
    <w:p w14:paraId="3CD41CE9">
      <w:pPr>
        <w:pStyle w:val="3"/>
        <w:jc w:val="center"/>
        <w:rPr>
          <w:highlight w:val="none"/>
        </w:rPr>
      </w:pPr>
      <w:bookmarkStart w:id="287" w:name="_Toc528078076"/>
      <w:bookmarkEnd w:id="287"/>
      <w:bookmarkStart w:id="288" w:name="_Toc361989468"/>
      <w:bookmarkEnd w:id="288"/>
      <w:bookmarkStart w:id="289" w:name="_Toc244934217"/>
      <w:bookmarkEnd w:id="289"/>
      <w:bookmarkStart w:id="290" w:name="_Toc23775"/>
      <w:bookmarkStart w:id="291" w:name="_Toc17473"/>
      <w:r>
        <w:rPr>
          <w:rFonts w:hint="eastAsia"/>
          <w:highlight w:val="none"/>
          <w:lang w:val="en-US" w:eastAsia="zh-CN"/>
        </w:rPr>
        <w:t>九</w:t>
      </w:r>
      <w:r>
        <w:rPr>
          <w:rFonts w:hint="eastAsia"/>
          <w:highlight w:val="none"/>
        </w:rPr>
        <w:t>、其他资料</w:t>
      </w:r>
      <w:bookmarkEnd w:id="290"/>
      <w:bookmarkEnd w:id="291"/>
    </w:p>
    <w:p w14:paraId="3065E253">
      <w:pPr>
        <w:jc w:val="center"/>
        <w:rPr>
          <w:rFonts w:hint="eastAsia" w:ascii="宋体" w:hAnsi="宋体" w:cs="宋体"/>
          <w:b/>
          <w:bCs/>
          <w:sz w:val="24"/>
          <w:highlight w:val="none"/>
        </w:rPr>
      </w:pPr>
    </w:p>
    <w:p w14:paraId="4FA84F29">
      <w:pPr>
        <w:jc w:val="center"/>
        <w:outlineLvl w:val="0"/>
        <w:rPr>
          <w:rFonts w:hint="eastAsia" w:ascii="宋体" w:hAnsi="宋体" w:cs="宋体"/>
          <w:b/>
          <w:bCs/>
          <w:sz w:val="24"/>
          <w:highlight w:val="none"/>
        </w:rPr>
      </w:pPr>
      <w:bookmarkStart w:id="292" w:name="_Toc21993"/>
      <w:bookmarkStart w:id="293" w:name="_Toc5157"/>
      <w:bookmarkStart w:id="294" w:name="_Toc30780"/>
      <w:bookmarkStart w:id="295" w:name="_Toc22165"/>
      <w:bookmarkStart w:id="296" w:name="_Toc9253"/>
      <w:bookmarkStart w:id="297" w:name="_Toc24855"/>
      <w:r>
        <w:rPr>
          <w:rFonts w:hint="eastAsia" w:ascii="宋体" w:hAnsi="宋体" w:cs="宋体"/>
          <w:b/>
          <w:bCs/>
          <w:sz w:val="24"/>
          <w:highlight w:val="none"/>
        </w:rPr>
        <w:t>（供应商认为应该提交的资料）</w:t>
      </w:r>
      <w:bookmarkEnd w:id="292"/>
      <w:bookmarkEnd w:id="293"/>
      <w:bookmarkEnd w:id="294"/>
      <w:bookmarkEnd w:id="295"/>
      <w:bookmarkEnd w:id="296"/>
      <w:bookmarkEnd w:id="297"/>
    </w:p>
    <w:p w14:paraId="06F1BCE7">
      <w:pPr>
        <w:jc w:val="center"/>
        <w:rPr>
          <w:rFonts w:hint="eastAsia" w:ascii="宋体" w:hAnsi="宋体" w:cs="宋体"/>
          <w:b/>
          <w:bCs/>
          <w:sz w:val="24"/>
          <w:highlight w:val="none"/>
        </w:rPr>
      </w:pPr>
    </w:p>
    <w:p w14:paraId="02E897B4">
      <w:pPr>
        <w:rPr>
          <w:rFonts w:hint="eastAsia" w:ascii="宋体" w:hAnsi="宋体" w:cs="宋体"/>
          <w:b/>
          <w:bCs/>
          <w:sz w:val="24"/>
          <w:highlight w:val="none"/>
        </w:rPr>
      </w:pPr>
      <w:r>
        <w:rPr>
          <w:rFonts w:hint="eastAsia" w:ascii="宋体" w:hAnsi="宋体" w:cs="宋体"/>
          <w:b/>
          <w:bCs/>
          <w:sz w:val="24"/>
          <w:highlight w:val="none"/>
        </w:rPr>
        <w:t xml:space="preserve"> </w:t>
      </w:r>
    </w:p>
    <w:p w14:paraId="30108731">
      <w:pPr>
        <w:rPr>
          <w:rFonts w:hint="eastAsia" w:ascii="宋体" w:hAnsi="宋体" w:cs="宋体"/>
          <w:b/>
          <w:bCs/>
          <w:sz w:val="24"/>
          <w:highlight w:val="none"/>
        </w:rPr>
      </w:pPr>
      <w:r>
        <w:rPr>
          <w:rFonts w:hint="eastAsia" w:ascii="宋体" w:hAnsi="宋体" w:cs="宋体"/>
          <w:b/>
          <w:bCs/>
          <w:sz w:val="24"/>
          <w:highlight w:val="none"/>
        </w:rPr>
        <w:t xml:space="preserve"> </w:t>
      </w:r>
    </w:p>
    <w:p w14:paraId="051F427E">
      <w:pPr>
        <w:rPr>
          <w:rFonts w:hint="eastAsia" w:ascii="宋体" w:hAnsi="宋体" w:cs="宋体"/>
          <w:b/>
          <w:bCs/>
          <w:sz w:val="24"/>
          <w:highlight w:val="none"/>
        </w:rPr>
      </w:pPr>
      <w:r>
        <w:rPr>
          <w:rFonts w:hint="eastAsia" w:ascii="宋体" w:hAnsi="宋体" w:cs="宋体"/>
          <w:b/>
          <w:bCs/>
          <w:sz w:val="24"/>
          <w:highlight w:val="none"/>
        </w:rPr>
        <w:t xml:space="preserve"> </w:t>
      </w:r>
    </w:p>
    <w:p w14:paraId="1B467E2B">
      <w:pPr>
        <w:rPr>
          <w:rFonts w:hint="eastAsia" w:ascii="宋体" w:hAnsi="宋体" w:cs="宋体"/>
          <w:b/>
          <w:bCs/>
          <w:sz w:val="24"/>
          <w:highlight w:val="none"/>
        </w:rPr>
      </w:pPr>
      <w:r>
        <w:rPr>
          <w:rFonts w:hint="eastAsia" w:ascii="宋体" w:hAnsi="宋体" w:cs="宋体"/>
          <w:b/>
          <w:bCs/>
          <w:sz w:val="24"/>
          <w:highlight w:val="none"/>
        </w:rPr>
        <w:t xml:space="preserve"> </w:t>
      </w:r>
    </w:p>
    <w:p w14:paraId="7A62F968">
      <w:pPr>
        <w:rPr>
          <w:rFonts w:hint="eastAsia" w:ascii="宋体" w:hAnsi="宋体" w:cs="宋体"/>
          <w:b/>
          <w:bCs/>
          <w:sz w:val="24"/>
          <w:highlight w:val="none"/>
        </w:rPr>
      </w:pPr>
      <w:r>
        <w:rPr>
          <w:rFonts w:hint="eastAsia" w:ascii="宋体" w:hAnsi="宋体" w:cs="宋体"/>
          <w:b/>
          <w:bCs/>
          <w:sz w:val="24"/>
          <w:highlight w:val="none"/>
        </w:rPr>
        <w:t xml:space="preserve"> </w:t>
      </w:r>
    </w:p>
    <w:p w14:paraId="4206F70E">
      <w:pPr>
        <w:rPr>
          <w:rFonts w:hint="eastAsia" w:ascii="宋体" w:hAnsi="宋体" w:cs="宋体"/>
          <w:b/>
          <w:bCs/>
          <w:sz w:val="24"/>
          <w:highlight w:val="none"/>
        </w:rPr>
      </w:pPr>
      <w:r>
        <w:rPr>
          <w:rFonts w:hint="eastAsia" w:ascii="宋体" w:hAnsi="宋体" w:cs="宋体"/>
          <w:b/>
          <w:bCs/>
          <w:sz w:val="24"/>
          <w:highlight w:val="none"/>
        </w:rPr>
        <w:t xml:space="preserve"> </w:t>
      </w:r>
    </w:p>
    <w:p w14:paraId="204099B2">
      <w:pPr>
        <w:rPr>
          <w:rFonts w:hint="eastAsia" w:ascii="宋体" w:hAnsi="宋体" w:cs="宋体"/>
          <w:b/>
          <w:bCs/>
          <w:sz w:val="24"/>
          <w:highlight w:val="none"/>
        </w:rPr>
      </w:pPr>
      <w:r>
        <w:rPr>
          <w:rFonts w:hint="eastAsia" w:ascii="宋体" w:hAnsi="宋体" w:cs="宋体"/>
          <w:b/>
          <w:bCs/>
          <w:sz w:val="24"/>
          <w:highlight w:val="none"/>
        </w:rPr>
        <w:t xml:space="preserve"> </w:t>
      </w:r>
    </w:p>
    <w:p w14:paraId="695511AF">
      <w:pPr>
        <w:rPr>
          <w:rFonts w:hint="eastAsia" w:ascii="宋体" w:hAnsi="宋体" w:cs="宋体"/>
          <w:b/>
          <w:bCs/>
          <w:sz w:val="24"/>
          <w:highlight w:val="none"/>
        </w:rPr>
      </w:pPr>
      <w:r>
        <w:rPr>
          <w:rFonts w:hint="eastAsia" w:ascii="宋体" w:hAnsi="宋体" w:cs="宋体"/>
          <w:b/>
          <w:bCs/>
          <w:sz w:val="24"/>
          <w:highlight w:val="none"/>
        </w:rPr>
        <w:t xml:space="preserve"> </w:t>
      </w:r>
    </w:p>
    <w:p w14:paraId="7F946679">
      <w:pPr>
        <w:rPr>
          <w:rFonts w:hint="eastAsia" w:ascii="宋体" w:hAnsi="宋体" w:cs="宋体"/>
          <w:b/>
          <w:bCs/>
          <w:sz w:val="24"/>
          <w:highlight w:val="none"/>
        </w:rPr>
      </w:pPr>
      <w:r>
        <w:rPr>
          <w:rFonts w:hint="eastAsia" w:ascii="宋体" w:hAnsi="宋体" w:cs="宋体"/>
          <w:b/>
          <w:bCs/>
          <w:sz w:val="24"/>
          <w:highlight w:val="none"/>
        </w:rPr>
        <w:t xml:space="preserve"> </w:t>
      </w:r>
    </w:p>
    <w:p w14:paraId="7B2C327B">
      <w:pPr>
        <w:rPr>
          <w:rFonts w:hint="eastAsia" w:ascii="宋体" w:hAnsi="宋体" w:cs="宋体"/>
          <w:sz w:val="24"/>
          <w:highlight w:val="none"/>
        </w:rPr>
      </w:pPr>
      <w:r>
        <w:rPr>
          <w:rFonts w:hint="eastAsia" w:ascii="宋体" w:hAnsi="宋体" w:cs="宋体"/>
          <w:sz w:val="24"/>
          <w:highlight w:val="none"/>
        </w:rPr>
        <w:t xml:space="preserve"> </w:t>
      </w:r>
    </w:p>
    <w:p w14:paraId="699982B4">
      <w:pPr>
        <w:rPr>
          <w:rFonts w:hint="eastAsia" w:ascii="宋体" w:hAnsi="宋体" w:cs="宋体"/>
          <w:sz w:val="24"/>
          <w:highlight w:val="none"/>
        </w:rPr>
      </w:pPr>
      <w:r>
        <w:rPr>
          <w:rFonts w:hint="eastAsia" w:ascii="宋体" w:hAnsi="宋体" w:cs="宋体"/>
          <w:sz w:val="24"/>
          <w:highlight w:val="none"/>
        </w:rPr>
        <w:t xml:space="preserve"> </w:t>
      </w:r>
    </w:p>
    <w:p w14:paraId="4138347E">
      <w:pPr>
        <w:rPr>
          <w:rFonts w:hint="eastAsia" w:ascii="宋体" w:hAnsi="宋体" w:cs="宋体"/>
          <w:sz w:val="24"/>
          <w:highlight w:val="none"/>
        </w:rPr>
      </w:pPr>
    </w:p>
    <w:p w14:paraId="24429E57">
      <w:pPr>
        <w:rPr>
          <w:rFonts w:hint="eastAsia" w:ascii="宋体" w:hAnsi="宋体" w:cs="宋体"/>
          <w:sz w:val="24"/>
          <w:highlight w:val="none"/>
        </w:rPr>
      </w:pPr>
    </w:p>
    <w:p w14:paraId="2AC13DE8">
      <w:pPr>
        <w:rPr>
          <w:rFonts w:hint="eastAsia" w:ascii="宋体" w:hAnsi="宋体" w:cs="宋体"/>
          <w:sz w:val="24"/>
          <w:highlight w:val="none"/>
        </w:rPr>
      </w:pPr>
    </w:p>
    <w:p w14:paraId="5270C000">
      <w:pPr>
        <w:rPr>
          <w:rFonts w:hint="eastAsia" w:ascii="宋体" w:hAnsi="宋体" w:eastAsia="宋体" w:cs="宋体"/>
          <w:sz w:val="24"/>
          <w:szCs w:val="24"/>
          <w:highlight w:val="none"/>
        </w:rPr>
      </w:pPr>
    </w:p>
    <w:p w14:paraId="4A82AE38">
      <w:pPr>
        <w:widowControl/>
        <w:jc w:val="left"/>
        <w:rPr>
          <w:highlight w:val="none"/>
        </w:rPr>
      </w:pPr>
      <w:r>
        <w:rPr>
          <w:highlight w:val="none"/>
        </w:rPr>
        <w:br w:type="page"/>
      </w:r>
    </w:p>
    <w:p w14:paraId="12627B9B">
      <w:pPr>
        <w:wordWrap w:val="0"/>
        <w:topLinePunct/>
        <w:outlineLvl w:val="0"/>
        <w:rPr>
          <w:rFonts w:hint="eastAsia" w:ascii="宋体" w:hAnsi="宋体" w:eastAsia="宋体" w:cs="宋体"/>
          <w:sz w:val="24"/>
          <w:szCs w:val="24"/>
          <w:highlight w:val="none"/>
        </w:rPr>
      </w:pPr>
      <w:bookmarkStart w:id="298" w:name="_Toc16496"/>
      <w:bookmarkStart w:id="299" w:name="_Toc224"/>
      <w:bookmarkStart w:id="300" w:name="_Toc5971"/>
      <w:bookmarkStart w:id="301" w:name="_Toc12352"/>
      <w:bookmarkStart w:id="302" w:name="_Toc17134"/>
      <w:bookmarkStart w:id="303" w:name="_Toc30800"/>
      <w:r>
        <w:rPr>
          <w:rFonts w:hint="eastAsia" w:ascii="宋体" w:hAnsi="宋体" w:eastAsia="宋体" w:cs="宋体"/>
          <w:sz w:val="24"/>
          <w:szCs w:val="24"/>
          <w:highlight w:val="none"/>
        </w:rPr>
        <w:t>附件1</w:t>
      </w:r>
      <w:bookmarkEnd w:id="298"/>
      <w:bookmarkEnd w:id="299"/>
      <w:bookmarkEnd w:id="300"/>
      <w:bookmarkEnd w:id="301"/>
      <w:bookmarkEnd w:id="302"/>
      <w:bookmarkEnd w:id="303"/>
    </w:p>
    <w:p w14:paraId="47A2B6DB">
      <w:pPr>
        <w:widowControl/>
        <w:adjustRightInd w:val="0"/>
        <w:snapToGrid w:val="0"/>
        <w:spacing w:before="120" w:beforeLines="50" w:line="360" w:lineRule="auto"/>
        <w:jc w:val="center"/>
        <w:rPr>
          <w:rFonts w:hint="eastAsia" w:ascii="宋体" w:hAnsi="宋体" w:eastAsia="宋体" w:cs="宋体"/>
          <w:b/>
          <w:bCs/>
          <w:spacing w:val="6"/>
          <w:kern w:val="0"/>
          <w:sz w:val="32"/>
          <w:szCs w:val="32"/>
        </w:rPr>
      </w:pPr>
      <w:r>
        <w:rPr>
          <w:rFonts w:hint="eastAsia" w:ascii="宋体" w:hAnsi="宋体" w:eastAsia="宋体" w:cs="宋体"/>
          <w:b/>
          <w:bCs/>
          <w:spacing w:val="6"/>
          <w:kern w:val="0"/>
          <w:sz w:val="32"/>
          <w:szCs w:val="32"/>
        </w:rPr>
        <w:t>中小企业声明函（服务）</w:t>
      </w:r>
    </w:p>
    <w:p w14:paraId="639D5FD7">
      <w:pPr>
        <w:pStyle w:val="31"/>
        <w:rPr>
          <w:rFonts w:hint="eastAsia" w:ascii="宋体" w:hAnsi="宋体" w:eastAsia="宋体" w:cs="宋体"/>
        </w:rPr>
      </w:pPr>
    </w:p>
    <w:p w14:paraId="2EDFE94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本公司（联合体）郑重声明，根据《政府采购促进中小企业发展管理办法》（财库﹝2020﹞46 号）的规定，本公司（联合体）参加</w:t>
      </w:r>
      <w:r>
        <w:rPr>
          <w:rFonts w:hint="eastAsia" w:ascii="宋体" w:hAnsi="宋体" w:eastAsia="宋体" w:cs="宋体"/>
          <w:sz w:val="24"/>
          <w:szCs w:val="24"/>
          <w:u w:val="single"/>
        </w:rPr>
        <w:t>（单位名称）</w:t>
      </w:r>
      <w:r>
        <w:rPr>
          <w:rFonts w:hint="eastAsia" w:ascii="宋体" w:hAnsi="宋体" w:eastAsia="宋体" w:cs="宋体"/>
          <w:sz w:val="24"/>
          <w:szCs w:val="24"/>
        </w:rPr>
        <w:t>的</w:t>
      </w:r>
      <w:r>
        <w:rPr>
          <w:rFonts w:hint="eastAsia" w:ascii="宋体" w:hAnsi="宋体" w:eastAsia="宋体" w:cs="宋体"/>
          <w:sz w:val="24"/>
          <w:szCs w:val="24"/>
          <w:u w:val="single"/>
        </w:rPr>
        <w:t>（项目名称）</w:t>
      </w:r>
      <w:r>
        <w:rPr>
          <w:rFonts w:hint="eastAsia" w:ascii="宋体" w:hAnsi="宋体" w:eastAsia="宋体" w:cs="宋体"/>
          <w:sz w:val="24"/>
          <w:szCs w:val="24"/>
        </w:rPr>
        <w:t>采购活动，服务全部由符合政策要求的中小企业承接。相关企业（含联合体中的中小企业、签订分包意向协议的中小企业）的具体情况如下：</w:t>
      </w:r>
    </w:p>
    <w:p w14:paraId="21A9E8B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ab/>
      </w:r>
      <w:r>
        <w:rPr>
          <w:rFonts w:hint="eastAsia" w:ascii="宋体" w:hAnsi="宋体" w:eastAsia="宋体" w:cs="宋体"/>
          <w:sz w:val="24"/>
          <w:szCs w:val="24"/>
        </w:rPr>
        <w:t>人，营业收入为</w:t>
      </w:r>
      <w:r>
        <w:rPr>
          <w:rFonts w:hint="eastAsia" w:ascii="宋体" w:hAnsi="宋体" w:eastAsia="宋体" w:cs="宋体"/>
          <w:sz w:val="24"/>
          <w:szCs w:val="24"/>
          <w:u w:val="single"/>
        </w:rPr>
        <w:tab/>
      </w:r>
      <w:r>
        <w:rPr>
          <w:rFonts w:hint="eastAsia" w:ascii="宋体" w:hAnsi="宋体" w:eastAsia="宋体" w:cs="宋体"/>
          <w:sz w:val="24"/>
          <w:szCs w:val="24"/>
        </w:rPr>
        <w:t>万元，资产总额为</w:t>
      </w:r>
      <w:r>
        <w:rPr>
          <w:rFonts w:hint="eastAsia" w:ascii="宋体" w:hAnsi="宋体" w:eastAsia="宋体" w:cs="宋体"/>
          <w:sz w:val="24"/>
          <w:szCs w:val="24"/>
          <w:u w:val="single"/>
        </w:rPr>
        <w:tab/>
      </w:r>
      <w:r>
        <w:rPr>
          <w:rFonts w:hint="eastAsia" w:ascii="宋体" w:hAnsi="宋体" w:eastAsia="宋体" w:cs="宋体"/>
          <w:sz w:val="24"/>
          <w:szCs w:val="24"/>
        </w:rPr>
        <w:t>万元</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"_bookmark0" </w:instrText>
      </w:r>
      <w:r>
        <w:rPr>
          <w:rFonts w:hint="eastAsia" w:ascii="宋体" w:hAnsi="宋体" w:eastAsia="宋体" w:cs="宋体"/>
          <w:sz w:val="24"/>
          <w:szCs w:val="24"/>
        </w:rPr>
        <w:fldChar w:fldCharType="separate"/>
      </w:r>
      <w:r>
        <w:rPr>
          <w:rFonts w:hint="eastAsia" w:ascii="宋体" w:hAnsi="宋体" w:eastAsia="宋体" w:cs="宋体"/>
          <w:spacing w:val="-12"/>
          <w:position w:val="16"/>
          <w:sz w:val="24"/>
          <w:szCs w:val="24"/>
        </w:rPr>
        <w:t>1</w:t>
      </w:r>
      <w:r>
        <w:rPr>
          <w:rFonts w:hint="eastAsia" w:ascii="宋体" w:hAnsi="宋体" w:eastAsia="宋体" w:cs="宋体"/>
          <w:spacing w:val="-12"/>
          <w:position w:val="16"/>
          <w:sz w:val="24"/>
          <w:szCs w:val="24"/>
        </w:rPr>
        <w:fldChar w:fldCharType="end"/>
      </w:r>
      <w:r>
        <w:rPr>
          <w:rFonts w:hint="eastAsia" w:ascii="宋体" w:hAnsi="宋体" w:eastAsia="宋体" w:cs="宋体"/>
          <w:sz w:val="24"/>
          <w:szCs w:val="24"/>
        </w:rPr>
        <w:t>，属于</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rPr>
        <w:t>；</w:t>
      </w:r>
    </w:p>
    <w:p w14:paraId="3A45719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ab/>
      </w:r>
      <w:r>
        <w:rPr>
          <w:rFonts w:hint="eastAsia" w:ascii="宋体" w:hAnsi="宋体" w:eastAsia="宋体" w:cs="宋体"/>
          <w:sz w:val="24"/>
          <w:szCs w:val="24"/>
        </w:rPr>
        <w:t>人，营业收入为</w:t>
      </w:r>
      <w:r>
        <w:rPr>
          <w:rFonts w:hint="eastAsia" w:ascii="宋体" w:hAnsi="宋体" w:eastAsia="宋体" w:cs="宋体"/>
          <w:sz w:val="24"/>
          <w:szCs w:val="24"/>
          <w:u w:val="single"/>
        </w:rPr>
        <w:tab/>
      </w:r>
      <w:r>
        <w:rPr>
          <w:rFonts w:hint="eastAsia" w:ascii="宋体" w:hAnsi="宋体" w:eastAsia="宋体" w:cs="宋体"/>
          <w:sz w:val="24"/>
          <w:szCs w:val="24"/>
        </w:rPr>
        <w:t>万元，资产总额为</w:t>
      </w:r>
      <w:r>
        <w:rPr>
          <w:rFonts w:hint="eastAsia" w:ascii="宋体" w:hAnsi="宋体" w:eastAsia="宋体" w:cs="宋体"/>
          <w:sz w:val="24"/>
          <w:szCs w:val="24"/>
          <w:u w:val="single"/>
        </w:rPr>
        <w:tab/>
      </w:r>
      <w:r>
        <w:rPr>
          <w:rFonts w:hint="eastAsia" w:ascii="宋体" w:hAnsi="宋体" w:eastAsia="宋体" w:cs="宋体"/>
          <w:sz w:val="24"/>
          <w:szCs w:val="24"/>
        </w:rPr>
        <w:t>万元</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"_bookmark0" </w:instrText>
      </w:r>
      <w:r>
        <w:rPr>
          <w:rFonts w:hint="eastAsia" w:ascii="宋体" w:hAnsi="宋体" w:eastAsia="宋体" w:cs="宋体"/>
          <w:sz w:val="24"/>
          <w:szCs w:val="24"/>
        </w:rPr>
        <w:fldChar w:fldCharType="separate"/>
      </w:r>
      <w:r>
        <w:rPr>
          <w:rFonts w:hint="eastAsia" w:ascii="宋体" w:hAnsi="宋体" w:eastAsia="宋体" w:cs="宋体"/>
          <w:spacing w:val="-12"/>
          <w:position w:val="16"/>
          <w:sz w:val="24"/>
          <w:szCs w:val="24"/>
        </w:rPr>
        <w:t>1</w:t>
      </w:r>
      <w:r>
        <w:rPr>
          <w:rFonts w:hint="eastAsia" w:ascii="宋体" w:hAnsi="宋体" w:eastAsia="宋体" w:cs="宋体"/>
          <w:spacing w:val="-12"/>
          <w:position w:val="16"/>
          <w:sz w:val="24"/>
          <w:szCs w:val="24"/>
        </w:rPr>
        <w:fldChar w:fldCharType="end"/>
      </w:r>
      <w:r>
        <w:rPr>
          <w:rFonts w:hint="eastAsia" w:ascii="宋体" w:hAnsi="宋体" w:eastAsia="宋体" w:cs="宋体"/>
          <w:sz w:val="24"/>
          <w:szCs w:val="24"/>
        </w:rPr>
        <w:t>，属于</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rPr>
        <w:t>；</w:t>
      </w:r>
    </w:p>
    <w:p w14:paraId="7006565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w:t>
      </w:r>
    </w:p>
    <w:p w14:paraId="5E8DAE5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1616704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474865AA">
      <w:pPr>
        <w:pStyle w:val="12"/>
        <w:ind w:left="0" w:leftChars="0" w:firstLine="0" w:firstLineChars="0"/>
        <w:rPr>
          <w:rFonts w:hint="eastAsia" w:ascii="宋体" w:hAnsi="宋体" w:eastAsia="宋体" w:cs="宋体"/>
          <w:sz w:val="24"/>
          <w:szCs w:val="24"/>
        </w:rPr>
      </w:pPr>
    </w:p>
    <w:p w14:paraId="3712B874">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 xml:space="preserve">      企业名称（</w:t>
      </w:r>
      <w:r>
        <w:rPr>
          <w:rFonts w:hint="eastAsia" w:ascii="宋体" w:hAnsi="宋体" w:eastAsia="宋体" w:cs="宋体"/>
          <w:sz w:val="24"/>
          <w:szCs w:val="24"/>
          <w:lang w:val="en-US" w:eastAsia="zh-CN"/>
        </w:rPr>
        <w:t>电子签</w:t>
      </w:r>
      <w:r>
        <w:rPr>
          <w:rFonts w:hint="eastAsia" w:ascii="宋体" w:hAnsi="宋体" w:eastAsia="宋体" w:cs="宋体"/>
          <w:sz w:val="24"/>
          <w:szCs w:val="24"/>
        </w:rPr>
        <w:t>章）：</w:t>
      </w:r>
    </w:p>
    <w:p w14:paraId="63FA5105">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日     期：</w:t>
      </w:r>
    </w:p>
    <w:p w14:paraId="1983F302">
      <w:pPr>
        <w:adjustRightInd w:val="0"/>
        <w:snapToGrid w:val="0"/>
        <w:spacing w:line="360" w:lineRule="auto"/>
        <w:rPr>
          <w:rFonts w:hint="eastAsia" w:ascii="宋体" w:hAnsi="宋体" w:eastAsia="宋体" w:cs="宋体"/>
          <w:spacing w:val="6"/>
          <w:kern w:val="0"/>
          <w:sz w:val="24"/>
          <w:szCs w:val="24"/>
        </w:rPr>
      </w:pPr>
      <w:r>
        <w:rPr>
          <w:rFonts w:hint="eastAsia" w:ascii="宋体" w:hAnsi="宋体" w:eastAsia="宋体" w:cs="宋体"/>
          <w:spacing w:val="6"/>
          <w:kern w:val="0"/>
          <w:sz w:val="24"/>
          <w:szCs w:val="24"/>
        </w:rPr>
        <w:t>说明：</w:t>
      </w:r>
    </w:p>
    <w:p w14:paraId="20472366">
      <w:pPr>
        <w:adjustRightInd w:val="0"/>
        <w:snapToGrid w:val="0"/>
        <w:spacing w:line="360" w:lineRule="auto"/>
        <w:rPr>
          <w:rFonts w:hint="eastAsia" w:ascii="宋体" w:hAnsi="宋体" w:eastAsia="宋体" w:cs="宋体"/>
          <w:spacing w:val="6"/>
          <w:kern w:val="0"/>
          <w:sz w:val="24"/>
          <w:szCs w:val="24"/>
        </w:rPr>
      </w:pPr>
      <w:r>
        <w:rPr>
          <w:rFonts w:hint="eastAsia" w:ascii="宋体" w:hAnsi="宋体" w:eastAsia="宋体" w:cs="宋体"/>
          <w:spacing w:val="6"/>
          <w:kern w:val="0"/>
          <w:sz w:val="24"/>
          <w:szCs w:val="24"/>
        </w:rPr>
        <w:t>1、从业人员、营业收入、资产总额填报上一年度数据，无上一年度数据的新成立企业可不填报。</w:t>
      </w:r>
    </w:p>
    <w:p w14:paraId="26985423">
      <w:pPr>
        <w:pStyle w:val="12"/>
        <w:spacing w:line="360" w:lineRule="auto"/>
        <w:ind w:left="0" w:leftChars="0" w:firstLine="0" w:firstLineChars="0"/>
        <w:jc w:val="left"/>
        <w:rPr>
          <w:rFonts w:hint="eastAsia" w:ascii="宋体" w:hAnsi="宋体" w:eastAsia="宋体" w:cs="宋体"/>
          <w:spacing w:val="6"/>
          <w:kern w:val="0"/>
          <w:sz w:val="24"/>
          <w:szCs w:val="24"/>
        </w:rPr>
      </w:pPr>
      <w:r>
        <w:rPr>
          <w:rFonts w:hint="eastAsia" w:ascii="宋体" w:hAnsi="宋体" w:eastAsia="宋体" w:cs="宋体"/>
          <w:spacing w:val="6"/>
          <w:kern w:val="0"/>
          <w:sz w:val="24"/>
          <w:szCs w:val="24"/>
        </w:rPr>
        <w:t>2、填写前请认真阅读《关于印发中小企业划型标准规定的通知》（工信部联企业[2011]300号）和《关于印发＜政府采购促进中小企业发展管理办法＞的通知》(财库﹝2020﹞46号)相关规定。</w:t>
      </w:r>
    </w:p>
    <w:p w14:paraId="4C0998C7">
      <w:pPr>
        <w:wordWrap w:val="0"/>
        <w:topLinePunct/>
        <w:adjustRightInd w:val="0"/>
        <w:snapToGrid w:val="0"/>
        <w:spacing w:line="360" w:lineRule="auto"/>
        <w:rPr>
          <w:rFonts w:hint="eastAsia" w:ascii="宋体" w:hAnsi="宋体" w:eastAsia="宋体" w:cs="宋体"/>
          <w:spacing w:val="6"/>
          <w:sz w:val="24"/>
          <w:szCs w:val="24"/>
          <w:highlight w:val="none"/>
        </w:rPr>
      </w:pPr>
      <w:r>
        <w:rPr>
          <w:rFonts w:hint="eastAsia" w:ascii="宋体" w:hAnsi="宋体" w:eastAsia="宋体" w:cs="宋体"/>
          <w:spacing w:val="6"/>
          <w:kern w:val="0"/>
          <w:sz w:val="24"/>
          <w:szCs w:val="24"/>
        </w:rPr>
        <w:t>3、未按上述要求提供、填写的，评审时不予以考虑。</w:t>
      </w:r>
    </w:p>
    <w:p w14:paraId="28998099">
      <w:pPr>
        <w:widowControl/>
        <w:jc w:val="left"/>
        <w:rPr>
          <w:rFonts w:hint="eastAsia" w:ascii="宋体" w:hAnsi="宋体" w:eastAsia="宋体" w:cs="宋体"/>
          <w:sz w:val="24"/>
          <w:szCs w:val="24"/>
          <w:highlight w:val="none"/>
        </w:rPr>
      </w:pPr>
      <w:r>
        <w:rPr>
          <w:rFonts w:ascii="宋体" w:hAnsi="宋体" w:eastAsia="宋体" w:cs="宋体"/>
          <w:sz w:val="24"/>
          <w:szCs w:val="24"/>
          <w:highlight w:val="none"/>
        </w:rPr>
        <w:br w:type="page"/>
      </w:r>
    </w:p>
    <w:p w14:paraId="23E72E79">
      <w:pPr>
        <w:wordWrap w:val="0"/>
        <w:topLinePunct/>
        <w:spacing w:after="120" w:line="360" w:lineRule="auto"/>
        <w:outlineLvl w:val="0"/>
        <w:rPr>
          <w:rFonts w:hint="eastAsia" w:ascii="宋体" w:hAnsi="宋体" w:eastAsia="宋体" w:cs="宋体"/>
          <w:sz w:val="24"/>
          <w:szCs w:val="24"/>
          <w:highlight w:val="none"/>
        </w:rPr>
      </w:pPr>
      <w:bookmarkStart w:id="304" w:name="_Toc11019"/>
      <w:bookmarkStart w:id="305" w:name="_Toc6392"/>
      <w:bookmarkStart w:id="306" w:name="_Toc2102"/>
      <w:bookmarkStart w:id="307" w:name="_Toc24444"/>
      <w:bookmarkStart w:id="308" w:name="_Toc4122"/>
      <w:bookmarkStart w:id="309" w:name="_Toc28455"/>
      <w:r>
        <w:rPr>
          <w:rFonts w:hint="eastAsia" w:ascii="宋体" w:hAnsi="宋体" w:eastAsia="宋体" w:cs="宋体"/>
          <w:sz w:val="24"/>
          <w:szCs w:val="24"/>
          <w:highlight w:val="none"/>
        </w:rPr>
        <w:t>附件2</w:t>
      </w:r>
      <w:bookmarkEnd w:id="304"/>
      <w:bookmarkEnd w:id="305"/>
      <w:bookmarkEnd w:id="306"/>
      <w:bookmarkEnd w:id="307"/>
      <w:bookmarkEnd w:id="308"/>
      <w:bookmarkEnd w:id="309"/>
    </w:p>
    <w:p w14:paraId="76EE96F8">
      <w:pPr>
        <w:wordWrap w:val="0"/>
        <w:topLinePunct/>
        <w:adjustRightInd w:val="0"/>
        <w:snapToGrid w:val="0"/>
        <w:ind w:firstLine="480" w:firstLineChars="200"/>
        <w:rPr>
          <w:rFonts w:hint="eastAsia" w:ascii="宋体" w:hAnsi="宋体" w:eastAsia="宋体" w:cs="宋体"/>
          <w:sz w:val="24"/>
          <w:szCs w:val="24"/>
          <w:highlight w:val="none"/>
        </w:rPr>
      </w:pPr>
    </w:p>
    <w:p w14:paraId="3A229F15">
      <w:pPr>
        <w:wordWrap w:val="0"/>
        <w:topLinePunct/>
        <w:adjustRightInd w:val="0"/>
        <w:snapToGrid w:val="0"/>
        <w:ind w:firstLine="360" w:firstLineChars="150"/>
        <w:rPr>
          <w:rFonts w:hint="eastAsia" w:ascii="宋体" w:hAnsi="宋体" w:eastAsia="宋体" w:cs="宋体"/>
          <w:sz w:val="24"/>
          <w:szCs w:val="24"/>
          <w:highlight w:val="none"/>
        </w:rPr>
      </w:pPr>
    </w:p>
    <w:p w14:paraId="5D3DAD30">
      <w:pPr>
        <w:keepNext/>
        <w:keepLines/>
        <w:tabs>
          <w:tab w:val="left" w:pos="840"/>
        </w:tabs>
        <w:wordWrap w:val="0"/>
        <w:topLinePunct/>
        <w:spacing w:line="412" w:lineRule="auto"/>
        <w:jc w:val="center"/>
        <w:outlineLvl w:val="0"/>
        <w:rPr>
          <w:rFonts w:hint="eastAsia" w:ascii="宋体" w:hAnsi="宋体" w:eastAsia="宋体" w:cs="宋体"/>
          <w:b/>
          <w:bCs/>
          <w:sz w:val="24"/>
          <w:szCs w:val="24"/>
          <w:highlight w:val="none"/>
          <w:lang w:val="zh-CN"/>
        </w:rPr>
      </w:pPr>
      <w:bookmarkStart w:id="310" w:name="_Toc24165"/>
      <w:bookmarkStart w:id="311" w:name="_Toc30785"/>
      <w:bookmarkStart w:id="312" w:name="_Toc14760"/>
      <w:bookmarkStart w:id="313" w:name="_Toc4731"/>
      <w:bookmarkStart w:id="314" w:name="_Toc13308"/>
      <w:bookmarkStart w:id="315" w:name="_Toc20491"/>
      <w:r>
        <w:rPr>
          <w:rFonts w:hint="eastAsia" w:ascii="宋体" w:hAnsi="宋体" w:eastAsia="宋体" w:cs="宋体"/>
          <w:b/>
          <w:bCs/>
          <w:sz w:val="24"/>
          <w:szCs w:val="24"/>
          <w:highlight w:val="none"/>
          <w:lang w:val="zh-CN"/>
        </w:rPr>
        <w:t>监狱企业证明文件</w:t>
      </w:r>
      <w:bookmarkEnd w:id="310"/>
      <w:bookmarkEnd w:id="311"/>
      <w:bookmarkEnd w:id="312"/>
      <w:bookmarkEnd w:id="313"/>
      <w:bookmarkEnd w:id="314"/>
      <w:bookmarkEnd w:id="315"/>
    </w:p>
    <w:p w14:paraId="2229EBFF">
      <w:pPr>
        <w:wordWrap w:val="0"/>
        <w:topLinePunct/>
        <w:jc w:val="center"/>
        <w:rPr>
          <w:rFonts w:hint="eastAsia" w:ascii="宋体" w:hAnsi="宋体" w:eastAsia="宋体" w:cs="宋体"/>
          <w:b/>
          <w:bCs/>
          <w:sz w:val="24"/>
          <w:szCs w:val="24"/>
          <w:highlight w:val="none"/>
        </w:rPr>
      </w:pPr>
    </w:p>
    <w:p w14:paraId="3D4F5C25">
      <w:pPr>
        <w:wordWrap w:val="0"/>
        <w:topLinePunct/>
        <w:spacing w:line="500" w:lineRule="exact"/>
        <w:rPr>
          <w:rFonts w:hint="eastAsia" w:ascii="宋体" w:hAnsi="宋体" w:eastAsia="宋体" w:cs="宋体"/>
          <w:spacing w:val="6"/>
          <w:sz w:val="24"/>
          <w:szCs w:val="24"/>
          <w:highlight w:val="none"/>
        </w:rPr>
      </w:pPr>
    </w:p>
    <w:p w14:paraId="288ECE5C">
      <w:pPr>
        <w:wordWrap w:val="0"/>
        <w:topLinePunct/>
        <w:spacing w:line="500" w:lineRule="exact"/>
        <w:ind w:firstLine="420"/>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（监狱企业参加政府采购活动时，应当提供由省级以上监狱管理局、戒毒管理局(含新疆生产建设兵团)出具的属于监狱企业的证明文件。</w:t>
      </w:r>
    </w:p>
    <w:p w14:paraId="098F6DE0">
      <w:pPr>
        <w:wordWrap w:val="0"/>
        <w:topLinePunct/>
        <w:spacing w:line="500" w:lineRule="exact"/>
        <w:ind w:firstLine="504" w:firstLineChars="200"/>
        <w:rPr>
          <w:rFonts w:hint="eastAsia" w:ascii="宋体" w:hAnsi="宋体" w:eastAsia="宋体" w:cs="宋体"/>
          <w:spacing w:val="6"/>
          <w:sz w:val="24"/>
          <w:szCs w:val="24"/>
          <w:highlight w:val="none"/>
        </w:rPr>
      </w:pPr>
    </w:p>
    <w:p w14:paraId="5E76E4AB">
      <w:pPr>
        <w:wordWrap w:val="0"/>
        <w:topLinePunct/>
        <w:spacing w:line="500" w:lineRule="exact"/>
        <w:ind w:firstLine="504" w:firstLineChars="200"/>
        <w:rPr>
          <w:rFonts w:hint="eastAsia" w:ascii="宋体" w:hAnsi="宋体" w:eastAsia="宋体" w:cs="宋体"/>
          <w:spacing w:val="6"/>
          <w:sz w:val="24"/>
          <w:szCs w:val="24"/>
          <w:highlight w:val="none"/>
        </w:rPr>
      </w:pPr>
    </w:p>
    <w:p w14:paraId="122F5A1A">
      <w:pPr>
        <w:wordWrap w:val="0"/>
        <w:topLinePunct/>
        <w:spacing w:line="500" w:lineRule="exact"/>
        <w:ind w:firstLine="504" w:firstLineChars="200"/>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注：在投标文件中附扫描件</w:t>
      </w:r>
    </w:p>
    <w:p w14:paraId="3DA05317">
      <w:pPr>
        <w:wordWrap w:val="0"/>
        <w:topLinePunct/>
        <w:spacing w:line="500" w:lineRule="exact"/>
        <w:rPr>
          <w:rFonts w:hint="eastAsia" w:ascii="宋体" w:hAnsi="宋体" w:eastAsia="宋体" w:cs="宋体"/>
          <w:sz w:val="24"/>
          <w:szCs w:val="24"/>
          <w:highlight w:val="none"/>
        </w:rPr>
      </w:pPr>
    </w:p>
    <w:p w14:paraId="4AA0634F">
      <w:pPr>
        <w:wordWrap w:val="0"/>
        <w:topLinePunct/>
        <w:spacing w:after="120"/>
        <w:ind w:left="1470" w:leftChars="700" w:right="1470" w:rightChars="700"/>
        <w:rPr>
          <w:rFonts w:hint="eastAsia" w:ascii="宋体" w:hAnsi="宋体" w:eastAsia="宋体" w:cs="宋体"/>
          <w:b/>
          <w:bCs/>
          <w:kern w:val="36"/>
          <w:sz w:val="24"/>
          <w:szCs w:val="24"/>
          <w:highlight w:val="none"/>
        </w:rPr>
      </w:pPr>
    </w:p>
    <w:p w14:paraId="060EB242">
      <w:pPr>
        <w:wordWrap w:val="0"/>
        <w:topLinePunct/>
        <w:spacing w:after="120"/>
        <w:ind w:left="1470" w:leftChars="700" w:right="1470" w:rightChars="700"/>
        <w:rPr>
          <w:rFonts w:hint="eastAsia" w:ascii="宋体" w:hAnsi="宋体" w:eastAsia="宋体" w:cs="宋体"/>
          <w:b/>
          <w:bCs/>
          <w:kern w:val="36"/>
          <w:sz w:val="24"/>
          <w:szCs w:val="24"/>
          <w:highlight w:val="none"/>
        </w:rPr>
      </w:pPr>
    </w:p>
    <w:p w14:paraId="7CD9384F">
      <w:pPr>
        <w:wordWrap w:val="0"/>
        <w:topLinePunct/>
        <w:spacing w:after="120"/>
        <w:ind w:left="1470" w:leftChars="700" w:right="1470" w:rightChars="700"/>
        <w:rPr>
          <w:rFonts w:hint="eastAsia" w:ascii="宋体" w:hAnsi="宋体" w:eastAsia="宋体" w:cs="宋体"/>
          <w:b/>
          <w:bCs/>
          <w:kern w:val="36"/>
          <w:sz w:val="24"/>
          <w:szCs w:val="24"/>
          <w:highlight w:val="none"/>
        </w:rPr>
      </w:pPr>
    </w:p>
    <w:p w14:paraId="34522097">
      <w:pPr>
        <w:wordWrap w:val="0"/>
        <w:topLinePunct/>
        <w:spacing w:after="120"/>
        <w:ind w:left="1470" w:leftChars="700" w:right="1470" w:rightChars="700"/>
        <w:rPr>
          <w:rFonts w:hint="eastAsia" w:ascii="宋体" w:hAnsi="宋体" w:eastAsia="宋体" w:cs="宋体"/>
          <w:b/>
          <w:bCs/>
          <w:kern w:val="36"/>
          <w:sz w:val="24"/>
          <w:szCs w:val="24"/>
          <w:highlight w:val="none"/>
        </w:rPr>
      </w:pPr>
    </w:p>
    <w:p w14:paraId="4DB91E4A">
      <w:pPr>
        <w:wordWrap w:val="0"/>
        <w:topLinePunct/>
        <w:spacing w:after="120"/>
        <w:ind w:left="1470" w:leftChars="700" w:right="1470" w:rightChars="700"/>
        <w:rPr>
          <w:rFonts w:hint="eastAsia" w:ascii="宋体" w:hAnsi="宋体" w:eastAsia="宋体" w:cs="宋体"/>
          <w:b/>
          <w:bCs/>
          <w:kern w:val="36"/>
          <w:sz w:val="24"/>
          <w:szCs w:val="24"/>
          <w:highlight w:val="none"/>
        </w:rPr>
      </w:pPr>
    </w:p>
    <w:p w14:paraId="51CBEA21">
      <w:pPr>
        <w:wordWrap w:val="0"/>
        <w:topLinePunct/>
        <w:spacing w:after="120"/>
        <w:ind w:left="1470" w:leftChars="700" w:right="1470" w:rightChars="700"/>
        <w:rPr>
          <w:rFonts w:hint="eastAsia" w:ascii="宋体" w:hAnsi="宋体" w:eastAsia="宋体" w:cs="宋体"/>
          <w:b/>
          <w:bCs/>
          <w:kern w:val="36"/>
          <w:sz w:val="24"/>
          <w:szCs w:val="24"/>
          <w:highlight w:val="none"/>
        </w:rPr>
      </w:pPr>
    </w:p>
    <w:p w14:paraId="16E1C763">
      <w:pPr>
        <w:wordWrap w:val="0"/>
        <w:topLinePunct/>
        <w:spacing w:after="120"/>
        <w:ind w:left="1470" w:leftChars="700" w:right="1470" w:rightChars="700"/>
        <w:rPr>
          <w:rFonts w:hint="eastAsia" w:ascii="宋体" w:hAnsi="宋体" w:eastAsia="宋体" w:cs="宋体"/>
          <w:b/>
          <w:bCs/>
          <w:kern w:val="36"/>
          <w:sz w:val="24"/>
          <w:szCs w:val="24"/>
          <w:highlight w:val="none"/>
        </w:rPr>
      </w:pPr>
    </w:p>
    <w:p w14:paraId="6EAADACF">
      <w:pPr>
        <w:wordWrap w:val="0"/>
        <w:topLinePunct/>
        <w:spacing w:after="120"/>
        <w:ind w:left="1470" w:leftChars="700" w:right="1470" w:rightChars="700"/>
        <w:rPr>
          <w:rFonts w:hint="eastAsia" w:ascii="宋体" w:hAnsi="宋体" w:eastAsia="宋体" w:cs="宋体"/>
          <w:b/>
          <w:bCs/>
          <w:kern w:val="36"/>
          <w:sz w:val="24"/>
          <w:szCs w:val="24"/>
          <w:highlight w:val="none"/>
        </w:rPr>
      </w:pPr>
    </w:p>
    <w:p w14:paraId="2B9919BB">
      <w:pPr>
        <w:wordWrap w:val="0"/>
        <w:topLinePunct/>
        <w:spacing w:after="120"/>
        <w:ind w:left="1470" w:leftChars="700" w:right="1470" w:rightChars="700"/>
        <w:rPr>
          <w:rFonts w:hint="eastAsia" w:ascii="宋体" w:hAnsi="宋体" w:eastAsia="宋体" w:cs="宋体"/>
          <w:b/>
          <w:bCs/>
          <w:kern w:val="36"/>
          <w:sz w:val="24"/>
          <w:szCs w:val="24"/>
          <w:highlight w:val="none"/>
        </w:rPr>
      </w:pPr>
    </w:p>
    <w:p w14:paraId="2B7CEF61">
      <w:pPr>
        <w:wordWrap w:val="0"/>
        <w:topLinePunct/>
        <w:spacing w:after="120"/>
        <w:ind w:left="1470" w:leftChars="700" w:right="1470" w:rightChars="700"/>
        <w:rPr>
          <w:rFonts w:hint="eastAsia" w:ascii="宋体" w:hAnsi="宋体" w:eastAsia="宋体" w:cs="宋体"/>
          <w:b/>
          <w:bCs/>
          <w:kern w:val="36"/>
          <w:sz w:val="24"/>
          <w:szCs w:val="24"/>
          <w:highlight w:val="none"/>
        </w:rPr>
      </w:pPr>
    </w:p>
    <w:p w14:paraId="72F82AE9">
      <w:pPr>
        <w:wordWrap w:val="0"/>
        <w:topLinePunct/>
        <w:spacing w:after="120"/>
        <w:ind w:left="1470" w:leftChars="700" w:right="1470" w:rightChars="700"/>
        <w:rPr>
          <w:rFonts w:hint="eastAsia" w:ascii="宋体" w:hAnsi="宋体" w:eastAsia="宋体" w:cs="宋体"/>
          <w:b/>
          <w:bCs/>
          <w:kern w:val="36"/>
          <w:sz w:val="24"/>
          <w:szCs w:val="24"/>
          <w:highlight w:val="none"/>
        </w:rPr>
      </w:pPr>
    </w:p>
    <w:p w14:paraId="35932235">
      <w:pPr>
        <w:wordWrap w:val="0"/>
        <w:topLinePunct/>
        <w:spacing w:after="120"/>
        <w:ind w:left="1470" w:leftChars="700" w:right="1470" w:rightChars="700"/>
        <w:rPr>
          <w:rFonts w:hint="eastAsia" w:ascii="宋体" w:hAnsi="宋体" w:eastAsia="宋体" w:cs="宋体"/>
          <w:b/>
          <w:bCs/>
          <w:kern w:val="36"/>
          <w:sz w:val="24"/>
          <w:szCs w:val="24"/>
          <w:highlight w:val="none"/>
        </w:rPr>
      </w:pPr>
    </w:p>
    <w:p w14:paraId="689424F1">
      <w:pPr>
        <w:pageBreakBefore/>
        <w:wordWrap w:val="0"/>
        <w:topLinePunct/>
        <w:ind w:firstLine="360" w:firstLineChars="150"/>
        <w:outlineLvl w:val="0"/>
        <w:rPr>
          <w:rFonts w:hint="eastAsia" w:ascii="宋体" w:hAnsi="宋体" w:eastAsia="宋体" w:cs="宋体"/>
          <w:sz w:val="24"/>
          <w:szCs w:val="24"/>
          <w:highlight w:val="none"/>
        </w:rPr>
      </w:pPr>
      <w:bookmarkStart w:id="316" w:name="_Toc6897"/>
      <w:bookmarkStart w:id="317" w:name="_Toc5906"/>
      <w:bookmarkStart w:id="318" w:name="_Toc8392"/>
      <w:bookmarkStart w:id="319" w:name="_Toc6264"/>
      <w:bookmarkStart w:id="320" w:name="_Toc14655"/>
      <w:bookmarkStart w:id="321" w:name="_Toc11345"/>
      <w:r>
        <w:rPr>
          <w:rFonts w:hint="eastAsia" w:ascii="宋体" w:hAnsi="宋体" w:eastAsia="宋体" w:cs="宋体"/>
          <w:sz w:val="24"/>
          <w:szCs w:val="24"/>
          <w:highlight w:val="none"/>
        </w:rPr>
        <w:t>附件3</w:t>
      </w:r>
      <w:bookmarkEnd w:id="316"/>
      <w:bookmarkEnd w:id="317"/>
      <w:bookmarkEnd w:id="318"/>
      <w:bookmarkEnd w:id="319"/>
      <w:bookmarkEnd w:id="320"/>
      <w:bookmarkEnd w:id="321"/>
    </w:p>
    <w:p w14:paraId="165A1BA7">
      <w:pPr>
        <w:wordWrap w:val="0"/>
        <w:spacing w:after="120" w:line="480" w:lineRule="exact"/>
        <w:jc w:val="center"/>
        <w:outlineLvl w:val="0"/>
        <w:rPr>
          <w:rFonts w:hint="eastAsia" w:ascii="宋体" w:hAnsi="宋体" w:eastAsia="宋体" w:cs="宋体"/>
          <w:b/>
          <w:bCs/>
          <w:kern w:val="36"/>
          <w:sz w:val="24"/>
          <w:szCs w:val="24"/>
          <w:highlight w:val="none"/>
        </w:rPr>
      </w:pPr>
      <w:bookmarkStart w:id="322" w:name="_Toc23906"/>
      <w:bookmarkStart w:id="323" w:name="_Toc20868"/>
      <w:bookmarkStart w:id="324" w:name="_Toc30651"/>
      <w:bookmarkStart w:id="325" w:name="_Toc27930"/>
      <w:bookmarkStart w:id="326" w:name="_Toc32130"/>
      <w:bookmarkStart w:id="327" w:name="_Toc23815"/>
      <w:r>
        <w:rPr>
          <w:rFonts w:hint="eastAsia" w:ascii="宋体" w:hAnsi="宋体" w:eastAsia="宋体" w:cs="宋体"/>
          <w:b/>
          <w:bCs/>
          <w:kern w:val="36"/>
          <w:sz w:val="24"/>
          <w:szCs w:val="24"/>
          <w:highlight w:val="none"/>
        </w:rPr>
        <w:t>残疾人福利性单位声明函（如有）</w:t>
      </w:r>
      <w:bookmarkEnd w:id="322"/>
      <w:bookmarkEnd w:id="323"/>
      <w:bookmarkEnd w:id="324"/>
      <w:bookmarkEnd w:id="325"/>
      <w:bookmarkEnd w:id="326"/>
      <w:bookmarkEnd w:id="327"/>
    </w:p>
    <w:p w14:paraId="19E390F0">
      <w:pPr>
        <w:wordWrap w:val="0"/>
        <w:spacing w:after="120" w:line="480" w:lineRule="exact"/>
        <w:ind w:firstLine="480" w:firstLineChars="200"/>
        <w:rPr>
          <w:rFonts w:hint="eastAsia" w:ascii="宋体" w:hAnsi="宋体" w:eastAsia="宋体" w:cs="宋体"/>
          <w:kern w:val="36"/>
          <w:sz w:val="24"/>
          <w:szCs w:val="24"/>
          <w:highlight w:val="none"/>
        </w:rPr>
      </w:pPr>
    </w:p>
    <w:p w14:paraId="4A3C14AA">
      <w:pPr>
        <w:wordWrap w:val="0"/>
        <w:spacing w:after="120" w:line="480" w:lineRule="exact"/>
        <w:ind w:firstLine="480" w:firstLineChars="200"/>
        <w:rPr>
          <w:rFonts w:hint="eastAsia" w:ascii="宋体" w:hAnsi="宋体" w:eastAsia="宋体" w:cs="宋体"/>
          <w:kern w:val="36"/>
          <w:sz w:val="24"/>
          <w:szCs w:val="24"/>
          <w:highlight w:val="none"/>
        </w:rPr>
      </w:pPr>
      <w:r>
        <w:rPr>
          <w:rFonts w:hint="eastAsia" w:ascii="宋体" w:hAnsi="宋体" w:eastAsia="宋体" w:cs="宋体"/>
          <w:kern w:val="36"/>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kern w:val="36"/>
          <w:sz w:val="24"/>
          <w:szCs w:val="24"/>
          <w:highlight w:val="none"/>
          <w:u w:val="single"/>
        </w:rPr>
        <w:t xml:space="preserve">       </w:t>
      </w:r>
      <w:r>
        <w:rPr>
          <w:rFonts w:hint="eastAsia" w:ascii="宋体" w:hAnsi="宋体" w:eastAsia="宋体" w:cs="宋体"/>
          <w:kern w:val="36"/>
          <w:sz w:val="24"/>
          <w:szCs w:val="24"/>
          <w:highlight w:val="none"/>
        </w:rPr>
        <w:t xml:space="preserve">单位的 </w:t>
      </w:r>
      <w:r>
        <w:rPr>
          <w:rFonts w:hint="eastAsia" w:ascii="宋体" w:hAnsi="宋体" w:eastAsia="宋体" w:cs="宋体"/>
          <w:kern w:val="36"/>
          <w:sz w:val="24"/>
          <w:szCs w:val="24"/>
          <w:highlight w:val="none"/>
          <w:u w:val="single"/>
        </w:rPr>
        <w:t xml:space="preserve">     </w:t>
      </w:r>
      <w:r>
        <w:rPr>
          <w:rFonts w:hint="eastAsia" w:ascii="宋体" w:hAnsi="宋体" w:eastAsia="宋体" w:cs="宋体"/>
          <w:kern w:val="36"/>
          <w:sz w:val="24"/>
          <w:szCs w:val="24"/>
          <w:highlight w:val="none"/>
        </w:rPr>
        <w:t>项目采购活动提供本单位制造的货物（由本单位承担工程/提供服务），或者提供其他残疾人福利性单位制造的货物（不包括使用非残疾人福利性单位注册商标的货物）。</w:t>
      </w:r>
    </w:p>
    <w:p w14:paraId="7DF1908D">
      <w:pPr>
        <w:wordWrap w:val="0"/>
        <w:spacing w:after="120" w:line="480" w:lineRule="exact"/>
        <w:ind w:firstLine="480" w:firstLineChars="200"/>
        <w:rPr>
          <w:rFonts w:hint="eastAsia" w:ascii="宋体" w:hAnsi="宋体" w:eastAsia="宋体" w:cs="宋体"/>
          <w:kern w:val="36"/>
          <w:sz w:val="24"/>
          <w:szCs w:val="24"/>
          <w:highlight w:val="none"/>
        </w:rPr>
      </w:pPr>
      <w:r>
        <w:rPr>
          <w:rFonts w:hint="eastAsia" w:ascii="宋体" w:hAnsi="宋体" w:eastAsia="宋体" w:cs="宋体"/>
          <w:kern w:val="36"/>
          <w:sz w:val="24"/>
          <w:szCs w:val="24"/>
          <w:highlight w:val="none"/>
        </w:rPr>
        <w:t>本单位对上述声明的真实性负责。如有虚假，将依法承担相应责任。</w:t>
      </w:r>
    </w:p>
    <w:p w14:paraId="37436669">
      <w:pPr>
        <w:wordWrap w:val="0"/>
        <w:spacing w:line="480" w:lineRule="exact"/>
        <w:ind w:firstLine="480" w:firstLineChars="200"/>
        <w:jc w:val="right"/>
        <w:rPr>
          <w:rFonts w:hint="eastAsia" w:ascii="宋体" w:hAnsi="宋体" w:eastAsia="宋体" w:cs="宋体"/>
          <w:sz w:val="24"/>
          <w:szCs w:val="24"/>
          <w:highlight w:val="none"/>
        </w:rPr>
      </w:pPr>
    </w:p>
    <w:p w14:paraId="2FBCA748">
      <w:pPr>
        <w:wordWrap w:val="0"/>
        <w:topLinePunct/>
        <w:spacing w:line="360" w:lineRule="auto"/>
        <w:rPr>
          <w:rFonts w:hint="eastAsia" w:ascii="宋体" w:hAnsi="宋体" w:eastAsia="宋体" w:cs="宋体"/>
          <w:kern w:val="0"/>
          <w:sz w:val="24"/>
          <w:szCs w:val="24"/>
          <w:highlight w:val="none"/>
        </w:rPr>
      </w:pPr>
    </w:p>
    <w:p w14:paraId="736A4687">
      <w:pPr>
        <w:wordWrap w:val="0"/>
        <w:topLinePunct/>
        <w:spacing w:line="360" w:lineRule="auto"/>
        <w:ind w:firstLine="480" w:firstLineChars="200"/>
        <w:rPr>
          <w:rFonts w:hint="eastAsia" w:ascii="宋体" w:hAnsi="宋体" w:eastAsia="宋体" w:cs="宋体"/>
          <w:sz w:val="24"/>
          <w:szCs w:val="24"/>
          <w:highlight w:val="none"/>
        </w:rPr>
      </w:pPr>
    </w:p>
    <w:p w14:paraId="4F208CEC">
      <w:pPr>
        <w:wordWrap w:val="0"/>
        <w:topLinePunct/>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响应人（企业电子签章或盖章）：</w:t>
      </w:r>
    </w:p>
    <w:p w14:paraId="2ECB1885">
      <w:pPr>
        <w:wordWrap w:val="0"/>
        <w:topLinePunct/>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法定代表人（个人电子签章或盖章或签字）： </w:t>
      </w:r>
    </w:p>
    <w:p w14:paraId="4078778A">
      <w:pPr>
        <w:wordWrap w:val="0"/>
        <w:topLinePunct/>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 </w:t>
      </w:r>
    </w:p>
    <w:p w14:paraId="688EBF13">
      <w:pPr>
        <w:rPr>
          <w:rFonts w:ascii="Calibri" w:hAnsi="Calibri" w:eastAsia="宋体" w:cs="Times New Roman"/>
          <w:sz w:val="22"/>
          <w:highlight w:val="none"/>
        </w:rPr>
      </w:pPr>
    </w:p>
    <w:p w14:paraId="474522DB">
      <w:pPr>
        <w:wordWrap w:val="0"/>
        <w:jc w:val="center"/>
        <w:rPr>
          <w:rFonts w:hint="eastAsia" w:ascii="宋体" w:hAnsi="宋体" w:eastAsia="宋体" w:cs="宋体"/>
          <w:b/>
          <w:bCs/>
          <w:sz w:val="24"/>
          <w:szCs w:val="24"/>
          <w:highlight w:val="none"/>
        </w:rPr>
      </w:pPr>
    </w:p>
    <w:p w14:paraId="4256F510">
      <w:pPr>
        <w:wordWrap w:val="0"/>
        <w:jc w:val="center"/>
        <w:rPr>
          <w:rFonts w:hint="eastAsia" w:ascii="宋体" w:hAnsi="宋体" w:eastAsia="宋体" w:cs="宋体"/>
          <w:b/>
          <w:bCs/>
          <w:sz w:val="24"/>
          <w:szCs w:val="24"/>
          <w:highlight w:val="none"/>
        </w:rPr>
      </w:pPr>
    </w:p>
    <w:p w14:paraId="1D0447EC">
      <w:pPr>
        <w:wordWrap w:val="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p>
    <w:p w14:paraId="4847EBCC">
      <w:pPr>
        <w:wordWrap w:val="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p>
    <w:p w14:paraId="0A2DBA65">
      <w:pPr>
        <w:wordWrap w:val="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p>
    <w:p w14:paraId="17545A88">
      <w:pPr>
        <w:wordWrap w:val="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p>
    <w:p w14:paraId="1A21E2D5">
      <w:pPr>
        <w:topLinePunct/>
        <w:jc w:val="center"/>
        <w:rPr>
          <w:rFonts w:hint="eastAsia" w:ascii="宋体" w:hAnsi="宋体" w:eastAsia="宋体" w:cs="宋体"/>
          <w:b/>
          <w:bCs/>
          <w:sz w:val="24"/>
          <w:szCs w:val="24"/>
          <w:highlight w:val="none"/>
        </w:rPr>
      </w:pPr>
    </w:p>
    <w:p w14:paraId="2107CD89">
      <w:pPr>
        <w:topLinePunct/>
        <w:jc w:val="center"/>
        <w:rPr>
          <w:rFonts w:hint="eastAsia" w:ascii="宋体" w:hAnsi="宋体" w:eastAsia="宋体" w:cs="宋体"/>
          <w:b/>
          <w:bCs/>
          <w:sz w:val="24"/>
          <w:szCs w:val="24"/>
          <w:highlight w:val="none"/>
        </w:rPr>
      </w:pPr>
    </w:p>
    <w:p w14:paraId="4364D789">
      <w:pPr>
        <w:rPr>
          <w:highlight w:val="none"/>
        </w:rPr>
      </w:pPr>
    </w:p>
    <w:p w14:paraId="799B2F53"/>
    <w:p w14:paraId="312C1131"/>
    <w:sectPr>
      <w:pgSz w:w="11906" w:h="16838"/>
      <w:pgMar w:top="1440" w:right="1083" w:bottom="1440" w:left="1083" w:header="851" w:footer="850" w:gutter="0"/>
      <w:pgNumType w:fmt="decimal"/>
      <w:cols w:space="0" w:num="1"/>
      <w:titlePg/>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swiss"/>
    <w:pitch w:val="default"/>
    <w:sig w:usb0="E4002EFF" w:usb1="C000E47F"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Calibri Light">
    <w:altName w:val="Segoe Print"/>
    <w:panose1 w:val="020F0302020204030204"/>
    <w:charset w:val="00"/>
    <w:family w:val="auto"/>
    <w:pitch w:val="default"/>
    <w:sig w:usb0="00000000" w:usb1="00000000" w:usb2="00000009" w:usb3="00000000" w:csb0="200001FF" w:csb1="00000000"/>
  </w:font>
  <w:font w:name="Segoe Print">
    <w:panose1 w:val="02000600000000000000"/>
    <w:charset w:val="00"/>
    <w:family w:val="auto"/>
    <w:pitch w:val="default"/>
    <w:sig w:usb0="0000028F" w:usb1="00000000" w:usb2="00000000" w:usb3="00000000" w:csb0="2000009F" w:csb1="47010000"/>
  </w:font>
  <w:font w:name="monospace">
    <w:altName w:val="Segoe Print"/>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KSOF1D5EAB94">
    <w:panose1 w:val="020B0802040204020203"/>
    <w:charset w:val="00"/>
    <w:family w:val="auto"/>
    <w:pitch w:val="default"/>
    <w:sig w:usb0="00000001" w:usb1="00000000" w:usb2="00000000" w:usb3="00000000" w:csb0="00000001" w:csb1="00000000"/>
  </w:font>
  <w:font w:name="KSOF29153A75">
    <w:panose1 w:val="020B0502040204020203"/>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BA3B7">
    <w:pPr>
      <w:rPr>
        <w:b/>
        <w:bCs/>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2F109C">
    <w:pPr>
      <w:framePr w:wrap="around" w:vAnchor="text" w:hAnchor="margin" w:xAlign="right" w:y="1"/>
    </w:pPr>
    <w:r>
      <w:fldChar w:fldCharType="begin"/>
    </w:r>
    <w:r>
      <w:instrText xml:space="preserve">PAGE  </w:instrText>
    </w:r>
    <w:r>
      <w:fldChar w:fldCharType="end"/>
    </w:r>
  </w:p>
  <w:p w14:paraId="459D0EC8">
    <w:pPr>
      <w:ind w:right="360"/>
    </w:pPr>
  </w:p>
  <w:p w14:paraId="354CEDE4"/>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45C9F3">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4E92A">
    <w:pPr>
      <w:rPr>
        <w:b/>
        <w:bCs/>
        <w:sz w:val="24"/>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AD9A8A">
                          <w:pPr>
                            <w:pStyle w:val="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BAD9A8A">
                    <w:pPr>
                      <w:pStyle w:val="8"/>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217777">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CF71DD">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6CF71DD">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A1142B">
    <w:pPr>
      <w:pBdr>
        <w:bottom w:val="none" w:color="auto" w:sz="0" w:space="1"/>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1B861A">
    <w:pP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C2B9C5"/>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10D7A3">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923B52"/>
    <w:multiLevelType w:val="singleLevel"/>
    <w:tmpl w:val="DC923B52"/>
    <w:lvl w:ilvl="0" w:tentative="0">
      <w:start w:val="1"/>
      <w:numFmt w:val="decimal"/>
      <w:suff w:val="nothing"/>
      <w:lvlText w:val="%1．"/>
      <w:lvlJc w:val="left"/>
    </w:lvl>
  </w:abstractNum>
  <w:abstractNum w:abstractNumId="1">
    <w:nsid w:val="F64C0704"/>
    <w:multiLevelType w:val="singleLevel"/>
    <w:tmpl w:val="F64C0704"/>
    <w:lvl w:ilvl="0" w:tentative="0">
      <w:start w:val="2"/>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6F2EB7"/>
    <w:rsid w:val="00384B9C"/>
    <w:rsid w:val="00500138"/>
    <w:rsid w:val="00F44F67"/>
    <w:rsid w:val="019E475E"/>
    <w:rsid w:val="01AA7234"/>
    <w:rsid w:val="03E046C9"/>
    <w:rsid w:val="04310280"/>
    <w:rsid w:val="044D134F"/>
    <w:rsid w:val="083640B7"/>
    <w:rsid w:val="0A923146"/>
    <w:rsid w:val="0A952CBC"/>
    <w:rsid w:val="0BDE3B9B"/>
    <w:rsid w:val="0D7B5D47"/>
    <w:rsid w:val="0D7E557A"/>
    <w:rsid w:val="0E812106"/>
    <w:rsid w:val="0F607235"/>
    <w:rsid w:val="10D53098"/>
    <w:rsid w:val="15282FD9"/>
    <w:rsid w:val="15496C3F"/>
    <w:rsid w:val="158C78E8"/>
    <w:rsid w:val="15EC6E4E"/>
    <w:rsid w:val="168406E3"/>
    <w:rsid w:val="16890BC5"/>
    <w:rsid w:val="16C15493"/>
    <w:rsid w:val="1B585068"/>
    <w:rsid w:val="1C26041A"/>
    <w:rsid w:val="1DBE44DB"/>
    <w:rsid w:val="1DC51D0D"/>
    <w:rsid w:val="1EBA2EF4"/>
    <w:rsid w:val="1FE43FA1"/>
    <w:rsid w:val="201F4E95"/>
    <w:rsid w:val="2149055F"/>
    <w:rsid w:val="22222E58"/>
    <w:rsid w:val="23040BE2"/>
    <w:rsid w:val="2497539D"/>
    <w:rsid w:val="26396DF4"/>
    <w:rsid w:val="268C1915"/>
    <w:rsid w:val="275814FC"/>
    <w:rsid w:val="294E56D7"/>
    <w:rsid w:val="2AC4768F"/>
    <w:rsid w:val="2AFA64BA"/>
    <w:rsid w:val="2B0049F0"/>
    <w:rsid w:val="2B2A31B0"/>
    <w:rsid w:val="2B4A75CB"/>
    <w:rsid w:val="2B595A4B"/>
    <w:rsid w:val="2C8349CD"/>
    <w:rsid w:val="2D9F12F6"/>
    <w:rsid w:val="2DD9358B"/>
    <w:rsid w:val="2EF220FC"/>
    <w:rsid w:val="303520A3"/>
    <w:rsid w:val="30F15E83"/>
    <w:rsid w:val="30FB5378"/>
    <w:rsid w:val="30FC4126"/>
    <w:rsid w:val="311B0BF9"/>
    <w:rsid w:val="33E31A75"/>
    <w:rsid w:val="3421711A"/>
    <w:rsid w:val="3469667D"/>
    <w:rsid w:val="36BB3CAB"/>
    <w:rsid w:val="36FC079B"/>
    <w:rsid w:val="372413FB"/>
    <w:rsid w:val="38641968"/>
    <w:rsid w:val="388A1731"/>
    <w:rsid w:val="38E74885"/>
    <w:rsid w:val="3A0948D8"/>
    <w:rsid w:val="3A445910"/>
    <w:rsid w:val="3A646C75"/>
    <w:rsid w:val="3ADC1928"/>
    <w:rsid w:val="3B2B76C8"/>
    <w:rsid w:val="3C796CB5"/>
    <w:rsid w:val="403B0635"/>
    <w:rsid w:val="415B1EBD"/>
    <w:rsid w:val="44BE4A5F"/>
    <w:rsid w:val="45577E2F"/>
    <w:rsid w:val="464B7318"/>
    <w:rsid w:val="47D90414"/>
    <w:rsid w:val="49AC3989"/>
    <w:rsid w:val="4A96050B"/>
    <w:rsid w:val="4AF0688F"/>
    <w:rsid w:val="4D5626CF"/>
    <w:rsid w:val="4FBA1BB2"/>
    <w:rsid w:val="4FBD3D43"/>
    <w:rsid w:val="4FC472AF"/>
    <w:rsid w:val="503339EF"/>
    <w:rsid w:val="506F2EB7"/>
    <w:rsid w:val="50CB2008"/>
    <w:rsid w:val="52B7716F"/>
    <w:rsid w:val="53E2021C"/>
    <w:rsid w:val="56BE3853"/>
    <w:rsid w:val="57E57977"/>
    <w:rsid w:val="590F3E15"/>
    <w:rsid w:val="5BE04E4D"/>
    <w:rsid w:val="5C0357AD"/>
    <w:rsid w:val="5C1967A5"/>
    <w:rsid w:val="5C604747"/>
    <w:rsid w:val="5C6511D0"/>
    <w:rsid w:val="5EDC1FD4"/>
    <w:rsid w:val="5F9451DF"/>
    <w:rsid w:val="60167EB0"/>
    <w:rsid w:val="603363D4"/>
    <w:rsid w:val="603D3FA5"/>
    <w:rsid w:val="632F6937"/>
    <w:rsid w:val="63370F5F"/>
    <w:rsid w:val="6369635E"/>
    <w:rsid w:val="63E91153"/>
    <w:rsid w:val="6402186A"/>
    <w:rsid w:val="658856B0"/>
    <w:rsid w:val="65F53DDF"/>
    <w:rsid w:val="668E70D2"/>
    <w:rsid w:val="66ED4C9C"/>
    <w:rsid w:val="67F95792"/>
    <w:rsid w:val="685F7DA1"/>
    <w:rsid w:val="68F14D31"/>
    <w:rsid w:val="6AD265BB"/>
    <w:rsid w:val="6B6F1F3D"/>
    <w:rsid w:val="6C622C73"/>
    <w:rsid w:val="6E1F2086"/>
    <w:rsid w:val="6E607A38"/>
    <w:rsid w:val="6ECB7DD2"/>
    <w:rsid w:val="70207CAA"/>
    <w:rsid w:val="736C4FAB"/>
    <w:rsid w:val="75792573"/>
    <w:rsid w:val="76C43A85"/>
    <w:rsid w:val="77E700E1"/>
    <w:rsid w:val="7865472F"/>
    <w:rsid w:val="795C0EEC"/>
    <w:rsid w:val="7A59102C"/>
    <w:rsid w:val="7AA07E4F"/>
    <w:rsid w:val="7B884C54"/>
    <w:rsid w:val="7BE0189D"/>
    <w:rsid w:val="7E7F64E4"/>
    <w:rsid w:val="7F045616"/>
    <w:rsid w:val="7F570C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iPriority="39"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1"/>
    <w:pPr>
      <w:ind w:left="3553"/>
      <w:outlineLvl w:val="1"/>
    </w:pPr>
    <w:rPr>
      <w:rFonts w:ascii="黑体" w:hAnsi="黑体" w:eastAsia="黑体" w:cs="黑体"/>
      <w:sz w:val="28"/>
      <w:szCs w:val="28"/>
    </w:rPr>
  </w:style>
  <w:style w:type="paragraph" w:styleId="3">
    <w:name w:val="heading 3"/>
    <w:basedOn w:val="1"/>
    <w:next w:val="1"/>
    <w:unhideWhenUsed/>
    <w:qFormat/>
    <w:uiPriority w:val="9"/>
    <w:pPr>
      <w:keepNext/>
      <w:keepLines/>
      <w:spacing w:line="360" w:lineRule="auto"/>
      <w:outlineLvl w:val="2"/>
    </w:pPr>
    <w:rPr>
      <w:b/>
      <w:bCs/>
      <w:sz w:val="28"/>
      <w:szCs w:val="32"/>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0"/>
    <w:pPr>
      <w:adjustRightInd w:val="0"/>
      <w:jc w:val="left"/>
      <w:textAlignment w:val="baseline"/>
    </w:pPr>
    <w:rPr>
      <w:rFonts w:ascii="楷体_GB2312" w:eastAsia="楷体_GB2312"/>
      <w:kern w:val="0"/>
      <w:sz w:val="28"/>
      <w:szCs w:val="20"/>
    </w:rPr>
  </w:style>
  <w:style w:type="paragraph" w:styleId="5">
    <w:name w:val="Body Text Indent"/>
    <w:basedOn w:val="1"/>
    <w:qFormat/>
    <w:uiPriority w:val="0"/>
    <w:pPr>
      <w:spacing w:after="120" w:line="276" w:lineRule="auto"/>
      <w:ind w:left="420" w:leftChars="200"/>
    </w:pPr>
    <w:rPr>
      <w:rFonts w:ascii="宋体" w:hAnsi="Calibri" w:eastAsia="仿宋" w:cs="Times New Roman"/>
      <w:sz w:val="24"/>
      <w:szCs w:val="21"/>
    </w:rPr>
  </w:style>
  <w:style w:type="paragraph" w:styleId="6">
    <w:name w:val="toc 3"/>
    <w:basedOn w:val="1"/>
    <w:next w:val="1"/>
    <w:semiHidden/>
    <w:unhideWhenUsed/>
    <w:qFormat/>
    <w:uiPriority w:val="39"/>
    <w:pPr>
      <w:ind w:left="840" w:leftChars="400"/>
    </w:pPr>
  </w:style>
  <w:style w:type="paragraph" w:styleId="7">
    <w:name w:val="Plain Text"/>
    <w:basedOn w:val="1"/>
    <w:qFormat/>
    <w:uiPriority w:val="0"/>
    <w:rPr>
      <w:rFonts w:ascii="宋体" w:hAnsi="Courier New" w:cs="Courier New"/>
      <w:szCs w:val="21"/>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Subtitle"/>
    <w:basedOn w:val="1"/>
    <w:next w:val="1"/>
    <w:qFormat/>
    <w:uiPriority w:val="11"/>
    <w:pPr>
      <w:spacing w:before="240" w:after="60" w:line="312" w:lineRule="auto"/>
      <w:jc w:val="center"/>
      <w:outlineLvl w:val="1"/>
    </w:pPr>
    <w:rPr>
      <w:rFonts w:eastAsia="宋体" w:asciiTheme="majorHAnsi" w:hAnsiTheme="majorHAnsi" w:cstheme="majorBidi"/>
      <w:b/>
      <w:bCs/>
      <w:kern w:val="28"/>
      <w:sz w:val="32"/>
      <w:szCs w:val="32"/>
    </w:rPr>
  </w:style>
  <w:style w:type="paragraph" w:styleId="11">
    <w:name w:val="Normal (Web)"/>
    <w:basedOn w:val="1"/>
    <w:unhideWhenUsed/>
    <w:qFormat/>
    <w:uiPriority w:val="99"/>
    <w:rPr>
      <w:rFonts w:ascii="Times New Roman" w:hAnsi="Times New Roman" w:cs="Times New Roman"/>
      <w:sz w:val="24"/>
      <w:szCs w:val="24"/>
    </w:rPr>
  </w:style>
  <w:style w:type="paragraph" w:styleId="12">
    <w:name w:val="Body Text First Indent 2"/>
    <w:basedOn w:val="5"/>
    <w:qFormat/>
    <w:uiPriority w:val="0"/>
    <w:pPr>
      <w:ind w:firstLine="420" w:firstLineChars="200"/>
    </w:pPr>
    <w:rPr>
      <w:rFonts w:ascii="Times New Roman" w:hAnsi="Times New Roman" w:eastAsia="宋体" w:cs="Times New Roman"/>
    </w:rPr>
  </w:style>
  <w:style w:type="table" w:styleId="14">
    <w:name w:val="Table Grid"/>
    <w:basedOn w:val="1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FollowedHyperlink"/>
    <w:basedOn w:val="15"/>
    <w:uiPriority w:val="0"/>
    <w:rPr>
      <w:color w:val="800080"/>
      <w:u w:val="none"/>
    </w:rPr>
  </w:style>
  <w:style w:type="character" w:styleId="17">
    <w:name w:val="HTML Definition"/>
    <w:basedOn w:val="15"/>
    <w:qFormat/>
    <w:uiPriority w:val="0"/>
  </w:style>
  <w:style w:type="character" w:styleId="18">
    <w:name w:val="HTML Typewriter"/>
    <w:basedOn w:val="15"/>
    <w:qFormat/>
    <w:uiPriority w:val="0"/>
    <w:rPr>
      <w:rFonts w:ascii="monospace" w:hAnsi="monospace" w:eastAsia="monospace" w:cs="monospace"/>
      <w:sz w:val="20"/>
    </w:rPr>
  </w:style>
  <w:style w:type="character" w:styleId="19">
    <w:name w:val="HTML Acronym"/>
    <w:basedOn w:val="15"/>
    <w:uiPriority w:val="0"/>
  </w:style>
  <w:style w:type="character" w:styleId="20">
    <w:name w:val="HTML Variable"/>
    <w:basedOn w:val="15"/>
    <w:qFormat/>
    <w:uiPriority w:val="0"/>
  </w:style>
  <w:style w:type="character" w:styleId="21">
    <w:name w:val="Hyperlink"/>
    <w:basedOn w:val="15"/>
    <w:uiPriority w:val="0"/>
    <w:rPr>
      <w:color w:val="0000FF"/>
      <w:u w:val="none"/>
    </w:rPr>
  </w:style>
  <w:style w:type="character" w:styleId="22">
    <w:name w:val="HTML Code"/>
    <w:basedOn w:val="15"/>
    <w:uiPriority w:val="0"/>
    <w:rPr>
      <w:rFonts w:hint="default" w:ascii="monospace" w:hAnsi="monospace" w:eastAsia="monospace" w:cs="monospace"/>
      <w:sz w:val="20"/>
    </w:rPr>
  </w:style>
  <w:style w:type="character" w:styleId="23">
    <w:name w:val="HTML Cite"/>
    <w:basedOn w:val="15"/>
    <w:uiPriority w:val="0"/>
  </w:style>
  <w:style w:type="character" w:styleId="24">
    <w:name w:val="HTML Keyboard"/>
    <w:basedOn w:val="15"/>
    <w:qFormat/>
    <w:uiPriority w:val="0"/>
    <w:rPr>
      <w:rFonts w:hint="default" w:ascii="monospace" w:hAnsi="monospace" w:eastAsia="monospace" w:cs="monospace"/>
      <w:sz w:val="20"/>
    </w:rPr>
  </w:style>
  <w:style w:type="character" w:styleId="25">
    <w:name w:val="HTML Sample"/>
    <w:basedOn w:val="15"/>
    <w:qFormat/>
    <w:uiPriority w:val="0"/>
    <w:rPr>
      <w:rFonts w:hint="default" w:ascii="monospace" w:hAnsi="monospace" w:eastAsia="monospace" w:cs="monospace"/>
    </w:rPr>
  </w:style>
  <w:style w:type="paragraph" w:customStyle="1" w:styleId="26">
    <w:name w:val="表"/>
    <w:basedOn w:val="1"/>
    <w:autoRedefine/>
    <w:semiHidden/>
    <w:qFormat/>
    <w:uiPriority w:val="0"/>
    <w:rPr>
      <w:rFonts w:ascii="Times New Roman" w:hAnsi="Times New Roman" w:eastAsia="仿宋_GB2312"/>
      <w:caps/>
      <w:color w:val="000000"/>
      <w:sz w:val="30"/>
      <w:szCs w:val="20"/>
    </w:rPr>
  </w:style>
  <w:style w:type="paragraph" w:styleId="27">
    <w:name w:val="List Paragraph"/>
    <w:basedOn w:val="1"/>
    <w:qFormat/>
    <w:uiPriority w:val="34"/>
    <w:pPr>
      <w:ind w:firstLine="420" w:firstLineChars="200"/>
    </w:pPr>
  </w:style>
  <w:style w:type="paragraph" w:customStyle="1" w:styleId="28">
    <w:name w:val="ds-markdown-paragraph"/>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29">
    <w:name w:val="layui-layer-tabnow"/>
    <w:basedOn w:val="15"/>
    <w:uiPriority w:val="0"/>
    <w:rPr>
      <w:bdr w:val="single" w:color="CCCCCC" w:sz="6" w:space="0"/>
      <w:shd w:val="clear" w:fill="FFFFFF"/>
    </w:rPr>
  </w:style>
  <w:style w:type="character" w:customStyle="1" w:styleId="30">
    <w:name w:val="first-child"/>
    <w:basedOn w:val="15"/>
    <w:uiPriority w:val="0"/>
  </w:style>
  <w:style w:type="paragraph" w:customStyle="1" w:styleId="31">
    <w:name w:val="Default"/>
    <w:next w:val="1"/>
    <w:qFormat/>
    <w:uiPriority w:val="0"/>
    <w:pPr>
      <w:widowControl w:val="0"/>
      <w:autoSpaceDE w:val="0"/>
      <w:autoSpaceDN w:val="0"/>
      <w:adjustRightInd w:val="0"/>
    </w:pPr>
    <w:rPr>
      <w:rFonts w:ascii="Tahoma" w:hAnsi="Tahoma" w:eastAsia="宋体" w:cs="Tahoma"/>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51</Pages>
  <Words>768</Words>
  <Characters>913</Characters>
  <Lines>0</Lines>
  <Paragraphs>0</Paragraphs>
  <TotalTime>3</TotalTime>
  <ScaleCrop>false</ScaleCrop>
  <LinksUpToDate>false</LinksUpToDate>
  <CharactersWithSpaces>961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2026-03-13T06:46:00Z</dcterms:created>
  <dc:creator>Administrator</dc:creator>
  <cp:lastModifiedBy>Administrator</cp:lastModifiedBy>
  <dcterms:modified xsi:type="dcterms:W3CDTF">2026-06-18T08:04:49Z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13B17E31F1F94F60AC7689867EB7A281_11</vt:lpwstr>
  </property>
  <property fmtid="{D5CDD505-2E9C-101B-9397-08002B2CF9AE}" pid="4" name="KSOTemplateDocerSaveRecord">
    <vt:lpwstr>eyJoZGlkIjoiYjA5YTFmY2Q1ZGQ1MzEwZTg5YzAwNjFiMTdiYTViNGUifQ==</vt:lpwstr>
  </property>
</Properties>
</file>