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C0354">
      <w:pPr>
        <w:rPr>
          <w:rFonts w:hint="eastAsia"/>
        </w:rPr>
      </w:pPr>
    </w:p>
    <w:p w14:paraId="3B1BFC7B"/>
    <w:p w14:paraId="456D1491">
      <w:pPr>
        <w:pStyle w:val="2"/>
        <w:widowControl/>
        <w:tabs>
          <w:tab w:val="left" w:pos="8280"/>
        </w:tabs>
        <w:spacing w:line="360" w:lineRule="auto"/>
        <w:outlineLvl w:val="0"/>
        <w:rPr>
          <w:rFonts w:hAnsi="宋体"/>
          <w:sz w:val="44"/>
          <w:szCs w:val="44"/>
        </w:rPr>
      </w:pPr>
      <w:r>
        <w:rPr>
          <w:rFonts w:hint="eastAsia" w:hAnsi="宋体"/>
          <w:sz w:val="52"/>
          <w:szCs w:val="52"/>
        </w:rPr>
        <w:t>解决陕州区河道砂石资源经营权出让前期费用项目</w:t>
      </w:r>
    </w:p>
    <w:p w14:paraId="452D4515">
      <w:pPr>
        <w:rPr>
          <w:rFonts w:hAnsi="宋体"/>
          <w:sz w:val="36"/>
          <w:szCs w:val="36"/>
        </w:rPr>
      </w:pPr>
    </w:p>
    <w:p w14:paraId="39705234">
      <w:pPr>
        <w:rPr>
          <w:rFonts w:hAnsi="宋体"/>
          <w:sz w:val="36"/>
          <w:szCs w:val="36"/>
        </w:rPr>
      </w:pPr>
    </w:p>
    <w:p w14:paraId="3FA5B37F">
      <w:pPr>
        <w:rPr>
          <w:rFonts w:hint="default" w:hAnsi="宋体" w:eastAsia="宋体"/>
          <w:sz w:val="36"/>
          <w:szCs w:val="36"/>
          <w:lang w:val="en-US" w:eastAsia="zh-CN"/>
        </w:rPr>
      </w:pPr>
    </w:p>
    <w:p w14:paraId="27D48E6A">
      <w:pPr>
        <w:rPr>
          <w:rFonts w:hAnsi="宋体"/>
          <w:sz w:val="44"/>
          <w:szCs w:val="44"/>
        </w:rPr>
      </w:pPr>
    </w:p>
    <w:p w14:paraId="452D478C">
      <w:pPr>
        <w:pStyle w:val="2"/>
        <w:widowControl/>
        <w:tabs>
          <w:tab w:val="left" w:pos="8280"/>
        </w:tabs>
        <w:spacing w:line="360" w:lineRule="auto"/>
        <w:outlineLvl w:val="0"/>
        <w:rPr>
          <w:rFonts w:hAnsi="宋体"/>
          <w:szCs w:val="72"/>
        </w:rPr>
      </w:pPr>
      <w:r>
        <w:rPr>
          <w:rFonts w:hAnsi="宋体"/>
          <w:szCs w:val="72"/>
        </w:rPr>
        <w:t>竞争性磋商文件</w:t>
      </w:r>
    </w:p>
    <w:p w14:paraId="68DCDDB3">
      <w:pPr>
        <w:rPr>
          <w:color w:val="FF0000"/>
        </w:rPr>
      </w:pPr>
    </w:p>
    <w:p w14:paraId="0C4F0D77">
      <w:pPr>
        <w:ind w:firstLine="2711" w:firstLineChars="900"/>
        <w:rPr>
          <w:rFonts w:hint="eastAsia" w:ascii="宋体" w:hAnsi="宋体"/>
          <w:b/>
          <w:sz w:val="30"/>
          <w:szCs w:val="30"/>
          <w:lang w:eastAsia="zh-CN"/>
        </w:rPr>
      </w:pPr>
      <w:r>
        <w:rPr>
          <w:rFonts w:hint="eastAsia" w:ascii="宋体" w:hAnsi="宋体"/>
          <w:b/>
          <w:sz w:val="30"/>
          <w:szCs w:val="30"/>
        </w:rPr>
        <w:t>项目编号：</w:t>
      </w:r>
      <w:r>
        <w:rPr>
          <w:rFonts w:hint="eastAsia" w:ascii="宋体" w:hAnsi="宋体"/>
          <w:b/>
          <w:sz w:val="30"/>
          <w:szCs w:val="30"/>
          <w:lang w:eastAsia="zh-CN"/>
        </w:rPr>
        <w:t>陕州竞磋采购-2026-61；</w:t>
      </w:r>
    </w:p>
    <w:p w14:paraId="71A59026">
      <w:pPr>
        <w:ind w:firstLine="2711" w:firstLineChars="900"/>
        <w:rPr>
          <w:rFonts w:hint="eastAsia" w:ascii="宋体" w:hAnsi="宋体"/>
          <w:b/>
          <w:sz w:val="30"/>
          <w:szCs w:val="30"/>
          <w:lang w:eastAsia="zh-CN"/>
        </w:rPr>
      </w:pPr>
      <w:r>
        <w:rPr>
          <w:rFonts w:hint="eastAsia" w:ascii="宋体" w:hAnsi="宋体"/>
          <w:b/>
          <w:sz w:val="30"/>
          <w:szCs w:val="30"/>
          <w:lang w:eastAsia="zh-CN"/>
        </w:rPr>
        <w:t>SZGZ[2026]116-ZC096</w:t>
      </w:r>
    </w:p>
    <w:p w14:paraId="2DF44022">
      <w:pPr>
        <w:ind w:firstLine="3915" w:firstLineChars="1300"/>
        <w:rPr>
          <w:rFonts w:ascii="宋体" w:hAnsi="宋体"/>
          <w:b/>
          <w:color w:val="FF0000"/>
          <w:sz w:val="30"/>
          <w:szCs w:val="30"/>
        </w:rPr>
      </w:pPr>
    </w:p>
    <w:p w14:paraId="3DA5A600">
      <w:pPr>
        <w:ind w:firstLine="2409" w:firstLineChars="800"/>
        <w:rPr>
          <w:rFonts w:ascii="宋体" w:hAnsi="宋体"/>
          <w:b/>
          <w:color w:val="FF0000"/>
          <w:sz w:val="30"/>
          <w:szCs w:val="30"/>
        </w:rPr>
      </w:pPr>
    </w:p>
    <w:p w14:paraId="483ED503">
      <w:pPr>
        <w:ind w:firstLine="3915" w:firstLineChars="1300"/>
        <w:rPr>
          <w:rFonts w:ascii="宋体" w:hAnsi="宋体"/>
          <w:b/>
          <w:color w:val="FF0000"/>
          <w:sz w:val="30"/>
          <w:szCs w:val="30"/>
        </w:rPr>
      </w:pPr>
    </w:p>
    <w:p w14:paraId="7E03ECAF">
      <w:pPr>
        <w:ind w:firstLine="2409" w:firstLineChars="800"/>
        <w:rPr>
          <w:rFonts w:ascii="宋体" w:hAnsi="宋体"/>
          <w:b/>
          <w:sz w:val="30"/>
          <w:szCs w:val="30"/>
        </w:rPr>
      </w:pPr>
      <w:r>
        <w:rPr>
          <w:rFonts w:hint="eastAsia" w:ascii="宋体" w:hAnsi="宋体"/>
          <w:b/>
          <w:sz w:val="30"/>
          <w:szCs w:val="30"/>
        </w:rPr>
        <w:t xml:space="preserve">      </w:t>
      </w:r>
    </w:p>
    <w:p w14:paraId="61BD28C9">
      <w:pPr>
        <w:ind w:firstLine="2409" w:firstLineChars="800"/>
      </w:pPr>
      <w:r>
        <w:rPr>
          <w:rFonts w:hint="eastAsia" w:ascii="宋体" w:hAnsi="宋体"/>
          <w:b/>
          <w:sz w:val="30"/>
          <w:szCs w:val="30"/>
        </w:rPr>
        <w:t xml:space="preserve">            </w:t>
      </w:r>
    </w:p>
    <w:p w14:paraId="52B456F8">
      <w:pPr>
        <w:spacing w:line="360" w:lineRule="auto"/>
        <w:ind w:firstLine="1789" w:firstLineChars="495"/>
        <w:rPr>
          <w:rFonts w:ascii="宋体" w:hAnsi="宋体"/>
          <w:b/>
          <w:sz w:val="36"/>
          <w:szCs w:val="36"/>
        </w:rPr>
      </w:pPr>
    </w:p>
    <w:p w14:paraId="36329882">
      <w:pPr>
        <w:spacing w:line="360" w:lineRule="auto"/>
        <w:rPr>
          <w:rFonts w:ascii="宋体" w:hAnsi="宋体"/>
          <w:b/>
          <w:sz w:val="36"/>
          <w:szCs w:val="36"/>
        </w:rPr>
      </w:pPr>
    </w:p>
    <w:p w14:paraId="543ABA37"/>
    <w:p w14:paraId="16BD71B7"/>
    <w:p w14:paraId="64B2C7BD">
      <w:pPr>
        <w:spacing w:line="360" w:lineRule="auto"/>
        <w:ind w:firstLine="1807" w:firstLineChars="500"/>
        <w:rPr>
          <w:rFonts w:ascii="宋体" w:hAnsi="宋体"/>
          <w:b/>
          <w:sz w:val="36"/>
          <w:szCs w:val="36"/>
        </w:rPr>
      </w:pPr>
      <w:r>
        <w:rPr>
          <w:rFonts w:hint="eastAsia" w:ascii="宋体" w:hAnsi="宋体"/>
          <w:b/>
          <w:sz w:val="36"/>
          <w:szCs w:val="36"/>
        </w:rPr>
        <w:t>采 购 人：三门峡市陕州区水利局</w:t>
      </w:r>
    </w:p>
    <w:p w14:paraId="6028647A">
      <w:pPr>
        <w:spacing w:line="360" w:lineRule="auto"/>
        <w:ind w:firstLine="1807" w:firstLineChars="500"/>
        <w:rPr>
          <w:rFonts w:ascii="宋体" w:hAnsi="宋体"/>
          <w:b/>
          <w:sz w:val="36"/>
          <w:szCs w:val="36"/>
        </w:rPr>
      </w:pPr>
      <w:r>
        <w:rPr>
          <w:rFonts w:hint="eastAsia" w:ascii="宋体" w:hAnsi="宋体"/>
          <w:b/>
          <w:sz w:val="36"/>
          <w:szCs w:val="36"/>
        </w:rPr>
        <w:t>代理机构：河南嘉泰工程管理有限公司</w:t>
      </w:r>
    </w:p>
    <w:p w14:paraId="059F5E37">
      <w:pPr>
        <w:spacing w:line="360" w:lineRule="auto"/>
        <w:ind w:firstLine="1807" w:firstLineChars="500"/>
        <w:rPr>
          <w:rFonts w:ascii="宋体" w:hAnsi="宋体"/>
          <w:b/>
          <w:sz w:val="36"/>
          <w:szCs w:val="36"/>
        </w:rPr>
      </w:pPr>
      <w:r>
        <w:rPr>
          <w:rFonts w:ascii="宋体" w:hAnsi="宋体"/>
          <w:b/>
          <w:sz w:val="36"/>
          <w:szCs w:val="36"/>
        </w:rPr>
        <w:t>日</w:t>
      </w:r>
      <w:r>
        <w:rPr>
          <w:rFonts w:hint="eastAsia" w:ascii="宋体" w:hAnsi="宋体"/>
          <w:b/>
          <w:sz w:val="36"/>
          <w:szCs w:val="36"/>
        </w:rPr>
        <w:t xml:space="preserve">    </w:t>
      </w:r>
      <w:r>
        <w:rPr>
          <w:rFonts w:ascii="宋体" w:hAnsi="宋体"/>
          <w:b/>
          <w:sz w:val="36"/>
          <w:szCs w:val="36"/>
        </w:rPr>
        <w:t>期：</w:t>
      </w:r>
      <w:r>
        <w:rPr>
          <w:rFonts w:hint="eastAsia" w:ascii="宋体" w:hAnsi="宋体"/>
          <w:b/>
          <w:sz w:val="36"/>
          <w:szCs w:val="36"/>
        </w:rPr>
        <w:t>二〇二六年七月</w:t>
      </w:r>
    </w:p>
    <w:p w14:paraId="5CDB9FEE">
      <w:pPr>
        <w:spacing w:line="360" w:lineRule="auto"/>
        <w:rPr>
          <w:rFonts w:ascii="宋体" w:hAnsi="宋体"/>
          <w:b/>
          <w:sz w:val="28"/>
          <w:szCs w:val="20"/>
          <w:lang w:bidi="ar"/>
        </w:rPr>
        <w:sectPr>
          <w:pgSz w:w="11915" w:h="16840"/>
          <w:pgMar w:top="1247" w:right="1135" w:bottom="1247" w:left="1236" w:header="851" w:footer="992" w:gutter="0"/>
          <w:cols w:space="720" w:num="1"/>
          <w:docGrid w:type="lines" w:linePitch="312" w:charSpace="0"/>
        </w:sectPr>
      </w:pPr>
    </w:p>
    <w:p w14:paraId="44D40FEB">
      <w:pPr>
        <w:tabs>
          <w:tab w:val="left" w:pos="8280"/>
        </w:tabs>
        <w:spacing w:line="360" w:lineRule="auto"/>
        <w:jc w:val="center"/>
        <w:outlineLvl w:val="0"/>
        <w:rPr>
          <w:rFonts w:ascii="宋体" w:hAnsi="宋体" w:cs="宋体"/>
          <w:b/>
          <w:sz w:val="44"/>
          <w:szCs w:val="44"/>
        </w:rPr>
      </w:pPr>
      <w:r>
        <w:rPr>
          <w:rFonts w:hint="eastAsia" w:ascii="宋体" w:hAnsi="宋体" w:cs="宋体"/>
          <w:b/>
          <w:sz w:val="44"/>
          <w:szCs w:val="44"/>
          <w:lang w:bidi="ar"/>
        </w:rPr>
        <w:t>目  录</w:t>
      </w:r>
    </w:p>
    <w:p w14:paraId="130997D3">
      <w:pPr>
        <w:tabs>
          <w:tab w:val="left" w:pos="8280"/>
        </w:tabs>
        <w:spacing w:line="360" w:lineRule="auto"/>
        <w:jc w:val="center"/>
        <w:rPr>
          <w:rFonts w:ascii="宋体" w:hAnsi="宋体" w:cs="宋体"/>
          <w:b/>
          <w:sz w:val="32"/>
          <w:szCs w:val="32"/>
        </w:rPr>
      </w:pPr>
    </w:p>
    <w:p w14:paraId="4AF0A437"/>
    <w:p w14:paraId="22717452">
      <w:pPr>
        <w:rPr>
          <w:rFonts w:ascii="宋体" w:hAnsi="宋体" w:cs="宋体"/>
          <w:sz w:val="30"/>
          <w:szCs w:val="30"/>
        </w:rPr>
      </w:pPr>
      <w:r>
        <w:rPr>
          <w:rFonts w:hint="eastAsia" w:ascii="宋体" w:hAnsi="宋体" w:cs="宋体"/>
          <w:sz w:val="30"/>
          <w:szCs w:val="30"/>
        </w:rPr>
        <w:t>第一章  竞争性磋商公告...............................3</w:t>
      </w:r>
    </w:p>
    <w:p w14:paraId="4B1A2890">
      <w:pPr>
        <w:rPr>
          <w:rFonts w:ascii="宋体" w:hAnsi="宋体" w:cs="宋体"/>
          <w:sz w:val="30"/>
          <w:szCs w:val="30"/>
        </w:rPr>
      </w:pPr>
      <w:r>
        <w:rPr>
          <w:rFonts w:hint="eastAsia" w:ascii="宋体" w:hAnsi="宋体" w:cs="宋体"/>
          <w:sz w:val="30"/>
          <w:szCs w:val="30"/>
        </w:rPr>
        <w:t>第二章  供应商须知...................................7</w:t>
      </w:r>
    </w:p>
    <w:p w14:paraId="7AAF10D8">
      <w:pPr>
        <w:rPr>
          <w:rFonts w:ascii="宋体" w:hAnsi="宋体" w:cs="宋体"/>
          <w:sz w:val="30"/>
          <w:szCs w:val="30"/>
        </w:rPr>
      </w:pPr>
      <w:r>
        <w:rPr>
          <w:rFonts w:hint="eastAsia" w:ascii="宋体" w:hAnsi="宋体" w:cs="宋体"/>
          <w:sz w:val="30"/>
          <w:szCs w:val="30"/>
        </w:rPr>
        <w:t>第三章  项目内容及要求...............................21</w:t>
      </w:r>
    </w:p>
    <w:p w14:paraId="0C7453DE">
      <w:pPr>
        <w:rPr>
          <w:rFonts w:ascii="宋体" w:hAnsi="宋体" w:cs="宋体"/>
          <w:sz w:val="30"/>
          <w:szCs w:val="30"/>
        </w:rPr>
      </w:pPr>
      <w:r>
        <w:rPr>
          <w:rFonts w:hint="eastAsia" w:ascii="宋体" w:hAnsi="宋体" w:cs="宋体"/>
          <w:sz w:val="30"/>
          <w:szCs w:val="30"/>
        </w:rPr>
        <w:t>第四章  评标办法.....................................28</w:t>
      </w:r>
    </w:p>
    <w:p w14:paraId="45125300">
      <w:pPr>
        <w:rPr>
          <w:rFonts w:ascii="宋体" w:hAnsi="宋体" w:cs="宋体"/>
          <w:sz w:val="30"/>
          <w:szCs w:val="30"/>
        </w:rPr>
      </w:pPr>
      <w:r>
        <w:rPr>
          <w:rFonts w:hint="eastAsia" w:ascii="宋体" w:hAnsi="宋体" w:cs="宋体"/>
          <w:sz w:val="30"/>
          <w:szCs w:val="30"/>
        </w:rPr>
        <w:t>第五章  政府采购合同.................................35</w:t>
      </w:r>
    </w:p>
    <w:p w14:paraId="4F3A7EFA">
      <w:pPr>
        <w:rPr>
          <w:rFonts w:ascii="宋体" w:hAnsi="宋体" w:cs="宋体"/>
          <w:sz w:val="30"/>
          <w:szCs w:val="30"/>
        </w:rPr>
      </w:pPr>
      <w:r>
        <w:rPr>
          <w:rFonts w:hint="eastAsia" w:ascii="宋体" w:hAnsi="宋体" w:cs="宋体"/>
          <w:sz w:val="30"/>
          <w:szCs w:val="30"/>
        </w:rPr>
        <w:t>第六章  响应文件主要内容和格式.......................39</w:t>
      </w:r>
    </w:p>
    <w:p w14:paraId="45CA273F">
      <w:pPr>
        <w:widowControl/>
        <w:tabs>
          <w:tab w:val="left" w:pos="1260"/>
          <w:tab w:val="left" w:pos="7920"/>
        </w:tabs>
        <w:spacing w:before="100" w:beforeAutospacing="1" w:after="100" w:afterAutospacing="1" w:line="480" w:lineRule="auto"/>
        <w:rPr>
          <w:rFonts w:ascii="宋体" w:hAnsi="宋体" w:cs="宋体"/>
          <w:b/>
          <w:kern w:val="0"/>
          <w:sz w:val="32"/>
          <w:szCs w:val="32"/>
        </w:rPr>
      </w:pPr>
    </w:p>
    <w:p w14:paraId="6FECA7CD">
      <w:pPr>
        <w:widowControl/>
        <w:tabs>
          <w:tab w:val="left" w:pos="1260"/>
          <w:tab w:val="left" w:pos="7920"/>
        </w:tabs>
        <w:spacing w:before="100" w:beforeAutospacing="1" w:after="100" w:afterAutospacing="1" w:line="480" w:lineRule="auto"/>
        <w:rPr>
          <w:rFonts w:ascii="宋体" w:hAnsi="宋体" w:cs="宋体"/>
          <w:b/>
          <w:kern w:val="0"/>
          <w:sz w:val="32"/>
          <w:szCs w:val="32"/>
        </w:rPr>
      </w:pPr>
    </w:p>
    <w:p w14:paraId="22DC1978">
      <w:pPr>
        <w:widowControl/>
        <w:tabs>
          <w:tab w:val="left" w:pos="1260"/>
          <w:tab w:val="left" w:pos="7920"/>
        </w:tabs>
        <w:spacing w:before="100" w:beforeAutospacing="1" w:after="100" w:afterAutospacing="1" w:line="480" w:lineRule="auto"/>
        <w:rPr>
          <w:rFonts w:ascii="宋体" w:hAnsi="宋体" w:cs="宋体"/>
          <w:b/>
          <w:kern w:val="0"/>
          <w:sz w:val="32"/>
          <w:szCs w:val="32"/>
        </w:rPr>
      </w:pPr>
    </w:p>
    <w:p w14:paraId="0A2FC2DF">
      <w:pPr>
        <w:widowControl/>
        <w:tabs>
          <w:tab w:val="left" w:pos="1260"/>
          <w:tab w:val="left" w:pos="7920"/>
        </w:tabs>
        <w:spacing w:before="100" w:beforeAutospacing="1" w:after="100" w:afterAutospacing="1" w:line="480" w:lineRule="auto"/>
        <w:rPr>
          <w:rFonts w:ascii="宋体" w:hAnsi="宋体" w:cs="宋体"/>
          <w:b/>
          <w:kern w:val="0"/>
          <w:sz w:val="32"/>
          <w:szCs w:val="32"/>
        </w:rPr>
      </w:pPr>
    </w:p>
    <w:p w14:paraId="5F61EF44">
      <w:pPr>
        <w:widowControl/>
        <w:tabs>
          <w:tab w:val="left" w:pos="1260"/>
          <w:tab w:val="left" w:pos="7920"/>
        </w:tabs>
        <w:spacing w:before="100" w:beforeAutospacing="1" w:after="100" w:afterAutospacing="1" w:line="480" w:lineRule="auto"/>
        <w:rPr>
          <w:rFonts w:ascii="宋体" w:hAnsi="宋体" w:cs="宋体"/>
          <w:b/>
          <w:kern w:val="0"/>
          <w:sz w:val="32"/>
          <w:szCs w:val="32"/>
        </w:rPr>
      </w:pPr>
    </w:p>
    <w:p w14:paraId="5AC70C90">
      <w:pPr>
        <w:widowControl/>
        <w:tabs>
          <w:tab w:val="left" w:pos="1260"/>
          <w:tab w:val="left" w:pos="7920"/>
        </w:tabs>
        <w:spacing w:before="100" w:beforeAutospacing="1" w:after="100" w:afterAutospacing="1" w:line="480" w:lineRule="auto"/>
        <w:rPr>
          <w:rFonts w:ascii="宋体" w:hAnsi="宋体" w:cs="宋体"/>
          <w:b/>
          <w:kern w:val="0"/>
          <w:sz w:val="32"/>
          <w:szCs w:val="32"/>
        </w:rPr>
      </w:pPr>
    </w:p>
    <w:p w14:paraId="226BDBB8">
      <w:pPr>
        <w:widowControl/>
        <w:tabs>
          <w:tab w:val="left" w:pos="1260"/>
          <w:tab w:val="left" w:pos="7920"/>
        </w:tabs>
        <w:spacing w:before="100" w:beforeAutospacing="1" w:after="100" w:afterAutospacing="1" w:line="480" w:lineRule="auto"/>
        <w:rPr>
          <w:rFonts w:ascii="宋体" w:hAnsi="宋体" w:cs="宋体"/>
          <w:b/>
          <w:kern w:val="0"/>
          <w:sz w:val="32"/>
          <w:szCs w:val="32"/>
        </w:rPr>
      </w:pPr>
    </w:p>
    <w:p w14:paraId="45FBEA3A">
      <w:pPr>
        <w:widowControl/>
        <w:tabs>
          <w:tab w:val="left" w:pos="1260"/>
          <w:tab w:val="left" w:pos="7920"/>
        </w:tabs>
        <w:spacing w:before="100" w:beforeAutospacing="1" w:after="100" w:afterAutospacing="1" w:line="480" w:lineRule="auto"/>
        <w:rPr>
          <w:rFonts w:ascii="宋体" w:hAnsi="宋体" w:cs="宋体"/>
          <w:b/>
          <w:kern w:val="0"/>
          <w:sz w:val="32"/>
          <w:szCs w:val="32"/>
        </w:rPr>
      </w:pPr>
    </w:p>
    <w:p w14:paraId="57268535">
      <w:pPr>
        <w:autoSpaceDE w:val="0"/>
        <w:autoSpaceDN w:val="0"/>
        <w:adjustRightInd w:val="0"/>
        <w:spacing w:line="360" w:lineRule="auto"/>
        <w:jc w:val="center"/>
        <w:rPr>
          <w:rFonts w:ascii="宋体" w:hAnsi="宋体" w:cs="宋体"/>
          <w:b/>
          <w:kern w:val="0"/>
          <w:sz w:val="36"/>
          <w:szCs w:val="36"/>
          <w:lang w:bidi="ar"/>
        </w:rPr>
      </w:pPr>
    </w:p>
    <w:p w14:paraId="4A809D62">
      <w:pPr>
        <w:autoSpaceDE w:val="0"/>
        <w:autoSpaceDN w:val="0"/>
        <w:adjustRightInd w:val="0"/>
        <w:spacing w:line="360" w:lineRule="auto"/>
        <w:jc w:val="center"/>
        <w:rPr>
          <w:rFonts w:ascii="宋体" w:hAnsi="宋体" w:cs="宋体"/>
          <w:b/>
          <w:kern w:val="0"/>
          <w:sz w:val="36"/>
          <w:szCs w:val="36"/>
          <w:lang w:bidi="ar"/>
        </w:rPr>
      </w:pPr>
    </w:p>
    <w:p w14:paraId="48079258">
      <w:pPr>
        <w:autoSpaceDE w:val="0"/>
        <w:autoSpaceDN w:val="0"/>
        <w:adjustRightInd w:val="0"/>
        <w:spacing w:line="360" w:lineRule="auto"/>
        <w:jc w:val="center"/>
        <w:rPr>
          <w:rFonts w:ascii="宋体" w:hAnsi="宋体" w:cs="宋体"/>
          <w:b/>
          <w:kern w:val="0"/>
          <w:sz w:val="36"/>
          <w:szCs w:val="36"/>
          <w:lang w:bidi="ar"/>
        </w:rPr>
      </w:pPr>
      <w:r>
        <w:rPr>
          <w:rFonts w:hint="eastAsia" w:ascii="宋体" w:hAnsi="宋体" w:cs="宋体"/>
          <w:b/>
          <w:kern w:val="0"/>
          <w:sz w:val="36"/>
          <w:szCs w:val="36"/>
          <w:lang w:bidi="ar"/>
        </w:rPr>
        <w:t>第一章  竞争性磋商公告</w:t>
      </w:r>
    </w:p>
    <w:p w14:paraId="68EC92BE">
      <w:pPr>
        <w:spacing w:line="360" w:lineRule="auto"/>
        <w:ind w:firstLine="480" w:firstLineChars="200"/>
        <w:rPr>
          <w:rFonts w:ascii="宋体" w:hAnsi="宋体" w:cs="宋体"/>
          <w:sz w:val="24"/>
        </w:rPr>
      </w:pPr>
      <w:r>
        <w:rPr>
          <w:rFonts w:hint="eastAsia" w:ascii="宋体" w:hAnsi="宋体" w:cs="宋体"/>
          <w:sz w:val="24"/>
        </w:rPr>
        <w:t>项目概况</w:t>
      </w:r>
    </w:p>
    <w:p w14:paraId="4876EEB1">
      <w:pPr>
        <w:spacing w:line="360" w:lineRule="auto"/>
        <w:ind w:firstLine="480" w:firstLineChars="200"/>
        <w:rPr>
          <w:rFonts w:ascii="宋体" w:hAnsi="宋体" w:cs="宋体"/>
          <w:sz w:val="24"/>
        </w:rPr>
      </w:pPr>
      <w:r>
        <w:rPr>
          <w:rFonts w:hint="eastAsia" w:ascii="宋体" w:hAnsi="宋体" w:cs="宋体"/>
          <w:sz w:val="24"/>
        </w:rPr>
        <w:t>解决陕州区河道砂石资源经营权出让前期费用项目的潜在供应商凭CA登录三门峡市公共资源交易中心网获取磋商文件，并</w:t>
      </w:r>
      <w:r>
        <w:rPr>
          <w:rFonts w:hint="eastAsia" w:ascii="宋体" w:hAnsi="宋体" w:cs="宋体"/>
          <w:color w:val="auto"/>
          <w:sz w:val="24"/>
        </w:rPr>
        <w:t>于</w:t>
      </w:r>
      <w:r>
        <w:rPr>
          <w:rFonts w:hint="eastAsia" w:ascii="宋体" w:hAnsi="宋体" w:cs="宋体"/>
          <w:color w:val="auto"/>
          <w:sz w:val="24"/>
          <w:lang w:eastAsia="zh-CN"/>
        </w:rPr>
        <w:t>2026年08月05日08时20分</w:t>
      </w:r>
      <w:r>
        <w:rPr>
          <w:rFonts w:hint="eastAsia" w:ascii="宋体" w:hAnsi="宋体" w:cs="宋体"/>
          <w:color w:val="auto"/>
          <w:sz w:val="24"/>
        </w:rPr>
        <w:t>（</w:t>
      </w:r>
      <w:r>
        <w:rPr>
          <w:rFonts w:hint="eastAsia" w:ascii="宋体" w:hAnsi="宋体" w:cs="宋体"/>
          <w:sz w:val="24"/>
        </w:rPr>
        <w:t>北京时间）前提交响应文件。</w:t>
      </w:r>
    </w:p>
    <w:p w14:paraId="7A340AF5">
      <w:pPr>
        <w:spacing w:line="360" w:lineRule="auto"/>
        <w:ind w:firstLine="480" w:firstLineChars="200"/>
        <w:rPr>
          <w:rFonts w:ascii="宋体" w:hAnsi="宋体" w:cs="宋体"/>
          <w:sz w:val="24"/>
        </w:rPr>
      </w:pPr>
      <w:r>
        <w:rPr>
          <w:rFonts w:hint="eastAsia" w:ascii="宋体" w:hAnsi="宋体" w:cs="宋体"/>
          <w:sz w:val="24"/>
        </w:rPr>
        <w:t>一、项目基本情况</w:t>
      </w:r>
    </w:p>
    <w:p w14:paraId="7E5D973E">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1、项目编号：</w:t>
      </w:r>
      <w:r>
        <w:rPr>
          <w:rFonts w:hint="eastAsia" w:ascii="宋体" w:hAnsi="宋体" w:cs="宋体"/>
          <w:sz w:val="24"/>
          <w:lang w:eastAsia="zh-CN"/>
        </w:rPr>
        <w:t>陕州竞磋采购-2026-61；SZGZ[2026]116-ZC096</w:t>
      </w:r>
    </w:p>
    <w:p w14:paraId="165F10FA">
      <w:pPr>
        <w:spacing w:line="360" w:lineRule="auto"/>
        <w:ind w:firstLine="480" w:firstLineChars="200"/>
        <w:rPr>
          <w:rFonts w:ascii="宋体" w:hAnsi="宋体" w:cs="宋体"/>
          <w:sz w:val="24"/>
        </w:rPr>
      </w:pPr>
      <w:r>
        <w:rPr>
          <w:rFonts w:hint="eastAsia" w:ascii="宋体" w:hAnsi="宋体" w:cs="宋体"/>
          <w:sz w:val="24"/>
        </w:rPr>
        <w:t>2、项目名称：解决陕州区河道砂石资源经营权出让前期费用项目</w:t>
      </w:r>
    </w:p>
    <w:p w14:paraId="7F38B28C">
      <w:pPr>
        <w:spacing w:line="360" w:lineRule="auto"/>
        <w:ind w:firstLine="480" w:firstLineChars="200"/>
        <w:rPr>
          <w:rFonts w:ascii="宋体" w:hAnsi="宋体" w:cs="宋体"/>
          <w:sz w:val="24"/>
        </w:rPr>
      </w:pPr>
      <w:r>
        <w:rPr>
          <w:rFonts w:hint="eastAsia" w:ascii="宋体" w:hAnsi="宋体" w:cs="宋体"/>
          <w:sz w:val="24"/>
        </w:rPr>
        <w:t>3、采购方式：竞争性磋商</w:t>
      </w:r>
    </w:p>
    <w:p w14:paraId="2DDFCED2">
      <w:pPr>
        <w:spacing w:line="360" w:lineRule="auto"/>
        <w:ind w:firstLine="480" w:firstLineChars="200"/>
        <w:rPr>
          <w:rFonts w:ascii="宋体" w:hAnsi="宋体" w:cs="宋体"/>
          <w:sz w:val="24"/>
        </w:rPr>
      </w:pPr>
      <w:r>
        <w:rPr>
          <w:rFonts w:hint="eastAsia" w:ascii="宋体" w:hAnsi="宋体" w:cs="宋体"/>
          <w:sz w:val="24"/>
        </w:rPr>
        <w:t>4、预算金额：370000.00元</w:t>
      </w:r>
    </w:p>
    <w:p w14:paraId="374D4762">
      <w:pPr>
        <w:spacing w:line="360" w:lineRule="auto"/>
        <w:ind w:firstLine="720" w:firstLineChars="300"/>
        <w:rPr>
          <w:rFonts w:ascii="宋体" w:hAnsi="宋体" w:cs="宋体"/>
          <w:sz w:val="24"/>
        </w:rPr>
      </w:pPr>
      <w:r>
        <w:rPr>
          <w:rFonts w:hint="eastAsia" w:ascii="宋体" w:hAnsi="宋体" w:cs="宋体"/>
          <w:sz w:val="24"/>
        </w:rPr>
        <w:t>最高限价：370000.00元</w:t>
      </w:r>
    </w:p>
    <w:tbl>
      <w:tblPr>
        <w:tblStyle w:val="14"/>
        <w:tblW w:w="10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556"/>
        <w:gridCol w:w="3069"/>
        <w:gridCol w:w="1491"/>
        <w:gridCol w:w="1492"/>
        <w:gridCol w:w="1176"/>
        <w:gridCol w:w="1170"/>
      </w:tblGrid>
      <w:tr w14:paraId="6FEE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40FD5013">
            <w:pPr>
              <w:spacing w:line="360" w:lineRule="auto"/>
              <w:jc w:val="center"/>
              <w:rPr>
                <w:rFonts w:ascii="宋体" w:hAnsi="宋体" w:cs="宋体"/>
                <w:sz w:val="24"/>
              </w:rPr>
            </w:pPr>
            <w:r>
              <w:rPr>
                <w:rFonts w:hint="eastAsia" w:ascii="宋体" w:hAnsi="宋体" w:cs="宋体"/>
                <w:sz w:val="24"/>
              </w:rPr>
              <w:t>序号</w:t>
            </w:r>
          </w:p>
        </w:tc>
        <w:tc>
          <w:tcPr>
            <w:tcW w:w="1556" w:type="dxa"/>
            <w:vAlign w:val="center"/>
          </w:tcPr>
          <w:p w14:paraId="1975529E">
            <w:pPr>
              <w:spacing w:line="360" w:lineRule="auto"/>
              <w:jc w:val="center"/>
              <w:rPr>
                <w:rFonts w:ascii="宋体" w:hAnsi="宋体" w:cs="宋体"/>
                <w:sz w:val="24"/>
              </w:rPr>
            </w:pPr>
            <w:r>
              <w:rPr>
                <w:rFonts w:hint="eastAsia" w:ascii="宋体" w:hAnsi="宋体" w:cs="宋体"/>
                <w:sz w:val="24"/>
              </w:rPr>
              <w:t>包号</w:t>
            </w:r>
          </w:p>
        </w:tc>
        <w:tc>
          <w:tcPr>
            <w:tcW w:w="3069" w:type="dxa"/>
            <w:vAlign w:val="center"/>
          </w:tcPr>
          <w:p w14:paraId="79C3792A">
            <w:pPr>
              <w:spacing w:line="360" w:lineRule="auto"/>
              <w:jc w:val="center"/>
              <w:rPr>
                <w:rFonts w:ascii="宋体" w:hAnsi="宋体" w:cs="宋体"/>
                <w:sz w:val="24"/>
              </w:rPr>
            </w:pPr>
            <w:r>
              <w:rPr>
                <w:rFonts w:hint="eastAsia" w:ascii="宋体" w:hAnsi="宋体" w:cs="宋体"/>
                <w:sz w:val="24"/>
              </w:rPr>
              <w:t>包名称</w:t>
            </w:r>
          </w:p>
        </w:tc>
        <w:tc>
          <w:tcPr>
            <w:tcW w:w="1491" w:type="dxa"/>
            <w:vAlign w:val="center"/>
          </w:tcPr>
          <w:p w14:paraId="32140970">
            <w:pPr>
              <w:spacing w:line="360" w:lineRule="auto"/>
              <w:jc w:val="center"/>
              <w:rPr>
                <w:rFonts w:ascii="宋体" w:hAnsi="宋体" w:cs="宋体"/>
                <w:sz w:val="24"/>
              </w:rPr>
            </w:pPr>
            <w:r>
              <w:rPr>
                <w:rFonts w:hint="eastAsia" w:ascii="宋体" w:hAnsi="宋体" w:cs="宋体"/>
                <w:sz w:val="24"/>
              </w:rPr>
              <w:t>包预算</w:t>
            </w:r>
          </w:p>
          <w:p w14:paraId="43C4A3CE">
            <w:pPr>
              <w:pStyle w:val="5"/>
              <w:ind w:left="0" w:leftChars="0" w:firstLine="0" w:firstLineChars="0"/>
            </w:pPr>
            <w:r>
              <w:rPr>
                <w:rFonts w:hint="eastAsia" w:ascii="宋体" w:hAnsi="宋体" w:eastAsia="宋体" w:cs="宋体"/>
                <w:sz w:val="24"/>
                <w:szCs w:val="24"/>
              </w:rPr>
              <w:t>（元）</w:t>
            </w:r>
          </w:p>
        </w:tc>
        <w:tc>
          <w:tcPr>
            <w:tcW w:w="1492" w:type="dxa"/>
            <w:vAlign w:val="center"/>
          </w:tcPr>
          <w:p w14:paraId="1A784455">
            <w:pPr>
              <w:spacing w:line="360" w:lineRule="auto"/>
              <w:jc w:val="center"/>
              <w:rPr>
                <w:rFonts w:ascii="宋体" w:hAnsi="宋体" w:cs="宋体"/>
                <w:sz w:val="24"/>
              </w:rPr>
            </w:pPr>
            <w:r>
              <w:rPr>
                <w:rFonts w:hint="eastAsia" w:ascii="宋体" w:hAnsi="宋体" w:cs="宋体"/>
                <w:sz w:val="24"/>
              </w:rPr>
              <w:t>包最高限价</w:t>
            </w:r>
          </w:p>
          <w:p w14:paraId="62460EF2">
            <w:pPr>
              <w:spacing w:line="360" w:lineRule="auto"/>
              <w:jc w:val="center"/>
              <w:rPr>
                <w:rFonts w:ascii="宋体" w:hAnsi="宋体" w:cs="宋体"/>
                <w:sz w:val="24"/>
              </w:rPr>
            </w:pPr>
            <w:r>
              <w:rPr>
                <w:rFonts w:hint="eastAsia" w:ascii="宋体" w:hAnsi="宋体" w:cs="宋体"/>
                <w:sz w:val="24"/>
              </w:rPr>
              <w:t>（元）</w:t>
            </w:r>
          </w:p>
        </w:tc>
        <w:tc>
          <w:tcPr>
            <w:tcW w:w="1176" w:type="dxa"/>
            <w:vAlign w:val="center"/>
          </w:tcPr>
          <w:p w14:paraId="04D77360">
            <w:pPr>
              <w:widowControl/>
              <w:spacing w:line="276" w:lineRule="auto"/>
              <w:jc w:val="center"/>
              <w:rPr>
                <w:rFonts w:ascii="宋体" w:hAnsi="宋体" w:cs="宋体"/>
                <w:sz w:val="24"/>
              </w:rPr>
            </w:pPr>
            <w:r>
              <w:rPr>
                <w:rFonts w:hint="eastAsia" w:ascii="宋体" w:hAnsi="宋体" w:cs="宋体"/>
                <w:kern w:val="0"/>
                <w:sz w:val="24"/>
              </w:rPr>
              <w:t>是否专门面向中小企业</w:t>
            </w:r>
          </w:p>
        </w:tc>
        <w:tc>
          <w:tcPr>
            <w:tcW w:w="1170" w:type="dxa"/>
            <w:vAlign w:val="center"/>
          </w:tcPr>
          <w:p w14:paraId="408AD554">
            <w:pPr>
              <w:widowControl/>
              <w:spacing w:line="276" w:lineRule="auto"/>
              <w:jc w:val="center"/>
              <w:rPr>
                <w:rFonts w:ascii="宋体" w:hAnsi="宋体" w:cs="宋体"/>
                <w:sz w:val="24"/>
              </w:rPr>
            </w:pPr>
            <w:r>
              <w:rPr>
                <w:rFonts w:hint="eastAsia" w:ascii="宋体" w:hAnsi="宋体" w:cs="宋体"/>
                <w:kern w:val="0"/>
                <w:sz w:val="24"/>
              </w:rPr>
              <w:t>采购预留金额（元）</w:t>
            </w:r>
          </w:p>
        </w:tc>
      </w:tr>
      <w:tr w14:paraId="394C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133D8209">
            <w:pPr>
              <w:spacing w:line="360" w:lineRule="auto"/>
              <w:jc w:val="center"/>
              <w:rPr>
                <w:rFonts w:ascii="宋体" w:hAnsi="宋体" w:cs="宋体"/>
                <w:sz w:val="24"/>
              </w:rPr>
            </w:pPr>
            <w:r>
              <w:rPr>
                <w:rFonts w:hint="eastAsia" w:ascii="宋体" w:hAnsi="宋体" w:cs="宋体"/>
                <w:sz w:val="24"/>
              </w:rPr>
              <w:t>1</w:t>
            </w:r>
          </w:p>
        </w:tc>
        <w:tc>
          <w:tcPr>
            <w:tcW w:w="1556" w:type="dxa"/>
            <w:vAlign w:val="center"/>
          </w:tcPr>
          <w:p w14:paraId="52A723D6">
            <w:pPr>
              <w:spacing w:line="360" w:lineRule="auto"/>
              <w:jc w:val="center"/>
              <w:rPr>
                <w:rFonts w:ascii="宋体" w:hAnsi="宋体" w:cs="宋体"/>
                <w:sz w:val="24"/>
              </w:rPr>
            </w:pPr>
            <w:r>
              <w:rPr>
                <w:rFonts w:hint="eastAsia" w:ascii="宋体" w:hAnsi="宋体" w:cs="宋体"/>
                <w:sz w:val="24"/>
                <w:lang w:eastAsia="zh-CN"/>
              </w:rPr>
              <w:t>SZGZ[2026]116-ZC096</w:t>
            </w:r>
            <w:r>
              <w:rPr>
                <w:rFonts w:hint="eastAsia" w:ascii="宋体" w:hAnsi="宋体" w:cs="宋体"/>
                <w:sz w:val="24"/>
              </w:rPr>
              <w:t>-1</w:t>
            </w:r>
          </w:p>
        </w:tc>
        <w:tc>
          <w:tcPr>
            <w:tcW w:w="3069" w:type="dxa"/>
            <w:vAlign w:val="center"/>
          </w:tcPr>
          <w:p w14:paraId="0AA4B0C5">
            <w:pPr>
              <w:spacing w:line="360" w:lineRule="auto"/>
              <w:jc w:val="center"/>
              <w:rPr>
                <w:rFonts w:ascii="宋体" w:hAnsi="宋体" w:cs="宋体"/>
                <w:sz w:val="24"/>
              </w:rPr>
            </w:pPr>
            <w:r>
              <w:rPr>
                <w:rFonts w:hint="eastAsia" w:ascii="宋体" w:hAnsi="宋体" w:cs="宋体"/>
                <w:sz w:val="24"/>
              </w:rPr>
              <w:t>解决陕州区河道砂石资源经营权出让前期费用项目、一标段</w:t>
            </w:r>
          </w:p>
        </w:tc>
        <w:tc>
          <w:tcPr>
            <w:tcW w:w="1491" w:type="dxa"/>
            <w:vAlign w:val="center"/>
          </w:tcPr>
          <w:p w14:paraId="692E7839">
            <w:pPr>
              <w:spacing w:line="360" w:lineRule="auto"/>
              <w:jc w:val="center"/>
              <w:rPr>
                <w:rFonts w:ascii="宋体" w:hAnsi="宋体" w:cs="宋体"/>
                <w:sz w:val="24"/>
              </w:rPr>
            </w:pPr>
            <w:r>
              <w:rPr>
                <w:rFonts w:hint="eastAsia" w:ascii="宋体" w:hAnsi="宋体" w:cs="宋体"/>
                <w:sz w:val="28"/>
                <w:szCs w:val="28"/>
              </w:rPr>
              <w:t>290000</w:t>
            </w:r>
          </w:p>
        </w:tc>
        <w:tc>
          <w:tcPr>
            <w:tcW w:w="1492" w:type="dxa"/>
            <w:vAlign w:val="center"/>
          </w:tcPr>
          <w:p w14:paraId="2306B362">
            <w:pPr>
              <w:spacing w:line="360" w:lineRule="auto"/>
              <w:jc w:val="center"/>
              <w:rPr>
                <w:rFonts w:ascii="宋体" w:hAnsi="宋体" w:cs="宋体"/>
                <w:sz w:val="24"/>
              </w:rPr>
            </w:pPr>
            <w:r>
              <w:rPr>
                <w:rFonts w:hint="eastAsia" w:ascii="宋体" w:hAnsi="宋体" w:cs="宋体"/>
                <w:sz w:val="28"/>
                <w:szCs w:val="28"/>
              </w:rPr>
              <w:t>290000</w:t>
            </w:r>
          </w:p>
        </w:tc>
        <w:tc>
          <w:tcPr>
            <w:tcW w:w="1176" w:type="dxa"/>
            <w:vAlign w:val="center"/>
          </w:tcPr>
          <w:p w14:paraId="5D26DE04">
            <w:pPr>
              <w:widowControl/>
              <w:spacing w:line="360" w:lineRule="auto"/>
              <w:jc w:val="center"/>
              <w:rPr>
                <w:rFonts w:ascii="宋体" w:hAnsi="宋体" w:cs="宋体"/>
                <w:sz w:val="24"/>
              </w:rPr>
            </w:pPr>
            <w:r>
              <w:rPr>
                <w:rFonts w:hint="eastAsia" w:ascii="宋体" w:hAnsi="宋体"/>
                <w:sz w:val="24"/>
              </w:rPr>
              <w:t>是</w:t>
            </w:r>
          </w:p>
        </w:tc>
        <w:tc>
          <w:tcPr>
            <w:tcW w:w="1170" w:type="dxa"/>
            <w:vAlign w:val="center"/>
          </w:tcPr>
          <w:p w14:paraId="318BD707">
            <w:pPr>
              <w:widowControl/>
              <w:spacing w:line="360" w:lineRule="auto"/>
              <w:jc w:val="center"/>
              <w:rPr>
                <w:rFonts w:ascii="宋体" w:hAnsi="宋体" w:cs="宋体"/>
                <w:sz w:val="24"/>
              </w:rPr>
            </w:pPr>
            <w:r>
              <w:rPr>
                <w:rFonts w:hint="eastAsia" w:ascii="宋体" w:hAnsi="宋体" w:cs="宋体"/>
                <w:sz w:val="28"/>
                <w:szCs w:val="28"/>
              </w:rPr>
              <w:t>290000</w:t>
            </w:r>
          </w:p>
        </w:tc>
      </w:tr>
      <w:tr w14:paraId="3404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14:paraId="60FBC17E">
            <w:pPr>
              <w:spacing w:line="360" w:lineRule="auto"/>
              <w:jc w:val="center"/>
              <w:rPr>
                <w:rFonts w:ascii="宋体" w:hAnsi="宋体" w:cs="宋体"/>
                <w:sz w:val="24"/>
              </w:rPr>
            </w:pPr>
            <w:r>
              <w:rPr>
                <w:rFonts w:hint="eastAsia" w:ascii="宋体" w:hAnsi="宋体" w:cs="宋体"/>
                <w:sz w:val="24"/>
              </w:rPr>
              <w:t>2</w:t>
            </w:r>
          </w:p>
        </w:tc>
        <w:tc>
          <w:tcPr>
            <w:tcW w:w="1556" w:type="dxa"/>
            <w:vAlign w:val="center"/>
          </w:tcPr>
          <w:p w14:paraId="447B5F10">
            <w:pPr>
              <w:spacing w:line="360" w:lineRule="auto"/>
              <w:jc w:val="center"/>
              <w:rPr>
                <w:rFonts w:hint="eastAsia" w:ascii="宋体" w:hAnsi="宋体" w:eastAsia="宋体" w:cs="宋体"/>
                <w:sz w:val="24"/>
                <w:lang w:eastAsia="zh-CN"/>
              </w:rPr>
            </w:pPr>
            <w:r>
              <w:rPr>
                <w:rFonts w:hint="eastAsia" w:ascii="宋体" w:hAnsi="宋体" w:cs="宋体"/>
                <w:sz w:val="24"/>
                <w:lang w:eastAsia="zh-CN"/>
              </w:rPr>
              <w:t>SZGZ[2026]116-ZC096</w:t>
            </w:r>
            <w:r>
              <w:rPr>
                <w:rFonts w:hint="eastAsia" w:ascii="宋体" w:hAnsi="宋体" w:cs="宋体"/>
                <w:sz w:val="24"/>
              </w:rPr>
              <w:t>-</w:t>
            </w:r>
            <w:r>
              <w:rPr>
                <w:rFonts w:hint="eastAsia" w:ascii="宋体" w:hAnsi="宋体" w:cs="宋体"/>
                <w:sz w:val="24"/>
                <w:lang w:val="en-US" w:eastAsia="zh-CN"/>
              </w:rPr>
              <w:t>2</w:t>
            </w:r>
          </w:p>
        </w:tc>
        <w:tc>
          <w:tcPr>
            <w:tcW w:w="3069" w:type="dxa"/>
            <w:vAlign w:val="center"/>
          </w:tcPr>
          <w:p w14:paraId="6EC640A8">
            <w:pPr>
              <w:spacing w:line="360" w:lineRule="auto"/>
              <w:jc w:val="center"/>
              <w:rPr>
                <w:rFonts w:hint="eastAsia" w:ascii="宋体" w:hAnsi="宋体" w:cs="宋体"/>
                <w:sz w:val="24"/>
              </w:rPr>
            </w:pPr>
            <w:r>
              <w:rPr>
                <w:rFonts w:hint="eastAsia" w:ascii="宋体" w:hAnsi="宋体" w:cs="宋体"/>
                <w:sz w:val="24"/>
              </w:rPr>
              <w:t>解决陕州区河道砂石资源经营权出让前期费用项目、二标段</w:t>
            </w:r>
          </w:p>
        </w:tc>
        <w:tc>
          <w:tcPr>
            <w:tcW w:w="1491" w:type="dxa"/>
            <w:vAlign w:val="center"/>
          </w:tcPr>
          <w:p w14:paraId="44B75657">
            <w:pPr>
              <w:spacing w:line="360" w:lineRule="auto"/>
              <w:jc w:val="center"/>
              <w:rPr>
                <w:rFonts w:hint="eastAsia" w:ascii="宋体" w:hAnsi="宋体" w:cs="宋体"/>
                <w:sz w:val="24"/>
              </w:rPr>
            </w:pPr>
            <w:r>
              <w:rPr>
                <w:rFonts w:hint="eastAsia" w:ascii="宋体" w:hAnsi="宋体" w:cs="宋体"/>
                <w:sz w:val="28"/>
                <w:szCs w:val="28"/>
              </w:rPr>
              <w:t>80000</w:t>
            </w:r>
          </w:p>
        </w:tc>
        <w:tc>
          <w:tcPr>
            <w:tcW w:w="1492" w:type="dxa"/>
            <w:vAlign w:val="center"/>
          </w:tcPr>
          <w:p w14:paraId="4DD286C1">
            <w:pPr>
              <w:spacing w:line="360" w:lineRule="auto"/>
              <w:jc w:val="center"/>
              <w:rPr>
                <w:rFonts w:hint="eastAsia" w:ascii="宋体" w:hAnsi="宋体" w:cs="宋体"/>
                <w:sz w:val="24"/>
              </w:rPr>
            </w:pPr>
            <w:r>
              <w:rPr>
                <w:rFonts w:hint="eastAsia" w:ascii="宋体" w:hAnsi="宋体" w:cs="宋体"/>
                <w:sz w:val="28"/>
                <w:szCs w:val="28"/>
              </w:rPr>
              <w:t>80000</w:t>
            </w:r>
          </w:p>
        </w:tc>
        <w:tc>
          <w:tcPr>
            <w:tcW w:w="1176" w:type="dxa"/>
            <w:vAlign w:val="center"/>
          </w:tcPr>
          <w:p w14:paraId="0A0D1E7C">
            <w:pPr>
              <w:widowControl/>
              <w:spacing w:line="360" w:lineRule="auto"/>
              <w:jc w:val="center"/>
              <w:rPr>
                <w:rFonts w:hint="eastAsia" w:ascii="宋体" w:hAnsi="宋体"/>
                <w:sz w:val="24"/>
              </w:rPr>
            </w:pPr>
            <w:r>
              <w:rPr>
                <w:rFonts w:hint="eastAsia" w:ascii="宋体" w:hAnsi="宋体"/>
                <w:sz w:val="24"/>
              </w:rPr>
              <w:t>是</w:t>
            </w:r>
          </w:p>
        </w:tc>
        <w:tc>
          <w:tcPr>
            <w:tcW w:w="1170" w:type="dxa"/>
            <w:vAlign w:val="center"/>
          </w:tcPr>
          <w:p w14:paraId="4E887D0D">
            <w:pPr>
              <w:widowControl/>
              <w:spacing w:line="360" w:lineRule="auto"/>
              <w:jc w:val="center"/>
              <w:rPr>
                <w:rFonts w:hint="eastAsia" w:ascii="宋体" w:hAnsi="宋体" w:cs="宋体"/>
                <w:sz w:val="24"/>
              </w:rPr>
            </w:pPr>
            <w:r>
              <w:rPr>
                <w:rFonts w:hint="eastAsia" w:ascii="宋体" w:hAnsi="宋体" w:cs="宋体"/>
                <w:sz w:val="28"/>
                <w:szCs w:val="28"/>
              </w:rPr>
              <w:t>80000</w:t>
            </w:r>
          </w:p>
        </w:tc>
      </w:tr>
    </w:tbl>
    <w:p w14:paraId="731ADDF9">
      <w:pPr>
        <w:spacing w:line="360" w:lineRule="auto"/>
        <w:ind w:firstLine="480" w:firstLineChars="200"/>
        <w:rPr>
          <w:rFonts w:ascii="宋体" w:hAnsi="宋体"/>
          <w:sz w:val="24"/>
        </w:rPr>
      </w:pPr>
      <w:r>
        <w:rPr>
          <w:rFonts w:ascii="宋体" w:hAnsi="宋体"/>
          <w:sz w:val="24"/>
        </w:rPr>
        <w:t>5、</w:t>
      </w:r>
      <w:r>
        <w:rPr>
          <w:rFonts w:hint="eastAsia" w:ascii="宋体" w:hAnsi="宋体"/>
          <w:sz w:val="24"/>
        </w:rPr>
        <w:t>采购需求</w:t>
      </w:r>
      <w:r>
        <w:rPr>
          <w:rFonts w:ascii="宋体" w:hAnsi="宋体"/>
          <w:sz w:val="24"/>
        </w:rPr>
        <w:t>（包括但不限于标的的名称、数量、简要技术需求或服务要求等）</w:t>
      </w:r>
    </w:p>
    <w:p w14:paraId="3ADF64E8">
      <w:pPr>
        <w:spacing w:line="360" w:lineRule="auto"/>
        <w:ind w:firstLine="480" w:firstLineChars="200"/>
        <w:rPr>
          <w:rFonts w:ascii="宋体" w:hAnsi="宋体" w:cs="宋体"/>
          <w:sz w:val="24"/>
        </w:rPr>
      </w:pPr>
      <w:r>
        <w:rPr>
          <w:rFonts w:hint="eastAsia" w:ascii="宋体" w:hAnsi="宋体" w:cs="宋体"/>
          <w:sz w:val="24"/>
        </w:rPr>
        <w:t>5.1采购内容：陕州区河道砂石资源经营权出让前期费用项目，本项目内容共分为一标段《三门峡市陕州区河道采砂规划(2026-2030年)》报告编制、《三门峡市陕州区河道砂石储量调查报告》报告编制；二标段河道砂石资源专业评估报告编制。具体内容及要求详见竞争性磋商文件；</w:t>
      </w:r>
    </w:p>
    <w:p w14:paraId="7260E4BC">
      <w:pPr>
        <w:spacing w:line="360" w:lineRule="auto"/>
        <w:ind w:firstLine="480" w:firstLineChars="200"/>
        <w:rPr>
          <w:rFonts w:ascii="宋体" w:hAnsi="宋体" w:cs="宋体"/>
          <w:sz w:val="24"/>
        </w:rPr>
      </w:pPr>
      <w:r>
        <w:rPr>
          <w:rFonts w:hint="eastAsia" w:ascii="宋体" w:hAnsi="宋体" w:cs="宋体"/>
          <w:sz w:val="24"/>
        </w:rPr>
        <w:t>5.2资金来源及落实情况：财政资金，已落实</w:t>
      </w:r>
    </w:p>
    <w:p w14:paraId="4F36B50B">
      <w:pPr>
        <w:spacing w:line="360" w:lineRule="auto"/>
        <w:ind w:firstLine="480" w:firstLineChars="200"/>
        <w:rPr>
          <w:rFonts w:ascii="宋体" w:hAnsi="宋体" w:cs="宋体"/>
          <w:sz w:val="24"/>
        </w:rPr>
      </w:pPr>
      <w:r>
        <w:rPr>
          <w:rFonts w:hint="eastAsia" w:ascii="宋体" w:hAnsi="宋体" w:cs="宋体"/>
          <w:sz w:val="24"/>
        </w:rPr>
        <w:t>5.3质量要求：符合国家、行业、地方规范和法规的要求，并通过专家评审</w:t>
      </w:r>
    </w:p>
    <w:p w14:paraId="53E7D4C0">
      <w:pPr>
        <w:spacing w:line="360" w:lineRule="auto"/>
        <w:ind w:firstLine="480" w:firstLineChars="200"/>
        <w:rPr>
          <w:rFonts w:ascii="宋体" w:hAnsi="宋体" w:cs="宋体"/>
          <w:sz w:val="24"/>
        </w:rPr>
      </w:pPr>
      <w:r>
        <w:rPr>
          <w:rFonts w:hint="eastAsia" w:ascii="宋体" w:hAnsi="宋体" w:cs="宋体"/>
          <w:sz w:val="24"/>
        </w:rPr>
        <w:t>5.4服务期限：一标段签订合同后30日历天，二标段采砂规划批复后20日历天。</w:t>
      </w:r>
    </w:p>
    <w:p w14:paraId="13B925BA">
      <w:pPr>
        <w:spacing w:line="360" w:lineRule="auto"/>
        <w:ind w:firstLine="480" w:firstLineChars="200"/>
        <w:rPr>
          <w:rFonts w:ascii="宋体" w:hAnsi="宋体" w:cs="宋体"/>
          <w:sz w:val="24"/>
        </w:rPr>
      </w:pPr>
      <w:r>
        <w:rPr>
          <w:rFonts w:hint="eastAsia" w:ascii="宋体" w:hAnsi="宋体" w:cs="宋体"/>
          <w:sz w:val="24"/>
        </w:rPr>
        <w:t>5.5服务地点：三门峡市陕州区</w:t>
      </w:r>
    </w:p>
    <w:p w14:paraId="37C98FC0">
      <w:pPr>
        <w:spacing w:line="360" w:lineRule="auto"/>
        <w:ind w:firstLine="480" w:firstLineChars="200"/>
        <w:rPr>
          <w:rFonts w:ascii="宋体" w:hAnsi="宋体" w:cs="宋体"/>
          <w:sz w:val="24"/>
        </w:rPr>
      </w:pPr>
      <w:r>
        <w:rPr>
          <w:rFonts w:hint="eastAsia" w:ascii="宋体" w:hAnsi="宋体" w:cs="宋体"/>
          <w:sz w:val="24"/>
        </w:rPr>
        <w:t>6、</w:t>
      </w:r>
      <w:r>
        <w:rPr>
          <w:rFonts w:hint="eastAsia" w:ascii="宋体" w:hAnsi="宋体"/>
          <w:sz w:val="24"/>
        </w:rPr>
        <w:t>合同履行期限</w:t>
      </w:r>
      <w:r>
        <w:rPr>
          <w:rFonts w:hint="eastAsia" w:ascii="宋体" w:hAnsi="宋体" w:cs="宋体"/>
          <w:sz w:val="24"/>
        </w:rPr>
        <w:t>：按合同约定执行。</w:t>
      </w:r>
    </w:p>
    <w:p w14:paraId="2DA48AAF">
      <w:pPr>
        <w:spacing w:line="360" w:lineRule="auto"/>
        <w:ind w:firstLine="480" w:firstLineChars="200"/>
        <w:rPr>
          <w:rFonts w:ascii="宋体" w:hAnsi="宋体" w:cs="宋体"/>
          <w:sz w:val="24"/>
        </w:rPr>
      </w:pPr>
      <w:r>
        <w:rPr>
          <w:rFonts w:ascii="宋体" w:hAnsi="宋体"/>
          <w:sz w:val="24"/>
        </w:rPr>
        <w:t>7、</w:t>
      </w:r>
      <w:r>
        <w:rPr>
          <w:rFonts w:hint="eastAsia" w:ascii="宋体" w:hAnsi="宋体"/>
          <w:sz w:val="24"/>
        </w:rPr>
        <w:t>本项目是否接受联合体投标：否</w:t>
      </w:r>
    </w:p>
    <w:p w14:paraId="30F5EC0A">
      <w:pPr>
        <w:spacing w:line="360" w:lineRule="auto"/>
        <w:ind w:firstLine="480" w:firstLineChars="200"/>
        <w:rPr>
          <w:rFonts w:ascii="宋体" w:hAnsi="宋体"/>
          <w:sz w:val="24"/>
        </w:rPr>
      </w:pPr>
      <w:r>
        <w:rPr>
          <w:rFonts w:hint="eastAsia" w:ascii="宋体" w:hAnsi="宋体" w:cs="宋体"/>
          <w:sz w:val="24"/>
        </w:rPr>
        <w:t>8、</w:t>
      </w:r>
      <w:r>
        <w:rPr>
          <w:rFonts w:hint="eastAsia" w:ascii="宋体" w:hAnsi="宋体"/>
          <w:sz w:val="24"/>
        </w:rPr>
        <w:t>是否接受进口产品：否</w:t>
      </w:r>
    </w:p>
    <w:p w14:paraId="7EA5F2FF">
      <w:pPr>
        <w:spacing w:line="360" w:lineRule="auto"/>
        <w:ind w:firstLine="480" w:firstLineChars="200"/>
        <w:rPr>
          <w:rFonts w:ascii="宋体" w:hAnsi="宋体" w:cs="宋体"/>
          <w:sz w:val="24"/>
        </w:rPr>
      </w:pPr>
      <w:r>
        <w:rPr>
          <w:rFonts w:ascii="宋体" w:hAnsi="宋体"/>
          <w:sz w:val="24"/>
        </w:rPr>
        <w:t>9</w:t>
      </w:r>
      <w:r>
        <w:rPr>
          <w:rFonts w:hint="eastAsia" w:ascii="宋体" w:hAnsi="宋体"/>
          <w:sz w:val="24"/>
        </w:rPr>
        <w:t>、是否专门面向中小企业采购：是</w:t>
      </w:r>
    </w:p>
    <w:p w14:paraId="047EC7A9">
      <w:pPr>
        <w:spacing w:line="360" w:lineRule="auto"/>
        <w:ind w:firstLine="480" w:firstLineChars="200"/>
        <w:rPr>
          <w:rFonts w:ascii="宋体" w:hAnsi="宋体" w:cs="宋体"/>
          <w:sz w:val="24"/>
        </w:rPr>
      </w:pPr>
      <w:r>
        <w:rPr>
          <w:rFonts w:hint="eastAsia" w:ascii="宋体" w:hAnsi="宋体" w:cs="宋体"/>
          <w:sz w:val="24"/>
        </w:rPr>
        <w:t>二、供应商资格要求：</w:t>
      </w:r>
    </w:p>
    <w:p w14:paraId="4AB02DDA">
      <w:pPr>
        <w:spacing w:line="360" w:lineRule="auto"/>
        <w:ind w:firstLine="480" w:firstLineChars="200"/>
        <w:rPr>
          <w:rFonts w:hint="eastAsia" w:ascii="宋体" w:hAnsi="宋体" w:cs="宋体"/>
          <w:sz w:val="24"/>
        </w:rPr>
      </w:pPr>
      <w:r>
        <w:rPr>
          <w:rFonts w:hint="eastAsia" w:ascii="宋体" w:hAnsi="宋体" w:cs="宋体"/>
          <w:sz w:val="24"/>
        </w:rPr>
        <w:t>1、供应商符合《中华人民共和国政府采购法》第二十二条规定条件：</w:t>
      </w:r>
    </w:p>
    <w:p w14:paraId="6639F25B">
      <w:pPr>
        <w:spacing w:line="360" w:lineRule="auto"/>
        <w:ind w:firstLine="480" w:firstLineChars="200"/>
        <w:rPr>
          <w:rFonts w:hint="eastAsia" w:ascii="宋体" w:hAnsi="宋体" w:cs="宋体"/>
          <w:sz w:val="24"/>
        </w:rPr>
      </w:pPr>
      <w:r>
        <w:rPr>
          <w:rFonts w:hint="eastAsia" w:ascii="宋体" w:hAnsi="宋体" w:cs="宋体"/>
          <w:sz w:val="24"/>
        </w:rPr>
        <w:t>2、落实政府采购政策满足的资格要求：本项目专门面向中小微企业采购项目，执行促进中小型企业发展政策（残疾人福利性企业、监狱企业视同小微企业）、优先采购节能环保产品等政府采购政策。</w:t>
      </w:r>
    </w:p>
    <w:p w14:paraId="4BCDE24A">
      <w:pPr>
        <w:spacing w:line="360" w:lineRule="auto"/>
        <w:ind w:firstLine="480" w:firstLineChars="200"/>
        <w:rPr>
          <w:rFonts w:hint="eastAsia" w:ascii="宋体" w:hAnsi="宋体" w:cs="宋体"/>
          <w:sz w:val="24"/>
        </w:rPr>
      </w:pPr>
      <w:r>
        <w:rPr>
          <w:rFonts w:hint="eastAsia" w:ascii="宋体" w:hAnsi="宋体" w:cs="宋体"/>
          <w:sz w:val="24"/>
        </w:rPr>
        <w:t>3、本项目的特定资格要求</w:t>
      </w:r>
    </w:p>
    <w:p w14:paraId="0982F28F">
      <w:pPr>
        <w:spacing w:line="360" w:lineRule="auto"/>
        <w:ind w:firstLine="480" w:firstLineChars="200"/>
        <w:rPr>
          <w:rFonts w:hint="eastAsia" w:ascii="宋体" w:hAnsi="宋体" w:cs="宋体"/>
          <w:sz w:val="24"/>
        </w:rPr>
      </w:pPr>
      <w:r>
        <w:rPr>
          <w:rFonts w:hint="eastAsia" w:ascii="宋体" w:hAnsi="宋体" w:cs="宋体"/>
          <w:sz w:val="24"/>
        </w:rPr>
        <w:t>3.1供应商具有独立承担民事责任的能力；(供应商是企业（包括合伙企业），应提供在市场监督管理局注册的有效“企业法人营业执照”；供应商是事业单位，应提供有效的“事业单位法人证书”)；</w:t>
      </w:r>
    </w:p>
    <w:p w14:paraId="753BDB04">
      <w:pPr>
        <w:spacing w:line="360" w:lineRule="auto"/>
        <w:ind w:firstLine="480" w:firstLineChars="200"/>
        <w:rPr>
          <w:rFonts w:hint="eastAsia" w:ascii="宋体" w:hAnsi="宋体" w:cs="宋体"/>
          <w:sz w:val="24"/>
        </w:rPr>
      </w:pPr>
      <w:r>
        <w:rPr>
          <w:rFonts w:hint="eastAsia" w:ascii="宋体" w:hAnsi="宋体" w:cs="宋体"/>
          <w:sz w:val="24"/>
        </w:rPr>
        <w:t>3.2一标段：供应商须具有行政主管部门核发的工程设计水利行业（河道整治）专业乙级及以上资质；</w:t>
      </w:r>
    </w:p>
    <w:p w14:paraId="4F820624">
      <w:pPr>
        <w:spacing w:line="360" w:lineRule="auto"/>
        <w:ind w:firstLine="480" w:firstLineChars="200"/>
        <w:rPr>
          <w:rFonts w:hint="eastAsia" w:ascii="宋体" w:hAnsi="宋体" w:cs="宋体"/>
          <w:sz w:val="24"/>
        </w:rPr>
      </w:pPr>
      <w:r>
        <w:rPr>
          <w:rFonts w:hint="eastAsia" w:ascii="宋体" w:hAnsi="宋体" w:cs="宋体"/>
          <w:sz w:val="24"/>
        </w:rPr>
        <w:t>二标段：供应商须具有有关主管部门颁发的资产评估资格证书（或备案证明）（提供相关证明材料并加盖公章）</w:t>
      </w:r>
    </w:p>
    <w:p w14:paraId="240D4C76">
      <w:pPr>
        <w:spacing w:line="360" w:lineRule="auto"/>
        <w:ind w:firstLine="480" w:firstLineChars="200"/>
        <w:rPr>
          <w:rFonts w:hint="eastAsia" w:ascii="宋体" w:hAnsi="宋体" w:cs="宋体"/>
          <w:sz w:val="24"/>
        </w:rPr>
      </w:pPr>
      <w:r>
        <w:rPr>
          <w:rFonts w:hint="eastAsia" w:ascii="宋体" w:hAnsi="宋体" w:cs="宋体"/>
          <w:sz w:val="24"/>
        </w:rPr>
        <w:t>3.3一标段：项目负责人须具有水利相关专业中级及以上职称（提供本单位为其缴纳的社保证明）；</w:t>
      </w:r>
    </w:p>
    <w:p w14:paraId="67BF5D1B">
      <w:pPr>
        <w:spacing w:line="360" w:lineRule="auto"/>
        <w:ind w:firstLine="480" w:firstLineChars="200"/>
        <w:rPr>
          <w:rFonts w:hint="eastAsia" w:ascii="宋体" w:hAnsi="宋体" w:cs="宋体"/>
          <w:sz w:val="24"/>
        </w:rPr>
      </w:pPr>
      <w:r>
        <w:rPr>
          <w:rFonts w:hint="eastAsia" w:ascii="宋体" w:hAnsi="宋体" w:cs="宋体"/>
          <w:sz w:val="24"/>
        </w:rPr>
        <w:t>二标段：项目负责人须具有资产评估师证书（提供本单位为其缴纳的社保证明、执业证书证明材料）</w:t>
      </w:r>
    </w:p>
    <w:p w14:paraId="16623F45">
      <w:pPr>
        <w:spacing w:line="360" w:lineRule="auto"/>
        <w:ind w:firstLine="480" w:firstLineChars="200"/>
        <w:rPr>
          <w:rFonts w:hint="eastAsia" w:ascii="宋体" w:hAnsi="宋体" w:cs="宋体"/>
          <w:sz w:val="24"/>
        </w:rPr>
      </w:pPr>
      <w:r>
        <w:rPr>
          <w:rFonts w:hint="eastAsia" w:ascii="宋体" w:hAnsi="宋体" w:cs="宋体"/>
          <w:sz w:val="24"/>
        </w:rPr>
        <w:t>3.4供应商出具无行贿犯罪记录在中国裁判文书网自行查询或自行承诺（查询对象：企业、法定代表人）；</w:t>
      </w:r>
    </w:p>
    <w:p w14:paraId="7A92E0DA">
      <w:pPr>
        <w:spacing w:line="360" w:lineRule="auto"/>
        <w:ind w:firstLine="480" w:firstLineChars="200"/>
        <w:rPr>
          <w:rFonts w:hint="eastAsia" w:ascii="宋体" w:hAnsi="宋体" w:cs="宋体"/>
          <w:sz w:val="24"/>
        </w:rPr>
      </w:pPr>
      <w:r>
        <w:rPr>
          <w:rFonts w:hint="eastAsia" w:ascii="宋体" w:hAnsi="宋体" w:cs="宋体"/>
          <w:sz w:val="24"/>
        </w:rPr>
        <w:t>3.5供应商须提供本企业无商业贿赂和不正当竞争行为承诺书；</w:t>
      </w:r>
    </w:p>
    <w:p w14:paraId="152B77D1">
      <w:pPr>
        <w:spacing w:line="360" w:lineRule="auto"/>
        <w:ind w:firstLine="480" w:firstLineChars="200"/>
        <w:rPr>
          <w:rFonts w:hint="eastAsia" w:ascii="宋体" w:hAnsi="宋体" w:cs="宋体"/>
          <w:sz w:val="24"/>
        </w:rPr>
      </w:pPr>
      <w:r>
        <w:rPr>
          <w:rFonts w:hint="eastAsia" w:ascii="宋体" w:hAnsi="宋体" w:cs="宋体"/>
          <w:sz w:val="24"/>
        </w:rPr>
        <w:t>3.6供应商没有被列入“中国执行信息公开网”的“失信被执行人”、“信用中国”的“重大税收违法失信主体”及“中国政府采购网站”的“政府采购严重违法失信行为记录名单”。【查询渠道：“中国执行信息公开网”（http://zxgk.court.gov.cn/）“信用中国”网站（www.creditchina.gov.cn）、“中国政府采购网”（www.ccgp.gov.cn）】(注：査询时间必须是本公告发布之后开标之前，查询结果清晰可见)；</w:t>
      </w:r>
    </w:p>
    <w:p w14:paraId="377111D5">
      <w:pPr>
        <w:spacing w:line="360" w:lineRule="auto"/>
        <w:ind w:firstLine="480" w:firstLineChars="200"/>
        <w:rPr>
          <w:rFonts w:ascii="宋体" w:hAnsi="宋体" w:cs="宋体"/>
          <w:sz w:val="24"/>
        </w:rPr>
      </w:pPr>
      <w:r>
        <w:rPr>
          <w:rFonts w:hint="eastAsia" w:ascii="宋体" w:hAnsi="宋体" w:cs="宋体"/>
          <w:sz w:val="24"/>
        </w:rPr>
        <w:t>3.7本项目不接受联合体投标；</w:t>
      </w:r>
    </w:p>
    <w:p w14:paraId="2F368BB4">
      <w:pPr>
        <w:spacing w:line="360" w:lineRule="auto"/>
        <w:ind w:firstLine="480" w:firstLineChars="200"/>
        <w:rPr>
          <w:rFonts w:ascii="宋体" w:hAnsi="宋体" w:cs="宋体"/>
          <w:sz w:val="24"/>
        </w:rPr>
      </w:pPr>
      <w:r>
        <w:rPr>
          <w:rFonts w:hint="eastAsia" w:ascii="宋体" w:hAnsi="宋体" w:cs="宋体"/>
          <w:sz w:val="24"/>
        </w:rPr>
        <w:t>三、获取采购文件：</w:t>
      </w:r>
    </w:p>
    <w:p w14:paraId="6360BE2A">
      <w:pPr>
        <w:wordWrap w:val="0"/>
        <w:spacing w:line="360" w:lineRule="auto"/>
        <w:ind w:firstLine="480" w:firstLineChars="200"/>
        <w:rPr>
          <w:rFonts w:ascii="宋体" w:hAnsi="宋体" w:cs="宋体"/>
          <w:sz w:val="24"/>
        </w:rPr>
      </w:pPr>
      <w:r>
        <w:rPr>
          <w:rFonts w:hint="eastAsia" w:ascii="宋体" w:hAnsi="宋体" w:cs="宋体"/>
          <w:sz w:val="24"/>
        </w:rPr>
        <w:t>1.时间：2026年0</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24</w:t>
      </w:r>
      <w:r>
        <w:rPr>
          <w:rFonts w:hint="eastAsia" w:ascii="宋体" w:hAnsi="宋体" w:cs="宋体"/>
          <w:sz w:val="24"/>
        </w:rPr>
        <w:t>日至2026年0</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04</w:t>
      </w:r>
      <w:r>
        <w:rPr>
          <w:rFonts w:hint="eastAsia" w:ascii="宋体" w:hAnsi="宋体" w:cs="宋体"/>
          <w:sz w:val="24"/>
        </w:rPr>
        <w:t>日，每天上午00:00至12:00，下午12:00至23:59</w:t>
      </w:r>
      <w:r>
        <w:rPr>
          <w:rFonts w:hint="eastAsia" w:ascii="宋体" w:hAnsi="宋体" w:cs="宋体"/>
          <w:sz w:val="24"/>
        </w:rPr>
        <w:t>（北京时间，法定节假日除外。）</w:t>
      </w:r>
    </w:p>
    <w:p w14:paraId="1396351E">
      <w:pPr>
        <w:wordWrap w:val="0"/>
        <w:spacing w:line="360" w:lineRule="auto"/>
        <w:ind w:firstLine="480" w:firstLineChars="200"/>
        <w:rPr>
          <w:rFonts w:ascii="宋体" w:hAnsi="宋体" w:cs="宋体"/>
          <w:sz w:val="24"/>
        </w:rPr>
      </w:pPr>
      <w:r>
        <w:rPr>
          <w:rFonts w:hint="eastAsia" w:ascii="宋体" w:hAnsi="宋体" w:cs="宋体"/>
          <w:sz w:val="24"/>
        </w:rPr>
        <w:t>2、地点：三门峡市公共资源交易中心网（网址：http://gzjy.smx.gov.cn）</w:t>
      </w:r>
    </w:p>
    <w:p w14:paraId="26F17B91">
      <w:pPr>
        <w:wordWrap w:val="0"/>
        <w:spacing w:line="360" w:lineRule="auto"/>
        <w:ind w:firstLine="480" w:firstLineChars="200"/>
        <w:rPr>
          <w:rFonts w:ascii="宋体" w:hAnsi="宋体" w:cs="宋体"/>
          <w:sz w:val="24"/>
        </w:rPr>
      </w:pPr>
      <w:r>
        <w:rPr>
          <w:rFonts w:hint="eastAsia" w:ascii="宋体" w:hAnsi="宋体" w:cs="宋体"/>
          <w:sz w:val="24"/>
        </w:rPr>
        <w:t>3、方式：本项目没有报名环节，供应商凭CA数字证书通过三门峡市公共资源交易中心网（网址：http://gzjy.smx.gov.cn/），点击公共资源交易平台选择“交易主体登录”，在所参与项目右侧点击参与投标，即可直接下载本项目磋商文件。</w:t>
      </w:r>
    </w:p>
    <w:p w14:paraId="6D7E9090">
      <w:pPr>
        <w:wordWrap w:val="0"/>
        <w:spacing w:line="360" w:lineRule="auto"/>
        <w:ind w:firstLine="480" w:firstLineChars="200"/>
        <w:rPr>
          <w:rFonts w:ascii="宋体" w:hAnsi="宋体" w:cs="宋体"/>
          <w:sz w:val="24"/>
        </w:rPr>
      </w:pPr>
      <w:r>
        <w:rPr>
          <w:rFonts w:hint="eastAsia" w:ascii="宋体" w:hAnsi="宋体" w:cs="宋体"/>
          <w:sz w:val="24"/>
        </w:rPr>
        <w:t>具体操作请查看以下链接：http://gzjy.smx.gov.cn/bzzx/008001/20200325/1d4d9bd4-82a2-4284-b2f7-428c4c69ef58.html</w:t>
      </w:r>
    </w:p>
    <w:p w14:paraId="65221093">
      <w:pPr>
        <w:wordWrap w:val="0"/>
        <w:spacing w:line="360" w:lineRule="auto"/>
        <w:ind w:firstLine="480" w:firstLineChars="200"/>
        <w:rPr>
          <w:rFonts w:ascii="宋体" w:hAnsi="宋体" w:cs="宋体"/>
          <w:sz w:val="24"/>
        </w:rPr>
      </w:pPr>
      <w:r>
        <w:rPr>
          <w:rFonts w:hint="eastAsia" w:ascii="宋体" w:hAnsi="宋体" w:cs="宋体"/>
          <w:sz w:val="24"/>
        </w:rPr>
        <w:t>CA证书操作手册：http://gzjy.smx.gov.cn/fwzn/004003/20210114/62052444-fa5b-47bb-8c75-c669600e56a8.html</w:t>
      </w:r>
    </w:p>
    <w:p w14:paraId="51AF89FF">
      <w:pPr>
        <w:wordWrap w:val="0"/>
        <w:spacing w:line="360" w:lineRule="auto"/>
        <w:ind w:firstLine="480" w:firstLineChars="200"/>
        <w:rPr>
          <w:sz w:val="24"/>
        </w:rPr>
      </w:pPr>
      <w:r>
        <w:rPr>
          <w:rFonts w:hint="eastAsia" w:ascii="宋体" w:hAnsi="宋体" w:cs="宋体"/>
          <w:sz w:val="24"/>
        </w:rPr>
        <w:t>4、售价：0元。</w:t>
      </w:r>
    </w:p>
    <w:p w14:paraId="7E2AB211">
      <w:pPr>
        <w:wordWrap w:val="0"/>
        <w:spacing w:line="360" w:lineRule="auto"/>
        <w:ind w:firstLine="480" w:firstLineChars="200"/>
        <w:rPr>
          <w:rFonts w:ascii="宋体" w:hAnsi="宋体" w:cs="宋体"/>
          <w:sz w:val="24"/>
        </w:rPr>
      </w:pPr>
      <w:r>
        <w:rPr>
          <w:rFonts w:hint="eastAsia" w:ascii="宋体" w:hAnsi="宋体" w:cs="宋体"/>
          <w:sz w:val="24"/>
        </w:rPr>
        <w:t>四、响应文件提交：</w:t>
      </w:r>
    </w:p>
    <w:p w14:paraId="76970433">
      <w:pPr>
        <w:wordWrap w:val="0"/>
        <w:spacing w:line="360" w:lineRule="auto"/>
        <w:ind w:firstLine="480" w:firstLineChars="200"/>
        <w:rPr>
          <w:rFonts w:ascii="宋体" w:hAnsi="宋体" w:cs="宋体"/>
          <w:sz w:val="24"/>
        </w:rPr>
      </w:pPr>
      <w:r>
        <w:rPr>
          <w:rFonts w:hint="eastAsia" w:ascii="宋体" w:hAnsi="宋体" w:cs="宋体"/>
          <w:sz w:val="24"/>
        </w:rPr>
        <w:t>1、截止时间：</w:t>
      </w:r>
      <w:r>
        <w:rPr>
          <w:rFonts w:hint="eastAsia" w:ascii="宋体" w:hAnsi="宋体" w:cs="宋体"/>
          <w:sz w:val="24"/>
          <w:lang w:eastAsia="zh-CN"/>
        </w:rPr>
        <w:t>2026年08月05日08时20分</w:t>
      </w:r>
      <w:r>
        <w:rPr>
          <w:rFonts w:hint="eastAsia" w:ascii="宋体" w:hAnsi="宋体" w:cs="宋体"/>
          <w:sz w:val="24"/>
        </w:rPr>
        <w:t>（北京时间）</w:t>
      </w:r>
    </w:p>
    <w:p w14:paraId="62A5737D">
      <w:pPr>
        <w:wordWrap w:val="0"/>
        <w:spacing w:line="360" w:lineRule="auto"/>
        <w:ind w:firstLine="480" w:firstLineChars="200"/>
        <w:rPr>
          <w:rFonts w:ascii="宋体" w:hAnsi="宋体" w:cs="宋体"/>
          <w:sz w:val="24"/>
        </w:rPr>
      </w:pPr>
      <w:r>
        <w:rPr>
          <w:rFonts w:hint="eastAsia" w:ascii="宋体" w:hAnsi="宋体" w:cs="宋体"/>
          <w:sz w:val="24"/>
        </w:rPr>
        <w:t>2、地点：在三门峡市公共资源交易中心网中上传加密响应文件。</w:t>
      </w:r>
    </w:p>
    <w:p w14:paraId="0B5BEA19">
      <w:pPr>
        <w:wordWrap w:val="0"/>
        <w:spacing w:line="360" w:lineRule="auto"/>
        <w:ind w:firstLine="480" w:firstLineChars="200"/>
        <w:rPr>
          <w:rFonts w:ascii="宋体" w:hAnsi="宋体" w:cs="宋体"/>
          <w:sz w:val="24"/>
        </w:rPr>
      </w:pPr>
      <w:r>
        <w:rPr>
          <w:rFonts w:hint="eastAsia" w:ascii="宋体" w:hAnsi="宋体" w:cs="宋体"/>
          <w:sz w:val="24"/>
        </w:rPr>
        <w:t>五、响应文件开启</w:t>
      </w:r>
    </w:p>
    <w:p w14:paraId="07DCB34D">
      <w:pPr>
        <w:wordWrap w:val="0"/>
        <w:spacing w:line="360" w:lineRule="auto"/>
        <w:ind w:firstLine="480" w:firstLineChars="200"/>
        <w:rPr>
          <w:rFonts w:ascii="宋体" w:hAnsi="宋体" w:cs="宋体"/>
          <w:sz w:val="24"/>
        </w:rPr>
      </w:pPr>
      <w:r>
        <w:rPr>
          <w:rFonts w:hint="eastAsia" w:ascii="宋体" w:hAnsi="宋体" w:cs="宋体"/>
          <w:sz w:val="24"/>
        </w:rPr>
        <w:t>1、时间：</w:t>
      </w:r>
      <w:r>
        <w:rPr>
          <w:rFonts w:hint="eastAsia" w:ascii="宋体" w:hAnsi="宋体" w:cs="宋体"/>
          <w:sz w:val="24"/>
          <w:lang w:eastAsia="zh-CN"/>
        </w:rPr>
        <w:t>2026年08月05日08时20分</w:t>
      </w:r>
      <w:r>
        <w:rPr>
          <w:rFonts w:hint="eastAsia" w:ascii="宋体" w:hAnsi="宋体" w:cs="宋体"/>
          <w:sz w:val="24"/>
        </w:rPr>
        <w:t>（北京时间）</w:t>
      </w:r>
    </w:p>
    <w:p w14:paraId="50F299A2">
      <w:pPr>
        <w:wordWrap w:val="0"/>
        <w:spacing w:line="360" w:lineRule="auto"/>
        <w:ind w:firstLine="480" w:firstLineChars="200"/>
        <w:rPr>
          <w:rFonts w:ascii="宋体" w:hAnsi="宋体" w:cs="宋体"/>
          <w:sz w:val="24"/>
        </w:rPr>
      </w:pPr>
      <w:r>
        <w:rPr>
          <w:rFonts w:hint="eastAsia" w:ascii="宋体" w:hAnsi="宋体" w:cs="宋体"/>
          <w:sz w:val="24"/>
        </w:rPr>
        <w:t>2、地点：三门峡市陕州区公共资源交易中心开标区</w:t>
      </w:r>
    </w:p>
    <w:p w14:paraId="79309673">
      <w:pPr>
        <w:spacing w:line="360" w:lineRule="auto"/>
        <w:ind w:firstLine="480" w:firstLineChars="200"/>
        <w:rPr>
          <w:rFonts w:ascii="宋体" w:hAnsi="宋体" w:cs="宋体"/>
          <w:sz w:val="24"/>
        </w:rPr>
      </w:pPr>
      <w:r>
        <w:rPr>
          <w:rFonts w:hint="eastAsia" w:ascii="宋体" w:hAnsi="宋体" w:cs="宋体"/>
          <w:sz w:val="24"/>
        </w:rPr>
        <w:t>六、发布公告的媒介及公告期限</w:t>
      </w:r>
    </w:p>
    <w:p w14:paraId="728FE3C5">
      <w:pPr>
        <w:spacing w:line="360" w:lineRule="auto"/>
        <w:ind w:firstLine="480" w:firstLineChars="200"/>
        <w:rPr>
          <w:rFonts w:ascii="宋体" w:hAnsi="宋体" w:cs="宋体"/>
          <w:sz w:val="24"/>
        </w:rPr>
      </w:pPr>
      <w:r>
        <w:rPr>
          <w:rFonts w:hint="eastAsia" w:ascii="宋体" w:hAnsi="宋体" w:cs="宋体"/>
          <w:sz w:val="24"/>
        </w:rPr>
        <w:t>本次磋商公告在《河南省政府采购网》、《三门峡市公共资源交易中心网》、《中国采购与招标网》同时发布。</w:t>
      </w:r>
    </w:p>
    <w:p w14:paraId="0E0E0E56">
      <w:pPr>
        <w:spacing w:line="360" w:lineRule="auto"/>
        <w:ind w:firstLine="480" w:firstLineChars="200"/>
        <w:rPr>
          <w:rFonts w:ascii="宋体" w:hAnsi="宋体" w:cs="宋体"/>
          <w:sz w:val="24"/>
        </w:rPr>
      </w:pPr>
      <w:r>
        <w:rPr>
          <w:rFonts w:hint="eastAsia" w:ascii="宋体" w:hAnsi="宋体" w:cs="宋体"/>
          <w:sz w:val="24"/>
        </w:rPr>
        <w:t>七、其他补充事宜</w:t>
      </w:r>
    </w:p>
    <w:p w14:paraId="0FC19847">
      <w:pPr>
        <w:wordWrap w:val="0"/>
        <w:spacing w:line="360" w:lineRule="auto"/>
        <w:ind w:firstLine="480" w:firstLineChars="200"/>
        <w:rPr>
          <w:rFonts w:ascii="宋体" w:hAnsi="宋体" w:cs="宋体"/>
          <w:sz w:val="24"/>
        </w:rPr>
      </w:pPr>
      <w:r>
        <w:rPr>
          <w:rFonts w:hint="eastAsia" w:ascii="宋体" w:hAnsi="宋体" w:cs="宋体"/>
          <w:sz w:val="24"/>
        </w:rPr>
        <w:t>1、本项目为不见面开标项目，开标当日，供应商无需到开标现场参加开标会议，供应商应当在磋商截止时间前，登录不见面开标大厅选择登录三门峡市公共资源电子招投标系统进行登录（网址为http://120.194.249.36:10094/BidOpening/bidopeninghallaction/hall/login）,在线准时参加开标活动并进行响应文件解密等。每位供应商的解密时间为开标时间起30分钟内完成，未按时解密的其投标将被否决。因供应商原因未能解密、解密失败或解密超时的将被拒绝。</w:t>
      </w:r>
    </w:p>
    <w:p w14:paraId="053AF7E9">
      <w:pPr>
        <w:wordWrap w:val="0"/>
        <w:spacing w:line="360" w:lineRule="auto"/>
        <w:ind w:firstLine="480" w:firstLineChars="200"/>
        <w:rPr>
          <w:rFonts w:ascii="宋体" w:hAnsi="宋体" w:cs="宋体"/>
          <w:sz w:val="24"/>
        </w:rPr>
      </w:pPr>
      <w:r>
        <w:rPr>
          <w:rFonts w:hint="eastAsia" w:ascii="宋体" w:hAnsi="宋体" w:cs="宋体"/>
          <w:sz w:val="24"/>
        </w:rPr>
        <w:t>2、资格评（预）审部分：资格评（预）审以响应文件为准，其上传资料真实性由响应人自行承担。</w:t>
      </w:r>
    </w:p>
    <w:p w14:paraId="07E54B26">
      <w:pPr>
        <w:wordWrap w:val="0"/>
        <w:spacing w:line="360" w:lineRule="auto"/>
        <w:ind w:firstLine="480" w:firstLineChars="200"/>
        <w:rPr>
          <w:rFonts w:ascii="宋体" w:hAnsi="宋体" w:cs="宋体"/>
          <w:sz w:val="24"/>
        </w:rPr>
      </w:pPr>
      <w:r>
        <w:rPr>
          <w:rFonts w:hint="eastAsia" w:ascii="宋体" w:hAnsi="宋体" w:cs="宋体"/>
          <w:sz w:val="24"/>
        </w:rPr>
        <w:t>3、评标打分部分：评标打分部分按照100分制原则进行，涉及到资格审查、企业荣誉、人员业绩、企业业绩等计分部分时，以响应单位自行上传到响应文件中的各类相应内容为准。</w:t>
      </w:r>
    </w:p>
    <w:p w14:paraId="71089389">
      <w:pPr>
        <w:wordWrap w:val="0"/>
        <w:spacing w:line="360" w:lineRule="auto"/>
        <w:ind w:firstLine="480" w:firstLineChars="200"/>
        <w:rPr>
          <w:rFonts w:ascii="宋体" w:hAnsi="宋体" w:cs="宋体"/>
          <w:sz w:val="24"/>
        </w:rPr>
      </w:pPr>
      <w:r>
        <w:rPr>
          <w:rFonts w:hint="eastAsia" w:ascii="宋体" w:hAnsi="宋体" w:cs="宋体"/>
          <w:sz w:val="24"/>
        </w:rPr>
        <w:t>4、响应文件编制部分：在竞争性磋商文件中要求供应商按照响应文件格式进行响应文件编制，在响应文件编制时，应明确将响应单位企业基本情况、资质情况、人员情况、财务情况、业绩情况编入响应文件，便于进行资格审查及评标打分。</w:t>
      </w:r>
    </w:p>
    <w:p w14:paraId="71166EDE">
      <w:pPr>
        <w:wordWrap w:val="0"/>
        <w:spacing w:line="360" w:lineRule="auto"/>
        <w:ind w:firstLine="480" w:firstLineChars="200"/>
        <w:rPr>
          <w:rFonts w:ascii="宋体" w:hAnsi="宋体" w:cs="宋体"/>
          <w:sz w:val="24"/>
        </w:rPr>
      </w:pPr>
      <w:r>
        <w:rPr>
          <w:rFonts w:hint="eastAsia" w:ascii="宋体" w:hAnsi="宋体" w:cs="宋体"/>
          <w:sz w:val="24"/>
        </w:rPr>
        <w:t>5、我单位（采购人）严格按三财购【2021】9号文要求的时限发布成交结果公告，发出成交通知书，签订采购合同，上传采购合同。</w:t>
      </w:r>
    </w:p>
    <w:p w14:paraId="3452468D">
      <w:pPr>
        <w:wordWrap w:val="0"/>
        <w:spacing w:line="360" w:lineRule="auto"/>
        <w:ind w:firstLine="480" w:firstLineChars="200"/>
        <w:rPr>
          <w:rFonts w:ascii="宋体" w:hAnsi="宋体" w:cs="宋体"/>
          <w:sz w:val="24"/>
        </w:rPr>
      </w:pPr>
      <w:r>
        <w:rPr>
          <w:rFonts w:hint="eastAsia" w:ascii="宋体" w:hAnsi="宋体" w:cs="宋体"/>
          <w:sz w:val="24"/>
        </w:rPr>
        <w:t>6、根据《河南省财政厅关于优化政府采购营商环境有关问题的通知》（豫财购【2019】4号）第6条的规定，磋商保证金不再收取。</w:t>
      </w:r>
    </w:p>
    <w:p w14:paraId="295CCF63">
      <w:pPr>
        <w:wordWrap w:val="0"/>
        <w:spacing w:line="360" w:lineRule="auto"/>
        <w:ind w:firstLine="480" w:firstLineChars="200"/>
        <w:rPr>
          <w:rFonts w:ascii="宋体" w:hAnsi="宋体" w:cs="宋体"/>
          <w:sz w:val="24"/>
        </w:rPr>
      </w:pPr>
      <w:r>
        <w:rPr>
          <w:rFonts w:hint="eastAsia" w:ascii="宋体" w:hAnsi="宋体" w:cs="宋体"/>
          <w:sz w:val="24"/>
        </w:rPr>
        <w:t>7、监督部门：三门峡市陕州区财政局政府采购监督管理科</w:t>
      </w:r>
    </w:p>
    <w:p w14:paraId="6A29DAE5">
      <w:pPr>
        <w:wordWrap w:val="0"/>
        <w:spacing w:line="360" w:lineRule="auto"/>
        <w:ind w:firstLine="480" w:firstLineChars="200"/>
        <w:rPr>
          <w:rFonts w:ascii="宋体" w:hAnsi="宋体" w:cs="宋体"/>
          <w:sz w:val="24"/>
        </w:rPr>
      </w:pPr>
      <w:r>
        <w:rPr>
          <w:rFonts w:hint="eastAsia" w:ascii="宋体" w:hAnsi="宋体" w:cs="宋体"/>
          <w:sz w:val="24"/>
        </w:rPr>
        <w:t>联系方式：0398-3839210</w:t>
      </w:r>
    </w:p>
    <w:p w14:paraId="0F6E11FA">
      <w:pPr>
        <w:wordWrap w:val="0"/>
        <w:spacing w:line="360" w:lineRule="auto"/>
        <w:ind w:firstLine="480" w:firstLineChars="200"/>
        <w:rPr>
          <w:rFonts w:ascii="宋体" w:hAnsi="宋体" w:cs="宋体"/>
          <w:sz w:val="24"/>
        </w:rPr>
      </w:pPr>
      <w:r>
        <w:rPr>
          <w:rFonts w:hint="eastAsia" w:ascii="宋体" w:hAnsi="宋体" w:cs="宋体"/>
          <w:sz w:val="24"/>
        </w:rPr>
        <w:t>八、凡对本次招标提出询问，请按照以下方式联系</w:t>
      </w:r>
    </w:p>
    <w:p w14:paraId="4D5ADB20">
      <w:pPr>
        <w:wordWrap w:val="0"/>
        <w:spacing w:line="360" w:lineRule="auto"/>
        <w:ind w:firstLine="480" w:firstLineChars="200"/>
        <w:rPr>
          <w:rFonts w:ascii="宋体" w:hAnsi="宋体" w:cs="宋体"/>
          <w:sz w:val="24"/>
        </w:rPr>
      </w:pPr>
      <w:r>
        <w:rPr>
          <w:rFonts w:hint="eastAsia" w:ascii="宋体" w:hAnsi="宋体" w:cs="宋体"/>
          <w:sz w:val="24"/>
        </w:rPr>
        <w:t>1.采购人信息</w:t>
      </w:r>
    </w:p>
    <w:p w14:paraId="6F1535EF">
      <w:pPr>
        <w:wordWrap w:val="0"/>
        <w:spacing w:line="360" w:lineRule="auto"/>
        <w:ind w:firstLine="480" w:firstLineChars="200"/>
        <w:rPr>
          <w:rFonts w:ascii="宋体" w:hAnsi="宋体" w:cs="宋体"/>
          <w:sz w:val="24"/>
        </w:rPr>
      </w:pPr>
      <w:r>
        <w:rPr>
          <w:rFonts w:hint="eastAsia" w:ascii="宋体" w:hAnsi="宋体" w:cs="宋体"/>
          <w:sz w:val="24"/>
        </w:rPr>
        <w:t>名称：三门峡市陕州区水利局</w:t>
      </w:r>
    </w:p>
    <w:p w14:paraId="07016DE6">
      <w:pPr>
        <w:wordWrap w:val="0"/>
        <w:spacing w:line="360" w:lineRule="auto"/>
        <w:ind w:firstLine="480" w:firstLineChars="200"/>
        <w:rPr>
          <w:rFonts w:ascii="宋体" w:hAnsi="宋体" w:cs="宋体"/>
          <w:sz w:val="24"/>
        </w:rPr>
      </w:pPr>
      <w:r>
        <w:rPr>
          <w:rFonts w:hint="eastAsia" w:ascii="宋体" w:hAnsi="宋体" w:cs="宋体"/>
          <w:sz w:val="24"/>
        </w:rPr>
        <w:t>地址：三门峡市陕州区神泉路中段</w:t>
      </w:r>
    </w:p>
    <w:p w14:paraId="61F09256">
      <w:pPr>
        <w:wordWrap w:val="0"/>
        <w:spacing w:line="360" w:lineRule="auto"/>
        <w:ind w:firstLine="480" w:firstLineChars="200"/>
        <w:rPr>
          <w:rFonts w:ascii="宋体" w:hAnsi="宋体" w:cs="宋体"/>
          <w:sz w:val="24"/>
        </w:rPr>
      </w:pPr>
      <w:r>
        <w:rPr>
          <w:rFonts w:hint="eastAsia" w:ascii="宋体" w:hAnsi="宋体" w:cs="宋体"/>
          <w:sz w:val="24"/>
        </w:rPr>
        <w:t>联系人：张先生</w:t>
      </w:r>
    </w:p>
    <w:p w14:paraId="4A9E4455">
      <w:pPr>
        <w:wordWrap w:val="0"/>
        <w:spacing w:line="360" w:lineRule="auto"/>
        <w:ind w:firstLine="480" w:firstLineChars="200"/>
        <w:rPr>
          <w:rFonts w:ascii="宋体" w:hAnsi="宋体" w:cs="宋体"/>
          <w:sz w:val="24"/>
        </w:rPr>
      </w:pPr>
      <w:r>
        <w:rPr>
          <w:rFonts w:hint="eastAsia" w:ascii="宋体" w:hAnsi="宋体" w:cs="宋体"/>
          <w:sz w:val="24"/>
        </w:rPr>
        <w:t>联系方式：0398-3802033</w:t>
      </w:r>
    </w:p>
    <w:p w14:paraId="27F87E11">
      <w:pPr>
        <w:wordWrap w:val="0"/>
        <w:spacing w:line="360" w:lineRule="auto"/>
        <w:ind w:firstLine="480" w:firstLineChars="200"/>
        <w:rPr>
          <w:rFonts w:ascii="宋体" w:hAnsi="宋体" w:cs="宋体"/>
          <w:sz w:val="24"/>
        </w:rPr>
      </w:pPr>
      <w:r>
        <w:rPr>
          <w:rFonts w:hint="eastAsia" w:ascii="宋体" w:hAnsi="宋体" w:cs="宋体"/>
          <w:sz w:val="24"/>
        </w:rPr>
        <w:t>2.采购代理机构信息：</w:t>
      </w:r>
    </w:p>
    <w:p w14:paraId="388B71B9">
      <w:pPr>
        <w:wordWrap w:val="0"/>
        <w:spacing w:line="360" w:lineRule="auto"/>
        <w:ind w:firstLine="480" w:firstLineChars="200"/>
        <w:rPr>
          <w:rFonts w:ascii="宋体" w:hAnsi="宋体" w:cs="宋体"/>
          <w:sz w:val="24"/>
        </w:rPr>
      </w:pPr>
      <w:r>
        <w:rPr>
          <w:rFonts w:hint="eastAsia" w:ascii="宋体" w:hAnsi="宋体" w:cs="宋体"/>
          <w:sz w:val="24"/>
        </w:rPr>
        <w:t>名称：河南嘉泰工程管理有限公司</w:t>
      </w:r>
    </w:p>
    <w:p w14:paraId="3DF7E684">
      <w:pPr>
        <w:wordWrap w:val="0"/>
        <w:spacing w:line="360" w:lineRule="auto"/>
        <w:ind w:firstLine="480" w:firstLineChars="200"/>
        <w:rPr>
          <w:rFonts w:ascii="宋体" w:hAnsi="宋体" w:cs="宋体"/>
          <w:sz w:val="24"/>
        </w:rPr>
      </w:pPr>
      <w:r>
        <w:rPr>
          <w:rFonts w:hint="eastAsia" w:ascii="宋体" w:hAnsi="宋体" w:cs="宋体"/>
          <w:sz w:val="24"/>
        </w:rPr>
        <w:t>地址：河南自贸试验区郑州片区（郑东）商都路100号2号楼2单元17层1718号</w:t>
      </w:r>
    </w:p>
    <w:p w14:paraId="4F9B6FB1">
      <w:pPr>
        <w:wordWrap w:val="0"/>
        <w:spacing w:line="360" w:lineRule="auto"/>
        <w:ind w:firstLine="480" w:firstLineChars="200"/>
        <w:rPr>
          <w:rFonts w:ascii="宋体" w:hAnsi="宋体" w:cs="宋体"/>
          <w:sz w:val="24"/>
        </w:rPr>
      </w:pPr>
      <w:r>
        <w:rPr>
          <w:rFonts w:hint="eastAsia" w:ascii="宋体" w:hAnsi="宋体" w:cs="宋体"/>
          <w:sz w:val="24"/>
        </w:rPr>
        <w:t>联系人：李先生</w:t>
      </w:r>
    </w:p>
    <w:p w14:paraId="17B15AE8">
      <w:pPr>
        <w:wordWrap w:val="0"/>
        <w:spacing w:line="360" w:lineRule="auto"/>
        <w:ind w:firstLine="480" w:firstLineChars="200"/>
        <w:rPr>
          <w:rFonts w:ascii="宋体" w:hAnsi="宋体" w:cs="宋体"/>
          <w:sz w:val="24"/>
        </w:rPr>
      </w:pPr>
      <w:r>
        <w:rPr>
          <w:rFonts w:hint="eastAsia" w:ascii="宋体" w:hAnsi="宋体" w:cs="宋体"/>
          <w:sz w:val="24"/>
        </w:rPr>
        <w:t>联系方式：15239860647</w:t>
      </w:r>
    </w:p>
    <w:p w14:paraId="34272703">
      <w:pPr>
        <w:wordWrap w:val="0"/>
        <w:spacing w:line="360" w:lineRule="auto"/>
        <w:ind w:firstLine="480" w:firstLineChars="200"/>
        <w:rPr>
          <w:rFonts w:ascii="宋体" w:hAnsi="宋体" w:cs="宋体"/>
          <w:sz w:val="24"/>
        </w:rPr>
      </w:pPr>
      <w:r>
        <w:rPr>
          <w:rFonts w:hint="eastAsia" w:ascii="宋体" w:hAnsi="宋体" w:cs="宋体"/>
          <w:sz w:val="24"/>
        </w:rPr>
        <w:t>3.项目联系方式</w:t>
      </w:r>
    </w:p>
    <w:p w14:paraId="376A50EF">
      <w:pPr>
        <w:wordWrap w:val="0"/>
        <w:spacing w:line="360" w:lineRule="auto"/>
        <w:ind w:firstLine="480" w:firstLineChars="200"/>
        <w:rPr>
          <w:rFonts w:ascii="宋体" w:hAnsi="宋体" w:cs="宋体"/>
          <w:sz w:val="24"/>
        </w:rPr>
      </w:pPr>
      <w:r>
        <w:rPr>
          <w:rFonts w:hint="eastAsia" w:ascii="宋体" w:hAnsi="宋体" w:cs="宋体"/>
          <w:sz w:val="24"/>
        </w:rPr>
        <w:t>项目联系人：张先生</w:t>
      </w:r>
    </w:p>
    <w:p w14:paraId="47117E4D">
      <w:pPr>
        <w:wordWrap w:val="0"/>
        <w:spacing w:line="360" w:lineRule="auto"/>
        <w:ind w:firstLine="480" w:firstLineChars="200"/>
        <w:rPr>
          <w:rFonts w:ascii="宋体" w:hAnsi="宋体" w:cs="宋体"/>
          <w:sz w:val="24"/>
        </w:rPr>
      </w:pPr>
      <w:r>
        <w:rPr>
          <w:rFonts w:hint="eastAsia" w:ascii="宋体" w:hAnsi="宋体" w:cs="宋体"/>
          <w:sz w:val="24"/>
        </w:rPr>
        <w:t>联系方式：0398-3802033</w:t>
      </w:r>
    </w:p>
    <w:p w14:paraId="5192B6C1">
      <w:pPr>
        <w:widowControl/>
        <w:spacing w:line="360" w:lineRule="auto"/>
        <w:jc w:val="center"/>
        <w:rPr>
          <w:rFonts w:ascii="宋体" w:hAnsi="宋体" w:cs="宋体"/>
          <w:b/>
          <w:kern w:val="0"/>
          <w:sz w:val="32"/>
          <w:szCs w:val="32"/>
          <w:shd w:val="clear" w:color="auto" w:fill="FFFFFF"/>
          <w:lang w:bidi="ar"/>
        </w:rPr>
      </w:pPr>
    </w:p>
    <w:p w14:paraId="3F24DA5A">
      <w:pPr>
        <w:rPr>
          <w:rFonts w:ascii="宋体" w:hAnsi="宋体" w:cs="宋体"/>
          <w:b/>
          <w:kern w:val="0"/>
          <w:sz w:val="32"/>
          <w:szCs w:val="32"/>
          <w:shd w:val="clear" w:color="auto" w:fill="FFFFFF"/>
          <w:lang w:bidi="ar"/>
        </w:rPr>
      </w:pPr>
      <w:r>
        <w:rPr>
          <w:rFonts w:hint="eastAsia" w:ascii="宋体" w:hAnsi="宋体" w:cs="宋体"/>
          <w:b/>
          <w:kern w:val="0"/>
          <w:sz w:val="32"/>
          <w:szCs w:val="32"/>
          <w:shd w:val="clear" w:color="auto" w:fill="FFFFFF"/>
          <w:lang w:bidi="ar"/>
        </w:rPr>
        <w:br w:type="page"/>
      </w:r>
    </w:p>
    <w:p w14:paraId="3FE9B977">
      <w:pPr>
        <w:widowControl/>
        <w:spacing w:line="360" w:lineRule="auto"/>
        <w:jc w:val="center"/>
        <w:rPr>
          <w:rFonts w:ascii="宋体" w:hAnsi="宋体" w:cs="宋体"/>
          <w:b/>
          <w:kern w:val="0"/>
          <w:sz w:val="32"/>
          <w:szCs w:val="32"/>
          <w:shd w:val="clear" w:color="auto" w:fill="FFFFFF"/>
          <w:lang w:bidi="ar"/>
        </w:rPr>
      </w:pPr>
      <w:r>
        <w:rPr>
          <w:rFonts w:hint="eastAsia" w:ascii="宋体" w:hAnsi="宋体" w:cs="宋体"/>
          <w:b/>
          <w:kern w:val="0"/>
          <w:sz w:val="32"/>
          <w:szCs w:val="32"/>
          <w:shd w:val="clear" w:color="auto" w:fill="FFFFFF"/>
          <w:lang w:bidi="ar"/>
        </w:rPr>
        <w:t>第二章  供应商须知</w:t>
      </w:r>
    </w:p>
    <w:p w14:paraId="6A13B6CC">
      <w:pPr>
        <w:jc w:val="center"/>
        <w:rPr>
          <w:rFonts w:ascii="黑体" w:eastAsia="黑体"/>
          <w:color w:val="000000"/>
          <w:sz w:val="24"/>
        </w:rPr>
      </w:pPr>
      <w:bookmarkStart w:id="0" w:name="_Toc11486"/>
      <w:r>
        <w:rPr>
          <w:rFonts w:hint="eastAsia" w:ascii="黑体" w:eastAsia="黑体"/>
          <w:color w:val="000000"/>
          <w:sz w:val="24"/>
        </w:rPr>
        <w:t>供应商须知前附表</w:t>
      </w:r>
      <w:bookmarkEnd w:id="0"/>
    </w:p>
    <w:tbl>
      <w:tblPr>
        <w:tblStyle w:val="13"/>
        <w:tblW w:w="9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2109"/>
        <w:gridCol w:w="6643"/>
      </w:tblGrid>
      <w:tr w14:paraId="6AB1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90" w:type="dxa"/>
            <w:vAlign w:val="center"/>
          </w:tcPr>
          <w:p w14:paraId="285E27D7">
            <w:pPr>
              <w:spacing w:line="360" w:lineRule="auto"/>
              <w:jc w:val="center"/>
              <w:rPr>
                <w:rFonts w:ascii="宋体" w:hAnsi="宋体" w:cs="宋体"/>
                <w:color w:val="000000"/>
                <w:szCs w:val="21"/>
              </w:rPr>
            </w:pPr>
            <w:r>
              <w:rPr>
                <w:rFonts w:hint="eastAsia" w:ascii="宋体" w:hAnsi="宋体" w:cs="宋体"/>
                <w:color w:val="000000"/>
                <w:szCs w:val="21"/>
              </w:rPr>
              <w:t>条款号</w:t>
            </w:r>
          </w:p>
        </w:tc>
        <w:tc>
          <w:tcPr>
            <w:tcW w:w="2109" w:type="dxa"/>
            <w:vAlign w:val="center"/>
          </w:tcPr>
          <w:p w14:paraId="0321EDD4">
            <w:pPr>
              <w:spacing w:line="360" w:lineRule="auto"/>
              <w:jc w:val="center"/>
              <w:rPr>
                <w:rFonts w:ascii="宋体" w:hAnsi="宋体" w:cs="宋体"/>
                <w:color w:val="000000"/>
                <w:szCs w:val="21"/>
              </w:rPr>
            </w:pPr>
            <w:r>
              <w:rPr>
                <w:rFonts w:hint="eastAsia" w:ascii="宋体" w:hAnsi="宋体" w:cs="宋体"/>
                <w:color w:val="000000"/>
                <w:szCs w:val="21"/>
              </w:rPr>
              <w:t>条  款  名  称</w:t>
            </w:r>
          </w:p>
        </w:tc>
        <w:tc>
          <w:tcPr>
            <w:tcW w:w="6643" w:type="dxa"/>
            <w:vAlign w:val="center"/>
          </w:tcPr>
          <w:p w14:paraId="73959B5E">
            <w:pPr>
              <w:spacing w:line="360" w:lineRule="auto"/>
              <w:jc w:val="center"/>
              <w:rPr>
                <w:rFonts w:ascii="宋体" w:hAnsi="宋体" w:cs="宋体"/>
                <w:color w:val="000000"/>
                <w:szCs w:val="21"/>
              </w:rPr>
            </w:pPr>
            <w:r>
              <w:rPr>
                <w:rFonts w:hint="eastAsia" w:ascii="宋体" w:hAnsi="宋体" w:cs="宋体"/>
                <w:color w:val="000000"/>
                <w:szCs w:val="21"/>
              </w:rPr>
              <w:t>编  列  内  容</w:t>
            </w:r>
          </w:p>
        </w:tc>
      </w:tr>
      <w:tr w14:paraId="3AA9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890" w:type="dxa"/>
            <w:vAlign w:val="center"/>
          </w:tcPr>
          <w:p w14:paraId="6E629B92">
            <w:pPr>
              <w:spacing w:line="360" w:lineRule="auto"/>
              <w:jc w:val="center"/>
              <w:rPr>
                <w:rFonts w:ascii="宋体" w:hAnsi="宋体" w:cs="宋体"/>
                <w:color w:val="000000"/>
                <w:szCs w:val="21"/>
              </w:rPr>
            </w:pPr>
            <w:r>
              <w:rPr>
                <w:rFonts w:hint="eastAsia" w:ascii="宋体" w:hAnsi="宋体" w:cs="宋体"/>
                <w:color w:val="000000"/>
                <w:szCs w:val="21"/>
              </w:rPr>
              <w:t>1.1</w:t>
            </w:r>
          </w:p>
        </w:tc>
        <w:tc>
          <w:tcPr>
            <w:tcW w:w="2109" w:type="dxa"/>
            <w:vAlign w:val="center"/>
          </w:tcPr>
          <w:p w14:paraId="3C8E29A7">
            <w:pPr>
              <w:spacing w:line="360" w:lineRule="auto"/>
              <w:jc w:val="center"/>
              <w:rPr>
                <w:rFonts w:ascii="宋体" w:hAnsi="宋体" w:cs="宋体"/>
                <w:color w:val="000000"/>
                <w:szCs w:val="21"/>
              </w:rPr>
            </w:pPr>
            <w:r>
              <w:rPr>
                <w:rFonts w:hint="eastAsia" w:ascii="宋体" w:hAnsi="宋体" w:cs="宋体"/>
                <w:color w:val="000000"/>
                <w:szCs w:val="21"/>
              </w:rPr>
              <w:t>采购人</w:t>
            </w:r>
          </w:p>
        </w:tc>
        <w:tc>
          <w:tcPr>
            <w:tcW w:w="6643" w:type="dxa"/>
            <w:vAlign w:val="center"/>
          </w:tcPr>
          <w:p w14:paraId="1D5C71BC">
            <w:pPr>
              <w:spacing w:line="360" w:lineRule="auto"/>
              <w:rPr>
                <w:rFonts w:ascii="宋体" w:hAnsi="宋体" w:cs="宋体"/>
                <w:color w:val="000000"/>
                <w:szCs w:val="21"/>
              </w:rPr>
            </w:pPr>
            <w:r>
              <w:rPr>
                <w:rFonts w:hint="eastAsia" w:ascii="宋体" w:hAnsi="宋体" w:cs="宋体"/>
                <w:color w:val="000000"/>
                <w:szCs w:val="21"/>
              </w:rPr>
              <w:t>名称：三门峡市陕州区水利局</w:t>
            </w:r>
          </w:p>
          <w:p w14:paraId="4676380C">
            <w:pPr>
              <w:spacing w:line="360" w:lineRule="auto"/>
              <w:rPr>
                <w:rFonts w:ascii="宋体" w:hAnsi="宋体" w:cs="宋体"/>
                <w:color w:val="000000"/>
                <w:szCs w:val="21"/>
              </w:rPr>
            </w:pPr>
            <w:r>
              <w:rPr>
                <w:rFonts w:hint="eastAsia" w:ascii="宋体" w:hAnsi="宋体" w:cs="宋体"/>
                <w:color w:val="000000"/>
                <w:szCs w:val="21"/>
              </w:rPr>
              <w:t>地址：三门峡市陕州区神泉路中段</w:t>
            </w:r>
          </w:p>
          <w:p w14:paraId="7FAB1A33">
            <w:pPr>
              <w:spacing w:line="360" w:lineRule="auto"/>
              <w:rPr>
                <w:rFonts w:ascii="宋体" w:hAnsi="宋体" w:cs="宋体"/>
                <w:color w:val="000000"/>
                <w:szCs w:val="21"/>
              </w:rPr>
            </w:pPr>
            <w:r>
              <w:rPr>
                <w:rFonts w:hint="eastAsia" w:ascii="宋体" w:hAnsi="宋体" w:cs="宋体"/>
                <w:color w:val="000000"/>
                <w:szCs w:val="21"/>
              </w:rPr>
              <w:t>联系人（电话）：张先生  0398-3802033</w:t>
            </w:r>
          </w:p>
        </w:tc>
      </w:tr>
      <w:tr w14:paraId="29D5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890" w:type="dxa"/>
            <w:vAlign w:val="center"/>
          </w:tcPr>
          <w:p w14:paraId="049AFBFF">
            <w:pPr>
              <w:spacing w:line="360" w:lineRule="auto"/>
              <w:jc w:val="center"/>
              <w:rPr>
                <w:rFonts w:ascii="宋体" w:hAnsi="宋体" w:cs="宋体"/>
                <w:color w:val="000000"/>
                <w:szCs w:val="21"/>
              </w:rPr>
            </w:pPr>
            <w:r>
              <w:rPr>
                <w:rFonts w:hint="eastAsia" w:ascii="宋体" w:hAnsi="宋体" w:cs="宋体"/>
                <w:color w:val="000000"/>
                <w:szCs w:val="21"/>
              </w:rPr>
              <w:t>1.2</w:t>
            </w:r>
          </w:p>
        </w:tc>
        <w:tc>
          <w:tcPr>
            <w:tcW w:w="2109" w:type="dxa"/>
            <w:vAlign w:val="center"/>
          </w:tcPr>
          <w:p w14:paraId="7E12FA32">
            <w:pPr>
              <w:spacing w:line="360" w:lineRule="auto"/>
              <w:jc w:val="center"/>
              <w:rPr>
                <w:rFonts w:ascii="宋体" w:hAnsi="宋体" w:cs="宋体"/>
                <w:color w:val="000000"/>
                <w:szCs w:val="21"/>
              </w:rPr>
            </w:pPr>
            <w:r>
              <w:rPr>
                <w:rFonts w:hint="eastAsia" w:ascii="宋体" w:hAnsi="宋体" w:cs="宋体"/>
                <w:color w:val="000000"/>
                <w:szCs w:val="21"/>
              </w:rPr>
              <w:t>采购代理机构</w:t>
            </w:r>
          </w:p>
        </w:tc>
        <w:tc>
          <w:tcPr>
            <w:tcW w:w="6643" w:type="dxa"/>
            <w:vAlign w:val="center"/>
          </w:tcPr>
          <w:p w14:paraId="6F8A3B9B">
            <w:pPr>
              <w:spacing w:line="360" w:lineRule="auto"/>
              <w:rPr>
                <w:rFonts w:ascii="宋体" w:hAnsi="宋体" w:cs="宋体"/>
                <w:color w:val="000000"/>
                <w:szCs w:val="21"/>
              </w:rPr>
            </w:pPr>
            <w:r>
              <w:rPr>
                <w:rFonts w:hint="eastAsia" w:ascii="宋体" w:hAnsi="宋体" w:cs="宋体"/>
                <w:color w:val="000000"/>
                <w:szCs w:val="21"/>
              </w:rPr>
              <w:t>名称：河南嘉泰工程管理有限公司</w:t>
            </w:r>
          </w:p>
          <w:p w14:paraId="24FDF21A">
            <w:pPr>
              <w:spacing w:line="360" w:lineRule="auto"/>
              <w:rPr>
                <w:rFonts w:ascii="宋体" w:hAnsi="宋体" w:cs="宋体"/>
                <w:color w:val="000000"/>
                <w:szCs w:val="21"/>
              </w:rPr>
            </w:pPr>
            <w:r>
              <w:rPr>
                <w:rFonts w:hint="eastAsia" w:ascii="宋体" w:hAnsi="宋体" w:cs="宋体"/>
                <w:color w:val="000000"/>
                <w:szCs w:val="21"/>
              </w:rPr>
              <w:t>地址：河南自贸试验区郑州片区（郑东）商都路100号2号楼2单元17层1718号</w:t>
            </w:r>
          </w:p>
          <w:p w14:paraId="48AA9764">
            <w:pPr>
              <w:spacing w:line="360" w:lineRule="auto"/>
              <w:rPr>
                <w:rFonts w:ascii="宋体" w:hAnsi="宋体" w:cs="宋体"/>
                <w:color w:val="000000"/>
                <w:szCs w:val="21"/>
              </w:rPr>
            </w:pPr>
            <w:r>
              <w:rPr>
                <w:rFonts w:hint="eastAsia" w:ascii="宋体" w:hAnsi="宋体" w:cs="宋体"/>
                <w:color w:val="000000"/>
                <w:szCs w:val="21"/>
              </w:rPr>
              <w:t>联系人（电话）：李先生   15239860647</w:t>
            </w:r>
          </w:p>
        </w:tc>
      </w:tr>
      <w:tr w14:paraId="23B2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jc w:val="center"/>
        </w:trPr>
        <w:tc>
          <w:tcPr>
            <w:tcW w:w="890" w:type="dxa"/>
            <w:vAlign w:val="center"/>
          </w:tcPr>
          <w:p w14:paraId="0DAEBE1F">
            <w:pPr>
              <w:spacing w:line="360" w:lineRule="auto"/>
              <w:jc w:val="center"/>
              <w:rPr>
                <w:rFonts w:ascii="宋体" w:hAnsi="宋体" w:cs="宋体"/>
                <w:color w:val="000000"/>
                <w:szCs w:val="21"/>
              </w:rPr>
            </w:pPr>
            <w:r>
              <w:rPr>
                <w:rFonts w:hint="eastAsia" w:ascii="宋体" w:hAnsi="宋体" w:cs="宋体"/>
                <w:color w:val="000000"/>
                <w:szCs w:val="21"/>
              </w:rPr>
              <w:t>1.3</w:t>
            </w:r>
          </w:p>
        </w:tc>
        <w:tc>
          <w:tcPr>
            <w:tcW w:w="2109" w:type="dxa"/>
            <w:vAlign w:val="center"/>
          </w:tcPr>
          <w:p w14:paraId="6DA8831E">
            <w:pPr>
              <w:spacing w:line="360" w:lineRule="auto"/>
              <w:jc w:val="center"/>
              <w:rPr>
                <w:rFonts w:ascii="宋体" w:hAnsi="宋体" w:cs="宋体"/>
                <w:color w:val="000000"/>
                <w:szCs w:val="21"/>
              </w:rPr>
            </w:pPr>
            <w:r>
              <w:rPr>
                <w:rFonts w:hint="eastAsia" w:ascii="宋体" w:hAnsi="宋体" w:cs="宋体"/>
                <w:color w:val="000000"/>
                <w:szCs w:val="21"/>
              </w:rPr>
              <w:t>项目名称</w:t>
            </w:r>
          </w:p>
        </w:tc>
        <w:tc>
          <w:tcPr>
            <w:tcW w:w="6643" w:type="dxa"/>
            <w:vAlign w:val="center"/>
          </w:tcPr>
          <w:p w14:paraId="6E99DB47">
            <w:r>
              <w:rPr>
                <w:rFonts w:hint="eastAsia" w:ascii="宋体" w:hAnsi="宋体" w:cs="宋体"/>
                <w:color w:val="000000"/>
                <w:szCs w:val="21"/>
              </w:rPr>
              <w:t>解决陕州区河道砂石资源经营权出让前期费用项目</w:t>
            </w:r>
          </w:p>
        </w:tc>
      </w:tr>
      <w:tr w14:paraId="15A3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exact"/>
          <w:jc w:val="center"/>
        </w:trPr>
        <w:tc>
          <w:tcPr>
            <w:tcW w:w="890" w:type="dxa"/>
            <w:vAlign w:val="center"/>
          </w:tcPr>
          <w:p w14:paraId="0F5A0D25">
            <w:pPr>
              <w:spacing w:line="360" w:lineRule="auto"/>
              <w:jc w:val="center"/>
              <w:rPr>
                <w:rFonts w:ascii="宋体" w:hAnsi="宋体" w:cs="宋体"/>
                <w:color w:val="000000"/>
                <w:szCs w:val="21"/>
              </w:rPr>
            </w:pPr>
            <w:r>
              <w:rPr>
                <w:rFonts w:hint="eastAsia" w:ascii="宋体" w:hAnsi="宋体" w:cs="宋体"/>
                <w:color w:val="000000"/>
                <w:szCs w:val="21"/>
              </w:rPr>
              <w:t>1.4</w:t>
            </w:r>
          </w:p>
        </w:tc>
        <w:tc>
          <w:tcPr>
            <w:tcW w:w="2109" w:type="dxa"/>
            <w:vAlign w:val="center"/>
          </w:tcPr>
          <w:p w14:paraId="3750E292">
            <w:pPr>
              <w:spacing w:line="360" w:lineRule="auto"/>
              <w:jc w:val="center"/>
              <w:rPr>
                <w:rFonts w:ascii="宋体" w:hAnsi="宋体" w:cs="宋体"/>
                <w:color w:val="000000"/>
                <w:szCs w:val="21"/>
              </w:rPr>
            </w:pPr>
            <w:r>
              <w:rPr>
                <w:rFonts w:hint="eastAsia" w:ascii="宋体" w:hAnsi="宋体" w:cs="宋体"/>
                <w:color w:val="000000"/>
                <w:szCs w:val="21"/>
              </w:rPr>
              <w:t>项目内容</w:t>
            </w:r>
          </w:p>
        </w:tc>
        <w:tc>
          <w:tcPr>
            <w:tcW w:w="6643" w:type="dxa"/>
            <w:vAlign w:val="center"/>
          </w:tcPr>
          <w:p w14:paraId="1980F85A">
            <w:pPr>
              <w:spacing w:line="360" w:lineRule="auto"/>
              <w:rPr>
                <w:rFonts w:ascii="宋体" w:hAnsi="宋体" w:cs="宋体"/>
                <w:color w:val="000000"/>
                <w:szCs w:val="21"/>
              </w:rPr>
            </w:pPr>
            <w:r>
              <w:rPr>
                <w:rFonts w:hint="eastAsia" w:ascii="宋体" w:hAnsi="宋体" w:cs="宋体"/>
                <w:color w:val="000000"/>
                <w:szCs w:val="21"/>
              </w:rPr>
              <w:t>陕州区河道砂石资源经营权出让前期费用项目，本项目内容共分为一标段《三门峡市陕州区河道采砂规划(2026-2030年)》报告编制、《三门峡市陕州区河道砂石储量调查报告》报告编制；二标段河道砂石资源专业评估报告编制。具体内容及要求详见竞争性磋商文件；</w:t>
            </w:r>
          </w:p>
        </w:tc>
      </w:tr>
      <w:tr w14:paraId="790C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exact"/>
          <w:jc w:val="center"/>
        </w:trPr>
        <w:tc>
          <w:tcPr>
            <w:tcW w:w="890" w:type="dxa"/>
            <w:vAlign w:val="center"/>
          </w:tcPr>
          <w:p w14:paraId="0C50447D">
            <w:pPr>
              <w:spacing w:line="360" w:lineRule="auto"/>
              <w:jc w:val="center"/>
              <w:rPr>
                <w:rFonts w:ascii="宋体" w:hAnsi="宋体" w:cs="宋体"/>
                <w:color w:val="000000"/>
                <w:szCs w:val="21"/>
              </w:rPr>
            </w:pPr>
            <w:r>
              <w:rPr>
                <w:rFonts w:hint="eastAsia" w:ascii="宋体" w:hAnsi="宋体" w:cs="宋体"/>
                <w:color w:val="000000"/>
                <w:szCs w:val="21"/>
              </w:rPr>
              <w:t>1.5</w:t>
            </w:r>
          </w:p>
        </w:tc>
        <w:tc>
          <w:tcPr>
            <w:tcW w:w="2109" w:type="dxa"/>
            <w:vAlign w:val="center"/>
          </w:tcPr>
          <w:p w14:paraId="6880335C">
            <w:pPr>
              <w:spacing w:line="360" w:lineRule="auto"/>
              <w:jc w:val="center"/>
              <w:rPr>
                <w:rFonts w:ascii="宋体" w:hAnsi="宋体" w:cs="宋体"/>
                <w:color w:val="000000"/>
                <w:szCs w:val="21"/>
              </w:rPr>
            </w:pPr>
            <w:r>
              <w:rPr>
                <w:rFonts w:hint="eastAsia" w:ascii="宋体" w:hAnsi="宋体" w:cs="宋体"/>
                <w:color w:val="000000"/>
                <w:szCs w:val="21"/>
              </w:rPr>
              <w:t>资金来源及落实情况</w:t>
            </w:r>
          </w:p>
        </w:tc>
        <w:tc>
          <w:tcPr>
            <w:tcW w:w="6643" w:type="dxa"/>
            <w:vAlign w:val="center"/>
          </w:tcPr>
          <w:p w14:paraId="3C805C3A">
            <w:pPr>
              <w:spacing w:line="360" w:lineRule="auto"/>
              <w:rPr>
                <w:rFonts w:ascii="宋体" w:hAnsi="宋体" w:cs="宋体"/>
                <w:color w:val="000000"/>
                <w:szCs w:val="21"/>
              </w:rPr>
            </w:pPr>
            <w:r>
              <w:rPr>
                <w:rFonts w:hint="eastAsia" w:ascii="宋体" w:hAnsi="宋体" w:cs="宋体"/>
                <w:color w:val="000000"/>
                <w:szCs w:val="21"/>
              </w:rPr>
              <w:t>财政资金，已落实</w:t>
            </w:r>
          </w:p>
        </w:tc>
      </w:tr>
      <w:tr w14:paraId="57A5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90" w:type="dxa"/>
            <w:vAlign w:val="center"/>
          </w:tcPr>
          <w:p w14:paraId="2E3C483F">
            <w:pPr>
              <w:spacing w:line="360" w:lineRule="auto"/>
              <w:jc w:val="center"/>
              <w:rPr>
                <w:rFonts w:ascii="宋体" w:hAnsi="宋体" w:cs="宋体"/>
                <w:color w:val="000000"/>
                <w:szCs w:val="21"/>
              </w:rPr>
            </w:pPr>
            <w:r>
              <w:rPr>
                <w:rFonts w:hint="eastAsia" w:ascii="宋体" w:hAnsi="宋体" w:cs="宋体"/>
                <w:color w:val="000000"/>
                <w:szCs w:val="21"/>
              </w:rPr>
              <w:t>1.6</w:t>
            </w:r>
          </w:p>
        </w:tc>
        <w:tc>
          <w:tcPr>
            <w:tcW w:w="2109" w:type="dxa"/>
            <w:vAlign w:val="center"/>
          </w:tcPr>
          <w:p w14:paraId="7EF3985D">
            <w:pPr>
              <w:jc w:val="center"/>
              <w:rPr>
                <w:rFonts w:ascii="宋体" w:hAnsi="宋体" w:cs="宋体"/>
                <w:color w:val="000000"/>
                <w:szCs w:val="21"/>
              </w:rPr>
            </w:pPr>
            <w:r>
              <w:rPr>
                <w:rFonts w:hint="eastAsia" w:ascii="宋体" w:hAnsi="宋体" w:cs="宋体"/>
                <w:color w:val="000000"/>
                <w:szCs w:val="21"/>
              </w:rPr>
              <w:t>服务期限</w:t>
            </w:r>
          </w:p>
        </w:tc>
        <w:tc>
          <w:tcPr>
            <w:tcW w:w="6643" w:type="dxa"/>
            <w:vAlign w:val="center"/>
          </w:tcPr>
          <w:p w14:paraId="68493170">
            <w:pPr>
              <w:rPr>
                <w:rFonts w:ascii="宋体" w:hAnsi="宋体" w:cs="宋体"/>
                <w:color w:val="000000"/>
                <w:szCs w:val="21"/>
              </w:rPr>
            </w:pPr>
            <w:r>
              <w:rPr>
                <w:rFonts w:hint="eastAsia" w:ascii="宋体" w:hAnsi="宋体" w:cs="宋体"/>
                <w:color w:val="000000"/>
                <w:szCs w:val="21"/>
              </w:rPr>
              <w:t>一标段签订合同后30日历天，二标段采砂规划批复后20日历天。</w:t>
            </w:r>
          </w:p>
        </w:tc>
      </w:tr>
      <w:tr w14:paraId="5325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90" w:type="dxa"/>
            <w:vAlign w:val="center"/>
          </w:tcPr>
          <w:p w14:paraId="775EE2B1">
            <w:pPr>
              <w:spacing w:line="360" w:lineRule="auto"/>
              <w:jc w:val="center"/>
              <w:rPr>
                <w:rFonts w:ascii="宋体" w:hAnsi="宋体" w:cs="宋体"/>
                <w:color w:val="000000"/>
                <w:szCs w:val="21"/>
              </w:rPr>
            </w:pPr>
            <w:r>
              <w:rPr>
                <w:rFonts w:hint="eastAsia" w:ascii="宋体" w:hAnsi="宋体" w:cs="宋体"/>
                <w:color w:val="000000"/>
                <w:szCs w:val="21"/>
              </w:rPr>
              <w:t>1.7</w:t>
            </w:r>
          </w:p>
        </w:tc>
        <w:tc>
          <w:tcPr>
            <w:tcW w:w="2109" w:type="dxa"/>
            <w:vAlign w:val="center"/>
          </w:tcPr>
          <w:p w14:paraId="1C7843E2">
            <w:pPr>
              <w:spacing w:line="360" w:lineRule="auto"/>
              <w:jc w:val="center"/>
              <w:rPr>
                <w:rFonts w:ascii="宋体" w:hAnsi="宋体" w:cs="宋体"/>
                <w:color w:val="000000"/>
                <w:szCs w:val="21"/>
              </w:rPr>
            </w:pPr>
            <w:r>
              <w:rPr>
                <w:rFonts w:hint="eastAsia" w:ascii="宋体" w:hAnsi="宋体" w:cs="宋体"/>
                <w:color w:val="000000"/>
                <w:szCs w:val="21"/>
              </w:rPr>
              <w:t>质量要求</w:t>
            </w:r>
          </w:p>
        </w:tc>
        <w:tc>
          <w:tcPr>
            <w:tcW w:w="6643" w:type="dxa"/>
            <w:vAlign w:val="center"/>
          </w:tcPr>
          <w:p w14:paraId="79B38F86">
            <w:pPr>
              <w:spacing w:line="360" w:lineRule="auto"/>
              <w:rPr>
                <w:rFonts w:ascii="宋体" w:hAnsi="宋体" w:cs="宋体"/>
                <w:color w:val="000000"/>
                <w:szCs w:val="21"/>
              </w:rPr>
            </w:pPr>
            <w:r>
              <w:rPr>
                <w:rFonts w:hint="eastAsia" w:ascii="宋体" w:hAnsi="宋体" w:cs="宋体"/>
                <w:color w:val="000000"/>
                <w:szCs w:val="21"/>
              </w:rPr>
              <w:t>符合国家、行业、地方规范和法规的要求，并通过专家评审</w:t>
            </w:r>
          </w:p>
        </w:tc>
      </w:tr>
      <w:tr w14:paraId="32DC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 w:type="dxa"/>
            <w:vAlign w:val="center"/>
          </w:tcPr>
          <w:p w14:paraId="2B66453F">
            <w:pPr>
              <w:spacing w:line="360" w:lineRule="auto"/>
              <w:jc w:val="center"/>
              <w:rPr>
                <w:rFonts w:ascii="宋体" w:hAnsi="宋体" w:cs="宋体"/>
                <w:color w:val="000000"/>
                <w:szCs w:val="21"/>
              </w:rPr>
            </w:pPr>
            <w:r>
              <w:rPr>
                <w:rFonts w:hint="eastAsia" w:ascii="宋体" w:hAnsi="宋体" w:cs="宋体"/>
                <w:color w:val="000000"/>
                <w:szCs w:val="21"/>
              </w:rPr>
              <w:t>1.8</w:t>
            </w:r>
          </w:p>
        </w:tc>
        <w:tc>
          <w:tcPr>
            <w:tcW w:w="2109" w:type="dxa"/>
            <w:vAlign w:val="center"/>
          </w:tcPr>
          <w:p w14:paraId="68B079EB">
            <w:pPr>
              <w:spacing w:line="360" w:lineRule="auto"/>
              <w:jc w:val="center"/>
              <w:rPr>
                <w:rFonts w:ascii="宋体" w:hAnsi="宋体" w:cs="宋体"/>
                <w:color w:val="000000"/>
                <w:szCs w:val="21"/>
              </w:rPr>
            </w:pPr>
            <w:r>
              <w:rPr>
                <w:rFonts w:hint="eastAsia" w:ascii="宋体" w:hAnsi="宋体" w:cs="宋体"/>
                <w:color w:val="000000"/>
                <w:szCs w:val="21"/>
              </w:rPr>
              <w:t>供应商资质条件、能力和信誉</w:t>
            </w:r>
          </w:p>
        </w:tc>
        <w:tc>
          <w:tcPr>
            <w:tcW w:w="6643" w:type="dxa"/>
          </w:tcPr>
          <w:p w14:paraId="61219AA7">
            <w:pPr>
              <w:spacing w:line="360" w:lineRule="auto"/>
              <w:rPr>
                <w:rFonts w:hint="eastAsia" w:ascii="宋体" w:hAnsi="宋体" w:cs="宋体"/>
                <w:color w:val="000000"/>
                <w:szCs w:val="21"/>
              </w:rPr>
            </w:pPr>
            <w:r>
              <w:rPr>
                <w:rFonts w:hint="eastAsia" w:ascii="宋体" w:hAnsi="宋体" w:cs="宋体"/>
                <w:color w:val="000000"/>
                <w:szCs w:val="21"/>
              </w:rPr>
              <w:t>1、供应商符合《中华人民共和国政府采购法》第二十二条规定条件：</w:t>
            </w:r>
          </w:p>
          <w:p w14:paraId="5520239B">
            <w:pPr>
              <w:spacing w:line="360" w:lineRule="auto"/>
              <w:rPr>
                <w:rFonts w:hint="eastAsia" w:ascii="宋体" w:hAnsi="宋体" w:cs="宋体"/>
                <w:color w:val="000000"/>
                <w:szCs w:val="21"/>
              </w:rPr>
            </w:pPr>
            <w:r>
              <w:rPr>
                <w:rFonts w:hint="eastAsia" w:ascii="宋体" w:hAnsi="宋体" w:cs="宋体"/>
                <w:color w:val="000000"/>
                <w:szCs w:val="21"/>
              </w:rPr>
              <w:t>2、落实政府采购政策满足的资格要求：本项目专门面向中小微企业采购项目，执行促进中小型企业发展政策（残疾人福利性企业、监狱企业视同小微企业）、优先采购节能环保产品等政府采购政策。</w:t>
            </w:r>
          </w:p>
          <w:p w14:paraId="38AE3750">
            <w:pPr>
              <w:spacing w:line="360" w:lineRule="auto"/>
              <w:rPr>
                <w:rFonts w:hint="eastAsia" w:ascii="宋体" w:hAnsi="宋体" w:cs="宋体"/>
                <w:color w:val="000000"/>
                <w:szCs w:val="21"/>
              </w:rPr>
            </w:pPr>
            <w:r>
              <w:rPr>
                <w:rFonts w:hint="eastAsia" w:ascii="宋体" w:hAnsi="宋体" w:cs="宋体"/>
                <w:color w:val="000000"/>
                <w:szCs w:val="21"/>
              </w:rPr>
              <w:t>3、本项目的特定资格要求</w:t>
            </w:r>
          </w:p>
          <w:p w14:paraId="3DB54F13">
            <w:pPr>
              <w:spacing w:line="360" w:lineRule="auto"/>
              <w:rPr>
                <w:rFonts w:hint="eastAsia" w:ascii="宋体" w:hAnsi="宋体" w:cs="宋体"/>
                <w:color w:val="000000"/>
                <w:szCs w:val="21"/>
              </w:rPr>
            </w:pPr>
            <w:r>
              <w:rPr>
                <w:rFonts w:hint="eastAsia" w:ascii="宋体" w:hAnsi="宋体" w:cs="宋体"/>
                <w:color w:val="000000"/>
                <w:szCs w:val="21"/>
              </w:rPr>
              <w:t>3.1供应商具有独立承担民事责任的能力；(供应商是企业（包括合伙企业），应提供在市场监督管理局注册的有效“企业法人营业执照”；供应商是事业单位，应提供有效的“事业单位法人证书”)；</w:t>
            </w:r>
          </w:p>
          <w:p w14:paraId="0EF1AE51">
            <w:pPr>
              <w:spacing w:line="360" w:lineRule="auto"/>
              <w:rPr>
                <w:rFonts w:hint="eastAsia" w:ascii="宋体" w:hAnsi="宋体" w:cs="宋体"/>
                <w:color w:val="000000"/>
                <w:szCs w:val="21"/>
              </w:rPr>
            </w:pPr>
            <w:r>
              <w:rPr>
                <w:rFonts w:hint="eastAsia" w:ascii="宋体" w:hAnsi="宋体" w:cs="宋体"/>
                <w:color w:val="000000"/>
                <w:szCs w:val="21"/>
              </w:rPr>
              <w:t>3.2一标段：供应商须具有行政主管部门核发的工程设计水利行业（河道整治）专业乙级及以上资质；</w:t>
            </w:r>
          </w:p>
          <w:p w14:paraId="37A5315A">
            <w:pPr>
              <w:spacing w:line="360" w:lineRule="auto"/>
              <w:rPr>
                <w:rFonts w:hint="eastAsia" w:ascii="宋体" w:hAnsi="宋体" w:cs="宋体"/>
                <w:color w:val="000000"/>
                <w:szCs w:val="21"/>
              </w:rPr>
            </w:pPr>
            <w:r>
              <w:rPr>
                <w:rFonts w:hint="eastAsia" w:ascii="宋体" w:hAnsi="宋体" w:cs="宋体"/>
                <w:color w:val="000000"/>
                <w:szCs w:val="21"/>
              </w:rPr>
              <w:t>二标段：供应商须具有有关主管部门颁发的资产评估资格证书（或备案证明）（提供相关证明材料并加盖公章）</w:t>
            </w:r>
          </w:p>
          <w:p w14:paraId="3D86F086">
            <w:pPr>
              <w:spacing w:line="360" w:lineRule="auto"/>
              <w:rPr>
                <w:rFonts w:hint="eastAsia" w:ascii="宋体" w:hAnsi="宋体" w:cs="宋体"/>
                <w:color w:val="000000"/>
                <w:szCs w:val="21"/>
              </w:rPr>
            </w:pPr>
            <w:r>
              <w:rPr>
                <w:rFonts w:hint="eastAsia" w:ascii="宋体" w:hAnsi="宋体" w:cs="宋体"/>
                <w:color w:val="000000"/>
                <w:szCs w:val="21"/>
              </w:rPr>
              <w:t>3.3一标段：项目负责人须具有水利相关专业中级及以上职称（提供本单位为其缴纳的社保证明）；</w:t>
            </w:r>
          </w:p>
          <w:p w14:paraId="199B5955">
            <w:pPr>
              <w:spacing w:line="360" w:lineRule="auto"/>
              <w:rPr>
                <w:rFonts w:hint="eastAsia" w:ascii="宋体" w:hAnsi="宋体" w:cs="宋体"/>
                <w:color w:val="000000"/>
                <w:szCs w:val="21"/>
              </w:rPr>
            </w:pPr>
            <w:r>
              <w:rPr>
                <w:rFonts w:hint="eastAsia" w:ascii="宋体" w:hAnsi="宋体" w:cs="宋体"/>
                <w:color w:val="000000"/>
                <w:szCs w:val="21"/>
              </w:rPr>
              <w:t>二标段：项目负责人须具有资产评估师证书（提供本单位为其缴纳的社保证明、执业证书证明材料）</w:t>
            </w:r>
          </w:p>
          <w:p w14:paraId="5505E3AC">
            <w:pPr>
              <w:spacing w:line="360" w:lineRule="auto"/>
              <w:rPr>
                <w:rFonts w:hint="eastAsia" w:ascii="宋体" w:hAnsi="宋体" w:cs="宋体"/>
                <w:color w:val="000000"/>
                <w:szCs w:val="21"/>
              </w:rPr>
            </w:pPr>
            <w:r>
              <w:rPr>
                <w:rFonts w:hint="eastAsia" w:ascii="宋体" w:hAnsi="宋体" w:cs="宋体"/>
                <w:color w:val="000000"/>
                <w:szCs w:val="21"/>
              </w:rPr>
              <w:t>3.4供应商出具无行贿犯罪记录在中国裁判文书网自行查询或自行承诺（查询对象：企业、法定代表人）；</w:t>
            </w:r>
          </w:p>
          <w:p w14:paraId="2CDF3A94">
            <w:pPr>
              <w:spacing w:line="360" w:lineRule="auto"/>
              <w:rPr>
                <w:rFonts w:hint="eastAsia" w:ascii="宋体" w:hAnsi="宋体" w:cs="宋体"/>
                <w:color w:val="000000"/>
                <w:szCs w:val="21"/>
              </w:rPr>
            </w:pPr>
            <w:r>
              <w:rPr>
                <w:rFonts w:hint="eastAsia" w:ascii="宋体" w:hAnsi="宋体" w:cs="宋体"/>
                <w:color w:val="000000"/>
                <w:szCs w:val="21"/>
              </w:rPr>
              <w:t>3.5供应商须提供本企业无商业贿赂和不正当竞争行为承诺书；</w:t>
            </w:r>
          </w:p>
          <w:p w14:paraId="16E3CEF0">
            <w:pPr>
              <w:spacing w:line="360" w:lineRule="auto"/>
              <w:rPr>
                <w:rFonts w:hint="eastAsia" w:ascii="宋体" w:hAnsi="宋体" w:cs="宋体"/>
                <w:color w:val="000000"/>
                <w:szCs w:val="21"/>
              </w:rPr>
            </w:pPr>
            <w:r>
              <w:rPr>
                <w:rFonts w:hint="eastAsia" w:ascii="宋体" w:hAnsi="宋体" w:cs="宋体"/>
                <w:color w:val="000000"/>
                <w:szCs w:val="21"/>
              </w:rPr>
              <w:t>3.6供应商没有被列入“中国执行信息公开网”的“失信被执行人”、“信用中国”的“重大税收违法失信主体”及“中国政府采购网站”的“政府采购严重违法失信行为记录名单”。【查询渠道：“中国执行信息公开网”（http://zxgk.court.gov.cn/）“信用中国”网站（www.creditchina.gov.cn）、“中国政府采购网”（www.ccgp.gov.cn）】(注：査询时间必须是本公告发布之后开标之前，查询结果清晰可见)；</w:t>
            </w:r>
          </w:p>
          <w:p w14:paraId="61FE5587">
            <w:pPr>
              <w:spacing w:line="360" w:lineRule="auto"/>
              <w:rPr>
                <w:rFonts w:ascii="宋体" w:hAnsi="宋体" w:cs="宋体"/>
                <w:color w:val="000000"/>
                <w:szCs w:val="21"/>
              </w:rPr>
            </w:pPr>
            <w:r>
              <w:rPr>
                <w:rFonts w:hint="eastAsia" w:ascii="宋体" w:hAnsi="宋体" w:cs="宋体"/>
                <w:color w:val="000000"/>
                <w:szCs w:val="21"/>
              </w:rPr>
              <w:t>3.7本项目不接受联合体投标；</w:t>
            </w:r>
          </w:p>
        </w:tc>
      </w:tr>
      <w:tr w14:paraId="5D32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90" w:type="dxa"/>
            <w:vAlign w:val="center"/>
          </w:tcPr>
          <w:p w14:paraId="1A36D711">
            <w:pPr>
              <w:spacing w:line="360" w:lineRule="auto"/>
              <w:jc w:val="center"/>
              <w:rPr>
                <w:rFonts w:ascii="宋体" w:hAnsi="宋体" w:cs="宋体"/>
                <w:color w:val="000000"/>
                <w:szCs w:val="21"/>
              </w:rPr>
            </w:pPr>
            <w:r>
              <w:rPr>
                <w:rFonts w:hint="eastAsia" w:ascii="宋体" w:hAnsi="宋体" w:cs="宋体"/>
                <w:color w:val="000000"/>
                <w:szCs w:val="21"/>
              </w:rPr>
              <w:t>1.9</w:t>
            </w:r>
          </w:p>
        </w:tc>
        <w:tc>
          <w:tcPr>
            <w:tcW w:w="2109" w:type="dxa"/>
            <w:vAlign w:val="center"/>
          </w:tcPr>
          <w:p w14:paraId="48129FDD">
            <w:pPr>
              <w:spacing w:line="360" w:lineRule="auto"/>
              <w:jc w:val="left"/>
              <w:rPr>
                <w:rFonts w:ascii="宋体" w:hAnsi="宋体" w:cs="宋体"/>
                <w:color w:val="000000"/>
                <w:szCs w:val="21"/>
              </w:rPr>
            </w:pPr>
            <w:r>
              <w:rPr>
                <w:rFonts w:hint="eastAsia" w:ascii="宋体" w:hAnsi="宋体" w:cs="宋体"/>
                <w:color w:val="000000"/>
                <w:szCs w:val="21"/>
              </w:rPr>
              <w:t>是否接受联合体投标</w:t>
            </w:r>
          </w:p>
        </w:tc>
        <w:tc>
          <w:tcPr>
            <w:tcW w:w="6643" w:type="dxa"/>
            <w:vAlign w:val="center"/>
          </w:tcPr>
          <w:p w14:paraId="554AAF97">
            <w:pPr>
              <w:spacing w:line="360" w:lineRule="auto"/>
              <w:rPr>
                <w:rFonts w:ascii="宋体" w:hAnsi="宋体" w:cs="宋体"/>
                <w:color w:val="000000"/>
                <w:szCs w:val="21"/>
              </w:rPr>
            </w:pPr>
            <w:r>
              <w:rPr>
                <w:rFonts w:hint="eastAsia" w:ascii="宋体" w:hAnsi="宋体" w:cs="宋体"/>
                <w:color w:val="000000"/>
                <w:szCs w:val="21"/>
              </w:rPr>
              <w:t>不接受。</w:t>
            </w:r>
          </w:p>
        </w:tc>
      </w:tr>
      <w:tr w14:paraId="63B4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90" w:type="dxa"/>
            <w:vAlign w:val="center"/>
          </w:tcPr>
          <w:p w14:paraId="74C7DE89">
            <w:pPr>
              <w:spacing w:line="360" w:lineRule="auto"/>
              <w:jc w:val="center"/>
              <w:rPr>
                <w:rFonts w:ascii="宋体" w:hAnsi="宋体" w:cs="宋体"/>
                <w:color w:val="000000"/>
                <w:szCs w:val="21"/>
              </w:rPr>
            </w:pPr>
            <w:r>
              <w:rPr>
                <w:rFonts w:hint="eastAsia" w:ascii="宋体" w:hAnsi="宋体" w:cs="宋体"/>
                <w:color w:val="000000"/>
                <w:szCs w:val="21"/>
              </w:rPr>
              <w:t>2.0</w:t>
            </w:r>
          </w:p>
        </w:tc>
        <w:tc>
          <w:tcPr>
            <w:tcW w:w="2109" w:type="dxa"/>
            <w:vAlign w:val="center"/>
          </w:tcPr>
          <w:p w14:paraId="1017A3FB">
            <w:pPr>
              <w:spacing w:line="360" w:lineRule="auto"/>
              <w:jc w:val="left"/>
              <w:rPr>
                <w:rFonts w:ascii="宋体" w:hAnsi="宋体" w:cs="宋体"/>
                <w:color w:val="000000"/>
                <w:szCs w:val="21"/>
              </w:rPr>
            </w:pPr>
            <w:r>
              <w:rPr>
                <w:rFonts w:hint="eastAsia" w:ascii="宋体" w:hAnsi="宋体" w:cs="宋体"/>
                <w:color w:val="000000"/>
                <w:szCs w:val="21"/>
              </w:rPr>
              <w:t>偏离</w:t>
            </w:r>
          </w:p>
        </w:tc>
        <w:tc>
          <w:tcPr>
            <w:tcW w:w="6643" w:type="dxa"/>
            <w:vAlign w:val="center"/>
          </w:tcPr>
          <w:p w14:paraId="01C0488F">
            <w:pPr>
              <w:spacing w:line="360" w:lineRule="auto"/>
              <w:rPr>
                <w:rFonts w:ascii="宋体" w:hAnsi="宋体" w:cs="宋体"/>
                <w:color w:val="000000"/>
                <w:szCs w:val="21"/>
              </w:rPr>
            </w:pPr>
            <w:r>
              <w:rPr>
                <w:rFonts w:hint="eastAsia" w:ascii="宋体" w:hAnsi="宋体" w:cs="宋体"/>
                <w:color w:val="000000"/>
                <w:szCs w:val="21"/>
              </w:rPr>
              <w:t>不允许</w:t>
            </w:r>
          </w:p>
        </w:tc>
      </w:tr>
      <w:tr w14:paraId="343E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0" w:type="dxa"/>
            <w:vAlign w:val="center"/>
          </w:tcPr>
          <w:p w14:paraId="15D725BD">
            <w:pPr>
              <w:spacing w:line="360" w:lineRule="auto"/>
              <w:jc w:val="center"/>
              <w:rPr>
                <w:rFonts w:ascii="宋体" w:hAnsi="宋体" w:cs="宋体"/>
                <w:color w:val="000000"/>
                <w:szCs w:val="21"/>
              </w:rPr>
            </w:pPr>
            <w:r>
              <w:rPr>
                <w:rFonts w:hint="eastAsia" w:ascii="宋体" w:hAnsi="宋体" w:cs="宋体"/>
                <w:color w:val="000000"/>
                <w:szCs w:val="21"/>
              </w:rPr>
              <w:t>2.1</w:t>
            </w:r>
          </w:p>
        </w:tc>
        <w:tc>
          <w:tcPr>
            <w:tcW w:w="2109" w:type="dxa"/>
            <w:vAlign w:val="center"/>
          </w:tcPr>
          <w:p w14:paraId="3FF70A18">
            <w:pPr>
              <w:spacing w:line="360" w:lineRule="auto"/>
              <w:rPr>
                <w:rFonts w:ascii="宋体" w:hAnsi="宋体" w:cs="宋体"/>
                <w:color w:val="000000"/>
                <w:szCs w:val="21"/>
              </w:rPr>
            </w:pPr>
            <w:r>
              <w:rPr>
                <w:rFonts w:hint="eastAsia" w:ascii="宋体" w:hAnsi="宋体" w:cs="宋体"/>
                <w:color w:val="000000"/>
                <w:szCs w:val="21"/>
              </w:rPr>
              <w:t>供应商要求澄清磋商文件的截止时间</w:t>
            </w:r>
          </w:p>
        </w:tc>
        <w:tc>
          <w:tcPr>
            <w:tcW w:w="6643" w:type="dxa"/>
            <w:vAlign w:val="center"/>
          </w:tcPr>
          <w:p w14:paraId="6D606173">
            <w:pPr>
              <w:autoSpaceDE w:val="0"/>
              <w:autoSpaceDN w:val="0"/>
              <w:adjustRightInd w:val="0"/>
              <w:spacing w:line="360" w:lineRule="auto"/>
              <w:jc w:val="left"/>
              <w:rPr>
                <w:rFonts w:ascii="宋体" w:hAnsi="宋体" w:cs="宋体"/>
                <w:color w:val="000000"/>
                <w:szCs w:val="21"/>
              </w:rPr>
            </w:pPr>
            <w:r>
              <w:rPr>
                <w:rFonts w:hint="eastAsia" w:ascii="宋体" w:hAnsi="宋体" w:cs="宋体"/>
                <w:color w:val="000000"/>
                <w:szCs w:val="21"/>
              </w:rPr>
              <w:t>递交响应文件的截止之日5日前</w:t>
            </w:r>
            <w:r>
              <w:rPr>
                <w:rFonts w:ascii="宋体" w:hAnsi="宋体" w:cs="宋体"/>
                <w:color w:val="000000"/>
                <w:szCs w:val="21"/>
              </w:rPr>
              <w:t>。</w:t>
            </w:r>
          </w:p>
        </w:tc>
      </w:tr>
      <w:tr w14:paraId="4DF3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90" w:type="dxa"/>
            <w:vAlign w:val="center"/>
          </w:tcPr>
          <w:p w14:paraId="10317E00">
            <w:pPr>
              <w:spacing w:line="360" w:lineRule="auto"/>
              <w:jc w:val="center"/>
              <w:rPr>
                <w:rFonts w:ascii="宋体" w:hAnsi="宋体" w:cs="宋体"/>
                <w:color w:val="000000"/>
                <w:szCs w:val="21"/>
              </w:rPr>
            </w:pPr>
            <w:r>
              <w:rPr>
                <w:rFonts w:hint="eastAsia" w:ascii="宋体" w:hAnsi="宋体" w:cs="宋体"/>
                <w:color w:val="000000"/>
                <w:szCs w:val="21"/>
              </w:rPr>
              <w:t>2.2</w:t>
            </w:r>
          </w:p>
        </w:tc>
        <w:tc>
          <w:tcPr>
            <w:tcW w:w="2109" w:type="dxa"/>
            <w:vAlign w:val="center"/>
          </w:tcPr>
          <w:p w14:paraId="2997DE23">
            <w:pPr>
              <w:spacing w:line="360" w:lineRule="auto"/>
              <w:rPr>
                <w:rFonts w:ascii="宋体" w:hAnsi="宋体" w:cs="宋体"/>
                <w:color w:val="000000"/>
                <w:szCs w:val="21"/>
              </w:rPr>
            </w:pPr>
            <w:r>
              <w:rPr>
                <w:rFonts w:hint="eastAsia" w:ascii="宋体" w:hAnsi="宋体" w:cs="宋体"/>
                <w:color w:val="000000"/>
                <w:szCs w:val="21"/>
              </w:rPr>
              <w:t>采购人澄清的时间</w:t>
            </w:r>
          </w:p>
        </w:tc>
        <w:tc>
          <w:tcPr>
            <w:tcW w:w="6643" w:type="dxa"/>
          </w:tcPr>
          <w:p w14:paraId="10F4195B">
            <w:pPr>
              <w:autoSpaceDE w:val="0"/>
              <w:autoSpaceDN w:val="0"/>
              <w:adjustRightInd w:val="0"/>
              <w:spacing w:line="360" w:lineRule="auto"/>
              <w:rPr>
                <w:rFonts w:ascii="宋体" w:hAnsi="宋体" w:cs="宋体"/>
                <w:color w:val="000000"/>
                <w:szCs w:val="21"/>
              </w:rPr>
            </w:pPr>
            <w:r>
              <w:rPr>
                <w:rFonts w:hint="eastAsia" w:ascii="宋体" w:hAnsi="宋体" w:cs="宋体"/>
                <w:color w:val="000000"/>
                <w:szCs w:val="21"/>
              </w:rPr>
              <w:t>磋商</w:t>
            </w:r>
            <w:r>
              <w:rPr>
                <w:rFonts w:ascii="宋体" w:hAnsi="宋体" w:cs="宋体"/>
                <w:color w:val="000000"/>
                <w:szCs w:val="21"/>
              </w:rPr>
              <w:t>截止时间</w:t>
            </w:r>
            <w:r>
              <w:rPr>
                <w:rFonts w:hint="eastAsia" w:ascii="宋体" w:hAnsi="宋体" w:cs="宋体"/>
                <w:color w:val="000000"/>
                <w:szCs w:val="21"/>
              </w:rPr>
              <w:t>5日</w:t>
            </w:r>
            <w:r>
              <w:rPr>
                <w:rFonts w:ascii="宋体" w:hAnsi="宋体" w:cs="宋体"/>
                <w:color w:val="000000"/>
                <w:szCs w:val="21"/>
              </w:rPr>
              <w:t>前</w:t>
            </w:r>
            <w:r>
              <w:rPr>
                <w:rFonts w:hint="eastAsia" w:ascii="宋体" w:hAnsi="宋体" w:cs="宋体"/>
                <w:color w:val="000000"/>
                <w:szCs w:val="21"/>
              </w:rPr>
              <w:t>。</w:t>
            </w:r>
          </w:p>
        </w:tc>
      </w:tr>
      <w:tr w14:paraId="3E21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90" w:type="dxa"/>
            <w:vAlign w:val="center"/>
          </w:tcPr>
          <w:p w14:paraId="51921547">
            <w:pPr>
              <w:spacing w:line="360" w:lineRule="auto"/>
              <w:jc w:val="center"/>
              <w:rPr>
                <w:rFonts w:ascii="宋体" w:hAnsi="宋体" w:cs="宋体"/>
                <w:color w:val="000000"/>
                <w:szCs w:val="21"/>
              </w:rPr>
            </w:pPr>
            <w:r>
              <w:rPr>
                <w:rFonts w:hint="eastAsia" w:ascii="宋体" w:hAnsi="宋体" w:cs="宋体"/>
                <w:color w:val="000000"/>
                <w:szCs w:val="21"/>
              </w:rPr>
              <w:t>2.3</w:t>
            </w:r>
          </w:p>
        </w:tc>
        <w:tc>
          <w:tcPr>
            <w:tcW w:w="2109" w:type="dxa"/>
            <w:vAlign w:val="center"/>
          </w:tcPr>
          <w:p w14:paraId="717A13D5">
            <w:pPr>
              <w:spacing w:line="360" w:lineRule="auto"/>
              <w:rPr>
                <w:rFonts w:ascii="宋体" w:hAnsi="宋体"/>
                <w:szCs w:val="21"/>
              </w:rPr>
            </w:pPr>
            <w:r>
              <w:rPr>
                <w:rFonts w:hint="eastAsia" w:ascii="宋体" w:hAnsi="宋体"/>
                <w:szCs w:val="21"/>
              </w:rPr>
              <w:t>构成磋商文件的其他材料</w:t>
            </w:r>
          </w:p>
        </w:tc>
        <w:tc>
          <w:tcPr>
            <w:tcW w:w="6643" w:type="dxa"/>
            <w:vAlign w:val="center"/>
          </w:tcPr>
          <w:p w14:paraId="701620A7">
            <w:pPr>
              <w:autoSpaceDE w:val="0"/>
              <w:autoSpaceDN w:val="0"/>
              <w:adjustRightInd w:val="0"/>
              <w:jc w:val="left"/>
              <w:rPr>
                <w:rFonts w:ascii="宋体" w:hAnsi="宋体" w:cs="宋体"/>
                <w:color w:val="000000"/>
                <w:szCs w:val="21"/>
              </w:rPr>
            </w:pPr>
            <w:r>
              <w:rPr>
                <w:rFonts w:hint="eastAsia" w:ascii="宋体" w:hAnsi="宋体" w:cs="宋体"/>
                <w:color w:val="000000"/>
                <w:szCs w:val="21"/>
              </w:rPr>
              <w:t>经相关部门确认的答疑纪要、磋商文件的补充、澄清和修改文件（如有）</w:t>
            </w:r>
          </w:p>
        </w:tc>
      </w:tr>
      <w:tr w14:paraId="6425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90" w:type="dxa"/>
            <w:vAlign w:val="center"/>
          </w:tcPr>
          <w:p w14:paraId="2DAA3039">
            <w:pPr>
              <w:spacing w:line="360" w:lineRule="auto"/>
              <w:jc w:val="center"/>
              <w:rPr>
                <w:rFonts w:ascii="宋体" w:hAnsi="宋体" w:cs="宋体"/>
                <w:color w:val="000000"/>
                <w:szCs w:val="21"/>
              </w:rPr>
            </w:pPr>
            <w:r>
              <w:rPr>
                <w:rFonts w:hint="eastAsia" w:ascii="宋体" w:hAnsi="宋体" w:cs="宋体"/>
                <w:color w:val="000000"/>
                <w:szCs w:val="21"/>
              </w:rPr>
              <w:t>2.4</w:t>
            </w:r>
          </w:p>
        </w:tc>
        <w:tc>
          <w:tcPr>
            <w:tcW w:w="2109" w:type="dxa"/>
            <w:vAlign w:val="center"/>
          </w:tcPr>
          <w:p w14:paraId="4CA6E6D8">
            <w:pPr>
              <w:spacing w:line="360" w:lineRule="auto"/>
              <w:rPr>
                <w:rFonts w:ascii="宋体" w:hAnsi="宋体"/>
                <w:szCs w:val="21"/>
              </w:rPr>
            </w:pPr>
            <w:r>
              <w:rPr>
                <w:rFonts w:hint="eastAsia" w:ascii="宋体" w:hAnsi="宋体"/>
                <w:szCs w:val="21"/>
              </w:rPr>
              <w:t>供应商确认收到磋商文件澄清的时间</w:t>
            </w:r>
          </w:p>
        </w:tc>
        <w:tc>
          <w:tcPr>
            <w:tcW w:w="6643" w:type="dxa"/>
            <w:vAlign w:val="center"/>
          </w:tcPr>
          <w:p w14:paraId="60B0955A">
            <w:pPr>
              <w:autoSpaceDE w:val="0"/>
              <w:autoSpaceDN w:val="0"/>
              <w:adjustRightInd w:val="0"/>
              <w:jc w:val="left"/>
              <w:rPr>
                <w:rFonts w:ascii="宋体" w:hAnsi="宋体" w:cs="宋体"/>
                <w:color w:val="000000"/>
                <w:szCs w:val="21"/>
              </w:rPr>
            </w:pPr>
            <w:r>
              <w:rPr>
                <w:rFonts w:hint="eastAsia" w:ascii="宋体" w:hAnsi="宋体" w:cs="宋体"/>
                <w:color w:val="000000"/>
                <w:szCs w:val="21"/>
              </w:rPr>
              <w:t>在收到相应澄清文件后</w:t>
            </w:r>
            <w:r>
              <w:rPr>
                <w:rFonts w:ascii="宋体" w:hAnsi="宋体" w:cs="宋体"/>
                <w:color w:val="000000"/>
                <w:szCs w:val="21"/>
              </w:rPr>
              <w:t>24</w:t>
            </w:r>
            <w:r>
              <w:rPr>
                <w:rFonts w:hint="eastAsia" w:ascii="宋体" w:hAnsi="宋体" w:cs="宋体"/>
                <w:color w:val="000000"/>
                <w:szCs w:val="21"/>
              </w:rPr>
              <w:t>小时内。</w:t>
            </w:r>
          </w:p>
        </w:tc>
      </w:tr>
      <w:tr w14:paraId="7DB1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90" w:type="dxa"/>
            <w:vAlign w:val="center"/>
          </w:tcPr>
          <w:p w14:paraId="476B2452">
            <w:pPr>
              <w:spacing w:line="360" w:lineRule="auto"/>
              <w:jc w:val="center"/>
              <w:rPr>
                <w:rFonts w:ascii="宋体" w:hAnsi="宋体" w:cs="宋体"/>
                <w:color w:val="000000"/>
                <w:szCs w:val="21"/>
              </w:rPr>
            </w:pPr>
            <w:r>
              <w:rPr>
                <w:rFonts w:hint="eastAsia" w:ascii="宋体" w:hAnsi="宋体" w:cs="宋体"/>
                <w:color w:val="000000"/>
                <w:szCs w:val="21"/>
              </w:rPr>
              <w:t>2.5</w:t>
            </w:r>
          </w:p>
        </w:tc>
        <w:tc>
          <w:tcPr>
            <w:tcW w:w="2109" w:type="dxa"/>
            <w:vAlign w:val="center"/>
          </w:tcPr>
          <w:p w14:paraId="3194EA35">
            <w:pPr>
              <w:autoSpaceDE w:val="0"/>
              <w:autoSpaceDN w:val="0"/>
              <w:adjustRightInd w:val="0"/>
              <w:spacing w:line="360" w:lineRule="auto"/>
              <w:jc w:val="left"/>
              <w:rPr>
                <w:rFonts w:ascii="宋体" w:hAnsi="宋体"/>
                <w:szCs w:val="21"/>
              </w:rPr>
            </w:pPr>
            <w:r>
              <w:rPr>
                <w:rFonts w:hint="eastAsia" w:ascii="宋体" w:hAnsi="宋体"/>
                <w:szCs w:val="21"/>
              </w:rPr>
              <w:t>供应商确认收到磋商文件修改的时间</w:t>
            </w:r>
          </w:p>
        </w:tc>
        <w:tc>
          <w:tcPr>
            <w:tcW w:w="6643" w:type="dxa"/>
            <w:vAlign w:val="center"/>
          </w:tcPr>
          <w:p w14:paraId="587B01CD">
            <w:pPr>
              <w:autoSpaceDE w:val="0"/>
              <w:autoSpaceDN w:val="0"/>
              <w:adjustRightInd w:val="0"/>
              <w:jc w:val="left"/>
              <w:rPr>
                <w:rFonts w:ascii="宋体" w:hAnsi="宋体" w:cs="宋体"/>
                <w:color w:val="000000"/>
                <w:szCs w:val="21"/>
              </w:rPr>
            </w:pPr>
            <w:r>
              <w:rPr>
                <w:rFonts w:hint="eastAsia" w:ascii="宋体" w:hAnsi="宋体" w:cs="宋体"/>
                <w:color w:val="000000"/>
                <w:szCs w:val="21"/>
              </w:rPr>
              <w:t>在收到相应修改文件后</w:t>
            </w:r>
            <w:r>
              <w:rPr>
                <w:rFonts w:ascii="宋体" w:hAnsi="宋体" w:cs="宋体"/>
                <w:color w:val="000000"/>
                <w:szCs w:val="21"/>
              </w:rPr>
              <w:t>24</w:t>
            </w:r>
            <w:r>
              <w:rPr>
                <w:rFonts w:hint="eastAsia" w:ascii="宋体" w:hAnsi="宋体" w:cs="宋体"/>
                <w:color w:val="000000"/>
                <w:szCs w:val="21"/>
              </w:rPr>
              <w:t>小时内</w:t>
            </w:r>
          </w:p>
        </w:tc>
      </w:tr>
      <w:tr w14:paraId="6C8F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890" w:type="dxa"/>
            <w:vAlign w:val="center"/>
          </w:tcPr>
          <w:p w14:paraId="26B94700">
            <w:pPr>
              <w:spacing w:line="360" w:lineRule="auto"/>
              <w:jc w:val="center"/>
              <w:rPr>
                <w:rFonts w:ascii="宋体" w:hAnsi="宋体" w:cs="宋体"/>
                <w:color w:val="000000"/>
                <w:szCs w:val="21"/>
              </w:rPr>
            </w:pPr>
            <w:r>
              <w:rPr>
                <w:rFonts w:hint="eastAsia" w:ascii="宋体" w:hAnsi="宋体" w:cs="宋体"/>
                <w:color w:val="000000"/>
                <w:szCs w:val="21"/>
              </w:rPr>
              <w:t>2.6</w:t>
            </w:r>
          </w:p>
        </w:tc>
        <w:tc>
          <w:tcPr>
            <w:tcW w:w="2109" w:type="dxa"/>
            <w:vAlign w:val="center"/>
          </w:tcPr>
          <w:p w14:paraId="19EC6660">
            <w:pPr>
              <w:autoSpaceDE w:val="0"/>
              <w:autoSpaceDN w:val="0"/>
              <w:adjustRightInd w:val="0"/>
              <w:jc w:val="left"/>
              <w:rPr>
                <w:rFonts w:ascii="宋体" w:hAnsi="宋体"/>
                <w:szCs w:val="21"/>
              </w:rPr>
            </w:pPr>
            <w:r>
              <w:rPr>
                <w:rFonts w:hint="eastAsia" w:ascii="宋体" w:hAnsi="宋体"/>
                <w:szCs w:val="21"/>
              </w:rPr>
              <w:t>构成响应文件的其他材料</w:t>
            </w:r>
          </w:p>
        </w:tc>
        <w:tc>
          <w:tcPr>
            <w:tcW w:w="6643" w:type="dxa"/>
            <w:vAlign w:val="center"/>
          </w:tcPr>
          <w:p w14:paraId="6E0B3A90">
            <w:pPr>
              <w:autoSpaceDE w:val="0"/>
              <w:autoSpaceDN w:val="0"/>
              <w:adjustRightInd w:val="0"/>
              <w:jc w:val="left"/>
              <w:rPr>
                <w:rFonts w:ascii="宋体" w:hAnsi="宋体" w:cs="宋体"/>
                <w:color w:val="000000"/>
                <w:szCs w:val="21"/>
              </w:rPr>
            </w:pPr>
            <w:r>
              <w:rPr>
                <w:rFonts w:hint="eastAsia" w:ascii="宋体" w:hAnsi="宋体" w:cs="宋体"/>
                <w:color w:val="000000"/>
                <w:szCs w:val="21"/>
              </w:rPr>
              <w:t>无</w:t>
            </w:r>
          </w:p>
        </w:tc>
      </w:tr>
      <w:tr w14:paraId="23D3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90" w:type="dxa"/>
            <w:vAlign w:val="center"/>
          </w:tcPr>
          <w:p w14:paraId="13784C8A">
            <w:pPr>
              <w:spacing w:line="360" w:lineRule="auto"/>
              <w:jc w:val="center"/>
              <w:rPr>
                <w:rFonts w:ascii="宋体" w:hAnsi="宋体" w:cs="宋体"/>
                <w:color w:val="000000"/>
                <w:szCs w:val="21"/>
              </w:rPr>
            </w:pPr>
            <w:r>
              <w:rPr>
                <w:rFonts w:hint="eastAsia" w:ascii="宋体" w:hAnsi="宋体" w:cs="宋体"/>
                <w:color w:val="000000"/>
                <w:szCs w:val="21"/>
              </w:rPr>
              <w:t>2.7</w:t>
            </w:r>
          </w:p>
        </w:tc>
        <w:tc>
          <w:tcPr>
            <w:tcW w:w="2109" w:type="dxa"/>
            <w:vAlign w:val="center"/>
          </w:tcPr>
          <w:p w14:paraId="36B0528D">
            <w:pPr>
              <w:spacing w:line="360" w:lineRule="auto"/>
              <w:rPr>
                <w:rFonts w:ascii="宋体" w:hAnsi="宋体" w:cs="宋体"/>
                <w:color w:val="000000"/>
                <w:szCs w:val="21"/>
              </w:rPr>
            </w:pPr>
            <w:r>
              <w:rPr>
                <w:rFonts w:hint="eastAsia" w:ascii="宋体" w:hAnsi="宋体" w:cs="宋体"/>
                <w:color w:val="000000"/>
                <w:szCs w:val="21"/>
              </w:rPr>
              <w:t>磋商有效期</w:t>
            </w:r>
          </w:p>
        </w:tc>
        <w:tc>
          <w:tcPr>
            <w:tcW w:w="6643" w:type="dxa"/>
            <w:vAlign w:val="center"/>
          </w:tcPr>
          <w:p w14:paraId="1806FFE2">
            <w:pPr>
              <w:spacing w:line="360" w:lineRule="auto"/>
              <w:rPr>
                <w:rFonts w:ascii="宋体" w:hAnsi="宋体" w:cs="宋体"/>
                <w:color w:val="000000"/>
                <w:szCs w:val="21"/>
              </w:rPr>
            </w:pPr>
            <w:r>
              <w:rPr>
                <w:rFonts w:hint="eastAsia" w:ascii="宋体" w:hAnsi="宋体" w:cs="宋体"/>
                <w:color w:val="000000"/>
                <w:szCs w:val="21"/>
              </w:rPr>
              <w:t>磋商截止时间起60日历天</w:t>
            </w:r>
          </w:p>
        </w:tc>
      </w:tr>
      <w:tr w14:paraId="2718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90" w:type="dxa"/>
            <w:vAlign w:val="center"/>
          </w:tcPr>
          <w:p w14:paraId="701C0DEF">
            <w:pPr>
              <w:spacing w:line="360" w:lineRule="auto"/>
              <w:jc w:val="center"/>
              <w:rPr>
                <w:rFonts w:ascii="宋体" w:hAnsi="宋体" w:cs="宋体"/>
                <w:color w:val="000000"/>
                <w:szCs w:val="21"/>
              </w:rPr>
            </w:pPr>
            <w:r>
              <w:rPr>
                <w:rFonts w:hint="eastAsia" w:ascii="宋体" w:hAnsi="宋体" w:cs="宋体"/>
                <w:color w:val="000000"/>
                <w:szCs w:val="21"/>
              </w:rPr>
              <w:t>2.8</w:t>
            </w:r>
          </w:p>
        </w:tc>
        <w:tc>
          <w:tcPr>
            <w:tcW w:w="2109" w:type="dxa"/>
            <w:vAlign w:val="center"/>
          </w:tcPr>
          <w:p w14:paraId="17F66F2B">
            <w:pPr>
              <w:spacing w:line="360" w:lineRule="auto"/>
              <w:rPr>
                <w:rFonts w:ascii="宋体" w:hAnsi="宋体" w:cs="宋体"/>
                <w:color w:val="000000"/>
                <w:szCs w:val="21"/>
              </w:rPr>
            </w:pPr>
            <w:r>
              <w:rPr>
                <w:rFonts w:hint="eastAsia" w:ascii="宋体" w:hAnsi="宋体" w:cs="宋体"/>
                <w:color w:val="000000"/>
                <w:szCs w:val="21"/>
              </w:rPr>
              <w:t>磋商保证金</w:t>
            </w:r>
          </w:p>
        </w:tc>
        <w:tc>
          <w:tcPr>
            <w:tcW w:w="6643" w:type="dxa"/>
            <w:vAlign w:val="center"/>
          </w:tcPr>
          <w:p w14:paraId="5AFD84D2">
            <w:pPr>
              <w:spacing w:line="360" w:lineRule="auto"/>
              <w:rPr>
                <w:rFonts w:ascii="宋体" w:hAnsi="宋体" w:cs="宋体"/>
                <w:color w:val="000000"/>
                <w:szCs w:val="21"/>
              </w:rPr>
            </w:pPr>
            <w:r>
              <w:rPr>
                <w:rFonts w:hint="eastAsia" w:ascii="宋体" w:hAnsi="宋体" w:cs="宋体"/>
                <w:color w:val="000000"/>
                <w:szCs w:val="21"/>
              </w:rPr>
              <w:t>根据《河南省财政厅关于优化政府采购营商环境有关问题的通知》（豫财购【2019】4号）第6条的规定，磋商保证金不再收取。</w:t>
            </w:r>
          </w:p>
        </w:tc>
      </w:tr>
      <w:tr w14:paraId="3B52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890" w:type="dxa"/>
            <w:vAlign w:val="center"/>
          </w:tcPr>
          <w:p w14:paraId="5363A598">
            <w:pPr>
              <w:spacing w:line="360" w:lineRule="auto"/>
              <w:jc w:val="center"/>
              <w:rPr>
                <w:rFonts w:ascii="宋体" w:hAnsi="宋体" w:cs="宋体"/>
                <w:color w:val="000000"/>
                <w:szCs w:val="21"/>
              </w:rPr>
            </w:pPr>
            <w:r>
              <w:rPr>
                <w:rFonts w:hint="eastAsia" w:ascii="宋体" w:hAnsi="宋体" w:cs="宋体"/>
                <w:color w:val="000000"/>
                <w:szCs w:val="21"/>
              </w:rPr>
              <w:t>2.9</w:t>
            </w:r>
          </w:p>
        </w:tc>
        <w:tc>
          <w:tcPr>
            <w:tcW w:w="2109" w:type="dxa"/>
            <w:vAlign w:val="center"/>
          </w:tcPr>
          <w:p w14:paraId="04F6BB35">
            <w:pPr>
              <w:spacing w:line="360" w:lineRule="auto"/>
              <w:rPr>
                <w:rFonts w:ascii="宋体" w:hAnsi="宋体" w:cs="宋体"/>
                <w:color w:val="000000"/>
                <w:szCs w:val="21"/>
              </w:rPr>
            </w:pPr>
            <w:r>
              <w:rPr>
                <w:rFonts w:hint="eastAsia" w:ascii="宋体" w:hAnsi="宋体" w:cs="宋体"/>
                <w:color w:val="000000"/>
                <w:szCs w:val="21"/>
              </w:rPr>
              <w:t>近年财务状况的年份要求</w:t>
            </w:r>
          </w:p>
        </w:tc>
        <w:tc>
          <w:tcPr>
            <w:tcW w:w="6643" w:type="dxa"/>
            <w:vAlign w:val="center"/>
          </w:tcPr>
          <w:p w14:paraId="6A2B68CC">
            <w:pPr>
              <w:spacing w:line="360" w:lineRule="auto"/>
              <w:rPr>
                <w:rFonts w:ascii="宋体" w:hAnsi="宋体" w:cs="宋体"/>
                <w:color w:val="000000"/>
                <w:szCs w:val="21"/>
              </w:rPr>
            </w:pPr>
            <w:r>
              <w:rPr>
                <w:rFonts w:hint="eastAsia" w:ascii="宋体" w:hAnsi="宋体" w:cs="宋体"/>
                <w:color w:val="000000"/>
                <w:szCs w:val="21"/>
              </w:rPr>
              <w:t>2023年---至今</w:t>
            </w:r>
          </w:p>
        </w:tc>
      </w:tr>
      <w:tr w14:paraId="4ED5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890" w:type="dxa"/>
            <w:vAlign w:val="center"/>
          </w:tcPr>
          <w:p w14:paraId="7F1E16B6">
            <w:pPr>
              <w:spacing w:line="360" w:lineRule="auto"/>
              <w:jc w:val="center"/>
              <w:rPr>
                <w:rFonts w:ascii="宋体" w:hAnsi="宋体" w:cs="宋体"/>
                <w:color w:val="000000"/>
                <w:szCs w:val="21"/>
              </w:rPr>
            </w:pPr>
            <w:r>
              <w:rPr>
                <w:rFonts w:hint="eastAsia" w:ascii="宋体" w:hAnsi="宋体" w:cs="宋体"/>
                <w:color w:val="000000"/>
                <w:szCs w:val="21"/>
              </w:rPr>
              <w:t>3.0</w:t>
            </w:r>
          </w:p>
        </w:tc>
        <w:tc>
          <w:tcPr>
            <w:tcW w:w="2109" w:type="dxa"/>
            <w:vAlign w:val="center"/>
          </w:tcPr>
          <w:p w14:paraId="6BF7B7AE">
            <w:pPr>
              <w:spacing w:line="360" w:lineRule="auto"/>
              <w:rPr>
                <w:rFonts w:ascii="宋体" w:hAnsi="宋体" w:cs="宋体"/>
                <w:color w:val="000000"/>
                <w:szCs w:val="21"/>
              </w:rPr>
            </w:pPr>
            <w:r>
              <w:rPr>
                <w:rFonts w:hint="eastAsia" w:ascii="宋体" w:hAnsi="宋体" w:cs="宋体"/>
                <w:color w:val="000000"/>
                <w:szCs w:val="21"/>
              </w:rPr>
              <w:t>近年完成的类似项目的年份要求</w:t>
            </w:r>
          </w:p>
        </w:tc>
        <w:tc>
          <w:tcPr>
            <w:tcW w:w="6643" w:type="dxa"/>
            <w:vAlign w:val="center"/>
          </w:tcPr>
          <w:p w14:paraId="2D415F70">
            <w:pPr>
              <w:spacing w:line="360" w:lineRule="auto"/>
              <w:rPr>
                <w:rFonts w:ascii="宋体" w:hAnsi="宋体" w:cs="宋体"/>
                <w:color w:val="000000"/>
                <w:szCs w:val="21"/>
              </w:rPr>
            </w:pPr>
            <w:r>
              <w:rPr>
                <w:rFonts w:hint="eastAsia" w:ascii="宋体" w:hAnsi="宋体" w:cs="宋体"/>
                <w:color w:val="000000"/>
                <w:szCs w:val="21"/>
              </w:rPr>
              <w:t>2023年---至今</w:t>
            </w:r>
          </w:p>
        </w:tc>
      </w:tr>
      <w:tr w14:paraId="521E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90" w:type="dxa"/>
            <w:vAlign w:val="center"/>
          </w:tcPr>
          <w:p w14:paraId="3344AD05">
            <w:pPr>
              <w:spacing w:line="360" w:lineRule="auto"/>
              <w:jc w:val="center"/>
              <w:rPr>
                <w:rFonts w:ascii="宋体" w:hAnsi="宋体" w:cs="宋体"/>
                <w:color w:val="000000"/>
                <w:szCs w:val="21"/>
              </w:rPr>
            </w:pPr>
            <w:r>
              <w:rPr>
                <w:rFonts w:hint="eastAsia" w:ascii="宋体" w:hAnsi="宋体" w:cs="宋体"/>
                <w:color w:val="000000"/>
                <w:szCs w:val="21"/>
              </w:rPr>
              <w:t>3.1</w:t>
            </w:r>
          </w:p>
        </w:tc>
        <w:tc>
          <w:tcPr>
            <w:tcW w:w="2109" w:type="dxa"/>
            <w:vAlign w:val="center"/>
          </w:tcPr>
          <w:p w14:paraId="695CD48C">
            <w:pPr>
              <w:spacing w:line="360" w:lineRule="auto"/>
              <w:rPr>
                <w:rFonts w:ascii="宋体" w:hAnsi="宋体" w:cs="宋体"/>
                <w:color w:val="000000"/>
                <w:szCs w:val="21"/>
              </w:rPr>
            </w:pPr>
            <w:r>
              <w:rPr>
                <w:rFonts w:hint="eastAsia" w:ascii="宋体" w:hAnsi="宋体" w:cs="宋体"/>
                <w:color w:val="000000"/>
                <w:szCs w:val="21"/>
              </w:rPr>
              <w:t>近年发生的诉讼及仲裁情况的年份要求</w:t>
            </w:r>
          </w:p>
        </w:tc>
        <w:tc>
          <w:tcPr>
            <w:tcW w:w="6643" w:type="dxa"/>
            <w:vAlign w:val="center"/>
          </w:tcPr>
          <w:p w14:paraId="265371C2">
            <w:pPr>
              <w:spacing w:line="360" w:lineRule="auto"/>
              <w:rPr>
                <w:rFonts w:ascii="宋体" w:hAnsi="宋体" w:cs="宋体"/>
                <w:color w:val="000000"/>
                <w:szCs w:val="21"/>
              </w:rPr>
            </w:pPr>
            <w:r>
              <w:rPr>
                <w:rFonts w:hint="eastAsia" w:ascii="宋体" w:hAnsi="宋体" w:cs="宋体"/>
                <w:color w:val="000000"/>
                <w:szCs w:val="21"/>
              </w:rPr>
              <w:t>2023年---至今</w:t>
            </w:r>
          </w:p>
        </w:tc>
      </w:tr>
      <w:tr w14:paraId="55B9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90" w:type="dxa"/>
            <w:vAlign w:val="center"/>
          </w:tcPr>
          <w:p w14:paraId="4AED852D">
            <w:pPr>
              <w:spacing w:line="360" w:lineRule="auto"/>
              <w:jc w:val="center"/>
              <w:rPr>
                <w:rFonts w:ascii="宋体" w:hAnsi="宋体" w:cs="宋体"/>
                <w:color w:val="000000"/>
                <w:szCs w:val="21"/>
              </w:rPr>
            </w:pPr>
            <w:r>
              <w:rPr>
                <w:rFonts w:hint="eastAsia" w:ascii="宋体" w:hAnsi="宋体" w:cs="宋体"/>
                <w:color w:val="000000"/>
                <w:szCs w:val="21"/>
              </w:rPr>
              <w:t>3.2</w:t>
            </w:r>
          </w:p>
        </w:tc>
        <w:tc>
          <w:tcPr>
            <w:tcW w:w="2109" w:type="dxa"/>
            <w:vAlign w:val="center"/>
          </w:tcPr>
          <w:p w14:paraId="367B90EB">
            <w:pPr>
              <w:spacing w:line="360" w:lineRule="auto"/>
              <w:rPr>
                <w:rFonts w:ascii="宋体" w:hAnsi="宋体" w:cs="宋体"/>
                <w:color w:val="000000"/>
                <w:szCs w:val="21"/>
              </w:rPr>
            </w:pPr>
            <w:r>
              <w:rPr>
                <w:rFonts w:hint="eastAsia" w:ascii="宋体" w:hAnsi="宋体" w:cs="宋体"/>
                <w:color w:val="000000"/>
                <w:szCs w:val="21"/>
              </w:rPr>
              <w:t>是否允许递交备选投标方案</w:t>
            </w:r>
          </w:p>
        </w:tc>
        <w:tc>
          <w:tcPr>
            <w:tcW w:w="6643" w:type="dxa"/>
            <w:vAlign w:val="center"/>
          </w:tcPr>
          <w:p w14:paraId="2723EC64">
            <w:pPr>
              <w:spacing w:line="360" w:lineRule="auto"/>
              <w:rPr>
                <w:rFonts w:ascii="宋体" w:hAnsi="宋体" w:cs="宋体"/>
                <w:color w:val="000000"/>
                <w:szCs w:val="21"/>
              </w:rPr>
            </w:pPr>
            <w:r>
              <w:rPr>
                <w:rFonts w:hint="eastAsia" w:ascii="宋体" w:hAnsi="宋体" w:cs="宋体"/>
                <w:color w:val="000000"/>
                <w:szCs w:val="21"/>
              </w:rPr>
              <w:t>不允许</w:t>
            </w:r>
          </w:p>
        </w:tc>
      </w:tr>
      <w:tr w14:paraId="4103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90" w:type="dxa"/>
            <w:vAlign w:val="center"/>
          </w:tcPr>
          <w:p w14:paraId="2625500C">
            <w:pPr>
              <w:spacing w:line="360" w:lineRule="auto"/>
              <w:jc w:val="center"/>
              <w:rPr>
                <w:rFonts w:ascii="宋体" w:hAnsi="宋体" w:cs="宋体"/>
                <w:color w:val="000000"/>
                <w:szCs w:val="21"/>
              </w:rPr>
            </w:pPr>
            <w:r>
              <w:rPr>
                <w:rFonts w:hint="eastAsia" w:ascii="宋体" w:hAnsi="宋体" w:cs="宋体"/>
                <w:color w:val="000000"/>
                <w:szCs w:val="21"/>
              </w:rPr>
              <w:t>3.3</w:t>
            </w:r>
          </w:p>
        </w:tc>
        <w:tc>
          <w:tcPr>
            <w:tcW w:w="2109" w:type="dxa"/>
            <w:vAlign w:val="center"/>
          </w:tcPr>
          <w:p w14:paraId="1ABB9DC5">
            <w:pPr>
              <w:widowControl/>
              <w:spacing w:line="360" w:lineRule="auto"/>
              <w:rPr>
                <w:rFonts w:ascii="宋体" w:hAnsi="宋体" w:cs="宋体"/>
                <w:color w:val="000000"/>
                <w:szCs w:val="21"/>
              </w:rPr>
            </w:pPr>
            <w:r>
              <w:rPr>
                <w:rFonts w:hint="eastAsia" w:ascii="宋体" w:hAnsi="宋体" w:cs="宋体"/>
                <w:color w:val="000000"/>
                <w:szCs w:val="21"/>
              </w:rPr>
              <w:t>响应文件份数</w:t>
            </w:r>
          </w:p>
        </w:tc>
        <w:tc>
          <w:tcPr>
            <w:tcW w:w="6643" w:type="dxa"/>
            <w:vAlign w:val="center"/>
          </w:tcPr>
          <w:p w14:paraId="07496A37">
            <w:pPr>
              <w:widowControl/>
              <w:jc w:val="left"/>
              <w:rPr>
                <w:rFonts w:ascii="宋体" w:hAnsi="宋体" w:cs="宋体"/>
                <w:color w:val="000000"/>
                <w:szCs w:val="21"/>
              </w:rPr>
            </w:pPr>
            <w:r>
              <w:rPr>
                <w:rFonts w:hint="eastAsia" w:ascii="宋体" w:hAnsi="宋体" w:cs="宋体"/>
                <w:color w:val="000000"/>
                <w:szCs w:val="21"/>
              </w:rPr>
              <w:t>电子化响应文件一份</w:t>
            </w:r>
          </w:p>
        </w:tc>
      </w:tr>
      <w:tr w14:paraId="37B7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90" w:type="dxa"/>
            <w:vAlign w:val="center"/>
          </w:tcPr>
          <w:p w14:paraId="6BFAEF6B">
            <w:pPr>
              <w:spacing w:line="360" w:lineRule="auto"/>
              <w:jc w:val="center"/>
              <w:rPr>
                <w:rFonts w:ascii="宋体" w:hAnsi="宋体" w:cs="宋体"/>
                <w:color w:val="000000"/>
                <w:szCs w:val="21"/>
              </w:rPr>
            </w:pPr>
            <w:r>
              <w:rPr>
                <w:rFonts w:hint="eastAsia" w:ascii="宋体" w:hAnsi="宋体" w:cs="宋体"/>
                <w:color w:val="000000"/>
                <w:szCs w:val="21"/>
              </w:rPr>
              <w:t>3.4</w:t>
            </w:r>
          </w:p>
        </w:tc>
        <w:tc>
          <w:tcPr>
            <w:tcW w:w="2109" w:type="dxa"/>
            <w:vAlign w:val="center"/>
          </w:tcPr>
          <w:p w14:paraId="7D743245">
            <w:pPr>
              <w:spacing w:line="360" w:lineRule="auto"/>
              <w:rPr>
                <w:rFonts w:ascii="宋体" w:hAnsi="宋体" w:cs="宋体"/>
                <w:color w:val="000000"/>
                <w:szCs w:val="21"/>
              </w:rPr>
            </w:pPr>
            <w:r>
              <w:rPr>
                <w:rFonts w:hint="eastAsia" w:ascii="宋体" w:hAnsi="宋体" w:cs="宋体"/>
                <w:color w:val="000000"/>
                <w:szCs w:val="21"/>
              </w:rPr>
              <w:t>响应文件的签章</w:t>
            </w:r>
          </w:p>
        </w:tc>
        <w:tc>
          <w:tcPr>
            <w:tcW w:w="6643" w:type="dxa"/>
            <w:vAlign w:val="center"/>
          </w:tcPr>
          <w:p w14:paraId="425068E8">
            <w:pPr>
              <w:spacing w:line="360" w:lineRule="auto"/>
              <w:rPr>
                <w:rFonts w:ascii="宋体" w:hAnsi="宋体" w:cs="宋体"/>
                <w:color w:val="000000"/>
                <w:szCs w:val="21"/>
              </w:rPr>
            </w:pPr>
            <w:r>
              <w:rPr>
                <w:rFonts w:hint="eastAsia" w:ascii="宋体" w:hAnsi="宋体" w:cs="宋体"/>
                <w:color w:val="000000"/>
                <w:szCs w:val="21"/>
              </w:rPr>
              <w:t>电子化响应文件的签章：</w:t>
            </w:r>
          </w:p>
          <w:p w14:paraId="2A0491E4">
            <w:pPr>
              <w:spacing w:line="360" w:lineRule="auto"/>
              <w:rPr>
                <w:rFonts w:ascii="宋体" w:hAnsi="宋体" w:cs="宋体"/>
                <w:color w:val="000000"/>
                <w:szCs w:val="21"/>
              </w:rPr>
            </w:pPr>
            <w:r>
              <w:rPr>
                <w:rFonts w:hint="eastAsia" w:ascii="宋体" w:hAnsi="宋体" w:cs="宋体"/>
                <w:color w:val="000000"/>
                <w:szCs w:val="21"/>
              </w:rPr>
              <w:t>1、供应商在生成电子化响应文件后，应对电子化响应文件进行签章，未对电子化文件进行签章的视为无效投标。</w:t>
            </w:r>
          </w:p>
          <w:p w14:paraId="6E95B89E">
            <w:pPr>
              <w:spacing w:line="360" w:lineRule="auto"/>
              <w:rPr>
                <w:rFonts w:ascii="宋体" w:hAnsi="宋体" w:cs="宋体"/>
                <w:color w:val="000000"/>
                <w:szCs w:val="21"/>
              </w:rPr>
            </w:pPr>
            <w:r>
              <w:rPr>
                <w:rFonts w:hint="eastAsia" w:ascii="宋体" w:hAnsi="宋体" w:cs="宋体"/>
                <w:color w:val="000000"/>
                <w:szCs w:val="21"/>
              </w:rPr>
              <w:t>2、磋商文件中要求法定代表人或授权委托人盖章的，供应商在进行电子化响应文件签章时，以签盖法定代表人签章为准。</w:t>
            </w:r>
          </w:p>
          <w:p w14:paraId="67179C68">
            <w:pPr>
              <w:spacing w:line="360" w:lineRule="auto"/>
              <w:rPr>
                <w:rFonts w:ascii="宋体" w:hAnsi="宋体" w:cs="宋体"/>
                <w:color w:val="000000"/>
                <w:szCs w:val="21"/>
              </w:rPr>
            </w:pPr>
            <w:r>
              <w:rPr>
                <w:rFonts w:hint="eastAsia" w:ascii="宋体" w:hAnsi="宋体" w:cs="宋体"/>
                <w:color w:val="000000"/>
                <w:szCs w:val="21"/>
              </w:rPr>
              <w:t>3、电子化响应文件工具请在三门峡市公共资源交易中心网首页“帮助中心”下载。</w:t>
            </w:r>
          </w:p>
        </w:tc>
      </w:tr>
      <w:tr w14:paraId="4B43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90" w:type="dxa"/>
            <w:vAlign w:val="center"/>
          </w:tcPr>
          <w:p w14:paraId="25A5B33D">
            <w:pPr>
              <w:spacing w:line="360" w:lineRule="auto"/>
              <w:jc w:val="center"/>
              <w:rPr>
                <w:rFonts w:ascii="宋体" w:hAnsi="宋体" w:cs="宋体"/>
                <w:color w:val="000000"/>
                <w:szCs w:val="21"/>
              </w:rPr>
            </w:pPr>
            <w:r>
              <w:rPr>
                <w:rFonts w:hint="eastAsia" w:ascii="宋体" w:hAnsi="宋体" w:cs="宋体"/>
                <w:color w:val="000000"/>
                <w:szCs w:val="21"/>
              </w:rPr>
              <w:t>3.5</w:t>
            </w:r>
          </w:p>
        </w:tc>
        <w:tc>
          <w:tcPr>
            <w:tcW w:w="2109" w:type="dxa"/>
            <w:vAlign w:val="center"/>
          </w:tcPr>
          <w:p w14:paraId="10AF9552">
            <w:pPr>
              <w:spacing w:line="360" w:lineRule="auto"/>
              <w:rPr>
                <w:rFonts w:ascii="宋体" w:hAnsi="宋体" w:cs="宋体"/>
                <w:color w:val="000000"/>
                <w:kern w:val="0"/>
                <w:szCs w:val="21"/>
              </w:rPr>
            </w:pPr>
            <w:r>
              <w:rPr>
                <w:rFonts w:hint="eastAsia" w:ascii="宋体" w:hAnsi="宋体" w:cs="宋体"/>
                <w:color w:val="000000"/>
                <w:kern w:val="0"/>
                <w:szCs w:val="21"/>
              </w:rPr>
              <w:t>投标截止时间</w:t>
            </w:r>
          </w:p>
        </w:tc>
        <w:tc>
          <w:tcPr>
            <w:tcW w:w="6643" w:type="dxa"/>
            <w:vAlign w:val="center"/>
          </w:tcPr>
          <w:p w14:paraId="4A1D015F">
            <w:pPr>
              <w:rPr>
                <w:rFonts w:ascii="宋体" w:hAnsi="宋体" w:cs="宋体"/>
                <w:color w:val="000000"/>
                <w:szCs w:val="21"/>
              </w:rPr>
            </w:pPr>
            <w:r>
              <w:rPr>
                <w:rFonts w:hint="eastAsia" w:ascii="宋体" w:hAnsi="宋体" w:cs="宋体"/>
                <w:color w:val="000000"/>
                <w:szCs w:val="21"/>
              </w:rPr>
              <w:t>同磋商时间。</w:t>
            </w:r>
          </w:p>
        </w:tc>
      </w:tr>
      <w:tr w14:paraId="71C1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890" w:type="dxa"/>
            <w:vAlign w:val="center"/>
          </w:tcPr>
          <w:p w14:paraId="0A6EF94E">
            <w:pPr>
              <w:spacing w:line="360" w:lineRule="auto"/>
              <w:jc w:val="center"/>
              <w:rPr>
                <w:rFonts w:ascii="宋体" w:hAnsi="宋体" w:cs="宋体"/>
                <w:szCs w:val="21"/>
              </w:rPr>
            </w:pPr>
            <w:r>
              <w:rPr>
                <w:rFonts w:hint="eastAsia" w:ascii="宋体" w:hAnsi="宋体" w:cs="宋体"/>
                <w:szCs w:val="21"/>
              </w:rPr>
              <w:t>3.6</w:t>
            </w:r>
          </w:p>
        </w:tc>
        <w:tc>
          <w:tcPr>
            <w:tcW w:w="2109" w:type="dxa"/>
            <w:vAlign w:val="center"/>
          </w:tcPr>
          <w:p w14:paraId="22EB0A57">
            <w:pPr>
              <w:spacing w:line="360" w:lineRule="auto"/>
              <w:rPr>
                <w:rFonts w:ascii="宋体" w:hAnsi="宋体" w:cs="宋体"/>
                <w:szCs w:val="21"/>
              </w:rPr>
            </w:pPr>
            <w:r>
              <w:rPr>
                <w:rFonts w:hint="eastAsia" w:ascii="宋体" w:hAnsi="宋体" w:cs="宋体"/>
                <w:szCs w:val="21"/>
              </w:rPr>
              <w:t>磋商时间和地点</w:t>
            </w:r>
          </w:p>
        </w:tc>
        <w:tc>
          <w:tcPr>
            <w:tcW w:w="6643" w:type="dxa"/>
            <w:vAlign w:val="center"/>
          </w:tcPr>
          <w:p w14:paraId="7FE89C40">
            <w:pPr>
              <w:spacing w:line="360" w:lineRule="auto"/>
              <w:rPr>
                <w:rFonts w:ascii="宋体" w:hAnsi="宋体" w:cs="宋体"/>
                <w:szCs w:val="21"/>
              </w:rPr>
            </w:pPr>
            <w:r>
              <w:rPr>
                <w:rFonts w:hint="eastAsia" w:ascii="宋体" w:hAnsi="宋体" w:cs="宋体"/>
                <w:szCs w:val="21"/>
              </w:rPr>
              <w:t>磋商时间：</w:t>
            </w:r>
            <w:r>
              <w:rPr>
                <w:rFonts w:hint="eastAsia" w:ascii="宋体" w:hAnsi="宋体" w:cs="宋体"/>
                <w:szCs w:val="21"/>
                <w:lang w:eastAsia="zh-CN"/>
              </w:rPr>
              <w:t>2026年08月05日08时20分</w:t>
            </w:r>
            <w:r>
              <w:rPr>
                <w:rFonts w:hint="eastAsia" w:ascii="宋体" w:hAnsi="宋体" w:cs="宋体"/>
                <w:szCs w:val="21"/>
              </w:rPr>
              <w:t>（北京时间）。</w:t>
            </w:r>
          </w:p>
          <w:p w14:paraId="735C5508">
            <w:pPr>
              <w:spacing w:line="360" w:lineRule="auto"/>
              <w:rPr>
                <w:rFonts w:ascii="宋体" w:hAnsi="宋体" w:cs="宋体"/>
                <w:szCs w:val="21"/>
              </w:rPr>
            </w:pPr>
            <w:r>
              <w:rPr>
                <w:rFonts w:hint="eastAsia" w:ascii="宋体" w:hAnsi="宋体" w:cs="宋体"/>
                <w:szCs w:val="21"/>
              </w:rPr>
              <w:t>磋商地点：三门峡市陕州区公共资源交易中心开标</w:t>
            </w:r>
            <w:r>
              <w:rPr>
                <w:rFonts w:hint="eastAsia" w:ascii="宋体" w:hAnsi="宋体" w:cs="宋体"/>
                <w:szCs w:val="21"/>
                <w:lang w:val="en-US" w:eastAsia="zh-CN"/>
              </w:rPr>
              <w:t>二</w:t>
            </w:r>
            <w:r>
              <w:rPr>
                <w:rFonts w:hint="eastAsia" w:ascii="宋体" w:hAnsi="宋体" w:cs="宋体"/>
                <w:szCs w:val="21"/>
              </w:rPr>
              <w:t>室。</w:t>
            </w:r>
          </w:p>
        </w:tc>
      </w:tr>
      <w:tr w14:paraId="4E0D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90" w:type="dxa"/>
            <w:vAlign w:val="center"/>
          </w:tcPr>
          <w:p w14:paraId="7FD0D0F4">
            <w:pPr>
              <w:spacing w:line="360" w:lineRule="auto"/>
              <w:jc w:val="center"/>
              <w:rPr>
                <w:rFonts w:ascii="宋体" w:hAnsi="宋体" w:cs="宋体"/>
                <w:color w:val="000000"/>
                <w:szCs w:val="21"/>
              </w:rPr>
            </w:pPr>
            <w:r>
              <w:rPr>
                <w:rFonts w:hint="eastAsia" w:ascii="宋体" w:hAnsi="宋体" w:cs="宋体"/>
                <w:color w:val="000000"/>
                <w:szCs w:val="21"/>
              </w:rPr>
              <w:t>3.7</w:t>
            </w:r>
          </w:p>
        </w:tc>
        <w:tc>
          <w:tcPr>
            <w:tcW w:w="2109" w:type="dxa"/>
            <w:vAlign w:val="center"/>
          </w:tcPr>
          <w:p w14:paraId="545FE6E0">
            <w:pPr>
              <w:spacing w:line="360" w:lineRule="auto"/>
              <w:rPr>
                <w:rFonts w:ascii="宋体" w:hAnsi="宋体" w:cs="宋体"/>
                <w:color w:val="000000"/>
                <w:szCs w:val="21"/>
              </w:rPr>
            </w:pPr>
            <w:r>
              <w:rPr>
                <w:rFonts w:hint="eastAsia" w:ascii="宋体" w:hAnsi="宋体" w:cs="宋体"/>
                <w:color w:val="000000"/>
                <w:szCs w:val="21"/>
              </w:rPr>
              <w:t>磋商小组的组建</w:t>
            </w:r>
          </w:p>
        </w:tc>
        <w:tc>
          <w:tcPr>
            <w:tcW w:w="6643" w:type="dxa"/>
            <w:vAlign w:val="center"/>
          </w:tcPr>
          <w:p w14:paraId="5EC53CE3">
            <w:pPr>
              <w:spacing w:line="360" w:lineRule="auto"/>
              <w:rPr>
                <w:rFonts w:ascii="宋体" w:hAnsi="宋体" w:cs="宋体"/>
                <w:color w:val="000000"/>
                <w:szCs w:val="21"/>
              </w:rPr>
            </w:pPr>
            <w:r>
              <w:rPr>
                <w:rFonts w:hint="eastAsia" w:ascii="宋体" w:hAnsi="宋体" w:cs="宋体"/>
                <w:color w:val="000000"/>
                <w:szCs w:val="21"/>
              </w:rPr>
              <w:t>磋商小组构成：3人；采购人代表1人，评审专家2人；</w:t>
            </w:r>
          </w:p>
          <w:p w14:paraId="4061F026">
            <w:pPr>
              <w:pStyle w:val="12"/>
              <w:spacing w:line="360" w:lineRule="auto"/>
              <w:ind w:firstLine="0" w:firstLineChars="0"/>
              <w:rPr>
                <w:rFonts w:hAnsi="宋体" w:cs="宋体"/>
                <w:color w:val="000000"/>
                <w:szCs w:val="21"/>
              </w:rPr>
            </w:pPr>
            <w:r>
              <w:rPr>
                <w:rFonts w:hint="eastAsia" w:hAnsi="宋体" w:cs="宋体"/>
                <w:b w:val="0"/>
                <w:bCs/>
                <w:color w:val="000000"/>
                <w:szCs w:val="21"/>
              </w:rPr>
              <w:t>评标专家确定方式：从河南省电子化政府采购系统评标专家库中随机抽取。（采购人代表无评标劳务费用）</w:t>
            </w:r>
          </w:p>
        </w:tc>
      </w:tr>
      <w:tr w14:paraId="6990F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90" w:type="dxa"/>
            <w:vAlign w:val="center"/>
          </w:tcPr>
          <w:p w14:paraId="3357CD2E">
            <w:pPr>
              <w:spacing w:line="360" w:lineRule="auto"/>
              <w:jc w:val="center"/>
              <w:rPr>
                <w:rFonts w:ascii="宋体" w:hAnsi="宋体" w:cs="宋体"/>
                <w:color w:val="000000"/>
                <w:szCs w:val="21"/>
              </w:rPr>
            </w:pPr>
            <w:r>
              <w:rPr>
                <w:rFonts w:hint="eastAsia" w:ascii="宋体" w:hAnsi="宋体" w:cs="宋体"/>
                <w:color w:val="000000"/>
                <w:szCs w:val="21"/>
              </w:rPr>
              <w:t>3.8</w:t>
            </w:r>
          </w:p>
        </w:tc>
        <w:tc>
          <w:tcPr>
            <w:tcW w:w="2109" w:type="dxa"/>
            <w:vAlign w:val="center"/>
          </w:tcPr>
          <w:p w14:paraId="6951E6D7">
            <w:pPr>
              <w:spacing w:line="360" w:lineRule="auto"/>
              <w:rPr>
                <w:rFonts w:ascii="宋体" w:hAnsi="宋体" w:cs="宋体"/>
                <w:color w:val="000000"/>
                <w:szCs w:val="21"/>
              </w:rPr>
            </w:pPr>
            <w:r>
              <w:rPr>
                <w:rFonts w:hint="eastAsia" w:ascii="宋体" w:hAnsi="宋体" w:cs="宋体"/>
                <w:color w:val="000000"/>
                <w:szCs w:val="21"/>
              </w:rPr>
              <w:t>是否授权磋商小组确定成交供应商</w:t>
            </w:r>
          </w:p>
        </w:tc>
        <w:tc>
          <w:tcPr>
            <w:tcW w:w="6643" w:type="dxa"/>
            <w:vAlign w:val="center"/>
          </w:tcPr>
          <w:p w14:paraId="0235C3E0">
            <w:pPr>
              <w:spacing w:line="360" w:lineRule="auto"/>
              <w:rPr>
                <w:rFonts w:ascii="宋体" w:hAnsi="宋体" w:cs="宋体"/>
                <w:color w:val="000000"/>
                <w:szCs w:val="21"/>
              </w:rPr>
            </w:pPr>
            <w:r>
              <w:rPr>
                <w:rFonts w:hint="eastAsia" w:ascii="宋体" w:hAnsi="宋体" w:cs="宋体"/>
                <w:color w:val="000000"/>
                <w:szCs w:val="21"/>
              </w:rPr>
              <w:t>否，磋商小组原则上推荐3名成交候选人并排序；</w:t>
            </w:r>
          </w:p>
        </w:tc>
      </w:tr>
      <w:tr w14:paraId="5E63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642" w:type="dxa"/>
            <w:gridSpan w:val="3"/>
            <w:vAlign w:val="center"/>
          </w:tcPr>
          <w:p w14:paraId="22C571F4">
            <w:pPr>
              <w:spacing w:line="360" w:lineRule="auto"/>
              <w:rPr>
                <w:rFonts w:ascii="宋体" w:hAnsi="宋体" w:cs="宋体"/>
                <w:color w:val="000000"/>
                <w:szCs w:val="21"/>
              </w:rPr>
            </w:pPr>
            <w:r>
              <w:rPr>
                <w:rFonts w:hint="eastAsia" w:ascii="宋体" w:hAnsi="宋体" w:cs="宋体"/>
                <w:color w:val="000000"/>
                <w:szCs w:val="21"/>
              </w:rPr>
              <w:t>4.需要补充的其他内容</w:t>
            </w:r>
          </w:p>
        </w:tc>
      </w:tr>
      <w:tr w14:paraId="22BD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90" w:type="dxa"/>
            <w:vAlign w:val="center"/>
          </w:tcPr>
          <w:p w14:paraId="06D68CE9">
            <w:pPr>
              <w:adjustRightInd w:val="0"/>
              <w:spacing w:line="360" w:lineRule="auto"/>
              <w:jc w:val="center"/>
              <w:textAlignment w:val="baseline"/>
              <w:rPr>
                <w:rFonts w:ascii="宋体" w:hAnsi="宋体" w:cs="宋体"/>
                <w:szCs w:val="21"/>
              </w:rPr>
            </w:pPr>
            <w:r>
              <w:rPr>
                <w:rFonts w:hint="eastAsia" w:ascii="宋体" w:hAnsi="宋体" w:cs="宋体"/>
                <w:color w:val="000000"/>
                <w:szCs w:val="21"/>
              </w:rPr>
              <w:t>4.1</w:t>
            </w:r>
          </w:p>
        </w:tc>
        <w:tc>
          <w:tcPr>
            <w:tcW w:w="2109" w:type="dxa"/>
            <w:vAlign w:val="center"/>
          </w:tcPr>
          <w:p w14:paraId="45C35D75">
            <w:pPr>
              <w:spacing w:line="360" w:lineRule="auto"/>
              <w:jc w:val="center"/>
              <w:rPr>
                <w:rFonts w:ascii="宋体" w:hAnsi="宋体" w:cs="宋体"/>
                <w:szCs w:val="21"/>
              </w:rPr>
            </w:pPr>
            <w:r>
              <w:rPr>
                <w:rFonts w:hint="eastAsia" w:ascii="宋体" w:hAnsi="宋体" w:cs="宋体"/>
                <w:color w:val="000000"/>
                <w:szCs w:val="21"/>
              </w:rPr>
              <w:t>预算金额</w:t>
            </w:r>
          </w:p>
        </w:tc>
        <w:tc>
          <w:tcPr>
            <w:tcW w:w="6643" w:type="dxa"/>
            <w:vAlign w:val="center"/>
          </w:tcPr>
          <w:p w14:paraId="576BDD0D">
            <w:pPr>
              <w:spacing w:line="360" w:lineRule="auto"/>
              <w:rPr>
                <w:rFonts w:hint="eastAsia" w:ascii="宋体" w:hAnsi="宋体" w:cs="宋体"/>
                <w:color w:val="000000"/>
                <w:szCs w:val="21"/>
              </w:rPr>
            </w:pPr>
            <w:r>
              <w:rPr>
                <w:rFonts w:hint="eastAsia" w:ascii="宋体" w:hAnsi="宋体" w:cs="宋体"/>
                <w:color w:val="000000"/>
                <w:szCs w:val="21"/>
              </w:rPr>
              <w:t>本项目预算金额：</w:t>
            </w:r>
          </w:p>
          <w:p w14:paraId="5EFDB59C">
            <w:pPr>
              <w:spacing w:line="360" w:lineRule="auto"/>
              <w:rPr>
                <w:rFonts w:hint="eastAsia" w:ascii="宋体" w:hAnsi="宋体" w:cs="宋体"/>
                <w:color w:val="000000"/>
                <w:szCs w:val="21"/>
              </w:rPr>
            </w:pPr>
            <w:r>
              <w:rPr>
                <w:rFonts w:hint="eastAsia" w:ascii="宋体" w:hAnsi="宋体" w:cs="宋体"/>
                <w:color w:val="000000"/>
                <w:szCs w:val="21"/>
                <w:lang w:val="en-US" w:eastAsia="zh-CN"/>
              </w:rPr>
              <w:t>一标段：贰拾玖万</w:t>
            </w:r>
            <w:r>
              <w:rPr>
                <w:rFonts w:hint="eastAsia" w:ascii="宋体" w:hAnsi="宋体" w:cs="宋体"/>
                <w:color w:val="000000"/>
                <w:szCs w:val="21"/>
              </w:rPr>
              <w:t>元整（¥290000.00元）</w:t>
            </w:r>
          </w:p>
          <w:p w14:paraId="7D598096">
            <w:pPr>
              <w:spacing w:line="360" w:lineRule="auto"/>
              <w:rPr>
                <w:rFonts w:hint="eastAsia" w:ascii="宋体" w:hAnsi="宋体" w:cs="宋体"/>
                <w:color w:val="000000"/>
                <w:szCs w:val="21"/>
                <w:lang w:val="en-US" w:eastAsia="zh-CN"/>
              </w:rPr>
            </w:pPr>
            <w:r>
              <w:rPr>
                <w:rFonts w:hint="eastAsia" w:ascii="宋体" w:hAnsi="宋体" w:cs="宋体"/>
                <w:color w:val="000000"/>
                <w:szCs w:val="21"/>
                <w:lang w:val="en-US" w:eastAsia="zh-CN"/>
              </w:rPr>
              <w:t>二标段：捌万</w:t>
            </w:r>
            <w:r>
              <w:rPr>
                <w:rFonts w:hint="eastAsia" w:ascii="宋体" w:hAnsi="宋体" w:cs="宋体"/>
                <w:color w:val="000000"/>
                <w:szCs w:val="21"/>
              </w:rPr>
              <w:t>元整（¥80000.00元）</w:t>
            </w:r>
          </w:p>
          <w:p w14:paraId="60E41A0F">
            <w:pPr>
              <w:spacing w:line="360" w:lineRule="auto"/>
              <w:rPr>
                <w:rFonts w:ascii="宋体" w:hAnsi="宋体" w:cs="宋体"/>
                <w:color w:val="000000"/>
                <w:szCs w:val="21"/>
              </w:rPr>
            </w:pPr>
            <w:r>
              <w:rPr>
                <w:rFonts w:hint="eastAsia" w:ascii="宋体" w:hAnsi="宋体" w:cs="宋体"/>
                <w:color w:val="000000"/>
                <w:szCs w:val="21"/>
              </w:rPr>
              <w:t>投标报价超过采购预算按无效标处理。</w:t>
            </w:r>
          </w:p>
        </w:tc>
      </w:tr>
      <w:tr w14:paraId="7FCB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90" w:type="dxa"/>
            <w:vAlign w:val="center"/>
          </w:tcPr>
          <w:p w14:paraId="6003BF82">
            <w:pPr>
              <w:adjustRightInd w:val="0"/>
              <w:spacing w:line="360" w:lineRule="auto"/>
              <w:jc w:val="center"/>
              <w:textAlignment w:val="baseline"/>
              <w:rPr>
                <w:rFonts w:ascii="宋体" w:hAnsi="宋体" w:cs="宋体"/>
                <w:color w:val="000000"/>
                <w:szCs w:val="21"/>
              </w:rPr>
            </w:pPr>
            <w:r>
              <w:rPr>
                <w:rFonts w:hint="eastAsia" w:ascii="宋体" w:hAnsi="宋体" w:cs="宋体"/>
                <w:color w:val="000000"/>
                <w:szCs w:val="21"/>
              </w:rPr>
              <w:t>4.2</w:t>
            </w:r>
          </w:p>
        </w:tc>
        <w:tc>
          <w:tcPr>
            <w:tcW w:w="2109" w:type="dxa"/>
            <w:vAlign w:val="center"/>
          </w:tcPr>
          <w:p w14:paraId="37B9EE85">
            <w:pPr>
              <w:spacing w:line="360" w:lineRule="auto"/>
              <w:jc w:val="center"/>
              <w:rPr>
                <w:rFonts w:ascii="宋体" w:hAnsi="宋体" w:cs="宋体"/>
                <w:color w:val="000000"/>
                <w:szCs w:val="21"/>
              </w:rPr>
            </w:pPr>
            <w:r>
              <w:rPr>
                <w:rFonts w:hint="eastAsia" w:ascii="宋体" w:hAnsi="宋体" w:cs="宋体"/>
                <w:color w:val="000000"/>
                <w:szCs w:val="21"/>
              </w:rPr>
              <w:t>代理费</w:t>
            </w:r>
          </w:p>
        </w:tc>
        <w:tc>
          <w:tcPr>
            <w:tcW w:w="6643" w:type="dxa"/>
            <w:vAlign w:val="center"/>
          </w:tcPr>
          <w:p w14:paraId="531E347D">
            <w:pPr>
              <w:spacing w:line="360" w:lineRule="auto"/>
              <w:rPr>
                <w:rFonts w:ascii="宋体" w:hAnsi="宋体" w:cs="宋体"/>
                <w:color w:val="000000"/>
                <w:szCs w:val="21"/>
              </w:rPr>
            </w:pPr>
            <w:r>
              <w:rPr>
                <w:rFonts w:hint="eastAsia" w:ascii="宋体" w:hAnsi="宋体" w:cs="宋体"/>
                <w:color w:val="000000"/>
                <w:szCs w:val="21"/>
              </w:rPr>
              <w:t>执行河南省招标投标协会关于印发《河南省招标代理服务收费指导意见》的通知(豫招协[2023]002号)收费标准，招标代理服务费由成交人在领取成交通知书前以银行电汇方式一次性支付给招标代理机构。</w:t>
            </w:r>
          </w:p>
        </w:tc>
      </w:tr>
      <w:tr w14:paraId="544F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90" w:type="dxa"/>
            <w:vAlign w:val="center"/>
          </w:tcPr>
          <w:p w14:paraId="7C8CA553">
            <w:pPr>
              <w:adjustRightInd w:val="0"/>
              <w:spacing w:line="360" w:lineRule="auto"/>
              <w:jc w:val="center"/>
              <w:textAlignment w:val="baseline"/>
              <w:rPr>
                <w:rFonts w:ascii="宋体" w:hAnsi="宋体" w:cs="宋体"/>
                <w:color w:val="000000"/>
                <w:szCs w:val="21"/>
              </w:rPr>
            </w:pPr>
            <w:r>
              <w:rPr>
                <w:rFonts w:hint="eastAsia" w:ascii="宋体" w:hAnsi="宋体" w:cs="宋体"/>
                <w:color w:val="000000"/>
                <w:szCs w:val="21"/>
              </w:rPr>
              <w:t>4.3</w:t>
            </w:r>
          </w:p>
        </w:tc>
        <w:tc>
          <w:tcPr>
            <w:tcW w:w="2109" w:type="dxa"/>
            <w:vAlign w:val="center"/>
          </w:tcPr>
          <w:p w14:paraId="28AB1279">
            <w:pPr>
              <w:spacing w:line="360" w:lineRule="auto"/>
              <w:jc w:val="center"/>
              <w:rPr>
                <w:rFonts w:ascii="宋体" w:hAnsi="宋体" w:cs="宋体"/>
                <w:szCs w:val="21"/>
              </w:rPr>
            </w:pPr>
            <w:r>
              <w:rPr>
                <w:rFonts w:hint="eastAsia" w:ascii="宋体" w:hAnsi="宋体" w:cs="宋体"/>
                <w:szCs w:val="21"/>
              </w:rPr>
              <w:t>监督</w:t>
            </w:r>
          </w:p>
        </w:tc>
        <w:tc>
          <w:tcPr>
            <w:tcW w:w="6643" w:type="dxa"/>
            <w:vAlign w:val="center"/>
          </w:tcPr>
          <w:p w14:paraId="32E5E835">
            <w:pPr>
              <w:spacing w:line="360" w:lineRule="auto"/>
              <w:rPr>
                <w:rFonts w:ascii="宋体" w:hAnsi="宋体" w:cs="宋体"/>
                <w:color w:val="000000"/>
                <w:szCs w:val="21"/>
              </w:rPr>
            </w:pPr>
            <w:r>
              <w:rPr>
                <w:rFonts w:hint="eastAsia" w:ascii="宋体" w:hAnsi="宋体" w:cs="宋体"/>
                <w:color w:val="000000"/>
                <w:szCs w:val="21"/>
              </w:rPr>
              <w:t>本项目的招标投标活动及其相关当事人必须接受相关行政监督部门依法实施的监督。</w:t>
            </w:r>
          </w:p>
        </w:tc>
      </w:tr>
      <w:tr w14:paraId="7CF5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90" w:type="dxa"/>
            <w:vAlign w:val="center"/>
          </w:tcPr>
          <w:p w14:paraId="459637CE">
            <w:pPr>
              <w:adjustRightInd w:val="0"/>
              <w:spacing w:line="360" w:lineRule="auto"/>
              <w:jc w:val="center"/>
              <w:textAlignment w:val="baseline"/>
              <w:rPr>
                <w:rFonts w:ascii="宋体" w:hAnsi="宋体" w:cs="宋体"/>
                <w:color w:val="000000"/>
                <w:szCs w:val="21"/>
              </w:rPr>
            </w:pPr>
            <w:r>
              <w:rPr>
                <w:rFonts w:hint="eastAsia" w:ascii="宋体" w:hAnsi="宋体" w:cs="宋体"/>
                <w:color w:val="000000"/>
                <w:szCs w:val="21"/>
              </w:rPr>
              <w:t>4.4</w:t>
            </w:r>
          </w:p>
        </w:tc>
        <w:tc>
          <w:tcPr>
            <w:tcW w:w="2109" w:type="dxa"/>
            <w:vAlign w:val="center"/>
          </w:tcPr>
          <w:p w14:paraId="4CB1C3BE">
            <w:pPr>
              <w:spacing w:line="360" w:lineRule="auto"/>
              <w:jc w:val="center"/>
              <w:rPr>
                <w:rFonts w:ascii="宋体" w:hAnsi="宋体" w:cs="宋体"/>
                <w:szCs w:val="21"/>
              </w:rPr>
            </w:pPr>
            <w:r>
              <w:rPr>
                <w:rFonts w:hint="eastAsia" w:ascii="宋体" w:hAnsi="宋体" w:cs="宋体"/>
                <w:szCs w:val="21"/>
              </w:rPr>
              <w:t>付款方式</w:t>
            </w:r>
          </w:p>
        </w:tc>
        <w:tc>
          <w:tcPr>
            <w:tcW w:w="6643" w:type="dxa"/>
            <w:vAlign w:val="center"/>
          </w:tcPr>
          <w:p w14:paraId="1C52FDBE">
            <w:pPr>
              <w:spacing w:line="360" w:lineRule="auto"/>
              <w:rPr>
                <w:rFonts w:ascii="宋体" w:hAnsi="宋体" w:cs="宋体"/>
                <w:color w:val="000000"/>
                <w:szCs w:val="21"/>
              </w:rPr>
            </w:pPr>
            <w:r>
              <w:rPr>
                <w:rFonts w:hint="eastAsia" w:ascii="宋体" w:hAnsi="宋体" w:cs="宋体"/>
                <w:color w:val="000000"/>
                <w:szCs w:val="21"/>
              </w:rPr>
              <w:t>另行约定。</w:t>
            </w:r>
          </w:p>
        </w:tc>
      </w:tr>
      <w:tr w14:paraId="59DC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90" w:type="dxa"/>
            <w:vAlign w:val="center"/>
          </w:tcPr>
          <w:p w14:paraId="1707FC3A">
            <w:pPr>
              <w:adjustRightInd w:val="0"/>
              <w:spacing w:line="360" w:lineRule="auto"/>
              <w:jc w:val="center"/>
              <w:textAlignment w:val="baseline"/>
              <w:rPr>
                <w:rFonts w:ascii="宋体" w:hAnsi="宋体" w:cs="宋体"/>
                <w:color w:val="000000"/>
                <w:szCs w:val="21"/>
              </w:rPr>
            </w:pPr>
            <w:r>
              <w:rPr>
                <w:rFonts w:hint="eastAsia" w:ascii="宋体" w:hAnsi="宋体" w:cs="宋体"/>
                <w:color w:val="000000"/>
                <w:szCs w:val="21"/>
              </w:rPr>
              <w:t>4.5</w:t>
            </w:r>
          </w:p>
        </w:tc>
        <w:tc>
          <w:tcPr>
            <w:tcW w:w="2109" w:type="dxa"/>
            <w:vAlign w:val="center"/>
          </w:tcPr>
          <w:p w14:paraId="3043E1D2">
            <w:pPr>
              <w:spacing w:line="360" w:lineRule="auto"/>
              <w:jc w:val="center"/>
              <w:rPr>
                <w:rFonts w:ascii="宋体" w:hAnsi="宋体" w:cs="宋体"/>
                <w:szCs w:val="21"/>
              </w:rPr>
            </w:pPr>
            <w:r>
              <w:rPr>
                <w:rFonts w:hint="eastAsia" w:ascii="宋体" w:hAnsi="宋体" w:cs="宋体"/>
                <w:szCs w:val="21"/>
              </w:rPr>
              <w:t>解释权</w:t>
            </w:r>
          </w:p>
        </w:tc>
        <w:tc>
          <w:tcPr>
            <w:tcW w:w="6643" w:type="dxa"/>
            <w:vAlign w:val="center"/>
          </w:tcPr>
          <w:p w14:paraId="48A53965">
            <w:pPr>
              <w:autoSpaceDE w:val="0"/>
              <w:autoSpaceDN w:val="0"/>
              <w:adjustRightInd w:val="0"/>
              <w:spacing w:line="360" w:lineRule="auto"/>
              <w:jc w:val="left"/>
              <w:rPr>
                <w:rFonts w:ascii="宋体" w:hAnsi="宋体" w:cs="宋体"/>
                <w:color w:val="000000"/>
                <w:szCs w:val="21"/>
              </w:rPr>
            </w:pPr>
            <w:r>
              <w:rPr>
                <w:rFonts w:hint="eastAsia" w:ascii="宋体" w:hAnsi="宋体" w:cs="宋体"/>
                <w:color w:val="000000"/>
                <w:szCs w:val="21"/>
              </w:rPr>
              <w:t>构成本磋商文件的各个组成文件应互为解释，互为说明；如有不明确或不一致，除磋商文件中有特别规定外，仅适用于招标投标阶段的规定，按招标公告、供应商须知、评标办法、响应文件格式的先后顺序解释；同一组成文件中就同一事项的规定或约定不一致的，以编排顺序在后者为准；同一组成文件不同版本之间有不一致的，以形成时间在后者为准。按本款前述规定仍不能形成结论的，由负责解释。</w:t>
            </w:r>
          </w:p>
        </w:tc>
      </w:tr>
      <w:tr w14:paraId="33AC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90" w:type="dxa"/>
            <w:vAlign w:val="center"/>
          </w:tcPr>
          <w:p w14:paraId="6D2E6A44">
            <w:pPr>
              <w:adjustRightInd w:val="0"/>
              <w:spacing w:line="360" w:lineRule="auto"/>
              <w:jc w:val="center"/>
              <w:textAlignment w:val="baseline"/>
              <w:rPr>
                <w:rFonts w:ascii="宋体" w:hAnsi="宋体" w:cs="宋体"/>
                <w:color w:val="000000"/>
                <w:szCs w:val="21"/>
              </w:rPr>
            </w:pPr>
            <w:r>
              <w:rPr>
                <w:rFonts w:hint="eastAsia" w:ascii="宋体" w:hAnsi="宋体" w:cs="宋体"/>
                <w:color w:val="000000"/>
                <w:szCs w:val="21"/>
              </w:rPr>
              <w:t>4.6</w:t>
            </w:r>
          </w:p>
        </w:tc>
        <w:tc>
          <w:tcPr>
            <w:tcW w:w="2109" w:type="dxa"/>
            <w:vAlign w:val="center"/>
          </w:tcPr>
          <w:p w14:paraId="4251741A">
            <w:pPr>
              <w:spacing w:line="360" w:lineRule="auto"/>
              <w:jc w:val="center"/>
              <w:rPr>
                <w:rFonts w:ascii="宋体" w:hAnsi="宋体" w:cs="宋体"/>
                <w:szCs w:val="21"/>
              </w:rPr>
            </w:pPr>
            <w:r>
              <w:rPr>
                <w:rFonts w:hint="eastAsia" w:ascii="宋体" w:hAnsi="宋体" w:cs="宋体"/>
                <w:szCs w:val="21"/>
              </w:rPr>
              <w:t>其他内容</w:t>
            </w:r>
          </w:p>
        </w:tc>
        <w:tc>
          <w:tcPr>
            <w:tcW w:w="6643" w:type="dxa"/>
            <w:vAlign w:val="center"/>
          </w:tcPr>
          <w:p w14:paraId="57141CD3">
            <w:pPr>
              <w:autoSpaceDE w:val="0"/>
              <w:autoSpaceDN w:val="0"/>
              <w:adjustRightInd w:val="0"/>
              <w:spacing w:line="360" w:lineRule="auto"/>
              <w:jc w:val="left"/>
              <w:rPr>
                <w:rFonts w:ascii="宋体" w:hAnsi="宋体" w:cs="宋体"/>
                <w:color w:val="000000"/>
                <w:szCs w:val="21"/>
              </w:rPr>
            </w:pPr>
            <w:r>
              <w:rPr>
                <w:rFonts w:hint="eastAsia" w:ascii="宋体" w:hAnsi="宋体" w:cs="宋体"/>
                <w:color w:val="000000"/>
                <w:szCs w:val="21"/>
              </w:rPr>
              <w:t>1、资格评（预）审部分：资格评（预）以响应文件为准，其上传资料真实性由供应商自行承担。</w:t>
            </w:r>
          </w:p>
          <w:p w14:paraId="50BE76C7">
            <w:pPr>
              <w:autoSpaceDE w:val="0"/>
              <w:autoSpaceDN w:val="0"/>
              <w:adjustRightInd w:val="0"/>
              <w:spacing w:line="360" w:lineRule="auto"/>
              <w:jc w:val="left"/>
              <w:rPr>
                <w:rFonts w:ascii="宋体" w:hAnsi="宋体" w:cs="宋体"/>
                <w:color w:val="000000"/>
                <w:szCs w:val="21"/>
              </w:rPr>
            </w:pPr>
            <w:r>
              <w:rPr>
                <w:rFonts w:hint="eastAsia" w:ascii="宋体" w:hAnsi="宋体" w:cs="宋体"/>
                <w:color w:val="000000"/>
                <w:szCs w:val="21"/>
              </w:rPr>
              <w:t>2、响应文件编制部分：在竞争性磋商文件中要求供应商按照响应文件格式进行响应文件编制，在响应文件编制时，应明确将投标单位企业基本情况、资质情况、人员情况、财务情况、业绩情况编入响应文件，便于进行资格审查及评标打分。</w:t>
            </w:r>
          </w:p>
          <w:p w14:paraId="37B0BBD9">
            <w:pPr>
              <w:autoSpaceDE w:val="0"/>
              <w:autoSpaceDN w:val="0"/>
              <w:adjustRightInd w:val="0"/>
              <w:spacing w:line="360" w:lineRule="auto"/>
              <w:jc w:val="left"/>
              <w:rPr>
                <w:rFonts w:ascii="宋体" w:hAnsi="宋体" w:cs="宋体"/>
                <w:color w:val="000000"/>
                <w:szCs w:val="21"/>
              </w:rPr>
            </w:pPr>
            <w:r>
              <w:rPr>
                <w:rFonts w:hint="eastAsia" w:ascii="宋体" w:hAnsi="宋体" w:cs="宋体"/>
                <w:color w:val="000000"/>
                <w:szCs w:val="21"/>
              </w:rPr>
              <w:t>3、供应商在中标后可以持政府采购合同向融资机构申请贷款，供应商可在河南省政府采购网“河南省政府采购合同融资平台”获取融资渠道和方式。</w:t>
            </w:r>
          </w:p>
        </w:tc>
      </w:tr>
      <w:tr w14:paraId="3A4B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90" w:type="dxa"/>
            <w:vAlign w:val="center"/>
          </w:tcPr>
          <w:p w14:paraId="354FFF69">
            <w:pPr>
              <w:adjustRightInd w:val="0"/>
              <w:spacing w:line="360" w:lineRule="auto"/>
              <w:jc w:val="center"/>
              <w:textAlignment w:val="baseline"/>
              <w:rPr>
                <w:rFonts w:ascii="宋体" w:hAnsi="宋体" w:cs="宋体"/>
                <w:color w:val="000000"/>
                <w:szCs w:val="21"/>
              </w:rPr>
            </w:pPr>
            <w:r>
              <w:rPr>
                <w:rFonts w:hint="eastAsia" w:ascii="宋体" w:hAnsi="宋体" w:cs="宋体"/>
                <w:color w:val="000000"/>
                <w:szCs w:val="21"/>
              </w:rPr>
              <w:t>4.7</w:t>
            </w:r>
          </w:p>
        </w:tc>
        <w:tc>
          <w:tcPr>
            <w:tcW w:w="2109" w:type="dxa"/>
            <w:vAlign w:val="center"/>
          </w:tcPr>
          <w:p w14:paraId="11534000">
            <w:pPr>
              <w:spacing w:line="360" w:lineRule="auto"/>
              <w:jc w:val="center"/>
              <w:rPr>
                <w:rFonts w:ascii="宋体" w:hAnsi="宋体" w:cs="宋体"/>
                <w:szCs w:val="21"/>
              </w:rPr>
            </w:pPr>
            <w:r>
              <w:rPr>
                <w:rFonts w:hint="eastAsia" w:ascii="宋体" w:hAnsi="宋体" w:cs="宋体"/>
                <w:szCs w:val="21"/>
              </w:rPr>
              <w:t>政府采购政策</w:t>
            </w:r>
          </w:p>
        </w:tc>
        <w:tc>
          <w:tcPr>
            <w:tcW w:w="6643" w:type="dxa"/>
            <w:vAlign w:val="center"/>
          </w:tcPr>
          <w:p w14:paraId="28F7CDF8">
            <w:pPr>
              <w:autoSpaceDE w:val="0"/>
              <w:autoSpaceDN w:val="0"/>
              <w:adjustRightInd w:val="0"/>
              <w:spacing w:line="360" w:lineRule="auto"/>
              <w:jc w:val="left"/>
              <w:rPr>
                <w:rFonts w:ascii="宋体" w:hAnsi="宋体" w:cs="宋体"/>
                <w:color w:val="000000"/>
                <w:szCs w:val="21"/>
              </w:rPr>
            </w:pPr>
            <w:r>
              <w:rPr>
                <w:rFonts w:hint="eastAsia" w:ascii="宋体" w:hAnsi="宋体" w:cs="宋体"/>
                <w:color w:val="000000"/>
                <w:szCs w:val="21"/>
              </w:rPr>
              <w:t>1、投标人应优先采购“节能产品政府采购清单”中的产品，投标人应当列明本项目中所投的“节能产品清单”并提供相关有效证明材料,否则不予认可。评标时涉及节能产品的将按《节能产品政府采购实施意见》(财库【2004】185号)的规定执行。“节能产品政府采购清单”在中国政府采购网、中国环境资源信息网、中国节能节水认证网发布，属于清单内的产品，投标人优先采用该产品。</w:t>
            </w:r>
          </w:p>
          <w:p w14:paraId="3ECFE9BE">
            <w:pPr>
              <w:autoSpaceDE w:val="0"/>
              <w:autoSpaceDN w:val="0"/>
              <w:adjustRightInd w:val="0"/>
              <w:spacing w:line="360" w:lineRule="auto"/>
              <w:jc w:val="left"/>
              <w:rPr>
                <w:rFonts w:ascii="宋体" w:hAnsi="宋体" w:cs="宋体"/>
                <w:color w:val="000000"/>
                <w:szCs w:val="21"/>
              </w:rPr>
            </w:pPr>
            <w:r>
              <w:rPr>
                <w:rFonts w:hint="eastAsia" w:ascii="宋体" w:hAnsi="宋体" w:cs="宋体"/>
                <w:color w:val="000000"/>
                <w:szCs w:val="21"/>
              </w:rPr>
              <w:t>2、关于计算机办公设备，必须执行国家版权局、信息产业部、财政部等部门规定，投标人所投货物必须是国家信息部、版权局、商务部等部门认可的预装正版操作系统软件的计算机产品。</w:t>
            </w:r>
          </w:p>
          <w:p w14:paraId="4178B974">
            <w:pPr>
              <w:autoSpaceDE w:val="0"/>
              <w:autoSpaceDN w:val="0"/>
              <w:adjustRightInd w:val="0"/>
              <w:spacing w:line="360" w:lineRule="auto"/>
              <w:jc w:val="left"/>
              <w:rPr>
                <w:rFonts w:ascii="宋体" w:hAnsi="宋体" w:cs="宋体"/>
                <w:color w:val="000000"/>
                <w:szCs w:val="21"/>
              </w:rPr>
            </w:pPr>
            <w:r>
              <w:rPr>
                <w:rFonts w:hint="eastAsia" w:ascii="宋体" w:hAnsi="宋体" w:cs="宋体"/>
                <w:color w:val="000000"/>
                <w:szCs w:val="21"/>
              </w:rPr>
              <w:t>3、优先采购本国产品。采购进口产品应符合《中华人民共和国政府采购法》并依法办理论证、公示、审批手续。</w:t>
            </w:r>
          </w:p>
          <w:p w14:paraId="5AFA85A7">
            <w:pPr>
              <w:autoSpaceDE w:val="0"/>
              <w:autoSpaceDN w:val="0"/>
              <w:adjustRightInd w:val="0"/>
              <w:spacing w:line="360" w:lineRule="auto"/>
              <w:jc w:val="left"/>
              <w:rPr>
                <w:rFonts w:ascii="宋体" w:hAnsi="宋体" w:cs="宋体"/>
                <w:color w:val="000000"/>
                <w:szCs w:val="21"/>
              </w:rPr>
            </w:pPr>
            <w:r>
              <w:rPr>
                <w:rFonts w:hint="eastAsia" w:ascii="宋体" w:hAnsi="宋体" w:cs="宋体"/>
                <w:color w:val="000000"/>
                <w:szCs w:val="21"/>
              </w:rPr>
              <w:t>4、投标人应优先采购“环境标志产品政府采购清单”中的产品时，投标人应当列明本项目中所投的“环境标志产品清单”并提供相关有效证明材料，否则不予认可。评标时涉及环境标志产品的将按《环境标志产品政府采购实施意见》(财库【2006】90号）的规定执行。“环境标志产品政府采购清单”在中国政府采购网、中国绿色采购网、国家环境保护总局网发布，属于清单内的产品，投标人优先采用该产品。</w:t>
            </w:r>
          </w:p>
          <w:p w14:paraId="40EBD660">
            <w:pPr>
              <w:autoSpaceDE w:val="0"/>
              <w:autoSpaceDN w:val="0"/>
              <w:adjustRightInd w:val="0"/>
              <w:spacing w:line="360" w:lineRule="auto"/>
              <w:jc w:val="left"/>
              <w:rPr>
                <w:rFonts w:ascii="宋体" w:hAnsi="宋体" w:cs="宋体"/>
                <w:color w:val="000000"/>
                <w:szCs w:val="21"/>
              </w:rPr>
            </w:pPr>
            <w:r>
              <w:rPr>
                <w:rFonts w:hint="eastAsia" w:ascii="宋体" w:hAnsi="宋体" w:cs="宋体"/>
                <w:color w:val="000000"/>
                <w:szCs w:val="21"/>
              </w:rPr>
              <w:t>5、落实政府采购政策，对小型、微型企业、监狱企业及残疾人福利性单位产品价格给予20%的扣除（同一投标人，中小微企业产品和监狱企业产品价格扣除优惠只享受一次，不得重复享受），用扣除后的价格参与评审，参加政府采购活动的中小企业应当提供《中小企业声明函》并提供证明材料，未填写中小企业声明函的在评标过程中不予认可；参加政府采购活动的残疾人福利性企业应当提供《残疾人福利性单位声明函》并提供证明材料，未填写残疾人福利性单位声明函的在评标过程中不予认可。中标人如为小型和微型企业的，并在投标时填写了中小企业声明函，若不能提供或提供的材料与投标时做出的声明不符，招标人有权取消该中标人的中标资格，并对因其造成的损失进行追责。</w:t>
            </w:r>
          </w:p>
          <w:p w14:paraId="3E901F27">
            <w:pPr>
              <w:autoSpaceDE w:val="0"/>
              <w:autoSpaceDN w:val="0"/>
              <w:adjustRightInd w:val="0"/>
              <w:spacing w:line="360" w:lineRule="auto"/>
              <w:jc w:val="left"/>
              <w:rPr>
                <w:rFonts w:ascii="宋体" w:hAnsi="宋体" w:cs="宋体"/>
                <w:color w:val="000000"/>
                <w:szCs w:val="21"/>
              </w:rPr>
            </w:pPr>
            <w:r>
              <w:rPr>
                <w:rFonts w:hint="eastAsia" w:ascii="宋体" w:hAnsi="宋体" w:cs="宋体"/>
                <w:b/>
                <w:bCs/>
                <w:color w:val="000000"/>
                <w:szCs w:val="21"/>
              </w:rPr>
              <w:t>本项目采购标所属行业：其他未列明行业。</w:t>
            </w:r>
          </w:p>
        </w:tc>
      </w:tr>
      <w:tr w14:paraId="045A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90" w:type="dxa"/>
            <w:vAlign w:val="center"/>
          </w:tcPr>
          <w:p w14:paraId="56A1947F">
            <w:pPr>
              <w:adjustRightInd w:val="0"/>
              <w:spacing w:line="360" w:lineRule="auto"/>
              <w:jc w:val="center"/>
              <w:textAlignment w:val="baseline"/>
              <w:rPr>
                <w:rFonts w:ascii="宋体" w:hAnsi="宋体" w:cs="宋体"/>
                <w:color w:val="000000"/>
                <w:szCs w:val="21"/>
              </w:rPr>
            </w:pPr>
            <w:r>
              <w:rPr>
                <w:rFonts w:hint="eastAsia" w:ascii="宋体" w:hAnsi="宋体" w:cs="宋体"/>
                <w:color w:val="000000"/>
                <w:szCs w:val="21"/>
              </w:rPr>
              <w:t>4.8</w:t>
            </w:r>
          </w:p>
        </w:tc>
        <w:tc>
          <w:tcPr>
            <w:tcW w:w="8752" w:type="dxa"/>
            <w:gridSpan w:val="2"/>
            <w:vAlign w:val="center"/>
          </w:tcPr>
          <w:p w14:paraId="1B4E61EA">
            <w:pPr>
              <w:spacing w:line="360" w:lineRule="auto"/>
              <w:rPr>
                <w:rFonts w:ascii="宋体" w:hAnsi="宋体" w:cs="宋体"/>
                <w:color w:val="000000"/>
                <w:szCs w:val="21"/>
              </w:rPr>
            </w:pPr>
            <w:r>
              <w:rPr>
                <w:rFonts w:hint="eastAsia" w:ascii="宋体" w:hAnsi="宋体" w:cs="宋体"/>
                <w:color w:val="000000"/>
                <w:szCs w:val="21"/>
              </w:rPr>
              <w:t>其他需要注意的事项：</w:t>
            </w:r>
          </w:p>
        </w:tc>
      </w:tr>
      <w:tr w14:paraId="6622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42" w:type="dxa"/>
            <w:gridSpan w:val="3"/>
            <w:vAlign w:val="center"/>
          </w:tcPr>
          <w:p w14:paraId="6AEC4446">
            <w:pPr>
              <w:spacing w:line="360" w:lineRule="auto"/>
              <w:ind w:firstLine="422" w:firstLineChars="200"/>
              <w:rPr>
                <w:rFonts w:ascii="宋体" w:hAnsi="宋体" w:cs="宋体"/>
                <w:b/>
                <w:szCs w:val="21"/>
              </w:rPr>
            </w:pPr>
            <w:r>
              <w:rPr>
                <w:rFonts w:hint="eastAsia" w:ascii="宋体" w:hAnsi="宋体" w:cs="宋体"/>
                <w:b/>
                <w:szCs w:val="21"/>
              </w:rPr>
              <w:t>本项目为电子化、无纸化交易项目，投标文件是投标人、供应商（以下简称“投标人”）通过</w:t>
            </w:r>
            <w:r>
              <w:rPr>
                <w:rFonts w:hint="eastAsia" w:ascii="宋体" w:hAnsi="宋体"/>
                <w:b/>
                <w:szCs w:val="21"/>
              </w:rPr>
              <w:t>中心投标文件制作系统制作，并经过电子签章和加密后生成的电子版投标文件。投标人投标时，将不再接</w:t>
            </w:r>
            <w:r>
              <w:rPr>
                <w:rFonts w:hint="eastAsia" w:ascii="宋体" w:hAnsi="宋体" w:cs="宋体"/>
                <w:b/>
                <w:szCs w:val="21"/>
              </w:rPr>
              <w:t>受任何纸质文件资料。</w:t>
            </w:r>
          </w:p>
          <w:p w14:paraId="7C2ED81A">
            <w:pPr>
              <w:spacing w:line="360" w:lineRule="auto"/>
              <w:ind w:firstLine="573"/>
              <w:rPr>
                <w:rFonts w:ascii="宋体" w:hAnsi="宋体" w:cs="宋体"/>
                <w:b/>
                <w:szCs w:val="21"/>
              </w:rPr>
            </w:pPr>
            <w:r>
              <w:rPr>
                <w:rFonts w:hint="eastAsia" w:ascii="宋体" w:hAnsi="宋体"/>
                <w:b/>
                <w:szCs w:val="21"/>
              </w:rPr>
              <w:t>电子化投标文件工具请在三门峡市公共资源交易中心网首页“帮助中心”下载。</w:t>
            </w:r>
          </w:p>
          <w:p w14:paraId="52ACB0E4">
            <w:pPr>
              <w:spacing w:line="360" w:lineRule="auto"/>
              <w:ind w:firstLine="573"/>
              <w:rPr>
                <w:rFonts w:ascii="宋体" w:hAnsi="宋体"/>
                <w:szCs w:val="21"/>
              </w:rPr>
            </w:pPr>
            <w:r>
              <w:rPr>
                <w:rFonts w:hint="eastAsia" w:ascii="宋体" w:hAnsi="宋体" w:cs="宋体"/>
                <w:b/>
                <w:szCs w:val="21"/>
              </w:rPr>
              <w:t>温馨提示：本项目为电子化、无纸化交易项目，开标时不接受任何纸质资料，为保证您能投标成功，请需仔细阅读以下条款。</w:t>
            </w:r>
          </w:p>
          <w:p w14:paraId="3E10ECF3">
            <w:pPr>
              <w:spacing w:line="360" w:lineRule="auto"/>
              <w:ind w:firstLine="422" w:firstLineChars="200"/>
              <w:rPr>
                <w:rFonts w:ascii="宋体" w:hAnsi="宋体" w:cs="宋体"/>
                <w:b/>
                <w:szCs w:val="21"/>
              </w:rPr>
            </w:pPr>
            <w:r>
              <w:rPr>
                <w:rFonts w:hint="eastAsia" w:ascii="宋体" w:hAnsi="宋体" w:cs="宋体"/>
                <w:b/>
                <w:szCs w:val="21"/>
              </w:rPr>
              <w:t>一、电子化投标</w:t>
            </w:r>
          </w:p>
          <w:p w14:paraId="517D1D73">
            <w:pPr>
              <w:spacing w:line="360" w:lineRule="auto"/>
              <w:ind w:firstLine="573"/>
              <w:rPr>
                <w:rFonts w:ascii="宋体" w:hAnsi="宋体"/>
                <w:szCs w:val="21"/>
              </w:rPr>
            </w:pPr>
            <w:r>
              <w:rPr>
                <w:rFonts w:hint="eastAsia" w:ascii="宋体" w:hAnsi="宋体"/>
                <w:szCs w:val="21"/>
              </w:rPr>
              <w:t>（一）电子化投标文件的签章</w:t>
            </w:r>
          </w:p>
          <w:p w14:paraId="571B7A87">
            <w:pPr>
              <w:spacing w:line="360" w:lineRule="auto"/>
              <w:ind w:firstLine="573"/>
              <w:rPr>
                <w:rFonts w:ascii="宋体" w:hAnsi="宋体"/>
                <w:szCs w:val="21"/>
              </w:rPr>
            </w:pPr>
            <w:r>
              <w:rPr>
                <w:rFonts w:hint="eastAsia" w:ascii="宋体" w:hAnsi="宋体"/>
                <w:szCs w:val="21"/>
              </w:rPr>
              <w:t>1、投标人在生成电子化投标文件后，应对电子化投标文件进行签章，未进行签章的视为无效投标。</w:t>
            </w:r>
          </w:p>
          <w:p w14:paraId="0B898822">
            <w:pPr>
              <w:spacing w:line="360" w:lineRule="auto"/>
              <w:ind w:firstLine="573"/>
              <w:rPr>
                <w:rFonts w:ascii="宋体" w:hAnsi="宋体"/>
                <w:szCs w:val="21"/>
              </w:rPr>
            </w:pPr>
            <w:r>
              <w:rPr>
                <w:rFonts w:hint="eastAsia" w:ascii="宋体" w:hAnsi="宋体"/>
                <w:szCs w:val="21"/>
              </w:rPr>
              <w:t>2、投标文件中要求</w:t>
            </w:r>
            <w:r>
              <w:rPr>
                <w:rFonts w:hint="eastAsia" w:ascii="宋体" w:hAnsi="宋体"/>
                <w:b/>
                <w:szCs w:val="21"/>
              </w:rPr>
              <w:t>法定代表人或授权委托人盖章的，</w:t>
            </w:r>
            <w:r>
              <w:rPr>
                <w:rFonts w:hint="eastAsia" w:ascii="宋体" w:hAnsi="宋体"/>
                <w:szCs w:val="21"/>
              </w:rPr>
              <w:t>投标人在进行</w:t>
            </w:r>
            <w:r>
              <w:rPr>
                <w:rFonts w:hint="eastAsia" w:ascii="宋体" w:hAnsi="宋体"/>
                <w:b/>
                <w:szCs w:val="21"/>
              </w:rPr>
              <w:t>电子化投标文件签章时，以签盖法定代表人签章为准。</w:t>
            </w:r>
            <w:r>
              <w:rPr>
                <w:rFonts w:hint="eastAsia" w:ascii="宋体" w:hAnsi="宋体"/>
                <w:szCs w:val="21"/>
              </w:rPr>
              <w:t>电子化投标文件具体制作教材请投标人通过CA证书登录三门峡市公共资源电子化交易系统在右上角“交易智库”中查看。电子化投标文件工具请在三门峡市公共资源交易中心网首页“帮助中心”下载。</w:t>
            </w:r>
          </w:p>
          <w:p w14:paraId="18360257">
            <w:pPr>
              <w:spacing w:line="360" w:lineRule="auto"/>
              <w:ind w:firstLine="420" w:firstLineChars="200"/>
              <w:rPr>
                <w:rFonts w:ascii="宋体" w:hAnsi="宋体"/>
                <w:b/>
                <w:szCs w:val="21"/>
              </w:rPr>
            </w:pPr>
            <w:r>
              <w:rPr>
                <w:rFonts w:hint="eastAsia" w:ascii="宋体" w:hAnsi="宋体"/>
                <w:szCs w:val="21"/>
              </w:rPr>
              <w:t>（二）电子化投标文件的格式及上传投标</w:t>
            </w:r>
          </w:p>
          <w:p w14:paraId="557290FD">
            <w:pPr>
              <w:wordWrap w:val="0"/>
              <w:spacing w:line="360" w:lineRule="auto"/>
              <w:ind w:firstLine="573"/>
              <w:rPr>
                <w:rFonts w:ascii="宋体" w:hAnsi="宋体"/>
                <w:szCs w:val="21"/>
              </w:rPr>
            </w:pPr>
            <w:r>
              <w:rPr>
                <w:rFonts w:hint="eastAsia" w:ascii="宋体" w:hAnsi="宋体"/>
                <w:szCs w:val="21"/>
              </w:rPr>
              <w:t>1、投标人所上传的电子化投标文件，应是通过中心投标文件制作系统制作的，经过签章和加密后生成的电子版投标文件。生成的电子版投标文件包含用于投标文件上传的主文件（后缀为.smxtf）和用于应急补救的投标文件备份文件（后缀为.nsmxtf），备份文件主要用于电子化开标出现技术问题后的补救，请投标人随身携带。</w:t>
            </w:r>
          </w:p>
          <w:p w14:paraId="59CF9697">
            <w:pPr>
              <w:spacing w:line="360" w:lineRule="auto"/>
              <w:ind w:firstLine="573"/>
              <w:rPr>
                <w:rFonts w:ascii="宋体" w:hAnsi="宋体"/>
                <w:szCs w:val="21"/>
              </w:rPr>
            </w:pPr>
            <w:r>
              <w:rPr>
                <w:rFonts w:hint="eastAsia" w:ascii="宋体" w:hAnsi="宋体"/>
                <w:szCs w:val="21"/>
              </w:rPr>
              <w:t>注：投标人投报多个标段的，需要每个标段单独制作电子投标文件。</w:t>
            </w:r>
          </w:p>
          <w:p w14:paraId="29E40DE3">
            <w:pPr>
              <w:spacing w:line="360" w:lineRule="auto"/>
              <w:ind w:firstLine="573"/>
              <w:rPr>
                <w:rFonts w:ascii="宋体" w:hAnsi="宋体"/>
                <w:szCs w:val="21"/>
              </w:rPr>
            </w:pPr>
            <w:r>
              <w:rPr>
                <w:rFonts w:hint="eastAsia" w:ascii="宋体" w:hAnsi="宋体"/>
                <w:szCs w:val="21"/>
              </w:rPr>
              <w:t>2、电子化投标文件应在投标截止时间前成功上传至三门峡市公共资源电子化交易系统。至投标截止时间止，仍未上传成功的电子化投标文件将不予接收。</w:t>
            </w:r>
          </w:p>
          <w:p w14:paraId="42C06386">
            <w:pPr>
              <w:spacing w:line="360" w:lineRule="auto"/>
              <w:ind w:firstLine="573"/>
              <w:rPr>
                <w:rFonts w:ascii="宋体" w:hAnsi="宋体"/>
                <w:szCs w:val="21"/>
              </w:rPr>
            </w:pPr>
            <w:r>
              <w:rPr>
                <w:rFonts w:hint="eastAsia" w:ascii="宋体" w:hAnsi="宋体"/>
                <w:szCs w:val="21"/>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6461255A">
            <w:pPr>
              <w:spacing w:line="360" w:lineRule="auto"/>
              <w:ind w:firstLine="573"/>
              <w:rPr>
                <w:rFonts w:ascii="宋体" w:hAnsi="宋体"/>
                <w:szCs w:val="21"/>
              </w:rPr>
            </w:pPr>
            <w:r>
              <w:rPr>
                <w:rFonts w:hint="eastAsia" w:ascii="宋体" w:hAnsi="宋体"/>
                <w:szCs w:val="21"/>
              </w:rPr>
              <w:t>技术联系电话：0398-3117871</w:t>
            </w:r>
          </w:p>
          <w:p w14:paraId="2A76173A">
            <w:pPr>
              <w:spacing w:line="360" w:lineRule="auto"/>
              <w:ind w:firstLine="573"/>
              <w:rPr>
                <w:rFonts w:ascii="宋体" w:hAnsi="宋体"/>
                <w:szCs w:val="21"/>
              </w:rPr>
            </w:pPr>
            <w:r>
              <w:rPr>
                <w:rFonts w:hint="eastAsia" w:ascii="宋体" w:hAnsi="宋体"/>
                <w:szCs w:val="21"/>
              </w:rPr>
              <w:t>（三）电子化项目开标、解密、唱标、评标</w:t>
            </w:r>
          </w:p>
          <w:p w14:paraId="02839604">
            <w:pPr>
              <w:spacing w:line="360" w:lineRule="auto"/>
              <w:ind w:firstLine="573"/>
              <w:rPr>
                <w:rFonts w:ascii="宋体" w:hAnsi="宋体"/>
                <w:szCs w:val="21"/>
              </w:rPr>
            </w:pPr>
            <w:r>
              <w:rPr>
                <w:rFonts w:hint="eastAsia" w:ascii="宋体" w:hAnsi="宋体"/>
                <w:szCs w:val="21"/>
              </w:rPr>
              <w:t>1、本项目采用电子化、无纸化进行招标，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w:t>
            </w:r>
          </w:p>
          <w:p w14:paraId="32B80B20">
            <w:pPr>
              <w:spacing w:line="360" w:lineRule="auto"/>
              <w:ind w:firstLine="573"/>
              <w:rPr>
                <w:rFonts w:ascii="宋体" w:hAnsi="宋体"/>
                <w:szCs w:val="21"/>
              </w:rPr>
            </w:pPr>
            <w:r>
              <w:rPr>
                <w:rFonts w:hint="eastAsia" w:ascii="宋体" w:hAnsi="宋体"/>
                <w:szCs w:val="21"/>
              </w:rPr>
              <w:t>2、电子化投标文件采用一次加密方式。开标时，由磋商供应商使用CA证书，在规定时间内对其电子化投标文件进行解密。每位投标人的解密时间为开标时间起30分钟内，如在规定时间内未完成解密的，其投标文件不予开标、唱标。</w:t>
            </w:r>
          </w:p>
          <w:p w14:paraId="79427800">
            <w:pPr>
              <w:spacing w:line="360" w:lineRule="auto"/>
              <w:ind w:firstLine="573"/>
              <w:rPr>
                <w:rFonts w:ascii="宋体" w:hAnsi="宋体"/>
                <w:szCs w:val="21"/>
              </w:rPr>
            </w:pPr>
            <w:r>
              <w:rPr>
                <w:rFonts w:hint="eastAsia" w:ascii="宋体" w:hAnsi="宋体"/>
                <w:szCs w:val="21"/>
              </w:rPr>
              <w:t>如投标人携带CA证书至现场参加开标的，首先应按照中介服务机构指引，使用投标人CA证书对其电子化投标文件进行解密。</w:t>
            </w:r>
          </w:p>
          <w:p w14:paraId="1473F931">
            <w:pPr>
              <w:spacing w:line="360" w:lineRule="auto"/>
              <w:ind w:firstLine="573"/>
              <w:rPr>
                <w:rFonts w:ascii="宋体" w:hAnsi="宋体"/>
                <w:b/>
                <w:szCs w:val="21"/>
              </w:rPr>
            </w:pPr>
            <w:r>
              <w:rPr>
                <w:rFonts w:hint="eastAsia" w:ascii="宋体" w:hAnsi="宋体"/>
                <w:szCs w:val="21"/>
              </w:rPr>
              <w:t>3、电子化磋商响应文件异常情况的处理</w:t>
            </w:r>
          </w:p>
          <w:p w14:paraId="62363FDA">
            <w:pPr>
              <w:spacing w:line="360" w:lineRule="auto"/>
              <w:ind w:firstLine="420" w:firstLineChars="200"/>
              <w:rPr>
                <w:rFonts w:ascii="宋体" w:hAnsi="宋体"/>
                <w:szCs w:val="21"/>
              </w:rPr>
            </w:pPr>
            <w:r>
              <w:rPr>
                <w:rFonts w:hint="eastAsia" w:ascii="宋体" w:hAnsi="宋体"/>
                <w:szCs w:val="21"/>
              </w:rPr>
              <w:t>如出现投标人的电子投标文件无法解密等异常情况，投标人应及时致电中介服务机构说明。投标文件异常，按以下步骤进行处理：</w:t>
            </w:r>
          </w:p>
          <w:p w14:paraId="61E3E352">
            <w:pPr>
              <w:spacing w:line="360" w:lineRule="auto"/>
              <w:ind w:firstLine="573"/>
              <w:rPr>
                <w:rFonts w:ascii="宋体" w:hAnsi="宋体"/>
                <w:szCs w:val="21"/>
              </w:rPr>
            </w:pPr>
            <w:r>
              <w:rPr>
                <w:rFonts w:hint="eastAsia" w:ascii="宋体" w:hAnsi="宋体"/>
                <w:szCs w:val="21"/>
              </w:rPr>
              <w:t>（1）首先由技术人员进行问题排查。</w:t>
            </w:r>
          </w:p>
          <w:p w14:paraId="5FD897E6">
            <w:pPr>
              <w:spacing w:line="360" w:lineRule="auto"/>
              <w:ind w:firstLine="573"/>
              <w:rPr>
                <w:rFonts w:ascii="宋体" w:hAnsi="宋体"/>
                <w:szCs w:val="21"/>
              </w:rPr>
            </w:pPr>
            <w:r>
              <w:rPr>
                <w:rFonts w:hint="eastAsia" w:ascii="宋体" w:hAnsi="宋体"/>
                <w:szCs w:val="21"/>
              </w:rPr>
              <w:t>（2）经技术人员排查后，是投标人文件自身问题导致投标文件无法解密的，该投标文件将不予接收、解密和唱标。开标会议继续进行。</w:t>
            </w:r>
          </w:p>
          <w:p w14:paraId="517CBA99">
            <w:pPr>
              <w:spacing w:line="360" w:lineRule="auto"/>
              <w:ind w:firstLine="573"/>
              <w:rPr>
                <w:rFonts w:ascii="宋体" w:hAnsi="宋体"/>
                <w:szCs w:val="21"/>
              </w:rPr>
            </w:pPr>
            <w:r>
              <w:rPr>
                <w:rFonts w:hint="eastAsia" w:ascii="宋体" w:hAnsi="宋体"/>
                <w:szCs w:val="21"/>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59E59CA4">
            <w:pPr>
              <w:spacing w:line="360" w:lineRule="auto"/>
              <w:ind w:firstLine="573"/>
              <w:rPr>
                <w:rFonts w:ascii="宋体" w:hAnsi="宋体"/>
                <w:szCs w:val="21"/>
              </w:rPr>
            </w:pPr>
            <w:r>
              <w:rPr>
                <w:rFonts w:hint="eastAsia" w:ascii="宋体" w:hAnsi="宋体"/>
                <w:szCs w:val="21"/>
              </w:rPr>
              <w:t>4、待所有投标人投标文件解密完成后，由中介服务机构操作，对所有已解密投标文件进行唱标。</w:t>
            </w:r>
          </w:p>
          <w:p w14:paraId="2A91D04C">
            <w:pPr>
              <w:spacing w:line="360" w:lineRule="auto"/>
              <w:ind w:firstLine="573"/>
              <w:rPr>
                <w:rFonts w:ascii="宋体" w:hAnsi="宋体"/>
                <w:b/>
                <w:szCs w:val="21"/>
              </w:rPr>
            </w:pPr>
            <w:r>
              <w:rPr>
                <w:rFonts w:hint="eastAsia" w:ascii="宋体" w:hAnsi="宋体"/>
                <w:b/>
                <w:szCs w:val="21"/>
              </w:rPr>
              <w:t>投标人应保证在开标期间电话、电脑、网络能够正常工作，投标人因停电、电脑病毒、网络堵塞等原因，未在规定的解密时间内对投标文件进行解密的，其投标文件不予接收、唱标。</w:t>
            </w:r>
          </w:p>
          <w:p w14:paraId="30DE3C5B">
            <w:pPr>
              <w:spacing w:line="360" w:lineRule="auto"/>
              <w:ind w:firstLine="573"/>
              <w:rPr>
                <w:rFonts w:ascii="宋体" w:hAnsi="宋体" w:cs="宋体"/>
                <w:szCs w:val="21"/>
              </w:rPr>
            </w:pPr>
            <w:r>
              <w:rPr>
                <w:rFonts w:hint="eastAsia" w:ascii="宋体" w:hAnsi="宋体" w:cs="宋体"/>
                <w:szCs w:val="21"/>
              </w:rPr>
              <w:t>5、开标时</w:t>
            </w:r>
            <w:r>
              <w:rPr>
                <w:rFonts w:hint="eastAsia" w:ascii="宋体" w:hAnsi="宋体"/>
                <w:szCs w:val="21"/>
              </w:rPr>
              <w:t>投标</w:t>
            </w:r>
            <w:r>
              <w:rPr>
                <w:rFonts w:hint="eastAsia" w:ascii="宋体" w:hAnsi="宋体" w:cs="宋体"/>
                <w:szCs w:val="21"/>
              </w:rPr>
              <w:t>人可登录到交易系统中在开标大厅中点击开标一览表查看自己的投标报价。如对自己的唱标内容有异议的，应在唱标内容显示后10分钟内向中介服务机构电话质疑。中介服务机构应在监督人员的监督下进行免提通话接受</w:t>
            </w:r>
            <w:r>
              <w:rPr>
                <w:rFonts w:hint="eastAsia" w:ascii="宋体" w:hAnsi="宋体"/>
                <w:szCs w:val="21"/>
              </w:rPr>
              <w:t>投标</w:t>
            </w:r>
            <w:r>
              <w:rPr>
                <w:rFonts w:hint="eastAsia" w:ascii="宋体" w:hAnsi="宋体" w:cs="宋体"/>
                <w:szCs w:val="21"/>
              </w:rPr>
              <w:t>人的质疑并做好书面记录。</w:t>
            </w:r>
            <w:r>
              <w:rPr>
                <w:rFonts w:hint="eastAsia" w:ascii="宋体" w:hAnsi="宋体"/>
                <w:szCs w:val="21"/>
              </w:rPr>
              <w:t>投标</w:t>
            </w:r>
            <w:r>
              <w:rPr>
                <w:rFonts w:hint="eastAsia" w:ascii="宋体" w:hAnsi="宋体" w:cs="宋体"/>
                <w:szCs w:val="21"/>
              </w:rPr>
              <w:t>人未在规定时间内提出质疑的，视为认可唱标内容。</w:t>
            </w:r>
          </w:p>
          <w:p w14:paraId="7A6595D1">
            <w:pPr>
              <w:spacing w:line="360" w:lineRule="auto"/>
              <w:ind w:firstLine="573"/>
              <w:rPr>
                <w:rFonts w:ascii="宋体" w:hAnsi="宋体"/>
                <w:szCs w:val="21"/>
              </w:rPr>
            </w:pPr>
            <w:r>
              <w:rPr>
                <w:rFonts w:hint="eastAsia" w:ascii="宋体" w:hAnsi="宋体"/>
                <w:szCs w:val="21"/>
              </w:rPr>
              <w:t>6、评标时，评标委员会对电子化投标文件有质疑的，将通过电子化交易系统对投标人发起质疑，并在监督人员的监督下，用免提模式致电需要答复的投标人进行详细质询。质疑回复内容确认后，投标人的回复文件必须以经过投标人和其法定代表人签章的PDF格式文件为准，并通过电子化交易系统提交至评标委员会。</w:t>
            </w:r>
          </w:p>
          <w:p w14:paraId="299913FE">
            <w:pPr>
              <w:spacing w:line="360" w:lineRule="auto"/>
              <w:ind w:firstLine="573"/>
              <w:rPr>
                <w:rFonts w:ascii="宋体" w:hAnsi="宋体"/>
                <w:szCs w:val="21"/>
              </w:rPr>
            </w:pPr>
            <w:r>
              <w:rPr>
                <w:rFonts w:hint="eastAsia" w:ascii="宋体" w:hAnsi="宋体"/>
                <w:szCs w:val="21"/>
              </w:rPr>
              <w:t>7、如评标委员会对需要回复的投标人连续三次致电未接通的，视为磋商供应商放弃回复，评标委员会将自行对需要回复的内容进行认定。</w:t>
            </w:r>
          </w:p>
          <w:p w14:paraId="0D0DBF28">
            <w:pPr>
              <w:snapToGrid w:val="0"/>
              <w:spacing w:line="360" w:lineRule="auto"/>
              <w:ind w:firstLine="573"/>
              <w:rPr>
                <w:rFonts w:ascii="宋体" w:hAnsi="宋体" w:cs="宋体"/>
                <w:bCs/>
                <w:kern w:val="44"/>
                <w:sz w:val="24"/>
              </w:rPr>
            </w:pPr>
            <w:r>
              <w:rPr>
                <w:rFonts w:hint="eastAsia" w:ascii="宋体" w:hAnsi="宋体" w:cs="宋体"/>
                <w:b/>
                <w:szCs w:val="21"/>
              </w:rPr>
              <w:t>提示：本项目为电子化、无纸化交易项目，开标时不再接受任何纸质资料，为保证您能投标成功，请需仔细阅读以上条款。</w:t>
            </w:r>
          </w:p>
        </w:tc>
      </w:tr>
    </w:tbl>
    <w:p w14:paraId="35011846">
      <w:pPr>
        <w:widowControl/>
        <w:spacing w:line="360" w:lineRule="auto"/>
        <w:rPr>
          <w:rFonts w:ascii="宋体" w:hAnsi="宋体" w:cs="宋体"/>
          <w:b/>
          <w:kern w:val="0"/>
          <w:sz w:val="24"/>
          <w:lang w:bidi="ar"/>
        </w:rPr>
      </w:pPr>
      <w:r>
        <w:rPr>
          <w:rFonts w:hint="eastAsia" w:ascii="宋体" w:hAnsi="宋体" w:cs="宋体"/>
          <w:b/>
          <w:kern w:val="0"/>
          <w:sz w:val="24"/>
          <w:lang w:bidi="ar"/>
        </w:rPr>
        <w:t>总则</w:t>
      </w:r>
    </w:p>
    <w:p w14:paraId="22434BA1">
      <w:pPr>
        <w:widowControl/>
        <w:spacing w:line="360" w:lineRule="auto"/>
        <w:rPr>
          <w:rFonts w:ascii="宋体" w:hAnsi="宋体" w:cs="宋体"/>
          <w:b/>
          <w:kern w:val="0"/>
          <w:sz w:val="24"/>
        </w:rPr>
      </w:pPr>
      <w:r>
        <w:rPr>
          <w:rFonts w:hint="eastAsia" w:ascii="宋体" w:hAnsi="宋体" w:cs="宋体"/>
          <w:b/>
          <w:kern w:val="0"/>
          <w:sz w:val="24"/>
          <w:lang w:bidi="ar"/>
        </w:rPr>
        <w:t>1、适用范围</w:t>
      </w:r>
    </w:p>
    <w:p w14:paraId="435E8B38">
      <w:pPr>
        <w:spacing w:line="360" w:lineRule="auto"/>
        <w:ind w:firstLine="420" w:firstLineChars="200"/>
        <w:rPr>
          <w:rFonts w:ascii="宋体" w:hAnsi="宋体"/>
        </w:rPr>
      </w:pPr>
      <w:r>
        <w:rPr>
          <w:rFonts w:hint="eastAsia" w:ascii="宋体" w:hAnsi="宋体"/>
        </w:rPr>
        <w:t>本竞争性磋商文件仅适用于解决陕州区河道砂石资源经营权出让前期费用项目；</w:t>
      </w:r>
    </w:p>
    <w:p w14:paraId="3CFCED28">
      <w:pPr>
        <w:widowControl/>
        <w:spacing w:line="360" w:lineRule="auto"/>
        <w:rPr>
          <w:rFonts w:ascii="宋体" w:hAnsi="宋体" w:cs="宋体"/>
          <w:b/>
          <w:kern w:val="0"/>
          <w:sz w:val="24"/>
        </w:rPr>
      </w:pPr>
      <w:r>
        <w:rPr>
          <w:rFonts w:hint="eastAsia" w:ascii="宋体" w:hAnsi="宋体" w:cs="宋体"/>
          <w:b/>
          <w:kern w:val="0"/>
          <w:sz w:val="24"/>
          <w:lang w:bidi="ar"/>
        </w:rPr>
        <w:t>2、合格的供应商</w:t>
      </w:r>
    </w:p>
    <w:p w14:paraId="1E4E613E">
      <w:pPr>
        <w:spacing w:line="360" w:lineRule="auto"/>
        <w:ind w:firstLine="420" w:firstLineChars="200"/>
        <w:rPr>
          <w:rFonts w:ascii="宋体" w:hAnsi="宋体"/>
        </w:rPr>
      </w:pPr>
      <w:r>
        <w:rPr>
          <w:rFonts w:hint="eastAsia" w:ascii="宋体" w:hAnsi="宋体"/>
        </w:rPr>
        <w:t>详见第二章供应商须知前附表。</w:t>
      </w:r>
    </w:p>
    <w:p w14:paraId="77D7D505">
      <w:pPr>
        <w:widowControl/>
        <w:spacing w:line="360" w:lineRule="auto"/>
        <w:rPr>
          <w:rFonts w:ascii="宋体" w:hAnsi="宋体" w:cs="宋体"/>
          <w:b/>
          <w:kern w:val="0"/>
          <w:sz w:val="24"/>
        </w:rPr>
      </w:pPr>
      <w:r>
        <w:rPr>
          <w:rFonts w:hint="eastAsia" w:ascii="宋体" w:hAnsi="宋体" w:cs="宋体"/>
          <w:b/>
          <w:kern w:val="0"/>
          <w:sz w:val="24"/>
          <w:lang w:bidi="ar"/>
        </w:rPr>
        <w:t>3、费用</w:t>
      </w:r>
    </w:p>
    <w:p w14:paraId="54640A9D">
      <w:pPr>
        <w:widowControl/>
        <w:spacing w:line="360" w:lineRule="auto"/>
        <w:ind w:firstLine="420" w:firstLineChars="200"/>
        <w:rPr>
          <w:rFonts w:ascii="宋体" w:hAnsi="宋体"/>
        </w:rPr>
      </w:pPr>
      <w:r>
        <w:rPr>
          <w:rFonts w:hint="eastAsia" w:ascii="宋体" w:hAnsi="宋体"/>
        </w:rPr>
        <w:t>供应商应自行承担参加竞争性磋商活动有关的全部费用，采购人和采购代理机构在任何情况下均无义务和责任承担上述费用。</w:t>
      </w:r>
    </w:p>
    <w:p w14:paraId="35E9DBB3">
      <w:pPr>
        <w:widowControl/>
        <w:spacing w:line="360" w:lineRule="auto"/>
        <w:rPr>
          <w:rFonts w:ascii="宋体" w:hAnsi="宋体" w:cs="宋体"/>
          <w:b/>
          <w:kern w:val="0"/>
          <w:sz w:val="24"/>
        </w:rPr>
      </w:pPr>
      <w:r>
        <w:rPr>
          <w:rFonts w:hint="eastAsia" w:ascii="宋体" w:hAnsi="宋体" w:cs="宋体"/>
          <w:b/>
          <w:kern w:val="0"/>
          <w:sz w:val="24"/>
          <w:lang w:bidi="ar"/>
        </w:rPr>
        <w:t>4、竞争性磋商文件的构成：</w:t>
      </w:r>
    </w:p>
    <w:p w14:paraId="4A4BD1E0">
      <w:pPr>
        <w:widowControl/>
        <w:spacing w:line="360" w:lineRule="auto"/>
        <w:ind w:firstLine="420" w:firstLineChars="200"/>
        <w:rPr>
          <w:rFonts w:ascii="宋体" w:hAnsi="宋体"/>
        </w:rPr>
      </w:pPr>
      <w:r>
        <w:rPr>
          <w:rFonts w:hint="eastAsia" w:ascii="宋体" w:hAnsi="宋体"/>
        </w:rPr>
        <w:t>4.1竞争性磋商公告</w:t>
      </w:r>
    </w:p>
    <w:p w14:paraId="49A0376E">
      <w:pPr>
        <w:widowControl/>
        <w:spacing w:line="360" w:lineRule="auto"/>
        <w:ind w:firstLine="420" w:firstLineChars="200"/>
        <w:rPr>
          <w:rFonts w:ascii="宋体" w:hAnsi="宋体"/>
        </w:rPr>
      </w:pPr>
      <w:r>
        <w:rPr>
          <w:rFonts w:hint="eastAsia" w:ascii="宋体" w:hAnsi="宋体"/>
        </w:rPr>
        <w:t>4.2供应商须知</w:t>
      </w:r>
    </w:p>
    <w:p w14:paraId="3E3DFF2E">
      <w:pPr>
        <w:widowControl/>
        <w:spacing w:line="360" w:lineRule="auto"/>
        <w:ind w:firstLine="420" w:firstLineChars="200"/>
        <w:rPr>
          <w:rFonts w:ascii="宋体" w:hAnsi="宋体"/>
        </w:rPr>
      </w:pPr>
      <w:r>
        <w:rPr>
          <w:rFonts w:hint="eastAsia" w:ascii="宋体" w:hAnsi="宋体"/>
        </w:rPr>
        <w:t>4.3项目内容及要求</w:t>
      </w:r>
    </w:p>
    <w:p w14:paraId="09340EC2">
      <w:pPr>
        <w:widowControl/>
        <w:spacing w:line="360" w:lineRule="auto"/>
        <w:ind w:firstLine="420" w:firstLineChars="200"/>
        <w:rPr>
          <w:rFonts w:ascii="宋体" w:hAnsi="宋体"/>
        </w:rPr>
      </w:pPr>
      <w:r>
        <w:rPr>
          <w:rFonts w:hint="eastAsia" w:ascii="宋体" w:hAnsi="宋体"/>
        </w:rPr>
        <w:t>4.4评标办法</w:t>
      </w:r>
    </w:p>
    <w:p w14:paraId="1E5D6857">
      <w:pPr>
        <w:widowControl/>
        <w:spacing w:line="360" w:lineRule="auto"/>
        <w:ind w:firstLine="420" w:firstLineChars="200"/>
        <w:rPr>
          <w:rFonts w:ascii="宋体" w:hAnsi="宋体"/>
        </w:rPr>
      </w:pPr>
      <w:r>
        <w:rPr>
          <w:rFonts w:hint="eastAsia" w:ascii="宋体" w:hAnsi="宋体"/>
        </w:rPr>
        <w:t>4.5政府采购合同</w:t>
      </w:r>
    </w:p>
    <w:p w14:paraId="70526416">
      <w:pPr>
        <w:widowControl/>
        <w:spacing w:line="360" w:lineRule="auto"/>
        <w:ind w:firstLine="420" w:firstLineChars="200"/>
        <w:rPr>
          <w:rFonts w:ascii="宋体" w:hAnsi="宋体"/>
        </w:rPr>
      </w:pPr>
      <w:r>
        <w:rPr>
          <w:rFonts w:hint="eastAsia" w:ascii="宋体" w:hAnsi="宋体"/>
        </w:rPr>
        <w:t>4.6响应文件主要内容和格式</w:t>
      </w:r>
    </w:p>
    <w:p w14:paraId="13FCCE63">
      <w:pPr>
        <w:widowControl/>
        <w:spacing w:line="360" w:lineRule="auto"/>
        <w:rPr>
          <w:rFonts w:ascii="宋体" w:hAnsi="宋体" w:cs="宋体"/>
          <w:b/>
          <w:kern w:val="0"/>
          <w:sz w:val="24"/>
        </w:rPr>
      </w:pPr>
      <w:r>
        <w:rPr>
          <w:rFonts w:hint="eastAsia" w:ascii="宋体" w:hAnsi="宋体" w:cs="宋体"/>
          <w:b/>
          <w:kern w:val="0"/>
          <w:sz w:val="24"/>
          <w:lang w:bidi="ar"/>
        </w:rPr>
        <w:t>5、竞争性磋商文件的澄清</w:t>
      </w:r>
    </w:p>
    <w:p w14:paraId="4E5CC9D9">
      <w:pPr>
        <w:spacing w:line="360" w:lineRule="auto"/>
        <w:ind w:firstLine="420" w:firstLineChars="200"/>
        <w:rPr>
          <w:rFonts w:ascii="宋体" w:hAnsi="宋体"/>
        </w:rPr>
      </w:pPr>
      <w:r>
        <w:rPr>
          <w:rFonts w:hint="eastAsia" w:ascii="宋体" w:hAnsi="宋体"/>
        </w:rPr>
        <w:t>5.1潜在供应商对磋商文件如有疑问，应在磋商截止时间5日前登录三门峡市公共资源交易中心网（http://gzjy.smx.gov.cn），在网上向提出澄清要求，要求对磋商文件予以澄清。</w:t>
      </w:r>
    </w:p>
    <w:p w14:paraId="3DB51D35">
      <w:pPr>
        <w:widowControl/>
        <w:spacing w:line="360" w:lineRule="auto"/>
        <w:ind w:firstLine="480"/>
        <w:rPr>
          <w:rFonts w:ascii="宋体" w:hAnsi="宋体"/>
        </w:rPr>
      </w:pPr>
      <w:r>
        <w:rPr>
          <w:rFonts w:hint="eastAsia" w:ascii="宋体" w:hAnsi="宋体"/>
        </w:rPr>
        <w:t>5.2竞争性磋商文件的澄清将在供应商须知前附表规定的提交响应文件5日前在三门峡市公共资源交易中心网（http://gzjy.smx.gov.cn）以网上形式通知所有下载磋商文件的供应商，但不指明澄清问题的来源。如果澄清发出的时间距磋商截止时间不足5日，相应延长磋商截止时间。</w:t>
      </w:r>
    </w:p>
    <w:p w14:paraId="2C8087E8">
      <w:pPr>
        <w:widowControl/>
        <w:spacing w:line="360" w:lineRule="auto"/>
        <w:rPr>
          <w:rFonts w:ascii="宋体" w:hAnsi="宋体" w:cs="宋体"/>
          <w:b/>
          <w:kern w:val="0"/>
          <w:sz w:val="24"/>
          <w:lang w:bidi="ar"/>
        </w:rPr>
      </w:pPr>
      <w:r>
        <w:rPr>
          <w:rFonts w:hint="eastAsia" w:ascii="宋体" w:hAnsi="宋体" w:cs="宋体"/>
          <w:b/>
          <w:kern w:val="0"/>
          <w:sz w:val="24"/>
          <w:lang w:bidi="ar"/>
        </w:rPr>
        <w:t>6、竞争性磋商文件的修改</w:t>
      </w:r>
    </w:p>
    <w:p w14:paraId="3064712B">
      <w:pPr>
        <w:spacing w:line="360" w:lineRule="auto"/>
        <w:ind w:firstLine="420" w:firstLineChars="200"/>
        <w:rPr>
          <w:rFonts w:ascii="宋体" w:hAnsi="宋体"/>
        </w:rPr>
      </w:pPr>
      <w:r>
        <w:rPr>
          <w:rFonts w:hint="eastAsia" w:ascii="宋体" w:hAnsi="宋体"/>
        </w:rPr>
        <w:t>6.1在递交响应文件截止之日5日前的任何时间，</w:t>
      </w:r>
      <w:r>
        <w:rPr>
          <w:rStyle w:val="29"/>
          <w:rFonts w:hint="eastAsia" w:ascii="宋体" w:hAnsi="宋体"/>
          <w:color w:val="000000"/>
          <w:kern w:val="0"/>
          <w:szCs w:val="21"/>
        </w:rPr>
        <w:t>采购</w:t>
      </w:r>
      <w:r>
        <w:rPr>
          <w:rStyle w:val="29"/>
          <w:rFonts w:ascii="宋体" w:hAnsi="宋体"/>
          <w:color w:val="000000"/>
          <w:kern w:val="0"/>
          <w:szCs w:val="21"/>
        </w:rPr>
        <w:t>人可以</w:t>
      </w:r>
      <w:r>
        <w:rPr>
          <w:rStyle w:val="29"/>
          <w:rFonts w:hint="eastAsia" w:ascii="宋体" w:hAnsi="宋体"/>
          <w:color w:val="000000"/>
          <w:kern w:val="0"/>
          <w:szCs w:val="21"/>
        </w:rPr>
        <w:t>在</w:t>
      </w:r>
      <w:r>
        <w:rPr>
          <w:rStyle w:val="29"/>
          <w:rFonts w:ascii="宋体" w:hAnsi="宋体"/>
          <w:color w:val="000000"/>
          <w:kern w:val="0"/>
          <w:szCs w:val="21"/>
        </w:rPr>
        <w:t>三门峡市公共资源交易中心网以网上答疑形式修改</w:t>
      </w:r>
      <w:r>
        <w:rPr>
          <w:rStyle w:val="29"/>
          <w:rFonts w:hint="eastAsia" w:ascii="宋体" w:hAnsi="宋体"/>
          <w:color w:val="000000"/>
          <w:kern w:val="0"/>
          <w:szCs w:val="21"/>
        </w:rPr>
        <w:t>磋商</w:t>
      </w:r>
      <w:r>
        <w:rPr>
          <w:rStyle w:val="29"/>
          <w:rFonts w:ascii="宋体" w:hAnsi="宋体"/>
          <w:color w:val="000000"/>
          <w:kern w:val="0"/>
          <w:szCs w:val="21"/>
        </w:rPr>
        <w:t>文件，并通知所有已</w:t>
      </w:r>
      <w:r>
        <w:rPr>
          <w:rStyle w:val="29"/>
          <w:rFonts w:hint="eastAsia" w:ascii="宋体" w:hAnsi="宋体"/>
          <w:color w:val="000000"/>
          <w:kern w:val="0"/>
          <w:szCs w:val="21"/>
        </w:rPr>
        <w:t>下载磋商</w:t>
      </w:r>
      <w:r>
        <w:rPr>
          <w:rStyle w:val="29"/>
          <w:rFonts w:ascii="宋体" w:hAnsi="宋体"/>
          <w:color w:val="000000"/>
          <w:kern w:val="0"/>
          <w:szCs w:val="21"/>
        </w:rPr>
        <w:t>文件的</w:t>
      </w:r>
      <w:r>
        <w:rPr>
          <w:rStyle w:val="29"/>
          <w:rFonts w:hint="eastAsia" w:ascii="宋体" w:hAnsi="宋体"/>
          <w:color w:val="000000"/>
          <w:kern w:val="0"/>
          <w:szCs w:val="21"/>
        </w:rPr>
        <w:t>供应商</w:t>
      </w:r>
      <w:r>
        <w:rPr>
          <w:rStyle w:val="29"/>
          <w:rFonts w:ascii="宋体" w:hAnsi="宋体"/>
          <w:color w:val="000000"/>
          <w:kern w:val="0"/>
          <w:szCs w:val="21"/>
        </w:rPr>
        <w:t>。如果修改</w:t>
      </w:r>
      <w:r>
        <w:rPr>
          <w:rStyle w:val="29"/>
          <w:rFonts w:hint="eastAsia" w:ascii="宋体" w:hAnsi="宋体"/>
          <w:color w:val="000000"/>
          <w:kern w:val="0"/>
          <w:szCs w:val="21"/>
        </w:rPr>
        <w:t>磋商</w:t>
      </w:r>
      <w:r>
        <w:rPr>
          <w:rStyle w:val="29"/>
          <w:rFonts w:ascii="宋体" w:hAnsi="宋体"/>
          <w:color w:val="000000"/>
          <w:kern w:val="0"/>
          <w:szCs w:val="21"/>
        </w:rPr>
        <w:t>文件的时间距投标截止时间不足</w:t>
      </w:r>
      <w:r>
        <w:rPr>
          <w:rStyle w:val="29"/>
          <w:rFonts w:hint="eastAsia" w:ascii="宋体" w:hAnsi="宋体"/>
          <w:color w:val="000000"/>
          <w:kern w:val="0"/>
          <w:szCs w:val="21"/>
        </w:rPr>
        <w:t>5</w:t>
      </w:r>
      <w:r>
        <w:rPr>
          <w:rStyle w:val="29"/>
          <w:rFonts w:ascii="宋体" w:hAnsi="宋体"/>
          <w:color w:val="000000"/>
          <w:kern w:val="0"/>
          <w:szCs w:val="21"/>
        </w:rPr>
        <w:t>天，相应延长投标截止时间。</w:t>
      </w:r>
      <w:r>
        <w:rPr>
          <w:rFonts w:hint="eastAsia" w:ascii="宋体" w:hAnsi="宋体"/>
        </w:rPr>
        <w:t>补充文件将作为竞争性磋商文件组成部分，具有约束作用。</w:t>
      </w:r>
    </w:p>
    <w:p w14:paraId="138F19F2">
      <w:pPr>
        <w:spacing w:line="360" w:lineRule="auto"/>
        <w:ind w:firstLine="420" w:firstLineChars="200"/>
        <w:rPr>
          <w:rFonts w:ascii="宋体" w:hAnsi="宋体"/>
        </w:rPr>
      </w:pPr>
      <w:r>
        <w:rPr>
          <w:rFonts w:hint="eastAsia" w:ascii="宋体" w:hAnsi="宋体"/>
        </w:rPr>
        <w:t>6.2竞争性磋商</w:t>
      </w:r>
      <w:r>
        <w:rPr>
          <w:rFonts w:ascii="宋体" w:hAnsi="宋体" w:cs="宋体"/>
          <w:color w:val="000000"/>
          <w:kern w:val="0"/>
          <w:szCs w:val="21"/>
        </w:rPr>
        <w:t>文件的澄清、修改、补充等内容均以</w:t>
      </w:r>
      <w:r>
        <w:rPr>
          <w:rFonts w:hint="eastAsia" w:ascii="宋体" w:hAnsi="宋体" w:cs="宋体"/>
          <w:color w:val="000000"/>
          <w:kern w:val="0"/>
          <w:szCs w:val="21"/>
        </w:rPr>
        <w:t>采购人</w:t>
      </w:r>
      <w:r>
        <w:rPr>
          <w:rFonts w:ascii="宋体" w:hAnsi="宋体" w:cs="宋体"/>
          <w:color w:val="000000"/>
          <w:kern w:val="0"/>
          <w:szCs w:val="21"/>
        </w:rPr>
        <w:t>答疑形式明确的内容为准。当</w:t>
      </w:r>
      <w:r>
        <w:rPr>
          <w:rFonts w:hint="eastAsia" w:ascii="宋体" w:hAnsi="宋体" w:cs="宋体"/>
          <w:color w:val="000000"/>
          <w:kern w:val="0"/>
          <w:szCs w:val="21"/>
        </w:rPr>
        <w:t>磋商</w:t>
      </w:r>
      <w:r>
        <w:rPr>
          <w:rFonts w:ascii="宋体" w:hAnsi="宋体" w:cs="宋体"/>
          <w:color w:val="000000"/>
          <w:kern w:val="0"/>
          <w:szCs w:val="21"/>
        </w:rPr>
        <w:t>文件的澄清、修改、补充等在同一内容的表述上不一致时，以最后发出的答疑为准。</w:t>
      </w:r>
    </w:p>
    <w:p w14:paraId="1F94792D">
      <w:pPr>
        <w:widowControl/>
        <w:spacing w:line="360" w:lineRule="auto"/>
        <w:rPr>
          <w:rFonts w:ascii="宋体" w:hAnsi="宋体" w:cs="宋体"/>
          <w:b/>
          <w:kern w:val="0"/>
          <w:sz w:val="24"/>
        </w:rPr>
      </w:pPr>
      <w:r>
        <w:rPr>
          <w:rFonts w:hint="eastAsia" w:ascii="宋体" w:hAnsi="宋体" w:cs="宋体"/>
          <w:b/>
          <w:kern w:val="0"/>
          <w:sz w:val="24"/>
          <w:lang w:bidi="ar"/>
        </w:rPr>
        <w:t>7、要求</w:t>
      </w:r>
    </w:p>
    <w:p w14:paraId="72FC14DA">
      <w:pPr>
        <w:widowControl/>
        <w:spacing w:line="360" w:lineRule="auto"/>
        <w:ind w:firstLine="411" w:firstLineChars="196"/>
        <w:rPr>
          <w:rStyle w:val="29"/>
          <w:rFonts w:ascii="宋体" w:hAnsi="宋体"/>
          <w:color w:val="000000"/>
          <w:szCs w:val="21"/>
        </w:rPr>
      </w:pPr>
      <w:r>
        <w:rPr>
          <w:rStyle w:val="29"/>
          <w:rFonts w:hint="eastAsia" w:ascii="宋体" w:hAnsi="宋体"/>
          <w:color w:val="000000"/>
          <w:szCs w:val="21"/>
        </w:rPr>
        <w:t>7.1供应商应仔细阅读竞争性磋商文件的所有内容，按竞争性磋商文件的要求提供响应文件，并保证所提供资料的真实性，以使其响应文件对竞争性磋商文件作出实质性响应，否则，其响应文件不予接受。</w:t>
      </w:r>
    </w:p>
    <w:p w14:paraId="04648A80">
      <w:pPr>
        <w:widowControl/>
        <w:spacing w:line="360" w:lineRule="auto"/>
        <w:rPr>
          <w:rFonts w:ascii="宋体" w:hAnsi="宋体" w:cs="宋体"/>
          <w:b/>
          <w:kern w:val="0"/>
          <w:sz w:val="24"/>
        </w:rPr>
      </w:pPr>
      <w:r>
        <w:rPr>
          <w:rFonts w:hint="eastAsia" w:ascii="宋体" w:hAnsi="宋体" w:cs="宋体"/>
          <w:b/>
          <w:kern w:val="0"/>
          <w:sz w:val="24"/>
          <w:lang w:bidi="ar"/>
        </w:rPr>
        <w:t>8、响应文件的组成</w:t>
      </w:r>
    </w:p>
    <w:p w14:paraId="2355D599">
      <w:pPr>
        <w:widowControl/>
        <w:spacing w:line="360" w:lineRule="auto"/>
        <w:rPr>
          <w:rFonts w:ascii="宋体" w:hAnsi="宋体" w:cs="宋体"/>
          <w:b/>
          <w:kern w:val="0"/>
          <w:sz w:val="24"/>
        </w:rPr>
      </w:pPr>
      <w:r>
        <w:rPr>
          <w:rFonts w:hint="eastAsia" w:ascii="宋体" w:hAnsi="宋体" w:cs="宋体"/>
          <w:b/>
          <w:sz w:val="24"/>
          <w:lang w:bidi="ar"/>
        </w:rPr>
        <w:t>8.1响应文件应包括下列内容</w:t>
      </w:r>
    </w:p>
    <w:p w14:paraId="70AB41B2">
      <w:pPr>
        <w:widowControl/>
        <w:spacing w:line="360" w:lineRule="auto"/>
        <w:ind w:firstLine="411" w:firstLineChars="196"/>
        <w:rPr>
          <w:rStyle w:val="29"/>
          <w:rFonts w:ascii="宋体" w:hAnsi="宋体"/>
          <w:color w:val="000000"/>
          <w:szCs w:val="21"/>
        </w:rPr>
      </w:pPr>
      <w:r>
        <w:rPr>
          <w:rStyle w:val="29"/>
          <w:rFonts w:hint="eastAsia" w:ascii="宋体" w:hAnsi="宋体"/>
          <w:color w:val="000000"/>
          <w:szCs w:val="21"/>
        </w:rPr>
        <w:t>一、法定代表人身份证明</w:t>
      </w:r>
    </w:p>
    <w:p w14:paraId="758A9215">
      <w:pPr>
        <w:widowControl/>
        <w:spacing w:line="360" w:lineRule="auto"/>
        <w:ind w:firstLine="411" w:firstLineChars="196"/>
        <w:rPr>
          <w:rStyle w:val="29"/>
          <w:rFonts w:ascii="宋体" w:hAnsi="宋体"/>
          <w:color w:val="000000"/>
          <w:szCs w:val="21"/>
        </w:rPr>
      </w:pPr>
      <w:r>
        <w:rPr>
          <w:rStyle w:val="29"/>
          <w:rFonts w:hint="eastAsia" w:ascii="宋体" w:hAnsi="宋体"/>
          <w:color w:val="000000"/>
          <w:szCs w:val="21"/>
        </w:rPr>
        <w:t>二、响应文件签署授权委托书</w:t>
      </w:r>
    </w:p>
    <w:p w14:paraId="56C00817">
      <w:pPr>
        <w:widowControl/>
        <w:spacing w:line="360" w:lineRule="auto"/>
        <w:ind w:firstLine="411" w:firstLineChars="196"/>
        <w:rPr>
          <w:rStyle w:val="29"/>
          <w:rFonts w:ascii="宋体" w:hAnsi="宋体"/>
          <w:color w:val="000000"/>
          <w:szCs w:val="21"/>
        </w:rPr>
      </w:pPr>
      <w:r>
        <w:rPr>
          <w:rStyle w:val="29"/>
          <w:rFonts w:hint="eastAsia" w:ascii="宋体" w:hAnsi="宋体"/>
          <w:color w:val="000000"/>
          <w:szCs w:val="21"/>
        </w:rPr>
        <w:t>三、投标函及投标函附录</w:t>
      </w:r>
    </w:p>
    <w:p w14:paraId="0CDD4071">
      <w:pPr>
        <w:widowControl/>
        <w:spacing w:line="360" w:lineRule="auto"/>
        <w:ind w:firstLine="411" w:firstLineChars="196"/>
        <w:rPr>
          <w:rStyle w:val="29"/>
          <w:rFonts w:ascii="宋体" w:hAnsi="宋体"/>
          <w:color w:val="000000"/>
          <w:szCs w:val="21"/>
        </w:rPr>
      </w:pPr>
      <w:r>
        <w:rPr>
          <w:rStyle w:val="29"/>
          <w:rFonts w:hint="eastAsia" w:ascii="宋体" w:hAnsi="宋体"/>
          <w:color w:val="000000"/>
          <w:szCs w:val="21"/>
        </w:rPr>
        <w:t>四、服务方案</w:t>
      </w:r>
    </w:p>
    <w:p w14:paraId="499CB2AB">
      <w:pPr>
        <w:widowControl/>
        <w:spacing w:line="360" w:lineRule="auto"/>
        <w:ind w:firstLine="411" w:firstLineChars="196"/>
        <w:rPr>
          <w:rStyle w:val="29"/>
          <w:rFonts w:ascii="宋体" w:hAnsi="宋体"/>
          <w:color w:val="000000"/>
          <w:szCs w:val="21"/>
        </w:rPr>
      </w:pPr>
      <w:r>
        <w:rPr>
          <w:rStyle w:val="29"/>
          <w:rFonts w:hint="eastAsia" w:ascii="宋体" w:hAnsi="宋体"/>
          <w:color w:val="000000"/>
          <w:szCs w:val="21"/>
        </w:rPr>
        <w:t>五、资格审查资料</w:t>
      </w:r>
    </w:p>
    <w:p w14:paraId="24A5F94A">
      <w:pPr>
        <w:widowControl/>
        <w:spacing w:line="360" w:lineRule="auto"/>
        <w:ind w:firstLine="411" w:firstLineChars="196"/>
        <w:rPr>
          <w:rStyle w:val="29"/>
          <w:rFonts w:ascii="宋体" w:hAnsi="宋体"/>
          <w:color w:val="000000"/>
          <w:szCs w:val="21"/>
        </w:rPr>
      </w:pPr>
      <w:r>
        <w:rPr>
          <w:rStyle w:val="29"/>
          <w:rFonts w:hint="eastAsia" w:ascii="宋体" w:hAnsi="宋体"/>
          <w:color w:val="000000"/>
          <w:szCs w:val="21"/>
        </w:rPr>
        <w:t>六、中小微企业声明函</w:t>
      </w:r>
    </w:p>
    <w:p w14:paraId="3E1B8939">
      <w:pPr>
        <w:widowControl/>
        <w:spacing w:line="360" w:lineRule="auto"/>
        <w:ind w:firstLine="411" w:firstLineChars="196"/>
        <w:rPr>
          <w:rStyle w:val="29"/>
          <w:rFonts w:ascii="宋体" w:hAnsi="宋体"/>
          <w:color w:val="000000"/>
          <w:szCs w:val="21"/>
        </w:rPr>
      </w:pPr>
      <w:r>
        <w:rPr>
          <w:rStyle w:val="29"/>
          <w:rFonts w:hint="eastAsia" w:ascii="宋体" w:hAnsi="宋体"/>
          <w:color w:val="000000"/>
          <w:szCs w:val="21"/>
        </w:rPr>
        <w:t>七、磋商承诺函</w:t>
      </w:r>
    </w:p>
    <w:p w14:paraId="5A86F55F">
      <w:pPr>
        <w:widowControl/>
        <w:spacing w:line="360" w:lineRule="auto"/>
        <w:ind w:firstLine="411" w:firstLineChars="196"/>
        <w:rPr>
          <w:rStyle w:val="29"/>
          <w:rFonts w:ascii="宋体" w:hAnsi="宋体"/>
          <w:color w:val="000000"/>
          <w:szCs w:val="21"/>
        </w:rPr>
      </w:pPr>
      <w:r>
        <w:rPr>
          <w:rStyle w:val="29"/>
          <w:rFonts w:hint="eastAsia" w:ascii="宋体" w:hAnsi="宋体"/>
          <w:color w:val="000000"/>
          <w:szCs w:val="21"/>
        </w:rPr>
        <w:t>八、其他资料</w:t>
      </w:r>
    </w:p>
    <w:p w14:paraId="563B39A7">
      <w:pPr>
        <w:widowControl/>
        <w:spacing w:line="360" w:lineRule="auto"/>
        <w:rPr>
          <w:rFonts w:ascii="宋体" w:hAnsi="宋体" w:cs="宋体"/>
          <w:b/>
          <w:kern w:val="0"/>
          <w:sz w:val="24"/>
          <w:lang w:bidi="ar"/>
        </w:rPr>
      </w:pPr>
      <w:r>
        <w:rPr>
          <w:rFonts w:hint="eastAsia" w:ascii="宋体" w:hAnsi="宋体" w:cs="宋体"/>
          <w:b/>
          <w:kern w:val="0"/>
          <w:sz w:val="24"/>
          <w:lang w:bidi="ar"/>
        </w:rPr>
        <w:t>9、磋商报价</w:t>
      </w:r>
    </w:p>
    <w:p w14:paraId="10F172A5">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9.</w:t>
      </w:r>
      <w:r>
        <w:rPr>
          <w:rStyle w:val="29"/>
          <w:rFonts w:ascii="宋体" w:hAnsi="宋体"/>
          <w:color w:val="000000"/>
          <w:szCs w:val="21"/>
        </w:rPr>
        <w:t>1</w:t>
      </w:r>
      <w:r>
        <w:rPr>
          <w:rStyle w:val="29"/>
          <w:rFonts w:hint="eastAsia" w:ascii="宋体" w:hAnsi="宋体"/>
          <w:color w:val="000000"/>
          <w:szCs w:val="21"/>
        </w:rPr>
        <w:t>所有磋商报价均</w:t>
      </w:r>
      <w:r>
        <w:rPr>
          <w:rStyle w:val="29"/>
          <w:rFonts w:ascii="宋体" w:hAnsi="宋体"/>
          <w:color w:val="000000"/>
          <w:szCs w:val="21"/>
        </w:rPr>
        <w:t>以人民币</w:t>
      </w:r>
      <w:r>
        <w:rPr>
          <w:rStyle w:val="29"/>
          <w:rFonts w:hint="eastAsia" w:ascii="宋体" w:hAnsi="宋体"/>
          <w:color w:val="000000"/>
          <w:szCs w:val="21"/>
        </w:rPr>
        <w:t>报价</w:t>
      </w:r>
      <w:r>
        <w:rPr>
          <w:rStyle w:val="29"/>
          <w:rFonts w:ascii="宋体" w:hAnsi="宋体"/>
          <w:color w:val="000000"/>
          <w:szCs w:val="21"/>
        </w:rPr>
        <w:t>。</w:t>
      </w:r>
      <w:r>
        <w:rPr>
          <w:rStyle w:val="29"/>
          <w:rFonts w:hint="eastAsia" w:ascii="宋体" w:hAnsi="宋体"/>
          <w:color w:val="000000"/>
          <w:szCs w:val="21"/>
        </w:rPr>
        <w:t>供应商的磋商报价应遵守《中华人民共和国价格法》。</w:t>
      </w:r>
    </w:p>
    <w:p w14:paraId="5F6AD68C">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9.2供应商的报价应包括为完成本项目所发生的一切费用和税费（含增值税），采购人将不再支付报价以外的任何费用。供应商估算错误或漏项的风险一律由供应商自行承担。</w:t>
      </w:r>
    </w:p>
    <w:p w14:paraId="4CBFB2AC">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9.3磋商报价总价中不得包含磋商文件要求以外的内容，否则，在评审时不予核减。磋商报价总价中也不得缺漏磋商文件所要求的内容，否则，将以所有有效报价中该项内容的最高价计入其磋商报价总价，实质性的缺漏可能导致其响应文件被拒绝。</w:t>
      </w:r>
    </w:p>
    <w:p w14:paraId="1BE91E23">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9.4供应商所报的各分项单价在合同履行过程中是固定不变的，在合同履行中不得以任何理由予以变更。</w:t>
      </w:r>
    </w:p>
    <w:p w14:paraId="405B1B45">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9.5每种产品/服务只能有一个报价，否则其响应文件将被拒绝。</w:t>
      </w:r>
    </w:p>
    <w:p w14:paraId="285ABAE7">
      <w:pPr>
        <w:autoSpaceDE w:val="0"/>
        <w:autoSpaceDN w:val="0"/>
        <w:adjustRightInd w:val="0"/>
        <w:spacing w:line="360" w:lineRule="auto"/>
        <w:ind w:firstLine="420" w:firstLineChars="200"/>
        <w:jc w:val="left"/>
        <w:rPr>
          <w:rFonts w:ascii="宋体" w:hAnsi="宋体" w:cs="宋体"/>
          <w:kern w:val="0"/>
          <w:sz w:val="24"/>
        </w:rPr>
      </w:pPr>
      <w:r>
        <w:rPr>
          <w:rStyle w:val="29"/>
          <w:rFonts w:hint="eastAsia" w:ascii="宋体" w:hAnsi="宋体"/>
          <w:color w:val="000000"/>
          <w:szCs w:val="21"/>
        </w:rPr>
        <w:t>9</w:t>
      </w:r>
      <w:r>
        <w:rPr>
          <w:rStyle w:val="29"/>
          <w:rFonts w:ascii="宋体" w:hAnsi="宋体"/>
          <w:color w:val="000000"/>
          <w:szCs w:val="21"/>
        </w:rPr>
        <w:t>.</w:t>
      </w:r>
      <w:r>
        <w:rPr>
          <w:rStyle w:val="29"/>
          <w:rFonts w:hint="eastAsia" w:ascii="宋体" w:hAnsi="宋体"/>
          <w:color w:val="000000"/>
          <w:szCs w:val="21"/>
        </w:rPr>
        <w:t>6</w:t>
      </w:r>
      <w:r>
        <w:rPr>
          <w:rStyle w:val="29"/>
          <w:rFonts w:ascii="宋体" w:hAnsi="宋体"/>
          <w:color w:val="000000"/>
          <w:szCs w:val="21"/>
        </w:rPr>
        <w:t>本次采购为竞争性磋商采购，允许二次报价。</w:t>
      </w:r>
    </w:p>
    <w:p w14:paraId="10ADE3DC">
      <w:pPr>
        <w:widowControl/>
        <w:spacing w:line="360" w:lineRule="auto"/>
        <w:rPr>
          <w:rFonts w:ascii="宋体" w:hAnsi="宋体" w:cs="宋体"/>
          <w:b/>
          <w:kern w:val="0"/>
          <w:sz w:val="24"/>
          <w:lang w:bidi="ar"/>
        </w:rPr>
      </w:pPr>
      <w:r>
        <w:rPr>
          <w:rFonts w:hint="eastAsia" w:ascii="宋体" w:hAnsi="宋体" w:cs="宋体"/>
          <w:b/>
          <w:kern w:val="0"/>
          <w:sz w:val="24"/>
          <w:lang w:bidi="ar"/>
        </w:rPr>
        <w:t>10、供应商资格的审查</w:t>
      </w:r>
    </w:p>
    <w:p w14:paraId="1D753649">
      <w:pPr>
        <w:autoSpaceDE w:val="0"/>
        <w:autoSpaceDN w:val="0"/>
        <w:adjustRightInd w:val="0"/>
        <w:spacing w:line="360" w:lineRule="auto"/>
        <w:ind w:firstLine="420" w:firstLineChars="200"/>
        <w:jc w:val="left"/>
        <w:rPr>
          <w:rStyle w:val="29"/>
          <w:rFonts w:hint="eastAsia" w:ascii="宋体" w:hAnsi="宋体"/>
          <w:color w:val="000000"/>
          <w:szCs w:val="21"/>
        </w:rPr>
      </w:pPr>
      <w:r>
        <w:rPr>
          <w:rStyle w:val="29"/>
          <w:rFonts w:hint="eastAsia" w:ascii="宋体" w:hAnsi="宋体"/>
          <w:color w:val="000000"/>
          <w:szCs w:val="21"/>
        </w:rPr>
        <w:t>10.1、供应商符合《中华人民共和国政府采购法》第二十二条规定条件：</w:t>
      </w:r>
    </w:p>
    <w:p w14:paraId="326CC1D2">
      <w:pPr>
        <w:autoSpaceDE w:val="0"/>
        <w:autoSpaceDN w:val="0"/>
        <w:adjustRightInd w:val="0"/>
        <w:spacing w:line="360" w:lineRule="auto"/>
        <w:ind w:firstLine="420" w:firstLineChars="200"/>
        <w:jc w:val="left"/>
        <w:rPr>
          <w:rStyle w:val="29"/>
          <w:rFonts w:hint="eastAsia" w:ascii="宋体" w:hAnsi="宋体"/>
          <w:color w:val="000000"/>
          <w:szCs w:val="21"/>
        </w:rPr>
      </w:pPr>
      <w:r>
        <w:rPr>
          <w:rStyle w:val="29"/>
          <w:rFonts w:hint="eastAsia" w:ascii="宋体" w:hAnsi="宋体"/>
          <w:color w:val="000000"/>
          <w:szCs w:val="21"/>
        </w:rPr>
        <w:t>10.2、落实政府采购政策满足的资格要求：本项目专门面向中小微企业采购项目，执行促进中小型企业发展政策（残疾人福利性企业、监狱企业视同小微企业）、优先采购节能环保产品等政府采购政策。</w:t>
      </w:r>
    </w:p>
    <w:p w14:paraId="6DF8ED86">
      <w:pPr>
        <w:autoSpaceDE w:val="0"/>
        <w:autoSpaceDN w:val="0"/>
        <w:adjustRightInd w:val="0"/>
        <w:spacing w:line="360" w:lineRule="auto"/>
        <w:ind w:firstLine="420" w:firstLineChars="200"/>
        <w:jc w:val="left"/>
        <w:rPr>
          <w:rStyle w:val="29"/>
          <w:rFonts w:hint="eastAsia" w:ascii="宋体" w:hAnsi="宋体"/>
          <w:color w:val="000000"/>
          <w:szCs w:val="21"/>
        </w:rPr>
      </w:pPr>
      <w:r>
        <w:rPr>
          <w:rStyle w:val="29"/>
          <w:rFonts w:hint="eastAsia" w:ascii="宋体" w:hAnsi="宋体"/>
          <w:color w:val="000000"/>
          <w:szCs w:val="21"/>
        </w:rPr>
        <w:t>10.3、本项目的特定资格要求</w:t>
      </w:r>
    </w:p>
    <w:p w14:paraId="18B2136F">
      <w:pPr>
        <w:autoSpaceDE w:val="0"/>
        <w:autoSpaceDN w:val="0"/>
        <w:adjustRightInd w:val="0"/>
        <w:spacing w:line="360" w:lineRule="auto"/>
        <w:ind w:firstLine="420" w:firstLineChars="200"/>
        <w:jc w:val="left"/>
        <w:rPr>
          <w:rStyle w:val="29"/>
          <w:rFonts w:hint="eastAsia" w:ascii="宋体" w:hAnsi="宋体"/>
          <w:color w:val="000000"/>
          <w:szCs w:val="21"/>
        </w:rPr>
      </w:pPr>
      <w:r>
        <w:rPr>
          <w:rStyle w:val="29"/>
          <w:rFonts w:hint="eastAsia" w:ascii="宋体" w:hAnsi="宋体"/>
          <w:color w:val="000000"/>
          <w:szCs w:val="21"/>
        </w:rPr>
        <w:t>10.3.1供应商具有独立承担民事责任的能力；(供应商是企业（包括合伙企业），应提供在市场监督管理局注册的有效“企业法人营业执照”；供应商是事业单位，应提供有效的“事业单位法人证书”)；</w:t>
      </w:r>
    </w:p>
    <w:p w14:paraId="611ADEC2">
      <w:pPr>
        <w:autoSpaceDE w:val="0"/>
        <w:autoSpaceDN w:val="0"/>
        <w:adjustRightInd w:val="0"/>
        <w:spacing w:line="360" w:lineRule="auto"/>
        <w:ind w:firstLine="420" w:firstLineChars="200"/>
        <w:jc w:val="left"/>
        <w:rPr>
          <w:rStyle w:val="29"/>
          <w:rFonts w:hint="eastAsia" w:ascii="宋体" w:hAnsi="宋体"/>
          <w:color w:val="000000"/>
          <w:szCs w:val="21"/>
        </w:rPr>
      </w:pPr>
      <w:r>
        <w:rPr>
          <w:rStyle w:val="29"/>
          <w:rFonts w:hint="eastAsia" w:ascii="宋体" w:hAnsi="宋体"/>
          <w:color w:val="000000"/>
          <w:szCs w:val="21"/>
        </w:rPr>
        <w:t>10.3.2一标段：供应商须具有行政主管部门核发的工程设计水利行业（河道整治）专业乙级及以上资质；</w:t>
      </w:r>
    </w:p>
    <w:p w14:paraId="6E6A8E03">
      <w:pPr>
        <w:autoSpaceDE w:val="0"/>
        <w:autoSpaceDN w:val="0"/>
        <w:adjustRightInd w:val="0"/>
        <w:spacing w:line="360" w:lineRule="auto"/>
        <w:ind w:firstLine="420" w:firstLineChars="200"/>
        <w:jc w:val="left"/>
        <w:rPr>
          <w:rStyle w:val="29"/>
          <w:rFonts w:hint="eastAsia" w:ascii="宋体" w:hAnsi="宋体"/>
          <w:color w:val="000000"/>
          <w:szCs w:val="21"/>
        </w:rPr>
      </w:pPr>
      <w:r>
        <w:rPr>
          <w:rStyle w:val="29"/>
          <w:rFonts w:hint="eastAsia" w:ascii="宋体" w:hAnsi="宋体"/>
          <w:color w:val="000000"/>
          <w:szCs w:val="21"/>
        </w:rPr>
        <w:t>二标段：供应商须具有有关主管部门颁发的资产评估资格证书（或备案证明）（提供相关证明材料并加盖公章）</w:t>
      </w:r>
    </w:p>
    <w:p w14:paraId="56996941">
      <w:pPr>
        <w:autoSpaceDE w:val="0"/>
        <w:autoSpaceDN w:val="0"/>
        <w:adjustRightInd w:val="0"/>
        <w:spacing w:line="360" w:lineRule="auto"/>
        <w:ind w:firstLine="420" w:firstLineChars="200"/>
        <w:jc w:val="left"/>
        <w:rPr>
          <w:rStyle w:val="29"/>
          <w:rFonts w:hint="eastAsia" w:ascii="宋体" w:hAnsi="宋体"/>
          <w:color w:val="000000"/>
          <w:szCs w:val="21"/>
        </w:rPr>
      </w:pPr>
      <w:r>
        <w:rPr>
          <w:rStyle w:val="29"/>
          <w:rFonts w:hint="eastAsia" w:ascii="宋体" w:hAnsi="宋体"/>
          <w:color w:val="000000"/>
          <w:szCs w:val="21"/>
        </w:rPr>
        <w:t>10.3.3一标段：项目负责人须具有水利相关专业中级及以上职称（提供本单位为其缴纳的社保证明）；</w:t>
      </w:r>
    </w:p>
    <w:p w14:paraId="7A3D3D35">
      <w:pPr>
        <w:autoSpaceDE w:val="0"/>
        <w:autoSpaceDN w:val="0"/>
        <w:adjustRightInd w:val="0"/>
        <w:spacing w:line="360" w:lineRule="auto"/>
        <w:ind w:firstLine="420" w:firstLineChars="200"/>
        <w:jc w:val="left"/>
        <w:rPr>
          <w:rStyle w:val="29"/>
          <w:rFonts w:hint="eastAsia" w:ascii="宋体" w:hAnsi="宋体"/>
          <w:color w:val="000000"/>
          <w:szCs w:val="21"/>
        </w:rPr>
      </w:pPr>
      <w:r>
        <w:rPr>
          <w:rStyle w:val="29"/>
          <w:rFonts w:hint="eastAsia" w:ascii="宋体" w:hAnsi="宋体"/>
          <w:color w:val="000000"/>
          <w:szCs w:val="21"/>
        </w:rPr>
        <w:t>二标段：项目负责人须具有资产评估师证书（提供本单位为其缴纳的社保证明、执业证书证明材料）</w:t>
      </w:r>
    </w:p>
    <w:p w14:paraId="6F5E0B42">
      <w:pPr>
        <w:autoSpaceDE w:val="0"/>
        <w:autoSpaceDN w:val="0"/>
        <w:adjustRightInd w:val="0"/>
        <w:spacing w:line="360" w:lineRule="auto"/>
        <w:ind w:firstLine="420" w:firstLineChars="200"/>
        <w:jc w:val="left"/>
        <w:rPr>
          <w:rStyle w:val="29"/>
          <w:rFonts w:hint="eastAsia" w:ascii="宋体" w:hAnsi="宋体"/>
          <w:color w:val="000000"/>
          <w:szCs w:val="21"/>
        </w:rPr>
      </w:pPr>
      <w:r>
        <w:rPr>
          <w:rStyle w:val="29"/>
          <w:rFonts w:hint="eastAsia" w:ascii="宋体" w:hAnsi="宋体"/>
          <w:color w:val="000000"/>
          <w:szCs w:val="21"/>
        </w:rPr>
        <w:t>10.3.4供应商出具无行贿犯罪记录在中国裁判文书网自行查询或自行承诺（查询对象：企业、法定代表人）；</w:t>
      </w:r>
    </w:p>
    <w:p w14:paraId="323C0E5A">
      <w:pPr>
        <w:autoSpaceDE w:val="0"/>
        <w:autoSpaceDN w:val="0"/>
        <w:adjustRightInd w:val="0"/>
        <w:spacing w:line="360" w:lineRule="auto"/>
        <w:ind w:firstLine="420" w:firstLineChars="200"/>
        <w:jc w:val="left"/>
        <w:rPr>
          <w:rStyle w:val="29"/>
          <w:rFonts w:hint="eastAsia" w:ascii="宋体" w:hAnsi="宋体"/>
          <w:color w:val="000000"/>
          <w:szCs w:val="21"/>
        </w:rPr>
      </w:pPr>
      <w:r>
        <w:rPr>
          <w:rStyle w:val="29"/>
          <w:rFonts w:hint="eastAsia" w:ascii="宋体" w:hAnsi="宋体"/>
          <w:color w:val="000000"/>
          <w:szCs w:val="21"/>
        </w:rPr>
        <w:t>10.3.5供应商须提供本企业无商业贿赂和不正当竞争行为承诺书；</w:t>
      </w:r>
    </w:p>
    <w:p w14:paraId="19853C1B">
      <w:pPr>
        <w:autoSpaceDE w:val="0"/>
        <w:autoSpaceDN w:val="0"/>
        <w:adjustRightInd w:val="0"/>
        <w:spacing w:line="360" w:lineRule="auto"/>
        <w:ind w:firstLine="420" w:firstLineChars="200"/>
        <w:jc w:val="left"/>
        <w:rPr>
          <w:rStyle w:val="29"/>
          <w:rFonts w:hint="eastAsia" w:ascii="宋体" w:hAnsi="宋体"/>
          <w:color w:val="000000"/>
          <w:szCs w:val="21"/>
        </w:rPr>
      </w:pPr>
      <w:r>
        <w:rPr>
          <w:rStyle w:val="29"/>
          <w:rFonts w:hint="eastAsia" w:ascii="宋体" w:hAnsi="宋体"/>
          <w:color w:val="000000"/>
          <w:szCs w:val="21"/>
        </w:rPr>
        <w:t>10.3.6供应商没有被列入“中国执行信息公开网”的“失信被执行人”、“信用中国”的“重大税收违法失信主体”及“中国政府采购网站”的“政府采购严重违法失信行为记录名单”。【查询渠道：“中国执行信息公开网”（http://zxgk.court.gov.cn/）“信用中国”网站（www.creditchina.gov.cn）、“中国政府采购网”（www.ccgp.gov.cn）】(注：査询时间必须是本公告发布之后开标之前，查询结果清晰可见)；</w:t>
      </w:r>
    </w:p>
    <w:p w14:paraId="27DBDC5F">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10.3.7本项目不接受联合体投标；</w:t>
      </w:r>
    </w:p>
    <w:p w14:paraId="447E89FF">
      <w:pPr>
        <w:widowControl/>
        <w:spacing w:line="360" w:lineRule="auto"/>
        <w:rPr>
          <w:rFonts w:ascii="宋体" w:hAnsi="宋体" w:cs="宋体"/>
          <w:b/>
          <w:kern w:val="0"/>
          <w:sz w:val="24"/>
        </w:rPr>
      </w:pPr>
      <w:r>
        <w:rPr>
          <w:rFonts w:hint="eastAsia" w:ascii="宋体" w:hAnsi="宋体" w:cs="宋体"/>
          <w:b/>
          <w:kern w:val="0"/>
          <w:sz w:val="24"/>
          <w:lang w:bidi="ar"/>
        </w:rPr>
        <w:t>11、磋商保证金</w:t>
      </w:r>
    </w:p>
    <w:p w14:paraId="31B5BAB1">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按照《河南省财政厅关于优化政府采购营商环境有关问题的通知》（豫财购[2019]4号文）的要求本项目不再收取磋商保证金。</w:t>
      </w:r>
    </w:p>
    <w:p w14:paraId="361CE803">
      <w:pPr>
        <w:widowControl/>
        <w:spacing w:line="360" w:lineRule="auto"/>
        <w:rPr>
          <w:rFonts w:ascii="宋体" w:hAnsi="宋体" w:cs="宋体"/>
          <w:b/>
          <w:bCs/>
          <w:kern w:val="0"/>
          <w:sz w:val="24"/>
        </w:rPr>
      </w:pPr>
      <w:r>
        <w:rPr>
          <w:rFonts w:hint="eastAsia" w:ascii="宋体" w:hAnsi="宋体" w:cs="宋体"/>
          <w:b/>
          <w:kern w:val="0"/>
          <w:sz w:val="24"/>
          <w:lang w:bidi="ar"/>
        </w:rPr>
        <w:t>12、响应文件</w:t>
      </w:r>
      <w:r>
        <w:rPr>
          <w:rFonts w:hint="eastAsia" w:ascii="宋体" w:hAnsi="宋体" w:cs="宋体"/>
          <w:b/>
          <w:bCs/>
          <w:kern w:val="0"/>
          <w:sz w:val="24"/>
          <w:lang w:bidi="ar"/>
        </w:rPr>
        <w:t>有效期</w:t>
      </w:r>
    </w:p>
    <w:p w14:paraId="11538062">
      <w:pPr>
        <w:widowControl/>
        <w:spacing w:line="360" w:lineRule="auto"/>
        <w:ind w:firstLine="480"/>
        <w:rPr>
          <w:rStyle w:val="29"/>
          <w:rFonts w:ascii="宋体" w:hAnsi="宋体"/>
          <w:color w:val="000000"/>
          <w:szCs w:val="21"/>
        </w:rPr>
      </w:pPr>
      <w:r>
        <w:rPr>
          <w:rStyle w:val="29"/>
          <w:rFonts w:hint="eastAsia" w:ascii="宋体" w:hAnsi="宋体"/>
          <w:color w:val="000000"/>
          <w:szCs w:val="21"/>
        </w:rPr>
        <w:t>12.1响应文件有效期为</w:t>
      </w:r>
      <w:r>
        <w:rPr>
          <w:rFonts w:hint="eastAsia" w:ascii="宋体" w:hAnsi="宋体" w:cs="宋体"/>
          <w:color w:val="000000"/>
          <w:szCs w:val="21"/>
        </w:rPr>
        <w:t>磋商截止时间起60日历天</w:t>
      </w:r>
      <w:r>
        <w:rPr>
          <w:rStyle w:val="29"/>
          <w:rFonts w:hint="eastAsia" w:ascii="宋体" w:hAnsi="宋体"/>
          <w:color w:val="000000"/>
          <w:szCs w:val="21"/>
        </w:rPr>
        <w:t>。</w:t>
      </w:r>
    </w:p>
    <w:p w14:paraId="48640CCC">
      <w:pPr>
        <w:widowControl/>
        <w:spacing w:line="360" w:lineRule="auto"/>
        <w:ind w:firstLine="480"/>
        <w:rPr>
          <w:rStyle w:val="29"/>
          <w:rFonts w:ascii="宋体" w:hAnsi="宋体"/>
          <w:color w:val="000000"/>
          <w:szCs w:val="21"/>
        </w:rPr>
      </w:pPr>
      <w:r>
        <w:rPr>
          <w:rStyle w:val="29"/>
          <w:rFonts w:hint="eastAsia" w:ascii="宋体" w:hAnsi="宋体"/>
          <w:color w:val="000000"/>
          <w:szCs w:val="21"/>
        </w:rPr>
        <w:t>12．2特殊情况下，采购人可于响应文件有效期满之前要求供应商同意延长有效期，要求与答复均为网上答疑形式。供应商可以拒绝上述要求，对于同意该要求的供应商，不允许其修改响应文件。</w:t>
      </w:r>
    </w:p>
    <w:p w14:paraId="69374150">
      <w:pPr>
        <w:widowControl/>
        <w:spacing w:line="360" w:lineRule="auto"/>
        <w:rPr>
          <w:rFonts w:ascii="宋体" w:hAnsi="宋体" w:cs="宋体"/>
          <w:b/>
          <w:kern w:val="0"/>
          <w:sz w:val="24"/>
        </w:rPr>
      </w:pPr>
      <w:r>
        <w:rPr>
          <w:rFonts w:hint="eastAsia" w:ascii="宋体" w:hAnsi="宋体" w:cs="宋体"/>
          <w:b/>
          <w:kern w:val="0"/>
          <w:sz w:val="24"/>
          <w:lang w:bidi="ar"/>
        </w:rPr>
        <w:t>13、磋商程序</w:t>
      </w:r>
    </w:p>
    <w:p w14:paraId="065EB42C">
      <w:pPr>
        <w:spacing w:line="460" w:lineRule="exact"/>
        <w:ind w:firstLine="420" w:firstLineChars="200"/>
        <w:rPr>
          <w:rStyle w:val="29"/>
          <w:rFonts w:ascii="宋体" w:hAnsi="宋体"/>
          <w:color w:val="000000"/>
          <w:szCs w:val="21"/>
        </w:rPr>
      </w:pPr>
      <w:r>
        <w:rPr>
          <w:rStyle w:val="29"/>
          <w:rFonts w:hint="eastAsia" w:ascii="宋体" w:hAnsi="宋体"/>
          <w:color w:val="000000"/>
          <w:szCs w:val="21"/>
        </w:rPr>
        <w:t>（1）宣布会议纪律；</w:t>
      </w:r>
    </w:p>
    <w:p w14:paraId="5752B76F">
      <w:pPr>
        <w:spacing w:line="460" w:lineRule="exact"/>
        <w:ind w:firstLine="420" w:firstLineChars="200"/>
        <w:rPr>
          <w:rStyle w:val="29"/>
          <w:rFonts w:ascii="宋体" w:hAnsi="宋体"/>
          <w:color w:val="000000"/>
          <w:szCs w:val="21"/>
        </w:rPr>
      </w:pPr>
      <w:r>
        <w:rPr>
          <w:rStyle w:val="29"/>
          <w:rFonts w:hint="eastAsia" w:ascii="宋体" w:hAnsi="宋体"/>
          <w:color w:val="000000"/>
          <w:szCs w:val="21"/>
        </w:rPr>
        <w:t>（2）公布在递交响应文件截止时间前递交响应文件的供应商数量、名称；</w:t>
      </w:r>
    </w:p>
    <w:p w14:paraId="5F00BC1E">
      <w:pPr>
        <w:spacing w:line="460" w:lineRule="exact"/>
        <w:ind w:firstLine="420" w:firstLineChars="200"/>
        <w:rPr>
          <w:rStyle w:val="29"/>
          <w:rFonts w:ascii="宋体" w:hAnsi="宋体"/>
          <w:color w:val="000000"/>
          <w:szCs w:val="21"/>
        </w:rPr>
      </w:pPr>
      <w:r>
        <w:rPr>
          <w:rStyle w:val="29"/>
          <w:rFonts w:hint="eastAsia" w:ascii="宋体" w:hAnsi="宋体"/>
          <w:color w:val="000000"/>
          <w:szCs w:val="21"/>
        </w:rPr>
        <w:t>（3）宣布有关与会人员；</w:t>
      </w:r>
    </w:p>
    <w:p w14:paraId="4158CE8B">
      <w:pPr>
        <w:spacing w:line="460" w:lineRule="exact"/>
        <w:ind w:firstLine="420" w:firstLineChars="200"/>
        <w:rPr>
          <w:rStyle w:val="29"/>
          <w:rFonts w:ascii="宋体" w:hAnsi="宋体"/>
          <w:color w:val="000000"/>
          <w:szCs w:val="21"/>
        </w:rPr>
      </w:pPr>
      <w:r>
        <w:rPr>
          <w:rStyle w:val="29"/>
          <w:rFonts w:hint="eastAsia" w:ascii="宋体" w:hAnsi="宋体"/>
          <w:color w:val="000000"/>
          <w:szCs w:val="21"/>
        </w:rPr>
        <w:t>（</w:t>
      </w:r>
      <w:r>
        <w:rPr>
          <w:rStyle w:val="29"/>
          <w:rFonts w:ascii="宋体" w:hAnsi="宋体"/>
          <w:color w:val="000000"/>
          <w:szCs w:val="21"/>
        </w:rPr>
        <w:t>4</w:t>
      </w:r>
      <w:r>
        <w:rPr>
          <w:rStyle w:val="29"/>
          <w:rFonts w:hint="eastAsia" w:ascii="宋体" w:hAnsi="宋体"/>
          <w:color w:val="000000"/>
          <w:szCs w:val="21"/>
        </w:rPr>
        <w:t xml:space="preserve">）通过电子招标投标交易平台对已递交的电子响应文件进行解密，程序详见供应商须知前附表“电子化交易注意事项”； </w:t>
      </w:r>
    </w:p>
    <w:p w14:paraId="5274EC70">
      <w:pPr>
        <w:spacing w:line="460" w:lineRule="exact"/>
        <w:ind w:firstLine="420" w:firstLineChars="200"/>
        <w:rPr>
          <w:rStyle w:val="29"/>
          <w:rFonts w:ascii="宋体" w:hAnsi="宋体"/>
          <w:color w:val="000000"/>
          <w:szCs w:val="21"/>
        </w:rPr>
      </w:pPr>
      <w:r>
        <w:rPr>
          <w:rStyle w:val="29"/>
          <w:rFonts w:hint="eastAsia" w:ascii="宋体" w:hAnsi="宋体"/>
          <w:color w:val="000000"/>
          <w:szCs w:val="21"/>
        </w:rPr>
        <w:t>（5）通过响应文件初步评审的供应商在网上进行二次报价；</w:t>
      </w:r>
    </w:p>
    <w:p w14:paraId="4E3B5CC1">
      <w:pPr>
        <w:spacing w:line="460" w:lineRule="exact"/>
        <w:ind w:firstLine="420" w:firstLineChars="200"/>
        <w:rPr>
          <w:rStyle w:val="29"/>
          <w:rFonts w:ascii="宋体" w:hAnsi="宋体"/>
          <w:color w:val="000000"/>
          <w:szCs w:val="21"/>
        </w:rPr>
      </w:pPr>
      <w:r>
        <w:rPr>
          <w:rStyle w:val="29"/>
          <w:rFonts w:hint="eastAsia" w:ascii="宋体" w:hAnsi="宋体"/>
          <w:color w:val="000000"/>
          <w:szCs w:val="21"/>
        </w:rPr>
        <w:t>（6）招标代理机构将对磋商过程进行记录以存档备查。</w:t>
      </w:r>
    </w:p>
    <w:p w14:paraId="2928E6B4">
      <w:pPr>
        <w:spacing w:line="480" w:lineRule="auto"/>
        <w:rPr>
          <w:rFonts w:ascii="宋体" w:hAnsi="宋体" w:cs="宋体"/>
          <w:b/>
          <w:kern w:val="0"/>
          <w:sz w:val="24"/>
          <w:lang w:bidi="ar"/>
        </w:rPr>
      </w:pPr>
      <w:r>
        <w:rPr>
          <w:rFonts w:hint="eastAsia" w:ascii="宋体" w:hAnsi="宋体" w:cs="宋体"/>
          <w:b/>
          <w:sz w:val="24"/>
          <w:lang w:bidi="ar"/>
        </w:rPr>
        <w:t>14.5电子化磋商响应文件的有效性</w:t>
      </w:r>
      <w:r>
        <w:rPr>
          <w:rFonts w:hint="eastAsia" w:ascii="宋体" w:hAnsi="宋体" w:cs="宋体"/>
          <w:b/>
          <w:kern w:val="0"/>
          <w:sz w:val="24"/>
          <w:lang w:bidi="ar"/>
        </w:rPr>
        <w:t xml:space="preserve"> </w:t>
      </w:r>
    </w:p>
    <w:p w14:paraId="4F56BAFE">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14.5.1.</w:t>
      </w:r>
      <w:r>
        <w:rPr>
          <w:rStyle w:val="29"/>
          <w:rFonts w:ascii="宋体" w:hAnsi="宋体"/>
          <w:color w:val="000000"/>
          <w:szCs w:val="21"/>
        </w:rPr>
        <w:t>电子化磋商响应文件有下列情形的为无效电子化磋商响应文件，采购人不予受理：因磋商</w:t>
      </w:r>
      <w:r>
        <w:rPr>
          <w:rStyle w:val="29"/>
          <w:rFonts w:hint="eastAsia" w:ascii="宋体" w:hAnsi="宋体"/>
          <w:color w:val="000000"/>
          <w:szCs w:val="21"/>
        </w:rPr>
        <w:t>供应商</w:t>
      </w:r>
      <w:r>
        <w:rPr>
          <w:rStyle w:val="29"/>
          <w:rFonts w:ascii="宋体" w:hAnsi="宋体"/>
          <w:color w:val="000000"/>
          <w:szCs w:val="21"/>
        </w:rPr>
        <w:t>原因造成磋商响应文件未解密的，视为撤销其磋商响应文件；因磋商</w:t>
      </w:r>
      <w:r>
        <w:rPr>
          <w:rStyle w:val="29"/>
          <w:rFonts w:hint="eastAsia" w:ascii="宋体" w:hAnsi="宋体"/>
          <w:color w:val="000000"/>
          <w:szCs w:val="21"/>
        </w:rPr>
        <w:t>供应商</w:t>
      </w:r>
      <w:r>
        <w:rPr>
          <w:rStyle w:val="29"/>
          <w:rFonts w:ascii="宋体" w:hAnsi="宋体"/>
          <w:color w:val="000000"/>
          <w:szCs w:val="21"/>
        </w:rPr>
        <w:t>之外的原因造成电子化磋商响应文件未解密的，视为撤回其磋商响应文件，磋商</w:t>
      </w:r>
      <w:r>
        <w:rPr>
          <w:rStyle w:val="29"/>
          <w:rFonts w:hint="eastAsia" w:ascii="宋体" w:hAnsi="宋体"/>
          <w:color w:val="000000"/>
          <w:szCs w:val="21"/>
        </w:rPr>
        <w:t>供应商</w:t>
      </w:r>
      <w:r>
        <w:rPr>
          <w:rStyle w:val="29"/>
          <w:rFonts w:ascii="宋体" w:hAnsi="宋体"/>
          <w:color w:val="000000"/>
          <w:szCs w:val="21"/>
        </w:rPr>
        <w:t>有权要求责任方赔偿因此遭受的直接损失。部分电子化磋商响应文件未解密的，其他电子化磋商响应文件的磋商可以继续进行。</w:t>
      </w:r>
    </w:p>
    <w:p w14:paraId="7B8582B0">
      <w:pPr>
        <w:autoSpaceDE w:val="0"/>
        <w:autoSpaceDN w:val="0"/>
        <w:adjustRightInd w:val="0"/>
        <w:spacing w:line="360" w:lineRule="auto"/>
        <w:ind w:firstLine="420" w:firstLineChars="200"/>
        <w:jc w:val="left"/>
        <w:rPr>
          <w:rFonts w:ascii="宋体" w:hAnsi="宋体" w:cs="宋体"/>
          <w:sz w:val="24"/>
          <w:lang w:bidi="ar"/>
        </w:rPr>
      </w:pPr>
      <w:r>
        <w:rPr>
          <w:rStyle w:val="29"/>
          <w:rFonts w:hint="eastAsia" w:ascii="宋体" w:hAnsi="宋体"/>
          <w:color w:val="000000"/>
          <w:szCs w:val="21"/>
        </w:rPr>
        <w:t>14.5.2各供应商的首次报价不进行公开唱价，首次报价不作为最终决定性评审因素，仅供磋商小组参考。</w:t>
      </w:r>
    </w:p>
    <w:p w14:paraId="54E1F470">
      <w:pPr>
        <w:widowControl/>
        <w:spacing w:line="360" w:lineRule="auto"/>
        <w:rPr>
          <w:rFonts w:ascii="宋体" w:hAnsi="宋体" w:cs="宋体"/>
          <w:b/>
          <w:kern w:val="0"/>
          <w:sz w:val="24"/>
        </w:rPr>
      </w:pPr>
      <w:r>
        <w:rPr>
          <w:rFonts w:hint="eastAsia" w:ascii="宋体" w:hAnsi="宋体" w:cs="宋体"/>
          <w:b/>
          <w:kern w:val="0"/>
          <w:sz w:val="24"/>
          <w:lang w:bidi="ar"/>
        </w:rPr>
        <w:t>15、磋商小组</w:t>
      </w:r>
    </w:p>
    <w:p w14:paraId="42194494">
      <w:pPr>
        <w:spacing w:line="360" w:lineRule="auto"/>
        <w:ind w:firstLine="210" w:firstLineChars="100"/>
        <w:rPr>
          <w:rStyle w:val="29"/>
          <w:rFonts w:ascii="宋体" w:hAnsi="宋体"/>
          <w:color w:val="000000"/>
          <w:szCs w:val="21"/>
        </w:rPr>
      </w:pPr>
      <w:r>
        <w:rPr>
          <w:rStyle w:val="29"/>
          <w:rFonts w:hint="eastAsia" w:ascii="宋体" w:hAnsi="宋体"/>
          <w:color w:val="000000"/>
          <w:szCs w:val="21"/>
        </w:rPr>
        <w:t>15</w:t>
      </w:r>
      <w:r>
        <w:rPr>
          <w:rStyle w:val="29"/>
          <w:rFonts w:ascii="宋体" w:hAnsi="宋体"/>
          <w:color w:val="000000"/>
          <w:szCs w:val="21"/>
        </w:rPr>
        <w:t>.1</w:t>
      </w:r>
      <w:r>
        <w:rPr>
          <w:rFonts w:hint="eastAsia" w:ascii="宋体" w:hAnsi="宋体" w:cs="宋体"/>
          <w:color w:val="000000"/>
          <w:szCs w:val="21"/>
        </w:rPr>
        <w:t>磋商小组构成：3人；采购人代表1人，评审专家2人；</w:t>
      </w:r>
      <w:r>
        <w:rPr>
          <w:rFonts w:hint="eastAsia" w:ascii="宋体" w:hAnsi="宋体" w:cs="宋体"/>
          <w:bCs/>
          <w:color w:val="000000"/>
          <w:szCs w:val="21"/>
        </w:rPr>
        <w:t>评标专家确定方式：从河南省电子化政府采购系统评标专家库中随机抽取。（采购人代表无评标劳务费用）</w:t>
      </w:r>
    </w:p>
    <w:p w14:paraId="4BEA9D00">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15.2磋商纪律</w:t>
      </w:r>
    </w:p>
    <w:p w14:paraId="115DA3F5">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（1）磋商小组成员内部讨论的情况和意见必须保密，任何人不得以任何形式透露给供应商或与供应商有关的单位或个人；</w:t>
      </w:r>
    </w:p>
    <w:p w14:paraId="0158B4EA">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（2）在磋商过程中，供应商不得以任何形式对磋商小组成员进行旨在影响磋商结果的私下接触，否则取消其磋商资格；</w:t>
      </w:r>
    </w:p>
    <w:p w14:paraId="1464C803">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 xml:space="preserve">（3）磋商小组采用以及与磋商有关的人员应当对评审情况和评审过程中获悉的国家秘密、商业秘密予以保密。 </w:t>
      </w:r>
    </w:p>
    <w:p w14:paraId="757A5DF0">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 xml:space="preserve">（4）供应商不得泄漏竞争性磋商活动中应当保密的情况和资料，不得与其他供应商串通损害国家利益、社会公共利益或者他人合法权益。 </w:t>
      </w:r>
    </w:p>
    <w:p w14:paraId="0FF9F2DC">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 xml:space="preserve">（5）供应商不得相互串通响应或者与串通响应，不得向或者磋商小组行贿谋取成交，不得以他人名义响应或者以其他方式弄虚作假骗取成交；供应商不得以任何方式干扰、影响评审工作。 </w:t>
      </w:r>
    </w:p>
    <w:p w14:paraId="47381626">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 xml:space="preserve">（6）磋商小组成员不得收受他人的财物或者其他好处，不得向他人透漏对响应文件的评审和比较、成交候选人的推荐情况以及评审有关的其他情况。在评审活动中，磋商小组应当客观、公正地履行职责，遵守职业道德，不得擅离职守，影响评审程序正常进行，不得使用评审办法中没有规定的评审因素和标准进行评审。 </w:t>
      </w:r>
    </w:p>
    <w:p w14:paraId="58552E86">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 xml:space="preserve">（7）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 </w:t>
      </w:r>
    </w:p>
    <w:p w14:paraId="201E207B">
      <w:pPr>
        <w:autoSpaceDE w:val="0"/>
        <w:autoSpaceDN w:val="0"/>
        <w:adjustRightInd w:val="0"/>
        <w:spacing w:line="360" w:lineRule="auto"/>
        <w:ind w:firstLine="482" w:firstLineChars="200"/>
        <w:jc w:val="left"/>
        <w:rPr>
          <w:rFonts w:ascii="宋体" w:hAnsi="宋体" w:cs="宋体"/>
          <w:b/>
          <w:bCs/>
          <w:kern w:val="0"/>
          <w:sz w:val="24"/>
        </w:rPr>
      </w:pPr>
      <w:r>
        <w:rPr>
          <w:rFonts w:hint="eastAsia" w:ascii="宋体" w:hAnsi="宋体" w:cs="宋体"/>
          <w:b/>
          <w:bCs/>
          <w:kern w:val="0"/>
          <w:sz w:val="24"/>
        </w:rPr>
        <w:t>16、评审</w:t>
      </w:r>
    </w:p>
    <w:p w14:paraId="28FFB7F8">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16.1响应文件的审查</w:t>
      </w:r>
    </w:p>
    <w:p w14:paraId="0F80147B">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16.1.1磋商小组审查响应文件是否完整，是否有计算错误，文件是否已恰当地签署。</w:t>
      </w:r>
    </w:p>
    <w:p w14:paraId="65725CC4">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16.1.2在对响应文件进行详细评审之前，磋商小组依据磋商文件的规定，对供应商的资格及响应文件的有效性、完整性和对磋商文件的响应程度进行审查，以确定是否对磋商文件的要求做出实质性响应。未通过资格审查的供应商，不得进入详细评审。资格性审查内容详见附表初步评审表 。</w:t>
      </w:r>
    </w:p>
    <w:p w14:paraId="619B2363">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16.1.3竞争性磋商小组将确定响应文件是否对竞争性磋商文件的要求作出了实质性的响应，而没有重大偏离。实质性响应是指磋商符合竞争性磋商文件的所有条款、条件和规定且没有重大偏离和保留。重大偏离和保留是指影响到竞争性磋商文件规定的范围、质量和性能，或限制了采购人的权利和供应商的义务的规定，而纠正这些偏离将影响到其它供应商的公平竞争地位。</w:t>
      </w:r>
    </w:p>
    <w:p w14:paraId="1470A5CC">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16.1.4竞争性磋商小组判断响应文件的响应性仅基于响应文件本身内容而不靠外部证据。</w:t>
      </w:r>
    </w:p>
    <w:p w14:paraId="45D3D79B">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16.1.5竞争性磋商小组将拒绝被确定为非实质性响应的磋商，供应商不能通过修正或撤消不符之处而使其磋商成为实质性响应的磋商。</w:t>
      </w:r>
    </w:p>
    <w:p w14:paraId="36CBE9FB">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16.1.6竞争性磋商小组允许修改磋商中不构成重大偏离的、微小的、非正规、不一致或不规则的地方。</w:t>
      </w:r>
    </w:p>
    <w:p w14:paraId="752B6FC7">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16.2未响应竞争性磋商文件规定</w:t>
      </w:r>
    </w:p>
    <w:p w14:paraId="367C427C">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16.2.1报价超出采购人预算价的；</w:t>
      </w:r>
    </w:p>
    <w:p w14:paraId="3BD66A8F">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16.2.2未响应竞争性磋商文件中磋商文件格式盖章的；</w:t>
      </w:r>
    </w:p>
    <w:p w14:paraId="65DA7DE0">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16.2.3未响应竞争性磋商文件服务期限、磋商有效期；</w:t>
      </w:r>
    </w:p>
    <w:p w14:paraId="6AA5775A">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16.2.4未响应竞争性磋商文件服务需求和技术要求。</w:t>
      </w:r>
    </w:p>
    <w:p w14:paraId="0867EC58">
      <w:pPr>
        <w:autoSpaceDE w:val="0"/>
        <w:autoSpaceDN w:val="0"/>
        <w:adjustRightInd w:val="0"/>
        <w:spacing w:line="360" w:lineRule="auto"/>
        <w:ind w:firstLine="420" w:firstLineChars="200"/>
        <w:jc w:val="left"/>
        <w:rPr>
          <w:rStyle w:val="29"/>
          <w:rFonts w:ascii="宋体" w:hAnsi="宋体"/>
          <w:color w:val="000000"/>
          <w:szCs w:val="21"/>
        </w:rPr>
      </w:pPr>
      <w:r>
        <w:rPr>
          <w:rStyle w:val="29"/>
          <w:rFonts w:hint="eastAsia" w:ascii="宋体" w:hAnsi="宋体"/>
          <w:color w:val="000000"/>
          <w:szCs w:val="21"/>
        </w:rPr>
        <w:t>16.3在磋商过程中，磋商小组可以根据磋商文件和磋商情况实质性变动招标需求中的技术、服务要求以及合同草案条款，但不得变动磋商文件中的其他内容。实质性变动的内容，须经采购人代表确认。</w:t>
      </w:r>
    </w:p>
    <w:p w14:paraId="0BE4265E">
      <w:pPr>
        <w:widowControl/>
        <w:spacing w:line="360" w:lineRule="auto"/>
        <w:ind w:firstLine="480"/>
        <w:rPr>
          <w:rFonts w:ascii="宋体" w:hAnsi="宋体" w:cs="宋体"/>
          <w:b/>
          <w:bCs/>
          <w:kern w:val="0"/>
          <w:szCs w:val="21"/>
          <w:lang w:bidi="ar"/>
        </w:rPr>
      </w:pPr>
      <w:r>
        <w:rPr>
          <w:rFonts w:hint="eastAsia" w:ascii="宋体" w:hAnsi="宋体" w:cs="宋体"/>
          <w:kern w:val="0"/>
          <w:szCs w:val="21"/>
          <w:lang w:bidi="ar"/>
        </w:rPr>
        <w:t>16.4各供应商进行报价：</w:t>
      </w:r>
      <w:r>
        <w:rPr>
          <w:rFonts w:hint="eastAsia" w:ascii="宋体" w:hAnsi="宋体" w:cs="宋体"/>
          <w:b/>
          <w:bCs/>
          <w:kern w:val="0"/>
          <w:szCs w:val="21"/>
          <w:lang w:bidi="ar"/>
        </w:rPr>
        <w:t>（本项目进行二次报价，二次报价不能高于上次报价，高于上次报价视为无效标）</w:t>
      </w:r>
    </w:p>
    <w:p w14:paraId="70E4ACAD">
      <w:pPr>
        <w:widowControl/>
        <w:spacing w:line="360" w:lineRule="auto"/>
        <w:ind w:firstLine="480"/>
        <w:rPr>
          <w:rFonts w:ascii="宋体" w:hAnsi="宋体" w:cs="宋体"/>
          <w:kern w:val="0"/>
          <w:szCs w:val="21"/>
          <w:lang w:bidi="ar"/>
        </w:rPr>
      </w:pPr>
      <w:r>
        <w:rPr>
          <w:rFonts w:hint="eastAsia" w:ascii="宋体" w:hAnsi="宋体" w:cs="宋体"/>
          <w:kern w:val="0"/>
          <w:szCs w:val="21"/>
          <w:lang w:bidi="ar"/>
        </w:rPr>
        <w:t>16.5由磋商小组采用综合评分法对提交最后报价的供应商的响应文件和最后报价进行综合评分。</w:t>
      </w:r>
    </w:p>
    <w:p w14:paraId="3AB351A6">
      <w:pPr>
        <w:widowControl/>
        <w:spacing w:line="360" w:lineRule="auto"/>
        <w:ind w:firstLine="480"/>
        <w:rPr>
          <w:rFonts w:ascii="宋体" w:hAnsi="宋体" w:cs="宋体"/>
          <w:kern w:val="0"/>
          <w:szCs w:val="21"/>
          <w:lang w:bidi="ar"/>
        </w:rPr>
      </w:pPr>
      <w:r>
        <w:rPr>
          <w:rFonts w:hint="eastAsia" w:ascii="宋体" w:hAnsi="宋体" w:cs="宋体"/>
          <w:kern w:val="0"/>
          <w:szCs w:val="21"/>
          <w:lang w:bidi="ar"/>
        </w:rPr>
        <w:t>16.6出现下列情形之一的，将终止竞争性磋商釆购活动，发布项目终止公告并说明原因，重新开展采购活动：</w:t>
      </w:r>
    </w:p>
    <w:p w14:paraId="74627442">
      <w:pPr>
        <w:widowControl/>
        <w:spacing w:line="360" w:lineRule="auto"/>
        <w:ind w:firstLine="480"/>
        <w:rPr>
          <w:rFonts w:ascii="宋体" w:hAnsi="宋体" w:cs="宋体"/>
          <w:kern w:val="0"/>
          <w:szCs w:val="21"/>
          <w:lang w:bidi="ar"/>
        </w:rPr>
      </w:pPr>
      <w:r>
        <w:rPr>
          <w:rFonts w:hint="eastAsia" w:ascii="宋体" w:hAnsi="宋体" w:cs="宋体"/>
          <w:kern w:val="0"/>
          <w:szCs w:val="21"/>
          <w:lang w:bidi="ar"/>
        </w:rPr>
        <w:t>1、不符合法律、法规和竞争性磋商文件中规定的其他实质性要求的。</w:t>
      </w:r>
    </w:p>
    <w:p w14:paraId="3CECCC29">
      <w:pPr>
        <w:widowControl/>
        <w:spacing w:line="360" w:lineRule="auto"/>
        <w:ind w:firstLine="480"/>
        <w:rPr>
          <w:rFonts w:ascii="宋体" w:hAnsi="宋体" w:cs="宋体"/>
          <w:kern w:val="0"/>
          <w:szCs w:val="21"/>
          <w:lang w:bidi="ar"/>
        </w:rPr>
      </w:pPr>
      <w:r>
        <w:rPr>
          <w:rFonts w:hint="eastAsia" w:ascii="宋体" w:hAnsi="宋体" w:cs="宋体"/>
          <w:kern w:val="0"/>
          <w:szCs w:val="21"/>
          <w:lang w:bidi="ar"/>
        </w:rPr>
        <w:t>2、其他法律、法规及本竞争性磋商文件规定的属响应无效的情形。终止竞争性磋商釆购活动的条款。</w:t>
      </w:r>
    </w:p>
    <w:p w14:paraId="5B5840FE">
      <w:pPr>
        <w:widowControl/>
        <w:spacing w:line="360" w:lineRule="auto"/>
        <w:ind w:firstLine="480"/>
        <w:rPr>
          <w:rFonts w:ascii="宋体" w:hAnsi="宋体" w:cs="宋体"/>
          <w:kern w:val="0"/>
          <w:szCs w:val="21"/>
          <w:lang w:bidi="ar"/>
        </w:rPr>
      </w:pPr>
      <w:r>
        <w:rPr>
          <w:rFonts w:hint="eastAsia" w:ascii="宋体" w:hAnsi="宋体" w:cs="宋体"/>
          <w:kern w:val="0"/>
          <w:szCs w:val="21"/>
          <w:lang w:bidi="ar"/>
        </w:rPr>
        <w:t>3、因情况变化，不再符合规定的竞争性磋商釆购方式适用情形的；出现影响釆购公正的违法、违规行为的。</w:t>
      </w:r>
    </w:p>
    <w:p w14:paraId="08D335B4">
      <w:pPr>
        <w:widowControl/>
        <w:spacing w:line="360" w:lineRule="auto"/>
        <w:ind w:firstLine="480"/>
        <w:rPr>
          <w:rFonts w:ascii="宋体" w:hAnsi="宋体" w:cs="宋体"/>
          <w:kern w:val="0"/>
          <w:szCs w:val="21"/>
          <w:lang w:bidi="ar"/>
        </w:rPr>
      </w:pPr>
      <w:r>
        <w:rPr>
          <w:rFonts w:hint="eastAsia" w:ascii="宋体" w:hAnsi="宋体" w:cs="宋体"/>
          <w:kern w:val="0"/>
          <w:szCs w:val="21"/>
          <w:lang w:bidi="ar"/>
        </w:rPr>
        <w:t>4、磋商截止时间结束后参加供应商不足3家的，评审期间符合专业条件的供应商或者对磋商响应文件作出实质响应的供应商不足3家的,釆购代理机构将报请同级监督部门批准。</w:t>
      </w:r>
    </w:p>
    <w:p w14:paraId="1ACBAA73">
      <w:pPr>
        <w:widowControl/>
        <w:spacing w:line="360" w:lineRule="auto"/>
        <w:rPr>
          <w:rFonts w:ascii="宋体" w:hAnsi="宋体" w:cs="宋体"/>
          <w:b/>
          <w:kern w:val="0"/>
          <w:sz w:val="24"/>
        </w:rPr>
      </w:pPr>
      <w:r>
        <w:rPr>
          <w:rFonts w:hint="eastAsia" w:ascii="宋体" w:hAnsi="宋体" w:cs="宋体"/>
          <w:b/>
          <w:kern w:val="0"/>
          <w:sz w:val="24"/>
          <w:lang w:bidi="ar"/>
        </w:rPr>
        <w:t>17、确定成交供应商原则</w:t>
      </w:r>
    </w:p>
    <w:p w14:paraId="300B74F2">
      <w:pPr>
        <w:widowControl/>
        <w:spacing w:line="360" w:lineRule="auto"/>
        <w:ind w:firstLine="480"/>
        <w:rPr>
          <w:rFonts w:ascii="宋体" w:hAnsi="宋体" w:cs="宋体"/>
          <w:kern w:val="0"/>
          <w:szCs w:val="21"/>
          <w:lang w:bidi="ar"/>
        </w:rPr>
      </w:pPr>
      <w:r>
        <w:rPr>
          <w:rFonts w:hint="eastAsia" w:ascii="宋体" w:hAnsi="宋体" w:cs="宋体"/>
          <w:kern w:val="0"/>
          <w:szCs w:val="21"/>
          <w:lang w:bidi="ar"/>
        </w:rPr>
        <w:t>17.1确定实质上响应磋商文件且满足条件者为成交候选人。采用综合评分法，按评审后得分由高到低顺序排列；得分相同的，按最终报价由低到高顺序排列；得分与最终报价均相同的，按技术指标优劣排列。</w:t>
      </w:r>
    </w:p>
    <w:p w14:paraId="0E42FEB6">
      <w:pPr>
        <w:widowControl/>
        <w:spacing w:line="360" w:lineRule="auto"/>
        <w:ind w:firstLine="480"/>
        <w:rPr>
          <w:rFonts w:ascii="宋体" w:hAnsi="宋体" w:cs="宋体"/>
          <w:kern w:val="0"/>
          <w:sz w:val="24"/>
          <w:lang w:bidi="ar"/>
        </w:rPr>
      </w:pPr>
      <w:r>
        <w:rPr>
          <w:rFonts w:hint="eastAsia" w:ascii="宋体" w:hAnsi="宋体" w:cs="宋体"/>
          <w:kern w:val="0"/>
          <w:szCs w:val="21"/>
          <w:lang w:bidi="ar"/>
        </w:rPr>
        <w:t>17.2磋商小组将根据评审标准原则上推荐3名成交候选人并排序。并向采购人提供书面评审报告。</w:t>
      </w:r>
    </w:p>
    <w:p w14:paraId="2C5E9752">
      <w:pPr>
        <w:widowControl/>
        <w:spacing w:line="360" w:lineRule="auto"/>
        <w:rPr>
          <w:rFonts w:ascii="宋体" w:hAnsi="宋体" w:cs="宋体"/>
          <w:b/>
          <w:kern w:val="0"/>
          <w:sz w:val="24"/>
          <w:lang w:bidi="ar"/>
        </w:rPr>
      </w:pPr>
      <w:r>
        <w:rPr>
          <w:rFonts w:hint="eastAsia" w:ascii="宋体" w:hAnsi="宋体" w:cs="宋体"/>
          <w:b/>
          <w:kern w:val="0"/>
          <w:sz w:val="24"/>
          <w:lang w:bidi="ar"/>
        </w:rPr>
        <w:t>18、成交公告与成交通知书</w:t>
      </w:r>
    </w:p>
    <w:p w14:paraId="6DE047B4">
      <w:pPr>
        <w:widowControl/>
        <w:spacing w:line="360" w:lineRule="auto"/>
        <w:ind w:firstLine="411" w:firstLineChars="196"/>
        <w:rPr>
          <w:rFonts w:ascii="宋体" w:hAnsi="宋体" w:cs="宋体"/>
          <w:kern w:val="0"/>
          <w:szCs w:val="21"/>
          <w:lang w:bidi="ar"/>
        </w:rPr>
      </w:pPr>
      <w:r>
        <w:rPr>
          <w:rFonts w:hint="eastAsia" w:ascii="宋体" w:hAnsi="宋体" w:cs="宋体"/>
          <w:kern w:val="0"/>
          <w:szCs w:val="21"/>
          <w:lang w:bidi="ar"/>
        </w:rPr>
        <w:t>18.1采购人或者采购代理机构应当自成交供应商确定之日起2个工作日内，在相关媒体上发布成交公告，公告期限为1个工作日。</w:t>
      </w:r>
    </w:p>
    <w:p w14:paraId="594C1F07">
      <w:pPr>
        <w:widowControl/>
        <w:spacing w:line="360" w:lineRule="auto"/>
        <w:ind w:firstLine="411" w:firstLineChars="196"/>
        <w:rPr>
          <w:rFonts w:ascii="宋体" w:hAnsi="宋体" w:cs="宋体"/>
          <w:kern w:val="0"/>
          <w:szCs w:val="21"/>
          <w:lang w:bidi="ar"/>
        </w:rPr>
      </w:pPr>
      <w:r>
        <w:rPr>
          <w:rFonts w:hint="eastAsia" w:ascii="宋体" w:hAnsi="宋体" w:cs="宋体"/>
          <w:kern w:val="0"/>
          <w:szCs w:val="21"/>
          <w:lang w:bidi="ar"/>
        </w:rPr>
        <w:t>18.2成交供应商确定后，采购人向成交供应商签发《成交通知书》。</w:t>
      </w:r>
    </w:p>
    <w:p w14:paraId="000DF2F5">
      <w:pPr>
        <w:widowControl/>
        <w:spacing w:line="360" w:lineRule="auto"/>
        <w:ind w:firstLine="411" w:firstLineChars="196"/>
        <w:rPr>
          <w:rFonts w:ascii="宋体" w:hAnsi="宋体" w:cs="宋体"/>
          <w:kern w:val="0"/>
          <w:szCs w:val="21"/>
          <w:lang w:bidi="ar"/>
        </w:rPr>
      </w:pPr>
      <w:r>
        <w:rPr>
          <w:rFonts w:hint="eastAsia" w:ascii="宋体" w:hAnsi="宋体" w:cs="宋体"/>
          <w:kern w:val="0"/>
          <w:szCs w:val="21"/>
          <w:lang w:bidi="ar"/>
        </w:rPr>
        <w:t>18.3《成交通知书》作为签订合同的依据，对采购人和成交供应商均具有法律效力，成交通知书发出后，采购人改变成交结果或者成交供应商放弃项目，应依法承担法律责任。</w:t>
      </w:r>
    </w:p>
    <w:p w14:paraId="288AEE19">
      <w:pPr>
        <w:widowControl/>
        <w:spacing w:line="360" w:lineRule="auto"/>
        <w:ind w:firstLine="411" w:firstLineChars="196"/>
        <w:rPr>
          <w:rFonts w:ascii="宋体" w:hAnsi="宋体" w:cs="宋体"/>
          <w:kern w:val="0"/>
          <w:szCs w:val="21"/>
          <w:lang w:bidi="ar"/>
        </w:rPr>
      </w:pPr>
      <w:r>
        <w:rPr>
          <w:rFonts w:hint="eastAsia" w:ascii="宋体" w:hAnsi="宋体" w:cs="宋体"/>
          <w:kern w:val="0"/>
          <w:szCs w:val="21"/>
          <w:lang w:bidi="ar"/>
        </w:rPr>
        <w:t>18.4成交通知书、竞争性磋商文件、成交供应商的响应文件及澄清文件将作为签订合同的依据。</w:t>
      </w:r>
    </w:p>
    <w:p w14:paraId="18D76C29">
      <w:pPr>
        <w:widowControl/>
        <w:spacing w:line="360" w:lineRule="auto"/>
        <w:rPr>
          <w:rFonts w:ascii="宋体" w:hAnsi="宋体" w:cs="宋体"/>
          <w:b/>
          <w:kern w:val="0"/>
          <w:sz w:val="24"/>
        </w:rPr>
      </w:pPr>
      <w:r>
        <w:rPr>
          <w:rFonts w:hint="eastAsia" w:ascii="宋体" w:hAnsi="宋体" w:cs="宋体"/>
          <w:b/>
          <w:kern w:val="0"/>
          <w:sz w:val="24"/>
          <w:lang w:bidi="ar"/>
        </w:rPr>
        <w:t>19、授予合同时变更数量的权力</w:t>
      </w:r>
    </w:p>
    <w:p w14:paraId="1F4D2E40">
      <w:pPr>
        <w:widowControl/>
        <w:spacing w:line="360" w:lineRule="auto"/>
        <w:ind w:firstLine="480"/>
        <w:rPr>
          <w:rFonts w:ascii="宋体" w:hAnsi="宋体" w:cs="宋体"/>
          <w:kern w:val="0"/>
          <w:szCs w:val="21"/>
        </w:rPr>
      </w:pPr>
      <w:r>
        <w:rPr>
          <w:rFonts w:hint="eastAsia" w:ascii="宋体" w:hAnsi="宋体" w:cs="宋体"/>
          <w:kern w:val="0"/>
          <w:szCs w:val="21"/>
          <w:lang w:bidi="ar"/>
        </w:rPr>
        <w:t>采购人在授予合同时，保留对货物数量予以适当增减的权利。供应商不得在此情况下对响应文件作出修改，如价格、完成期限、售后服务等。</w:t>
      </w:r>
    </w:p>
    <w:p w14:paraId="51A4BA65">
      <w:pPr>
        <w:widowControl/>
        <w:spacing w:line="360" w:lineRule="auto"/>
        <w:rPr>
          <w:rFonts w:ascii="宋体" w:hAnsi="宋体" w:cs="宋体"/>
          <w:b/>
          <w:kern w:val="0"/>
          <w:sz w:val="24"/>
        </w:rPr>
      </w:pPr>
      <w:r>
        <w:rPr>
          <w:rFonts w:hint="eastAsia" w:ascii="宋体" w:hAnsi="宋体" w:cs="宋体"/>
          <w:b/>
          <w:kern w:val="0"/>
          <w:sz w:val="24"/>
          <w:lang w:bidi="ar"/>
        </w:rPr>
        <w:t>20、签定合同</w:t>
      </w:r>
    </w:p>
    <w:p w14:paraId="05124F38">
      <w:pPr>
        <w:widowControl/>
        <w:spacing w:line="360" w:lineRule="auto"/>
        <w:ind w:firstLine="499"/>
        <w:rPr>
          <w:rFonts w:ascii="宋体" w:hAnsi="宋体" w:cs="宋体"/>
          <w:kern w:val="0"/>
          <w:szCs w:val="21"/>
          <w:lang w:bidi="ar"/>
        </w:rPr>
      </w:pPr>
      <w:r>
        <w:rPr>
          <w:rFonts w:hint="eastAsia" w:ascii="宋体" w:hAnsi="宋体" w:cs="宋体"/>
          <w:kern w:val="0"/>
          <w:szCs w:val="21"/>
          <w:lang w:bidi="ar"/>
        </w:rPr>
        <w:t>20.1成交供应商在收到</w:t>
      </w:r>
      <w:r>
        <w:rPr>
          <w:rFonts w:hint="eastAsia" w:ascii="宋体" w:hAnsi="宋体"/>
          <w:kern w:val="0"/>
          <w:szCs w:val="21"/>
        </w:rPr>
        <w:t>成交</w:t>
      </w:r>
      <w:r>
        <w:rPr>
          <w:rFonts w:ascii="宋体" w:hAnsi="宋体"/>
          <w:kern w:val="0"/>
          <w:szCs w:val="21"/>
        </w:rPr>
        <w:t>通知书后</w:t>
      </w:r>
      <w:r>
        <w:rPr>
          <w:rFonts w:hint="eastAsia" w:ascii="宋体" w:hAnsi="宋体"/>
          <w:kern w:val="0"/>
          <w:szCs w:val="21"/>
        </w:rPr>
        <w:t>2个工作日内应与采购人签订合同</w:t>
      </w:r>
    </w:p>
    <w:p w14:paraId="0C626D0C">
      <w:pPr>
        <w:widowControl/>
        <w:spacing w:line="360" w:lineRule="auto"/>
        <w:ind w:firstLine="499"/>
        <w:rPr>
          <w:rFonts w:ascii="宋体" w:hAnsi="宋体" w:cs="宋体"/>
          <w:kern w:val="0"/>
          <w:szCs w:val="21"/>
          <w:lang w:bidi="ar"/>
        </w:rPr>
      </w:pPr>
      <w:r>
        <w:rPr>
          <w:rFonts w:hint="eastAsia" w:ascii="宋体" w:hAnsi="宋体" w:cs="宋体"/>
          <w:kern w:val="0"/>
          <w:szCs w:val="21"/>
          <w:lang w:bidi="ar"/>
        </w:rPr>
        <w:t>20.2竞争性磋商文件、成交供应商的响应文件及其澄清文件等，均为签定合同的依据。</w:t>
      </w:r>
    </w:p>
    <w:p w14:paraId="6DB7EA23">
      <w:pPr>
        <w:widowControl/>
        <w:spacing w:line="360" w:lineRule="auto"/>
        <w:ind w:firstLine="499"/>
        <w:rPr>
          <w:rFonts w:ascii="宋体" w:hAnsi="宋体" w:cs="宋体"/>
          <w:kern w:val="0"/>
          <w:szCs w:val="21"/>
          <w:lang w:bidi="ar"/>
        </w:rPr>
      </w:pPr>
      <w:r>
        <w:rPr>
          <w:rFonts w:hint="eastAsia" w:ascii="宋体" w:hAnsi="宋体" w:cs="宋体"/>
          <w:kern w:val="0"/>
          <w:szCs w:val="21"/>
          <w:lang w:bidi="ar"/>
        </w:rPr>
        <w:t>20.3如成交供应商拒签合同，给采购人造成损失的，向采购人缴纳不高于成交价2%的经济补偿，同时依法承担相应法律责任。</w:t>
      </w:r>
    </w:p>
    <w:p w14:paraId="679F38F2">
      <w:pPr>
        <w:widowControl/>
        <w:spacing w:line="360" w:lineRule="auto"/>
        <w:ind w:firstLine="499"/>
        <w:rPr>
          <w:rFonts w:ascii="宋体" w:hAnsi="宋体" w:cs="宋体"/>
          <w:kern w:val="0"/>
          <w:szCs w:val="21"/>
          <w:lang w:bidi="ar"/>
        </w:rPr>
      </w:pPr>
      <w:r>
        <w:rPr>
          <w:rFonts w:hint="eastAsia" w:ascii="宋体" w:hAnsi="宋体" w:cs="宋体"/>
          <w:kern w:val="0"/>
          <w:szCs w:val="21"/>
          <w:lang w:bidi="ar"/>
        </w:rPr>
        <w:t>20.4采购人或采购代理机构应于合同签订后1个工作日内在河南省政府采购网公示及河南省电子化政府采购系统内备案采购。</w:t>
      </w:r>
    </w:p>
    <w:p w14:paraId="11AD10C7">
      <w:pPr>
        <w:pStyle w:val="12"/>
        <w:spacing w:line="360" w:lineRule="auto"/>
        <w:ind w:firstLine="241"/>
        <w:rPr>
          <w:rFonts w:hAnsi="宋体" w:cs="宋体"/>
          <w:kern w:val="0"/>
          <w:sz w:val="24"/>
          <w:lang w:bidi="ar"/>
        </w:rPr>
      </w:pPr>
      <w:r>
        <w:rPr>
          <w:rFonts w:hint="eastAsia" w:hAnsi="宋体" w:cs="宋体"/>
          <w:kern w:val="0"/>
          <w:sz w:val="24"/>
          <w:lang w:bidi="ar"/>
        </w:rPr>
        <w:t>21、履约保证金</w:t>
      </w:r>
    </w:p>
    <w:p w14:paraId="7910E1BB">
      <w:pPr>
        <w:pStyle w:val="12"/>
        <w:spacing w:line="360" w:lineRule="auto"/>
        <w:ind w:firstLine="210"/>
        <w:rPr>
          <w:rFonts w:hAnsi="宋体" w:cs="宋体"/>
          <w:b w:val="0"/>
          <w:bCs/>
          <w:kern w:val="0"/>
          <w:szCs w:val="21"/>
          <w:lang w:bidi="ar"/>
        </w:rPr>
      </w:pPr>
      <w:r>
        <w:rPr>
          <w:rFonts w:hint="eastAsia" w:hAnsi="宋体" w:cs="宋体"/>
          <w:b w:val="0"/>
          <w:bCs/>
          <w:kern w:val="0"/>
          <w:szCs w:val="21"/>
          <w:lang w:bidi="ar"/>
        </w:rPr>
        <w:t>21.1本项目不收取履约保证金。</w:t>
      </w:r>
    </w:p>
    <w:p w14:paraId="7FAA82BA">
      <w:pPr>
        <w:pStyle w:val="12"/>
        <w:spacing w:line="360" w:lineRule="auto"/>
        <w:ind w:firstLine="241"/>
        <w:rPr>
          <w:rFonts w:hAnsi="宋体" w:cs="宋体"/>
          <w:kern w:val="0"/>
          <w:sz w:val="24"/>
          <w:lang w:bidi="ar"/>
        </w:rPr>
      </w:pPr>
      <w:r>
        <w:rPr>
          <w:rFonts w:hint="eastAsia" w:hAnsi="宋体" w:cs="宋体"/>
          <w:kern w:val="0"/>
          <w:sz w:val="24"/>
          <w:lang w:bidi="ar"/>
        </w:rPr>
        <w:t>22、 重新招标</w:t>
      </w:r>
    </w:p>
    <w:p w14:paraId="779B0315">
      <w:pPr>
        <w:pStyle w:val="5"/>
        <w:ind w:left="0" w:leftChars="0" w:firstLine="210" w:firstLineChars="100"/>
        <w:jc w:val="both"/>
        <w:rPr>
          <w:rFonts w:ascii="宋体" w:hAnsi="宋体" w:eastAsia="宋体" w:cs="宋体"/>
          <w:kern w:val="0"/>
          <w:lang w:bidi="ar"/>
        </w:rPr>
      </w:pPr>
      <w:r>
        <w:rPr>
          <w:rFonts w:hint="eastAsia" w:ascii="宋体" w:hAnsi="宋体" w:eastAsia="宋体" w:cs="宋体"/>
          <w:kern w:val="0"/>
          <w:lang w:bidi="ar"/>
        </w:rPr>
        <w:t>22.1重新招标</w:t>
      </w:r>
    </w:p>
    <w:p w14:paraId="591AD9F0">
      <w:pPr>
        <w:pStyle w:val="5"/>
        <w:ind w:left="0" w:leftChars="0" w:firstLine="0" w:firstLineChars="0"/>
        <w:jc w:val="both"/>
        <w:rPr>
          <w:rFonts w:ascii="宋体" w:hAnsi="宋体" w:eastAsia="宋体" w:cs="宋体"/>
          <w:kern w:val="0"/>
          <w:lang w:bidi="ar"/>
        </w:rPr>
      </w:pPr>
      <w:r>
        <w:rPr>
          <w:rFonts w:hint="eastAsia" w:ascii="宋体" w:hAnsi="宋体" w:eastAsia="宋体" w:cs="宋体"/>
          <w:kern w:val="0"/>
          <w:lang w:bidi="ar"/>
        </w:rPr>
        <w:t>（1）投标截止时间止，供应商少于3个的；</w:t>
      </w:r>
    </w:p>
    <w:p w14:paraId="634CD773">
      <w:pPr>
        <w:pStyle w:val="5"/>
        <w:ind w:left="0" w:leftChars="0" w:firstLine="0" w:firstLineChars="0"/>
        <w:jc w:val="both"/>
        <w:rPr>
          <w:rFonts w:ascii="宋体" w:hAnsi="宋体" w:eastAsia="宋体" w:cs="宋体"/>
          <w:kern w:val="0"/>
          <w:lang w:bidi="ar"/>
        </w:rPr>
      </w:pPr>
      <w:r>
        <w:rPr>
          <w:rFonts w:hint="eastAsia" w:ascii="宋体" w:hAnsi="宋体" w:eastAsia="宋体" w:cs="宋体"/>
          <w:kern w:val="0"/>
          <w:lang w:bidi="ar"/>
        </w:rPr>
        <w:t>（2）若响应文件解密后，有效电子响应文件不足三家的，本项目应予废标。</w:t>
      </w:r>
    </w:p>
    <w:p w14:paraId="2702741B">
      <w:pPr>
        <w:pStyle w:val="5"/>
        <w:ind w:left="0" w:leftChars="0" w:firstLine="0" w:firstLineChars="0"/>
        <w:jc w:val="both"/>
        <w:rPr>
          <w:rFonts w:ascii="宋体" w:hAnsi="宋体" w:eastAsia="宋体" w:cs="宋体"/>
          <w:kern w:val="0"/>
          <w:lang w:bidi="ar"/>
        </w:rPr>
      </w:pPr>
      <w:r>
        <w:rPr>
          <w:rFonts w:hint="eastAsia" w:ascii="宋体" w:hAnsi="宋体" w:eastAsia="宋体" w:cs="宋体"/>
          <w:kern w:val="0"/>
          <w:lang w:bidi="ar"/>
        </w:rPr>
        <w:t>（3）经评标委员会评审后否决所有投标的。</w:t>
      </w:r>
    </w:p>
    <w:p w14:paraId="58CCEE4E">
      <w:pPr>
        <w:pStyle w:val="5"/>
        <w:ind w:left="0" w:leftChars="0" w:firstLine="241" w:firstLineChars="100"/>
        <w:jc w:val="both"/>
        <w:rPr>
          <w:rFonts w:ascii="宋体" w:hAnsi="宋体" w:eastAsia="宋体" w:cs="宋体"/>
          <w:b/>
          <w:kern w:val="0"/>
          <w:sz w:val="24"/>
          <w:szCs w:val="24"/>
          <w:lang w:bidi="ar"/>
        </w:rPr>
      </w:pPr>
      <w:r>
        <w:rPr>
          <w:rFonts w:hint="eastAsia" w:ascii="宋体" w:hAnsi="宋体" w:eastAsia="宋体" w:cs="宋体"/>
          <w:b/>
          <w:kern w:val="0"/>
          <w:sz w:val="24"/>
          <w:szCs w:val="24"/>
          <w:lang w:bidi="ar"/>
        </w:rPr>
        <w:t>23、纪律和监督</w:t>
      </w:r>
    </w:p>
    <w:p w14:paraId="2A22E41D">
      <w:pPr>
        <w:pStyle w:val="5"/>
        <w:ind w:left="0" w:leftChars="0" w:firstLine="210" w:firstLineChars="100"/>
        <w:jc w:val="both"/>
        <w:rPr>
          <w:rFonts w:ascii="宋体" w:hAnsi="宋体" w:eastAsia="宋体" w:cs="宋体"/>
          <w:kern w:val="0"/>
          <w:lang w:bidi="ar"/>
        </w:rPr>
      </w:pPr>
      <w:r>
        <w:rPr>
          <w:rFonts w:hint="eastAsia" w:ascii="宋体" w:hAnsi="宋体" w:eastAsia="宋体" w:cs="宋体"/>
          <w:kern w:val="0"/>
          <w:lang w:bidi="ar"/>
        </w:rPr>
        <w:t>23.1对采购人的纪律要求</w:t>
      </w:r>
    </w:p>
    <w:p w14:paraId="1D8F12E1">
      <w:pPr>
        <w:pStyle w:val="5"/>
        <w:ind w:left="0" w:leftChars="0" w:firstLine="210" w:firstLineChars="100"/>
        <w:jc w:val="both"/>
        <w:rPr>
          <w:rFonts w:ascii="宋体" w:hAnsi="宋体" w:eastAsia="宋体" w:cs="宋体"/>
          <w:kern w:val="0"/>
          <w:lang w:bidi="ar"/>
        </w:rPr>
      </w:pPr>
      <w:r>
        <w:rPr>
          <w:rFonts w:hint="eastAsia" w:ascii="宋体" w:hAnsi="宋体" w:eastAsia="宋体" w:cs="宋体"/>
          <w:kern w:val="0"/>
          <w:lang w:bidi="ar"/>
        </w:rPr>
        <w:t>采购人不得泄漏招标投标活动中应当保密的情况和资料，不得与供应商串通损害国家利益、社会公共利益或者他人合法权益。</w:t>
      </w:r>
    </w:p>
    <w:p w14:paraId="6985DA21">
      <w:pPr>
        <w:pStyle w:val="5"/>
        <w:ind w:left="0" w:leftChars="0" w:firstLine="210" w:firstLineChars="100"/>
        <w:jc w:val="both"/>
        <w:rPr>
          <w:rFonts w:ascii="宋体" w:hAnsi="宋体" w:eastAsia="宋体" w:cs="宋体"/>
          <w:kern w:val="0"/>
          <w:lang w:bidi="ar"/>
        </w:rPr>
      </w:pPr>
      <w:r>
        <w:rPr>
          <w:rFonts w:hint="eastAsia" w:ascii="宋体" w:hAnsi="宋体" w:eastAsia="宋体" w:cs="宋体"/>
          <w:kern w:val="0"/>
          <w:lang w:bidi="ar"/>
        </w:rPr>
        <w:t>23.2对供应商的纪律要求</w:t>
      </w:r>
    </w:p>
    <w:p w14:paraId="27F7E347">
      <w:pPr>
        <w:pStyle w:val="5"/>
        <w:ind w:left="0" w:leftChars="0" w:firstLine="210" w:firstLineChars="100"/>
        <w:jc w:val="both"/>
        <w:rPr>
          <w:rFonts w:ascii="宋体" w:hAnsi="宋体" w:eastAsia="宋体" w:cs="宋体"/>
          <w:kern w:val="0"/>
          <w:lang w:bidi="ar"/>
        </w:rPr>
      </w:pPr>
      <w:r>
        <w:rPr>
          <w:rFonts w:hint="eastAsia" w:ascii="宋体" w:hAnsi="宋体" w:eastAsia="宋体" w:cs="宋体"/>
          <w:kern w:val="0"/>
          <w:lang w:bidi="ar"/>
        </w:rPr>
        <w:t>供应商不得相互串通投标或者与采购人串通投标，不得向采购人或者评标委员会成员行贿谋取供应商，不得以他人名义投标或者以其他方式弄虚作假骗取供应商；供应商不得以任何方式干扰、影响评标工作。</w:t>
      </w:r>
    </w:p>
    <w:p w14:paraId="1B0BAC3A">
      <w:pPr>
        <w:pStyle w:val="5"/>
        <w:ind w:left="0" w:leftChars="0" w:firstLine="210" w:firstLineChars="100"/>
        <w:jc w:val="both"/>
        <w:rPr>
          <w:rFonts w:ascii="宋体" w:hAnsi="宋体" w:eastAsia="宋体" w:cs="宋体"/>
          <w:kern w:val="0"/>
          <w:lang w:bidi="ar"/>
        </w:rPr>
      </w:pPr>
      <w:r>
        <w:rPr>
          <w:rFonts w:hint="eastAsia" w:ascii="宋体" w:hAnsi="宋体" w:eastAsia="宋体" w:cs="宋体"/>
          <w:kern w:val="0"/>
          <w:lang w:bidi="ar"/>
        </w:rPr>
        <w:t>23.3对评标委员会成员的纪律要求</w:t>
      </w:r>
    </w:p>
    <w:p w14:paraId="38A79F82">
      <w:pPr>
        <w:pStyle w:val="5"/>
        <w:ind w:left="0" w:leftChars="0" w:firstLine="210" w:firstLineChars="100"/>
        <w:jc w:val="both"/>
        <w:rPr>
          <w:rFonts w:ascii="宋体" w:hAnsi="宋体" w:eastAsia="宋体" w:cs="宋体"/>
          <w:kern w:val="0"/>
          <w:lang w:bidi="ar"/>
        </w:rPr>
      </w:pPr>
      <w:r>
        <w:rPr>
          <w:rFonts w:hint="eastAsia" w:ascii="宋体" w:hAnsi="宋体" w:eastAsia="宋体" w:cs="宋体"/>
          <w:kern w:val="0"/>
          <w:lang w:bidi="ar"/>
        </w:rPr>
        <w:t>评标委员会成员不得收受他人的财物或者其他好处，不得向他人透漏对响应文件的评审和比较、成交候选人的推荐情况以及评标有关的其他情况。在评标活动中，评标委员会成员不得擅离职守，影响评标程序正常进行，不得使用第四章“评标办法”没有规定的评审因素和标准进行评标。</w:t>
      </w:r>
    </w:p>
    <w:p w14:paraId="3F6D6004">
      <w:pPr>
        <w:pStyle w:val="5"/>
        <w:ind w:left="0" w:leftChars="0" w:firstLine="210" w:firstLineChars="100"/>
        <w:jc w:val="both"/>
        <w:rPr>
          <w:rFonts w:ascii="宋体" w:hAnsi="宋体" w:eastAsia="宋体" w:cs="宋体"/>
          <w:kern w:val="0"/>
          <w:lang w:bidi="ar"/>
        </w:rPr>
      </w:pPr>
      <w:r>
        <w:rPr>
          <w:rFonts w:hint="eastAsia" w:ascii="宋体" w:hAnsi="宋体" w:eastAsia="宋体" w:cs="宋体"/>
          <w:kern w:val="0"/>
          <w:lang w:bidi="ar"/>
        </w:rPr>
        <w:t>23.4对与评标活动有关的工作人员的纪律要求</w:t>
      </w:r>
    </w:p>
    <w:p w14:paraId="3C0E5A20">
      <w:pPr>
        <w:pStyle w:val="5"/>
        <w:ind w:left="0" w:leftChars="0" w:firstLine="210" w:firstLineChars="100"/>
        <w:jc w:val="both"/>
        <w:rPr>
          <w:rFonts w:ascii="宋体" w:hAnsi="宋体" w:eastAsia="宋体" w:cs="宋体"/>
          <w:kern w:val="0"/>
          <w:lang w:bidi="ar"/>
        </w:rPr>
      </w:pPr>
      <w:r>
        <w:rPr>
          <w:rFonts w:hint="eastAsia" w:ascii="宋体" w:hAnsi="宋体" w:eastAsia="宋体" w:cs="宋体"/>
          <w:kern w:val="0"/>
          <w:lang w:bidi="ar"/>
        </w:rPr>
        <w:t>与评标活动有关的工作人员不得收受他人的财物或者其他好处，不得向他人透漏对响应文件的评审和比较、供应商候选人的推荐情况以及评标有关的其他情况。在评标活动中，与评标活动有关的工作人员不得擅离职守，影响评标程序正常进行。</w:t>
      </w:r>
    </w:p>
    <w:p w14:paraId="64F1C23A">
      <w:pPr>
        <w:pStyle w:val="5"/>
        <w:ind w:left="0" w:leftChars="0" w:firstLine="210" w:firstLineChars="100"/>
        <w:jc w:val="both"/>
        <w:rPr>
          <w:rFonts w:ascii="宋体" w:hAnsi="宋体" w:eastAsia="宋体" w:cs="宋体"/>
          <w:kern w:val="0"/>
          <w:lang w:bidi="ar"/>
        </w:rPr>
      </w:pPr>
      <w:r>
        <w:rPr>
          <w:rFonts w:hint="eastAsia" w:ascii="宋体" w:hAnsi="宋体" w:eastAsia="宋体" w:cs="宋体"/>
          <w:kern w:val="0"/>
          <w:lang w:bidi="ar"/>
        </w:rPr>
        <w:t>23.5投诉</w:t>
      </w:r>
    </w:p>
    <w:p w14:paraId="467F3A3E">
      <w:pPr>
        <w:pStyle w:val="5"/>
        <w:ind w:left="0" w:leftChars="0" w:firstLine="210" w:firstLineChars="100"/>
        <w:jc w:val="both"/>
        <w:rPr>
          <w:rFonts w:ascii="宋体" w:hAnsi="宋体" w:eastAsia="宋体" w:cs="宋体"/>
          <w:kern w:val="0"/>
          <w:lang w:bidi="ar"/>
        </w:rPr>
      </w:pPr>
      <w:r>
        <w:rPr>
          <w:rFonts w:hint="eastAsia" w:ascii="宋体" w:hAnsi="宋体" w:eastAsia="宋体" w:cs="宋体"/>
          <w:kern w:val="0"/>
          <w:lang w:bidi="ar"/>
        </w:rPr>
        <w:t>供应商和其他利害关系人认为本次招标活动违反法律、法规和规章规定的，有权向有关行政监督部门投诉。</w:t>
      </w:r>
    </w:p>
    <w:p w14:paraId="2B128CAF">
      <w:pPr>
        <w:pStyle w:val="12"/>
        <w:spacing w:line="360" w:lineRule="auto"/>
        <w:ind w:firstLine="241"/>
        <w:rPr>
          <w:rFonts w:hAnsi="宋体" w:cs="宋体"/>
          <w:kern w:val="0"/>
          <w:sz w:val="24"/>
          <w:lang w:bidi="ar"/>
        </w:rPr>
      </w:pPr>
      <w:r>
        <w:rPr>
          <w:rFonts w:hint="eastAsia" w:hAnsi="宋体" w:cs="宋体"/>
          <w:kern w:val="0"/>
          <w:sz w:val="24"/>
          <w:lang w:bidi="ar"/>
        </w:rPr>
        <w:t>24、其他</w:t>
      </w:r>
    </w:p>
    <w:p w14:paraId="783A116C">
      <w:pPr>
        <w:widowControl/>
        <w:spacing w:line="360" w:lineRule="auto"/>
        <w:ind w:firstLine="210" w:firstLineChars="100"/>
        <w:rPr>
          <w:rFonts w:ascii="宋体" w:hAnsi="宋体" w:cs="宋体"/>
          <w:kern w:val="0"/>
          <w:szCs w:val="21"/>
          <w:lang w:bidi="ar"/>
        </w:rPr>
      </w:pPr>
      <w:r>
        <w:rPr>
          <w:rFonts w:hint="eastAsia" w:ascii="宋体" w:hAnsi="宋体" w:cs="宋体"/>
          <w:kern w:val="0"/>
          <w:szCs w:val="21"/>
          <w:lang w:bidi="ar"/>
        </w:rPr>
        <w:t>24.1未尽事宜按国家有关规定执行。</w:t>
      </w:r>
    </w:p>
    <w:p w14:paraId="69A49821">
      <w:pPr>
        <w:widowControl/>
        <w:spacing w:line="360" w:lineRule="auto"/>
        <w:ind w:firstLine="210" w:firstLineChars="100"/>
        <w:rPr>
          <w:rFonts w:ascii="宋体" w:hAnsi="宋体"/>
          <w:color w:val="000000"/>
          <w:kern w:val="0"/>
          <w:sz w:val="28"/>
          <w:szCs w:val="28"/>
        </w:rPr>
        <w:sectPr>
          <w:footerReference r:id="rId3" w:type="default"/>
          <w:pgSz w:w="11906" w:h="16838"/>
          <w:pgMar w:top="1383" w:right="1463" w:bottom="1383" w:left="1463" w:header="851" w:footer="992" w:gutter="0"/>
          <w:cols w:space="720" w:num="1"/>
          <w:docGrid w:type="lines" w:linePitch="312" w:charSpace="0"/>
        </w:sectPr>
      </w:pPr>
      <w:r>
        <w:rPr>
          <w:rFonts w:hint="eastAsia" w:ascii="宋体" w:hAnsi="宋体" w:cs="宋体"/>
          <w:kern w:val="0"/>
          <w:szCs w:val="21"/>
          <w:lang w:bidi="ar"/>
        </w:rPr>
        <w:t>24.2 本磋商文件最终解释权归采购人。</w:t>
      </w:r>
    </w:p>
    <w:p w14:paraId="027BD4FF">
      <w:pPr>
        <w:jc w:val="center"/>
        <w:rPr>
          <w:sz w:val="24"/>
        </w:rPr>
      </w:pPr>
      <w:r>
        <w:rPr>
          <w:rFonts w:hint="eastAsia" w:ascii="宋体" w:hAnsi="宋体" w:cs="宋体"/>
          <w:b/>
          <w:color w:val="000000"/>
          <w:kern w:val="0"/>
          <w:sz w:val="36"/>
          <w:szCs w:val="36"/>
          <w:lang w:bidi="ar"/>
        </w:rPr>
        <w:t>第三章  采购内容及要求</w:t>
      </w:r>
    </w:p>
    <w:p w14:paraId="14D63D52">
      <w:pPr>
        <w:tabs>
          <w:tab w:val="left" w:pos="900"/>
        </w:tabs>
        <w:spacing w:line="360" w:lineRule="auto"/>
        <w:ind w:left="-128" w:leftChars="-61" w:firstLine="560"/>
        <w:rPr>
          <w:rFonts w:ascii="宋体" w:hAnsi="宋体" w:cs="宋体"/>
          <w:color w:val="000000"/>
          <w:kern w:val="0"/>
          <w:sz w:val="24"/>
        </w:rPr>
      </w:pPr>
    </w:p>
    <w:p w14:paraId="53370DFC">
      <w:pPr>
        <w:spacing w:line="360" w:lineRule="auto"/>
        <w:ind w:firstLine="560" w:firstLineChars="200"/>
        <w:rPr>
          <w:rFonts w:hint="eastAsia" w:ascii="宋体" w:hAnsi="宋体" w:cs="宋体"/>
          <w:bCs/>
          <w:sz w:val="28"/>
          <w:szCs w:val="28"/>
        </w:rPr>
      </w:pPr>
      <w:r>
        <w:rPr>
          <w:rFonts w:hint="eastAsia" w:ascii="宋体" w:hAnsi="宋体" w:cs="宋体"/>
          <w:bCs/>
          <w:sz w:val="28"/>
          <w:szCs w:val="28"/>
        </w:rPr>
        <w:t>1、项目名称：解决陕州区河道砂石资源经营权出让前期费用项目；</w:t>
      </w:r>
    </w:p>
    <w:p w14:paraId="3521EFD0">
      <w:pPr>
        <w:spacing w:line="360" w:lineRule="auto"/>
        <w:ind w:firstLine="560" w:firstLineChars="200"/>
        <w:rPr>
          <w:rFonts w:hint="eastAsia" w:ascii="宋体" w:hAnsi="宋体" w:cs="宋体"/>
          <w:bCs/>
          <w:sz w:val="28"/>
          <w:szCs w:val="28"/>
        </w:rPr>
      </w:pPr>
      <w:r>
        <w:rPr>
          <w:rFonts w:hint="eastAsia" w:ascii="宋体" w:hAnsi="宋体" w:cs="宋体"/>
          <w:bCs/>
          <w:sz w:val="28"/>
          <w:szCs w:val="28"/>
        </w:rPr>
        <w:t>一标段：《三门峡市陕州区河道采砂规划(2026-2030年)》报告编制、《三门峡市陕州区河道砂石储量调查报告》报告编制</w:t>
      </w:r>
    </w:p>
    <w:p w14:paraId="11DC5C5E">
      <w:pPr>
        <w:spacing w:line="360" w:lineRule="auto"/>
        <w:ind w:firstLine="560" w:firstLineChars="200"/>
        <w:rPr>
          <w:rFonts w:hint="eastAsia" w:ascii="宋体" w:hAnsi="宋体" w:cs="宋体"/>
          <w:bCs/>
          <w:sz w:val="28"/>
          <w:szCs w:val="28"/>
        </w:rPr>
      </w:pPr>
      <w:r>
        <w:rPr>
          <w:rFonts w:hint="eastAsia" w:ascii="宋体" w:hAnsi="宋体" w:cs="宋体"/>
          <w:bCs/>
          <w:sz w:val="28"/>
          <w:szCs w:val="28"/>
        </w:rPr>
        <w:t>二标段：河道砂石资源专业评估报告编制</w:t>
      </w:r>
    </w:p>
    <w:p w14:paraId="2E76EF93">
      <w:pPr>
        <w:spacing w:line="360" w:lineRule="auto"/>
        <w:ind w:firstLine="560" w:firstLineChars="200"/>
        <w:jc w:val="left"/>
        <w:rPr>
          <w:rFonts w:hint="eastAsia" w:ascii="宋体" w:hAnsi="宋体"/>
          <w:sz w:val="28"/>
          <w:szCs w:val="28"/>
        </w:rPr>
      </w:pPr>
      <w:r>
        <w:rPr>
          <w:rFonts w:hint="eastAsia" w:ascii="宋体" w:hAnsi="宋体" w:cs="宋体"/>
          <w:bCs/>
          <w:sz w:val="28"/>
          <w:szCs w:val="28"/>
        </w:rPr>
        <w:t>2、服务内容：</w:t>
      </w:r>
      <w:r>
        <w:rPr>
          <w:rFonts w:hint="eastAsia" w:ascii="宋体" w:hAnsi="宋体"/>
          <w:sz w:val="28"/>
          <w:szCs w:val="28"/>
        </w:rPr>
        <w:t>根据相关法律法规规定，河道采砂项目需编制砂石储量报告、河道采砂规划及评估报告，陕州区境内可采砂河道主要为青龙涧河、苍龙涧河、永昌河、渡洋河、野乔河、陈庄河、兴龙涧、漫涧河等。</w:t>
      </w:r>
    </w:p>
    <w:p w14:paraId="463EF57B">
      <w:pPr>
        <w:spacing w:line="360" w:lineRule="auto"/>
        <w:ind w:firstLine="560" w:firstLineChars="200"/>
        <w:rPr>
          <w:rFonts w:ascii="宋体" w:hAnsi="宋体" w:cs="宋体"/>
          <w:bCs/>
          <w:sz w:val="28"/>
          <w:szCs w:val="28"/>
        </w:rPr>
      </w:pPr>
      <w:r>
        <w:rPr>
          <w:rFonts w:hint="eastAsia" w:ascii="宋体" w:hAnsi="宋体" w:cs="宋体"/>
          <w:bCs/>
          <w:sz w:val="28"/>
          <w:szCs w:val="28"/>
        </w:rPr>
        <w:t>3、编制依据：</w:t>
      </w:r>
      <w:r>
        <w:rPr>
          <w:rFonts w:ascii="宋体" w:hAnsi="宋体" w:cs="宋体"/>
          <w:bCs/>
          <w:sz w:val="28"/>
          <w:szCs w:val="28"/>
        </w:rPr>
        <w:t>根据《河南省河道采砂管理办法》、《河南省水利厅关于做好河道采砂规划实施及修改报批工作的通知》（豫水管【2018】59号）、《河道采砂规划编制与实施监督管理技术规范》</w:t>
      </w:r>
      <w:r>
        <w:rPr>
          <w:rFonts w:hint="eastAsia" w:ascii="宋体" w:hAnsi="宋体" w:cs="宋体"/>
          <w:bCs/>
          <w:sz w:val="28"/>
          <w:szCs w:val="28"/>
        </w:rPr>
        <w:t>（SL/T423-2021）</w:t>
      </w:r>
      <w:r>
        <w:rPr>
          <w:rFonts w:ascii="宋体" w:hAnsi="宋体" w:cs="宋体"/>
          <w:bCs/>
          <w:sz w:val="28"/>
          <w:szCs w:val="28"/>
        </w:rPr>
        <w:t>等文件的要求</w:t>
      </w:r>
      <w:r>
        <w:rPr>
          <w:rFonts w:hint="eastAsia" w:ascii="宋体" w:hAnsi="宋体" w:cs="宋体"/>
          <w:bCs/>
          <w:sz w:val="28"/>
          <w:szCs w:val="28"/>
        </w:rPr>
        <w:t>。</w:t>
      </w:r>
    </w:p>
    <w:p w14:paraId="5701BC72">
      <w:pPr>
        <w:spacing w:line="360" w:lineRule="auto"/>
        <w:ind w:firstLine="560" w:firstLineChars="200"/>
        <w:rPr>
          <w:rFonts w:hint="eastAsia" w:ascii="宋体" w:hAnsi="宋体" w:cs="宋体"/>
          <w:bCs/>
          <w:sz w:val="28"/>
          <w:szCs w:val="28"/>
        </w:rPr>
      </w:pPr>
      <w:r>
        <w:rPr>
          <w:rFonts w:hint="eastAsia" w:ascii="宋体" w:hAnsi="宋体" w:cs="宋体"/>
          <w:bCs/>
          <w:sz w:val="28"/>
          <w:szCs w:val="28"/>
        </w:rPr>
        <w:t>4、服务期限：一标段30日历天；二标段采砂规划批复后20日历天。</w:t>
      </w:r>
    </w:p>
    <w:p w14:paraId="2F3C7095">
      <w:pPr>
        <w:ind w:firstLine="560" w:firstLineChars="200"/>
        <w:rPr>
          <w:rFonts w:ascii="Calibri" w:hAnsi="Calibri"/>
          <w:kern w:val="0"/>
          <w:sz w:val="24"/>
        </w:rPr>
      </w:pPr>
      <w:r>
        <w:rPr>
          <w:rFonts w:hint="eastAsia" w:ascii="宋体" w:hAnsi="宋体" w:cs="宋体"/>
          <w:bCs/>
          <w:sz w:val="28"/>
          <w:szCs w:val="28"/>
        </w:rPr>
        <w:t>5、质量要求：符合国家、行业、地方规范和法规的要求，并通过专家评审；</w:t>
      </w:r>
    </w:p>
    <w:p w14:paraId="6183E76D">
      <w:pPr>
        <w:ind w:firstLine="480" w:firstLineChars="200"/>
        <w:rPr>
          <w:rFonts w:asciiTheme="minorHAnsi" w:hAnsiTheme="minorHAnsi" w:eastAsiaTheme="minorEastAsia" w:cstheme="minorBidi"/>
          <w:sz w:val="24"/>
          <w:szCs w:val="32"/>
        </w:rPr>
      </w:pPr>
    </w:p>
    <w:p w14:paraId="546C6F74"/>
    <w:p w14:paraId="3A2F0593">
      <w:pPr>
        <w:sectPr>
          <w:pgSz w:w="11910" w:h="16840"/>
          <w:pgMar w:top="1380" w:right="1680" w:bottom="1200" w:left="1680" w:header="0" w:footer="1006" w:gutter="0"/>
          <w:cols w:space="720" w:num="1"/>
        </w:sectPr>
      </w:pPr>
    </w:p>
    <w:p w14:paraId="6D956716">
      <w:pPr>
        <w:jc w:val="center"/>
        <w:rPr>
          <w:rFonts w:ascii="宋体" w:hAnsi="宋体" w:cs="宋体"/>
          <w:b/>
          <w:color w:val="000000"/>
          <w:kern w:val="0"/>
          <w:sz w:val="36"/>
          <w:szCs w:val="36"/>
          <w:lang w:bidi="ar"/>
        </w:rPr>
      </w:pPr>
      <w:r>
        <w:rPr>
          <w:rFonts w:hint="eastAsia" w:ascii="宋体" w:hAnsi="宋体" w:cs="宋体"/>
          <w:b/>
          <w:color w:val="000000"/>
          <w:kern w:val="0"/>
          <w:sz w:val="36"/>
          <w:szCs w:val="36"/>
          <w:lang w:bidi="ar"/>
        </w:rPr>
        <w:t>第四章  评标办法</w:t>
      </w:r>
    </w:p>
    <w:p w14:paraId="1ED65578">
      <w:pPr>
        <w:spacing w:line="360" w:lineRule="auto"/>
        <w:ind w:left="718"/>
        <w:rPr>
          <w:b/>
          <w:sz w:val="28"/>
          <w:szCs w:val="28"/>
        </w:rPr>
      </w:pPr>
      <w:r>
        <w:rPr>
          <w:b/>
          <w:sz w:val="28"/>
          <w:szCs w:val="28"/>
        </w:rPr>
        <w:t>一、磋商方法</w:t>
      </w:r>
      <w:r>
        <w:rPr>
          <w:b/>
          <w:w w:val="99"/>
          <w:sz w:val="28"/>
          <w:szCs w:val="28"/>
        </w:rPr>
        <w:t xml:space="preserve"> </w:t>
      </w:r>
    </w:p>
    <w:p w14:paraId="5A3160EE">
      <w:pPr>
        <w:spacing w:line="360" w:lineRule="auto"/>
        <w:ind w:firstLine="480" w:firstLineChars="200"/>
        <w:rPr>
          <w:rFonts w:ascii="宋体" w:hAnsi="宋体"/>
          <w:sz w:val="24"/>
        </w:rPr>
      </w:pPr>
      <w:r>
        <w:rPr>
          <w:rFonts w:ascii="宋体" w:hAnsi="宋体"/>
          <w:sz w:val="24"/>
        </w:rPr>
        <w:t>本次磋商采用综合评</w:t>
      </w:r>
      <w:r>
        <w:rPr>
          <w:rFonts w:hint="eastAsia" w:ascii="宋体" w:hAnsi="宋体"/>
          <w:sz w:val="24"/>
        </w:rPr>
        <w:t>分</w:t>
      </w:r>
      <w:r>
        <w:rPr>
          <w:rFonts w:ascii="宋体" w:hAnsi="宋体"/>
          <w:sz w:val="24"/>
        </w:rPr>
        <w:t>法。磋商小组对满足</w:t>
      </w:r>
      <w:r>
        <w:rPr>
          <w:rFonts w:hint="eastAsia" w:ascii="宋体" w:hAnsi="宋体"/>
          <w:sz w:val="24"/>
        </w:rPr>
        <w:t>磋商</w:t>
      </w:r>
      <w:r>
        <w:rPr>
          <w:rFonts w:ascii="宋体" w:hAnsi="宋体"/>
          <w:sz w:val="24"/>
        </w:rPr>
        <w:t>文件实质性要求的</w:t>
      </w:r>
      <w:r>
        <w:rPr>
          <w:rFonts w:hint="eastAsia" w:ascii="宋体" w:hAnsi="宋体"/>
          <w:sz w:val="24"/>
        </w:rPr>
        <w:t>响应</w:t>
      </w:r>
      <w:r>
        <w:rPr>
          <w:rFonts w:ascii="宋体" w:hAnsi="宋体"/>
          <w:sz w:val="24"/>
        </w:rPr>
        <w:t>文件，按照本章第2.2款规定的评分标准进行打分，并按得分由高到低顺序向</w:t>
      </w:r>
      <w:r>
        <w:rPr>
          <w:rFonts w:hint="eastAsia" w:ascii="宋体" w:hAnsi="宋体"/>
          <w:sz w:val="24"/>
        </w:rPr>
        <w:t>采购</w:t>
      </w:r>
      <w:r>
        <w:rPr>
          <w:rFonts w:ascii="宋体" w:hAnsi="宋体"/>
          <w:sz w:val="24"/>
        </w:rPr>
        <w:t>人推荐</w:t>
      </w:r>
      <w:r>
        <w:rPr>
          <w:rFonts w:hint="eastAsia" w:ascii="宋体" w:hAnsi="宋体"/>
          <w:sz w:val="24"/>
        </w:rPr>
        <w:t>3名成交</w:t>
      </w:r>
      <w:r>
        <w:rPr>
          <w:rFonts w:ascii="宋体" w:hAnsi="宋体"/>
          <w:sz w:val="24"/>
        </w:rPr>
        <w:t>候选人，但</w:t>
      </w:r>
      <w:r>
        <w:rPr>
          <w:rFonts w:hint="eastAsia" w:ascii="宋体" w:hAnsi="宋体"/>
          <w:sz w:val="24"/>
        </w:rPr>
        <w:t>磋商</w:t>
      </w:r>
      <w:r>
        <w:rPr>
          <w:rFonts w:ascii="宋体" w:hAnsi="宋体"/>
          <w:sz w:val="24"/>
        </w:rPr>
        <w:t>报价低于其成本的除外。综合评分相等时，以磋商报价低的优先；磋商报价也相等的，由</w:t>
      </w:r>
      <w:r>
        <w:rPr>
          <w:rFonts w:hint="eastAsia" w:ascii="宋体" w:hAnsi="宋体"/>
          <w:sz w:val="24"/>
        </w:rPr>
        <w:t>采购</w:t>
      </w:r>
      <w:r>
        <w:rPr>
          <w:rFonts w:ascii="宋体" w:hAnsi="宋体"/>
          <w:sz w:val="24"/>
        </w:rPr>
        <w:t>人自行确定。</w:t>
      </w:r>
    </w:p>
    <w:p w14:paraId="05CD9FA1">
      <w:pPr>
        <w:ind w:left="718"/>
        <w:rPr>
          <w:sz w:val="28"/>
          <w:szCs w:val="28"/>
        </w:rPr>
      </w:pPr>
      <w:r>
        <w:rPr>
          <w:b/>
          <w:sz w:val="28"/>
          <w:szCs w:val="28"/>
        </w:rPr>
        <w:t>二、评审标准</w:t>
      </w:r>
    </w:p>
    <w:p w14:paraId="56EE419F">
      <w:pPr>
        <w:spacing w:line="360" w:lineRule="auto"/>
        <w:ind w:firstLine="480" w:firstLineChars="200"/>
        <w:rPr>
          <w:rFonts w:ascii="宋体" w:hAnsi="宋体"/>
          <w:sz w:val="24"/>
        </w:rPr>
      </w:pPr>
      <w:r>
        <w:rPr>
          <w:rFonts w:hint="eastAsia" w:ascii="宋体" w:hAnsi="宋体"/>
          <w:sz w:val="24"/>
        </w:rPr>
        <w:t>2.1</w:t>
      </w:r>
      <w:r>
        <w:rPr>
          <w:rFonts w:ascii="宋体" w:hAnsi="宋体"/>
          <w:sz w:val="24"/>
        </w:rPr>
        <w:t xml:space="preserve">初步评审标准 </w:t>
      </w:r>
    </w:p>
    <w:p w14:paraId="01375936">
      <w:pPr>
        <w:spacing w:line="360" w:lineRule="auto"/>
        <w:ind w:firstLine="480" w:firstLineChars="200"/>
        <w:rPr>
          <w:rFonts w:ascii="宋体" w:hAnsi="宋体"/>
          <w:sz w:val="24"/>
        </w:rPr>
      </w:pPr>
      <w:r>
        <w:rPr>
          <w:rFonts w:hint="eastAsia" w:ascii="宋体" w:hAnsi="宋体"/>
          <w:sz w:val="24"/>
        </w:rPr>
        <w:t>2.1.1</w:t>
      </w:r>
      <w:r>
        <w:rPr>
          <w:rFonts w:ascii="宋体" w:hAnsi="宋体"/>
          <w:sz w:val="24"/>
        </w:rPr>
        <w:t>资格审查标准：见附表1</w:t>
      </w:r>
    </w:p>
    <w:p w14:paraId="0C5F1B9B">
      <w:pPr>
        <w:spacing w:line="360" w:lineRule="auto"/>
        <w:ind w:firstLine="480" w:firstLineChars="200"/>
        <w:rPr>
          <w:rFonts w:ascii="宋体" w:hAnsi="宋体"/>
          <w:sz w:val="24"/>
        </w:rPr>
      </w:pPr>
      <w:r>
        <w:rPr>
          <w:rFonts w:hint="eastAsia" w:ascii="宋体" w:hAnsi="宋体"/>
          <w:sz w:val="24"/>
        </w:rPr>
        <w:t>2.1.2</w:t>
      </w:r>
      <w:r>
        <w:rPr>
          <w:rFonts w:ascii="宋体" w:hAnsi="宋体"/>
          <w:sz w:val="24"/>
        </w:rPr>
        <w:t>符合性评审标准：见附表1</w:t>
      </w:r>
    </w:p>
    <w:p w14:paraId="613355F0">
      <w:pPr>
        <w:spacing w:line="360" w:lineRule="auto"/>
        <w:ind w:firstLine="480" w:firstLineChars="200"/>
        <w:rPr>
          <w:rFonts w:ascii="宋体" w:hAnsi="宋体"/>
          <w:sz w:val="24"/>
        </w:rPr>
      </w:pPr>
      <w:r>
        <w:rPr>
          <w:rFonts w:hint="eastAsia" w:ascii="宋体" w:hAnsi="宋体"/>
          <w:sz w:val="24"/>
        </w:rPr>
        <w:t>2.1.3实质性响应评审标准：</w:t>
      </w:r>
      <w:r>
        <w:rPr>
          <w:rFonts w:ascii="宋体" w:hAnsi="宋体"/>
          <w:sz w:val="24"/>
        </w:rPr>
        <w:t>见附表1</w:t>
      </w:r>
    </w:p>
    <w:p w14:paraId="6FDC00B3">
      <w:pPr>
        <w:spacing w:line="360" w:lineRule="auto"/>
        <w:ind w:firstLine="480" w:firstLineChars="200"/>
        <w:rPr>
          <w:rFonts w:ascii="宋体" w:hAnsi="宋体"/>
          <w:sz w:val="24"/>
        </w:rPr>
      </w:pPr>
      <w:r>
        <w:rPr>
          <w:rFonts w:hint="eastAsia" w:ascii="宋体" w:hAnsi="宋体"/>
          <w:sz w:val="24"/>
        </w:rPr>
        <w:t>2.2</w:t>
      </w:r>
      <w:r>
        <w:rPr>
          <w:rFonts w:ascii="宋体" w:hAnsi="宋体"/>
          <w:sz w:val="24"/>
        </w:rPr>
        <w:t>磋商基准价计算</w:t>
      </w:r>
    </w:p>
    <w:p w14:paraId="739EC60E">
      <w:pPr>
        <w:spacing w:line="360" w:lineRule="auto"/>
        <w:ind w:firstLine="480" w:firstLineChars="200"/>
        <w:rPr>
          <w:rFonts w:ascii="宋体" w:hAnsi="宋体"/>
          <w:sz w:val="24"/>
        </w:rPr>
      </w:pPr>
      <w:r>
        <w:rPr>
          <w:rFonts w:hint="eastAsia" w:ascii="宋体" w:hAnsi="宋体"/>
          <w:sz w:val="24"/>
        </w:rPr>
        <w:t>2.2.1</w:t>
      </w:r>
      <w:r>
        <w:rPr>
          <w:rFonts w:ascii="宋体" w:hAnsi="宋体"/>
          <w:sz w:val="24"/>
        </w:rPr>
        <w:t>磋商基准价计算方法：见附表2；</w:t>
      </w:r>
    </w:p>
    <w:p w14:paraId="1755FBBA">
      <w:pPr>
        <w:spacing w:line="360" w:lineRule="auto"/>
        <w:ind w:firstLine="480" w:firstLineChars="200"/>
        <w:rPr>
          <w:rFonts w:ascii="宋体" w:hAnsi="宋体"/>
          <w:sz w:val="24"/>
        </w:rPr>
      </w:pPr>
      <w:r>
        <w:rPr>
          <w:rFonts w:hint="eastAsia" w:ascii="宋体" w:hAnsi="宋体"/>
          <w:sz w:val="24"/>
        </w:rPr>
        <w:t>2.3</w:t>
      </w:r>
      <w:r>
        <w:rPr>
          <w:rFonts w:ascii="宋体" w:hAnsi="宋体"/>
          <w:sz w:val="24"/>
        </w:rPr>
        <w:t>磋商报价的偏差率计算</w:t>
      </w:r>
    </w:p>
    <w:p w14:paraId="4D7AA068">
      <w:pPr>
        <w:spacing w:line="360" w:lineRule="auto"/>
        <w:ind w:firstLine="480" w:firstLineChars="200"/>
        <w:rPr>
          <w:rFonts w:ascii="宋体" w:hAnsi="宋体"/>
          <w:sz w:val="24"/>
        </w:rPr>
      </w:pPr>
      <w:r>
        <w:rPr>
          <w:rFonts w:hint="eastAsia" w:ascii="宋体" w:hAnsi="宋体"/>
          <w:sz w:val="24"/>
        </w:rPr>
        <w:t>2.3.1</w:t>
      </w:r>
      <w:r>
        <w:rPr>
          <w:rFonts w:ascii="宋体" w:hAnsi="宋体"/>
          <w:sz w:val="24"/>
        </w:rPr>
        <w:t>磋商报价的偏差率计算公式：见附表2；</w:t>
      </w:r>
    </w:p>
    <w:p w14:paraId="4203D6B4">
      <w:pPr>
        <w:spacing w:line="360" w:lineRule="auto"/>
        <w:ind w:firstLine="480" w:firstLineChars="200"/>
        <w:rPr>
          <w:rFonts w:ascii="宋体" w:hAnsi="宋体"/>
          <w:sz w:val="24"/>
        </w:rPr>
      </w:pPr>
      <w:r>
        <w:rPr>
          <w:rFonts w:hint="eastAsia" w:ascii="宋体" w:hAnsi="宋体"/>
          <w:sz w:val="24"/>
        </w:rPr>
        <w:t>2.3.2</w:t>
      </w:r>
      <w:r>
        <w:rPr>
          <w:rFonts w:ascii="宋体" w:hAnsi="宋体"/>
          <w:sz w:val="24"/>
        </w:rPr>
        <w:t>评分标准：见附表2；</w:t>
      </w:r>
    </w:p>
    <w:p w14:paraId="57B1E809">
      <w:pPr>
        <w:ind w:left="718"/>
        <w:rPr>
          <w:b/>
          <w:sz w:val="28"/>
          <w:szCs w:val="28"/>
        </w:rPr>
      </w:pPr>
      <w:r>
        <w:rPr>
          <w:b/>
          <w:sz w:val="28"/>
          <w:szCs w:val="28"/>
        </w:rPr>
        <w:t xml:space="preserve">三、磋商程序 </w:t>
      </w:r>
    </w:p>
    <w:p w14:paraId="6F4EC068">
      <w:pPr>
        <w:spacing w:line="360" w:lineRule="auto"/>
        <w:ind w:firstLine="482" w:firstLineChars="200"/>
        <w:rPr>
          <w:rFonts w:ascii="宋体" w:hAnsi="宋体"/>
          <w:b/>
          <w:sz w:val="24"/>
        </w:rPr>
      </w:pPr>
      <w:r>
        <w:rPr>
          <w:rFonts w:ascii="宋体" w:hAnsi="宋体"/>
          <w:b/>
          <w:sz w:val="24"/>
        </w:rPr>
        <w:t xml:space="preserve">3.1 初步评审 </w:t>
      </w:r>
    </w:p>
    <w:p w14:paraId="51434208">
      <w:pPr>
        <w:spacing w:line="360" w:lineRule="auto"/>
        <w:ind w:firstLine="480" w:firstLineChars="200"/>
        <w:rPr>
          <w:rFonts w:ascii="宋体" w:hAnsi="宋体"/>
          <w:sz w:val="24"/>
        </w:rPr>
      </w:pPr>
      <w:r>
        <w:rPr>
          <w:rFonts w:ascii="宋体" w:hAnsi="宋体"/>
          <w:sz w:val="24"/>
        </w:rPr>
        <w:t>3.1.1磋商小组应该以</w:t>
      </w:r>
      <w:r>
        <w:rPr>
          <w:rFonts w:hint="eastAsia" w:ascii="宋体" w:hAnsi="宋体"/>
          <w:sz w:val="24"/>
        </w:rPr>
        <w:t>响应文件</w:t>
      </w:r>
      <w:r>
        <w:rPr>
          <w:rFonts w:ascii="宋体" w:hAnsi="宋体"/>
          <w:sz w:val="24"/>
        </w:rPr>
        <w:t>为准，进行核验。磋商小组依据本章第2.1款规定的标准对磋商响应文件进行初步评审。有一项不符合评审标准的，作无效标处理。</w:t>
      </w:r>
    </w:p>
    <w:p w14:paraId="16200886">
      <w:pPr>
        <w:spacing w:line="360" w:lineRule="auto"/>
        <w:ind w:firstLine="480" w:firstLineChars="200"/>
        <w:rPr>
          <w:rFonts w:ascii="宋体" w:hAnsi="宋体"/>
          <w:sz w:val="24"/>
        </w:rPr>
      </w:pPr>
      <w:r>
        <w:rPr>
          <w:rFonts w:hint="eastAsia" w:ascii="宋体" w:hAnsi="宋体"/>
          <w:sz w:val="24"/>
        </w:rPr>
        <w:t>3.1.2</w:t>
      </w:r>
      <w:r>
        <w:rPr>
          <w:rFonts w:ascii="宋体" w:hAnsi="宋体"/>
          <w:sz w:val="24"/>
        </w:rPr>
        <w:t>磋商小组依据本章第2.1.1项、第2.1.2项</w:t>
      </w:r>
      <w:r>
        <w:rPr>
          <w:rFonts w:hint="eastAsia" w:ascii="宋体" w:hAnsi="宋体"/>
          <w:sz w:val="24"/>
        </w:rPr>
        <w:t>、</w:t>
      </w:r>
      <w:r>
        <w:rPr>
          <w:rFonts w:ascii="宋体" w:hAnsi="宋体"/>
          <w:sz w:val="24"/>
        </w:rPr>
        <w:t>第2.1.</w:t>
      </w:r>
      <w:r>
        <w:rPr>
          <w:rFonts w:hint="eastAsia" w:ascii="宋体" w:hAnsi="宋体"/>
          <w:sz w:val="24"/>
        </w:rPr>
        <w:t>3</w:t>
      </w:r>
      <w:r>
        <w:rPr>
          <w:rFonts w:ascii="宋体" w:hAnsi="宋体"/>
          <w:sz w:val="24"/>
        </w:rPr>
        <w:t>项规定的评审标准对</w:t>
      </w:r>
      <w:r>
        <w:rPr>
          <w:rFonts w:hint="eastAsia" w:ascii="宋体" w:hAnsi="宋体"/>
          <w:sz w:val="24"/>
        </w:rPr>
        <w:t>响应</w:t>
      </w:r>
      <w:r>
        <w:rPr>
          <w:rFonts w:ascii="宋体" w:hAnsi="宋体"/>
          <w:sz w:val="24"/>
        </w:rPr>
        <w:t>文件进行初步评审。有一项不符合评审标准的，作无效标处理。</w:t>
      </w:r>
    </w:p>
    <w:p w14:paraId="5735937A">
      <w:pPr>
        <w:spacing w:line="360" w:lineRule="auto"/>
        <w:ind w:firstLine="480" w:firstLineChars="200"/>
        <w:rPr>
          <w:rFonts w:ascii="宋体" w:hAnsi="宋体"/>
          <w:sz w:val="24"/>
        </w:rPr>
      </w:pPr>
      <w:r>
        <w:rPr>
          <w:rFonts w:hint="eastAsia" w:ascii="宋体" w:hAnsi="宋体"/>
          <w:sz w:val="24"/>
        </w:rPr>
        <w:t>3.1.3供应商</w:t>
      </w:r>
      <w:r>
        <w:rPr>
          <w:rFonts w:ascii="宋体" w:hAnsi="宋体"/>
          <w:sz w:val="24"/>
        </w:rPr>
        <w:t>有以下情形之一的，其</w:t>
      </w:r>
      <w:r>
        <w:rPr>
          <w:rFonts w:hint="eastAsia" w:ascii="宋体" w:hAnsi="宋体"/>
          <w:sz w:val="24"/>
        </w:rPr>
        <w:t>磋商</w:t>
      </w:r>
      <w:r>
        <w:rPr>
          <w:rFonts w:ascii="宋体" w:hAnsi="宋体"/>
          <w:sz w:val="24"/>
        </w:rPr>
        <w:t>作无效标处理：</w:t>
      </w:r>
    </w:p>
    <w:p w14:paraId="435F5E81">
      <w:pPr>
        <w:spacing w:line="360" w:lineRule="auto"/>
        <w:ind w:firstLine="480" w:firstLineChars="200"/>
        <w:rPr>
          <w:rFonts w:ascii="宋体" w:hAnsi="宋体"/>
          <w:sz w:val="24"/>
        </w:rPr>
      </w:pPr>
      <w:r>
        <w:rPr>
          <w:rFonts w:ascii="宋体" w:hAnsi="宋体"/>
          <w:sz w:val="24"/>
        </w:rPr>
        <w:t>（1）串通磋商或弄虚作假或有其他违法行为的；</w:t>
      </w:r>
    </w:p>
    <w:p w14:paraId="3E9283BE">
      <w:pPr>
        <w:spacing w:line="360" w:lineRule="auto"/>
        <w:ind w:firstLine="480" w:firstLineChars="200"/>
        <w:rPr>
          <w:rFonts w:ascii="宋体" w:hAnsi="宋体"/>
          <w:sz w:val="24"/>
        </w:rPr>
      </w:pPr>
      <w:r>
        <w:rPr>
          <w:rFonts w:ascii="宋体" w:hAnsi="宋体"/>
          <w:sz w:val="24"/>
        </w:rPr>
        <w:t>（2）不按磋商</w:t>
      </w:r>
      <w:r>
        <w:rPr>
          <w:rFonts w:hint="eastAsia" w:ascii="宋体" w:hAnsi="宋体"/>
          <w:sz w:val="24"/>
        </w:rPr>
        <w:t>小组</w:t>
      </w:r>
      <w:r>
        <w:rPr>
          <w:rFonts w:ascii="宋体" w:hAnsi="宋体"/>
          <w:sz w:val="24"/>
        </w:rPr>
        <w:t>要求澄清、说明或补正的。</w:t>
      </w:r>
    </w:p>
    <w:p w14:paraId="77154C48">
      <w:pPr>
        <w:spacing w:line="360" w:lineRule="auto"/>
        <w:ind w:firstLine="480" w:firstLineChars="200"/>
        <w:rPr>
          <w:rFonts w:ascii="宋体" w:hAnsi="宋体"/>
          <w:sz w:val="24"/>
        </w:rPr>
      </w:pPr>
      <w:r>
        <w:rPr>
          <w:rFonts w:hint="eastAsia" w:ascii="宋体" w:hAnsi="宋体"/>
          <w:sz w:val="24"/>
        </w:rPr>
        <w:t>3.1.4</w:t>
      </w:r>
      <w:r>
        <w:rPr>
          <w:rFonts w:ascii="宋体" w:hAnsi="宋体"/>
          <w:sz w:val="24"/>
        </w:rPr>
        <w:t>磋商报价有算术错误的，磋商小组按以下原则对磋商报价进行修正，修正的价格经</w:t>
      </w:r>
      <w:r>
        <w:rPr>
          <w:rFonts w:hint="eastAsia" w:ascii="宋体" w:hAnsi="宋体"/>
          <w:sz w:val="24"/>
        </w:rPr>
        <w:t>供应商</w:t>
      </w:r>
      <w:r>
        <w:rPr>
          <w:rFonts w:ascii="宋体" w:hAnsi="宋体"/>
          <w:sz w:val="24"/>
        </w:rPr>
        <w:t>确认后具有约束力。</w:t>
      </w:r>
      <w:r>
        <w:rPr>
          <w:rFonts w:hint="eastAsia" w:ascii="宋体" w:hAnsi="宋体"/>
          <w:sz w:val="24"/>
        </w:rPr>
        <w:t>供应商</w:t>
      </w:r>
      <w:r>
        <w:rPr>
          <w:rFonts w:ascii="宋体" w:hAnsi="宋体"/>
          <w:sz w:val="24"/>
        </w:rPr>
        <w:t xml:space="preserve">不接受修正价格的，其磋商作废标处理。 </w:t>
      </w:r>
    </w:p>
    <w:p w14:paraId="055746A3">
      <w:pPr>
        <w:spacing w:line="360" w:lineRule="auto"/>
        <w:ind w:firstLine="480" w:firstLineChars="200"/>
        <w:rPr>
          <w:rFonts w:ascii="宋体" w:hAnsi="宋体"/>
          <w:sz w:val="24"/>
        </w:rPr>
      </w:pPr>
      <w:r>
        <w:rPr>
          <w:rFonts w:ascii="宋体" w:hAnsi="宋体"/>
          <w:sz w:val="24"/>
        </w:rPr>
        <w:t xml:space="preserve">（1）磋商文件中的大写金额与小写金额不一致的，以大写金额为准； </w:t>
      </w:r>
    </w:p>
    <w:p w14:paraId="5DABE4E9">
      <w:pPr>
        <w:spacing w:line="360" w:lineRule="auto"/>
        <w:ind w:firstLine="480" w:firstLineChars="200"/>
        <w:rPr>
          <w:rFonts w:ascii="宋体" w:hAnsi="宋体"/>
          <w:sz w:val="24"/>
        </w:rPr>
      </w:pPr>
      <w:r>
        <w:rPr>
          <w:rFonts w:ascii="宋体" w:hAnsi="宋体"/>
          <w:sz w:val="24"/>
        </w:rPr>
        <w:t xml:space="preserve">（2）总价金额与依据单价计算出的结果不一致的，以单价金额为准修正总价，但单价金额小数点有明显错误的除外。 </w:t>
      </w:r>
    </w:p>
    <w:p w14:paraId="4182F5C2">
      <w:pPr>
        <w:spacing w:line="360" w:lineRule="auto"/>
        <w:ind w:firstLine="482" w:firstLineChars="200"/>
        <w:rPr>
          <w:rFonts w:ascii="宋体" w:hAnsi="宋体"/>
          <w:b/>
          <w:sz w:val="24"/>
        </w:rPr>
      </w:pPr>
      <w:r>
        <w:rPr>
          <w:rFonts w:hint="eastAsia" w:ascii="宋体" w:hAnsi="宋体"/>
          <w:b/>
          <w:sz w:val="24"/>
        </w:rPr>
        <w:t>3.2</w:t>
      </w:r>
      <w:r>
        <w:rPr>
          <w:rFonts w:ascii="宋体" w:hAnsi="宋体"/>
          <w:b/>
          <w:sz w:val="24"/>
        </w:rPr>
        <w:t xml:space="preserve">详细评审 </w:t>
      </w:r>
    </w:p>
    <w:p w14:paraId="1203D5F6">
      <w:pPr>
        <w:spacing w:line="360" w:lineRule="auto"/>
        <w:ind w:firstLine="480" w:firstLineChars="200"/>
        <w:rPr>
          <w:rFonts w:ascii="宋体" w:hAnsi="宋体"/>
          <w:sz w:val="24"/>
        </w:rPr>
      </w:pPr>
      <w:r>
        <w:rPr>
          <w:rFonts w:hint="eastAsia" w:ascii="宋体" w:hAnsi="宋体"/>
          <w:sz w:val="24"/>
        </w:rPr>
        <w:t>3.2.1</w:t>
      </w:r>
      <w:r>
        <w:rPr>
          <w:rFonts w:ascii="宋体" w:hAnsi="宋体"/>
          <w:sz w:val="24"/>
        </w:rPr>
        <w:t>磋商</w:t>
      </w:r>
      <w:r>
        <w:rPr>
          <w:rFonts w:hint="eastAsia" w:ascii="宋体" w:hAnsi="宋体"/>
          <w:sz w:val="24"/>
        </w:rPr>
        <w:t>小组</w:t>
      </w:r>
      <w:r>
        <w:rPr>
          <w:rFonts w:ascii="宋体" w:hAnsi="宋体"/>
          <w:sz w:val="24"/>
        </w:rPr>
        <w:t>按本章第 2.2 款规定的量化因素和分值进行打分，并计算出综合评估得分。</w:t>
      </w:r>
    </w:p>
    <w:p w14:paraId="096C7C84">
      <w:pPr>
        <w:spacing w:line="360" w:lineRule="auto"/>
        <w:ind w:firstLine="480" w:firstLineChars="200"/>
        <w:rPr>
          <w:rFonts w:ascii="宋体" w:hAnsi="宋体"/>
          <w:sz w:val="24"/>
        </w:rPr>
      </w:pPr>
      <w:r>
        <w:rPr>
          <w:rFonts w:hint="eastAsia" w:ascii="宋体" w:hAnsi="宋体"/>
          <w:sz w:val="24"/>
        </w:rPr>
        <w:t>3.2.2</w:t>
      </w:r>
      <w:r>
        <w:rPr>
          <w:rFonts w:ascii="宋体" w:hAnsi="宋体"/>
          <w:sz w:val="24"/>
        </w:rPr>
        <w:t>在评审过程中，磋商小组发现</w:t>
      </w:r>
      <w:r>
        <w:rPr>
          <w:rFonts w:hint="eastAsia" w:ascii="宋体" w:hAnsi="宋体"/>
          <w:sz w:val="24"/>
        </w:rPr>
        <w:t>供应商</w:t>
      </w:r>
      <w:r>
        <w:rPr>
          <w:rFonts w:ascii="宋体" w:hAnsi="宋体"/>
          <w:sz w:val="24"/>
        </w:rPr>
        <w:t>的磋商报价明显低于其他</w:t>
      </w:r>
      <w:r>
        <w:rPr>
          <w:rFonts w:hint="eastAsia" w:ascii="宋体" w:hAnsi="宋体"/>
          <w:sz w:val="24"/>
        </w:rPr>
        <w:t>供应商</w:t>
      </w:r>
      <w:r>
        <w:rPr>
          <w:rFonts w:ascii="宋体" w:hAnsi="宋体"/>
          <w:sz w:val="24"/>
        </w:rPr>
        <w:t>的报价，并有可能低于其企业成本的，则磋商小组可以以</w:t>
      </w:r>
      <w:r>
        <w:rPr>
          <w:rFonts w:hint="eastAsia" w:ascii="宋体" w:hAnsi="宋体"/>
          <w:sz w:val="24"/>
        </w:rPr>
        <w:t>网上答疑</w:t>
      </w:r>
      <w:r>
        <w:rPr>
          <w:rFonts w:ascii="宋体" w:hAnsi="宋体"/>
          <w:sz w:val="24"/>
        </w:rPr>
        <w:t>形式要求该</w:t>
      </w:r>
      <w:r>
        <w:rPr>
          <w:rFonts w:hint="eastAsia" w:ascii="宋体" w:hAnsi="宋体"/>
          <w:sz w:val="24"/>
        </w:rPr>
        <w:t>供应商</w:t>
      </w:r>
      <w:r>
        <w:rPr>
          <w:rFonts w:ascii="宋体" w:hAnsi="宋体"/>
          <w:sz w:val="24"/>
        </w:rPr>
        <w:t>作出说明并提供相关证明材料。</w:t>
      </w:r>
      <w:r>
        <w:rPr>
          <w:rFonts w:hint="eastAsia" w:ascii="宋体" w:hAnsi="宋体"/>
          <w:sz w:val="24"/>
        </w:rPr>
        <w:t>供应商</w:t>
      </w:r>
      <w:r>
        <w:rPr>
          <w:rFonts w:ascii="宋体" w:hAnsi="宋体"/>
          <w:sz w:val="24"/>
        </w:rPr>
        <w:t>不能合理说明或不能提供相关证明材料的，磋商小组对其商务标部分不再进行评审。</w:t>
      </w:r>
    </w:p>
    <w:p w14:paraId="28AE8940">
      <w:pPr>
        <w:spacing w:line="360" w:lineRule="auto"/>
        <w:ind w:firstLine="480" w:firstLineChars="200"/>
        <w:rPr>
          <w:rFonts w:ascii="宋体" w:hAnsi="宋体"/>
          <w:sz w:val="24"/>
        </w:rPr>
      </w:pPr>
      <w:r>
        <w:rPr>
          <w:rFonts w:hint="eastAsia" w:ascii="宋体" w:hAnsi="宋体"/>
          <w:sz w:val="24"/>
        </w:rPr>
        <w:t>3.2.3评标打分部分按照100分制原则进行，涉及到资格审查、企业业绩等计分部分时，以供应商响应文件中的各类相应内容为准。</w:t>
      </w:r>
    </w:p>
    <w:p w14:paraId="367A6EEC">
      <w:pPr>
        <w:spacing w:line="360" w:lineRule="auto"/>
        <w:ind w:firstLine="482" w:firstLineChars="200"/>
        <w:rPr>
          <w:rFonts w:ascii="宋体" w:hAnsi="宋体"/>
          <w:b/>
          <w:sz w:val="24"/>
        </w:rPr>
      </w:pPr>
      <w:r>
        <w:rPr>
          <w:rFonts w:hint="eastAsia" w:ascii="宋体" w:hAnsi="宋体"/>
          <w:b/>
          <w:sz w:val="24"/>
        </w:rPr>
        <w:t>3.3</w:t>
      </w:r>
      <w:r>
        <w:rPr>
          <w:rFonts w:ascii="宋体" w:hAnsi="宋体"/>
          <w:b/>
          <w:sz w:val="24"/>
        </w:rPr>
        <w:t>磋商文件的澄清和补正</w:t>
      </w:r>
    </w:p>
    <w:p w14:paraId="15DED40B">
      <w:pPr>
        <w:spacing w:line="360" w:lineRule="auto"/>
        <w:ind w:firstLine="480" w:firstLineChars="200"/>
        <w:rPr>
          <w:rFonts w:ascii="宋体" w:hAnsi="宋体"/>
          <w:sz w:val="24"/>
        </w:rPr>
      </w:pPr>
      <w:r>
        <w:rPr>
          <w:rFonts w:hint="eastAsia" w:ascii="宋体" w:hAnsi="宋体"/>
          <w:sz w:val="24"/>
        </w:rPr>
        <w:t>3.3.1</w:t>
      </w:r>
      <w:r>
        <w:rPr>
          <w:rFonts w:ascii="宋体" w:hAnsi="宋体"/>
          <w:sz w:val="24"/>
        </w:rPr>
        <w:t>在磋商过程中，磋商小组可以</w:t>
      </w:r>
      <w:r>
        <w:rPr>
          <w:rFonts w:hint="eastAsia" w:ascii="宋体" w:hAnsi="宋体"/>
          <w:sz w:val="24"/>
        </w:rPr>
        <w:t>网上答疑</w:t>
      </w:r>
      <w:r>
        <w:rPr>
          <w:rFonts w:ascii="宋体" w:hAnsi="宋体"/>
          <w:sz w:val="24"/>
        </w:rPr>
        <w:t>形式要求</w:t>
      </w:r>
      <w:r>
        <w:rPr>
          <w:rFonts w:hint="eastAsia" w:ascii="宋体" w:hAnsi="宋体"/>
          <w:sz w:val="24"/>
        </w:rPr>
        <w:t>供应商</w:t>
      </w:r>
      <w:r>
        <w:rPr>
          <w:rFonts w:ascii="宋体" w:hAnsi="宋体"/>
          <w:sz w:val="24"/>
        </w:rPr>
        <w:t>对所提交磋商</w:t>
      </w:r>
      <w:r>
        <w:rPr>
          <w:rFonts w:hint="eastAsia" w:ascii="宋体" w:hAnsi="宋体"/>
          <w:sz w:val="24"/>
        </w:rPr>
        <w:t>响应</w:t>
      </w:r>
      <w:r>
        <w:rPr>
          <w:rFonts w:ascii="宋体" w:hAnsi="宋体"/>
          <w:sz w:val="24"/>
        </w:rPr>
        <w:t>文件中不明确的内容进行澄清或说明，或者对细微偏差进行补正。磋商</w:t>
      </w:r>
      <w:r>
        <w:rPr>
          <w:rFonts w:hint="eastAsia" w:ascii="宋体" w:hAnsi="宋体"/>
          <w:sz w:val="24"/>
        </w:rPr>
        <w:t>小组</w:t>
      </w:r>
      <w:r>
        <w:rPr>
          <w:rFonts w:ascii="宋体" w:hAnsi="宋体"/>
          <w:sz w:val="24"/>
        </w:rPr>
        <w:t>不接受</w:t>
      </w:r>
      <w:r>
        <w:rPr>
          <w:rFonts w:hint="eastAsia" w:ascii="宋体" w:hAnsi="宋体"/>
          <w:sz w:val="24"/>
        </w:rPr>
        <w:t>供应商</w:t>
      </w:r>
      <w:r>
        <w:rPr>
          <w:rFonts w:ascii="宋体" w:hAnsi="宋体"/>
          <w:sz w:val="24"/>
        </w:rPr>
        <w:t xml:space="preserve">主动提出的澄清、说明或补正。 </w:t>
      </w:r>
    </w:p>
    <w:p w14:paraId="444CB85D">
      <w:pPr>
        <w:spacing w:line="360" w:lineRule="auto"/>
        <w:ind w:firstLine="480" w:firstLineChars="200"/>
        <w:rPr>
          <w:rFonts w:ascii="宋体" w:hAnsi="宋体"/>
          <w:sz w:val="24"/>
        </w:rPr>
      </w:pPr>
      <w:r>
        <w:rPr>
          <w:rFonts w:hint="eastAsia" w:ascii="宋体" w:hAnsi="宋体"/>
          <w:sz w:val="24"/>
        </w:rPr>
        <w:t>3.3.2</w:t>
      </w:r>
      <w:r>
        <w:rPr>
          <w:rFonts w:ascii="宋体" w:hAnsi="宋体"/>
          <w:sz w:val="24"/>
        </w:rPr>
        <w:t>澄清、说明和补正不得改变磋商文件的实质性内容（算术性错误修正的除外）。</w:t>
      </w:r>
      <w:r>
        <w:rPr>
          <w:rFonts w:hint="eastAsia" w:ascii="宋体" w:hAnsi="宋体"/>
          <w:sz w:val="24"/>
        </w:rPr>
        <w:t>供应商</w:t>
      </w:r>
      <w:r>
        <w:rPr>
          <w:rFonts w:ascii="宋体" w:hAnsi="宋体"/>
          <w:sz w:val="24"/>
        </w:rPr>
        <w:t>的澄清、说明和补正属于磋商响应文件的组成部分。</w:t>
      </w:r>
    </w:p>
    <w:p w14:paraId="41482163">
      <w:pPr>
        <w:spacing w:line="360" w:lineRule="auto"/>
        <w:ind w:firstLine="480" w:firstLineChars="200"/>
        <w:rPr>
          <w:rFonts w:ascii="宋体" w:hAnsi="宋体"/>
          <w:sz w:val="24"/>
        </w:rPr>
      </w:pPr>
      <w:r>
        <w:rPr>
          <w:rFonts w:hint="eastAsia" w:ascii="宋体" w:hAnsi="宋体"/>
          <w:sz w:val="24"/>
        </w:rPr>
        <w:t>3.3.3</w:t>
      </w:r>
      <w:r>
        <w:rPr>
          <w:rFonts w:ascii="宋体" w:hAnsi="宋体"/>
          <w:sz w:val="24"/>
        </w:rPr>
        <w:t>磋商小组对</w:t>
      </w:r>
      <w:r>
        <w:rPr>
          <w:rFonts w:hint="eastAsia" w:ascii="宋体" w:hAnsi="宋体"/>
          <w:sz w:val="24"/>
        </w:rPr>
        <w:t>供应商</w:t>
      </w:r>
      <w:r>
        <w:rPr>
          <w:rFonts w:ascii="宋体" w:hAnsi="宋体"/>
          <w:sz w:val="24"/>
        </w:rPr>
        <w:t>提交的澄清、说明或补正有疑问的，可以要求</w:t>
      </w:r>
      <w:r>
        <w:rPr>
          <w:rFonts w:hint="eastAsia" w:ascii="宋体" w:hAnsi="宋体"/>
          <w:sz w:val="24"/>
        </w:rPr>
        <w:t>供应商</w:t>
      </w:r>
      <w:r>
        <w:rPr>
          <w:rFonts w:ascii="宋体" w:hAnsi="宋体"/>
          <w:sz w:val="24"/>
        </w:rPr>
        <w:t>进一步澄清、说明或补正，直至满足磋商小组的要求。</w:t>
      </w:r>
    </w:p>
    <w:p w14:paraId="58BB71BD">
      <w:pPr>
        <w:spacing w:line="360" w:lineRule="auto"/>
        <w:ind w:firstLine="482" w:firstLineChars="200"/>
        <w:rPr>
          <w:rFonts w:ascii="宋体" w:hAnsi="宋体"/>
          <w:b/>
          <w:sz w:val="24"/>
        </w:rPr>
      </w:pPr>
      <w:r>
        <w:rPr>
          <w:rFonts w:hint="eastAsia" w:ascii="宋体" w:hAnsi="宋体"/>
          <w:b/>
          <w:sz w:val="24"/>
        </w:rPr>
        <w:t>3.4</w:t>
      </w:r>
      <w:r>
        <w:rPr>
          <w:rFonts w:ascii="宋体" w:hAnsi="宋体"/>
          <w:b/>
          <w:sz w:val="24"/>
        </w:rPr>
        <w:t xml:space="preserve">磋商结果 </w:t>
      </w:r>
    </w:p>
    <w:p w14:paraId="2FC113D1">
      <w:pPr>
        <w:spacing w:line="360" w:lineRule="auto"/>
        <w:ind w:firstLine="480" w:firstLineChars="200"/>
        <w:rPr>
          <w:rFonts w:ascii="宋体" w:hAnsi="宋体"/>
          <w:sz w:val="24"/>
        </w:rPr>
      </w:pPr>
      <w:r>
        <w:rPr>
          <w:rFonts w:hint="eastAsia" w:ascii="宋体" w:hAnsi="宋体"/>
          <w:sz w:val="24"/>
        </w:rPr>
        <w:t>3.4.1</w:t>
      </w:r>
      <w:r>
        <w:rPr>
          <w:rFonts w:ascii="宋体" w:hAnsi="宋体"/>
          <w:sz w:val="24"/>
        </w:rPr>
        <w:t>磋商小组按照得分由高到低的顺序推荐</w:t>
      </w:r>
      <w:r>
        <w:rPr>
          <w:rFonts w:hint="eastAsia" w:ascii="宋体" w:hAnsi="宋体"/>
          <w:sz w:val="24"/>
        </w:rPr>
        <w:t>3名成交</w:t>
      </w:r>
      <w:r>
        <w:rPr>
          <w:rFonts w:ascii="宋体" w:hAnsi="宋体"/>
          <w:sz w:val="24"/>
        </w:rPr>
        <w:t>候选人</w:t>
      </w:r>
      <w:r>
        <w:rPr>
          <w:rFonts w:hint="eastAsia" w:ascii="宋体" w:hAnsi="宋体"/>
          <w:sz w:val="24"/>
        </w:rPr>
        <w:t>并排序</w:t>
      </w:r>
      <w:r>
        <w:rPr>
          <w:rFonts w:ascii="宋体" w:hAnsi="宋体"/>
          <w:sz w:val="24"/>
        </w:rPr>
        <w:t>。</w:t>
      </w:r>
    </w:p>
    <w:p w14:paraId="6976829A">
      <w:pPr>
        <w:spacing w:line="360" w:lineRule="auto"/>
        <w:ind w:firstLine="480" w:firstLineChars="200"/>
        <w:rPr>
          <w:rFonts w:ascii="宋体" w:hAnsi="宋体"/>
          <w:sz w:val="24"/>
        </w:rPr>
      </w:pPr>
      <w:r>
        <w:rPr>
          <w:rFonts w:ascii="宋体" w:hAnsi="宋体"/>
          <w:sz w:val="24"/>
        </w:rPr>
        <w:t>3.4.2磋商小组完成磋商后，应当向采购人提交书面</w:t>
      </w:r>
      <w:r>
        <w:rPr>
          <w:rFonts w:hint="eastAsia" w:ascii="宋体" w:hAnsi="宋体"/>
          <w:sz w:val="24"/>
        </w:rPr>
        <w:t>评标</w:t>
      </w:r>
      <w:r>
        <w:rPr>
          <w:rFonts w:ascii="宋体" w:hAnsi="宋体"/>
          <w:sz w:val="24"/>
        </w:rPr>
        <w:t>报告。</w:t>
      </w:r>
    </w:p>
    <w:p w14:paraId="5BF5AAB5">
      <w:pPr>
        <w:spacing w:line="360" w:lineRule="auto"/>
        <w:ind w:firstLine="482" w:firstLineChars="200"/>
        <w:rPr>
          <w:b/>
          <w:sz w:val="24"/>
        </w:rPr>
      </w:pPr>
      <w:r>
        <w:rPr>
          <w:b/>
          <w:sz w:val="24"/>
        </w:rPr>
        <w:t>附表1初步评审表</w:t>
      </w:r>
    </w:p>
    <w:p w14:paraId="649407C8">
      <w:pPr>
        <w:spacing w:line="360" w:lineRule="auto"/>
        <w:ind w:firstLine="480" w:firstLineChars="200"/>
        <w:rPr>
          <w:rFonts w:ascii="宋体" w:hAnsi="宋体"/>
          <w:sz w:val="24"/>
        </w:rPr>
      </w:pPr>
      <w:r>
        <w:rPr>
          <w:rFonts w:hint="eastAsia" w:ascii="宋体" w:hAnsi="宋体"/>
          <w:sz w:val="24"/>
        </w:rPr>
        <w:t>1、资格审查</w:t>
      </w:r>
    </w:p>
    <w:p w14:paraId="18240619">
      <w:pPr>
        <w:spacing w:line="360" w:lineRule="auto"/>
        <w:ind w:firstLine="480" w:firstLineChars="200"/>
        <w:rPr>
          <w:rFonts w:ascii="宋体" w:hAnsi="宋体"/>
          <w:sz w:val="24"/>
        </w:rPr>
      </w:pPr>
      <w:r>
        <w:rPr>
          <w:rFonts w:hint="eastAsia" w:ascii="宋体" w:hAnsi="宋体"/>
          <w:sz w:val="24"/>
        </w:rPr>
        <w:t>磋商小组按照</w:t>
      </w:r>
      <w:r>
        <w:rPr>
          <w:rFonts w:hint="eastAsia" w:ascii="宋体" w:hAnsi="宋体"/>
          <w:b/>
          <w:sz w:val="24"/>
        </w:rPr>
        <w:t>评标办法前附表2.1.1</w:t>
      </w:r>
      <w:r>
        <w:rPr>
          <w:rFonts w:hint="eastAsia" w:ascii="宋体" w:hAnsi="宋体"/>
          <w:sz w:val="24"/>
        </w:rPr>
        <w:t>的要求，对供应商的响应文件进行评审，有一项不符合的，视为未通过资格审查，不得进入下一评标过程。符合的进入下一评标程序。</w:t>
      </w:r>
    </w:p>
    <w:p w14:paraId="0631EDAF">
      <w:pPr>
        <w:widowControl/>
        <w:spacing w:line="360" w:lineRule="auto"/>
        <w:ind w:firstLine="480" w:firstLineChars="200"/>
        <w:jc w:val="left"/>
        <w:rPr>
          <w:rFonts w:ascii="宋体" w:hAnsi="宋体"/>
          <w:sz w:val="24"/>
        </w:rPr>
      </w:pPr>
      <w:r>
        <w:rPr>
          <w:rFonts w:hint="eastAsia" w:ascii="宋体" w:hAnsi="宋体"/>
          <w:sz w:val="24"/>
        </w:rPr>
        <w:t>2、符合性审查</w:t>
      </w:r>
    </w:p>
    <w:p w14:paraId="612F8827">
      <w:pPr>
        <w:widowControl/>
        <w:spacing w:line="360" w:lineRule="auto"/>
        <w:ind w:firstLine="480" w:firstLineChars="200"/>
        <w:jc w:val="left"/>
        <w:rPr>
          <w:rFonts w:ascii="宋体" w:hAnsi="宋体"/>
          <w:sz w:val="24"/>
        </w:rPr>
      </w:pPr>
      <w:r>
        <w:rPr>
          <w:rFonts w:hint="eastAsia" w:ascii="宋体" w:hAnsi="宋体"/>
          <w:sz w:val="24"/>
        </w:rPr>
        <w:t>磋商小组按照</w:t>
      </w:r>
      <w:r>
        <w:rPr>
          <w:rFonts w:hint="eastAsia" w:ascii="宋体" w:hAnsi="宋体"/>
          <w:b/>
          <w:sz w:val="24"/>
        </w:rPr>
        <w:t>评标办法前附表2.1.2</w:t>
      </w:r>
      <w:r>
        <w:rPr>
          <w:rFonts w:hint="eastAsia" w:ascii="宋体" w:hAnsi="宋体"/>
          <w:sz w:val="24"/>
        </w:rPr>
        <w:t>的要求，对供应商的响应文件进行评审，有一项不符合的，视为未通过符合性审查，不得进入下一评标过程。符合的进入下一评标程序。</w:t>
      </w:r>
    </w:p>
    <w:p w14:paraId="32C8AE5C">
      <w:pPr>
        <w:widowControl/>
        <w:spacing w:line="360" w:lineRule="auto"/>
        <w:ind w:firstLine="480" w:firstLineChars="200"/>
        <w:jc w:val="left"/>
        <w:rPr>
          <w:rFonts w:ascii="宋体" w:hAnsi="宋体"/>
          <w:sz w:val="24"/>
        </w:rPr>
      </w:pPr>
      <w:r>
        <w:rPr>
          <w:rFonts w:hint="eastAsia" w:ascii="宋体" w:hAnsi="宋体"/>
          <w:sz w:val="24"/>
        </w:rPr>
        <w:t>3、实质性响应审查</w:t>
      </w:r>
    </w:p>
    <w:p w14:paraId="7BEFCCB6">
      <w:pPr>
        <w:spacing w:line="360" w:lineRule="auto"/>
        <w:ind w:firstLine="480" w:firstLineChars="200"/>
        <w:rPr>
          <w:rFonts w:ascii="宋体" w:hAnsi="宋体"/>
          <w:sz w:val="24"/>
        </w:rPr>
      </w:pPr>
      <w:r>
        <w:rPr>
          <w:rFonts w:hint="eastAsia" w:ascii="宋体" w:hAnsi="宋体"/>
          <w:sz w:val="24"/>
        </w:rPr>
        <w:t>磋商小组按照</w:t>
      </w:r>
      <w:r>
        <w:rPr>
          <w:rFonts w:hint="eastAsia" w:ascii="宋体" w:hAnsi="宋体"/>
          <w:b/>
          <w:sz w:val="24"/>
        </w:rPr>
        <w:t>评标办法前附表2.1.3</w:t>
      </w:r>
      <w:r>
        <w:rPr>
          <w:rFonts w:hint="eastAsia" w:ascii="宋体" w:hAnsi="宋体"/>
          <w:sz w:val="24"/>
        </w:rPr>
        <w:t>的要求，对供应商的响应文件进行评审，有一项不符合的，视为未通过实质性响应审查，不得进入下一评标过程。符合的进入下一评标程序。</w:t>
      </w:r>
    </w:p>
    <w:p w14:paraId="24D5B12C">
      <w:pPr>
        <w:spacing w:line="360" w:lineRule="auto"/>
        <w:ind w:firstLine="413" w:firstLineChars="147"/>
        <w:rPr>
          <w:rFonts w:cs="宋体"/>
          <w:b/>
          <w:sz w:val="28"/>
          <w:szCs w:val="28"/>
        </w:rPr>
      </w:pPr>
      <w:r>
        <w:rPr>
          <w:rFonts w:hint="eastAsia" w:cs="宋体"/>
          <w:b/>
          <w:sz w:val="28"/>
          <w:szCs w:val="28"/>
        </w:rPr>
        <w:t>评标办法前附表：</w:t>
      </w:r>
    </w:p>
    <w:tbl>
      <w:tblPr>
        <w:tblStyle w:val="13"/>
        <w:tblW w:w="8418" w:type="dxa"/>
        <w:tblInd w:w="1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9"/>
        <w:gridCol w:w="575"/>
        <w:gridCol w:w="1548"/>
        <w:gridCol w:w="5546"/>
      </w:tblGrid>
      <w:tr w14:paraId="38144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1" w:hRule="atLeast"/>
        </w:trPr>
        <w:tc>
          <w:tcPr>
            <w:tcW w:w="749" w:type="dxa"/>
          </w:tcPr>
          <w:p w14:paraId="459DBBA9">
            <w:pPr>
              <w:pStyle w:val="32"/>
              <w:spacing w:before="64" w:line="360" w:lineRule="auto"/>
              <w:ind w:right="42"/>
              <w:jc w:val="center"/>
              <w:rPr>
                <w:sz w:val="24"/>
                <w:szCs w:val="24"/>
              </w:rPr>
            </w:pPr>
            <w:r>
              <w:rPr>
                <w:w w:val="95"/>
                <w:sz w:val="24"/>
                <w:szCs w:val="24"/>
              </w:rPr>
              <w:t>条款号</w:t>
            </w:r>
          </w:p>
        </w:tc>
        <w:tc>
          <w:tcPr>
            <w:tcW w:w="2123" w:type="dxa"/>
            <w:gridSpan w:val="2"/>
          </w:tcPr>
          <w:p w14:paraId="734716E2">
            <w:pPr>
              <w:pStyle w:val="32"/>
              <w:spacing w:before="64" w:line="360" w:lineRule="auto"/>
              <w:jc w:val="center"/>
              <w:rPr>
                <w:sz w:val="24"/>
                <w:szCs w:val="24"/>
              </w:rPr>
            </w:pPr>
            <w:r>
              <w:rPr>
                <w:sz w:val="24"/>
                <w:szCs w:val="24"/>
              </w:rPr>
              <w:t>评审因素</w:t>
            </w:r>
          </w:p>
        </w:tc>
        <w:tc>
          <w:tcPr>
            <w:tcW w:w="5546" w:type="dxa"/>
            <w:vAlign w:val="center"/>
          </w:tcPr>
          <w:p w14:paraId="7C5585A4">
            <w:pPr>
              <w:jc w:val="center"/>
            </w:pPr>
            <w:r>
              <w:rPr>
                <w:rFonts w:ascii="宋体" w:hAnsi="宋体" w:cs="宋体"/>
                <w:kern w:val="0"/>
                <w:sz w:val="24"/>
                <w:lang w:val="zh-CN" w:bidi="zh-CN"/>
              </w:rPr>
              <w:t>评审标准</w:t>
            </w:r>
          </w:p>
        </w:tc>
      </w:tr>
      <w:tr w14:paraId="60EBF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3" w:hRule="atLeast"/>
        </w:trPr>
        <w:tc>
          <w:tcPr>
            <w:tcW w:w="749" w:type="dxa"/>
            <w:vMerge w:val="restart"/>
            <w:vAlign w:val="center"/>
          </w:tcPr>
          <w:p w14:paraId="63E2B61C">
            <w:pPr>
              <w:pStyle w:val="32"/>
              <w:spacing w:line="360" w:lineRule="auto"/>
              <w:ind w:right="71"/>
              <w:jc w:val="center"/>
              <w:rPr>
                <w:sz w:val="24"/>
                <w:szCs w:val="24"/>
              </w:rPr>
            </w:pPr>
            <w:r>
              <w:rPr>
                <w:sz w:val="24"/>
                <w:szCs w:val="24"/>
              </w:rPr>
              <w:t>2.1.1</w:t>
            </w:r>
          </w:p>
        </w:tc>
        <w:tc>
          <w:tcPr>
            <w:tcW w:w="575" w:type="dxa"/>
            <w:vMerge w:val="restart"/>
            <w:vAlign w:val="center"/>
          </w:tcPr>
          <w:p w14:paraId="356DAAF7">
            <w:pPr>
              <w:pStyle w:val="32"/>
              <w:spacing w:line="360" w:lineRule="auto"/>
              <w:ind w:left="106"/>
              <w:jc w:val="center"/>
              <w:rPr>
                <w:sz w:val="24"/>
                <w:szCs w:val="24"/>
              </w:rPr>
            </w:pPr>
            <w:r>
              <w:rPr>
                <w:rFonts w:hint="eastAsia"/>
                <w:sz w:val="24"/>
                <w:szCs w:val="24"/>
              </w:rPr>
              <w:t>资</w:t>
            </w:r>
          </w:p>
          <w:p w14:paraId="6E34393A">
            <w:pPr>
              <w:pStyle w:val="32"/>
              <w:spacing w:line="360" w:lineRule="auto"/>
              <w:ind w:left="106"/>
              <w:jc w:val="center"/>
              <w:rPr>
                <w:sz w:val="24"/>
                <w:szCs w:val="24"/>
              </w:rPr>
            </w:pPr>
            <w:r>
              <w:rPr>
                <w:rFonts w:hint="eastAsia"/>
                <w:sz w:val="24"/>
                <w:szCs w:val="24"/>
              </w:rPr>
              <w:t>格</w:t>
            </w:r>
          </w:p>
          <w:p w14:paraId="70E97F24">
            <w:pPr>
              <w:pStyle w:val="32"/>
              <w:spacing w:line="360" w:lineRule="auto"/>
              <w:ind w:left="106"/>
              <w:jc w:val="center"/>
              <w:rPr>
                <w:sz w:val="24"/>
                <w:szCs w:val="24"/>
              </w:rPr>
            </w:pPr>
            <w:r>
              <w:rPr>
                <w:sz w:val="24"/>
                <w:szCs w:val="24"/>
              </w:rPr>
              <w:t>评</w:t>
            </w:r>
          </w:p>
          <w:p w14:paraId="24D7FCD9">
            <w:pPr>
              <w:pStyle w:val="32"/>
              <w:spacing w:line="360" w:lineRule="auto"/>
              <w:ind w:left="106"/>
              <w:jc w:val="center"/>
              <w:rPr>
                <w:sz w:val="24"/>
                <w:szCs w:val="24"/>
              </w:rPr>
            </w:pPr>
            <w:r>
              <w:rPr>
                <w:sz w:val="24"/>
                <w:szCs w:val="24"/>
              </w:rPr>
              <w:t>审</w:t>
            </w:r>
          </w:p>
          <w:p w14:paraId="3270C99A">
            <w:pPr>
              <w:pStyle w:val="32"/>
              <w:spacing w:line="360" w:lineRule="auto"/>
              <w:ind w:left="106"/>
              <w:jc w:val="center"/>
              <w:rPr>
                <w:sz w:val="24"/>
                <w:szCs w:val="24"/>
              </w:rPr>
            </w:pPr>
            <w:r>
              <w:rPr>
                <w:rFonts w:hint="eastAsia"/>
                <w:sz w:val="24"/>
                <w:szCs w:val="24"/>
              </w:rPr>
              <w:t>标</w:t>
            </w:r>
          </w:p>
          <w:p w14:paraId="3E1DDF33">
            <w:pPr>
              <w:pStyle w:val="32"/>
              <w:spacing w:line="360" w:lineRule="auto"/>
              <w:ind w:left="106"/>
              <w:jc w:val="center"/>
              <w:rPr>
                <w:sz w:val="24"/>
                <w:szCs w:val="24"/>
              </w:rPr>
            </w:pPr>
            <w:r>
              <w:rPr>
                <w:rFonts w:hint="eastAsia"/>
                <w:sz w:val="24"/>
                <w:szCs w:val="24"/>
              </w:rPr>
              <w:t>准</w:t>
            </w:r>
          </w:p>
        </w:tc>
        <w:tc>
          <w:tcPr>
            <w:tcW w:w="1548" w:type="dxa"/>
            <w:vAlign w:val="center"/>
          </w:tcPr>
          <w:p w14:paraId="29D71737">
            <w:pPr>
              <w:pStyle w:val="32"/>
              <w:spacing w:before="57" w:line="360" w:lineRule="auto"/>
              <w:ind w:left="121" w:right="2"/>
              <w:jc w:val="center"/>
              <w:rPr>
                <w:bCs/>
                <w:kern w:val="2"/>
                <w:sz w:val="24"/>
                <w:szCs w:val="24"/>
                <w:lang w:val="en-US" w:bidi="ar-SA"/>
              </w:rPr>
            </w:pPr>
            <w:r>
              <w:rPr>
                <w:rFonts w:hint="eastAsia"/>
                <w:bCs/>
                <w:kern w:val="2"/>
                <w:sz w:val="24"/>
                <w:szCs w:val="24"/>
                <w:lang w:val="en-US" w:bidi="ar-SA"/>
              </w:rPr>
              <w:t>满足《中华人民共和国政府采购法》第二十二条规定</w:t>
            </w:r>
          </w:p>
        </w:tc>
        <w:tc>
          <w:tcPr>
            <w:tcW w:w="5546" w:type="dxa"/>
            <w:vAlign w:val="center"/>
          </w:tcPr>
          <w:p w14:paraId="1FC70654">
            <w:pPr>
              <w:wordWrap w:val="0"/>
              <w:spacing w:line="360" w:lineRule="auto"/>
              <w:rPr>
                <w:rFonts w:ascii="宋体" w:hAnsi="宋体" w:cs="宋体"/>
                <w:sz w:val="24"/>
              </w:rPr>
            </w:pPr>
            <w:r>
              <w:rPr>
                <w:rFonts w:hint="eastAsia" w:ascii="宋体" w:hAnsi="宋体" w:cs="宋体"/>
                <w:sz w:val="24"/>
              </w:rPr>
              <w:t>供应商满足《中华人民共和国政府采购法》第二十二条规定条件（提供相关证明资料或承诺书）</w:t>
            </w:r>
          </w:p>
        </w:tc>
      </w:tr>
      <w:tr w14:paraId="0211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3" w:hRule="atLeast"/>
        </w:trPr>
        <w:tc>
          <w:tcPr>
            <w:tcW w:w="749" w:type="dxa"/>
            <w:vMerge w:val="continue"/>
            <w:vAlign w:val="center"/>
          </w:tcPr>
          <w:p w14:paraId="27B1CCEC">
            <w:pPr>
              <w:pStyle w:val="32"/>
              <w:spacing w:line="360" w:lineRule="auto"/>
              <w:ind w:right="71"/>
              <w:jc w:val="center"/>
              <w:rPr>
                <w:sz w:val="24"/>
                <w:szCs w:val="24"/>
              </w:rPr>
            </w:pPr>
          </w:p>
        </w:tc>
        <w:tc>
          <w:tcPr>
            <w:tcW w:w="575" w:type="dxa"/>
            <w:vMerge w:val="continue"/>
            <w:vAlign w:val="center"/>
          </w:tcPr>
          <w:p w14:paraId="4EE5F965">
            <w:pPr>
              <w:pStyle w:val="32"/>
              <w:spacing w:line="360" w:lineRule="auto"/>
              <w:ind w:left="106"/>
              <w:jc w:val="center"/>
              <w:rPr>
                <w:sz w:val="24"/>
                <w:szCs w:val="24"/>
              </w:rPr>
            </w:pPr>
          </w:p>
        </w:tc>
        <w:tc>
          <w:tcPr>
            <w:tcW w:w="1548" w:type="dxa"/>
            <w:vAlign w:val="center"/>
          </w:tcPr>
          <w:p w14:paraId="104CB69D">
            <w:pPr>
              <w:pStyle w:val="32"/>
              <w:spacing w:before="57" w:line="360" w:lineRule="auto"/>
              <w:ind w:left="121" w:right="2"/>
              <w:jc w:val="center"/>
              <w:rPr>
                <w:bCs/>
                <w:kern w:val="2"/>
                <w:sz w:val="24"/>
                <w:szCs w:val="24"/>
                <w:lang w:val="en-US" w:bidi="ar-SA"/>
              </w:rPr>
            </w:pPr>
            <w:r>
              <w:rPr>
                <w:rFonts w:hint="eastAsia"/>
                <w:bCs/>
                <w:kern w:val="2"/>
                <w:sz w:val="24"/>
                <w:szCs w:val="24"/>
                <w:lang w:val="en-US" w:bidi="ar-SA"/>
              </w:rPr>
              <w:t>中小企业声明函</w:t>
            </w:r>
          </w:p>
        </w:tc>
        <w:tc>
          <w:tcPr>
            <w:tcW w:w="5546" w:type="dxa"/>
            <w:vAlign w:val="center"/>
          </w:tcPr>
          <w:p w14:paraId="75DAB260">
            <w:pPr>
              <w:wordWrap w:val="0"/>
              <w:spacing w:line="360" w:lineRule="auto"/>
              <w:rPr>
                <w:rFonts w:ascii="宋体" w:hAnsi="宋体" w:cs="宋体"/>
                <w:sz w:val="24"/>
              </w:rPr>
            </w:pPr>
            <w:r>
              <w:rPr>
                <w:rFonts w:hint="eastAsia" w:ascii="宋体" w:hAnsi="宋体" w:cs="宋体"/>
                <w:sz w:val="24"/>
              </w:rPr>
              <w:t>本项目专门面向中小微企业采购项目,执行促进中小企业（监狱企业、残疾人福利性企业）发展等政府采购政策。供应商提供中小企业声明函。</w:t>
            </w:r>
          </w:p>
        </w:tc>
      </w:tr>
      <w:tr w14:paraId="054DE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749" w:type="dxa"/>
            <w:vMerge w:val="continue"/>
            <w:vAlign w:val="center"/>
          </w:tcPr>
          <w:p w14:paraId="295B9C35">
            <w:pPr>
              <w:pStyle w:val="32"/>
              <w:spacing w:line="360" w:lineRule="auto"/>
              <w:ind w:right="71"/>
              <w:jc w:val="center"/>
              <w:rPr>
                <w:sz w:val="24"/>
                <w:szCs w:val="24"/>
              </w:rPr>
            </w:pPr>
          </w:p>
        </w:tc>
        <w:tc>
          <w:tcPr>
            <w:tcW w:w="575" w:type="dxa"/>
            <w:vMerge w:val="continue"/>
            <w:vAlign w:val="center"/>
          </w:tcPr>
          <w:p w14:paraId="0AD5ACC1">
            <w:pPr>
              <w:pStyle w:val="32"/>
              <w:spacing w:line="360" w:lineRule="auto"/>
              <w:ind w:left="106"/>
              <w:jc w:val="center"/>
              <w:rPr>
                <w:sz w:val="24"/>
                <w:szCs w:val="24"/>
              </w:rPr>
            </w:pPr>
          </w:p>
        </w:tc>
        <w:tc>
          <w:tcPr>
            <w:tcW w:w="1548" w:type="dxa"/>
            <w:vAlign w:val="center"/>
          </w:tcPr>
          <w:p w14:paraId="560942A7">
            <w:pPr>
              <w:pStyle w:val="32"/>
              <w:spacing w:before="57" w:line="360" w:lineRule="auto"/>
              <w:ind w:left="121" w:right="2"/>
              <w:jc w:val="center"/>
              <w:rPr>
                <w:bCs/>
                <w:kern w:val="2"/>
                <w:sz w:val="24"/>
                <w:szCs w:val="24"/>
                <w:lang w:val="en-US" w:bidi="ar-SA"/>
              </w:rPr>
            </w:pPr>
            <w:r>
              <w:rPr>
                <w:rFonts w:hint="eastAsia"/>
                <w:bCs/>
                <w:kern w:val="2"/>
                <w:sz w:val="24"/>
                <w:szCs w:val="24"/>
                <w:lang w:val="en-US" w:bidi="ar-SA"/>
              </w:rPr>
              <w:t>营业执照</w:t>
            </w:r>
          </w:p>
        </w:tc>
        <w:tc>
          <w:tcPr>
            <w:tcW w:w="5546" w:type="dxa"/>
            <w:vAlign w:val="center"/>
          </w:tcPr>
          <w:p w14:paraId="4EBB5994">
            <w:pPr>
              <w:wordWrap w:val="0"/>
              <w:spacing w:line="360" w:lineRule="auto"/>
              <w:rPr>
                <w:rFonts w:ascii="宋体" w:hAnsi="宋体" w:cs="宋体"/>
                <w:bCs/>
                <w:sz w:val="24"/>
                <w:lang w:val="zh-CN"/>
              </w:rPr>
            </w:pPr>
            <w:r>
              <w:rPr>
                <w:rFonts w:hint="eastAsia" w:ascii="宋体" w:hAnsi="宋体" w:cs="宋体"/>
                <w:sz w:val="24"/>
              </w:rPr>
              <w:t>供应商具有独立承担民事责任的能力；(供应商是企业（包括合伙企业），应提供在市场监督管理局注册的有效“企业法人营业执照”；供应商是事业单位，应提供有效的“事业单位法人证书”)</w:t>
            </w:r>
          </w:p>
        </w:tc>
      </w:tr>
      <w:tr w14:paraId="72889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749" w:type="dxa"/>
            <w:vMerge w:val="continue"/>
            <w:vAlign w:val="center"/>
          </w:tcPr>
          <w:p w14:paraId="7D034FEA">
            <w:pPr>
              <w:pStyle w:val="32"/>
              <w:spacing w:line="360" w:lineRule="auto"/>
              <w:ind w:right="71"/>
              <w:jc w:val="center"/>
              <w:rPr>
                <w:sz w:val="24"/>
                <w:szCs w:val="24"/>
              </w:rPr>
            </w:pPr>
          </w:p>
        </w:tc>
        <w:tc>
          <w:tcPr>
            <w:tcW w:w="575" w:type="dxa"/>
            <w:vMerge w:val="continue"/>
            <w:vAlign w:val="center"/>
          </w:tcPr>
          <w:p w14:paraId="45B85917">
            <w:pPr>
              <w:pStyle w:val="32"/>
              <w:spacing w:line="360" w:lineRule="auto"/>
              <w:ind w:left="106"/>
              <w:jc w:val="center"/>
              <w:rPr>
                <w:sz w:val="24"/>
                <w:szCs w:val="24"/>
              </w:rPr>
            </w:pPr>
          </w:p>
        </w:tc>
        <w:tc>
          <w:tcPr>
            <w:tcW w:w="1548" w:type="dxa"/>
            <w:vAlign w:val="center"/>
          </w:tcPr>
          <w:p w14:paraId="7CF69332">
            <w:pPr>
              <w:pStyle w:val="32"/>
              <w:spacing w:before="57" w:line="360" w:lineRule="auto"/>
              <w:ind w:left="121" w:right="2"/>
              <w:jc w:val="center"/>
              <w:rPr>
                <w:bCs/>
                <w:kern w:val="2"/>
                <w:sz w:val="24"/>
                <w:szCs w:val="24"/>
                <w:lang w:val="en-US" w:bidi="ar-SA"/>
              </w:rPr>
            </w:pPr>
            <w:r>
              <w:rPr>
                <w:rFonts w:hint="eastAsia"/>
                <w:bCs/>
                <w:kern w:val="2"/>
                <w:sz w:val="24"/>
                <w:szCs w:val="24"/>
                <w:lang w:val="en-US" w:bidi="ar-SA"/>
              </w:rPr>
              <w:t>资质证书</w:t>
            </w:r>
          </w:p>
        </w:tc>
        <w:tc>
          <w:tcPr>
            <w:tcW w:w="5546" w:type="dxa"/>
            <w:vAlign w:val="center"/>
          </w:tcPr>
          <w:p w14:paraId="2993B0F7">
            <w:pPr>
              <w:wordWrap w:val="0"/>
              <w:spacing w:line="360" w:lineRule="auto"/>
              <w:rPr>
                <w:rFonts w:hint="eastAsia" w:ascii="宋体" w:hAnsi="宋体" w:cs="宋体"/>
                <w:sz w:val="24"/>
              </w:rPr>
            </w:pPr>
            <w:r>
              <w:rPr>
                <w:rFonts w:hint="eastAsia" w:ascii="宋体" w:hAnsi="宋体" w:cs="宋体"/>
                <w:sz w:val="24"/>
              </w:rPr>
              <w:t>一标段：供应商须具有行政主管部门核发的工程设计水利行业（河道整治）专业乙级及以上资质；</w:t>
            </w:r>
          </w:p>
          <w:p w14:paraId="0B2FA626">
            <w:pPr>
              <w:wordWrap w:val="0"/>
              <w:spacing w:line="360" w:lineRule="auto"/>
              <w:rPr>
                <w:rFonts w:hint="eastAsia" w:ascii="宋体" w:hAnsi="宋体" w:cs="宋体"/>
                <w:sz w:val="24"/>
              </w:rPr>
            </w:pPr>
            <w:r>
              <w:rPr>
                <w:rFonts w:hint="eastAsia" w:ascii="宋体" w:hAnsi="宋体" w:cs="宋体"/>
                <w:sz w:val="24"/>
              </w:rPr>
              <w:t>二标段：供应商须具有有关主管部门颁发的资产评估资格证书（或备案证明）（提供相关证明材料并加盖公章）</w:t>
            </w:r>
          </w:p>
          <w:p w14:paraId="1DA21C70">
            <w:pPr>
              <w:wordWrap w:val="0"/>
              <w:spacing w:line="360" w:lineRule="auto"/>
              <w:rPr>
                <w:rFonts w:ascii="宋体" w:hAnsi="宋体" w:cs="宋体"/>
                <w:sz w:val="24"/>
              </w:rPr>
            </w:pPr>
          </w:p>
        </w:tc>
      </w:tr>
      <w:tr w14:paraId="5E96D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trPr>
        <w:tc>
          <w:tcPr>
            <w:tcW w:w="749" w:type="dxa"/>
            <w:vMerge w:val="continue"/>
            <w:vAlign w:val="center"/>
          </w:tcPr>
          <w:p w14:paraId="5F579217">
            <w:pPr>
              <w:pStyle w:val="32"/>
              <w:spacing w:line="360" w:lineRule="auto"/>
              <w:ind w:right="71"/>
              <w:jc w:val="center"/>
              <w:rPr>
                <w:sz w:val="24"/>
                <w:szCs w:val="24"/>
              </w:rPr>
            </w:pPr>
          </w:p>
        </w:tc>
        <w:tc>
          <w:tcPr>
            <w:tcW w:w="575" w:type="dxa"/>
            <w:vMerge w:val="continue"/>
            <w:vAlign w:val="center"/>
          </w:tcPr>
          <w:p w14:paraId="19EE34D6">
            <w:pPr>
              <w:pStyle w:val="32"/>
              <w:spacing w:line="360" w:lineRule="auto"/>
              <w:ind w:left="106"/>
              <w:jc w:val="center"/>
              <w:rPr>
                <w:sz w:val="24"/>
                <w:szCs w:val="24"/>
              </w:rPr>
            </w:pPr>
          </w:p>
        </w:tc>
        <w:tc>
          <w:tcPr>
            <w:tcW w:w="1548" w:type="dxa"/>
            <w:vAlign w:val="center"/>
          </w:tcPr>
          <w:p w14:paraId="762F1DE1">
            <w:pPr>
              <w:pStyle w:val="32"/>
              <w:spacing w:before="57" w:line="360" w:lineRule="auto"/>
              <w:ind w:left="121" w:right="2"/>
              <w:jc w:val="center"/>
              <w:rPr>
                <w:bCs/>
                <w:kern w:val="2"/>
                <w:sz w:val="24"/>
                <w:szCs w:val="24"/>
                <w:lang w:val="en-US" w:bidi="ar-SA"/>
              </w:rPr>
            </w:pPr>
            <w:r>
              <w:rPr>
                <w:rFonts w:hint="eastAsia"/>
                <w:bCs/>
                <w:kern w:val="2"/>
                <w:sz w:val="24"/>
                <w:szCs w:val="24"/>
                <w:lang w:val="en-US" w:bidi="ar-SA"/>
              </w:rPr>
              <w:t>项目负责人</w:t>
            </w:r>
          </w:p>
        </w:tc>
        <w:tc>
          <w:tcPr>
            <w:tcW w:w="5546" w:type="dxa"/>
            <w:vAlign w:val="center"/>
          </w:tcPr>
          <w:p w14:paraId="6B447E0D">
            <w:pPr>
              <w:wordWrap w:val="0"/>
              <w:spacing w:line="360" w:lineRule="auto"/>
              <w:rPr>
                <w:rFonts w:hint="eastAsia" w:ascii="宋体" w:hAnsi="宋体" w:cs="宋体"/>
                <w:sz w:val="24"/>
              </w:rPr>
            </w:pPr>
            <w:r>
              <w:rPr>
                <w:rFonts w:hint="eastAsia" w:ascii="宋体" w:hAnsi="宋体" w:cs="宋体"/>
                <w:sz w:val="24"/>
              </w:rPr>
              <w:t>一标段：项目负责人须具有水利相关专业中级及以上职称（提供本单位为其缴纳的社保证明）；</w:t>
            </w:r>
          </w:p>
          <w:p w14:paraId="712504D3">
            <w:pPr>
              <w:wordWrap w:val="0"/>
              <w:spacing w:line="360" w:lineRule="auto"/>
              <w:rPr>
                <w:rFonts w:ascii="宋体" w:hAnsi="宋体" w:cs="宋体"/>
                <w:sz w:val="24"/>
              </w:rPr>
            </w:pPr>
            <w:r>
              <w:rPr>
                <w:rFonts w:hint="eastAsia" w:ascii="宋体" w:hAnsi="宋体" w:cs="宋体"/>
                <w:sz w:val="24"/>
              </w:rPr>
              <w:t>二标段：项目负责人须具有资产评估师证书（提供本单位为其缴纳的社保证明、执业证书证明材料）</w:t>
            </w:r>
          </w:p>
        </w:tc>
      </w:tr>
      <w:tr w14:paraId="39955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749" w:type="dxa"/>
            <w:vMerge w:val="continue"/>
            <w:vAlign w:val="center"/>
          </w:tcPr>
          <w:p w14:paraId="271848A4">
            <w:pPr>
              <w:pStyle w:val="32"/>
              <w:spacing w:line="360" w:lineRule="auto"/>
              <w:ind w:right="71"/>
              <w:jc w:val="center"/>
              <w:rPr>
                <w:sz w:val="24"/>
                <w:szCs w:val="24"/>
              </w:rPr>
            </w:pPr>
          </w:p>
        </w:tc>
        <w:tc>
          <w:tcPr>
            <w:tcW w:w="575" w:type="dxa"/>
            <w:vMerge w:val="continue"/>
            <w:vAlign w:val="center"/>
          </w:tcPr>
          <w:p w14:paraId="228C722C">
            <w:pPr>
              <w:pStyle w:val="32"/>
              <w:spacing w:line="360" w:lineRule="auto"/>
              <w:ind w:left="106"/>
              <w:jc w:val="center"/>
              <w:rPr>
                <w:sz w:val="24"/>
                <w:szCs w:val="24"/>
              </w:rPr>
            </w:pPr>
          </w:p>
        </w:tc>
        <w:tc>
          <w:tcPr>
            <w:tcW w:w="1548" w:type="dxa"/>
            <w:vAlign w:val="center"/>
          </w:tcPr>
          <w:p w14:paraId="17F638A4">
            <w:pPr>
              <w:pStyle w:val="32"/>
              <w:spacing w:before="57" w:line="360" w:lineRule="auto"/>
              <w:ind w:left="121" w:right="2"/>
              <w:jc w:val="center"/>
              <w:rPr>
                <w:bCs/>
                <w:kern w:val="2"/>
                <w:sz w:val="24"/>
                <w:szCs w:val="24"/>
                <w:lang w:val="en-US" w:bidi="ar-SA"/>
              </w:rPr>
            </w:pPr>
            <w:r>
              <w:rPr>
                <w:rFonts w:hint="eastAsia"/>
                <w:bCs/>
                <w:kern w:val="2"/>
                <w:sz w:val="24"/>
                <w:szCs w:val="24"/>
                <w:lang w:val="en-US" w:bidi="ar-SA"/>
              </w:rPr>
              <w:t>无行贿查询</w:t>
            </w:r>
          </w:p>
        </w:tc>
        <w:tc>
          <w:tcPr>
            <w:tcW w:w="5546" w:type="dxa"/>
            <w:vAlign w:val="center"/>
          </w:tcPr>
          <w:p w14:paraId="638FD9ED">
            <w:pPr>
              <w:spacing w:line="360" w:lineRule="auto"/>
              <w:rPr>
                <w:rFonts w:ascii="宋体" w:hAnsi="宋体" w:cs="宋体"/>
                <w:bCs/>
                <w:sz w:val="24"/>
              </w:rPr>
            </w:pPr>
            <w:r>
              <w:rPr>
                <w:rFonts w:hint="eastAsia" w:ascii="宋体" w:hAnsi="宋体" w:cs="宋体"/>
                <w:bCs/>
                <w:sz w:val="24"/>
              </w:rPr>
              <w:t>供应商出具无行贿犯罪记录在中国裁判文书网自行查询或自行承诺（查询对象：企业、法定代表人）；</w:t>
            </w:r>
          </w:p>
        </w:tc>
      </w:tr>
      <w:tr w14:paraId="4C35C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 w:hRule="atLeast"/>
        </w:trPr>
        <w:tc>
          <w:tcPr>
            <w:tcW w:w="749" w:type="dxa"/>
            <w:vMerge w:val="continue"/>
            <w:vAlign w:val="center"/>
          </w:tcPr>
          <w:p w14:paraId="12873BDD">
            <w:pPr>
              <w:pStyle w:val="32"/>
              <w:spacing w:line="360" w:lineRule="auto"/>
              <w:ind w:right="71"/>
              <w:jc w:val="center"/>
              <w:rPr>
                <w:sz w:val="24"/>
                <w:szCs w:val="24"/>
              </w:rPr>
            </w:pPr>
          </w:p>
        </w:tc>
        <w:tc>
          <w:tcPr>
            <w:tcW w:w="575" w:type="dxa"/>
            <w:vMerge w:val="continue"/>
            <w:vAlign w:val="center"/>
          </w:tcPr>
          <w:p w14:paraId="3AEA6F33">
            <w:pPr>
              <w:pStyle w:val="32"/>
              <w:spacing w:line="360" w:lineRule="auto"/>
              <w:ind w:left="106"/>
              <w:jc w:val="center"/>
              <w:rPr>
                <w:sz w:val="24"/>
                <w:szCs w:val="24"/>
              </w:rPr>
            </w:pPr>
          </w:p>
        </w:tc>
        <w:tc>
          <w:tcPr>
            <w:tcW w:w="1548" w:type="dxa"/>
            <w:vAlign w:val="center"/>
          </w:tcPr>
          <w:p w14:paraId="12E82FAF">
            <w:pPr>
              <w:pStyle w:val="32"/>
              <w:spacing w:before="57" w:line="360" w:lineRule="auto"/>
              <w:ind w:left="121" w:right="2"/>
              <w:jc w:val="center"/>
              <w:rPr>
                <w:bCs/>
                <w:kern w:val="2"/>
                <w:sz w:val="24"/>
                <w:szCs w:val="24"/>
                <w:lang w:val="en-US" w:bidi="ar-SA"/>
              </w:rPr>
            </w:pPr>
            <w:r>
              <w:rPr>
                <w:rFonts w:hint="eastAsia"/>
                <w:bCs/>
                <w:kern w:val="2"/>
                <w:sz w:val="24"/>
                <w:szCs w:val="24"/>
                <w:lang w:val="en-US" w:bidi="ar-SA"/>
              </w:rPr>
              <w:t>无商业贿赂和不正当竞争行为承诺书</w:t>
            </w:r>
          </w:p>
        </w:tc>
        <w:tc>
          <w:tcPr>
            <w:tcW w:w="5546" w:type="dxa"/>
            <w:vAlign w:val="center"/>
          </w:tcPr>
          <w:p w14:paraId="27313800">
            <w:pPr>
              <w:spacing w:line="360" w:lineRule="auto"/>
              <w:rPr>
                <w:rFonts w:ascii="宋体" w:hAnsi="宋体" w:cs="宋体"/>
                <w:bCs/>
                <w:sz w:val="24"/>
              </w:rPr>
            </w:pPr>
            <w:r>
              <w:rPr>
                <w:rFonts w:hint="eastAsia" w:ascii="宋体" w:hAnsi="宋体" w:cs="宋体"/>
                <w:bCs/>
                <w:sz w:val="24"/>
              </w:rPr>
              <w:t>供应商须提供本企业无商业贿赂和不正当竞争行为承诺书；</w:t>
            </w:r>
          </w:p>
        </w:tc>
      </w:tr>
      <w:tr w14:paraId="65F1B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4" w:hRule="atLeast"/>
        </w:trPr>
        <w:tc>
          <w:tcPr>
            <w:tcW w:w="749" w:type="dxa"/>
            <w:vMerge w:val="continue"/>
          </w:tcPr>
          <w:p w14:paraId="20ACD6A5">
            <w:pPr>
              <w:pStyle w:val="32"/>
              <w:spacing w:line="360" w:lineRule="auto"/>
              <w:rPr>
                <w:sz w:val="24"/>
                <w:szCs w:val="24"/>
              </w:rPr>
            </w:pPr>
          </w:p>
        </w:tc>
        <w:tc>
          <w:tcPr>
            <w:tcW w:w="575" w:type="dxa"/>
            <w:vMerge w:val="continue"/>
          </w:tcPr>
          <w:p w14:paraId="7321B5D7">
            <w:pPr>
              <w:pStyle w:val="32"/>
              <w:spacing w:line="360" w:lineRule="auto"/>
              <w:rPr>
                <w:sz w:val="24"/>
                <w:szCs w:val="24"/>
              </w:rPr>
            </w:pPr>
          </w:p>
        </w:tc>
        <w:tc>
          <w:tcPr>
            <w:tcW w:w="1548" w:type="dxa"/>
            <w:tcBorders>
              <w:bottom w:val="nil"/>
            </w:tcBorders>
            <w:vAlign w:val="center"/>
          </w:tcPr>
          <w:p w14:paraId="62F29843">
            <w:pPr>
              <w:pStyle w:val="32"/>
              <w:spacing w:line="360" w:lineRule="auto"/>
              <w:jc w:val="center"/>
              <w:rPr>
                <w:rFonts w:cs="Times New Roman"/>
                <w:kern w:val="2"/>
                <w:sz w:val="24"/>
                <w:szCs w:val="24"/>
                <w:lang w:val="en-US" w:bidi="ar-SA"/>
              </w:rPr>
            </w:pPr>
            <w:r>
              <w:rPr>
                <w:rFonts w:hint="eastAsia" w:cs="Times New Roman"/>
                <w:kern w:val="2"/>
                <w:sz w:val="24"/>
                <w:szCs w:val="24"/>
                <w:lang w:val="en-US" w:bidi="ar-SA"/>
              </w:rPr>
              <w:t>信用查询</w:t>
            </w:r>
          </w:p>
        </w:tc>
        <w:tc>
          <w:tcPr>
            <w:tcW w:w="5546" w:type="dxa"/>
            <w:tcBorders>
              <w:bottom w:val="nil"/>
            </w:tcBorders>
            <w:vAlign w:val="center"/>
          </w:tcPr>
          <w:p w14:paraId="7EC1E7B1">
            <w:pPr>
              <w:spacing w:line="360" w:lineRule="auto"/>
              <w:rPr>
                <w:rFonts w:ascii="宋体" w:hAnsi="宋体"/>
                <w:sz w:val="24"/>
              </w:rPr>
            </w:pPr>
            <w:r>
              <w:rPr>
                <w:rFonts w:hint="eastAsia" w:ascii="宋体" w:hAnsi="宋体" w:cs="宋体"/>
                <w:bCs/>
                <w:sz w:val="24"/>
              </w:rPr>
              <w:t>供应商没有被列入“中国执行信息公开网”的“失信被执行人”、“信用中国”的“重大税收违法失信主体”及“中国政府采购网站”的“政府采购严重违法失信行为记录名单”。【查询渠道：“中国执行信息公开网”（http://zxgk.court.gov.cn/）“信用中国”网站（www.creditchina.gov.cn）、“中国政府采购网”（www.ccgp.gov.cn）】(注：査询时间必须是本公告发布之后开标之前，查询结果清晰可见)；</w:t>
            </w:r>
          </w:p>
        </w:tc>
      </w:tr>
      <w:tr w14:paraId="5F3B1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5" w:hRule="atLeast"/>
        </w:trPr>
        <w:tc>
          <w:tcPr>
            <w:tcW w:w="749" w:type="dxa"/>
            <w:vMerge w:val="continue"/>
          </w:tcPr>
          <w:p w14:paraId="729C701B">
            <w:pPr>
              <w:pStyle w:val="32"/>
              <w:spacing w:line="360" w:lineRule="auto"/>
              <w:rPr>
                <w:sz w:val="24"/>
                <w:szCs w:val="24"/>
              </w:rPr>
            </w:pPr>
          </w:p>
        </w:tc>
        <w:tc>
          <w:tcPr>
            <w:tcW w:w="575" w:type="dxa"/>
            <w:vMerge w:val="continue"/>
          </w:tcPr>
          <w:p w14:paraId="5AB15721">
            <w:pPr>
              <w:pStyle w:val="32"/>
              <w:spacing w:line="360" w:lineRule="auto"/>
              <w:rPr>
                <w:sz w:val="24"/>
                <w:szCs w:val="24"/>
              </w:rPr>
            </w:pPr>
          </w:p>
        </w:tc>
        <w:tc>
          <w:tcPr>
            <w:tcW w:w="1548" w:type="dxa"/>
            <w:vAlign w:val="center"/>
          </w:tcPr>
          <w:p w14:paraId="4C06F487">
            <w:pPr>
              <w:pStyle w:val="32"/>
              <w:spacing w:line="360" w:lineRule="auto"/>
              <w:jc w:val="center"/>
              <w:rPr>
                <w:rFonts w:cs="Times New Roman"/>
                <w:kern w:val="2"/>
                <w:sz w:val="24"/>
                <w:szCs w:val="24"/>
                <w:lang w:val="en-US" w:bidi="ar-SA"/>
              </w:rPr>
            </w:pPr>
            <w:r>
              <w:rPr>
                <w:rFonts w:hint="eastAsia" w:cs="Times New Roman"/>
                <w:kern w:val="2"/>
                <w:sz w:val="24"/>
                <w:szCs w:val="24"/>
                <w:lang w:val="en-US" w:bidi="ar-SA"/>
              </w:rPr>
              <w:t>联合体投标</w:t>
            </w:r>
          </w:p>
        </w:tc>
        <w:tc>
          <w:tcPr>
            <w:tcW w:w="5546" w:type="dxa"/>
            <w:tcBorders>
              <w:bottom w:val="nil"/>
            </w:tcBorders>
            <w:vAlign w:val="center"/>
          </w:tcPr>
          <w:p w14:paraId="6C750B1C">
            <w:pPr>
              <w:wordWrap w:val="0"/>
              <w:spacing w:line="360" w:lineRule="auto"/>
              <w:rPr>
                <w:rFonts w:ascii="宋体" w:hAnsi="宋体"/>
                <w:sz w:val="24"/>
              </w:rPr>
            </w:pPr>
            <w:r>
              <w:rPr>
                <w:rFonts w:hint="eastAsia" w:ascii="宋体" w:hAnsi="宋体"/>
                <w:sz w:val="24"/>
              </w:rPr>
              <w:t>本项目不接受联合体投标</w:t>
            </w:r>
          </w:p>
        </w:tc>
      </w:tr>
      <w:tr w14:paraId="36241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749" w:type="dxa"/>
            <w:vMerge w:val="restart"/>
            <w:vAlign w:val="center"/>
          </w:tcPr>
          <w:p w14:paraId="63B54D2E">
            <w:pPr>
              <w:pStyle w:val="32"/>
              <w:spacing w:line="360" w:lineRule="auto"/>
              <w:jc w:val="center"/>
              <w:rPr>
                <w:sz w:val="24"/>
                <w:szCs w:val="24"/>
              </w:rPr>
            </w:pPr>
            <w:r>
              <w:rPr>
                <w:sz w:val="24"/>
                <w:szCs w:val="24"/>
              </w:rPr>
              <w:t>2.1.2</w:t>
            </w:r>
          </w:p>
        </w:tc>
        <w:tc>
          <w:tcPr>
            <w:tcW w:w="575" w:type="dxa"/>
            <w:vMerge w:val="restart"/>
            <w:vAlign w:val="center"/>
          </w:tcPr>
          <w:p w14:paraId="5C6868C4">
            <w:pPr>
              <w:pStyle w:val="32"/>
              <w:spacing w:line="360" w:lineRule="auto"/>
              <w:ind w:right="68"/>
              <w:jc w:val="center"/>
              <w:rPr>
                <w:sz w:val="24"/>
                <w:szCs w:val="24"/>
              </w:rPr>
            </w:pPr>
            <w:r>
              <w:rPr>
                <w:sz w:val="24"/>
                <w:szCs w:val="24"/>
              </w:rPr>
              <w:t>符合性评审标准</w:t>
            </w:r>
          </w:p>
        </w:tc>
        <w:tc>
          <w:tcPr>
            <w:tcW w:w="1548" w:type="dxa"/>
            <w:tcBorders>
              <w:bottom w:val="single" w:color="auto" w:sz="4" w:space="0"/>
            </w:tcBorders>
          </w:tcPr>
          <w:p w14:paraId="0D019738">
            <w:pPr>
              <w:pStyle w:val="32"/>
              <w:spacing w:before="77" w:line="360" w:lineRule="auto"/>
              <w:ind w:left="108"/>
              <w:jc w:val="center"/>
              <w:rPr>
                <w:sz w:val="24"/>
                <w:szCs w:val="24"/>
                <w:lang w:val="en-US"/>
              </w:rPr>
            </w:pPr>
            <w:r>
              <w:rPr>
                <w:rFonts w:hint="eastAsia"/>
                <w:sz w:val="24"/>
                <w:szCs w:val="24"/>
                <w:lang w:val="en-US"/>
              </w:rPr>
              <w:t>供应商名称</w:t>
            </w:r>
          </w:p>
        </w:tc>
        <w:tc>
          <w:tcPr>
            <w:tcW w:w="5546" w:type="dxa"/>
            <w:tcBorders>
              <w:bottom w:val="single" w:color="auto" w:sz="4" w:space="0"/>
            </w:tcBorders>
          </w:tcPr>
          <w:p w14:paraId="6D387B85">
            <w:pPr>
              <w:pStyle w:val="32"/>
              <w:spacing w:before="77" w:line="360" w:lineRule="auto"/>
              <w:ind w:left="108"/>
              <w:rPr>
                <w:sz w:val="24"/>
                <w:szCs w:val="24"/>
              </w:rPr>
            </w:pPr>
            <w:r>
              <w:rPr>
                <w:rFonts w:hint="eastAsia"/>
                <w:sz w:val="24"/>
                <w:szCs w:val="24"/>
              </w:rPr>
              <w:t>与营业执照一致</w:t>
            </w:r>
          </w:p>
        </w:tc>
      </w:tr>
      <w:tr w14:paraId="204E2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49" w:type="dxa"/>
            <w:vMerge w:val="continue"/>
            <w:vAlign w:val="center"/>
          </w:tcPr>
          <w:p w14:paraId="347C3F82">
            <w:pPr>
              <w:pStyle w:val="32"/>
              <w:spacing w:line="360" w:lineRule="auto"/>
              <w:jc w:val="center"/>
              <w:rPr>
                <w:sz w:val="24"/>
                <w:szCs w:val="24"/>
              </w:rPr>
            </w:pPr>
          </w:p>
        </w:tc>
        <w:tc>
          <w:tcPr>
            <w:tcW w:w="575" w:type="dxa"/>
            <w:vMerge w:val="continue"/>
            <w:vAlign w:val="center"/>
          </w:tcPr>
          <w:p w14:paraId="6FE068CB">
            <w:pPr>
              <w:pStyle w:val="32"/>
              <w:spacing w:line="360" w:lineRule="auto"/>
              <w:ind w:right="68"/>
              <w:jc w:val="center"/>
              <w:rPr>
                <w:sz w:val="24"/>
                <w:szCs w:val="24"/>
              </w:rPr>
            </w:pPr>
          </w:p>
        </w:tc>
        <w:tc>
          <w:tcPr>
            <w:tcW w:w="1548" w:type="dxa"/>
            <w:tcBorders>
              <w:top w:val="single" w:color="auto" w:sz="4" w:space="0"/>
            </w:tcBorders>
          </w:tcPr>
          <w:p w14:paraId="1F5A6762">
            <w:pPr>
              <w:pStyle w:val="32"/>
              <w:spacing w:before="77" w:line="360" w:lineRule="auto"/>
              <w:ind w:left="108"/>
              <w:jc w:val="center"/>
              <w:rPr>
                <w:sz w:val="24"/>
                <w:szCs w:val="24"/>
              </w:rPr>
            </w:pPr>
            <w:r>
              <w:rPr>
                <w:sz w:val="24"/>
                <w:szCs w:val="24"/>
              </w:rPr>
              <w:t>报价函签章</w:t>
            </w:r>
          </w:p>
        </w:tc>
        <w:tc>
          <w:tcPr>
            <w:tcW w:w="5546" w:type="dxa"/>
            <w:tcBorders>
              <w:top w:val="single" w:color="auto" w:sz="4" w:space="0"/>
            </w:tcBorders>
          </w:tcPr>
          <w:p w14:paraId="0C71516A">
            <w:pPr>
              <w:pStyle w:val="32"/>
              <w:spacing w:before="77" w:line="360" w:lineRule="auto"/>
              <w:ind w:left="108"/>
              <w:rPr>
                <w:sz w:val="24"/>
                <w:szCs w:val="24"/>
              </w:rPr>
            </w:pPr>
            <w:r>
              <w:rPr>
                <w:sz w:val="24"/>
                <w:szCs w:val="24"/>
              </w:rPr>
              <w:t>有法定代表人</w:t>
            </w:r>
            <w:r>
              <w:rPr>
                <w:rFonts w:hint="eastAsia"/>
                <w:sz w:val="24"/>
                <w:szCs w:val="24"/>
                <w:lang w:val="en-US"/>
              </w:rPr>
              <w:t>签</w:t>
            </w:r>
            <w:r>
              <w:rPr>
                <w:sz w:val="24"/>
                <w:szCs w:val="24"/>
              </w:rPr>
              <w:t>章并加盖单位公章</w:t>
            </w:r>
          </w:p>
        </w:tc>
      </w:tr>
      <w:tr w14:paraId="1B0FA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2" w:hRule="atLeast"/>
        </w:trPr>
        <w:tc>
          <w:tcPr>
            <w:tcW w:w="749" w:type="dxa"/>
            <w:vMerge w:val="continue"/>
            <w:tcBorders>
              <w:top w:val="nil"/>
              <w:bottom w:val="single" w:color="auto" w:sz="4" w:space="0"/>
            </w:tcBorders>
          </w:tcPr>
          <w:p w14:paraId="3EB15E12">
            <w:pPr>
              <w:spacing w:line="360" w:lineRule="auto"/>
              <w:rPr>
                <w:rFonts w:ascii="宋体" w:hAnsi="宋体"/>
                <w:sz w:val="24"/>
              </w:rPr>
            </w:pPr>
          </w:p>
        </w:tc>
        <w:tc>
          <w:tcPr>
            <w:tcW w:w="575" w:type="dxa"/>
            <w:vMerge w:val="continue"/>
            <w:tcBorders>
              <w:top w:val="nil"/>
              <w:bottom w:val="single" w:color="auto" w:sz="4" w:space="0"/>
            </w:tcBorders>
          </w:tcPr>
          <w:p w14:paraId="3EDB893B">
            <w:pPr>
              <w:spacing w:line="360" w:lineRule="auto"/>
              <w:rPr>
                <w:rFonts w:ascii="宋体" w:hAnsi="宋体"/>
                <w:sz w:val="24"/>
              </w:rPr>
            </w:pPr>
          </w:p>
        </w:tc>
        <w:tc>
          <w:tcPr>
            <w:tcW w:w="1548" w:type="dxa"/>
          </w:tcPr>
          <w:p w14:paraId="257AE348">
            <w:pPr>
              <w:pStyle w:val="32"/>
              <w:spacing w:before="77" w:line="360" w:lineRule="auto"/>
              <w:ind w:left="108"/>
              <w:jc w:val="center"/>
              <w:rPr>
                <w:sz w:val="24"/>
                <w:szCs w:val="24"/>
              </w:rPr>
            </w:pPr>
            <w:r>
              <w:rPr>
                <w:sz w:val="24"/>
                <w:szCs w:val="24"/>
              </w:rPr>
              <w:t>报价唯一</w:t>
            </w:r>
          </w:p>
        </w:tc>
        <w:tc>
          <w:tcPr>
            <w:tcW w:w="5546" w:type="dxa"/>
          </w:tcPr>
          <w:p w14:paraId="0DB5BE26">
            <w:pPr>
              <w:pStyle w:val="32"/>
              <w:spacing w:before="77" w:line="360" w:lineRule="auto"/>
              <w:ind w:left="108"/>
              <w:rPr>
                <w:sz w:val="24"/>
                <w:szCs w:val="24"/>
              </w:rPr>
            </w:pPr>
            <w:r>
              <w:rPr>
                <w:sz w:val="24"/>
                <w:szCs w:val="24"/>
              </w:rPr>
              <w:t>只能有一个有效报价</w:t>
            </w:r>
          </w:p>
        </w:tc>
      </w:tr>
      <w:tr w14:paraId="6D175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749" w:type="dxa"/>
            <w:vMerge w:val="restart"/>
            <w:tcBorders>
              <w:top w:val="single" w:color="auto" w:sz="4" w:space="0"/>
            </w:tcBorders>
            <w:vAlign w:val="center"/>
          </w:tcPr>
          <w:p w14:paraId="3D05B12A">
            <w:pPr>
              <w:pStyle w:val="32"/>
              <w:spacing w:line="360" w:lineRule="auto"/>
              <w:jc w:val="center"/>
              <w:rPr>
                <w:sz w:val="24"/>
                <w:szCs w:val="24"/>
                <w:lang w:val="en-US"/>
              </w:rPr>
            </w:pPr>
            <w:r>
              <w:rPr>
                <w:rFonts w:hint="eastAsia"/>
                <w:sz w:val="24"/>
                <w:szCs w:val="24"/>
                <w:lang w:val="en-US"/>
              </w:rPr>
              <w:t>2.1.3</w:t>
            </w:r>
          </w:p>
        </w:tc>
        <w:tc>
          <w:tcPr>
            <w:tcW w:w="575" w:type="dxa"/>
            <w:vMerge w:val="restart"/>
            <w:tcBorders>
              <w:top w:val="single" w:color="auto" w:sz="4" w:space="0"/>
            </w:tcBorders>
            <w:vAlign w:val="center"/>
          </w:tcPr>
          <w:p w14:paraId="269B3403">
            <w:pPr>
              <w:pStyle w:val="32"/>
              <w:spacing w:line="360" w:lineRule="auto"/>
              <w:jc w:val="center"/>
              <w:rPr>
                <w:sz w:val="24"/>
                <w:szCs w:val="24"/>
                <w:lang w:val="en-US"/>
              </w:rPr>
            </w:pPr>
            <w:r>
              <w:rPr>
                <w:rFonts w:hint="eastAsia"/>
                <w:sz w:val="24"/>
                <w:szCs w:val="24"/>
                <w:lang w:val="en-US"/>
              </w:rPr>
              <w:t>实质性响应评审标准</w:t>
            </w:r>
          </w:p>
        </w:tc>
        <w:tc>
          <w:tcPr>
            <w:tcW w:w="1548" w:type="dxa"/>
            <w:vAlign w:val="center"/>
          </w:tcPr>
          <w:p w14:paraId="54CCC86B">
            <w:pPr>
              <w:pStyle w:val="32"/>
              <w:spacing w:before="77" w:line="360" w:lineRule="auto"/>
              <w:ind w:left="108"/>
              <w:jc w:val="center"/>
              <w:rPr>
                <w:sz w:val="24"/>
                <w:szCs w:val="24"/>
                <w:lang w:val="en-US"/>
              </w:rPr>
            </w:pPr>
            <w:r>
              <w:rPr>
                <w:rFonts w:hint="eastAsia"/>
                <w:sz w:val="24"/>
                <w:szCs w:val="24"/>
                <w:lang w:val="en-US"/>
              </w:rPr>
              <w:t>服务期限</w:t>
            </w:r>
          </w:p>
        </w:tc>
        <w:tc>
          <w:tcPr>
            <w:tcW w:w="5546" w:type="dxa"/>
            <w:vAlign w:val="center"/>
          </w:tcPr>
          <w:p w14:paraId="44028FF5">
            <w:pPr>
              <w:pStyle w:val="32"/>
              <w:spacing w:before="77" w:line="360" w:lineRule="auto"/>
              <w:ind w:left="108"/>
              <w:jc w:val="both"/>
              <w:rPr>
                <w:sz w:val="24"/>
                <w:szCs w:val="24"/>
                <w:lang w:val="en-US"/>
              </w:rPr>
            </w:pPr>
            <w:r>
              <w:rPr>
                <w:rFonts w:hint="eastAsia"/>
                <w:sz w:val="24"/>
                <w:szCs w:val="24"/>
                <w:lang w:val="en-US"/>
              </w:rPr>
              <w:t>一标段签订合同后30日历天，二标段采砂规划批复后20日历天。</w:t>
            </w:r>
          </w:p>
        </w:tc>
      </w:tr>
      <w:tr w14:paraId="777BF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2" w:hRule="atLeast"/>
        </w:trPr>
        <w:tc>
          <w:tcPr>
            <w:tcW w:w="749" w:type="dxa"/>
            <w:vMerge w:val="continue"/>
            <w:tcBorders>
              <w:top w:val="nil"/>
            </w:tcBorders>
          </w:tcPr>
          <w:p w14:paraId="2184C2F9">
            <w:pPr>
              <w:spacing w:line="360" w:lineRule="auto"/>
              <w:rPr>
                <w:rFonts w:ascii="宋体" w:hAnsi="宋体"/>
                <w:sz w:val="24"/>
              </w:rPr>
            </w:pPr>
          </w:p>
        </w:tc>
        <w:tc>
          <w:tcPr>
            <w:tcW w:w="575" w:type="dxa"/>
            <w:vMerge w:val="continue"/>
            <w:tcBorders>
              <w:top w:val="nil"/>
            </w:tcBorders>
          </w:tcPr>
          <w:p w14:paraId="05474EAF">
            <w:pPr>
              <w:spacing w:line="360" w:lineRule="auto"/>
              <w:rPr>
                <w:rFonts w:ascii="宋体" w:hAnsi="宋体"/>
                <w:sz w:val="24"/>
              </w:rPr>
            </w:pPr>
          </w:p>
        </w:tc>
        <w:tc>
          <w:tcPr>
            <w:tcW w:w="1548" w:type="dxa"/>
            <w:vAlign w:val="center"/>
          </w:tcPr>
          <w:p w14:paraId="167E350E">
            <w:pPr>
              <w:pStyle w:val="32"/>
              <w:spacing w:before="77" w:line="360" w:lineRule="auto"/>
              <w:ind w:left="108"/>
              <w:jc w:val="center"/>
              <w:rPr>
                <w:sz w:val="24"/>
                <w:szCs w:val="24"/>
                <w:lang w:val="en-US"/>
              </w:rPr>
            </w:pPr>
            <w:r>
              <w:rPr>
                <w:rFonts w:hint="eastAsia"/>
                <w:sz w:val="24"/>
                <w:szCs w:val="24"/>
                <w:lang w:val="en-US"/>
              </w:rPr>
              <w:t>质量要求</w:t>
            </w:r>
          </w:p>
        </w:tc>
        <w:tc>
          <w:tcPr>
            <w:tcW w:w="5546" w:type="dxa"/>
            <w:vAlign w:val="center"/>
          </w:tcPr>
          <w:p w14:paraId="2C1F53AB">
            <w:pPr>
              <w:pStyle w:val="32"/>
              <w:spacing w:before="77" w:line="360" w:lineRule="auto"/>
              <w:ind w:left="108"/>
              <w:jc w:val="both"/>
              <w:rPr>
                <w:sz w:val="24"/>
                <w:szCs w:val="24"/>
                <w:lang w:val="en-US"/>
              </w:rPr>
            </w:pPr>
            <w:r>
              <w:rPr>
                <w:rFonts w:hint="eastAsia"/>
                <w:sz w:val="24"/>
                <w:szCs w:val="24"/>
                <w:lang w:val="en-US"/>
              </w:rPr>
              <w:t>符合国家、行业、地方规范和法规的要求，并通过专家评审</w:t>
            </w:r>
          </w:p>
        </w:tc>
      </w:tr>
      <w:tr w14:paraId="3A797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2" w:hRule="atLeast"/>
        </w:trPr>
        <w:tc>
          <w:tcPr>
            <w:tcW w:w="749" w:type="dxa"/>
            <w:vMerge w:val="continue"/>
            <w:tcBorders>
              <w:top w:val="nil"/>
            </w:tcBorders>
          </w:tcPr>
          <w:p w14:paraId="35E2C757">
            <w:pPr>
              <w:spacing w:line="360" w:lineRule="auto"/>
              <w:rPr>
                <w:rFonts w:ascii="宋体" w:hAnsi="宋体"/>
                <w:sz w:val="24"/>
              </w:rPr>
            </w:pPr>
          </w:p>
        </w:tc>
        <w:tc>
          <w:tcPr>
            <w:tcW w:w="575" w:type="dxa"/>
            <w:vMerge w:val="continue"/>
            <w:tcBorders>
              <w:top w:val="nil"/>
            </w:tcBorders>
          </w:tcPr>
          <w:p w14:paraId="2F8D16A1">
            <w:pPr>
              <w:spacing w:line="360" w:lineRule="auto"/>
              <w:rPr>
                <w:rFonts w:ascii="宋体" w:hAnsi="宋体"/>
                <w:sz w:val="24"/>
              </w:rPr>
            </w:pPr>
          </w:p>
        </w:tc>
        <w:tc>
          <w:tcPr>
            <w:tcW w:w="1548" w:type="dxa"/>
          </w:tcPr>
          <w:p w14:paraId="1A7255D3">
            <w:pPr>
              <w:pStyle w:val="32"/>
              <w:spacing w:before="77" w:line="360" w:lineRule="auto"/>
              <w:ind w:left="108"/>
              <w:jc w:val="center"/>
              <w:rPr>
                <w:sz w:val="24"/>
                <w:szCs w:val="24"/>
              </w:rPr>
            </w:pPr>
            <w:r>
              <w:rPr>
                <w:rFonts w:hint="eastAsia"/>
                <w:sz w:val="24"/>
                <w:szCs w:val="24"/>
              </w:rPr>
              <w:t>磋商</w:t>
            </w:r>
            <w:r>
              <w:rPr>
                <w:sz w:val="24"/>
                <w:szCs w:val="24"/>
              </w:rPr>
              <w:t>有效期</w:t>
            </w:r>
          </w:p>
        </w:tc>
        <w:tc>
          <w:tcPr>
            <w:tcW w:w="5546" w:type="dxa"/>
          </w:tcPr>
          <w:p w14:paraId="41FDA575">
            <w:pPr>
              <w:pStyle w:val="32"/>
              <w:spacing w:before="77" w:line="360" w:lineRule="auto"/>
              <w:ind w:left="108"/>
              <w:rPr>
                <w:sz w:val="24"/>
                <w:szCs w:val="24"/>
              </w:rPr>
            </w:pPr>
            <w:r>
              <w:rPr>
                <w:rFonts w:hint="eastAsia"/>
                <w:sz w:val="24"/>
                <w:szCs w:val="24"/>
                <w:lang w:val="en-US"/>
              </w:rPr>
              <w:t>磋商截止时间起60日历天</w:t>
            </w:r>
          </w:p>
        </w:tc>
      </w:tr>
      <w:tr w14:paraId="1B712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9" w:hRule="atLeast"/>
        </w:trPr>
        <w:tc>
          <w:tcPr>
            <w:tcW w:w="749" w:type="dxa"/>
            <w:vMerge w:val="continue"/>
            <w:tcBorders>
              <w:top w:val="nil"/>
            </w:tcBorders>
          </w:tcPr>
          <w:p w14:paraId="6E057DCE">
            <w:pPr>
              <w:spacing w:line="360" w:lineRule="auto"/>
              <w:rPr>
                <w:rFonts w:ascii="宋体" w:hAnsi="宋体"/>
                <w:sz w:val="24"/>
              </w:rPr>
            </w:pPr>
          </w:p>
        </w:tc>
        <w:tc>
          <w:tcPr>
            <w:tcW w:w="575" w:type="dxa"/>
            <w:vMerge w:val="continue"/>
            <w:tcBorders>
              <w:top w:val="nil"/>
            </w:tcBorders>
          </w:tcPr>
          <w:p w14:paraId="35DEF128">
            <w:pPr>
              <w:spacing w:line="360" w:lineRule="auto"/>
              <w:rPr>
                <w:rFonts w:ascii="宋体" w:hAnsi="宋体"/>
                <w:sz w:val="24"/>
              </w:rPr>
            </w:pPr>
          </w:p>
        </w:tc>
        <w:tc>
          <w:tcPr>
            <w:tcW w:w="1548" w:type="dxa"/>
            <w:vAlign w:val="center"/>
          </w:tcPr>
          <w:p w14:paraId="2977AABB">
            <w:pPr>
              <w:pStyle w:val="32"/>
              <w:spacing w:before="77" w:line="360" w:lineRule="auto"/>
              <w:ind w:left="108"/>
              <w:jc w:val="center"/>
              <w:rPr>
                <w:sz w:val="24"/>
                <w:szCs w:val="24"/>
              </w:rPr>
            </w:pPr>
            <w:r>
              <w:rPr>
                <w:sz w:val="24"/>
                <w:szCs w:val="24"/>
              </w:rPr>
              <w:t>磋商报价</w:t>
            </w:r>
          </w:p>
        </w:tc>
        <w:tc>
          <w:tcPr>
            <w:tcW w:w="5546" w:type="dxa"/>
            <w:vAlign w:val="center"/>
          </w:tcPr>
          <w:p w14:paraId="7031B2FF">
            <w:pPr>
              <w:pStyle w:val="32"/>
              <w:spacing w:before="77" w:line="360" w:lineRule="auto"/>
              <w:ind w:left="108"/>
              <w:rPr>
                <w:sz w:val="24"/>
                <w:szCs w:val="24"/>
              </w:rPr>
            </w:pPr>
            <w:r>
              <w:rPr>
                <w:rFonts w:hint="eastAsia"/>
                <w:sz w:val="24"/>
                <w:szCs w:val="24"/>
              </w:rPr>
              <w:t>供应商</w:t>
            </w:r>
            <w:r>
              <w:rPr>
                <w:sz w:val="24"/>
                <w:szCs w:val="24"/>
              </w:rPr>
              <w:t>磋商总报价不得高于采购人公布的数额，否则按照无效标处理。</w:t>
            </w:r>
          </w:p>
        </w:tc>
      </w:tr>
    </w:tbl>
    <w:p w14:paraId="09562764">
      <w:pPr>
        <w:ind w:firstLine="482" w:firstLineChars="200"/>
        <w:rPr>
          <w:b/>
          <w:sz w:val="24"/>
        </w:rPr>
      </w:pPr>
      <w:r>
        <w:rPr>
          <w:b/>
          <w:sz w:val="24"/>
        </w:rPr>
        <w:t>附表 2 详细评审标准</w:t>
      </w:r>
    </w:p>
    <w:p w14:paraId="352D436B">
      <w:pPr>
        <w:spacing w:line="360" w:lineRule="auto"/>
        <w:ind w:firstLine="480" w:firstLineChars="200"/>
        <w:rPr>
          <w:rFonts w:ascii="宋体" w:hAnsi="宋体" w:cs="宋体"/>
          <w:kern w:val="0"/>
          <w:sz w:val="24"/>
          <w:lang w:val="zh-CN" w:bidi="zh-CN"/>
        </w:rPr>
      </w:pPr>
      <w:r>
        <w:rPr>
          <w:rFonts w:hint="eastAsia" w:ascii="宋体" w:hAnsi="宋体" w:cs="宋体"/>
          <w:kern w:val="0"/>
          <w:sz w:val="24"/>
          <w:lang w:val="zh-CN" w:bidi="zh-CN"/>
        </w:rPr>
        <w:t>1、</w:t>
      </w:r>
      <w:r>
        <w:rPr>
          <w:rFonts w:ascii="宋体" w:hAnsi="宋体" w:cs="宋体"/>
          <w:kern w:val="0"/>
          <w:sz w:val="24"/>
          <w:lang w:val="zh-CN" w:bidi="zh-CN"/>
        </w:rPr>
        <w:t>磋商小组所有成员集中与通过初步评审的单一</w:t>
      </w:r>
      <w:r>
        <w:rPr>
          <w:rFonts w:hint="eastAsia" w:ascii="宋体" w:hAnsi="宋体" w:cs="宋体"/>
          <w:kern w:val="0"/>
          <w:sz w:val="24"/>
          <w:lang w:val="zh-CN" w:bidi="zh-CN"/>
        </w:rPr>
        <w:t>供应商</w:t>
      </w:r>
      <w:r>
        <w:rPr>
          <w:rFonts w:ascii="宋体" w:hAnsi="宋体" w:cs="宋体"/>
          <w:kern w:val="0"/>
          <w:sz w:val="24"/>
          <w:lang w:val="zh-CN" w:bidi="zh-CN"/>
        </w:rPr>
        <w:t>进行磋商。</w:t>
      </w:r>
    </w:p>
    <w:p w14:paraId="6BE40142">
      <w:pPr>
        <w:spacing w:line="360" w:lineRule="auto"/>
        <w:ind w:firstLine="480" w:firstLineChars="200"/>
        <w:rPr>
          <w:rFonts w:ascii="宋体" w:hAnsi="宋体" w:cs="宋体"/>
          <w:kern w:val="0"/>
          <w:sz w:val="24"/>
          <w:lang w:val="zh-CN" w:bidi="zh-CN"/>
        </w:rPr>
      </w:pPr>
      <w:r>
        <w:rPr>
          <w:rFonts w:hint="eastAsia" w:ascii="宋体" w:hAnsi="宋体" w:cs="宋体"/>
          <w:kern w:val="0"/>
          <w:sz w:val="24"/>
          <w:lang w:val="zh-CN" w:bidi="zh-CN"/>
        </w:rPr>
        <w:t>（1）</w:t>
      </w:r>
      <w:r>
        <w:rPr>
          <w:rFonts w:ascii="宋体" w:hAnsi="宋体" w:cs="宋体"/>
          <w:kern w:val="0"/>
          <w:sz w:val="24"/>
          <w:lang w:val="zh-CN" w:bidi="zh-CN"/>
        </w:rPr>
        <w:t>在磋商过程中，磋商小组可以根据磋商文件和磋商情况实质性变动采购需求中的技术、服务要求以及合同草案条款，但不得变动磋商文件中的其他内容。实质性变动的内容，须经采购人代表确认。</w:t>
      </w:r>
    </w:p>
    <w:p w14:paraId="280C5625">
      <w:pPr>
        <w:spacing w:line="360" w:lineRule="auto"/>
        <w:ind w:firstLine="480" w:firstLineChars="200"/>
        <w:rPr>
          <w:rFonts w:ascii="宋体" w:hAnsi="宋体" w:cs="宋体"/>
          <w:kern w:val="0"/>
          <w:sz w:val="24"/>
          <w:lang w:val="zh-CN" w:bidi="zh-CN"/>
        </w:rPr>
      </w:pPr>
      <w:r>
        <w:rPr>
          <w:rFonts w:hint="eastAsia" w:ascii="宋体" w:hAnsi="宋体" w:cs="宋体"/>
          <w:kern w:val="0"/>
          <w:sz w:val="24"/>
          <w:lang w:val="zh-CN" w:bidi="zh-CN"/>
        </w:rPr>
        <w:t>（2）</w:t>
      </w:r>
      <w:r>
        <w:rPr>
          <w:rFonts w:ascii="宋体" w:hAnsi="宋体" w:cs="宋体"/>
          <w:kern w:val="0"/>
          <w:sz w:val="24"/>
          <w:lang w:val="zh-CN" w:bidi="zh-CN"/>
        </w:rPr>
        <w:t>对磋商文件作出的实质性变动是磋商文件的有效组成部分，磋商小组应当及时以</w:t>
      </w:r>
      <w:r>
        <w:rPr>
          <w:rFonts w:hint="eastAsia" w:ascii="宋体" w:hAnsi="宋体" w:cs="宋体"/>
          <w:kern w:val="0"/>
          <w:sz w:val="24"/>
          <w:lang w:val="zh-CN" w:bidi="zh-CN"/>
        </w:rPr>
        <w:t>网上答疑</w:t>
      </w:r>
      <w:r>
        <w:rPr>
          <w:rFonts w:ascii="宋体" w:hAnsi="宋体" w:cs="宋体"/>
          <w:kern w:val="0"/>
          <w:sz w:val="24"/>
          <w:lang w:val="zh-CN" w:bidi="zh-CN"/>
        </w:rPr>
        <w:t>形式同时通知所有参加磋商的</w:t>
      </w:r>
      <w:r>
        <w:rPr>
          <w:rFonts w:hint="eastAsia" w:ascii="宋体" w:hAnsi="宋体" w:cs="宋体"/>
          <w:kern w:val="0"/>
          <w:sz w:val="24"/>
          <w:lang w:val="zh-CN" w:bidi="zh-CN"/>
        </w:rPr>
        <w:t>供应商</w:t>
      </w:r>
      <w:r>
        <w:rPr>
          <w:rFonts w:ascii="宋体" w:hAnsi="宋体" w:cs="宋体"/>
          <w:kern w:val="0"/>
          <w:sz w:val="24"/>
          <w:lang w:val="zh-CN" w:bidi="zh-CN"/>
        </w:rPr>
        <w:t>。</w:t>
      </w:r>
    </w:p>
    <w:p w14:paraId="5235AE59">
      <w:pPr>
        <w:spacing w:line="360" w:lineRule="auto"/>
        <w:ind w:firstLine="480" w:firstLineChars="200"/>
        <w:rPr>
          <w:rFonts w:ascii="宋体" w:hAnsi="宋体" w:cs="宋体"/>
          <w:kern w:val="0"/>
          <w:sz w:val="24"/>
          <w:lang w:val="zh-CN" w:bidi="zh-CN"/>
        </w:rPr>
      </w:pPr>
      <w:r>
        <w:rPr>
          <w:rFonts w:hint="eastAsia" w:ascii="宋体" w:hAnsi="宋体" w:cs="宋体"/>
          <w:kern w:val="0"/>
          <w:sz w:val="24"/>
          <w:lang w:val="zh-CN" w:bidi="zh-CN"/>
        </w:rPr>
        <w:t>2、</w:t>
      </w:r>
      <w:r>
        <w:rPr>
          <w:rFonts w:ascii="宋体" w:hAnsi="宋体" w:cs="宋体"/>
          <w:kern w:val="0"/>
          <w:sz w:val="24"/>
          <w:lang w:val="zh-CN" w:bidi="zh-CN"/>
        </w:rPr>
        <w:t>磋商报价：本项目进行二次报价，二次报价不能高于</w:t>
      </w:r>
      <w:r>
        <w:rPr>
          <w:rFonts w:hint="eastAsia" w:ascii="宋体" w:hAnsi="宋体" w:cs="宋体"/>
          <w:kern w:val="0"/>
          <w:sz w:val="24"/>
          <w:lang w:val="zh-CN" w:bidi="zh-CN"/>
        </w:rPr>
        <w:t>一</w:t>
      </w:r>
      <w:r>
        <w:rPr>
          <w:rFonts w:ascii="宋体" w:hAnsi="宋体" w:cs="宋体"/>
          <w:kern w:val="0"/>
          <w:sz w:val="24"/>
          <w:lang w:val="zh-CN" w:bidi="zh-CN"/>
        </w:rPr>
        <w:t>次报价，高于</w:t>
      </w:r>
      <w:r>
        <w:rPr>
          <w:rFonts w:hint="eastAsia" w:ascii="宋体" w:hAnsi="宋体" w:cs="宋体"/>
          <w:kern w:val="0"/>
          <w:sz w:val="24"/>
          <w:lang w:val="zh-CN" w:bidi="zh-CN"/>
        </w:rPr>
        <w:t>一</w:t>
      </w:r>
      <w:r>
        <w:rPr>
          <w:rFonts w:ascii="宋体" w:hAnsi="宋体" w:cs="宋体"/>
          <w:kern w:val="0"/>
          <w:sz w:val="24"/>
          <w:lang w:val="zh-CN" w:bidi="zh-CN"/>
        </w:rPr>
        <w:t>次报价视为无效标。</w:t>
      </w:r>
    </w:p>
    <w:p w14:paraId="53A373FA">
      <w:pPr>
        <w:spacing w:line="360" w:lineRule="auto"/>
        <w:ind w:firstLine="480" w:firstLineChars="200"/>
        <w:rPr>
          <w:rFonts w:ascii="宋体" w:hAnsi="宋体"/>
          <w:sz w:val="24"/>
        </w:rPr>
      </w:pPr>
      <w:r>
        <w:rPr>
          <w:rFonts w:hint="eastAsia" w:ascii="宋体" w:hAnsi="宋体"/>
          <w:sz w:val="24"/>
        </w:rPr>
        <w:t>3、</w:t>
      </w:r>
      <w:r>
        <w:rPr>
          <w:rFonts w:ascii="宋体" w:hAnsi="宋体"/>
          <w:sz w:val="24"/>
        </w:rPr>
        <w:t>磋商报价结束后，参加磋商的</w:t>
      </w:r>
      <w:r>
        <w:rPr>
          <w:rFonts w:hint="eastAsia" w:ascii="宋体" w:hAnsi="宋体"/>
          <w:sz w:val="24"/>
        </w:rPr>
        <w:t>供应商</w:t>
      </w:r>
      <w:r>
        <w:rPr>
          <w:rFonts w:ascii="宋体" w:hAnsi="宋体"/>
          <w:sz w:val="24"/>
        </w:rPr>
        <w:t>应当对磋商的承诺在三门峡市公共资源交易中心系统中予以确认。</w:t>
      </w:r>
    </w:p>
    <w:p w14:paraId="02C2F288">
      <w:pPr>
        <w:ind w:firstLine="480" w:firstLineChars="200"/>
        <w:rPr>
          <w:rFonts w:ascii="宋体" w:hAnsi="宋体"/>
          <w:sz w:val="24"/>
        </w:rPr>
      </w:pPr>
      <w:r>
        <w:rPr>
          <w:rFonts w:hint="eastAsia" w:ascii="宋体" w:hAnsi="宋体"/>
          <w:sz w:val="24"/>
        </w:rPr>
        <w:t>4、</w:t>
      </w:r>
      <w:r>
        <w:rPr>
          <w:rFonts w:ascii="宋体" w:hAnsi="宋体"/>
          <w:sz w:val="24"/>
        </w:rPr>
        <w:t>磋商小组按照评审标准对提交最后报价的</w:t>
      </w:r>
      <w:r>
        <w:rPr>
          <w:rFonts w:hint="eastAsia" w:ascii="宋体" w:hAnsi="宋体"/>
          <w:sz w:val="24"/>
        </w:rPr>
        <w:t>供应商</w:t>
      </w:r>
      <w:r>
        <w:rPr>
          <w:rFonts w:ascii="宋体" w:hAnsi="宋体"/>
          <w:sz w:val="24"/>
        </w:rPr>
        <w:t>的响应文件进行综合评分。</w:t>
      </w:r>
    </w:p>
    <w:p w14:paraId="60A2D014">
      <w:pPr>
        <w:ind w:firstLine="562" w:firstLineChars="200"/>
        <w:rPr>
          <w:rFonts w:ascii="宋体" w:hAnsi="宋体"/>
          <w:b/>
          <w:sz w:val="28"/>
          <w:szCs w:val="28"/>
        </w:rPr>
      </w:pPr>
      <w:r>
        <w:rPr>
          <w:rFonts w:hint="eastAsia" w:ascii="宋体" w:hAnsi="宋体"/>
          <w:b/>
          <w:sz w:val="28"/>
          <w:szCs w:val="28"/>
        </w:rPr>
        <w:t>评审标准</w:t>
      </w:r>
    </w:p>
    <w:p w14:paraId="76FC9E61">
      <w:pPr>
        <w:pStyle w:val="28"/>
        <w:ind w:firstLine="480" w:firstLineChars="200"/>
        <w:rPr>
          <w:rFonts w:hint="eastAsia"/>
          <w:kern w:val="0"/>
          <w:lang w:bidi="zh-CN"/>
        </w:rPr>
      </w:pPr>
      <w:r>
        <w:rPr>
          <w:rFonts w:hint="eastAsia"/>
          <w:kern w:val="0"/>
          <w:lang w:bidi="zh-CN"/>
        </w:rPr>
        <w:t>评标方法采用“综合评分法”即是指在最大限度地满足磋商文件实质性要求前提下，按照磋商文件中规定的各项因素进行综合评审后，以评标总得分最高的供应商作为推荐供应商候选人的评标方法。</w:t>
      </w:r>
    </w:p>
    <w:p w14:paraId="65590EC2">
      <w:pPr>
        <w:spacing w:line="360" w:lineRule="auto"/>
        <w:ind w:firstLine="480" w:firstLineChars="200"/>
        <w:rPr>
          <w:rFonts w:hint="eastAsia" w:ascii="宋体" w:hAnsi="宋体"/>
          <w:sz w:val="24"/>
        </w:rPr>
      </w:pPr>
      <w:r>
        <w:rPr>
          <w:rFonts w:hint="eastAsia" w:ascii="宋体" w:hAnsi="宋体"/>
          <w:sz w:val="24"/>
        </w:rPr>
        <w:t>一标段：</w:t>
      </w:r>
    </w:p>
    <w:tbl>
      <w:tblPr>
        <w:tblStyle w:val="13"/>
        <w:tblpPr w:leftFromText="180" w:rightFromText="180" w:vertAnchor="text" w:horzAnchor="page" w:tblpXSpec="center" w:tblpY="885"/>
        <w:tblOverlap w:val="never"/>
        <w:tblW w:w="48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024"/>
        <w:gridCol w:w="1454"/>
        <w:gridCol w:w="4353"/>
        <w:gridCol w:w="820"/>
      </w:tblGrid>
      <w:tr w14:paraId="0CB4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071" w:type="pct"/>
            <w:gridSpan w:val="2"/>
            <w:noWrap/>
            <w:vAlign w:val="center"/>
          </w:tcPr>
          <w:p w14:paraId="1E5972AC">
            <w:pPr>
              <w:ind w:firstLine="480" w:firstLineChars="200"/>
              <w:jc w:val="left"/>
              <w:rPr>
                <w:rFonts w:ascii="宋体" w:hAnsi="宋体" w:cs="宋体"/>
                <w:kern w:val="0"/>
                <w:sz w:val="24"/>
                <w:lang w:bidi="zh-CN"/>
              </w:rPr>
            </w:pPr>
            <w:r>
              <w:rPr>
                <w:rFonts w:hint="eastAsia" w:ascii="宋体" w:hAnsi="宋体" w:cs="宋体"/>
                <w:kern w:val="0"/>
                <w:sz w:val="24"/>
                <w:lang w:bidi="zh-CN"/>
              </w:rPr>
              <w:t>条款号</w:t>
            </w:r>
          </w:p>
        </w:tc>
        <w:tc>
          <w:tcPr>
            <w:tcW w:w="862" w:type="pct"/>
            <w:noWrap/>
            <w:vAlign w:val="center"/>
          </w:tcPr>
          <w:p w14:paraId="52A21639">
            <w:pPr>
              <w:jc w:val="center"/>
              <w:rPr>
                <w:rFonts w:ascii="宋体" w:hAnsi="宋体" w:cs="宋体"/>
                <w:kern w:val="0"/>
                <w:sz w:val="24"/>
                <w:lang w:bidi="zh-CN"/>
              </w:rPr>
            </w:pPr>
            <w:r>
              <w:rPr>
                <w:rFonts w:hint="eastAsia" w:ascii="宋体" w:hAnsi="宋体" w:cs="宋体"/>
                <w:kern w:val="0"/>
                <w:sz w:val="24"/>
                <w:lang w:bidi="zh-CN"/>
              </w:rPr>
              <w:t>条款内容</w:t>
            </w:r>
          </w:p>
        </w:tc>
        <w:tc>
          <w:tcPr>
            <w:tcW w:w="3066" w:type="pct"/>
            <w:gridSpan w:val="2"/>
            <w:noWrap/>
            <w:vAlign w:val="center"/>
          </w:tcPr>
          <w:p w14:paraId="6410A157">
            <w:pPr>
              <w:ind w:firstLine="480" w:firstLineChars="200"/>
              <w:jc w:val="left"/>
              <w:rPr>
                <w:rFonts w:ascii="宋体" w:hAnsi="宋体" w:cs="宋体"/>
                <w:kern w:val="0"/>
                <w:sz w:val="24"/>
                <w:lang w:bidi="zh-CN"/>
              </w:rPr>
            </w:pPr>
            <w:r>
              <w:rPr>
                <w:rFonts w:hint="eastAsia" w:ascii="宋体" w:hAnsi="宋体" w:cs="宋体"/>
                <w:kern w:val="0"/>
                <w:sz w:val="24"/>
                <w:lang w:bidi="zh-CN"/>
              </w:rPr>
              <w:t>编列内容</w:t>
            </w:r>
          </w:p>
        </w:tc>
      </w:tr>
      <w:tr w14:paraId="5EE9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1071" w:type="pct"/>
            <w:gridSpan w:val="2"/>
            <w:noWrap/>
            <w:vAlign w:val="center"/>
          </w:tcPr>
          <w:p w14:paraId="321AEFCE">
            <w:pPr>
              <w:adjustRightInd w:val="0"/>
              <w:snapToGrid w:val="0"/>
              <w:jc w:val="center"/>
              <w:rPr>
                <w:rFonts w:ascii="宋体" w:hAnsi="宋体" w:cs="宋体"/>
                <w:kern w:val="0"/>
                <w:sz w:val="24"/>
                <w:lang w:bidi="zh-CN"/>
              </w:rPr>
            </w:pPr>
            <w:r>
              <w:rPr>
                <w:rFonts w:hint="eastAsia" w:ascii="宋体" w:hAnsi="宋体" w:cs="宋体"/>
                <w:kern w:val="0"/>
                <w:sz w:val="24"/>
                <w:lang w:bidi="zh-CN"/>
              </w:rPr>
              <w:t>1</w:t>
            </w:r>
          </w:p>
        </w:tc>
        <w:tc>
          <w:tcPr>
            <w:tcW w:w="862" w:type="pct"/>
            <w:noWrap/>
            <w:vAlign w:val="center"/>
          </w:tcPr>
          <w:p w14:paraId="7D0DB917">
            <w:pPr>
              <w:adjustRightInd w:val="0"/>
              <w:snapToGrid w:val="0"/>
              <w:jc w:val="center"/>
              <w:rPr>
                <w:rFonts w:ascii="宋体" w:hAnsi="宋体" w:cs="宋体"/>
                <w:kern w:val="0"/>
                <w:sz w:val="24"/>
                <w:lang w:bidi="zh-CN"/>
              </w:rPr>
            </w:pPr>
            <w:r>
              <w:rPr>
                <w:rFonts w:hint="eastAsia" w:ascii="宋体" w:hAnsi="宋体" w:cs="宋体"/>
                <w:kern w:val="0"/>
                <w:sz w:val="24"/>
                <w:lang w:bidi="zh-CN"/>
              </w:rPr>
              <w:t>分值构成(总分100分)</w:t>
            </w:r>
          </w:p>
        </w:tc>
        <w:tc>
          <w:tcPr>
            <w:tcW w:w="3066" w:type="pct"/>
            <w:gridSpan w:val="2"/>
            <w:noWrap/>
            <w:vAlign w:val="center"/>
          </w:tcPr>
          <w:p w14:paraId="7A607195">
            <w:pPr>
              <w:adjustRightInd w:val="0"/>
              <w:snapToGrid w:val="0"/>
              <w:rPr>
                <w:rFonts w:ascii="宋体" w:hAnsi="宋体" w:cs="宋体"/>
                <w:kern w:val="0"/>
                <w:sz w:val="24"/>
                <w:lang w:bidi="zh-CN"/>
              </w:rPr>
            </w:pPr>
            <w:r>
              <w:rPr>
                <w:rFonts w:hint="eastAsia" w:ascii="宋体" w:hAnsi="宋体" w:cs="宋体"/>
                <w:kern w:val="0"/>
                <w:sz w:val="24"/>
                <w:lang w:bidi="zh-CN"/>
              </w:rPr>
              <w:t>商务标：10分</w:t>
            </w:r>
          </w:p>
          <w:p w14:paraId="7DB25132">
            <w:pPr>
              <w:adjustRightInd w:val="0"/>
              <w:snapToGrid w:val="0"/>
              <w:rPr>
                <w:rFonts w:ascii="宋体" w:hAnsi="宋体" w:cs="宋体"/>
                <w:kern w:val="0"/>
                <w:sz w:val="24"/>
                <w:lang w:bidi="zh-CN"/>
              </w:rPr>
            </w:pPr>
            <w:r>
              <w:rPr>
                <w:rFonts w:hint="eastAsia" w:ascii="宋体" w:hAnsi="宋体" w:cs="宋体"/>
                <w:kern w:val="0"/>
                <w:sz w:val="24"/>
                <w:lang w:bidi="zh-CN"/>
              </w:rPr>
              <w:t>技术标：60分</w:t>
            </w:r>
          </w:p>
          <w:p w14:paraId="7B131A2A">
            <w:pPr>
              <w:adjustRightInd w:val="0"/>
              <w:snapToGrid w:val="0"/>
              <w:rPr>
                <w:rFonts w:ascii="宋体" w:hAnsi="宋体" w:cs="宋体"/>
                <w:kern w:val="0"/>
                <w:sz w:val="24"/>
                <w:lang w:bidi="zh-CN"/>
              </w:rPr>
            </w:pPr>
            <w:r>
              <w:rPr>
                <w:rFonts w:hint="eastAsia" w:ascii="宋体" w:hAnsi="宋体" w:cs="宋体"/>
                <w:kern w:val="0"/>
                <w:sz w:val="24"/>
                <w:lang w:bidi="zh-CN"/>
              </w:rPr>
              <w:t>综合标：30分</w:t>
            </w:r>
          </w:p>
        </w:tc>
      </w:tr>
      <w:tr w14:paraId="0E35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64" w:type="pct"/>
            <w:noWrap/>
            <w:vAlign w:val="center"/>
          </w:tcPr>
          <w:p w14:paraId="69AB2611">
            <w:pPr>
              <w:adjustRightInd w:val="0"/>
              <w:snapToGrid w:val="0"/>
              <w:jc w:val="center"/>
              <w:rPr>
                <w:rFonts w:ascii="宋体" w:hAnsi="宋体" w:cs="宋体"/>
                <w:kern w:val="0"/>
                <w:sz w:val="24"/>
                <w:lang w:bidi="zh-CN"/>
              </w:rPr>
            </w:pPr>
            <w:r>
              <w:rPr>
                <w:rFonts w:hint="eastAsia" w:ascii="宋体" w:hAnsi="宋体" w:cs="宋体"/>
                <w:kern w:val="0"/>
                <w:sz w:val="24"/>
                <w:lang w:bidi="zh-CN"/>
              </w:rPr>
              <w:t>1.1</w:t>
            </w:r>
          </w:p>
          <w:p w14:paraId="29BEF430">
            <w:pPr>
              <w:adjustRightInd w:val="0"/>
              <w:snapToGrid w:val="0"/>
              <w:jc w:val="center"/>
              <w:rPr>
                <w:rFonts w:ascii="宋体" w:hAnsi="宋体" w:cs="宋体"/>
                <w:kern w:val="0"/>
                <w:sz w:val="24"/>
                <w:lang w:bidi="zh-CN"/>
              </w:rPr>
            </w:pPr>
          </w:p>
        </w:tc>
        <w:tc>
          <w:tcPr>
            <w:tcW w:w="607" w:type="pct"/>
            <w:noWrap/>
            <w:vAlign w:val="center"/>
          </w:tcPr>
          <w:p w14:paraId="6A4AEEBA">
            <w:pPr>
              <w:adjustRightInd w:val="0"/>
              <w:snapToGrid w:val="0"/>
              <w:jc w:val="center"/>
              <w:rPr>
                <w:rFonts w:ascii="宋体" w:hAnsi="宋体" w:cs="宋体"/>
                <w:kern w:val="0"/>
                <w:sz w:val="24"/>
                <w:lang w:bidi="zh-CN"/>
              </w:rPr>
            </w:pPr>
            <w:r>
              <w:rPr>
                <w:rFonts w:hint="eastAsia" w:ascii="宋体" w:hAnsi="宋体" w:cs="宋体"/>
                <w:kern w:val="0"/>
                <w:sz w:val="24"/>
                <w:lang w:bidi="zh-CN"/>
              </w:rPr>
              <w:t>商务标（10分）</w:t>
            </w:r>
          </w:p>
        </w:tc>
        <w:tc>
          <w:tcPr>
            <w:tcW w:w="862" w:type="pct"/>
            <w:noWrap/>
            <w:vAlign w:val="center"/>
          </w:tcPr>
          <w:p w14:paraId="3EDFB88C">
            <w:pPr>
              <w:adjustRightInd w:val="0"/>
              <w:snapToGrid w:val="0"/>
              <w:jc w:val="center"/>
              <w:rPr>
                <w:rFonts w:ascii="宋体" w:hAnsi="宋体" w:cs="宋体"/>
                <w:kern w:val="0"/>
                <w:sz w:val="24"/>
                <w:lang w:bidi="zh-CN"/>
              </w:rPr>
            </w:pPr>
            <w:r>
              <w:rPr>
                <w:rFonts w:hint="eastAsia" w:ascii="宋体" w:hAnsi="宋体" w:cs="宋体"/>
                <w:kern w:val="0"/>
                <w:sz w:val="24"/>
                <w:lang w:bidi="zh-CN"/>
              </w:rPr>
              <w:t>投标报价    （10分）</w:t>
            </w:r>
          </w:p>
        </w:tc>
        <w:tc>
          <w:tcPr>
            <w:tcW w:w="3066" w:type="pct"/>
            <w:gridSpan w:val="2"/>
            <w:noWrap/>
            <w:vAlign w:val="center"/>
          </w:tcPr>
          <w:p w14:paraId="05313792">
            <w:pPr>
              <w:rPr>
                <w:rFonts w:ascii="宋体" w:hAnsi="宋体" w:cs="宋体"/>
                <w:bCs/>
                <w:kern w:val="0"/>
                <w:sz w:val="24"/>
                <w:lang w:bidi="zh-CN"/>
              </w:rPr>
            </w:pPr>
            <w:r>
              <w:rPr>
                <w:rFonts w:hint="eastAsia" w:ascii="宋体" w:hAnsi="宋体" w:cs="宋体"/>
                <w:bCs/>
                <w:kern w:val="0"/>
                <w:sz w:val="24"/>
                <w:lang w:bidi="zh-CN"/>
              </w:rPr>
              <w:t>1、超出采购人最高限价的投标报价为无效报价、按废标处理。</w:t>
            </w:r>
          </w:p>
          <w:p w14:paraId="7BDDDF8D">
            <w:pPr>
              <w:rPr>
                <w:rFonts w:ascii="宋体" w:hAnsi="宋体" w:cs="宋体"/>
                <w:bCs/>
                <w:kern w:val="0"/>
                <w:sz w:val="24"/>
                <w:lang w:bidi="zh-CN"/>
              </w:rPr>
            </w:pPr>
            <w:r>
              <w:rPr>
                <w:rFonts w:hint="eastAsia" w:ascii="宋体" w:hAnsi="宋体" w:cs="宋体"/>
                <w:bCs/>
                <w:kern w:val="0"/>
                <w:sz w:val="24"/>
                <w:lang w:bidi="zh-CN"/>
              </w:rPr>
              <w:t>2、所有为未进入详细评审的投标为无效投标，其报价不作为评分依据。</w:t>
            </w:r>
          </w:p>
          <w:p w14:paraId="7455CB27">
            <w:pPr>
              <w:rPr>
                <w:rFonts w:ascii="宋体" w:hAnsi="宋体" w:cs="宋体"/>
                <w:bCs/>
                <w:kern w:val="0"/>
                <w:sz w:val="24"/>
                <w:lang w:bidi="zh-CN"/>
              </w:rPr>
            </w:pPr>
            <w:r>
              <w:rPr>
                <w:rFonts w:hint="eastAsia" w:ascii="宋体" w:hAnsi="宋体" w:cs="宋体"/>
                <w:bCs/>
                <w:kern w:val="0"/>
                <w:sz w:val="24"/>
                <w:lang w:bidi="zh-CN"/>
              </w:rPr>
              <w:t>3、价格分统一采用低价优先法计算，既满足磋商文件要求且投标价格最低的投标报价为评标基准价，其价格分为满分。其他供应商的价格分统一按照下列公式计算：</w:t>
            </w:r>
          </w:p>
          <w:p w14:paraId="4B1D8035">
            <w:pPr>
              <w:rPr>
                <w:rFonts w:ascii="宋体" w:hAnsi="宋体" w:cs="宋体"/>
                <w:bCs/>
                <w:kern w:val="0"/>
                <w:sz w:val="24"/>
                <w:lang w:bidi="zh-CN"/>
              </w:rPr>
            </w:pPr>
            <w:r>
              <w:rPr>
                <w:rFonts w:hint="eastAsia" w:ascii="宋体" w:hAnsi="宋体" w:cs="宋体"/>
                <w:bCs/>
                <w:kern w:val="0"/>
                <w:sz w:val="24"/>
                <w:lang w:bidi="zh-CN"/>
              </w:rPr>
              <w:t>供应商报价得分=（评标基准价/供应商投标报价）×10</w:t>
            </w:r>
          </w:p>
          <w:p w14:paraId="1EA76FFC">
            <w:pPr>
              <w:rPr>
                <w:rFonts w:ascii="宋体" w:hAnsi="宋体" w:cs="宋体"/>
                <w:bCs/>
                <w:kern w:val="0"/>
                <w:sz w:val="24"/>
                <w:lang w:bidi="zh-CN"/>
              </w:rPr>
            </w:pPr>
            <w:r>
              <w:rPr>
                <w:rFonts w:hint="eastAsia" w:ascii="宋体" w:hAnsi="宋体" w:cs="宋体"/>
                <w:bCs/>
                <w:kern w:val="0"/>
                <w:sz w:val="24"/>
                <w:lang w:bidi="zh-CN"/>
              </w:rPr>
              <w:t>4、最终得分计算保留小数点后两位。</w:t>
            </w:r>
          </w:p>
          <w:p w14:paraId="787DD0B7">
            <w:pPr>
              <w:rPr>
                <w:rFonts w:ascii="宋体" w:hAnsi="宋体" w:cs="宋体"/>
                <w:bCs/>
                <w:kern w:val="0"/>
                <w:sz w:val="24"/>
                <w:lang w:bidi="zh-CN"/>
              </w:rPr>
            </w:pPr>
            <w:r>
              <w:rPr>
                <w:rFonts w:hint="eastAsia" w:ascii="宋体" w:hAnsi="宋体" w:cs="宋体"/>
                <w:bCs/>
                <w:kern w:val="0"/>
                <w:sz w:val="24"/>
                <w:lang w:bidi="zh-CN"/>
              </w:rPr>
              <w:t>5、投标人报价不得低于成本价：评标委员会认为投标人的报价明显低于其他通过初步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53A1BC4">
            <w:pPr>
              <w:rPr>
                <w:rFonts w:ascii="宋体" w:hAnsi="宋体" w:cs="宋体"/>
                <w:b/>
                <w:kern w:val="0"/>
                <w:sz w:val="24"/>
                <w:lang w:bidi="zh-CN"/>
              </w:rPr>
            </w:pPr>
            <w:r>
              <w:rPr>
                <w:rFonts w:hint="eastAsia" w:ascii="宋体" w:hAnsi="宋体" w:cs="宋体"/>
                <w:b/>
                <w:kern w:val="0"/>
                <w:sz w:val="24"/>
                <w:lang w:bidi="zh-CN"/>
              </w:rPr>
              <w:t>注：本项目专门面向中小微企业采购，评审中价格将均不予扣除。</w:t>
            </w:r>
          </w:p>
        </w:tc>
      </w:tr>
      <w:tr w14:paraId="709A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pct"/>
            <w:vMerge w:val="restart"/>
            <w:noWrap/>
            <w:vAlign w:val="center"/>
          </w:tcPr>
          <w:p w14:paraId="70F25A6C">
            <w:pPr>
              <w:adjustRightInd w:val="0"/>
              <w:snapToGrid w:val="0"/>
              <w:jc w:val="center"/>
              <w:rPr>
                <w:rFonts w:ascii="宋体" w:hAnsi="宋体" w:cs="宋体"/>
                <w:kern w:val="0"/>
                <w:sz w:val="24"/>
                <w:lang w:bidi="zh-CN"/>
              </w:rPr>
            </w:pPr>
            <w:r>
              <w:rPr>
                <w:rFonts w:hint="eastAsia" w:ascii="宋体" w:hAnsi="宋体" w:cs="宋体"/>
                <w:kern w:val="0"/>
                <w:sz w:val="24"/>
                <w:lang w:bidi="zh-CN"/>
              </w:rPr>
              <w:t>1.2</w:t>
            </w:r>
          </w:p>
          <w:p w14:paraId="4C42E8DE">
            <w:pPr>
              <w:adjustRightInd w:val="0"/>
              <w:snapToGrid w:val="0"/>
              <w:jc w:val="center"/>
              <w:rPr>
                <w:rFonts w:ascii="宋体" w:hAnsi="宋体" w:cs="宋体"/>
                <w:kern w:val="0"/>
                <w:sz w:val="24"/>
                <w:lang w:bidi="zh-CN"/>
              </w:rPr>
            </w:pPr>
          </w:p>
        </w:tc>
        <w:tc>
          <w:tcPr>
            <w:tcW w:w="607" w:type="pct"/>
            <w:vMerge w:val="restart"/>
            <w:noWrap/>
            <w:vAlign w:val="center"/>
          </w:tcPr>
          <w:p w14:paraId="17726525">
            <w:pPr>
              <w:adjustRightInd w:val="0"/>
              <w:snapToGrid w:val="0"/>
              <w:jc w:val="center"/>
              <w:rPr>
                <w:rFonts w:ascii="宋体" w:hAnsi="宋体" w:cs="宋体"/>
                <w:kern w:val="0"/>
                <w:sz w:val="24"/>
                <w:lang w:bidi="zh-CN"/>
              </w:rPr>
            </w:pPr>
            <w:r>
              <w:rPr>
                <w:rFonts w:hint="eastAsia" w:ascii="宋体" w:hAnsi="宋体" w:cs="宋体"/>
                <w:kern w:val="0"/>
                <w:sz w:val="24"/>
                <w:lang w:bidi="zh-CN"/>
              </w:rPr>
              <w:t>技术标</w:t>
            </w:r>
          </w:p>
          <w:p w14:paraId="0D00D584">
            <w:pPr>
              <w:adjustRightInd w:val="0"/>
              <w:snapToGrid w:val="0"/>
              <w:jc w:val="center"/>
              <w:rPr>
                <w:rFonts w:ascii="宋体" w:hAnsi="宋体" w:cs="宋体"/>
                <w:kern w:val="0"/>
                <w:sz w:val="24"/>
                <w:lang w:bidi="zh-CN"/>
              </w:rPr>
            </w:pPr>
            <w:r>
              <w:rPr>
                <w:rFonts w:hint="eastAsia" w:ascii="宋体" w:hAnsi="宋体" w:cs="宋体"/>
                <w:kern w:val="0"/>
                <w:sz w:val="24"/>
                <w:lang w:bidi="zh-CN"/>
              </w:rPr>
              <w:t>（60分）</w:t>
            </w:r>
          </w:p>
        </w:tc>
        <w:tc>
          <w:tcPr>
            <w:tcW w:w="862" w:type="pct"/>
            <w:noWrap/>
            <w:vAlign w:val="center"/>
          </w:tcPr>
          <w:p w14:paraId="0229272A">
            <w:pPr>
              <w:spacing w:line="259" w:lineRule="auto"/>
              <w:jc w:val="center"/>
              <w:rPr>
                <w:rFonts w:ascii="宋体" w:hAnsi="宋体" w:cs="宋体"/>
                <w:kern w:val="0"/>
                <w:sz w:val="24"/>
                <w:lang w:bidi="zh-CN"/>
              </w:rPr>
            </w:pPr>
            <w:r>
              <w:rPr>
                <w:rFonts w:hint="eastAsia" w:ascii="宋体" w:hAnsi="宋体" w:cs="宋体"/>
                <w:kern w:val="0"/>
                <w:sz w:val="24"/>
                <w:lang w:bidi="zh-CN"/>
              </w:rPr>
              <w:t>1、针对本项目的整体理解及认识（0-12分）</w:t>
            </w:r>
          </w:p>
        </w:tc>
        <w:tc>
          <w:tcPr>
            <w:tcW w:w="2580" w:type="pct"/>
            <w:noWrap/>
            <w:vAlign w:val="center"/>
          </w:tcPr>
          <w:p w14:paraId="1F57FC00">
            <w:pPr>
              <w:rPr>
                <w:rFonts w:ascii="宋体" w:hAnsi="宋体" w:cs="宋体"/>
                <w:kern w:val="0"/>
                <w:sz w:val="24"/>
                <w:lang w:bidi="zh-CN"/>
              </w:rPr>
            </w:pPr>
            <w:r>
              <w:rPr>
                <w:rFonts w:hint="eastAsia" w:ascii="宋体" w:hAnsi="宋体" w:cs="宋体"/>
                <w:kern w:val="0"/>
                <w:sz w:val="24"/>
                <w:lang w:bidi="zh-CN"/>
              </w:rPr>
              <w:t>1、对本项目的整体理解透彻，认识充分的得5分；对本项目的整体理解基本透彻，认识基本充分的得2分；</w:t>
            </w:r>
          </w:p>
          <w:p w14:paraId="2A5038F3">
            <w:pPr>
              <w:rPr>
                <w:rFonts w:ascii="宋体" w:hAnsi="宋体" w:cs="宋体"/>
                <w:kern w:val="0"/>
                <w:sz w:val="24"/>
                <w:lang w:bidi="zh-CN"/>
              </w:rPr>
            </w:pPr>
            <w:r>
              <w:rPr>
                <w:rFonts w:hint="eastAsia" w:ascii="宋体" w:hAnsi="宋体" w:cs="宋体"/>
                <w:kern w:val="0"/>
                <w:sz w:val="24"/>
                <w:lang w:bidi="zh-CN"/>
              </w:rPr>
              <w:t>2、项目技术符合本项目要求，方案具有针对性的得7分；项目技术要求基本符合要求的，方案基本具有针对性的得3分；</w:t>
            </w:r>
          </w:p>
          <w:p w14:paraId="4EE1ED39">
            <w:pPr>
              <w:rPr>
                <w:rFonts w:ascii="宋体" w:hAnsi="宋体" w:cs="宋体"/>
                <w:kern w:val="0"/>
                <w:sz w:val="24"/>
                <w:lang w:val="zh-CN" w:bidi="zh-CN"/>
              </w:rPr>
            </w:pPr>
            <w:r>
              <w:rPr>
                <w:rFonts w:hint="eastAsia" w:ascii="宋体" w:hAnsi="宋体" w:cs="宋体"/>
                <w:kern w:val="0"/>
                <w:sz w:val="24"/>
                <w:lang w:bidi="zh-CN"/>
              </w:rPr>
              <w:t>本项最多得12分，缺项或不合理的，本项不得分。</w:t>
            </w:r>
          </w:p>
        </w:tc>
        <w:tc>
          <w:tcPr>
            <w:tcW w:w="486" w:type="pct"/>
            <w:noWrap/>
            <w:vAlign w:val="center"/>
          </w:tcPr>
          <w:p w14:paraId="45E461C2">
            <w:pPr>
              <w:jc w:val="center"/>
              <w:rPr>
                <w:rFonts w:ascii="宋体" w:hAnsi="宋体" w:cs="宋体"/>
                <w:kern w:val="0"/>
                <w:sz w:val="24"/>
                <w:lang w:bidi="zh-CN"/>
              </w:rPr>
            </w:pPr>
            <w:r>
              <w:rPr>
                <w:rFonts w:hint="eastAsia" w:ascii="宋体" w:hAnsi="宋体" w:cs="宋体"/>
                <w:kern w:val="0"/>
                <w:sz w:val="24"/>
                <w:lang w:bidi="zh-CN"/>
              </w:rPr>
              <w:t>12分</w:t>
            </w:r>
          </w:p>
        </w:tc>
      </w:tr>
      <w:tr w14:paraId="72DD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pct"/>
            <w:vMerge w:val="continue"/>
            <w:noWrap/>
            <w:vAlign w:val="center"/>
          </w:tcPr>
          <w:p w14:paraId="6E687796">
            <w:pPr>
              <w:adjustRightInd w:val="0"/>
              <w:snapToGrid w:val="0"/>
              <w:jc w:val="center"/>
              <w:rPr>
                <w:rFonts w:ascii="宋体" w:hAnsi="宋体" w:cs="宋体"/>
                <w:kern w:val="0"/>
                <w:sz w:val="24"/>
                <w:lang w:bidi="zh-CN"/>
              </w:rPr>
            </w:pPr>
          </w:p>
        </w:tc>
        <w:tc>
          <w:tcPr>
            <w:tcW w:w="607" w:type="pct"/>
            <w:vMerge w:val="continue"/>
            <w:noWrap/>
            <w:vAlign w:val="center"/>
          </w:tcPr>
          <w:p w14:paraId="52F2F9B9">
            <w:pPr>
              <w:adjustRightInd w:val="0"/>
              <w:snapToGrid w:val="0"/>
              <w:jc w:val="center"/>
              <w:rPr>
                <w:rFonts w:ascii="宋体" w:hAnsi="宋体" w:cs="宋体"/>
                <w:kern w:val="0"/>
                <w:sz w:val="24"/>
                <w:lang w:bidi="zh-CN"/>
              </w:rPr>
            </w:pPr>
          </w:p>
        </w:tc>
        <w:tc>
          <w:tcPr>
            <w:tcW w:w="862" w:type="pct"/>
            <w:noWrap/>
            <w:vAlign w:val="center"/>
          </w:tcPr>
          <w:p w14:paraId="4C42D5CE">
            <w:pPr>
              <w:spacing w:line="259" w:lineRule="auto"/>
              <w:jc w:val="center"/>
              <w:rPr>
                <w:rFonts w:ascii="宋体" w:hAnsi="宋体" w:cs="宋体"/>
                <w:kern w:val="0"/>
                <w:sz w:val="24"/>
                <w:lang w:bidi="zh-CN"/>
              </w:rPr>
            </w:pPr>
            <w:r>
              <w:rPr>
                <w:rFonts w:hint="eastAsia" w:ascii="宋体" w:hAnsi="宋体" w:cs="宋体"/>
                <w:kern w:val="0"/>
                <w:sz w:val="24"/>
                <w:lang w:bidi="zh-CN"/>
              </w:rPr>
              <w:t>2、针对本项目质量目标及保证措施（0-12分）</w:t>
            </w:r>
          </w:p>
        </w:tc>
        <w:tc>
          <w:tcPr>
            <w:tcW w:w="2580" w:type="pct"/>
            <w:noWrap/>
            <w:vAlign w:val="center"/>
          </w:tcPr>
          <w:p w14:paraId="6408F768">
            <w:pPr>
              <w:rPr>
                <w:rFonts w:ascii="宋体" w:hAnsi="宋体" w:cs="宋体"/>
                <w:kern w:val="0"/>
                <w:sz w:val="24"/>
                <w:lang w:bidi="zh-CN"/>
              </w:rPr>
            </w:pPr>
            <w:r>
              <w:rPr>
                <w:rFonts w:hint="eastAsia" w:ascii="宋体" w:hAnsi="宋体" w:cs="宋体"/>
                <w:kern w:val="0"/>
                <w:sz w:val="24"/>
                <w:lang w:bidi="zh-CN"/>
              </w:rPr>
              <w:t>1、质量目标明确得4分；质量目标基本明确得2分；</w:t>
            </w:r>
          </w:p>
          <w:p w14:paraId="435D3000">
            <w:pPr>
              <w:rPr>
                <w:rFonts w:ascii="宋体" w:hAnsi="宋体" w:cs="宋体"/>
                <w:kern w:val="0"/>
                <w:sz w:val="24"/>
                <w:lang w:bidi="zh-CN"/>
              </w:rPr>
            </w:pPr>
            <w:r>
              <w:rPr>
                <w:rFonts w:hint="eastAsia" w:ascii="宋体" w:hAnsi="宋体" w:cs="宋体"/>
                <w:kern w:val="0"/>
                <w:sz w:val="24"/>
                <w:lang w:bidi="zh-CN"/>
              </w:rPr>
              <w:t>2、质量保证措施具体并具有针对性得4分；质量保证措施基本健全有效且合理的得2分；</w:t>
            </w:r>
          </w:p>
          <w:p w14:paraId="42B71096">
            <w:pPr>
              <w:rPr>
                <w:rFonts w:ascii="宋体" w:hAnsi="宋体" w:cs="宋体"/>
                <w:kern w:val="0"/>
                <w:sz w:val="24"/>
                <w:lang w:bidi="zh-CN"/>
              </w:rPr>
            </w:pPr>
            <w:r>
              <w:rPr>
                <w:rFonts w:hint="eastAsia" w:ascii="宋体" w:hAnsi="宋体" w:cs="宋体"/>
                <w:kern w:val="0"/>
                <w:sz w:val="24"/>
                <w:lang w:bidi="zh-CN"/>
              </w:rPr>
              <w:t>3、质量保证措施健全有效且合理的，可操作性强的得4分；质量保证措施具备基本可操作性的得2分；</w:t>
            </w:r>
          </w:p>
          <w:p w14:paraId="2957297A">
            <w:pPr>
              <w:rPr>
                <w:rFonts w:ascii="宋体" w:hAnsi="宋体" w:cs="宋体"/>
                <w:kern w:val="0"/>
                <w:sz w:val="24"/>
                <w:lang w:val="zh-CN" w:bidi="zh-CN"/>
              </w:rPr>
            </w:pPr>
            <w:r>
              <w:rPr>
                <w:rFonts w:hint="eastAsia" w:ascii="宋体" w:hAnsi="宋体" w:cs="宋体"/>
                <w:kern w:val="0"/>
                <w:sz w:val="24"/>
                <w:lang w:bidi="zh-CN"/>
              </w:rPr>
              <w:t>本项最多得12分，缺项或不合理的，本项不得分。</w:t>
            </w:r>
          </w:p>
        </w:tc>
        <w:tc>
          <w:tcPr>
            <w:tcW w:w="486" w:type="pct"/>
            <w:noWrap/>
            <w:vAlign w:val="center"/>
          </w:tcPr>
          <w:p w14:paraId="7D95690B">
            <w:pPr>
              <w:adjustRightInd w:val="0"/>
              <w:snapToGrid w:val="0"/>
              <w:jc w:val="center"/>
              <w:rPr>
                <w:rFonts w:ascii="宋体" w:hAnsi="宋体" w:cs="宋体"/>
                <w:kern w:val="0"/>
                <w:sz w:val="24"/>
                <w:lang w:bidi="zh-CN"/>
              </w:rPr>
            </w:pPr>
            <w:r>
              <w:rPr>
                <w:rFonts w:hint="eastAsia" w:ascii="宋体" w:hAnsi="宋体" w:cs="宋体"/>
                <w:kern w:val="0"/>
                <w:sz w:val="24"/>
                <w:lang w:bidi="zh-CN"/>
              </w:rPr>
              <w:t>12分</w:t>
            </w:r>
          </w:p>
        </w:tc>
      </w:tr>
      <w:tr w14:paraId="007E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4" w:type="pct"/>
            <w:vMerge w:val="continue"/>
            <w:noWrap/>
            <w:vAlign w:val="center"/>
          </w:tcPr>
          <w:p w14:paraId="33F369D4">
            <w:pPr>
              <w:adjustRightInd w:val="0"/>
              <w:snapToGrid w:val="0"/>
              <w:jc w:val="center"/>
              <w:rPr>
                <w:rFonts w:ascii="宋体" w:hAnsi="宋体" w:cs="宋体"/>
                <w:kern w:val="0"/>
                <w:sz w:val="24"/>
                <w:lang w:bidi="zh-CN"/>
              </w:rPr>
            </w:pPr>
          </w:p>
        </w:tc>
        <w:tc>
          <w:tcPr>
            <w:tcW w:w="607" w:type="pct"/>
            <w:vMerge w:val="continue"/>
            <w:noWrap/>
            <w:vAlign w:val="center"/>
          </w:tcPr>
          <w:p w14:paraId="68CF8FB6">
            <w:pPr>
              <w:adjustRightInd w:val="0"/>
              <w:snapToGrid w:val="0"/>
              <w:jc w:val="center"/>
              <w:rPr>
                <w:rFonts w:ascii="宋体" w:hAnsi="宋体" w:cs="宋体"/>
                <w:kern w:val="0"/>
                <w:sz w:val="24"/>
                <w:lang w:bidi="zh-CN"/>
              </w:rPr>
            </w:pPr>
          </w:p>
        </w:tc>
        <w:tc>
          <w:tcPr>
            <w:tcW w:w="862" w:type="pct"/>
            <w:noWrap/>
            <w:vAlign w:val="center"/>
          </w:tcPr>
          <w:p w14:paraId="65ED6125">
            <w:pPr>
              <w:spacing w:line="259" w:lineRule="auto"/>
              <w:jc w:val="center"/>
              <w:rPr>
                <w:rFonts w:ascii="宋体" w:hAnsi="宋体" w:cs="宋体"/>
                <w:kern w:val="0"/>
                <w:sz w:val="24"/>
                <w:lang w:bidi="zh-CN"/>
              </w:rPr>
            </w:pPr>
            <w:r>
              <w:rPr>
                <w:rFonts w:hint="eastAsia" w:ascii="宋体" w:hAnsi="宋体" w:cs="宋体"/>
                <w:kern w:val="0"/>
                <w:sz w:val="24"/>
                <w:lang w:bidi="zh-CN"/>
              </w:rPr>
              <w:t>3、针对本项目工作思路、方法、技术路线，关键问题的把握（0-15分）</w:t>
            </w:r>
          </w:p>
        </w:tc>
        <w:tc>
          <w:tcPr>
            <w:tcW w:w="2580" w:type="pct"/>
            <w:noWrap/>
            <w:vAlign w:val="center"/>
          </w:tcPr>
          <w:p w14:paraId="7D0AB735">
            <w:pPr>
              <w:rPr>
                <w:rFonts w:ascii="宋体" w:hAnsi="宋体" w:cs="宋体"/>
                <w:kern w:val="0"/>
                <w:sz w:val="24"/>
                <w:lang w:bidi="zh-CN"/>
              </w:rPr>
            </w:pPr>
            <w:r>
              <w:rPr>
                <w:rFonts w:hint="eastAsia" w:ascii="宋体" w:hAnsi="宋体" w:cs="宋体"/>
                <w:kern w:val="0"/>
                <w:sz w:val="24"/>
                <w:lang w:bidi="zh-CN"/>
              </w:rPr>
              <w:t>1、思路清晰、方法合理得7分；思路基本清晰、方法基本合理，得3分；</w:t>
            </w:r>
          </w:p>
          <w:p w14:paraId="30400764">
            <w:pPr>
              <w:rPr>
                <w:rFonts w:ascii="宋体" w:hAnsi="宋体" w:cs="宋体"/>
                <w:kern w:val="0"/>
                <w:sz w:val="24"/>
                <w:lang w:bidi="zh-CN"/>
              </w:rPr>
            </w:pPr>
            <w:r>
              <w:rPr>
                <w:rFonts w:hint="eastAsia" w:ascii="宋体" w:hAnsi="宋体" w:cs="宋体"/>
                <w:kern w:val="0"/>
                <w:sz w:val="24"/>
                <w:lang w:bidi="zh-CN"/>
              </w:rPr>
              <w:t>2、技术支持完善，关键问题把握明确的，得8分；技术支持基本完善，关键问题把握基本明确的，得5分，技术可行，关键问题不全面的，得3分。</w:t>
            </w:r>
          </w:p>
          <w:p w14:paraId="20E6A79A">
            <w:pPr>
              <w:rPr>
                <w:rFonts w:ascii="宋体" w:hAnsi="宋体" w:cs="宋体"/>
                <w:kern w:val="0"/>
                <w:sz w:val="24"/>
                <w:lang w:val="zh-CN" w:bidi="zh-CN"/>
              </w:rPr>
            </w:pPr>
            <w:r>
              <w:rPr>
                <w:rFonts w:hint="eastAsia" w:ascii="宋体" w:hAnsi="宋体" w:cs="宋体"/>
                <w:kern w:val="0"/>
                <w:sz w:val="24"/>
                <w:lang w:bidi="zh-CN"/>
              </w:rPr>
              <w:t>本项最多得15分，缺项或不合理的，本项不得分。</w:t>
            </w:r>
          </w:p>
        </w:tc>
        <w:tc>
          <w:tcPr>
            <w:tcW w:w="486" w:type="pct"/>
            <w:noWrap/>
            <w:vAlign w:val="center"/>
          </w:tcPr>
          <w:p w14:paraId="28179879">
            <w:pPr>
              <w:adjustRightInd w:val="0"/>
              <w:snapToGrid w:val="0"/>
              <w:jc w:val="center"/>
              <w:rPr>
                <w:rFonts w:ascii="宋体" w:hAnsi="宋体" w:cs="宋体"/>
                <w:kern w:val="0"/>
                <w:sz w:val="24"/>
                <w:lang w:bidi="zh-CN"/>
              </w:rPr>
            </w:pPr>
            <w:r>
              <w:rPr>
                <w:rFonts w:hint="eastAsia" w:ascii="宋体" w:hAnsi="宋体" w:cs="宋体"/>
                <w:kern w:val="0"/>
                <w:sz w:val="24"/>
                <w:lang w:bidi="zh-CN"/>
              </w:rPr>
              <w:t>15分</w:t>
            </w:r>
          </w:p>
        </w:tc>
      </w:tr>
      <w:tr w14:paraId="3635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jc w:val="center"/>
        </w:trPr>
        <w:tc>
          <w:tcPr>
            <w:tcW w:w="464" w:type="pct"/>
            <w:vMerge w:val="continue"/>
            <w:noWrap/>
            <w:vAlign w:val="center"/>
          </w:tcPr>
          <w:p w14:paraId="7574AFBE">
            <w:pPr>
              <w:adjustRightInd w:val="0"/>
              <w:snapToGrid w:val="0"/>
              <w:jc w:val="center"/>
              <w:rPr>
                <w:rFonts w:ascii="宋体" w:hAnsi="宋体" w:cs="宋体"/>
                <w:kern w:val="0"/>
                <w:sz w:val="24"/>
                <w:lang w:bidi="zh-CN"/>
              </w:rPr>
            </w:pPr>
          </w:p>
        </w:tc>
        <w:tc>
          <w:tcPr>
            <w:tcW w:w="607" w:type="pct"/>
            <w:vMerge w:val="continue"/>
            <w:noWrap/>
            <w:vAlign w:val="center"/>
          </w:tcPr>
          <w:p w14:paraId="4CB74EBA">
            <w:pPr>
              <w:adjustRightInd w:val="0"/>
              <w:snapToGrid w:val="0"/>
              <w:jc w:val="center"/>
              <w:rPr>
                <w:rFonts w:ascii="宋体" w:hAnsi="宋体" w:cs="宋体"/>
                <w:kern w:val="0"/>
                <w:sz w:val="24"/>
                <w:lang w:bidi="zh-CN"/>
              </w:rPr>
            </w:pPr>
          </w:p>
        </w:tc>
        <w:tc>
          <w:tcPr>
            <w:tcW w:w="862" w:type="pct"/>
            <w:noWrap/>
            <w:vAlign w:val="center"/>
          </w:tcPr>
          <w:p w14:paraId="289D36D8">
            <w:pPr>
              <w:spacing w:line="259" w:lineRule="auto"/>
              <w:jc w:val="center"/>
              <w:rPr>
                <w:rFonts w:ascii="宋体" w:hAnsi="宋体" w:cs="宋体"/>
                <w:kern w:val="0"/>
                <w:sz w:val="24"/>
                <w:lang w:bidi="zh-CN"/>
              </w:rPr>
            </w:pPr>
            <w:r>
              <w:rPr>
                <w:rFonts w:hint="eastAsia" w:ascii="宋体" w:hAnsi="宋体" w:cs="宋体"/>
                <w:kern w:val="0"/>
                <w:sz w:val="24"/>
                <w:lang w:bidi="zh-CN"/>
              </w:rPr>
              <w:t>4、针对本项目的任务分解及责任分工（0-12分）</w:t>
            </w:r>
          </w:p>
        </w:tc>
        <w:tc>
          <w:tcPr>
            <w:tcW w:w="2580" w:type="pct"/>
            <w:noWrap/>
            <w:vAlign w:val="center"/>
          </w:tcPr>
          <w:p w14:paraId="07A9EC4D">
            <w:pPr>
              <w:rPr>
                <w:rFonts w:ascii="宋体" w:hAnsi="宋体" w:cs="宋体"/>
                <w:kern w:val="0"/>
                <w:sz w:val="24"/>
                <w:lang w:bidi="zh-CN"/>
              </w:rPr>
            </w:pPr>
            <w:r>
              <w:rPr>
                <w:rFonts w:hint="eastAsia" w:ascii="宋体" w:hAnsi="宋体" w:cs="宋体"/>
                <w:kern w:val="0"/>
                <w:sz w:val="24"/>
                <w:lang w:bidi="zh-CN"/>
              </w:rPr>
              <w:t>1、针对本项目的任务分解科学、合理得3分；任务分解基本科学、合理得1分；</w:t>
            </w:r>
          </w:p>
          <w:p w14:paraId="3F10C585">
            <w:pPr>
              <w:rPr>
                <w:rFonts w:ascii="宋体" w:hAnsi="宋体" w:cs="宋体"/>
                <w:kern w:val="0"/>
                <w:sz w:val="24"/>
                <w:lang w:bidi="zh-CN"/>
              </w:rPr>
            </w:pPr>
            <w:r>
              <w:rPr>
                <w:rFonts w:hint="eastAsia" w:ascii="宋体" w:hAnsi="宋体" w:cs="宋体"/>
                <w:kern w:val="0"/>
                <w:sz w:val="24"/>
                <w:lang w:bidi="zh-CN"/>
              </w:rPr>
              <w:t>2、项目拟派管理机构人员责任明确的得3分，不明确的得1分；</w:t>
            </w:r>
          </w:p>
          <w:p w14:paraId="32C5E651">
            <w:pPr>
              <w:rPr>
                <w:rFonts w:ascii="宋体" w:hAnsi="宋体" w:cs="宋体"/>
                <w:kern w:val="0"/>
                <w:sz w:val="24"/>
                <w:lang w:bidi="zh-CN"/>
              </w:rPr>
            </w:pPr>
            <w:r>
              <w:rPr>
                <w:rFonts w:hint="eastAsia" w:ascii="宋体" w:hAnsi="宋体" w:cs="宋体"/>
                <w:kern w:val="0"/>
                <w:sz w:val="24"/>
                <w:lang w:bidi="zh-CN"/>
              </w:rPr>
              <w:t>3、各类人员工作标准及考评方法科学合理得3分；各类人员工作标准及考评方法基本合理得1分；</w:t>
            </w:r>
          </w:p>
          <w:p w14:paraId="2A20B56E">
            <w:pPr>
              <w:rPr>
                <w:rFonts w:ascii="宋体" w:hAnsi="宋体" w:cs="宋体"/>
                <w:kern w:val="0"/>
                <w:sz w:val="24"/>
                <w:lang w:bidi="zh-CN"/>
              </w:rPr>
            </w:pPr>
            <w:r>
              <w:rPr>
                <w:rFonts w:hint="eastAsia" w:ascii="宋体" w:hAnsi="宋体" w:cs="宋体"/>
                <w:kern w:val="0"/>
                <w:sz w:val="24"/>
                <w:lang w:bidi="zh-CN"/>
              </w:rPr>
              <w:t>4、各类人员工作标准及考评方法具有可操作性的得3分；各类人员工作标准及考评方法具有基本可操作性的得1分；</w:t>
            </w:r>
          </w:p>
          <w:p w14:paraId="26BA7B5A">
            <w:pPr>
              <w:rPr>
                <w:rFonts w:ascii="宋体" w:hAnsi="宋体" w:cs="宋体"/>
                <w:kern w:val="0"/>
                <w:sz w:val="24"/>
                <w:lang w:val="zh-CN" w:bidi="zh-CN"/>
              </w:rPr>
            </w:pPr>
            <w:r>
              <w:rPr>
                <w:rFonts w:hint="eastAsia" w:ascii="宋体" w:hAnsi="宋体" w:cs="宋体"/>
                <w:kern w:val="0"/>
                <w:sz w:val="24"/>
                <w:lang w:bidi="zh-CN"/>
              </w:rPr>
              <w:t>本项最多得12分，缺项或不合理的，本项不得分。</w:t>
            </w:r>
          </w:p>
        </w:tc>
        <w:tc>
          <w:tcPr>
            <w:tcW w:w="486" w:type="pct"/>
            <w:noWrap/>
            <w:vAlign w:val="center"/>
          </w:tcPr>
          <w:p w14:paraId="2AEB6916">
            <w:pPr>
              <w:adjustRightInd w:val="0"/>
              <w:snapToGrid w:val="0"/>
              <w:jc w:val="center"/>
              <w:rPr>
                <w:rFonts w:ascii="宋体" w:hAnsi="宋体" w:cs="宋体"/>
                <w:kern w:val="0"/>
                <w:sz w:val="24"/>
                <w:lang w:bidi="zh-CN"/>
              </w:rPr>
            </w:pPr>
            <w:r>
              <w:rPr>
                <w:rFonts w:hint="eastAsia" w:ascii="宋体" w:hAnsi="宋体" w:cs="宋体"/>
                <w:kern w:val="0"/>
                <w:sz w:val="24"/>
                <w:lang w:bidi="zh-CN"/>
              </w:rPr>
              <w:t>12分</w:t>
            </w:r>
          </w:p>
        </w:tc>
      </w:tr>
      <w:tr w14:paraId="2344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464" w:type="pct"/>
            <w:vMerge w:val="continue"/>
            <w:noWrap/>
            <w:vAlign w:val="center"/>
          </w:tcPr>
          <w:p w14:paraId="7311DC76">
            <w:pPr>
              <w:adjustRightInd w:val="0"/>
              <w:snapToGrid w:val="0"/>
              <w:jc w:val="center"/>
              <w:rPr>
                <w:rFonts w:ascii="宋体" w:hAnsi="宋体" w:cs="宋体"/>
                <w:kern w:val="0"/>
                <w:sz w:val="24"/>
                <w:lang w:bidi="zh-CN"/>
              </w:rPr>
            </w:pPr>
          </w:p>
        </w:tc>
        <w:tc>
          <w:tcPr>
            <w:tcW w:w="607" w:type="pct"/>
            <w:vMerge w:val="continue"/>
            <w:noWrap/>
            <w:vAlign w:val="center"/>
          </w:tcPr>
          <w:p w14:paraId="0441112F">
            <w:pPr>
              <w:adjustRightInd w:val="0"/>
              <w:snapToGrid w:val="0"/>
              <w:jc w:val="center"/>
              <w:rPr>
                <w:rFonts w:ascii="宋体" w:hAnsi="宋体" w:cs="宋体"/>
                <w:kern w:val="0"/>
                <w:sz w:val="24"/>
                <w:lang w:bidi="zh-CN"/>
              </w:rPr>
            </w:pPr>
          </w:p>
        </w:tc>
        <w:tc>
          <w:tcPr>
            <w:tcW w:w="862" w:type="pct"/>
            <w:noWrap/>
            <w:vAlign w:val="center"/>
          </w:tcPr>
          <w:p w14:paraId="181C0273">
            <w:pPr>
              <w:spacing w:line="259" w:lineRule="auto"/>
              <w:jc w:val="center"/>
              <w:rPr>
                <w:rFonts w:ascii="宋体" w:hAnsi="宋体" w:cs="宋体"/>
                <w:kern w:val="0"/>
                <w:sz w:val="24"/>
                <w:lang w:bidi="zh-CN"/>
              </w:rPr>
            </w:pPr>
            <w:r>
              <w:rPr>
                <w:rFonts w:hint="eastAsia" w:ascii="宋体" w:hAnsi="宋体" w:cs="宋体"/>
                <w:kern w:val="0"/>
                <w:sz w:val="24"/>
                <w:lang w:bidi="zh-CN"/>
              </w:rPr>
              <w:t>5、针对本项目工作进度的计划和保证措施（0-5分）</w:t>
            </w:r>
          </w:p>
        </w:tc>
        <w:tc>
          <w:tcPr>
            <w:tcW w:w="2580" w:type="pct"/>
            <w:noWrap/>
            <w:vAlign w:val="center"/>
          </w:tcPr>
          <w:p w14:paraId="2F76BE66">
            <w:pPr>
              <w:rPr>
                <w:rFonts w:ascii="宋体" w:hAnsi="宋体" w:cs="宋体"/>
                <w:kern w:val="0"/>
                <w:sz w:val="24"/>
                <w:lang w:bidi="zh-CN"/>
              </w:rPr>
            </w:pPr>
            <w:r>
              <w:rPr>
                <w:rFonts w:hint="eastAsia" w:ascii="宋体" w:hAnsi="宋体" w:cs="宋体"/>
                <w:kern w:val="0"/>
                <w:sz w:val="24"/>
                <w:lang w:bidi="zh-CN"/>
              </w:rPr>
              <w:t>1、工作进度计划合理，保证措施具有针对性、措施先进可行，得5分；工作进度计划基本合理，保证措施基本具有针对性、措施基本可行，得2分；</w:t>
            </w:r>
          </w:p>
          <w:p w14:paraId="7C8576CA">
            <w:pPr>
              <w:rPr>
                <w:rFonts w:ascii="宋体" w:hAnsi="宋体" w:cs="宋体"/>
                <w:kern w:val="0"/>
                <w:sz w:val="24"/>
                <w:lang w:val="zh-CN" w:bidi="zh-CN"/>
              </w:rPr>
            </w:pPr>
            <w:r>
              <w:rPr>
                <w:rFonts w:hint="eastAsia" w:ascii="宋体" w:hAnsi="宋体" w:cs="宋体"/>
                <w:kern w:val="0"/>
                <w:sz w:val="24"/>
                <w:lang w:bidi="zh-CN"/>
              </w:rPr>
              <w:t>2、工作进度计划不合理，保证措施没有针对性、措施基本不可行或缺项的，本项不得分。</w:t>
            </w:r>
          </w:p>
        </w:tc>
        <w:tc>
          <w:tcPr>
            <w:tcW w:w="486" w:type="pct"/>
            <w:noWrap/>
            <w:vAlign w:val="center"/>
          </w:tcPr>
          <w:p w14:paraId="2E35DFA3">
            <w:pPr>
              <w:adjustRightInd w:val="0"/>
              <w:snapToGrid w:val="0"/>
              <w:jc w:val="center"/>
              <w:rPr>
                <w:rFonts w:ascii="宋体" w:hAnsi="宋体" w:cs="宋体"/>
                <w:kern w:val="0"/>
                <w:sz w:val="24"/>
                <w:lang w:bidi="zh-CN"/>
              </w:rPr>
            </w:pPr>
            <w:r>
              <w:rPr>
                <w:rFonts w:hint="eastAsia" w:ascii="宋体" w:hAnsi="宋体" w:cs="宋体"/>
                <w:kern w:val="0"/>
                <w:sz w:val="24"/>
                <w:lang w:bidi="zh-CN"/>
              </w:rPr>
              <w:t>5分</w:t>
            </w:r>
          </w:p>
        </w:tc>
      </w:tr>
      <w:tr w14:paraId="607B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464" w:type="pct"/>
            <w:vMerge w:val="continue"/>
            <w:noWrap/>
            <w:vAlign w:val="center"/>
          </w:tcPr>
          <w:p w14:paraId="4C71B9D3">
            <w:pPr>
              <w:adjustRightInd w:val="0"/>
              <w:snapToGrid w:val="0"/>
              <w:jc w:val="center"/>
              <w:rPr>
                <w:rFonts w:ascii="宋体" w:hAnsi="宋体" w:cs="宋体"/>
                <w:kern w:val="0"/>
                <w:sz w:val="24"/>
                <w:lang w:bidi="zh-CN"/>
              </w:rPr>
            </w:pPr>
          </w:p>
        </w:tc>
        <w:tc>
          <w:tcPr>
            <w:tcW w:w="607" w:type="pct"/>
            <w:vMerge w:val="continue"/>
            <w:noWrap/>
            <w:vAlign w:val="center"/>
          </w:tcPr>
          <w:p w14:paraId="1C565C6F">
            <w:pPr>
              <w:adjustRightInd w:val="0"/>
              <w:snapToGrid w:val="0"/>
              <w:jc w:val="center"/>
              <w:rPr>
                <w:rFonts w:ascii="宋体" w:hAnsi="宋体" w:cs="宋体"/>
                <w:kern w:val="0"/>
                <w:sz w:val="24"/>
                <w:lang w:bidi="zh-CN"/>
              </w:rPr>
            </w:pPr>
          </w:p>
        </w:tc>
        <w:tc>
          <w:tcPr>
            <w:tcW w:w="862" w:type="pct"/>
            <w:noWrap/>
            <w:vAlign w:val="center"/>
          </w:tcPr>
          <w:p w14:paraId="0E747E83">
            <w:pPr>
              <w:spacing w:line="259" w:lineRule="auto"/>
              <w:jc w:val="center"/>
              <w:rPr>
                <w:rFonts w:ascii="宋体" w:hAnsi="宋体" w:cs="宋体"/>
                <w:kern w:val="0"/>
                <w:sz w:val="24"/>
                <w:lang w:bidi="zh-CN"/>
              </w:rPr>
            </w:pPr>
            <w:r>
              <w:rPr>
                <w:rFonts w:hint="eastAsia" w:ascii="宋体" w:hAnsi="宋体" w:cs="宋体"/>
                <w:kern w:val="0"/>
                <w:sz w:val="24"/>
                <w:lang w:bidi="zh-CN"/>
              </w:rPr>
              <w:t>6、合理化建议（0-4分）</w:t>
            </w:r>
          </w:p>
        </w:tc>
        <w:tc>
          <w:tcPr>
            <w:tcW w:w="2580" w:type="pct"/>
            <w:noWrap/>
            <w:vAlign w:val="center"/>
          </w:tcPr>
          <w:p w14:paraId="2C0C4E7A">
            <w:pPr>
              <w:rPr>
                <w:rFonts w:ascii="宋体" w:hAnsi="宋体" w:cs="宋体"/>
                <w:kern w:val="0"/>
                <w:sz w:val="24"/>
                <w:lang w:val="zh-CN" w:bidi="zh-CN"/>
              </w:rPr>
            </w:pPr>
            <w:r>
              <w:rPr>
                <w:rFonts w:hint="eastAsia" w:ascii="宋体" w:hAnsi="宋体" w:cs="宋体"/>
                <w:kern w:val="0"/>
                <w:sz w:val="24"/>
                <w:lang w:bidi="zh-CN"/>
              </w:rPr>
              <w:t>建议合理、科学，具有针对性，可行性强得4分；建议基本合理，针对性和可行性不强得2分，缺项0分。</w:t>
            </w:r>
          </w:p>
        </w:tc>
        <w:tc>
          <w:tcPr>
            <w:tcW w:w="486" w:type="pct"/>
            <w:noWrap/>
            <w:vAlign w:val="center"/>
          </w:tcPr>
          <w:p w14:paraId="3B880A76">
            <w:pPr>
              <w:adjustRightInd w:val="0"/>
              <w:snapToGrid w:val="0"/>
              <w:jc w:val="center"/>
              <w:rPr>
                <w:rFonts w:ascii="宋体" w:hAnsi="宋体" w:cs="宋体"/>
                <w:kern w:val="0"/>
                <w:sz w:val="24"/>
                <w:lang w:bidi="zh-CN"/>
              </w:rPr>
            </w:pPr>
            <w:r>
              <w:rPr>
                <w:rFonts w:hint="eastAsia" w:ascii="宋体" w:hAnsi="宋体" w:cs="宋体"/>
                <w:kern w:val="0"/>
                <w:sz w:val="24"/>
                <w:lang w:bidi="zh-CN"/>
              </w:rPr>
              <w:t>4分</w:t>
            </w:r>
          </w:p>
        </w:tc>
      </w:tr>
      <w:tr w14:paraId="4C65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464" w:type="pct"/>
            <w:vMerge w:val="restart"/>
            <w:noWrap/>
            <w:vAlign w:val="center"/>
          </w:tcPr>
          <w:p w14:paraId="0E9EB281">
            <w:pPr>
              <w:adjustRightInd w:val="0"/>
              <w:snapToGrid w:val="0"/>
              <w:jc w:val="center"/>
              <w:rPr>
                <w:rFonts w:ascii="宋体" w:hAnsi="宋体" w:cs="宋体"/>
                <w:kern w:val="0"/>
                <w:sz w:val="24"/>
                <w:lang w:bidi="zh-CN"/>
              </w:rPr>
            </w:pPr>
            <w:r>
              <w:rPr>
                <w:rFonts w:hint="eastAsia" w:ascii="宋体" w:hAnsi="宋体" w:cs="宋体"/>
                <w:kern w:val="0"/>
                <w:sz w:val="24"/>
                <w:lang w:bidi="zh-CN"/>
              </w:rPr>
              <w:t>1.3</w:t>
            </w:r>
          </w:p>
          <w:p w14:paraId="288ADB0E">
            <w:pPr>
              <w:adjustRightInd w:val="0"/>
              <w:snapToGrid w:val="0"/>
              <w:rPr>
                <w:rFonts w:ascii="宋体" w:hAnsi="宋体" w:cs="宋体"/>
                <w:kern w:val="0"/>
                <w:sz w:val="24"/>
                <w:lang w:bidi="zh-CN"/>
              </w:rPr>
            </w:pPr>
          </w:p>
        </w:tc>
        <w:tc>
          <w:tcPr>
            <w:tcW w:w="607" w:type="pct"/>
            <w:vMerge w:val="restart"/>
            <w:noWrap/>
            <w:vAlign w:val="center"/>
          </w:tcPr>
          <w:p w14:paraId="14C45788">
            <w:pPr>
              <w:adjustRightInd w:val="0"/>
              <w:snapToGrid w:val="0"/>
              <w:jc w:val="center"/>
              <w:rPr>
                <w:rFonts w:ascii="宋体" w:hAnsi="宋体" w:cs="宋体"/>
                <w:kern w:val="0"/>
                <w:sz w:val="24"/>
                <w:lang w:bidi="zh-CN"/>
              </w:rPr>
            </w:pPr>
            <w:r>
              <w:rPr>
                <w:rFonts w:hint="eastAsia" w:ascii="宋体" w:hAnsi="宋体" w:cs="宋体"/>
                <w:kern w:val="0"/>
                <w:sz w:val="24"/>
                <w:lang w:bidi="zh-CN"/>
              </w:rPr>
              <w:t>综合标(30分）</w:t>
            </w:r>
          </w:p>
        </w:tc>
        <w:tc>
          <w:tcPr>
            <w:tcW w:w="862" w:type="pct"/>
            <w:noWrap/>
            <w:vAlign w:val="center"/>
          </w:tcPr>
          <w:p w14:paraId="56ABF0CC">
            <w:pPr>
              <w:jc w:val="center"/>
              <w:rPr>
                <w:rFonts w:ascii="宋体" w:hAnsi="宋体" w:cs="宋体"/>
                <w:kern w:val="0"/>
                <w:sz w:val="24"/>
                <w:lang w:bidi="zh-CN"/>
              </w:rPr>
            </w:pPr>
            <w:r>
              <w:rPr>
                <w:rFonts w:hint="eastAsia" w:ascii="宋体" w:hAnsi="宋体" w:cs="宋体"/>
                <w:kern w:val="0"/>
                <w:sz w:val="24"/>
                <w:lang w:bidi="zh-CN"/>
              </w:rPr>
              <w:t>类似业绩</w:t>
            </w:r>
          </w:p>
        </w:tc>
        <w:tc>
          <w:tcPr>
            <w:tcW w:w="2580" w:type="pct"/>
            <w:noWrap/>
            <w:vAlign w:val="center"/>
          </w:tcPr>
          <w:p w14:paraId="4988B59F">
            <w:pPr>
              <w:rPr>
                <w:rFonts w:ascii="宋体" w:hAnsi="宋体" w:cs="宋体"/>
                <w:kern w:val="0"/>
                <w:sz w:val="24"/>
                <w:lang w:bidi="zh-CN"/>
              </w:rPr>
            </w:pPr>
            <w:r>
              <w:rPr>
                <w:rFonts w:hint="eastAsia" w:ascii="宋体" w:hAnsi="宋体" w:cs="宋体"/>
                <w:kern w:val="0"/>
                <w:sz w:val="24"/>
                <w:lang w:bidi="zh-CN"/>
              </w:rPr>
              <w:t>提供2023年1月1日以来（以合同签订日期为准）承接过的类似业绩，每项得2分，本项最多得10分。</w:t>
            </w:r>
          </w:p>
          <w:p w14:paraId="4F3DECDF">
            <w:pPr>
              <w:rPr>
                <w:rFonts w:ascii="宋体" w:hAnsi="宋体" w:cs="宋体"/>
                <w:kern w:val="0"/>
                <w:sz w:val="24"/>
                <w:lang w:val="zh-CN" w:bidi="zh-CN"/>
              </w:rPr>
            </w:pPr>
            <w:r>
              <w:rPr>
                <w:rFonts w:hint="eastAsia" w:ascii="宋体" w:hAnsi="宋体" w:cs="宋体"/>
                <w:kern w:val="0"/>
                <w:sz w:val="24"/>
                <w:lang w:bidi="zh-CN"/>
              </w:rPr>
              <w:t>（响应文件中附完整版合同扫描件，扫描件须清晰可见，并加盖电子签章，否则不得分。）</w:t>
            </w:r>
          </w:p>
        </w:tc>
        <w:tc>
          <w:tcPr>
            <w:tcW w:w="486" w:type="pct"/>
            <w:noWrap/>
            <w:vAlign w:val="center"/>
          </w:tcPr>
          <w:p w14:paraId="60668A0C">
            <w:pPr>
              <w:adjustRightInd w:val="0"/>
              <w:snapToGrid w:val="0"/>
              <w:jc w:val="center"/>
              <w:rPr>
                <w:rFonts w:ascii="宋体" w:hAnsi="宋体" w:cs="宋体"/>
                <w:kern w:val="0"/>
                <w:sz w:val="24"/>
                <w:lang w:bidi="zh-CN"/>
              </w:rPr>
            </w:pPr>
            <w:r>
              <w:rPr>
                <w:rFonts w:hint="eastAsia" w:ascii="宋体" w:hAnsi="宋体" w:cs="宋体"/>
                <w:kern w:val="0"/>
                <w:sz w:val="24"/>
                <w:lang w:bidi="zh-CN"/>
              </w:rPr>
              <w:t>10分</w:t>
            </w:r>
          </w:p>
        </w:tc>
      </w:tr>
      <w:tr w14:paraId="6C35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464" w:type="pct"/>
            <w:vMerge w:val="continue"/>
            <w:noWrap/>
            <w:vAlign w:val="center"/>
          </w:tcPr>
          <w:p w14:paraId="09DB0D19">
            <w:pPr>
              <w:adjustRightInd w:val="0"/>
              <w:snapToGrid w:val="0"/>
              <w:jc w:val="center"/>
              <w:rPr>
                <w:rFonts w:ascii="宋体" w:hAnsi="宋体" w:cs="宋体"/>
                <w:kern w:val="0"/>
                <w:sz w:val="24"/>
                <w:lang w:bidi="zh-CN"/>
              </w:rPr>
            </w:pPr>
          </w:p>
        </w:tc>
        <w:tc>
          <w:tcPr>
            <w:tcW w:w="607" w:type="pct"/>
            <w:vMerge w:val="continue"/>
            <w:noWrap/>
            <w:vAlign w:val="center"/>
          </w:tcPr>
          <w:p w14:paraId="43E42FC0">
            <w:pPr>
              <w:adjustRightInd w:val="0"/>
              <w:snapToGrid w:val="0"/>
              <w:jc w:val="center"/>
              <w:rPr>
                <w:rFonts w:ascii="宋体" w:hAnsi="宋体" w:cs="宋体"/>
                <w:kern w:val="0"/>
                <w:sz w:val="24"/>
                <w:lang w:bidi="zh-CN"/>
              </w:rPr>
            </w:pPr>
          </w:p>
        </w:tc>
        <w:tc>
          <w:tcPr>
            <w:tcW w:w="862" w:type="pct"/>
            <w:vMerge w:val="restart"/>
            <w:noWrap/>
            <w:vAlign w:val="center"/>
          </w:tcPr>
          <w:p w14:paraId="36B13E80">
            <w:pPr>
              <w:jc w:val="center"/>
              <w:rPr>
                <w:rFonts w:ascii="宋体" w:hAnsi="宋体" w:cs="宋体"/>
                <w:kern w:val="0"/>
                <w:sz w:val="24"/>
                <w:lang w:bidi="zh-CN"/>
              </w:rPr>
            </w:pPr>
            <w:r>
              <w:rPr>
                <w:rFonts w:hint="eastAsia" w:ascii="宋体" w:hAnsi="宋体" w:cs="宋体"/>
                <w:kern w:val="0"/>
                <w:sz w:val="24"/>
                <w:lang w:bidi="zh-CN"/>
              </w:rPr>
              <w:t>项目团队配置</w:t>
            </w:r>
          </w:p>
        </w:tc>
        <w:tc>
          <w:tcPr>
            <w:tcW w:w="2580" w:type="pct"/>
            <w:noWrap/>
            <w:vAlign w:val="center"/>
          </w:tcPr>
          <w:p w14:paraId="50BD598E">
            <w:pPr>
              <w:adjustRightInd w:val="0"/>
              <w:snapToGrid w:val="0"/>
              <w:rPr>
                <w:rFonts w:ascii="宋体" w:hAnsi="宋体" w:cs="宋体"/>
                <w:kern w:val="0"/>
                <w:sz w:val="24"/>
                <w:lang w:val="zh-CN" w:bidi="zh-CN"/>
              </w:rPr>
            </w:pPr>
            <w:r>
              <w:rPr>
                <w:rFonts w:hint="eastAsia" w:ascii="宋体" w:hAnsi="宋体" w:cs="宋体"/>
                <w:kern w:val="0"/>
                <w:sz w:val="24"/>
                <w:lang w:bidi="zh-CN"/>
              </w:rPr>
              <w:t>1、</w:t>
            </w:r>
            <w:r>
              <w:rPr>
                <w:rFonts w:hint="eastAsia" w:ascii="宋体" w:hAnsi="宋体" w:cs="宋体"/>
                <w:kern w:val="0"/>
                <w:sz w:val="24"/>
                <w:lang w:val="zh-CN" w:bidi="zh-CN"/>
              </w:rPr>
              <w:t>团队成员中</w:t>
            </w:r>
            <w:r>
              <w:rPr>
                <w:rFonts w:hint="eastAsia" w:ascii="宋体" w:hAnsi="宋体" w:cs="宋体"/>
                <w:kern w:val="0"/>
                <w:sz w:val="24"/>
                <w:lang w:bidi="zh-CN"/>
              </w:rPr>
              <w:t>每提供1个水利相关专业中级及以上职称的</w:t>
            </w:r>
            <w:r>
              <w:rPr>
                <w:rFonts w:hint="eastAsia" w:ascii="宋体" w:hAnsi="宋体" w:cs="宋体"/>
                <w:kern w:val="0"/>
                <w:sz w:val="24"/>
                <w:lang w:val="zh-CN" w:bidi="zh-CN"/>
              </w:rPr>
              <w:t>得</w:t>
            </w:r>
            <w:r>
              <w:rPr>
                <w:rFonts w:hint="eastAsia" w:ascii="宋体" w:hAnsi="宋体" w:cs="宋体"/>
                <w:kern w:val="0"/>
                <w:sz w:val="24"/>
                <w:lang w:bidi="zh-CN"/>
              </w:rPr>
              <w:t>1</w:t>
            </w:r>
            <w:r>
              <w:rPr>
                <w:rFonts w:hint="eastAsia" w:ascii="宋体" w:hAnsi="宋体" w:cs="宋体"/>
                <w:kern w:val="0"/>
                <w:sz w:val="24"/>
                <w:lang w:val="zh-CN" w:bidi="zh-CN"/>
              </w:rPr>
              <w:t>分；最高得</w:t>
            </w:r>
            <w:r>
              <w:rPr>
                <w:rFonts w:hint="eastAsia" w:ascii="宋体" w:hAnsi="宋体" w:cs="宋体"/>
                <w:kern w:val="0"/>
                <w:sz w:val="24"/>
                <w:lang w:bidi="zh-CN"/>
              </w:rPr>
              <w:t>6</w:t>
            </w:r>
            <w:r>
              <w:rPr>
                <w:rFonts w:hint="eastAsia" w:ascii="宋体" w:hAnsi="宋体" w:cs="宋体"/>
                <w:kern w:val="0"/>
                <w:sz w:val="24"/>
                <w:lang w:val="zh-CN" w:bidi="zh-CN"/>
              </w:rPr>
              <w:t>分，不提供不得分。</w:t>
            </w:r>
          </w:p>
          <w:p w14:paraId="33F62F7E">
            <w:pPr>
              <w:adjustRightInd w:val="0"/>
              <w:snapToGrid w:val="0"/>
              <w:rPr>
                <w:rFonts w:ascii="宋体" w:hAnsi="宋体" w:cs="宋体"/>
                <w:kern w:val="0"/>
                <w:sz w:val="24"/>
                <w:lang w:bidi="zh-CN"/>
              </w:rPr>
            </w:pPr>
            <w:r>
              <w:rPr>
                <w:rFonts w:hint="eastAsia" w:ascii="宋体" w:hAnsi="宋体" w:cs="宋体"/>
                <w:kern w:val="0"/>
                <w:sz w:val="24"/>
                <w:lang w:val="zh-CN" w:bidi="zh-CN"/>
              </w:rPr>
              <w:t>（提供证书原件扫描件及人员社保缴纳证明，扫描件清晰可见，并加盖电子签章，否则不得分。）</w:t>
            </w:r>
          </w:p>
        </w:tc>
        <w:tc>
          <w:tcPr>
            <w:tcW w:w="486" w:type="pct"/>
            <w:noWrap/>
            <w:vAlign w:val="center"/>
          </w:tcPr>
          <w:p w14:paraId="199812B2">
            <w:pPr>
              <w:adjustRightInd w:val="0"/>
              <w:snapToGrid w:val="0"/>
              <w:jc w:val="center"/>
              <w:rPr>
                <w:rFonts w:ascii="宋体" w:hAnsi="宋体" w:cs="宋体"/>
                <w:kern w:val="0"/>
                <w:sz w:val="24"/>
                <w:lang w:bidi="zh-CN"/>
              </w:rPr>
            </w:pPr>
            <w:r>
              <w:rPr>
                <w:rFonts w:hint="eastAsia" w:ascii="宋体" w:hAnsi="宋体" w:cs="宋体"/>
                <w:kern w:val="0"/>
                <w:sz w:val="24"/>
                <w:lang w:bidi="zh-CN"/>
              </w:rPr>
              <w:t>6分</w:t>
            </w:r>
          </w:p>
        </w:tc>
      </w:tr>
      <w:tr w14:paraId="5D07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64" w:type="pct"/>
            <w:vMerge w:val="continue"/>
            <w:noWrap/>
            <w:vAlign w:val="center"/>
          </w:tcPr>
          <w:p w14:paraId="668A126C">
            <w:pPr>
              <w:adjustRightInd w:val="0"/>
              <w:snapToGrid w:val="0"/>
              <w:jc w:val="center"/>
              <w:rPr>
                <w:rFonts w:ascii="宋体" w:hAnsi="宋体" w:cs="宋体"/>
                <w:kern w:val="0"/>
                <w:sz w:val="24"/>
                <w:lang w:bidi="zh-CN"/>
              </w:rPr>
            </w:pPr>
          </w:p>
        </w:tc>
        <w:tc>
          <w:tcPr>
            <w:tcW w:w="607" w:type="pct"/>
            <w:vMerge w:val="continue"/>
            <w:noWrap/>
            <w:vAlign w:val="center"/>
          </w:tcPr>
          <w:p w14:paraId="12EB67B3">
            <w:pPr>
              <w:adjustRightInd w:val="0"/>
              <w:snapToGrid w:val="0"/>
              <w:jc w:val="center"/>
              <w:rPr>
                <w:rFonts w:ascii="宋体" w:hAnsi="宋体" w:cs="宋体"/>
                <w:kern w:val="0"/>
                <w:sz w:val="24"/>
                <w:lang w:bidi="zh-CN"/>
              </w:rPr>
            </w:pPr>
          </w:p>
        </w:tc>
        <w:tc>
          <w:tcPr>
            <w:tcW w:w="862" w:type="pct"/>
            <w:vMerge w:val="continue"/>
            <w:noWrap/>
            <w:vAlign w:val="center"/>
          </w:tcPr>
          <w:p w14:paraId="5D98DF0B">
            <w:pPr>
              <w:jc w:val="center"/>
              <w:rPr>
                <w:rFonts w:ascii="宋体" w:hAnsi="宋体" w:cs="宋体"/>
                <w:kern w:val="0"/>
                <w:sz w:val="24"/>
                <w:lang w:bidi="zh-CN"/>
              </w:rPr>
            </w:pPr>
          </w:p>
        </w:tc>
        <w:tc>
          <w:tcPr>
            <w:tcW w:w="2580" w:type="pct"/>
            <w:noWrap/>
            <w:vAlign w:val="center"/>
          </w:tcPr>
          <w:p w14:paraId="07D6F632">
            <w:pPr>
              <w:adjustRightInd w:val="0"/>
              <w:snapToGrid w:val="0"/>
              <w:rPr>
                <w:rFonts w:ascii="宋体" w:hAnsi="宋体" w:cs="宋体"/>
                <w:kern w:val="0"/>
                <w:sz w:val="24"/>
                <w:lang w:val="zh-CN" w:bidi="zh-CN"/>
              </w:rPr>
            </w:pPr>
            <w:r>
              <w:rPr>
                <w:rFonts w:hint="eastAsia" w:ascii="宋体" w:hAnsi="宋体" w:cs="宋体"/>
                <w:kern w:val="0"/>
                <w:sz w:val="24"/>
                <w:lang w:bidi="zh-CN"/>
              </w:rPr>
              <w:t>2、</w:t>
            </w:r>
            <w:r>
              <w:rPr>
                <w:rFonts w:hint="eastAsia" w:ascii="宋体" w:hAnsi="宋体" w:cs="宋体"/>
                <w:kern w:val="0"/>
                <w:sz w:val="24"/>
                <w:lang w:val="zh-CN" w:bidi="zh-CN"/>
              </w:rPr>
              <w:t>服务团队组织结构合理，人员分工及职责明确。方案完整、可行性</w:t>
            </w:r>
            <w:r>
              <w:rPr>
                <w:rFonts w:hint="eastAsia" w:ascii="宋体" w:hAnsi="宋体" w:cs="宋体"/>
                <w:kern w:val="0"/>
                <w:sz w:val="24"/>
                <w:lang w:bidi="zh-CN"/>
              </w:rPr>
              <w:t>强</w:t>
            </w:r>
            <w:r>
              <w:rPr>
                <w:rFonts w:hint="eastAsia" w:ascii="宋体" w:hAnsi="宋体" w:cs="宋体"/>
                <w:kern w:val="0"/>
                <w:sz w:val="24"/>
                <w:lang w:val="zh-CN" w:bidi="zh-CN"/>
              </w:rPr>
              <w:t>、</w:t>
            </w:r>
            <w:r>
              <w:rPr>
                <w:rFonts w:hint="eastAsia" w:ascii="宋体" w:hAnsi="宋体" w:cs="宋体"/>
                <w:kern w:val="0"/>
                <w:sz w:val="24"/>
                <w:lang w:bidi="zh-CN"/>
              </w:rPr>
              <w:t>具有</w:t>
            </w:r>
            <w:r>
              <w:rPr>
                <w:rFonts w:hint="eastAsia" w:ascii="宋体" w:hAnsi="宋体" w:cs="宋体"/>
                <w:kern w:val="0"/>
                <w:sz w:val="24"/>
                <w:lang w:val="zh-CN" w:bidi="zh-CN"/>
              </w:rPr>
              <w:t>优越性得</w:t>
            </w:r>
            <w:r>
              <w:rPr>
                <w:rFonts w:hint="eastAsia" w:ascii="宋体" w:hAnsi="宋体" w:cs="宋体"/>
                <w:kern w:val="0"/>
                <w:sz w:val="24"/>
                <w:lang w:bidi="zh-CN"/>
              </w:rPr>
              <w:t>7</w:t>
            </w:r>
            <w:r>
              <w:rPr>
                <w:rFonts w:hint="eastAsia" w:ascii="宋体" w:hAnsi="宋体" w:cs="宋体"/>
                <w:kern w:val="0"/>
                <w:sz w:val="24"/>
                <w:lang w:val="zh-CN" w:bidi="zh-CN"/>
              </w:rPr>
              <w:t>分，方案</w:t>
            </w:r>
            <w:r>
              <w:rPr>
                <w:rFonts w:hint="eastAsia" w:ascii="宋体" w:hAnsi="宋体" w:cs="宋体"/>
                <w:kern w:val="0"/>
                <w:sz w:val="24"/>
                <w:lang w:bidi="zh-CN"/>
              </w:rPr>
              <w:t>简介</w:t>
            </w:r>
            <w:r>
              <w:rPr>
                <w:rFonts w:hint="eastAsia" w:ascii="宋体" w:hAnsi="宋体" w:cs="宋体"/>
                <w:kern w:val="0"/>
                <w:sz w:val="24"/>
                <w:lang w:val="zh-CN" w:bidi="zh-CN"/>
              </w:rPr>
              <w:t>、可行性</w:t>
            </w:r>
            <w:r>
              <w:rPr>
                <w:rFonts w:hint="eastAsia" w:ascii="宋体" w:hAnsi="宋体" w:cs="宋体"/>
                <w:kern w:val="0"/>
                <w:sz w:val="24"/>
                <w:lang w:bidi="zh-CN"/>
              </w:rPr>
              <w:t>弱</w:t>
            </w:r>
            <w:r>
              <w:rPr>
                <w:rFonts w:hint="eastAsia" w:ascii="宋体" w:hAnsi="宋体" w:cs="宋体"/>
                <w:kern w:val="0"/>
                <w:sz w:val="24"/>
                <w:lang w:val="zh-CN" w:bidi="zh-CN"/>
              </w:rPr>
              <w:t>得</w:t>
            </w:r>
            <w:r>
              <w:rPr>
                <w:rFonts w:hint="eastAsia" w:ascii="宋体" w:hAnsi="宋体" w:cs="宋体"/>
                <w:kern w:val="0"/>
                <w:sz w:val="24"/>
                <w:lang w:bidi="zh-CN"/>
              </w:rPr>
              <w:t>3</w:t>
            </w:r>
            <w:r>
              <w:rPr>
                <w:rFonts w:hint="eastAsia" w:ascii="宋体" w:hAnsi="宋体" w:cs="宋体"/>
                <w:kern w:val="0"/>
                <w:sz w:val="24"/>
                <w:lang w:val="zh-CN" w:bidi="zh-CN"/>
              </w:rPr>
              <w:t>分，缺项得0分。</w:t>
            </w:r>
          </w:p>
        </w:tc>
        <w:tc>
          <w:tcPr>
            <w:tcW w:w="486" w:type="pct"/>
            <w:noWrap/>
            <w:vAlign w:val="center"/>
          </w:tcPr>
          <w:p w14:paraId="4E6BF6A7">
            <w:pPr>
              <w:adjustRightInd w:val="0"/>
              <w:snapToGrid w:val="0"/>
              <w:jc w:val="center"/>
              <w:rPr>
                <w:rFonts w:ascii="宋体" w:hAnsi="宋体" w:cs="宋体"/>
                <w:kern w:val="0"/>
                <w:sz w:val="24"/>
                <w:lang w:bidi="zh-CN"/>
              </w:rPr>
            </w:pPr>
            <w:r>
              <w:rPr>
                <w:rFonts w:hint="eastAsia" w:ascii="宋体" w:hAnsi="宋体" w:cs="宋体"/>
                <w:kern w:val="0"/>
                <w:sz w:val="24"/>
                <w:lang w:bidi="zh-CN"/>
              </w:rPr>
              <w:t>7分</w:t>
            </w:r>
          </w:p>
        </w:tc>
      </w:tr>
      <w:tr w14:paraId="6CF5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464" w:type="pct"/>
            <w:vMerge w:val="continue"/>
            <w:noWrap/>
            <w:vAlign w:val="center"/>
          </w:tcPr>
          <w:p w14:paraId="2EF9DF47">
            <w:pPr>
              <w:adjustRightInd w:val="0"/>
              <w:snapToGrid w:val="0"/>
              <w:jc w:val="center"/>
              <w:rPr>
                <w:rFonts w:ascii="宋体" w:hAnsi="宋体" w:cs="宋体"/>
                <w:kern w:val="0"/>
                <w:sz w:val="24"/>
                <w:lang w:bidi="zh-CN"/>
              </w:rPr>
            </w:pPr>
          </w:p>
        </w:tc>
        <w:tc>
          <w:tcPr>
            <w:tcW w:w="607" w:type="pct"/>
            <w:vMerge w:val="continue"/>
            <w:noWrap/>
            <w:vAlign w:val="center"/>
          </w:tcPr>
          <w:p w14:paraId="7E499269">
            <w:pPr>
              <w:adjustRightInd w:val="0"/>
              <w:snapToGrid w:val="0"/>
              <w:jc w:val="center"/>
              <w:rPr>
                <w:rFonts w:ascii="宋体" w:hAnsi="宋体" w:cs="宋体"/>
                <w:kern w:val="0"/>
                <w:sz w:val="24"/>
                <w:lang w:bidi="zh-CN"/>
              </w:rPr>
            </w:pPr>
          </w:p>
        </w:tc>
        <w:tc>
          <w:tcPr>
            <w:tcW w:w="862" w:type="pct"/>
            <w:noWrap/>
            <w:vAlign w:val="center"/>
          </w:tcPr>
          <w:p w14:paraId="0688F5A6">
            <w:pPr>
              <w:jc w:val="center"/>
              <w:rPr>
                <w:rFonts w:ascii="宋体" w:hAnsi="宋体" w:cs="宋体"/>
                <w:kern w:val="0"/>
                <w:sz w:val="24"/>
                <w:lang w:bidi="zh-CN"/>
              </w:rPr>
            </w:pPr>
            <w:r>
              <w:rPr>
                <w:rFonts w:hint="eastAsia" w:ascii="宋体" w:hAnsi="宋体" w:cs="宋体"/>
                <w:kern w:val="0"/>
                <w:sz w:val="24"/>
                <w:lang w:bidi="zh-CN"/>
              </w:rPr>
              <w:t>服务承诺</w:t>
            </w:r>
          </w:p>
        </w:tc>
        <w:tc>
          <w:tcPr>
            <w:tcW w:w="2580" w:type="pct"/>
            <w:noWrap/>
            <w:vAlign w:val="center"/>
          </w:tcPr>
          <w:p w14:paraId="7FEB5272">
            <w:pPr>
              <w:adjustRightInd w:val="0"/>
              <w:snapToGrid w:val="0"/>
              <w:rPr>
                <w:rFonts w:ascii="宋体" w:hAnsi="宋体" w:cs="宋体"/>
                <w:kern w:val="0"/>
                <w:sz w:val="24"/>
                <w:lang w:bidi="zh-CN"/>
              </w:rPr>
            </w:pPr>
            <w:r>
              <w:rPr>
                <w:rFonts w:hint="eastAsia" w:ascii="宋体" w:hAnsi="宋体" w:cs="宋体"/>
                <w:kern w:val="0"/>
                <w:sz w:val="24"/>
                <w:lang w:bidi="zh-CN"/>
              </w:rPr>
              <w:t>根据供应商提供的后续服务承诺：</w:t>
            </w:r>
          </w:p>
          <w:p w14:paraId="627AA12E">
            <w:pPr>
              <w:adjustRightInd w:val="0"/>
              <w:snapToGrid w:val="0"/>
              <w:rPr>
                <w:rFonts w:ascii="宋体" w:hAnsi="宋体" w:cs="宋体"/>
                <w:kern w:val="0"/>
                <w:sz w:val="24"/>
                <w:lang w:val="zh-CN" w:bidi="zh-CN"/>
              </w:rPr>
            </w:pPr>
            <w:r>
              <w:rPr>
                <w:rFonts w:hint="eastAsia" w:ascii="宋体" w:hAnsi="宋体" w:cs="宋体"/>
                <w:kern w:val="0"/>
                <w:sz w:val="24"/>
                <w:lang w:bidi="zh-CN"/>
              </w:rPr>
              <w:t>内容详细、完整、具体，针对性强、保证度高、响应及时的得7分；内容较完整，针对性不强、响应不及时的得3分；不提供服务承诺的不得分。</w:t>
            </w:r>
          </w:p>
        </w:tc>
        <w:tc>
          <w:tcPr>
            <w:tcW w:w="486" w:type="pct"/>
            <w:noWrap/>
            <w:vAlign w:val="center"/>
          </w:tcPr>
          <w:p w14:paraId="06D24B3D">
            <w:pPr>
              <w:adjustRightInd w:val="0"/>
              <w:snapToGrid w:val="0"/>
              <w:jc w:val="center"/>
              <w:rPr>
                <w:rFonts w:ascii="宋体" w:hAnsi="宋体" w:cs="宋体"/>
                <w:kern w:val="0"/>
                <w:sz w:val="24"/>
                <w:lang w:bidi="zh-CN"/>
              </w:rPr>
            </w:pPr>
            <w:r>
              <w:rPr>
                <w:rFonts w:hint="eastAsia" w:ascii="宋体" w:hAnsi="宋体" w:cs="宋体"/>
                <w:kern w:val="0"/>
                <w:sz w:val="24"/>
                <w:lang w:bidi="zh-CN"/>
              </w:rPr>
              <w:t>7分</w:t>
            </w:r>
          </w:p>
        </w:tc>
      </w:tr>
    </w:tbl>
    <w:p w14:paraId="71768D65">
      <w:pPr>
        <w:spacing w:line="360" w:lineRule="auto"/>
        <w:rPr>
          <w:rFonts w:hint="eastAsia" w:ascii="宋体" w:hAnsi="宋体"/>
          <w:sz w:val="24"/>
        </w:rPr>
      </w:pPr>
    </w:p>
    <w:p w14:paraId="1BCEBE41">
      <w:pPr>
        <w:spacing w:line="360" w:lineRule="auto"/>
        <w:ind w:firstLine="480" w:firstLineChars="200"/>
        <w:rPr>
          <w:rFonts w:hint="eastAsia" w:ascii="宋体" w:hAnsi="宋体"/>
          <w:sz w:val="24"/>
        </w:rPr>
      </w:pPr>
      <w:r>
        <w:rPr>
          <w:rFonts w:hint="eastAsia" w:ascii="宋体" w:hAnsi="宋体"/>
          <w:sz w:val="24"/>
        </w:rPr>
        <w:t>二标段：</w:t>
      </w:r>
    </w:p>
    <w:tbl>
      <w:tblPr>
        <w:tblStyle w:val="13"/>
        <w:tblpPr w:leftFromText="180" w:rightFromText="180" w:vertAnchor="text" w:horzAnchor="page" w:tblpXSpec="center" w:tblpY="885"/>
        <w:tblOverlap w:val="never"/>
        <w:tblW w:w="48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024"/>
        <w:gridCol w:w="1454"/>
        <w:gridCol w:w="4353"/>
        <w:gridCol w:w="820"/>
      </w:tblGrid>
      <w:tr w14:paraId="085D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071" w:type="pct"/>
            <w:gridSpan w:val="2"/>
            <w:noWrap/>
            <w:vAlign w:val="center"/>
          </w:tcPr>
          <w:p w14:paraId="6FB47A7C">
            <w:pPr>
              <w:ind w:firstLine="480" w:firstLineChars="200"/>
              <w:jc w:val="left"/>
              <w:rPr>
                <w:rFonts w:ascii="宋体" w:hAnsi="宋体" w:cs="宋体"/>
                <w:kern w:val="0"/>
                <w:sz w:val="24"/>
                <w:lang w:bidi="zh-CN"/>
              </w:rPr>
            </w:pPr>
            <w:r>
              <w:rPr>
                <w:rFonts w:hint="eastAsia" w:ascii="宋体" w:hAnsi="宋体" w:cs="宋体"/>
                <w:kern w:val="0"/>
                <w:sz w:val="24"/>
                <w:lang w:bidi="zh-CN"/>
              </w:rPr>
              <w:t>条款号</w:t>
            </w:r>
          </w:p>
        </w:tc>
        <w:tc>
          <w:tcPr>
            <w:tcW w:w="862" w:type="pct"/>
            <w:noWrap/>
            <w:vAlign w:val="center"/>
          </w:tcPr>
          <w:p w14:paraId="7774D002">
            <w:pPr>
              <w:jc w:val="center"/>
              <w:rPr>
                <w:rFonts w:ascii="宋体" w:hAnsi="宋体" w:cs="宋体"/>
                <w:kern w:val="0"/>
                <w:sz w:val="24"/>
                <w:lang w:bidi="zh-CN"/>
              </w:rPr>
            </w:pPr>
            <w:r>
              <w:rPr>
                <w:rFonts w:hint="eastAsia" w:ascii="宋体" w:hAnsi="宋体" w:cs="宋体"/>
                <w:kern w:val="0"/>
                <w:sz w:val="24"/>
                <w:lang w:bidi="zh-CN"/>
              </w:rPr>
              <w:t>条款内容</w:t>
            </w:r>
          </w:p>
        </w:tc>
        <w:tc>
          <w:tcPr>
            <w:tcW w:w="3066" w:type="pct"/>
            <w:gridSpan w:val="2"/>
            <w:noWrap/>
            <w:vAlign w:val="center"/>
          </w:tcPr>
          <w:p w14:paraId="2B7A4889">
            <w:pPr>
              <w:ind w:firstLine="480" w:firstLineChars="200"/>
              <w:jc w:val="left"/>
              <w:rPr>
                <w:rFonts w:ascii="宋体" w:hAnsi="宋体" w:cs="宋体"/>
                <w:kern w:val="0"/>
                <w:sz w:val="24"/>
                <w:lang w:bidi="zh-CN"/>
              </w:rPr>
            </w:pPr>
            <w:r>
              <w:rPr>
                <w:rFonts w:hint="eastAsia" w:ascii="宋体" w:hAnsi="宋体" w:cs="宋体"/>
                <w:kern w:val="0"/>
                <w:sz w:val="24"/>
                <w:lang w:bidi="zh-CN"/>
              </w:rPr>
              <w:t>编列内容</w:t>
            </w:r>
          </w:p>
        </w:tc>
      </w:tr>
      <w:tr w14:paraId="7E62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1071" w:type="pct"/>
            <w:gridSpan w:val="2"/>
            <w:noWrap/>
            <w:vAlign w:val="center"/>
          </w:tcPr>
          <w:p w14:paraId="041D83C2">
            <w:pPr>
              <w:adjustRightInd w:val="0"/>
              <w:snapToGrid w:val="0"/>
              <w:jc w:val="center"/>
              <w:rPr>
                <w:rFonts w:ascii="宋体" w:hAnsi="宋体" w:cs="宋体"/>
                <w:kern w:val="0"/>
                <w:sz w:val="24"/>
                <w:lang w:bidi="zh-CN"/>
              </w:rPr>
            </w:pPr>
            <w:r>
              <w:rPr>
                <w:rFonts w:hint="eastAsia" w:ascii="宋体" w:hAnsi="宋体" w:cs="宋体"/>
                <w:kern w:val="0"/>
                <w:sz w:val="24"/>
                <w:lang w:bidi="zh-CN"/>
              </w:rPr>
              <w:t>1</w:t>
            </w:r>
          </w:p>
        </w:tc>
        <w:tc>
          <w:tcPr>
            <w:tcW w:w="862" w:type="pct"/>
            <w:noWrap/>
            <w:vAlign w:val="center"/>
          </w:tcPr>
          <w:p w14:paraId="0BF41CCF">
            <w:pPr>
              <w:adjustRightInd w:val="0"/>
              <w:snapToGrid w:val="0"/>
              <w:jc w:val="center"/>
              <w:rPr>
                <w:rFonts w:ascii="宋体" w:hAnsi="宋体" w:cs="宋体"/>
                <w:kern w:val="0"/>
                <w:sz w:val="24"/>
                <w:lang w:bidi="zh-CN"/>
              </w:rPr>
            </w:pPr>
            <w:r>
              <w:rPr>
                <w:rFonts w:hint="eastAsia" w:ascii="宋体" w:hAnsi="宋体" w:cs="宋体"/>
                <w:kern w:val="0"/>
                <w:sz w:val="24"/>
                <w:lang w:bidi="zh-CN"/>
              </w:rPr>
              <w:t>分值构成(总分100分)</w:t>
            </w:r>
          </w:p>
        </w:tc>
        <w:tc>
          <w:tcPr>
            <w:tcW w:w="3066" w:type="pct"/>
            <w:gridSpan w:val="2"/>
            <w:noWrap/>
            <w:vAlign w:val="center"/>
          </w:tcPr>
          <w:p w14:paraId="0F8965CB">
            <w:pPr>
              <w:adjustRightInd w:val="0"/>
              <w:snapToGrid w:val="0"/>
              <w:rPr>
                <w:rFonts w:ascii="宋体" w:hAnsi="宋体" w:cs="宋体"/>
                <w:kern w:val="0"/>
                <w:sz w:val="24"/>
                <w:lang w:bidi="zh-CN"/>
              </w:rPr>
            </w:pPr>
            <w:r>
              <w:rPr>
                <w:rFonts w:hint="eastAsia" w:ascii="宋体" w:hAnsi="宋体" w:cs="宋体"/>
                <w:kern w:val="0"/>
                <w:sz w:val="24"/>
                <w:lang w:bidi="zh-CN"/>
              </w:rPr>
              <w:t>商务标：10分</w:t>
            </w:r>
          </w:p>
          <w:p w14:paraId="7C863A05">
            <w:pPr>
              <w:adjustRightInd w:val="0"/>
              <w:snapToGrid w:val="0"/>
              <w:rPr>
                <w:rFonts w:ascii="宋体" w:hAnsi="宋体" w:cs="宋体"/>
                <w:kern w:val="0"/>
                <w:sz w:val="24"/>
                <w:lang w:bidi="zh-CN"/>
              </w:rPr>
            </w:pPr>
            <w:r>
              <w:rPr>
                <w:rFonts w:hint="eastAsia" w:ascii="宋体" w:hAnsi="宋体" w:cs="宋体"/>
                <w:kern w:val="0"/>
                <w:sz w:val="24"/>
                <w:lang w:bidi="zh-CN"/>
              </w:rPr>
              <w:t>技术标：60分</w:t>
            </w:r>
          </w:p>
          <w:p w14:paraId="195D2488">
            <w:pPr>
              <w:adjustRightInd w:val="0"/>
              <w:snapToGrid w:val="0"/>
              <w:rPr>
                <w:rFonts w:ascii="宋体" w:hAnsi="宋体" w:cs="宋体"/>
                <w:kern w:val="0"/>
                <w:sz w:val="24"/>
                <w:lang w:bidi="zh-CN"/>
              </w:rPr>
            </w:pPr>
            <w:r>
              <w:rPr>
                <w:rFonts w:hint="eastAsia" w:ascii="宋体" w:hAnsi="宋体" w:cs="宋体"/>
                <w:kern w:val="0"/>
                <w:sz w:val="24"/>
                <w:lang w:bidi="zh-CN"/>
              </w:rPr>
              <w:t>综合标：30分</w:t>
            </w:r>
          </w:p>
        </w:tc>
      </w:tr>
      <w:tr w14:paraId="3FEC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64" w:type="pct"/>
            <w:noWrap/>
            <w:vAlign w:val="center"/>
          </w:tcPr>
          <w:p w14:paraId="53804559">
            <w:pPr>
              <w:adjustRightInd w:val="0"/>
              <w:snapToGrid w:val="0"/>
              <w:jc w:val="center"/>
              <w:rPr>
                <w:rFonts w:ascii="宋体" w:hAnsi="宋体" w:cs="宋体"/>
                <w:kern w:val="0"/>
                <w:sz w:val="24"/>
                <w:lang w:bidi="zh-CN"/>
              </w:rPr>
            </w:pPr>
            <w:r>
              <w:rPr>
                <w:rFonts w:hint="eastAsia" w:ascii="宋体" w:hAnsi="宋体" w:cs="宋体"/>
                <w:kern w:val="0"/>
                <w:sz w:val="24"/>
                <w:lang w:bidi="zh-CN"/>
              </w:rPr>
              <w:t>1.1</w:t>
            </w:r>
          </w:p>
          <w:p w14:paraId="6272C6F1">
            <w:pPr>
              <w:adjustRightInd w:val="0"/>
              <w:snapToGrid w:val="0"/>
              <w:jc w:val="center"/>
              <w:rPr>
                <w:rFonts w:ascii="宋体" w:hAnsi="宋体" w:cs="宋体"/>
                <w:kern w:val="0"/>
                <w:sz w:val="24"/>
                <w:lang w:bidi="zh-CN"/>
              </w:rPr>
            </w:pPr>
          </w:p>
        </w:tc>
        <w:tc>
          <w:tcPr>
            <w:tcW w:w="607" w:type="pct"/>
            <w:noWrap/>
            <w:vAlign w:val="center"/>
          </w:tcPr>
          <w:p w14:paraId="63F8C6EE">
            <w:pPr>
              <w:adjustRightInd w:val="0"/>
              <w:snapToGrid w:val="0"/>
              <w:jc w:val="center"/>
              <w:rPr>
                <w:rFonts w:ascii="宋体" w:hAnsi="宋体" w:cs="宋体"/>
                <w:kern w:val="0"/>
                <w:sz w:val="24"/>
                <w:lang w:bidi="zh-CN"/>
              </w:rPr>
            </w:pPr>
            <w:r>
              <w:rPr>
                <w:rFonts w:hint="eastAsia" w:ascii="宋体" w:hAnsi="宋体" w:cs="宋体"/>
                <w:kern w:val="0"/>
                <w:sz w:val="24"/>
                <w:lang w:bidi="zh-CN"/>
              </w:rPr>
              <w:t>商务标（10分）</w:t>
            </w:r>
          </w:p>
        </w:tc>
        <w:tc>
          <w:tcPr>
            <w:tcW w:w="862" w:type="pct"/>
            <w:noWrap/>
            <w:vAlign w:val="center"/>
          </w:tcPr>
          <w:p w14:paraId="1090429F">
            <w:pPr>
              <w:adjustRightInd w:val="0"/>
              <w:snapToGrid w:val="0"/>
              <w:jc w:val="center"/>
              <w:rPr>
                <w:rFonts w:ascii="宋体" w:hAnsi="宋体" w:cs="宋体"/>
                <w:kern w:val="0"/>
                <w:sz w:val="24"/>
                <w:lang w:bidi="zh-CN"/>
              </w:rPr>
            </w:pPr>
            <w:r>
              <w:rPr>
                <w:rFonts w:hint="eastAsia" w:ascii="宋体" w:hAnsi="宋体" w:cs="宋体"/>
                <w:kern w:val="0"/>
                <w:sz w:val="24"/>
                <w:lang w:bidi="zh-CN"/>
              </w:rPr>
              <w:t>投标报价    （10分）</w:t>
            </w:r>
          </w:p>
        </w:tc>
        <w:tc>
          <w:tcPr>
            <w:tcW w:w="3066" w:type="pct"/>
            <w:gridSpan w:val="2"/>
            <w:noWrap/>
            <w:vAlign w:val="center"/>
          </w:tcPr>
          <w:p w14:paraId="50B7A17F">
            <w:pPr>
              <w:rPr>
                <w:rFonts w:ascii="宋体" w:hAnsi="宋体" w:cs="宋体"/>
                <w:bCs/>
                <w:kern w:val="0"/>
                <w:sz w:val="24"/>
                <w:lang w:bidi="zh-CN"/>
              </w:rPr>
            </w:pPr>
            <w:r>
              <w:rPr>
                <w:rFonts w:hint="eastAsia" w:ascii="宋体" w:hAnsi="宋体" w:cs="宋体"/>
                <w:bCs/>
                <w:kern w:val="0"/>
                <w:sz w:val="24"/>
                <w:lang w:bidi="zh-CN"/>
              </w:rPr>
              <w:t>1、超出采购人最高限价的投标报价为无效报价、按废标处理。</w:t>
            </w:r>
          </w:p>
          <w:p w14:paraId="108ACE66">
            <w:pPr>
              <w:rPr>
                <w:rFonts w:ascii="宋体" w:hAnsi="宋体" w:cs="宋体"/>
                <w:bCs/>
                <w:kern w:val="0"/>
                <w:sz w:val="24"/>
                <w:lang w:bidi="zh-CN"/>
              </w:rPr>
            </w:pPr>
            <w:r>
              <w:rPr>
                <w:rFonts w:hint="eastAsia" w:ascii="宋体" w:hAnsi="宋体" w:cs="宋体"/>
                <w:bCs/>
                <w:kern w:val="0"/>
                <w:sz w:val="24"/>
                <w:lang w:bidi="zh-CN"/>
              </w:rPr>
              <w:t>2、所有为未进入详细评审的投标为无效投标，其报价不作为评分依据。</w:t>
            </w:r>
          </w:p>
          <w:p w14:paraId="7869FEBA">
            <w:pPr>
              <w:rPr>
                <w:rFonts w:ascii="宋体" w:hAnsi="宋体" w:cs="宋体"/>
                <w:bCs/>
                <w:kern w:val="0"/>
                <w:sz w:val="24"/>
                <w:lang w:bidi="zh-CN"/>
              </w:rPr>
            </w:pPr>
            <w:r>
              <w:rPr>
                <w:rFonts w:hint="eastAsia" w:ascii="宋体" w:hAnsi="宋体" w:cs="宋体"/>
                <w:bCs/>
                <w:kern w:val="0"/>
                <w:sz w:val="24"/>
                <w:lang w:bidi="zh-CN"/>
              </w:rPr>
              <w:t>3、价格分统一采用低价优先法计算，既满足磋商文件要求且投标价格最低的投标报价为评标基准价，其价格分为满分。其他供应商的价格分统一按照下列公式计算：</w:t>
            </w:r>
          </w:p>
          <w:p w14:paraId="7335F7AB">
            <w:pPr>
              <w:rPr>
                <w:rFonts w:ascii="宋体" w:hAnsi="宋体" w:cs="宋体"/>
                <w:bCs/>
                <w:kern w:val="0"/>
                <w:sz w:val="24"/>
                <w:lang w:bidi="zh-CN"/>
              </w:rPr>
            </w:pPr>
            <w:r>
              <w:rPr>
                <w:rFonts w:hint="eastAsia" w:ascii="宋体" w:hAnsi="宋体" w:cs="宋体"/>
                <w:bCs/>
                <w:kern w:val="0"/>
                <w:sz w:val="24"/>
                <w:lang w:bidi="zh-CN"/>
              </w:rPr>
              <w:t>供应商报价得分=（评标基准价/供应商投标报价）×10</w:t>
            </w:r>
          </w:p>
          <w:p w14:paraId="55F3ADE3">
            <w:pPr>
              <w:rPr>
                <w:rFonts w:ascii="宋体" w:hAnsi="宋体" w:cs="宋体"/>
                <w:bCs/>
                <w:kern w:val="0"/>
                <w:sz w:val="24"/>
                <w:lang w:bidi="zh-CN"/>
              </w:rPr>
            </w:pPr>
            <w:r>
              <w:rPr>
                <w:rFonts w:hint="eastAsia" w:ascii="宋体" w:hAnsi="宋体" w:cs="宋体"/>
                <w:bCs/>
                <w:kern w:val="0"/>
                <w:sz w:val="24"/>
                <w:lang w:bidi="zh-CN"/>
              </w:rPr>
              <w:t>4、最终得分计算保留小数点后两位。</w:t>
            </w:r>
          </w:p>
          <w:p w14:paraId="77F34C9A">
            <w:pPr>
              <w:rPr>
                <w:rFonts w:ascii="宋体" w:hAnsi="宋体" w:cs="宋体"/>
                <w:bCs/>
                <w:kern w:val="0"/>
                <w:sz w:val="24"/>
                <w:lang w:bidi="zh-CN"/>
              </w:rPr>
            </w:pPr>
            <w:r>
              <w:rPr>
                <w:rFonts w:hint="eastAsia" w:ascii="宋体" w:hAnsi="宋体" w:cs="宋体"/>
                <w:bCs/>
                <w:kern w:val="0"/>
                <w:sz w:val="24"/>
                <w:lang w:bidi="zh-CN"/>
              </w:rPr>
              <w:t>5、投标人报价不得低于成本价：评标委员会认为投标人的报价明显低于其他通过初步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82A9EAE">
            <w:pPr>
              <w:rPr>
                <w:rFonts w:ascii="宋体" w:hAnsi="宋体" w:cs="宋体"/>
                <w:b/>
                <w:kern w:val="0"/>
                <w:sz w:val="24"/>
                <w:lang w:bidi="zh-CN"/>
              </w:rPr>
            </w:pPr>
            <w:r>
              <w:rPr>
                <w:rFonts w:hint="eastAsia" w:ascii="宋体" w:hAnsi="宋体" w:cs="宋体"/>
                <w:b/>
                <w:kern w:val="0"/>
                <w:sz w:val="24"/>
                <w:lang w:bidi="zh-CN"/>
              </w:rPr>
              <w:t>注：本项目专门面向中小微企业采购，评审中价格将均不予扣除。</w:t>
            </w:r>
          </w:p>
        </w:tc>
      </w:tr>
      <w:tr w14:paraId="6FCC9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pct"/>
            <w:vMerge w:val="restart"/>
            <w:noWrap/>
            <w:vAlign w:val="center"/>
          </w:tcPr>
          <w:p w14:paraId="45C8F7B3">
            <w:pPr>
              <w:adjustRightInd w:val="0"/>
              <w:snapToGrid w:val="0"/>
              <w:jc w:val="center"/>
              <w:rPr>
                <w:rFonts w:ascii="宋体" w:hAnsi="宋体" w:cs="宋体"/>
                <w:kern w:val="0"/>
                <w:sz w:val="24"/>
                <w:lang w:bidi="zh-CN"/>
              </w:rPr>
            </w:pPr>
            <w:r>
              <w:rPr>
                <w:rFonts w:hint="eastAsia" w:ascii="宋体" w:hAnsi="宋体" w:cs="宋体"/>
                <w:kern w:val="0"/>
                <w:sz w:val="24"/>
                <w:lang w:bidi="zh-CN"/>
              </w:rPr>
              <w:t>1.2</w:t>
            </w:r>
          </w:p>
          <w:p w14:paraId="3FF92162">
            <w:pPr>
              <w:adjustRightInd w:val="0"/>
              <w:snapToGrid w:val="0"/>
              <w:jc w:val="center"/>
              <w:rPr>
                <w:rFonts w:ascii="宋体" w:hAnsi="宋体" w:cs="宋体"/>
                <w:kern w:val="0"/>
                <w:sz w:val="24"/>
                <w:lang w:bidi="zh-CN"/>
              </w:rPr>
            </w:pPr>
          </w:p>
        </w:tc>
        <w:tc>
          <w:tcPr>
            <w:tcW w:w="607" w:type="pct"/>
            <w:vMerge w:val="restart"/>
            <w:noWrap/>
            <w:vAlign w:val="center"/>
          </w:tcPr>
          <w:p w14:paraId="4D70BD51">
            <w:pPr>
              <w:adjustRightInd w:val="0"/>
              <w:snapToGrid w:val="0"/>
              <w:jc w:val="center"/>
              <w:rPr>
                <w:rFonts w:ascii="宋体" w:hAnsi="宋体" w:cs="宋体"/>
                <w:kern w:val="0"/>
                <w:sz w:val="24"/>
                <w:lang w:bidi="zh-CN"/>
              </w:rPr>
            </w:pPr>
            <w:r>
              <w:rPr>
                <w:rFonts w:hint="eastAsia" w:ascii="宋体" w:hAnsi="宋体" w:cs="宋体"/>
                <w:kern w:val="0"/>
                <w:sz w:val="24"/>
                <w:lang w:bidi="zh-CN"/>
              </w:rPr>
              <w:t>技术标</w:t>
            </w:r>
          </w:p>
          <w:p w14:paraId="0C43EC1D">
            <w:pPr>
              <w:adjustRightInd w:val="0"/>
              <w:snapToGrid w:val="0"/>
              <w:jc w:val="center"/>
              <w:rPr>
                <w:rFonts w:ascii="宋体" w:hAnsi="宋体" w:cs="宋体"/>
                <w:kern w:val="0"/>
                <w:sz w:val="24"/>
                <w:lang w:bidi="zh-CN"/>
              </w:rPr>
            </w:pPr>
            <w:r>
              <w:rPr>
                <w:rFonts w:hint="eastAsia" w:ascii="宋体" w:hAnsi="宋体" w:cs="宋体"/>
                <w:kern w:val="0"/>
                <w:sz w:val="24"/>
                <w:lang w:bidi="zh-CN"/>
              </w:rPr>
              <w:t>（60分）</w:t>
            </w:r>
          </w:p>
        </w:tc>
        <w:tc>
          <w:tcPr>
            <w:tcW w:w="862" w:type="pct"/>
            <w:noWrap/>
            <w:vAlign w:val="center"/>
          </w:tcPr>
          <w:p w14:paraId="2A73B6A7">
            <w:pPr>
              <w:spacing w:line="259" w:lineRule="auto"/>
              <w:jc w:val="center"/>
              <w:rPr>
                <w:rFonts w:ascii="宋体" w:hAnsi="宋体" w:cs="宋体"/>
                <w:kern w:val="0"/>
                <w:sz w:val="24"/>
                <w:lang w:bidi="zh-CN"/>
              </w:rPr>
            </w:pPr>
            <w:r>
              <w:rPr>
                <w:rFonts w:hint="eastAsia" w:ascii="宋体" w:hAnsi="宋体" w:cs="宋体"/>
                <w:kern w:val="0"/>
                <w:sz w:val="24"/>
                <w:lang w:bidi="zh-CN"/>
              </w:rPr>
              <w:t>1、针对本项目的整体理解及认识（0-12分）</w:t>
            </w:r>
          </w:p>
        </w:tc>
        <w:tc>
          <w:tcPr>
            <w:tcW w:w="2580" w:type="pct"/>
            <w:noWrap/>
            <w:vAlign w:val="center"/>
          </w:tcPr>
          <w:p w14:paraId="3DE47BAF">
            <w:pPr>
              <w:rPr>
                <w:rFonts w:ascii="宋体" w:hAnsi="宋体" w:cs="宋体"/>
                <w:kern w:val="0"/>
                <w:sz w:val="24"/>
                <w:lang w:bidi="zh-CN"/>
              </w:rPr>
            </w:pPr>
            <w:r>
              <w:rPr>
                <w:rFonts w:hint="eastAsia" w:ascii="宋体" w:hAnsi="宋体" w:cs="宋体"/>
                <w:kern w:val="0"/>
                <w:sz w:val="24"/>
                <w:lang w:bidi="zh-CN"/>
              </w:rPr>
              <w:t>1、对本项目的整体理解透彻，认识充分的得5分；对本项目的整体理解基本透彻，认识基本充分的得2分；</w:t>
            </w:r>
          </w:p>
          <w:p w14:paraId="7BD25C37">
            <w:pPr>
              <w:rPr>
                <w:rFonts w:ascii="宋体" w:hAnsi="宋体" w:cs="宋体"/>
                <w:kern w:val="0"/>
                <w:sz w:val="24"/>
                <w:lang w:bidi="zh-CN"/>
              </w:rPr>
            </w:pPr>
            <w:r>
              <w:rPr>
                <w:rFonts w:hint="eastAsia" w:ascii="宋体" w:hAnsi="宋体" w:cs="宋体"/>
                <w:kern w:val="0"/>
                <w:sz w:val="24"/>
                <w:lang w:bidi="zh-CN"/>
              </w:rPr>
              <w:t>2、项目技术符合本项目要求，方案具有针对性的得7分；项目技术要求基本符合要求的，方案基本具有针对性的得3分；</w:t>
            </w:r>
          </w:p>
          <w:p w14:paraId="66B711BD">
            <w:pPr>
              <w:rPr>
                <w:rFonts w:ascii="宋体" w:hAnsi="宋体" w:cs="宋体"/>
                <w:kern w:val="0"/>
                <w:sz w:val="24"/>
                <w:lang w:val="zh-CN" w:bidi="zh-CN"/>
              </w:rPr>
            </w:pPr>
            <w:r>
              <w:rPr>
                <w:rFonts w:hint="eastAsia" w:ascii="宋体" w:hAnsi="宋体" w:cs="宋体"/>
                <w:kern w:val="0"/>
                <w:sz w:val="24"/>
                <w:lang w:bidi="zh-CN"/>
              </w:rPr>
              <w:t>本项最多得12分，缺项或不合理的，本项不得分。</w:t>
            </w:r>
          </w:p>
        </w:tc>
        <w:tc>
          <w:tcPr>
            <w:tcW w:w="486" w:type="pct"/>
            <w:noWrap/>
            <w:vAlign w:val="center"/>
          </w:tcPr>
          <w:p w14:paraId="2B9A9099">
            <w:pPr>
              <w:jc w:val="center"/>
              <w:rPr>
                <w:rFonts w:ascii="宋体" w:hAnsi="宋体" w:cs="宋体"/>
                <w:kern w:val="0"/>
                <w:sz w:val="24"/>
                <w:lang w:bidi="zh-CN"/>
              </w:rPr>
            </w:pPr>
            <w:r>
              <w:rPr>
                <w:rFonts w:hint="eastAsia" w:ascii="宋体" w:hAnsi="宋体" w:cs="宋体"/>
                <w:kern w:val="0"/>
                <w:sz w:val="24"/>
                <w:lang w:bidi="zh-CN"/>
              </w:rPr>
              <w:t>12分</w:t>
            </w:r>
          </w:p>
        </w:tc>
      </w:tr>
      <w:tr w14:paraId="676C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4" w:type="pct"/>
            <w:vMerge w:val="continue"/>
            <w:noWrap/>
            <w:vAlign w:val="center"/>
          </w:tcPr>
          <w:p w14:paraId="57C0D810">
            <w:pPr>
              <w:adjustRightInd w:val="0"/>
              <w:snapToGrid w:val="0"/>
              <w:jc w:val="center"/>
              <w:rPr>
                <w:rFonts w:ascii="宋体" w:hAnsi="宋体" w:cs="宋体"/>
                <w:kern w:val="0"/>
                <w:sz w:val="24"/>
                <w:lang w:bidi="zh-CN"/>
              </w:rPr>
            </w:pPr>
          </w:p>
        </w:tc>
        <w:tc>
          <w:tcPr>
            <w:tcW w:w="607" w:type="pct"/>
            <w:vMerge w:val="continue"/>
            <w:noWrap/>
            <w:vAlign w:val="center"/>
          </w:tcPr>
          <w:p w14:paraId="5D1E57A7">
            <w:pPr>
              <w:adjustRightInd w:val="0"/>
              <w:snapToGrid w:val="0"/>
              <w:jc w:val="center"/>
              <w:rPr>
                <w:rFonts w:ascii="宋体" w:hAnsi="宋体" w:cs="宋体"/>
                <w:kern w:val="0"/>
                <w:sz w:val="24"/>
                <w:lang w:bidi="zh-CN"/>
              </w:rPr>
            </w:pPr>
          </w:p>
        </w:tc>
        <w:tc>
          <w:tcPr>
            <w:tcW w:w="862" w:type="pct"/>
            <w:noWrap/>
            <w:vAlign w:val="center"/>
          </w:tcPr>
          <w:p w14:paraId="100CC55D">
            <w:pPr>
              <w:spacing w:line="259" w:lineRule="auto"/>
              <w:jc w:val="center"/>
              <w:rPr>
                <w:rFonts w:ascii="宋体" w:hAnsi="宋体" w:cs="宋体"/>
                <w:kern w:val="0"/>
                <w:sz w:val="24"/>
                <w:lang w:bidi="zh-CN"/>
              </w:rPr>
            </w:pPr>
            <w:r>
              <w:rPr>
                <w:rFonts w:hint="eastAsia" w:ascii="宋体" w:hAnsi="宋体" w:cs="宋体"/>
                <w:kern w:val="0"/>
                <w:sz w:val="24"/>
                <w:lang w:bidi="zh-CN"/>
              </w:rPr>
              <w:t>2、针对本项目质量目标及保证措施（0-12分）</w:t>
            </w:r>
          </w:p>
        </w:tc>
        <w:tc>
          <w:tcPr>
            <w:tcW w:w="2580" w:type="pct"/>
            <w:noWrap/>
            <w:vAlign w:val="center"/>
          </w:tcPr>
          <w:p w14:paraId="65CB350A">
            <w:pPr>
              <w:rPr>
                <w:rFonts w:ascii="宋体" w:hAnsi="宋体" w:cs="宋体"/>
                <w:kern w:val="0"/>
                <w:sz w:val="24"/>
                <w:lang w:bidi="zh-CN"/>
              </w:rPr>
            </w:pPr>
            <w:r>
              <w:rPr>
                <w:rFonts w:hint="eastAsia" w:ascii="宋体" w:hAnsi="宋体" w:cs="宋体"/>
                <w:kern w:val="0"/>
                <w:sz w:val="24"/>
                <w:lang w:bidi="zh-CN"/>
              </w:rPr>
              <w:t>1、质量目标明确得4分；质量目标基本明确得2分；</w:t>
            </w:r>
          </w:p>
          <w:p w14:paraId="726F8B99">
            <w:pPr>
              <w:rPr>
                <w:rFonts w:ascii="宋体" w:hAnsi="宋体" w:cs="宋体"/>
                <w:kern w:val="0"/>
                <w:sz w:val="24"/>
                <w:lang w:bidi="zh-CN"/>
              </w:rPr>
            </w:pPr>
            <w:r>
              <w:rPr>
                <w:rFonts w:hint="eastAsia" w:ascii="宋体" w:hAnsi="宋体" w:cs="宋体"/>
                <w:kern w:val="0"/>
                <w:sz w:val="24"/>
                <w:lang w:bidi="zh-CN"/>
              </w:rPr>
              <w:t>2、质量保证措施具体并具有针对性得4分；质量保证措施基本健全有效且合理的得2分；</w:t>
            </w:r>
          </w:p>
          <w:p w14:paraId="2DBAA708">
            <w:pPr>
              <w:rPr>
                <w:rFonts w:ascii="宋体" w:hAnsi="宋体" w:cs="宋体"/>
                <w:kern w:val="0"/>
                <w:sz w:val="24"/>
                <w:lang w:bidi="zh-CN"/>
              </w:rPr>
            </w:pPr>
            <w:r>
              <w:rPr>
                <w:rFonts w:hint="eastAsia" w:ascii="宋体" w:hAnsi="宋体" w:cs="宋体"/>
                <w:kern w:val="0"/>
                <w:sz w:val="24"/>
                <w:lang w:bidi="zh-CN"/>
              </w:rPr>
              <w:t>3、质量保证措施健全有效且合理的，可操作性强的得4分；质量保证措施具备基本可操作性的得2分；</w:t>
            </w:r>
          </w:p>
          <w:p w14:paraId="54567FF2">
            <w:pPr>
              <w:rPr>
                <w:rFonts w:ascii="宋体" w:hAnsi="宋体" w:cs="宋体"/>
                <w:kern w:val="0"/>
                <w:sz w:val="24"/>
                <w:lang w:val="zh-CN" w:bidi="zh-CN"/>
              </w:rPr>
            </w:pPr>
            <w:r>
              <w:rPr>
                <w:rFonts w:hint="eastAsia" w:ascii="宋体" w:hAnsi="宋体" w:cs="宋体"/>
                <w:kern w:val="0"/>
                <w:sz w:val="24"/>
                <w:lang w:bidi="zh-CN"/>
              </w:rPr>
              <w:t>本项最多得12分，缺项或不合理的，本项不得分。</w:t>
            </w:r>
          </w:p>
        </w:tc>
        <w:tc>
          <w:tcPr>
            <w:tcW w:w="486" w:type="pct"/>
            <w:noWrap/>
            <w:vAlign w:val="center"/>
          </w:tcPr>
          <w:p w14:paraId="78018847">
            <w:pPr>
              <w:adjustRightInd w:val="0"/>
              <w:snapToGrid w:val="0"/>
              <w:jc w:val="center"/>
              <w:rPr>
                <w:rFonts w:ascii="宋体" w:hAnsi="宋体" w:cs="宋体"/>
                <w:kern w:val="0"/>
                <w:sz w:val="24"/>
                <w:lang w:bidi="zh-CN"/>
              </w:rPr>
            </w:pPr>
            <w:r>
              <w:rPr>
                <w:rFonts w:hint="eastAsia" w:ascii="宋体" w:hAnsi="宋体" w:cs="宋体"/>
                <w:kern w:val="0"/>
                <w:sz w:val="24"/>
                <w:lang w:bidi="zh-CN"/>
              </w:rPr>
              <w:t>12分</w:t>
            </w:r>
          </w:p>
        </w:tc>
      </w:tr>
      <w:tr w14:paraId="1244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64" w:type="pct"/>
            <w:vMerge w:val="continue"/>
            <w:noWrap/>
            <w:vAlign w:val="center"/>
          </w:tcPr>
          <w:p w14:paraId="13AC9480">
            <w:pPr>
              <w:adjustRightInd w:val="0"/>
              <w:snapToGrid w:val="0"/>
              <w:jc w:val="center"/>
              <w:rPr>
                <w:rFonts w:ascii="宋体" w:hAnsi="宋体" w:cs="宋体"/>
                <w:kern w:val="0"/>
                <w:sz w:val="24"/>
                <w:lang w:bidi="zh-CN"/>
              </w:rPr>
            </w:pPr>
          </w:p>
        </w:tc>
        <w:tc>
          <w:tcPr>
            <w:tcW w:w="607" w:type="pct"/>
            <w:vMerge w:val="continue"/>
            <w:noWrap/>
            <w:vAlign w:val="center"/>
          </w:tcPr>
          <w:p w14:paraId="73354361">
            <w:pPr>
              <w:adjustRightInd w:val="0"/>
              <w:snapToGrid w:val="0"/>
              <w:jc w:val="center"/>
              <w:rPr>
                <w:rFonts w:ascii="宋体" w:hAnsi="宋体" w:cs="宋体"/>
                <w:kern w:val="0"/>
                <w:sz w:val="24"/>
                <w:lang w:bidi="zh-CN"/>
              </w:rPr>
            </w:pPr>
          </w:p>
        </w:tc>
        <w:tc>
          <w:tcPr>
            <w:tcW w:w="862" w:type="pct"/>
            <w:noWrap/>
            <w:vAlign w:val="center"/>
          </w:tcPr>
          <w:p w14:paraId="34FBA3CC">
            <w:pPr>
              <w:spacing w:line="259" w:lineRule="auto"/>
              <w:jc w:val="center"/>
              <w:rPr>
                <w:rFonts w:ascii="宋体" w:hAnsi="宋体" w:cs="宋体"/>
                <w:kern w:val="0"/>
                <w:sz w:val="24"/>
                <w:lang w:bidi="zh-CN"/>
              </w:rPr>
            </w:pPr>
            <w:r>
              <w:rPr>
                <w:rFonts w:hint="eastAsia" w:ascii="宋体" w:hAnsi="宋体" w:cs="宋体"/>
                <w:kern w:val="0"/>
                <w:sz w:val="24"/>
                <w:lang w:bidi="zh-CN"/>
              </w:rPr>
              <w:t>3、针对本项目工作思路、方法、技术路线，关键问题的把握（0-15分）</w:t>
            </w:r>
          </w:p>
        </w:tc>
        <w:tc>
          <w:tcPr>
            <w:tcW w:w="2580" w:type="pct"/>
            <w:noWrap/>
            <w:vAlign w:val="center"/>
          </w:tcPr>
          <w:p w14:paraId="499D90A9">
            <w:pPr>
              <w:rPr>
                <w:rFonts w:ascii="宋体" w:hAnsi="宋体" w:cs="宋体"/>
                <w:kern w:val="0"/>
                <w:sz w:val="24"/>
                <w:lang w:bidi="zh-CN"/>
              </w:rPr>
            </w:pPr>
            <w:r>
              <w:rPr>
                <w:rFonts w:hint="eastAsia" w:ascii="宋体" w:hAnsi="宋体" w:cs="宋体"/>
                <w:kern w:val="0"/>
                <w:sz w:val="24"/>
                <w:lang w:bidi="zh-CN"/>
              </w:rPr>
              <w:t>1、思路清晰、方法合理得7分；思路基本清晰、方法基本合理，得3分；</w:t>
            </w:r>
          </w:p>
          <w:p w14:paraId="2E6E87A4">
            <w:pPr>
              <w:rPr>
                <w:rFonts w:ascii="宋体" w:hAnsi="宋体" w:cs="宋体"/>
                <w:kern w:val="0"/>
                <w:sz w:val="24"/>
                <w:lang w:bidi="zh-CN"/>
              </w:rPr>
            </w:pPr>
            <w:r>
              <w:rPr>
                <w:rFonts w:hint="eastAsia" w:ascii="宋体" w:hAnsi="宋体" w:cs="宋体"/>
                <w:kern w:val="0"/>
                <w:sz w:val="24"/>
                <w:lang w:bidi="zh-CN"/>
              </w:rPr>
              <w:t>2、技术支持完善，关键问题把握明确的，得8分；技术支持基本完善，关键问题把握基本明确的，得5分，技术可行，关键问题不全面的，得3分。</w:t>
            </w:r>
          </w:p>
          <w:p w14:paraId="1C343AD7">
            <w:pPr>
              <w:rPr>
                <w:rFonts w:ascii="宋体" w:hAnsi="宋体" w:cs="宋体"/>
                <w:kern w:val="0"/>
                <w:sz w:val="24"/>
                <w:lang w:val="zh-CN" w:bidi="zh-CN"/>
              </w:rPr>
            </w:pPr>
            <w:r>
              <w:rPr>
                <w:rFonts w:hint="eastAsia" w:ascii="宋体" w:hAnsi="宋体" w:cs="宋体"/>
                <w:kern w:val="0"/>
                <w:sz w:val="24"/>
                <w:lang w:bidi="zh-CN"/>
              </w:rPr>
              <w:t>本项最多得15分，缺项或不合理的，本项不得分。</w:t>
            </w:r>
          </w:p>
        </w:tc>
        <w:tc>
          <w:tcPr>
            <w:tcW w:w="486" w:type="pct"/>
            <w:noWrap/>
            <w:vAlign w:val="center"/>
          </w:tcPr>
          <w:p w14:paraId="2232FBD2">
            <w:pPr>
              <w:adjustRightInd w:val="0"/>
              <w:snapToGrid w:val="0"/>
              <w:jc w:val="center"/>
              <w:rPr>
                <w:rFonts w:ascii="宋体" w:hAnsi="宋体" w:cs="宋体"/>
                <w:kern w:val="0"/>
                <w:sz w:val="24"/>
                <w:lang w:bidi="zh-CN"/>
              </w:rPr>
            </w:pPr>
            <w:r>
              <w:rPr>
                <w:rFonts w:hint="eastAsia" w:ascii="宋体" w:hAnsi="宋体" w:cs="宋体"/>
                <w:kern w:val="0"/>
                <w:sz w:val="24"/>
                <w:lang w:bidi="zh-CN"/>
              </w:rPr>
              <w:t>15分</w:t>
            </w:r>
          </w:p>
        </w:tc>
      </w:tr>
      <w:tr w14:paraId="4160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jc w:val="center"/>
        </w:trPr>
        <w:tc>
          <w:tcPr>
            <w:tcW w:w="464" w:type="pct"/>
            <w:vMerge w:val="continue"/>
            <w:noWrap/>
            <w:vAlign w:val="center"/>
          </w:tcPr>
          <w:p w14:paraId="4817E729">
            <w:pPr>
              <w:adjustRightInd w:val="0"/>
              <w:snapToGrid w:val="0"/>
              <w:jc w:val="center"/>
              <w:rPr>
                <w:rFonts w:ascii="宋体" w:hAnsi="宋体" w:cs="宋体"/>
                <w:kern w:val="0"/>
                <w:sz w:val="24"/>
                <w:lang w:bidi="zh-CN"/>
              </w:rPr>
            </w:pPr>
          </w:p>
        </w:tc>
        <w:tc>
          <w:tcPr>
            <w:tcW w:w="607" w:type="pct"/>
            <w:vMerge w:val="continue"/>
            <w:noWrap/>
            <w:vAlign w:val="center"/>
          </w:tcPr>
          <w:p w14:paraId="5672886B">
            <w:pPr>
              <w:adjustRightInd w:val="0"/>
              <w:snapToGrid w:val="0"/>
              <w:jc w:val="center"/>
              <w:rPr>
                <w:rFonts w:ascii="宋体" w:hAnsi="宋体" w:cs="宋体"/>
                <w:kern w:val="0"/>
                <w:sz w:val="24"/>
                <w:lang w:bidi="zh-CN"/>
              </w:rPr>
            </w:pPr>
          </w:p>
        </w:tc>
        <w:tc>
          <w:tcPr>
            <w:tcW w:w="862" w:type="pct"/>
            <w:noWrap/>
            <w:vAlign w:val="center"/>
          </w:tcPr>
          <w:p w14:paraId="79B83B2F">
            <w:pPr>
              <w:spacing w:line="259" w:lineRule="auto"/>
              <w:jc w:val="center"/>
              <w:rPr>
                <w:rFonts w:ascii="宋体" w:hAnsi="宋体" w:cs="宋体"/>
                <w:kern w:val="0"/>
                <w:sz w:val="24"/>
                <w:lang w:bidi="zh-CN"/>
              </w:rPr>
            </w:pPr>
            <w:r>
              <w:rPr>
                <w:rFonts w:hint="eastAsia" w:ascii="宋体" w:hAnsi="宋体" w:cs="宋体"/>
                <w:kern w:val="0"/>
                <w:sz w:val="24"/>
                <w:lang w:bidi="zh-CN"/>
              </w:rPr>
              <w:t>4、针对本项目的任务分解及责任分工（0-12分）</w:t>
            </w:r>
          </w:p>
        </w:tc>
        <w:tc>
          <w:tcPr>
            <w:tcW w:w="2580" w:type="pct"/>
            <w:noWrap/>
            <w:vAlign w:val="center"/>
          </w:tcPr>
          <w:p w14:paraId="01056C78">
            <w:pPr>
              <w:rPr>
                <w:rFonts w:ascii="宋体" w:hAnsi="宋体" w:cs="宋体"/>
                <w:kern w:val="0"/>
                <w:sz w:val="24"/>
                <w:lang w:bidi="zh-CN"/>
              </w:rPr>
            </w:pPr>
            <w:r>
              <w:rPr>
                <w:rFonts w:hint="eastAsia" w:ascii="宋体" w:hAnsi="宋体" w:cs="宋体"/>
                <w:kern w:val="0"/>
                <w:sz w:val="24"/>
                <w:lang w:bidi="zh-CN"/>
              </w:rPr>
              <w:t>1、针对本项目的任务分解科学、合理得3分；任务分解基本科学、合理得1分；</w:t>
            </w:r>
          </w:p>
          <w:p w14:paraId="62597435">
            <w:pPr>
              <w:rPr>
                <w:rFonts w:ascii="宋体" w:hAnsi="宋体" w:cs="宋体"/>
                <w:kern w:val="0"/>
                <w:sz w:val="24"/>
                <w:lang w:bidi="zh-CN"/>
              </w:rPr>
            </w:pPr>
            <w:r>
              <w:rPr>
                <w:rFonts w:hint="eastAsia" w:ascii="宋体" w:hAnsi="宋体" w:cs="宋体"/>
                <w:kern w:val="0"/>
                <w:sz w:val="24"/>
                <w:lang w:bidi="zh-CN"/>
              </w:rPr>
              <w:t>2、项目拟派管理机构人员责任明确的得3分，不明确的得1分；</w:t>
            </w:r>
          </w:p>
          <w:p w14:paraId="5B9BF4BF">
            <w:pPr>
              <w:rPr>
                <w:rFonts w:ascii="宋体" w:hAnsi="宋体" w:cs="宋体"/>
                <w:kern w:val="0"/>
                <w:sz w:val="24"/>
                <w:lang w:bidi="zh-CN"/>
              </w:rPr>
            </w:pPr>
            <w:r>
              <w:rPr>
                <w:rFonts w:hint="eastAsia" w:ascii="宋体" w:hAnsi="宋体" w:cs="宋体"/>
                <w:kern w:val="0"/>
                <w:sz w:val="24"/>
                <w:lang w:bidi="zh-CN"/>
              </w:rPr>
              <w:t>3、各类人员工作标准及考评方法科学合理得3分；各类人员工作标准及考评方法基本合理得1分；</w:t>
            </w:r>
          </w:p>
          <w:p w14:paraId="560DD249">
            <w:pPr>
              <w:rPr>
                <w:rFonts w:ascii="宋体" w:hAnsi="宋体" w:cs="宋体"/>
                <w:kern w:val="0"/>
                <w:sz w:val="24"/>
                <w:lang w:bidi="zh-CN"/>
              </w:rPr>
            </w:pPr>
            <w:r>
              <w:rPr>
                <w:rFonts w:hint="eastAsia" w:ascii="宋体" w:hAnsi="宋体" w:cs="宋体"/>
                <w:kern w:val="0"/>
                <w:sz w:val="24"/>
                <w:lang w:bidi="zh-CN"/>
              </w:rPr>
              <w:t>4、各类人员工作标准及考评方法具有可操作性的得3分；各类人员工作标准及考评方法具有基本可操作性的得1分；</w:t>
            </w:r>
          </w:p>
          <w:p w14:paraId="5D3BA7D9">
            <w:pPr>
              <w:rPr>
                <w:rFonts w:ascii="宋体" w:hAnsi="宋体" w:cs="宋体"/>
                <w:kern w:val="0"/>
                <w:sz w:val="24"/>
                <w:lang w:val="zh-CN" w:bidi="zh-CN"/>
              </w:rPr>
            </w:pPr>
            <w:r>
              <w:rPr>
                <w:rFonts w:hint="eastAsia" w:ascii="宋体" w:hAnsi="宋体" w:cs="宋体"/>
                <w:kern w:val="0"/>
                <w:sz w:val="24"/>
                <w:lang w:bidi="zh-CN"/>
              </w:rPr>
              <w:t>本项最多得12分，缺项或不合理的，本项不得分。</w:t>
            </w:r>
          </w:p>
        </w:tc>
        <w:tc>
          <w:tcPr>
            <w:tcW w:w="486" w:type="pct"/>
            <w:noWrap/>
            <w:vAlign w:val="center"/>
          </w:tcPr>
          <w:p w14:paraId="08045938">
            <w:pPr>
              <w:adjustRightInd w:val="0"/>
              <w:snapToGrid w:val="0"/>
              <w:jc w:val="center"/>
              <w:rPr>
                <w:rFonts w:ascii="宋体" w:hAnsi="宋体" w:cs="宋体"/>
                <w:kern w:val="0"/>
                <w:sz w:val="24"/>
                <w:lang w:bidi="zh-CN"/>
              </w:rPr>
            </w:pPr>
            <w:r>
              <w:rPr>
                <w:rFonts w:hint="eastAsia" w:ascii="宋体" w:hAnsi="宋体" w:cs="宋体"/>
                <w:kern w:val="0"/>
                <w:sz w:val="24"/>
                <w:lang w:bidi="zh-CN"/>
              </w:rPr>
              <w:t>12分</w:t>
            </w:r>
          </w:p>
        </w:tc>
      </w:tr>
      <w:tr w14:paraId="6143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464" w:type="pct"/>
            <w:vMerge w:val="continue"/>
            <w:noWrap/>
            <w:vAlign w:val="center"/>
          </w:tcPr>
          <w:p w14:paraId="33FE9126">
            <w:pPr>
              <w:adjustRightInd w:val="0"/>
              <w:snapToGrid w:val="0"/>
              <w:jc w:val="center"/>
              <w:rPr>
                <w:rFonts w:ascii="宋体" w:hAnsi="宋体" w:cs="宋体"/>
                <w:kern w:val="0"/>
                <w:sz w:val="24"/>
                <w:lang w:bidi="zh-CN"/>
              </w:rPr>
            </w:pPr>
          </w:p>
        </w:tc>
        <w:tc>
          <w:tcPr>
            <w:tcW w:w="607" w:type="pct"/>
            <w:vMerge w:val="continue"/>
            <w:noWrap/>
            <w:vAlign w:val="center"/>
          </w:tcPr>
          <w:p w14:paraId="7BA234AE">
            <w:pPr>
              <w:adjustRightInd w:val="0"/>
              <w:snapToGrid w:val="0"/>
              <w:jc w:val="center"/>
              <w:rPr>
                <w:rFonts w:ascii="宋体" w:hAnsi="宋体" w:cs="宋体"/>
                <w:kern w:val="0"/>
                <w:sz w:val="24"/>
                <w:lang w:bidi="zh-CN"/>
              </w:rPr>
            </w:pPr>
          </w:p>
        </w:tc>
        <w:tc>
          <w:tcPr>
            <w:tcW w:w="862" w:type="pct"/>
            <w:noWrap/>
            <w:vAlign w:val="center"/>
          </w:tcPr>
          <w:p w14:paraId="6C5AD124">
            <w:pPr>
              <w:spacing w:line="259" w:lineRule="auto"/>
              <w:jc w:val="center"/>
              <w:rPr>
                <w:rFonts w:ascii="宋体" w:hAnsi="宋体" w:cs="宋体"/>
                <w:kern w:val="0"/>
                <w:sz w:val="24"/>
                <w:lang w:bidi="zh-CN"/>
              </w:rPr>
            </w:pPr>
            <w:r>
              <w:rPr>
                <w:rFonts w:hint="eastAsia" w:ascii="宋体" w:hAnsi="宋体" w:cs="宋体"/>
                <w:kern w:val="0"/>
                <w:sz w:val="24"/>
                <w:lang w:bidi="zh-CN"/>
              </w:rPr>
              <w:t>5、针对本项目工作进度的计划和保证措施（0-5分）</w:t>
            </w:r>
          </w:p>
        </w:tc>
        <w:tc>
          <w:tcPr>
            <w:tcW w:w="2580" w:type="pct"/>
            <w:noWrap/>
            <w:vAlign w:val="center"/>
          </w:tcPr>
          <w:p w14:paraId="39AD1B7E">
            <w:pPr>
              <w:rPr>
                <w:rFonts w:ascii="宋体" w:hAnsi="宋体" w:cs="宋体"/>
                <w:kern w:val="0"/>
                <w:sz w:val="24"/>
                <w:lang w:bidi="zh-CN"/>
              </w:rPr>
            </w:pPr>
            <w:r>
              <w:rPr>
                <w:rFonts w:hint="eastAsia" w:ascii="宋体" w:hAnsi="宋体" w:cs="宋体"/>
                <w:kern w:val="0"/>
                <w:sz w:val="24"/>
                <w:lang w:bidi="zh-CN"/>
              </w:rPr>
              <w:t>1、工作进度计划合理，保证措施具有针对性、措施先进可行，得5分；工作进度计划基本合理，保证措施基本具有针对性、措施基本可行，得2分；</w:t>
            </w:r>
          </w:p>
          <w:p w14:paraId="6471ED4E">
            <w:pPr>
              <w:rPr>
                <w:rFonts w:ascii="宋体" w:hAnsi="宋体" w:cs="宋体"/>
                <w:kern w:val="0"/>
                <w:sz w:val="24"/>
                <w:lang w:val="zh-CN" w:bidi="zh-CN"/>
              </w:rPr>
            </w:pPr>
            <w:r>
              <w:rPr>
                <w:rFonts w:hint="eastAsia" w:ascii="宋体" w:hAnsi="宋体" w:cs="宋体"/>
                <w:kern w:val="0"/>
                <w:sz w:val="24"/>
                <w:lang w:bidi="zh-CN"/>
              </w:rPr>
              <w:t>2、工作进度计划不合理，保证措施没有针对性、措施基本不可行或缺项的，本项不得分。</w:t>
            </w:r>
          </w:p>
        </w:tc>
        <w:tc>
          <w:tcPr>
            <w:tcW w:w="486" w:type="pct"/>
            <w:noWrap/>
            <w:vAlign w:val="center"/>
          </w:tcPr>
          <w:p w14:paraId="58877183">
            <w:pPr>
              <w:adjustRightInd w:val="0"/>
              <w:snapToGrid w:val="0"/>
              <w:jc w:val="center"/>
              <w:rPr>
                <w:rFonts w:ascii="宋体" w:hAnsi="宋体" w:cs="宋体"/>
                <w:kern w:val="0"/>
                <w:sz w:val="24"/>
                <w:lang w:bidi="zh-CN"/>
              </w:rPr>
            </w:pPr>
            <w:r>
              <w:rPr>
                <w:rFonts w:hint="eastAsia" w:ascii="宋体" w:hAnsi="宋体" w:cs="宋体"/>
                <w:kern w:val="0"/>
                <w:sz w:val="24"/>
                <w:lang w:bidi="zh-CN"/>
              </w:rPr>
              <w:t>5分</w:t>
            </w:r>
          </w:p>
        </w:tc>
      </w:tr>
      <w:tr w14:paraId="6871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464" w:type="pct"/>
            <w:vMerge w:val="continue"/>
            <w:noWrap/>
            <w:vAlign w:val="center"/>
          </w:tcPr>
          <w:p w14:paraId="6E93D679">
            <w:pPr>
              <w:adjustRightInd w:val="0"/>
              <w:snapToGrid w:val="0"/>
              <w:jc w:val="center"/>
              <w:rPr>
                <w:rFonts w:ascii="宋体" w:hAnsi="宋体" w:cs="宋体"/>
                <w:kern w:val="0"/>
                <w:sz w:val="24"/>
                <w:lang w:bidi="zh-CN"/>
              </w:rPr>
            </w:pPr>
          </w:p>
        </w:tc>
        <w:tc>
          <w:tcPr>
            <w:tcW w:w="607" w:type="pct"/>
            <w:vMerge w:val="continue"/>
            <w:noWrap/>
            <w:vAlign w:val="center"/>
          </w:tcPr>
          <w:p w14:paraId="33F7D94F">
            <w:pPr>
              <w:adjustRightInd w:val="0"/>
              <w:snapToGrid w:val="0"/>
              <w:jc w:val="center"/>
              <w:rPr>
                <w:rFonts w:ascii="宋体" w:hAnsi="宋体" w:cs="宋体"/>
                <w:kern w:val="0"/>
                <w:sz w:val="24"/>
                <w:lang w:bidi="zh-CN"/>
              </w:rPr>
            </w:pPr>
          </w:p>
        </w:tc>
        <w:tc>
          <w:tcPr>
            <w:tcW w:w="862" w:type="pct"/>
            <w:noWrap/>
            <w:vAlign w:val="center"/>
          </w:tcPr>
          <w:p w14:paraId="54341E4E">
            <w:pPr>
              <w:spacing w:line="259" w:lineRule="auto"/>
              <w:jc w:val="center"/>
              <w:rPr>
                <w:rFonts w:ascii="宋体" w:hAnsi="宋体" w:cs="宋体"/>
                <w:kern w:val="0"/>
                <w:sz w:val="24"/>
                <w:lang w:bidi="zh-CN"/>
              </w:rPr>
            </w:pPr>
            <w:r>
              <w:rPr>
                <w:rFonts w:hint="eastAsia" w:ascii="宋体" w:hAnsi="宋体" w:cs="宋体"/>
                <w:kern w:val="0"/>
                <w:sz w:val="24"/>
                <w:lang w:bidi="zh-CN"/>
              </w:rPr>
              <w:t>6、合理化建议（0-4分）</w:t>
            </w:r>
          </w:p>
        </w:tc>
        <w:tc>
          <w:tcPr>
            <w:tcW w:w="2580" w:type="pct"/>
            <w:noWrap/>
            <w:vAlign w:val="center"/>
          </w:tcPr>
          <w:p w14:paraId="6FDA8024">
            <w:pPr>
              <w:rPr>
                <w:rFonts w:ascii="宋体" w:hAnsi="宋体" w:cs="宋体"/>
                <w:kern w:val="0"/>
                <w:sz w:val="24"/>
                <w:lang w:val="zh-CN" w:bidi="zh-CN"/>
              </w:rPr>
            </w:pPr>
            <w:r>
              <w:rPr>
                <w:rFonts w:hint="eastAsia" w:ascii="宋体" w:hAnsi="宋体" w:cs="宋体"/>
                <w:kern w:val="0"/>
                <w:sz w:val="24"/>
                <w:lang w:bidi="zh-CN"/>
              </w:rPr>
              <w:t>建议合理、科学，具有针对性，可行性强得4分；建议基本合理，针对性和可行性不强得2分，缺项0分。</w:t>
            </w:r>
          </w:p>
        </w:tc>
        <w:tc>
          <w:tcPr>
            <w:tcW w:w="486" w:type="pct"/>
            <w:noWrap/>
            <w:vAlign w:val="center"/>
          </w:tcPr>
          <w:p w14:paraId="388A745B">
            <w:pPr>
              <w:adjustRightInd w:val="0"/>
              <w:snapToGrid w:val="0"/>
              <w:jc w:val="center"/>
              <w:rPr>
                <w:rFonts w:ascii="宋体" w:hAnsi="宋体" w:cs="宋体"/>
                <w:kern w:val="0"/>
                <w:sz w:val="24"/>
                <w:lang w:bidi="zh-CN"/>
              </w:rPr>
            </w:pPr>
            <w:r>
              <w:rPr>
                <w:rFonts w:hint="eastAsia" w:ascii="宋体" w:hAnsi="宋体" w:cs="宋体"/>
                <w:kern w:val="0"/>
                <w:sz w:val="24"/>
                <w:lang w:bidi="zh-CN"/>
              </w:rPr>
              <w:t>4分</w:t>
            </w:r>
          </w:p>
        </w:tc>
      </w:tr>
      <w:tr w14:paraId="61B5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464" w:type="pct"/>
            <w:vMerge w:val="restart"/>
            <w:noWrap/>
            <w:vAlign w:val="center"/>
          </w:tcPr>
          <w:p w14:paraId="6DEBD7A1">
            <w:pPr>
              <w:adjustRightInd w:val="0"/>
              <w:snapToGrid w:val="0"/>
              <w:jc w:val="center"/>
              <w:rPr>
                <w:rFonts w:ascii="宋体" w:hAnsi="宋体" w:cs="宋体"/>
                <w:kern w:val="0"/>
                <w:sz w:val="24"/>
                <w:lang w:bidi="zh-CN"/>
              </w:rPr>
            </w:pPr>
            <w:r>
              <w:rPr>
                <w:rFonts w:hint="eastAsia" w:ascii="宋体" w:hAnsi="宋体" w:cs="宋体"/>
                <w:kern w:val="0"/>
                <w:sz w:val="24"/>
                <w:lang w:bidi="zh-CN"/>
              </w:rPr>
              <w:t>1.3</w:t>
            </w:r>
          </w:p>
          <w:p w14:paraId="48784058">
            <w:pPr>
              <w:adjustRightInd w:val="0"/>
              <w:snapToGrid w:val="0"/>
              <w:rPr>
                <w:rFonts w:ascii="宋体" w:hAnsi="宋体" w:cs="宋体"/>
                <w:kern w:val="0"/>
                <w:sz w:val="24"/>
                <w:lang w:bidi="zh-CN"/>
              </w:rPr>
            </w:pPr>
          </w:p>
        </w:tc>
        <w:tc>
          <w:tcPr>
            <w:tcW w:w="607" w:type="pct"/>
            <w:vMerge w:val="restart"/>
            <w:noWrap/>
            <w:vAlign w:val="center"/>
          </w:tcPr>
          <w:p w14:paraId="3998E4AF">
            <w:pPr>
              <w:adjustRightInd w:val="0"/>
              <w:snapToGrid w:val="0"/>
              <w:jc w:val="center"/>
              <w:rPr>
                <w:rFonts w:ascii="宋体" w:hAnsi="宋体" w:cs="宋体"/>
                <w:kern w:val="0"/>
                <w:sz w:val="24"/>
                <w:lang w:bidi="zh-CN"/>
              </w:rPr>
            </w:pPr>
            <w:r>
              <w:rPr>
                <w:rFonts w:hint="eastAsia" w:ascii="宋体" w:hAnsi="宋体" w:cs="宋体"/>
                <w:kern w:val="0"/>
                <w:sz w:val="24"/>
                <w:lang w:bidi="zh-CN"/>
              </w:rPr>
              <w:t>综合标(30分）</w:t>
            </w:r>
          </w:p>
        </w:tc>
        <w:tc>
          <w:tcPr>
            <w:tcW w:w="862" w:type="pct"/>
            <w:noWrap/>
            <w:vAlign w:val="center"/>
          </w:tcPr>
          <w:p w14:paraId="374537D8">
            <w:pPr>
              <w:jc w:val="center"/>
              <w:rPr>
                <w:rFonts w:ascii="宋体" w:hAnsi="宋体" w:cs="宋体"/>
                <w:kern w:val="0"/>
                <w:sz w:val="24"/>
                <w:lang w:bidi="zh-CN"/>
              </w:rPr>
            </w:pPr>
            <w:r>
              <w:rPr>
                <w:rFonts w:hint="eastAsia" w:ascii="宋体" w:hAnsi="宋体" w:cs="宋体"/>
                <w:kern w:val="0"/>
                <w:sz w:val="24"/>
                <w:lang w:bidi="zh-CN"/>
              </w:rPr>
              <w:t>类似业绩</w:t>
            </w:r>
          </w:p>
        </w:tc>
        <w:tc>
          <w:tcPr>
            <w:tcW w:w="2580" w:type="pct"/>
            <w:noWrap/>
            <w:vAlign w:val="center"/>
          </w:tcPr>
          <w:p w14:paraId="45756261">
            <w:pPr>
              <w:rPr>
                <w:rFonts w:ascii="宋体" w:hAnsi="宋体" w:cs="宋体"/>
                <w:kern w:val="0"/>
                <w:sz w:val="24"/>
                <w:lang w:bidi="zh-CN"/>
              </w:rPr>
            </w:pPr>
            <w:r>
              <w:rPr>
                <w:rFonts w:hint="eastAsia" w:ascii="宋体" w:hAnsi="宋体" w:cs="宋体"/>
                <w:kern w:val="0"/>
                <w:sz w:val="24"/>
                <w:lang w:bidi="zh-CN"/>
              </w:rPr>
              <w:t>提供2023年1月1日以来（以合同签订日期为准）承接过的类似业绩，每项得1分，本项最多得10分。</w:t>
            </w:r>
          </w:p>
          <w:p w14:paraId="18064F5F">
            <w:pPr>
              <w:rPr>
                <w:rFonts w:ascii="宋体" w:hAnsi="宋体" w:cs="宋体"/>
                <w:kern w:val="0"/>
                <w:sz w:val="24"/>
                <w:lang w:val="zh-CN" w:bidi="zh-CN"/>
              </w:rPr>
            </w:pPr>
            <w:r>
              <w:rPr>
                <w:rFonts w:hint="eastAsia" w:ascii="宋体" w:hAnsi="宋体" w:cs="宋体"/>
                <w:kern w:val="0"/>
                <w:sz w:val="24"/>
                <w:lang w:bidi="zh-CN"/>
              </w:rPr>
              <w:t>（响应文件中附完整版合同扫描件，扫描件须清晰可见，并加盖电子签章，否则不得分。）</w:t>
            </w:r>
          </w:p>
        </w:tc>
        <w:tc>
          <w:tcPr>
            <w:tcW w:w="486" w:type="pct"/>
            <w:noWrap/>
            <w:vAlign w:val="center"/>
          </w:tcPr>
          <w:p w14:paraId="14998807">
            <w:pPr>
              <w:adjustRightInd w:val="0"/>
              <w:snapToGrid w:val="0"/>
              <w:jc w:val="center"/>
              <w:rPr>
                <w:rFonts w:ascii="宋体" w:hAnsi="宋体" w:cs="宋体"/>
                <w:kern w:val="0"/>
                <w:sz w:val="24"/>
                <w:lang w:bidi="zh-CN"/>
              </w:rPr>
            </w:pPr>
            <w:r>
              <w:rPr>
                <w:rFonts w:hint="eastAsia" w:ascii="宋体" w:hAnsi="宋体" w:cs="宋体"/>
                <w:kern w:val="0"/>
                <w:sz w:val="24"/>
                <w:lang w:bidi="zh-CN"/>
              </w:rPr>
              <w:t>10分</w:t>
            </w:r>
          </w:p>
        </w:tc>
      </w:tr>
      <w:tr w14:paraId="3488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464" w:type="pct"/>
            <w:vMerge w:val="continue"/>
            <w:noWrap/>
            <w:vAlign w:val="center"/>
          </w:tcPr>
          <w:p w14:paraId="323FCAFF">
            <w:pPr>
              <w:adjustRightInd w:val="0"/>
              <w:snapToGrid w:val="0"/>
              <w:jc w:val="center"/>
              <w:rPr>
                <w:rFonts w:ascii="宋体" w:hAnsi="宋体" w:cs="宋体"/>
                <w:kern w:val="0"/>
                <w:sz w:val="24"/>
                <w:lang w:bidi="zh-CN"/>
              </w:rPr>
            </w:pPr>
          </w:p>
        </w:tc>
        <w:tc>
          <w:tcPr>
            <w:tcW w:w="607" w:type="pct"/>
            <w:vMerge w:val="continue"/>
            <w:noWrap/>
            <w:vAlign w:val="center"/>
          </w:tcPr>
          <w:p w14:paraId="25A30B88">
            <w:pPr>
              <w:adjustRightInd w:val="0"/>
              <w:snapToGrid w:val="0"/>
              <w:jc w:val="center"/>
              <w:rPr>
                <w:rFonts w:ascii="宋体" w:hAnsi="宋体" w:cs="宋体"/>
                <w:kern w:val="0"/>
                <w:sz w:val="24"/>
                <w:lang w:bidi="zh-CN"/>
              </w:rPr>
            </w:pPr>
          </w:p>
        </w:tc>
        <w:tc>
          <w:tcPr>
            <w:tcW w:w="862" w:type="pct"/>
            <w:vMerge w:val="restart"/>
            <w:noWrap/>
            <w:vAlign w:val="center"/>
          </w:tcPr>
          <w:p w14:paraId="6EBFE702">
            <w:pPr>
              <w:jc w:val="center"/>
              <w:rPr>
                <w:rFonts w:ascii="宋体" w:hAnsi="宋体" w:cs="宋体"/>
                <w:kern w:val="0"/>
                <w:sz w:val="24"/>
                <w:lang w:bidi="zh-CN"/>
              </w:rPr>
            </w:pPr>
            <w:r>
              <w:rPr>
                <w:rFonts w:hint="eastAsia" w:ascii="宋体" w:hAnsi="宋体" w:cs="宋体"/>
                <w:kern w:val="0"/>
                <w:sz w:val="24"/>
                <w:lang w:bidi="zh-CN"/>
              </w:rPr>
              <w:t>项目团队配置</w:t>
            </w:r>
          </w:p>
        </w:tc>
        <w:tc>
          <w:tcPr>
            <w:tcW w:w="2580" w:type="pct"/>
            <w:noWrap/>
            <w:vAlign w:val="center"/>
          </w:tcPr>
          <w:p w14:paraId="18C68308">
            <w:pPr>
              <w:adjustRightInd w:val="0"/>
              <w:snapToGrid w:val="0"/>
              <w:rPr>
                <w:rFonts w:ascii="宋体" w:hAnsi="宋体" w:cs="宋体"/>
                <w:kern w:val="0"/>
                <w:sz w:val="24"/>
                <w:lang w:val="zh-CN" w:bidi="zh-CN"/>
              </w:rPr>
            </w:pPr>
            <w:r>
              <w:rPr>
                <w:rFonts w:hint="eastAsia" w:ascii="宋体" w:hAnsi="宋体" w:cs="宋体"/>
                <w:kern w:val="0"/>
                <w:sz w:val="24"/>
                <w:lang w:bidi="zh-CN"/>
              </w:rPr>
              <w:t>1、</w:t>
            </w:r>
            <w:r>
              <w:rPr>
                <w:rFonts w:ascii="宋体" w:hAnsi="宋体" w:cs="仿宋"/>
                <w:kern w:val="0"/>
                <w:sz w:val="22"/>
                <w:szCs w:val="22"/>
              </w:rPr>
              <w:t xml:space="preserve"> </w:t>
            </w:r>
            <w:r>
              <w:rPr>
                <w:rFonts w:ascii="宋体" w:hAnsi="宋体" w:cs="宋体"/>
                <w:kern w:val="0"/>
                <w:sz w:val="24"/>
                <w:lang w:val="zh-CN" w:bidi="zh-CN"/>
              </w:rPr>
              <w:t>1、除项目负责人外，团队成员中每提供1名资产评估师得1分，最高得</w:t>
            </w:r>
            <w:r>
              <w:rPr>
                <w:rFonts w:hint="eastAsia" w:ascii="宋体" w:hAnsi="宋体" w:cs="宋体"/>
                <w:kern w:val="0"/>
                <w:sz w:val="24"/>
                <w:lang w:val="zh-CN" w:bidi="zh-CN"/>
              </w:rPr>
              <w:t>6</w:t>
            </w:r>
            <w:r>
              <w:rPr>
                <w:rFonts w:ascii="宋体" w:hAnsi="宋体" w:cs="宋体"/>
                <w:kern w:val="0"/>
                <w:sz w:val="24"/>
                <w:lang w:val="zh-CN" w:bidi="zh-CN"/>
              </w:rPr>
              <w:t>分；在此基础上，团队成员中，每具有1名五年以上执业经验的，另得1分，最高得</w:t>
            </w:r>
            <w:r>
              <w:rPr>
                <w:rFonts w:hint="eastAsia" w:ascii="宋体" w:hAnsi="宋体" w:cs="宋体"/>
                <w:kern w:val="0"/>
                <w:sz w:val="24"/>
                <w:lang w:val="zh-CN" w:bidi="zh-CN"/>
              </w:rPr>
              <w:t>2</w:t>
            </w:r>
            <w:r>
              <w:rPr>
                <w:rFonts w:ascii="宋体" w:hAnsi="宋体" w:cs="宋体"/>
                <w:kern w:val="0"/>
                <w:sz w:val="24"/>
                <w:lang w:val="zh-CN" w:bidi="zh-CN"/>
              </w:rPr>
              <w:t>分；提供具有中级及以上职称的，每提供1名，另得1分，最高得2分，不提供不得分。</w:t>
            </w:r>
          </w:p>
          <w:p w14:paraId="6C3F6D40">
            <w:pPr>
              <w:adjustRightInd w:val="0"/>
              <w:snapToGrid w:val="0"/>
              <w:rPr>
                <w:rFonts w:ascii="宋体" w:hAnsi="宋体" w:cs="宋体"/>
                <w:kern w:val="0"/>
                <w:sz w:val="24"/>
                <w:lang w:bidi="zh-CN"/>
              </w:rPr>
            </w:pPr>
            <w:r>
              <w:rPr>
                <w:rFonts w:ascii="宋体" w:hAnsi="宋体" w:cs="宋体"/>
                <w:kern w:val="0"/>
                <w:sz w:val="24"/>
                <w:lang w:val="zh-CN" w:bidi="zh-CN"/>
              </w:rPr>
              <w:t>（提供证书原件扫描件及人员社保缴纳证明，扫描件清晰可见，并加盖电子签章，否则不得分。）</w:t>
            </w:r>
          </w:p>
        </w:tc>
        <w:tc>
          <w:tcPr>
            <w:tcW w:w="486" w:type="pct"/>
            <w:noWrap/>
            <w:vAlign w:val="center"/>
          </w:tcPr>
          <w:p w14:paraId="06D0B0C6">
            <w:pPr>
              <w:adjustRightInd w:val="0"/>
              <w:snapToGrid w:val="0"/>
              <w:jc w:val="center"/>
              <w:rPr>
                <w:rFonts w:ascii="宋体" w:hAnsi="宋体" w:cs="宋体"/>
                <w:kern w:val="0"/>
                <w:sz w:val="24"/>
                <w:lang w:bidi="zh-CN"/>
              </w:rPr>
            </w:pPr>
            <w:r>
              <w:rPr>
                <w:rFonts w:hint="eastAsia" w:ascii="宋体" w:hAnsi="宋体" w:cs="宋体"/>
                <w:kern w:val="0"/>
                <w:sz w:val="24"/>
                <w:lang w:bidi="zh-CN"/>
              </w:rPr>
              <w:t>10分</w:t>
            </w:r>
          </w:p>
        </w:tc>
      </w:tr>
      <w:tr w14:paraId="6039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464" w:type="pct"/>
            <w:vMerge w:val="continue"/>
            <w:noWrap/>
            <w:vAlign w:val="center"/>
          </w:tcPr>
          <w:p w14:paraId="4B01C1BB">
            <w:pPr>
              <w:adjustRightInd w:val="0"/>
              <w:snapToGrid w:val="0"/>
              <w:jc w:val="center"/>
              <w:rPr>
                <w:rFonts w:ascii="宋体" w:hAnsi="宋体" w:cs="宋体"/>
                <w:kern w:val="0"/>
                <w:sz w:val="24"/>
                <w:lang w:bidi="zh-CN"/>
              </w:rPr>
            </w:pPr>
          </w:p>
        </w:tc>
        <w:tc>
          <w:tcPr>
            <w:tcW w:w="607" w:type="pct"/>
            <w:vMerge w:val="continue"/>
            <w:noWrap/>
            <w:vAlign w:val="center"/>
          </w:tcPr>
          <w:p w14:paraId="55FE8376">
            <w:pPr>
              <w:adjustRightInd w:val="0"/>
              <w:snapToGrid w:val="0"/>
              <w:jc w:val="center"/>
              <w:rPr>
                <w:rFonts w:ascii="宋体" w:hAnsi="宋体" w:cs="宋体"/>
                <w:kern w:val="0"/>
                <w:sz w:val="24"/>
                <w:lang w:bidi="zh-CN"/>
              </w:rPr>
            </w:pPr>
          </w:p>
        </w:tc>
        <w:tc>
          <w:tcPr>
            <w:tcW w:w="862" w:type="pct"/>
            <w:vMerge w:val="continue"/>
            <w:noWrap/>
            <w:vAlign w:val="center"/>
          </w:tcPr>
          <w:p w14:paraId="0C3AE865">
            <w:pPr>
              <w:jc w:val="center"/>
              <w:rPr>
                <w:rFonts w:ascii="宋体" w:hAnsi="宋体" w:cs="宋体"/>
                <w:kern w:val="0"/>
                <w:sz w:val="24"/>
                <w:lang w:bidi="zh-CN"/>
              </w:rPr>
            </w:pPr>
          </w:p>
        </w:tc>
        <w:tc>
          <w:tcPr>
            <w:tcW w:w="2580" w:type="pct"/>
            <w:noWrap/>
            <w:vAlign w:val="center"/>
          </w:tcPr>
          <w:p w14:paraId="4DE03AA2">
            <w:pPr>
              <w:adjustRightInd w:val="0"/>
              <w:snapToGrid w:val="0"/>
              <w:rPr>
                <w:rFonts w:ascii="宋体" w:hAnsi="宋体" w:cs="宋体"/>
                <w:kern w:val="0"/>
                <w:sz w:val="24"/>
                <w:lang w:val="zh-CN" w:bidi="zh-CN"/>
              </w:rPr>
            </w:pPr>
            <w:r>
              <w:rPr>
                <w:rFonts w:hint="eastAsia" w:ascii="宋体" w:hAnsi="宋体" w:cs="宋体"/>
                <w:kern w:val="0"/>
                <w:sz w:val="24"/>
                <w:lang w:bidi="zh-CN"/>
              </w:rPr>
              <w:t>2、</w:t>
            </w:r>
            <w:r>
              <w:rPr>
                <w:rFonts w:hint="eastAsia" w:ascii="宋体" w:hAnsi="宋体" w:cs="宋体"/>
                <w:kern w:val="0"/>
                <w:sz w:val="24"/>
                <w:lang w:val="zh-CN" w:bidi="zh-CN"/>
              </w:rPr>
              <w:t>服务团队组织结构合理，人员分工及职责明确。方案完整、可行性</w:t>
            </w:r>
            <w:r>
              <w:rPr>
                <w:rFonts w:hint="eastAsia" w:ascii="宋体" w:hAnsi="宋体" w:cs="宋体"/>
                <w:kern w:val="0"/>
                <w:sz w:val="24"/>
                <w:lang w:bidi="zh-CN"/>
              </w:rPr>
              <w:t>强</w:t>
            </w:r>
            <w:r>
              <w:rPr>
                <w:rFonts w:hint="eastAsia" w:ascii="宋体" w:hAnsi="宋体" w:cs="宋体"/>
                <w:kern w:val="0"/>
                <w:sz w:val="24"/>
                <w:lang w:val="zh-CN" w:bidi="zh-CN"/>
              </w:rPr>
              <w:t>、</w:t>
            </w:r>
            <w:r>
              <w:rPr>
                <w:rFonts w:hint="eastAsia" w:ascii="宋体" w:hAnsi="宋体" w:cs="宋体"/>
                <w:kern w:val="0"/>
                <w:sz w:val="24"/>
                <w:lang w:bidi="zh-CN"/>
              </w:rPr>
              <w:t>具有</w:t>
            </w:r>
            <w:r>
              <w:rPr>
                <w:rFonts w:hint="eastAsia" w:ascii="宋体" w:hAnsi="宋体" w:cs="宋体"/>
                <w:kern w:val="0"/>
                <w:sz w:val="24"/>
                <w:lang w:val="zh-CN" w:bidi="zh-CN"/>
              </w:rPr>
              <w:t>优越性得</w:t>
            </w:r>
            <w:r>
              <w:rPr>
                <w:rFonts w:hint="eastAsia" w:ascii="宋体" w:hAnsi="宋体" w:cs="宋体"/>
                <w:kern w:val="0"/>
                <w:sz w:val="24"/>
                <w:lang w:bidi="zh-CN"/>
              </w:rPr>
              <w:t>5</w:t>
            </w:r>
            <w:r>
              <w:rPr>
                <w:rFonts w:hint="eastAsia" w:ascii="宋体" w:hAnsi="宋体" w:cs="宋体"/>
                <w:kern w:val="0"/>
                <w:sz w:val="24"/>
                <w:lang w:val="zh-CN" w:bidi="zh-CN"/>
              </w:rPr>
              <w:t>分，方案</w:t>
            </w:r>
            <w:r>
              <w:rPr>
                <w:rFonts w:hint="eastAsia" w:ascii="宋体" w:hAnsi="宋体" w:cs="宋体"/>
                <w:kern w:val="0"/>
                <w:sz w:val="24"/>
                <w:lang w:bidi="zh-CN"/>
              </w:rPr>
              <w:t>简介</w:t>
            </w:r>
            <w:r>
              <w:rPr>
                <w:rFonts w:hint="eastAsia" w:ascii="宋体" w:hAnsi="宋体" w:cs="宋体"/>
                <w:kern w:val="0"/>
                <w:sz w:val="24"/>
                <w:lang w:val="zh-CN" w:bidi="zh-CN"/>
              </w:rPr>
              <w:t>、可行性</w:t>
            </w:r>
            <w:r>
              <w:rPr>
                <w:rFonts w:hint="eastAsia" w:ascii="宋体" w:hAnsi="宋体" w:cs="宋体"/>
                <w:kern w:val="0"/>
                <w:sz w:val="24"/>
                <w:lang w:bidi="zh-CN"/>
              </w:rPr>
              <w:t>弱</w:t>
            </w:r>
            <w:r>
              <w:rPr>
                <w:rFonts w:hint="eastAsia" w:ascii="宋体" w:hAnsi="宋体" w:cs="宋体"/>
                <w:kern w:val="0"/>
                <w:sz w:val="24"/>
                <w:lang w:val="zh-CN" w:bidi="zh-CN"/>
              </w:rPr>
              <w:t>得</w:t>
            </w:r>
            <w:r>
              <w:rPr>
                <w:rFonts w:hint="eastAsia" w:ascii="宋体" w:hAnsi="宋体" w:cs="宋体"/>
                <w:kern w:val="0"/>
                <w:sz w:val="24"/>
                <w:lang w:bidi="zh-CN"/>
              </w:rPr>
              <w:t>3</w:t>
            </w:r>
            <w:r>
              <w:rPr>
                <w:rFonts w:hint="eastAsia" w:ascii="宋体" w:hAnsi="宋体" w:cs="宋体"/>
                <w:kern w:val="0"/>
                <w:sz w:val="24"/>
                <w:lang w:val="zh-CN" w:bidi="zh-CN"/>
              </w:rPr>
              <w:t>分，缺项得0分。</w:t>
            </w:r>
          </w:p>
        </w:tc>
        <w:tc>
          <w:tcPr>
            <w:tcW w:w="486" w:type="pct"/>
            <w:noWrap/>
            <w:vAlign w:val="center"/>
          </w:tcPr>
          <w:p w14:paraId="4FFA77C9">
            <w:pPr>
              <w:adjustRightInd w:val="0"/>
              <w:snapToGrid w:val="0"/>
              <w:jc w:val="center"/>
              <w:rPr>
                <w:rFonts w:ascii="宋体" w:hAnsi="宋体" w:cs="宋体"/>
                <w:kern w:val="0"/>
                <w:sz w:val="24"/>
                <w:lang w:bidi="zh-CN"/>
              </w:rPr>
            </w:pPr>
            <w:r>
              <w:rPr>
                <w:rFonts w:hint="eastAsia" w:ascii="宋体" w:hAnsi="宋体" w:cs="宋体"/>
                <w:kern w:val="0"/>
                <w:sz w:val="24"/>
                <w:lang w:bidi="zh-CN"/>
              </w:rPr>
              <w:t>5分</w:t>
            </w:r>
          </w:p>
        </w:tc>
      </w:tr>
      <w:tr w14:paraId="5281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464" w:type="pct"/>
            <w:vMerge w:val="continue"/>
            <w:noWrap/>
            <w:vAlign w:val="center"/>
          </w:tcPr>
          <w:p w14:paraId="7D9DB194">
            <w:pPr>
              <w:adjustRightInd w:val="0"/>
              <w:snapToGrid w:val="0"/>
              <w:jc w:val="center"/>
              <w:rPr>
                <w:rFonts w:ascii="宋体" w:hAnsi="宋体" w:cs="宋体"/>
                <w:kern w:val="0"/>
                <w:sz w:val="24"/>
                <w:lang w:bidi="zh-CN"/>
              </w:rPr>
            </w:pPr>
          </w:p>
        </w:tc>
        <w:tc>
          <w:tcPr>
            <w:tcW w:w="607" w:type="pct"/>
            <w:vMerge w:val="continue"/>
            <w:noWrap/>
            <w:vAlign w:val="center"/>
          </w:tcPr>
          <w:p w14:paraId="16EDC9FA">
            <w:pPr>
              <w:adjustRightInd w:val="0"/>
              <w:snapToGrid w:val="0"/>
              <w:jc w:val="center"/>
              <w:rPr>
                <w:rFonts w:ascii="宋体" w:hAnsi="宋体" w:cs="宋体"/>
                <w:kern w:val="0"/>
                <w:sz w:val="24"/>
                <w:lang w:bidi="zh-CN"/>
              </w:rPr>
            </w:pPr>
          </w:p>
        </w:tc>
        <w:tc>
          <w:tcPr>
            <w:tcW w:w="862" w:type="pct"/>
            <w:noWrap/>
            <w:vAlign w:val="center"/>
          </w:tcPr>
          <w:p w14:paraId="6E4E9D95">
            <w:pPr>
              <w:jc w:val="center"/>
              <w:rPr>
                <w:rFonts w:ascii="宋体" w:hAnsi="宋体" w:cs="宋体"/>
                <w:kern w:val="0"/>
                <w:sz w:val="24"/>
                <w:lang w:bidi="zh-CN"/>
              </w:rPr>
            </w:pPr>
            <w:r>
              <w:rPr>
                <w:rFonts w:hint="eastAsia" w:ascii="宋体" w:hAnsi="宋体" w:cs="宋体"/>
                <w:kern w:val="0"/>
                <w:sz w:val="24"/>
                <w:lang w:bidi="zh-CN"/>
              </w:rPr>
              <w:t>服务承诺</w:t>
            </w:r>
          </w:p>
        </w:tc>
        <w:tc>
          <w:tcPr>
            <w:tcW w:w="2580" w:type="pct"/>
            <w:noWrap/>
            <w:vAlign w:val="center"/>
          </w:tcPr>
          <w:p w14:paraId="5FD1C4FA">
            <w:pPr>
              <w:adjustRightInd w:val="0"/>
              <w:snapToGrid w:val="0"/>
              <w:rPr>
                <w:rFonts w:ascii="宋体" w:hAnsi="宋体" w:cs="宋体"/>
                <w:kern w:val="0"/>
                <w:sz w:val="24"/>
                <w:lang w:bidi="zh-CN"/>
              </w:rPr>
            </w:pPr>
            <w:r>
              <w:rPr>
                <w:rFonts w:hint="eastAsia" w:ascii="宋体" w:hAnsi="宋体" w:cs="宋体"/>
                <w:kern w:val="0"/>
                <w:sz w:val="24"/>
                <w:lang w:bidi="zh-CN"/>
              </w:rPr>
              <w:t>根据供应商提供的后续服务承诺：</w:t>
            </w:r>
          </w:p>
          <w:p w14:paraId="1163D6EF">
            <w:pPr>
              <w:adjustRightInd w:val="0"/>
              <w:snapToGrid w:val="0"/>
              <w:rPr>
                <w:rFonts w:ascii="宋体" w:hAnsi="宋体" w:cs="宋体"/>
                <w:kern w:val="0"/>
                <w:sz w:val="24"/>
                <w:lang w:val="zh-CN" w:bidi="zh-CN"/>
              </w:rPr>
            </w:pPr>
            <w:r>
              <w:rPr>
                <w:rFonts w:hint="eastAsia" w:ascii="宋体" w:hAnsi="宋体" w:cs="宋体"/>
                <w:kern w:val="0"/>
                <w:sz w:val="24"/>
                <w:lang w:bidi="zh-CN"/>
              </w:rPr>
              <w:t>内容详细、完整、具体，针对性强、保证度高、响应及时的得5分；内容较完整，针对性不强、响应不及时的得3分；不提供服务承诺的不得分。</w:t>
            </w:r>
          </w:p>
        </w:tc>
        <w:tc>
          <w:tcPr>
            <w:tcW w:w="486" w:type="pct"/>
            <w:noWrap/>
            <w:vAlign w:val="center"/>
          </w:tcPr>
          <w:p w14:paraId="358E9F87">
            <w:pPr>
              <w:adjustRightInd w:val="0"/>
              <w:snapToGrid w:val="0"/>
              <w:jc w:val="center"/>
              <w:rPr>
                <w:rFonts w:ascii="宋体" w:hAnsi="宋体" w:cs="宋体"/>
                <w:kern w:val="0"/>
                <w:sz w:val="24"/>
                <w:lang w:bidi="zh-CN"/>
              </w:rPr>
            </w:pPr>
            <w:r>
              <w:rPr>
                <w:rFonts w:hint="eastAsia" w:ascii="宋体" w:hAnsi="宋体" w:cs="宋体"/>
                <w:kern w:val="0"/>
                <w:sz w:val="24"/>
                <w:lang w:bidi="zh-CN"/>
              </w:rPr>
              <w:t>5分</w:t>
            </w:r>
          </w:p>
        </w:tc>
      </w:tr>
    </w:tbl>
    <w:p w14:paraId="0DF7D56D">
      <w:pPr>
        <w:spacing w:line="360" w:lineRule="auto"/>
        <w:rPr>
          <w:rFonts w:hint="eastAsia" w:ascii="宋体" w:hAnsi="宋体"/>
          <w:sz w:val="24"/>
        </w:rPr>
      </w:pPr>
    </w:p>
    <w:p w14:paraId="6CAAA777">
      <w:pPr>
        <w:spacing w:line="360" w:lineRule="auto"/>
        <w:ind w:firstLine="480" w:firstLineChars="200"/>
        <w:rPr>
          <w:rFonts w:ascii="宋体" w:hAnsi="宋体"/>
          <w:sz w:val="24"/>
        </w:rPr>
      </w:pPr>
      <w:r>
        <w:rPr>
          <w:rFonts w:hint="eastAsia" w:ascii="宋体" w:hAnsi="宋体"/>
          <w:sz w:val="24"/>
        </w:rPr>
        <w:t>5、</w:t>
      </w:r>
      <w:r>
        <w:rPr>
          <w:rFonts w:ascii="宋体" w:hAnsi="宋体"/>
          <w:sz w:val="24"/>
        </w:rPr>
        <w:t>计分办法</w:t>
      </w:r>
    </w:p>
    <w:p w14:paraId="67A9A55D">
      <w:pPr>
        <w:spacing w:line="360" w:lineRule="auto"/>
        <w:ind w:firstLine="480" w:firstLineChars="200"/>
        <w:rPr>
          <w:rFonts w:ascii="宋体" w:hAnsi="宋体"/>
          <w:sz w:val="24"/>
        </w:rPr>
      </w:pPr>
      <w:r>
        <w:rPr>
          <w:rFonts w:ascii="宋体" w:hAnsi="宋体"/>
          <w:sz w:val="24"/>
        </w:rPr>
        <w:t>根据磋商文件、响应文件，按照评分办法，得出每个评委对</w:t>
      </w:r>
      <w:r>
        <w:rPr>
          <w:rFonts w:hint="eastAsia" w:ascii="宋体" w:hAnsi="宋体"/>
          <w:sz w:val="24"/>
        </w:rPr>
        <w:t>供应商</w:t>
      </w:r>
      <w:r>
        <w:rPr>
          <w:rFonts w:ascii="宋体" w:hAnsi="宋体"/>
          <w:sz w:val="24"/>
        </w:rPr>
        <w:t>的评标分数。</w:t>
      </w:r>
      <w:r>
        <w:rPr>
          <w:rFonts w:hint="eastAsia" w:ascii="宋体" w:hAnsi="宋体"/>
          <w:sz w:val="24"/>
        </w:rPr>
        <w:t>供应商</w:t>
      </w:r>
      <w:r>
        <w:rPr>
          <w:rFonts w:ascii="宋体" w:hAnsi="宋体"/>
          <w:sz w:val="24"/>
        </w:rPr>
        <w:t>的最终得分为所有评委对其打分的算术平均值。计分过程按四舍五入取至小数点后两位，最终得分取至小数点后二位。</w:t>
      </w:r>
    </w:p>
    <w:p w14:paraId="1429C9D9">
      <w:pPr>
        <w:spacing w:line="360" w:lineRule="auto"/>
        <w:ind w:firstLine="480" w:firstLineChars="200"/>
        <w:rPr>
          <w:rFonts w:ascii="宋体" w:hAnsi="宋体"/>
          <w:sz w:val="24"/>
        </w:rPr>
      </w:pPr>
      <w:r>
        <w:rPr>
          <w:rFonts w:hint="eastAsia" w:ascii="宋体" w:hAnsi="宋体"/>
          <w:sz w:val="24"/>
        </w:rPr>
        <w:t>6、</w:t>
      </w:r>
      <w:r>
        <w:rPr>
          <w:rFonts w:ascii="宋体" w:hAnsi="宋体"/>
          <w:sz w:val="24"/>
        </w:rPr>
        <w:t>定标办法</w:t>
      </w:r>
    </w:p>
    <w:p w14:paraId="019D93FB">
      <w:pPr>
        <w:spacing w:line="360" w:lineRule="auto"/>
        <w:ind w:firstLine="480" w:firstLineChars="200"/>
        <w:rPr>
          <w:rFonts w:ascii="宋体" w:hAnsi="宋体" w:cs="宋体"/>
          <w:color w:val="000000"/>
          <w:szCs w:val="21"/>
        </w:rPr>
      </w:pPr>
      <w:r>
        <w:rPr>
          <w:rFonts w:hint="eastAsia" w:ascii="宋体" w:hAnsi="宋体"/>
          <w:sz w:val="24"/>
        </w:rPr>
        <w:t>（1）供应商</w:t>
      </w:r>
      <w:r>
        <w:rPr>
          <w:rFonts w:ascii="宋体" w:hAnsi="宋体"/>
          <w:sz w:val="24"/>
        </w:rPr>
        <w:t>的排名按得分顺序从高到低</w:t>
      </w:r>
      <w:r>
        <w:rPr>
          <w:rFonts w:hint="eastAsia" w:ascii="宋体" w:hAnsi="宋体"/>
          <w:sz w:val="24"/>
        </w:rPr>
        <w:t>推荐3名成交候选人并排序。</w:t>
      </w:r>
    </w:p>
    <w:p w14:paraId="60735DCB">
      <w:pPr>
        <w:spacing w:line="360" w:lineRule="auto"/>
        <w:ind w:firstLine="480" w:firstLineChars="200"/>
        <w:rPr>
          <w:rFonts w:ascii="宋体" w:hAnsi="宋体"/>
          <w:sz w:val="24"/>
        </w:rPr>
      </w:pPr>
      <w:r>
        <w:rPr>
          <w:rFonts w:hint="eastAsia" w:ascii="宋体" w:hAnsi="宋体"/>
          <w:sz w:val="24"/>
        </w:rPr>
        <w:t>（2）磋商小组</w:t>
      </w:r>
      <w:r>
        <w:rPr>
          <w:rFonts w:ascii="宋体" w:hAnsi="宋体"/>
          <w:sz w:val="24"/>
        </w:rPr>
        <w:t>写出</w:t>
      </w:r>
      <w:r>
        <w:rPr>
          <w:rFonts w:hint="eastAsia" w:ascii="宋体" w:hAnsi="宋体"/>
          <w:sz w:val="24"/>
        </w:rPr>
        <w:t>磋商</w:t>
      </w:r>
      <w:r>
        <w:rPr>
          <w:rFonts w:ascii="宋体" w:hAnsi="宋体"/>
          <w:sz w:val="24"/>
        </w:rPr>
        <w:t>报告确定排序第一的</w:t>
      </w:r>
      <w:r>
        <w:rPr>
          <w:rFonts w:hint="eastAsia" w:ascii="宋体" w:hAnsi="宋体"/>
          <w:sz w:val="24"/>
        </w:rPr>
        <w:t>供应商</w:t>
      </w:r>
      <w:r>
        <w:rPr>
          <w:rFonts w:ascii="宋体" w:hAnsi="宋体"/>
          <w:sz w:val="24"/>
        </w:rPr>
        <w:t>为</w:t>
      </w:r>
      <w:r>
        <w:rPr>
          <w:rFonts w:hint="eastAsia" w:ascii="宋体" w:hAnsi="宋体"/>
          <w:sz w:val="24"/>
        </w:rPr>
        <w:t>成交供应商</w:t>
      </w:r>
      <w:r>
        <w:rPr>
          <w:rFonts w:ascii="宋体" w:hAnsi="宋体"/>
          <w:sz w:val="24"/>
        </w:rPr>
        <w:t>。</w:t>
      </w:r>
    </w:p>
    <w:p w14:paraId="6BFF88AE">
      <w:pPr>
        <w:tabs>
          <w:tab w:val="left" w:pos="1995"/>
          <w:tab w:val="left" w:pos="2846"/>
        </w:tabs>
        <w:spacing w:after="120" w:afterLines="50" w:line="520" w:lineRule="exact"/>
        <w:rPr>
          <w:rFonts w:ascii="宋体" w:hAnsi="宋体" w:cs="宋体"/>
          <w:b/>
          <w:bCs/>
          <w:color w:val="000000"/>
          <w:kern w:val="0"/>
          <w:sz w:val="36"/>
          <w:szCs w:val="36"/>
        </w:rPr>
      </w:pPr>
    </w:p>
    <w:p w14:paraId="0EFF7C97">
      <w:pPr>
        <w:tabs>
          <w:tab w:val="left" w:pos="1995"/>
          <w:tab w:val="left" w:pos="2846"/>
        </w:tabs>
        <w:spacing w:after="120" w:afterLines="50" w:line="520" w:lineRule="exact"/>
        <w:rPr>
          <w:rFonts w:ascii="宋体" w:hAnsi="宋体" w:cs="宋体"/>
          <w:b/>
          <w:bCs/>
          <w:color w:val="000000"/>
          <w:kern w:val="0"/>
          <w:sz w:val="36"/>
          <w:szCs w:val="36"/>
        </w:rPr>
      </w:pPr>
    </w:p>
    <w:p w14:paraId="58B942FC">
      <w:pPr>
        <w:tabs>
          <w:tab w:val="left" w:pos="1995"/>
          <w:tab w:val="left" w:pos="2846"/>
        </w:tabs>
        <w:spacing w:after="120" w:afterLines="50" w:line="520" w:lineRule="exact"/>
        <w:rPr>
          <w:rFonts w:hint="eastAsia" w:ascii="宋体" w:hAnsi="宋体" w:cs="宋体"/>
          <w:b/>
          <w:bCs/>
          <w:color w:val="000000"/>
          <w:kern w:val="0"/>
          <w:sz w:val="36"/>
          <w:szCs w:val="36"/>
        </w:rPr>
      </w:pPr>
    </w:p>
    <w:p w14:paraId="2BBA6672">
      <w:pPr>
        <w:pStyle w:val="2"/>
        <w:rPr>
          <w:rFonts w:hint="eastAsia"/>
        </w:rPr>
      </w:pPr>
    </w:p>
    <w:p w14:paraId="53B6707F">
      <w:pPr>
        <w:tabs>
          <w:tab w:val="left" w:pos="1995"/>
          <w:tab w:val="left" w:pos="2846"/>
        </w:tabs>
        <w:spacing w:after="120" w:afterLines="50" w:line="520" w:lineRule="exact"/>
        <w:jc w:val="center"/>
        <w:rPr>
          <w:rFonts w:ascii="宋体"/>
          <w:b/>
          <w:bCs/>
          <w:color w:val="000000"/>
          <w:kern w:val="0"/>
          <w:sz w:val="36"/>
          <w:szCs w:val="36"/>
        </w:rPr>
      </w:pPr>
      <w:r>
        <w:rPr>
          <w:rFonts w:hint="eastAsia" w:ascii="宋体" w:hAnsi="宋体" w:cs="宋体"/>
          <w:b/>
          <w:bCs/>
          <w:color w:val="000000"/>
          <w:kern w:val="0"/>
          <w:sz w:val="36"/>
          <w:szCs w:val="36"/>
        </w:rPr>
        <w:t>第五章</w:t>
      </w:r>
      <w:r>
        <w:rPr>
          <w:rFonts w:ascii="宋体" w:hAnsi="宋体" w:cs="宋体"/>
          <w:b/>
          <w:bCs/>
          <w:color w:val="000000"/>
          <w:kern w:val="0"/>
          <w:sz w:val="36"/>
          <w:szCs w:val="36"/>
        </w:rPr>
        <w:t xml:space="preserve"> </w:t>
      </w:r>
      <w:r>
        <w:rPr>
          <w:rFonts w:hint="eastAsia" w:ascii="宋体" w:hAnsi="宋体" w:cs="宋体"/>
          <w:b/>
          <w:bCs/>
          <w:color w:val="000000"/>
          <w:kern w:val="0"/>
          <w:sz w:val="36"/>
          <w:szCs w:val="36"/>
        </w:rPr>
        <w:t>政府采购合同</w:t>
      </w:r>
    </w:p>
    <w:p w14:paraId="056AAA65">
      <w:pPr>
        <w:widowControl/>
        <w:snapToGrid w:val="0"/>
        <w:spacing w:line="520" w:lineRule="exact"/>
        <w:jc w:val="center"/>
        <w:rPr>
          <w:rFonts w:ascii="宋体" w:hAnsi="宋体" w:cs="宋体"/>
          <w:b/>
          <w:bCs/>
          <w:color w:val="000000"/>
          <w:kern w:val="0"/>
          <w:sz w:val="24"/>
        </w:rPr>
      </w:pPr>
      <w:r>
        <w:rPr>
          <w:rFonts w:hint="eastAsia" w:ascii="宋体" w:hAnsi="宋体" w:cs="宋体"/>
          <w:b/>
          <w:bCs/>
          <w:color w:val="000000"/>
          <w:kern w:val="0"/>
          <w:sz w:val="24"/>
        </w:rPr>
        <w:t>（（仅供参考，具体条款由双方平等协商确定）</w:t>
      </w:r>
    </w:p>
    <w:p w14:paraId="4710D4AD">
      <w:pPr>
        <w:autoSpaceDE w:val="0"/>
        <w:autoSpaceDN w:val="0"/>
        <w:ind w:left="1001" w:right="1002"/>
        <w:jc w:val="center"/>
        <w:rPr>
          <w:rFonts w:ascii="仿宋" w:hAnsi="仿宋" w:eastAsia="仿宋" w:cs="仿宋"/>
          <w:b/>
          <w:kern w:val="0"/>
          <w:sz w:val="52"/>
        </w:rPr>
      </w:pPr>
    </w:p>
    <w:p w14:paraId="5015BA86">
      <w:pPr>
        <w:autoSpaceDE w:val="0"/>
        <w:autoSpaceDN w:val="0"/>
        <w:ind w:left="1001" w:right="1002"/>
        <w:jc w:val="center"/>
        <w:rPr>
          <w:rFonts w:ascii="仿宋" w:hAnsi="仿宋" w:eastAsia="仿宋" w:cs="仿宋"/>
          <w:b/>
          <w:kern w:val="0"/>
          <w:sz w:val="52"/>
        </w:rPr>
      </w:pPr>
    </w:p>
    <w:p w14:paraId="4D0E2ED3">
      <w:pPr>
        <w:autoSpaceDE w:val="0"/>
        <w:autoSpaceDN w:val="0"/>
        <w:ind w:left="1001" w:right="1002"/>
        <w:jc w:val="center"/>
        <w:rPr>
          <w:rFonts w:ascii="仿宋" w:hAnsi="仿宋" w:eastAsia="仿宋" w:cs="仿宋"/>
          <w:b/>
          <w:kern w:val="0"/>
          <w:sz w:val="52"/>
          <w:lang w:eastAsia="en-US"/>
        </w:rPr>
      </w:pPr>
      <w:r>
        <w:rPr>
          <w:rFonts w:ascii="仿宋" w:hAnsi="仿宋" w:eastAsia="仿宋" w:cs="仿宋"/>
          <w:b/>
          <w:kern w:val="0"/>
          <w:sz w:val="52"/>
          <w:lang w:eastAsia="en-US"/>
        </w:rPr>
        <w:t xml:space="preserve">服 务 </w:t>
      </w:r>
      <w:bookmarkStart w:id="1" w:name="_bookmark9"/>
      <w:bookmarkEnd w:id="1"/>
      <w:r>
        <w:rPr>
          <w:rFonts w:ascii="仿宋" w:hAnsi="仿宋" w:eastAsia="仿宋" w:cs="仿宋"/>
          <w:b/>
          <w:kern w:val="0"/>
          <w:sz w:val="52"/>
          <w:lang w:eastAsia="en-US"/>
        </w:rPr>
        <w:t>合 同</w:t>
      </w:r>
    </w:p>
    <w:p w14:paraId="65A94EDD">
      <w:pPr>
        <w:autoSpaceDE w:val="0"/>
        <w:autoSpaceDN w:val="0"/>
        <w:jc w:val="left"/>
        <w:rPr>
          <w:rFonts w:ascii="仿宋" w:hAnsi="仿宋" w:eastAsia="仿宋" w:cs="仿宋"/>
          <w:b/>
          <w:kern w:val="0"/>
          <w:sz w:val="20"/>
          <w:lang w:eastAsia="en-US"/>
        </w:rPr>
      </w:pPr>
    </w:p>
    <w:p w14:paraId="27C51062">
      <w:pPr>
        <w:autoSpaceDE w:val="0"/>
        <w:autoSpaceDN w:val="0"/>
        <w:jc w:val="left"/>
        <w:rPr>
          <w:rFonts w:ascii="仿宋" w:hAnsi="仿宋" w:eastAsia="仿宋" w:cs="仿宋"/>
          <w:b/>
          <w:kern w:val="0"/>
          <w:sz w:val="20"/>
          <w:lang w:eastAsia="en-US"/>
        </w:rPr>
      </w:pPr>
    </w:p>
    <w:p w14:paraId="4002C7D5">
      <w:pPr>
        <w:autoSpaceDE w:val="0"/>
        <w:autoSpaceDN w:val="0"/>
        <w:jc w:val="left"/>
        <w:rPr>
          <w:rFonts w:ascii="仿宋" w:hAnsi="仿宋" w:eastAsia="仿宋" w:cs="仿宋"/>
          <w:b/>
          <w:kern w:val="0"/>
          <w:sz w:val="20"/>
          <w:lang w:eastAsia="en-US"/>
        </w:rPr>
      </w:pPr>
    </w:p>
    <w:p w14:paraId="5055FA64">
      <w:pPr>
        <w:autoSpaceDE w:val="0"/>
        <w:autoSpaceDN w:val="0"/>
        <w:jc w:val="left"/>
        <w:rPr>
          <w:rFonts w:ascii="仿宋" w:hAnsi="仿宋" w:eastAsia="仿宋" w:cs="仿宋"/>
          <w:b/>
          <w:kern w:val="0"/>
          <w:sz w:val="20"/>
          <w:lang w:eastAsia="en-US"/>
        </w:rPr>
      </w:pPr>
    </w:p>
    <w:p w14:paraId="4F464321">
      <w:pPr>
        <w:autoSpaceDE w:val="0"/>
        <w:autoSpaceDN w:val="0"/>
        <w:jc w:val="left"/>
        <w:rPr>
          <w:rFonts w:ascii="仿宋" w:hAnsi="仿宋" w:eastAsia="仿宋" w:cs="仿宋"/>
          <w:b/>
          <w:kern w:val="0"/>
          <w:sz w:val="20"/>
          <w:lang w:eastAsia="en-US"/>
        </w:rPr>
      </w:pPr>
    </w:p>
    <w:p w14:paraId="3C8D4B82">
      <w:pPr>
        <w:autoSpaceDE w:val="0"/>
        <w:autoSpaceDN w:val="0"/>
        <w:jc w:val="left"/>
        <w:rPr>
          <w:rFonts w:ascii="仿宋" w:hAnsi="仿宋" w:eastAsia="仿宋" w:cs="仿宋"/>
          <w:b/>
          <w:kern w:val="0"/>
          <w:sz w:val="20"/>
          <w:lang w:eastAsia="en-US"/>
        </w:rPr>
      </w:pPr>
    </w:p>
    <w:p w14:paraId="222A9D8D">
      <w:pPr>
        <w:autoSpaceDE w:val="0"/>
        <w:autoSpaceDN w:val="0"/>
        <w:jc w:val="left"/>
        <w:rPr>
          <w:rFonts w:ascii="仿宋" w:hAnsi="仿宋" w:eastAsia="仿宋" w:cs="仿宋"/>
          <w:b/>
          <w:kern w:val="0"/>
          <w:sz w:val="20"/>
          <w:lang w:eastAsia="en-US"/>
        </w:rPr>
      </w:pPr>
    </w:p>
    <w:p w14:paraId="1C4B5821">
      <w:pPr>
        <w:autoSpaceDE w:val="0"/>
        <w:autoSpaceDN w:val="0"/>
        <w:jc w:val="left"/>
        <w:rPr>
          <w:rFonts w:ascii="仿宋" w:hAnsi="仿宋" w:eastAsia="仿宋" w:cs="仿宋"/>
          <w:b/>
          <w:kern w:val="0"/>
          <w:sz w:val="20"/>
          <w:lang w:eastAsia="en-US"/>
        </w:rPr>
      </w:pPr>
    </w:p>
    <w:p w14:paraId="44E666F6">
      <w:pPr>
        <w:autoSpaceDE w:val="0"/>
        <w:autoSpaceDN w:val="0"/>
        <w:jc w:val="left"/>
        <w:rPr>
          <w:rFonts w:ascii="仿宋" w:hAnsi="仿宋" w:eastAsia="仿宋" w:cs="仿宋"/>
          <w:b/>
          <w:kern w:val="0"/>
          <w:sz w:val="20"/>
          <w:lang w:eastAsia="en-US"/>
        </w:rPr>
      </w:pPr>
    </w:p>
    <w:p w14:paraId="49174C75">
      <w:pPr>
        <w:autoSpaceDE w:val="0"/>
        <w:autoSpaceDN w:val="0"/>
        <w:jc w:val="left"/>
        <w:rPr>
          <w:rFonts w:ascii="仿宋" w:hAnsi="仿宋" w:eastAsia="仿宋" w:cs="仿宋"/>
          <w:b/>
          <w:kern w:val="0"/>
          <w:sz w:val="20"/>
          <w:lang w:eastAsia="en-US"/>
        </w:rPr>
      </w:pPr>
    </w:p>
    <w:p w14:paraId="754B2194">
      <w:pPr>
        <w:autoSpaceDE w:val="0"/>
        <w:autoSpaceDN w:val="0"/>
        <w:jc w:val="left"/>
        <w:rPr>
          <w:rFonts w:ascii="仿宋" w:hAnsi="仿宋" w:eastAsia="仿宋" w:cs="仿宋"/>
          <w:b/>
          <w:kern w:val="0"/>
          <w:sz w:val="20"/>
          <w:lang w:eastAsia="en-US"/>
        </w:rPr>
      </w:pPr>
    </w:p>
    <w:p w14:paraId="50238119">
      <w:pPr>
        <w:autoSpaceDE w:val="0"/>
        <w:autoSpaceDN w:val="0"/>
        <w:jc w:val="left"/>
        <w:rPr>
          <w:rFonts w:ascii="仿宋" w:hAnsi="仿宋" w:eastAsia="仿宋" w:cs="仿宋"/>
          <w:b/>
          <w:kern w:val="0"/>
          <w:sz w:val="20"/>
          <w:lang w:eastAsia="en-US"/>
        </w:rPr>
      </w:pPr>
    </w:p>
    <w:p w14:paraId="222D33AC">
      <w:pPr>
        <w:autoSpaceDE w:val="0"/>
        <w:autoSpaceDN w:val="0"/>
        <w:jc w:val="left"/>
        <w:rPr>
          <w:rFonts w:ascii="仿宋" w:hAnsi="仿宋" w:eastAsia="仿宋" w:cs="仿宋"/>
          <w:b/>
          <w:kern w:val="0"/>
          <w:sz w:val="20"/>
          <w:lang w:eastAsia="en-US"/>
        </w:rPr>
      </w:pPr>
    </w:p>
    <w:p w14:paraId="4731A715">
      <w:pPr>
        <w:autoSpaceDE w:val="0"/>
        <w:autoSpaceDN w:val="0"/>
        <w:jc w:val="left"/>
        <w:rPr>
          <w:rFonts w:ascii="仿宋" w:hAnsi="仿宋" w:eastAsia="仿宋" w:cs="仿宋"/>
          <w:b/>
          <w:kern w:val="0"/>
          <w:sz w:val="20"/>
          <w:lang w:eastAsia="en-US"/>
        </w:rPr>
      </w:pPr>
    </w:p>
    <w:p w14:paraId="2A16CD6A">
      <w:pPr>
        <w:autoSpaceDE w:val="0"/>
        <w:autoSpaceDN w:val="0"/>
        <w:jc w:val="left"/>
        <w:rPr>
          <w:rFonts w:ascii="仿宋" w:hAnsi="仿宋" w:eastAsia="仿宋" w:cs="仿宋"/>
          <w:b/>
          <w:kern w:val="0"/>
          <w:sz w:val="20"/>
          <w:lang w:eastAsia="en-US"/>
        </w:rPr>
      </w:pPr>
    </w:p>
    <w:p w14:paraId="280B400E">
      <w:pPr>
        <w:autoSpaceDE w:val="0"/>
        <w:autoSpaceDN w:val="0"/>
        <w:jc w:val="left"/>
        <w:rPr>
          <w:rFonts w:ascii="仿宋" w:hAnsi="仿宋" w:eastAsia="仿宋" w:cs="仿宋"/>
          <w:b/>
          <w:kern w:val="0"/>
          <w:sz w:val="20"/>
          <w:lang w:eastAsia="en-US"/>
        </w:rPr>
      </w:pPr>
    </w:p>
    <w:p w14:paraId="51147A44">
      <w:pPr>
        <w:autoSpaceDE w:val="0"/>
        <w:autoSpaceDN w:val="0"/>
        <w:jc w:val="left"/>
        <w:rPr>
          <w:rFonts w:ascii="仿宋" w:hAnsi="仿宋" w:eastAsia="仿宋" w:cs="仿宋"/>
          <w:b/>
          <w:kern w:val="0"/>
          <w:sz w:val="20"/>
          <w:lang w:eastAsia="en-US"/>
        </w:rPr>
      </w:pPr>
    </w:p>
    <w:p w14:paraId="55591595">
      <w:pPr>
        <w:autoSpaceDE w:val="0"/>
        <w:autoSpaceDN w:val="0"/>
        <w:jc w:val="left"/>
        <w:rPr>
          <w:rFonts w:ascii="仿宋" w:hAnsi="仿宋" w:eastAsia="仿宋" w:cs="仿宋"/>
          <w:b/>
          <w:kern w:val="0"/>
          <w:sz w:val="20"/>
          <w:lang w:eastAsia="en-US"/>
        </w:rPr>
      </w:pPr>
    </w:p>
    <w:p w14:paraId="150E790A">
      <w:pPr>
        <w:autoSpaceDE w:val="0"/>
        <w:autoSpaceDN w:val="0"/>
        <w:jc w:val="left"/>
        <w:rPr>
          <w:rFonts w:ascii="仿宋" w:hAnsi="仿宋" w:eastAsia="仿宋" w:cs="仿宋"/>
          <w:b/>
          <w:kern w:val="0"/>
          <w:sz w:val="20"/>
          <w:lang w:eastAsia="en-US"/>
        </w:rPr>
      </w:pPr>
    </w:p>
    <w:p w14:paraId="77B7D9BA">
      <w:pPr>
        <w:autoSpaceDE w:val="0"/>
        <w:autoSpaceDN w:val="0"/>
        <w:jc w:val="left"/>
        <w:rPr>
          <w:rFonts w:ascii="仿宋" w:hAnsi="仿宋" w:eastAsia="仿宋" w:cs="仿宋"/>
          <w:b/>
          <w:kern w:val="0"/>
          <w:sz w:val="20"/>
          <w:lang w:eastAsia="en-US"/>
        </w:rPr>
      </w:pPr>
    </w:p>
    <w:p w14:paraId="23F68DCD">
      <w:pPr>
        <w:autoSpaceDE w:val="0"/>
        <w:autoSpaceDN w:val="0"/>
        <w:jc w:val="left"/>
        <w:rPr>
          <w:rFonts w:ascii="仿宋" w:hAnsi="仿宋" w:eastAsia="仿宋" w:cs="仿宋"/>
          <w:b/>
          <w:kern w:val="0"/>
          <w:sz w:val="20"/>
          <w:lang w:eastAsia="en-US"/>
        </w:rPr>
      </w:pPr>
    </w:p>
    <w:p w14:paraId="35F1C4EC">
      <w:pPr>
        <w:autoSpaceDE w:val="0"/>
        <w:autoSpaceDN w:val="0"/>
        <w:jc w:val="left"/>
        <w:rPr>
          <w:rFonts w:ascii="仿宋" w:hAnsi="仿宋" w:eastAsia="仿宋" w:cs="仿宋"/>
          <w:b/>
          <w:kern w:val="0"/>
          <w:sz w:val="20"/>
          <w:lang w:eastAsia="en-US"/>
        </w:rPr>
      </w:pPr>
    </w:p>
    <w:p w14:paraId="2E3A2556">
      <w:pPr>
        <w:autoSpaceDE w:val="0"/>
        <w:autoSpaceDN w:val="0"/>
        <w:jc w:val="left"/>
        <w:rPr>
          <w:rFonts w:ascii="仿宋" w:hAnsi="仿宋" w:eastAsia="仿宋" w:cs="仿宋"/>
          <w:b/>
          <w:kern w:val="0"/>
          <w:sz w:val="20"/>
          <w:lang w:eastAsia="en-US"/>
        </w:rPr>
      </w:pPr>
    </w:p>
    <w:p w14:paraId="6C05DE71">
      <w:pPr>
        <w:autoSpaceDE w:val="0"/>
        <w:autoSpaceDN w:val="0"/>
        <w:jc w:val="left"/>
        <w:rPr>
          <w:rFonts w:ascii="仿宋" w:hAnsi="仿宋" w:eastAsia="仿宋" w:cs="仿宋"/>
          <w:b/>
          <w:kern w:val="0"/>
          <w:sz w:val="20"/>
          <w:lang w:eastAsia="en-US"/>
        </w:rPr>
      </w:pPr>
    </w:p>
    <w:p w14:paraId="6AE9A0B3">
      <w:pPr>
        <w:autoSpaceDE w:val="0"/>
        <w:autoSpaceDN w:val="0"/>
        <w:jc w:val="left"/>
        <w:rPr>
          <w:rFonts w:ascii="仿宋" w:hAnsi="仿宋" w:eastAsia="仿宋" w:cs="仿宋"/>
          <w:b/>
          <w:kern w:val="0"/>
          <w:sz w:val="20"/>
          <w:lang w:eastAsia="en-US"/>
        </w:rPr>
      </w:pPr>
    </w:p>
    <w:p w14:paraId="24464A5F">
      <w:pPr>
        <w:autoSpaceDE w:val="0"/>
        <w:autoSpaceDN w:val="0"/>
        <w:jc w:val="left"/>
        <w:rPr>
          <w:rFonts w:ascii="仿宋" w:hAnsi="仿宋" w:eastAsia="仿宋" w:cs="仿宋"/>
          <w:b/>
          <w:kern w:val="0"/>
          <w:sz w:val="20"/>
          <w:lang w:eastAsia="en-US"/>
        </w:rPr>
      </w:pPr>
    </w:p>
    <w:p w14:paraId="756D41E5">
      <w:pPr>
        <w:autoSpaceDE w:val="0"/>
        <w:autoSpaceDN w:val="0"/>
        <w:jc w:val="left"/>
        <w:rPr>
          <w:rFonts w:ascii="仿宋" w:hAnsi="仿宋" w:eastAsia="仿宋" w:cs="仿宋"/>
          <w:b/>
          <w:kern w:val="0"/>
          <w:sz w:val="24"/>
          <w:lang w:eastAsia="en-US"/>
        </w:rPr>
      </w:pPr>
    </w:p>
    <w:tbl>
      <w:tblPr>
        <w:tblStyle w:val="36"/>
        <w:tblW w:w="0" w:type="auto"/>
        <w:tblInd w:w="348" w:type="dxa"/>
        <w:tblLayout w:type="fixed"/>
        <w:tblCellMar>
          <w:top w:w="0" w:type="dxa"/>
          <w:left w:w="0" w:type="dxa"/>
          <w:bottom w:w="0" w:type="dxa"/>
          <w:right w:w="0" w:type="dxa"/>
        </w:tblCellMar>
      </w:tblPr>
      <w:tblGrid>
        <w:gridCol w:w="381"/>
        <w:gridCol w:w="422"/>
        <w:gridCol w:w="422"/>
        <w:gridCol w:w="422"/>
        <w:gridCol w:w="499"/>
        <w:gridCol w:w="3998"/>
      </w:tblGrid>
      <w:tr w14:paraId="18ECDDA7">
        <w:tblPrEx>
          <w:tblCellMar>
            <w:top w:w="0" w:type="dxa"/>
            <w:left w:w="0" w:type="dxa"/>
            <w:bottom w:w="0" w:type="dxa"/>
            <w:right w:w="0" w:type="dxa"/>
          </w:tblCellMar>
        </w:tblPrEx>
        <w:trPr>
          <w:trHeight w:val="366" w:hRule="exact"/>
        </w:trPr>
        <w:tc>
          <w:tcPr>
            <w:tcW w:w="381" w:type="dxa"/>
          </w:tcPr>
          <w:p w14:paraId="037A8F45">
            <w:pPr>
              <w:autoSpaceDE w:val="0"/>
              <w:autoSpaceDN w:val="0"/>
              <w:ind w:right="39"/>
              <w:jc w:val="center"/>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项</w:t>
            </w:r>
          </w:p>
        </w:tc>
        <w:tc>
          <w:tcPr>
            <w:tcW w:w="422" w:type="dxa"/>
          </w:tcPr>
          <w:p w14:paraId="21BC14B5">
            <w:pPr>
              <w:autoSpaceDE w:val="0"/>
              <w:autoSpaceDN w:val="0"/>
              <w:jc w:val="center"/>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目</w:t>
            </w:r>
          </w:p>
        </w:tc>
        <w:tc>
          <w:tcPr>
            <w:tcW w:w="422" w:type="dxa"/>
          </w:tcPr>
          <w:p w14:paraId="4CA4B5B8">
            <w:pPr>
              <w:autoSpaceDE w:val="0"/>
              <w:autoSpaceDN w:val="0"/>
              <w:ind w:right="89"/>
              <w:jc w:val="righ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名</w:t>
            </w:r>
          </w:p>
        </w:tc>
        <w:tc>
          <w:tcPr>
            <w:tcW w:w="422" w:type="dxa"/>
          </w:tcPr>
          <w:p w14:paraId="228DE41B">
            <w:pPr>
              <w:autoSpaceDE w:val="0"/>
              <w:autoSpaceDN w:val="0"/>
              <w:jc w:val="center"/>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称</w:t>
            </w:r>
          </w:p>
        </w:tc>
        <w:tc>
          <w:tcPr>
            <w:tcW w:w="499" w:type="dxa"/>
          </w:tcPr>
          <w:p w14:paraId="322F7BC0">
            <w:pPr>
              <w:autoSpaceDE w:val="0"/>
              <w:autoSpaceDN w:val="0"/>
              <w:ind w:left="91"/>
              <w:jc w:val="lef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w:t>
            </w:r>
          </w:p>
        </w:tc>
        <w:tc>
          <w:tcPr>
            <w:tcW w:w="3998" w:type="dxa"/>
          </w:tcPr>
          <w:p w14:paraId="4A3F6DBB">
            <w:pPr>
              <w:tabs>
                <w:tab w:val="left" w:pos="3779"/>
              </w:tabs>
              <w:autoSpaceDE w:val="0"/>
              <w:autoSpaceDN w:val="0"/>
              <w:ind w:right="48"/>
              <w:jc w:val="righ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u w:val="single"/>
                <w:lang w:eastAsia="en-US"/>
              </w:rPr>
              <w:tab/>
            </w:r>
          </w:p>
        </w:tc>
      </w:tr>
      <w:tr w14:paraId="5C75B18A">
        <w:tblPrEx>
          <w:tblCellMar>
            <w:top w:w="0" w:type="dxa"/>
            <w:left w:w="0" w:type="dxa"/>
            <w:bottom w:w="0" w:type="dxa"/>
            <w:right w:w="0" w:type="dxa"/>
          </w:tblCellMar>
        </w:tblPrEx>
        <w:trPr>
          <w:trHeight w:val="467" w:hRule="exact"/>
        </w:trPr>
        <w:tc>
          <w:tcPr>
            <w:tcW w:w="381" w:type="dxa"/>
          </w:tcPr>
          <w:p w14:paraId="52E4E2DA">
            <w:pPr>
              <w:autoSpaceDE w:val="0"/>
              <w:autoSpaceDN w:val="0"/>
              <w:spacing w:before="33"/>
              <w:ind w:right="39"/>
              <w:jc w:val="center"/>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项</w:t>
            </w:r>
          </w:p>
        </w:tc>
        <w:tc>
          <w:tcPr>
            <w:tcW w:w="422" w:type="dxa"/>
          </w:tcPr>
          <w:p w14:paraId="5E0C6C7B">
            <w:pPr>
              <w:autoSpaceDE w:val="0"/>
              <w:autoSpaceDN w:val="0"/>
              <w:spacing w:before="33"/>
              <w:jc w:val="center"/>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目</w:t>
            </w:r>
          </w:p>
        </w:tc>
        <w:tc>
          <w:tcPr>
            <w:tcW w:w="422" w:type="dxa"/>
          </w:tcPr>
          <w:p w14:paraId="011528B6">
            <w:pPr>
              <w:autoSpaceDE w:val="0"/>
              <w:autoSpaceDN w:val="0"/>
              <w:spacing w:before="33"/>
              <w:ind w:right="89"/>
              <w:jc w:val="righ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编</w:t>
            </w:r>
          </w:p>
        </w:tc>
        <w:tc>
          <w:tcPr>
            <w:tcW w:w="422" w:type="dxa"/>
          </w:tcPr>
          <w:p w14:paraId="7AA8E7C6">
            <w:pPr>
              <w:autoSpaceDE w:val="0"/>
              <w:autoSpaceDN w:val="0"/>
              <w:spacing w:before="33"/>
              <w:jc w:val="center"/>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号</w:t>
            </w:r>
          </w:p>
        </w:tc>
        <w:tc>
          <w:tcPr>
            <w:tcW w:w="499" w:type="dxa"/>
          </w:tcPr>
          <w:p w14:paraId="47088983">
            <w:pPr>
              <w:autoSpaceDE w:val="0"/>
              <w:autoSpaceDN w:val="0"/>
              <w:spacing w:before="33"/>
              <w:ind w:left="91"/>
              <w:jc w:val="lef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w:t>
            </w:r>
          </w:p>
        </w:tc>
        <w:tc>
          <w:tcPr>
            <w:tcW w:w="3998" w:type="dxa"/>
          </w:tcPr>
          <w:p w14:paraId="2F52F90D">
            <w:pPr>
              <w:tabs>
                <w:tab w:val="left" w:pos="3779"/>
              </w:tabs>
              <w:autoSpaceDE w:val="0"/>
              <w:autoSpaceDN w:val="0"/>
              <w:spacing w:before="89"/>
              <w:ind w:right="48"/>
              <w:jc w:val="righ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u w:val="single"/>
                <w:lang w:eastAsia="en-US"/>
              </w:rPr>
              <w:tab/>
            </w:r>
          </w:p>
        </w:tc>
      </w:tr>
      <w:tr w14:paraId="44C8382B">
        <w:tblPrEx>
          <w:tblCellMar>
            <w:top w:w="0" w:type="dxa"/>
            <w:left w:w="0" w:type="dxa"/>
            <w:bottom w:w="0" w:type="dxa"/>
            <w:right w:w="0" w:type="dxa"/>
          </w:tblCellMar>
        </w:tblPrEx>
        <w:trPr>
          <w:trHeight w:val="467" w:hRule="exact"/>
        </w:trPr>
        <w:tc>
          <w:tcPr>
            <w:tcW w:w="381" w:type="dxa"/>
          </w:tcPr>
          <w:p w14:paraId="3B12B5E7">
            <w:pPr>
              <w:autoSpaceDE w:val="0"/>
              <w:autoSpaceDN w:val="0"/>
              <w:spacing w:before="34"/>
              <w:ind w:right="39"/>
              <w:jc w:val="center"/>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甲</w:t>
            </w:r>
          </w:p>
        </w:tc>
        <w:tc>
          <w:tcPr>
            <w:tcW w:w="422" w:type="dxa"/>
          </w:tcPr>
          <w:p w14:paraId="6EC02AAF">
            <w:pPr>
              <w:autoSpaceDE w:val="0"/>
              <w:autoSpaceDN w:val="0"/>
              <w:jc w:val="left"/>
              <w:rPr>
                <w:rFonts w:asciiTheme="minorEastAsia" w:hAnsiTheme="minorEastAsia" w:eastAsiaTheme="minorEastAsia" w:cstheme="minorEastAsia"/>
                <w:kern w:val="0"/>
                <w:sz w:val="24"/>
                <w:lang w:eastAsia="en-US"/>
              </w:rPr>
            </w:pPr>
          </w:p>
        </w:tc>
        <w:tc>
          <w:tcPr>
            <w:tcW w:w="422" w:type="dxa"/>
          </w:tcPr>
          <w:p w14:paraId="2127658B">
            <w:pPr>
              <w:autoSpaceDE w:val="0"/>
              <w:autoSpaceDN w:val="0"/>
              <w:spacing w:before="34"/>
              <w:ind w:right="89"/>
              <w:jc w:val="righ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方</w:t>
            </w:r>
          </w:p>
        </w:tc>
        <w:tc>
          <w:tcPr>
            <w:tcW w:w="422" w:type="dxa"/>
          </w:tcPr>
          <w:p w14:paraId="08743283">
            <w:pPr>
              <w:autoSpaceDE w:val="0"/>
              <w:autoSpaceDN w:val="0"/>
              <w:jc w:val="left"/>
              <w:rPr>
                <w:rFonts w:asciiTheme="minorEastAsia" w:hAnsiTheme="minorEastAsia" w:eastAsiaTheme="minorEastAsia" w:cstheme="minorEastAsia"/>
                <w:kern w:val="0"/>
                <w:sz w:val="24"/>
                <w:lang w:eastAsia="en-US"/>
              </w:rPr>
            </w:pPr>
          </w:p>
        </w:tc>
        <w:tc>
          <w:tcPr>
            <w:tcW w:w="499" w:type="dxa"/>
          </w:tcPr>
          <w:p w14:paraId="60816AE5">
            <w:pPr>
              <w:autoSpaceDE w:val="0"/>
              <w:autoSpaceDN w:val="0"/>
              <w:spacing w:before="34"/>
              <w:ind w:left="91"/>
              <w:jc w:val="lef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w:t>
            </w:r>
          </w:p>
        </w:tc>
        <w:tc>
          <w:tcPr>
            <w:tcW w:w="3998" w:type="dxa"/>
          </w:tcPr>
          <w:p w14:paraId="286762FA">
            <w:pPr>
              <w:tabs>
                <w:tab w:val="left" w:pos="3779"/>
              </w:tabs>
              <w:autoSpaceDE w:val="0"/>
              <w:autoSpaceDN w:val="0"/>
              <w:spacing w:before="91"/>
              <w:ind w:right="48"/>
              <w:jc w:val="righ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u w:val="single"/>
                <w:lang w:eastAsia="en-US"/>
              </w:rPr>
              <w:tab/>
            </w:r>
          </w:p>
        </w:tc>
      </w:tr>
      <w:tr w14:paraId="1B1909C8">
        <w:tblPrEx>
          <w:tblCellMar>
            <w:top w:w="0" w:type="dxa"/>
            <w:left w:w="0" w:type="dxa"/>
            <w:bottom w:w="0" w:type="dxa"/>
            <w:right w:w="0" w:type="dxa"/>
          </w:tblCellMar>
        </w:tblPrEx>
        <w:trPr>
          <w:trHeight w:val="366" w:hRule="exact"/>
        </w:trPr>
        <w:tc>
          <w:tcPr>
            <w:tcW w:w="381" w:type="dxa"/>
          </w:tcPr>
          <w:p w14:paraId="26A616D9">
            <w:pPr>
              <w:autoSpaceDE w:val="0"/>
              <w:autoSpaceDN w:val="0"/>
              <w:spacing w:before="33"/>
              <w:ind w:right="39"/>
              <w:jc w:val="center"/>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乙</w:t>
            </w:r>
          </w:p>
        </w:tc>
        <w:tc>
          <w:tcPr>
            <w:tcW w:w="422" w:type="dxa"/>
          </w:tcPr>
          <w:p w14:paraId="59C92DF1">
            <w:pPr>
              <w:autoSpaceDE w:val="0"/>
              <w:autoSpaceDN w:val="0"/>
              <w:jc w:val="left"/>
              <w:rPr>
                <w:rFonts w:asciiTheme="minorEastAsia" w:hAnsiTheme="minorEastAsia" w:eastAsiaTheme="minorEastAsia" w:cstheme="minorEastAsia"/>
                <w:kern w:val="0"/>
                <w:sz w:val="24"/>
                <w:lang w:eastAsia="en-US"/>
              </w:rPr>
            </w:pPr>
          </w:p>
        </w:tc>
        <w:tc>
          <w:tcPr>
            <w:tcW w:w="422" w:type="dxa"/>
          </w:tcPr>
          <w:p w14:paraId="27705E19">
            <w:pPr>
              <w:autoSpaceDE w:val="0"/>
              <w:autoSpaceDN w:val="0"/>
              <w:spacing w:before="33"/>
              <w:ind w:right="89"/>
              <w:jc w:val="righ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方</w:t>
            </w:r>
          </w:p>
        </w:tc>
        <w:tc>
          <w:tcPr>
            <w:tcW w:w="422" w:type="dxa"/>
          </w:tcPr>
          <w:p w14:paraId="4F155286">
            <w:pPr>
              <w:autoSpaceDE w:val="0"/>
              <w:autoSpaceDN w:val="0"/>
              <w:jc w:val="left"/>
              <w:rPr>
                <w:rFonts w:asciiTheme="minorEastAsia" w:hAnsiTheme="minorEastAsia" w:eastAsiaTheme="minorEastAsia" w:cstheme="minorEastAsia"/>
                <w:kern w:val="0"/>
                <w:sz w:val="24"/>
                <w:lang w:eastAsia="en-US"/>
              </w:rPr>
            </w:pPr>
          </w:p>
        </w:tc>
        <w:tc>
          <w:tcPr>
            <w:tcW w:w="499" w:type="dxa"/>
          </w:tcPr>
          <w:p w14:paraId="5D7C16EF">
            <w:pPr>
              <w:autoSpaceDE w:val="0"/>
              <w:autoSpaceDN w:val="0"/>
              <w:spacing w:before="33"/>
              <w:ind w:left="91"/>
              <w:jc w:val="lef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w:t>
            </w:r>
          </w:p>
        </w:tc>
        <w:tc>
          <w:tcPr>
            <w:tcW w:w="3998" w:type="dxa"/>
          </w:tcPr>
          <w:p w14:paraId="5CE2766D">
            <w:pPr>
              <w:tabs>
                <w:tab w:val="left" w:pos="3779"/>
              </w:tabs>
              <w:autoSpaceDE w:val="0"/>
              <w:autoSpaceDN w:val="0"/>
              <w:spacing w:before="89"/>
              <w:ind w:right="48"/>
              <w:jc w:val="righ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u w:val="single"/>
                <w:lang w:eastAsia="en-US"/>
              </w:rPr>
              <w:tab/>
            </w:r>
          </w:p>
        </w:tc>
      </w:tr>
    </w:tbl>
    <w:p w14:paraId="3A48BB3C">
      <w:pPr>
        <w:autoSpaceDE w:val="0"/>
        <w:autoSpaceDN w:val="0"/>
        <w:spacing w:before="5"/>
        <w:jc w:val="left"/>
        <w:rPr>
          <w:rFonts w:asciiTheme="minorEastAsia" w:hAnsiTheme="minorEastAsia" w:eastAsiaTheme="minorEastAsia" w:cstheme="minorEastAsia"/>
          <w:b/>
          <w:kern w:val="0"/>
          <w:sz w:val="24"/>
          <w:lang w:eastAsia="en-US"/>
        </w:rPr>
      </w:pPr>
    </w:p>
    <w:p w14:paraId="73AC7655">
      <w:pPr>
        <w:tabs>
          <w:tab w:val="left" w:pos="2663"/>
          <w:tab w:val="left" w:pos="6443"/>
        </w:tabs>
        <w:autoSpaceDE w:val="0"/>
        <w:autoSpaceDN w:val="0"/>
        <w:spacing w:before="26"/>
        <w:ind w:left="398"/>
        <w:jc w:val="lef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spacing w:val="35"/>
          <w:kern w:val="0"/>
          <w:sz w:val="24"/>
          <w:lang w:eastAsia="en-US"/>
        </w:rPr>
        <w:t>合同签订日期：</w:t>
      </w:r>
      <w:r>
        <w:rPr>
          <w:rFonts w:hint="eastAsia" w:asciiTheme="minorEastAsia" w:hAnsiTheme="minorEastAsia" w:eastAsiaTheme="minorEastAsia" w:cstheme="minorEastAsia"/>
          <w:spacing w:val="35"/>
          <w:kern w:val="0"/>
          <w:sz w:val="24"/>
          <w:lang w:eastAsia="en-US"/>
        </w:rPr>
        <w:tab/>
      </w:r>
      <w:r>
        <w:rPr>
          <w:rFonts w:hint="eastAsia" w:asciiTheme="minorEastAsia" w:hAnsiTheme="minorEastAsia" w:eastAsiaTheme="minorEastAsia" w:cstheme="minorEastAsia"/>
          <w:spacing w:val="35"/>
          <w:kern w:val="0"/>
          <w:sz w:val="24"/>
          <w:u w:val="single"/>
          <w:lang w:eastAsia="en-US"/>
        </w:rPr>
        <w:tab/>
      </w:r>
    </w:p>
    <w:p w14:paraId="5F2555D4">
      <w:pPr>
        <w:autoSpaceDE w:val="0"/>
        <w:autoSpaceDN w:val="0"/>
        <w:jc w:val="left"/>
        <w:rPr>
          <w:rFonts w:asciiTheme="minorEastAsia" w:hAnsiTheme="minorEastAsia" w:eastAsiaTheme="minorEastAsia" w:cstheme="minorEastAsia"/>
          <w:kern w:val="0"/>
          <w:sz w:val="24"/>
          <w:lang w:eastAsia="en-US"/>
        </w:rPr>
        <w:sectPr>
          <w:pgSz w:w="11910" w:h="16840"/>
          <w:pgMar w:top="1380" w:right="1680" w:bottom="1200" w:left="1680" w:header="0" w:footer="1006" w:gutter="0"/>
          <w:cols w:space="720" w:num="1"/>
        </w:sectPr>
      </w:pPr>
    </w:p>
    <w:p w14:paraId="5B8405C9">
      <w:pPr>
        <w:autoSpaceDE w:val="0"/>
        <w:autoSpaceDN w:val="0"/>
        <w:jc w:val="left"/>
        <w:rPr>
          <w:rFonts w:asciiTheme="minorEastAsia" w:hAnsiTheme="minorEastAsia" w:eastAsiaTheme="minorEastAsia" w:cstheme="minorEastAsia"/>
          <w:kern w:val="0"/>
          <w:sz w:val="24"/>
          <w:lang w:eastAsia="en-US"/>
        </w:rPr>
      </w:pPr>
    </w:p>
    <w:p w14:paraId="6B6D7E8D">
      <w:pPr>
        <w:tabs>
          <w:tab w:val="left" w:pos="5019"/>
        </w:tabs>
        <w:autoSpaceDE w:val="0"/>
        <w:autoSpaceDN w:val="0"/>
        <w:spacing w:before="158"/>
        <w:ind w:left="460" w:right="3519"/>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甲方：</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（以下称甲方）</w:t>
      </w:r>
    </w:p>
    <w:p w14:paraId="55F0FFC1">
      <w:pPr>
        <w:tabs>
          <w:tab w:val="left" w:pos="5019"/>
        </w:tabs>
        <w:autoSpaceDE w:val="0"/>
        <w:autoSpaceDN w:val="0"/>
        <w:spacing w:before="158"/>
        <w:ind w:left="460" w:right="3519"/>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乙方：</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（以下称乙方）</w:t>
      </w:r>
    </w:p>
    <w:p w14:paraId="7B73F520">
      <w:pPr>
        <w:autoSpaceDE w:val="0"/>
        <w:autoSpaceDN w:val="0"/>
        <w:spacing w:before="31"/>
        <w:ind w:left="100" w:right="237" w:firstLine="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根</w:t>
      </w:r>
      <w:r>
        <w:rPr>
          <w:rFonts w:hint="eastAsia" w:asciiTheme="minorEastAsia" w:hAnsiTheme="minorEastAsia" w:eastAsiaTheme="minorEastAsia" w:cstheme="minorEastAsia"/>
          <w:spacing w:val="-41"/>
          <w:kern w:val="0"/>
          <w:sz w:val="24"/>
        </w:rPr>
        <w:t>据</w:t>
      </w:r>
      <w:r>
        <w:rPr>
          <w:rFonts w:hint="eastAsia" w:asciiTheme="minorEastAsia" w:hAnsiTheme="minorEastAsia" w:eastAsiaTheme="minorEastAsia" w:cstheme="minorEastAsia"/>
          <w:kern w:val="0"/>
          <w:sz w:val="24"/>
        </w:rPr>
        <w:t>《中华人民共和国民法典</w:t>
      </w:r>
      <w:r>
        <w:rPr>
          <w:rFonts w:hint="eastAsia" w:asciiTheme="minorEastAsia" w:hAnsiTheme="minorEastAsia" w:eastAsiaTheme="minorEastAsia" w:cstheme="minorEastAsia"/>
          <w:spacing w:val="-39"/>
          <w:kern w:val="0"/>
          <w:sz w:val="24"/>
        </w:rPr>
        <w:t>》</w:t>
      </w:r>
      <w:r>
        <w:rPr>
          <w:rFonts w:hint="eastAsia" w:asciiTheme="minorEastAsia" w:hAnsiTheme="minorEastAsia" w:eastAsiaTheme="minorEastAsia" w:cstheme="minorEastAsia"/>
          <w:kern w:val="0"/>
          <w:sz w:val="24"/>
        </w:rPr>
        <w:t>等相关法律法规的规定，甲方经政府招标采购确定乙方作为</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lang w:val="en-US" w:eastAsia="zh-CN"/>
        </w:rPr>
        <w:t xml:space="preserve">   </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的技术服务单位，经双方充分协商一致，签订本合同。</w:t>
      </w:r>
    </w:p>
    <w:p w14:paraId="01DA2311">
      <w:pPr>
        <w:autoSpaceDE w:val="0"/>
        <w:autoSpaceDN w:val="0"/>
        <w:spacing w:before="31"/>
        <w:ind w:left="100" w:firstLine="482" w:firstLineChars="200"/>
        <w:jc w:val="left"/>
        <w:outlineLvl w:val="3"/>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一、服务范围</w:t>
      </w:r>
    </w:p>
    <w:p w14:paraId="47538CB2">
      <w:pPr>
        <w:autoSpaceDE w:val="0"/>
        <w:autoSpaceDN w:val="0"/>
        <w:spacing w:before="146"/>
        <w:ind w:left="100" w:right="5799" w:firstLine="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开展/。</w:t>
      </w:r>
    </w:p>
    <w:p w14:paraId="50E19464">
      <w:pPr>
        <w:autoSpaceDE w:val="0"/>
        <w:autoSpaceDN w:val="0"/>
        <w:spacing w:before="146"/>
        <w:ind w:right="5799" w:firstLine="476" w:firstLineChars="200"/>
        <w:jc w:val="left"/>
        <w:rPr>
          <w:rFonts w:asciiTheme="minorEastAsia" w:hAnsiTheme="minorEastAsia" w:eastAsiaTheme="minorEastAsia" w:cstheme="minorEastAsia"/>
          <w:b/>
          <w:w w:val="99"/>
          <w:kern w:val="0"/>
          <w:sz w:val="24"/>
        </w:rPr>
      </w:pPr>
      <w:r>
        <w:rPr>
          <w:rFonts w:hint="eastAsia" w:asciiTheme="minorEastAsia" w:hAnsiTheme="minorEastAsia" w:eastAsiaTheme="minorEastAsia" w:cstheme="minorEastAsia"/>
          <w:b/>
          <w:w w:val="99"/>
          <w:kern w:val="0"/>
          <w:sz w:val="24"/>
        </w:rPr>
        <w:t>二、主</w:t>
      </w:r>
      <w:r>
        <w:rPr>
          <w:rFonts w:hint="eastAsia" w:asciiTheme="minorEastAsia" w:hAnsiTheme="minorEastAsia" w:eastAsiaTheme="minorEastAsia" w:cstheme="minorEastAsia"/>
          <w:b/>
          <w:spacing w:val="2"/>
          <w:w w:val="99"/>
          <w:kern w:val="0"/>
          <w:sz w:val="24"/>
        </w:rPr>
        <w:t>要</w:t>
      </w:r>
      <w:r>
        <w:rPr>
          <w:rFonts w:hint="eastAsia" w:asciiTheme="minorEastAsia" w:hAnsiTheme="minorEastAsia" w:eastAsiaTheme="minorEastAsia" w:cstheme="minorEastAsia"/>
          <w:b/>
          <w:w w:val="99"/>
          <w:kern w:val="0"/>
          <w:sz w:val="24"/>
        </w:rPr>
        <w:t>工作</w:t>
      </w:r>
      <w:r>
        <w:rPr>
          <w:rFonts w:hint="eastAsia" w:asciiTheme="minorEastAsia" w:hAnsiTheme="minorEastAsia" w:eastAsiaTheme="minorEastAsia" w:cstheme="minorEastAsia"/>
          <w:b/>
          <w:spacing w:val="2"/>
          <w:w w:val="99"/>
          <w:kern w:val="0"/>
          <w:sz w:val="24"/>
        </w:rPr>
        <w:t>内</w:t>
      </w:r>
      <w:r>
        <w:rPr>
          <w:rFonts w:hint="eastAsia" w:asciiTheme="minorEastAsia" w:hAnsiTheme="minorEastAsia" w:eastAsiaTheme="minorEastAsia" w:cstheme="minorEastAsia"/>
          <w:b/>
          <w:w w:val="99"/>
          <w:kern w:val="0"/>
          <w:sz w:val="24"/>
        </w:rPr>
        <w:t>容：</w:t>
      </w:r>
    </w:p>
    <w:p w14:paraId="2D8849D6">
      <w:pPr>
        <w:autoSpaceDE w:val="0"/>
        <w:autoSpaceDN w:val="0"/>
        <w:spacing w:before="146"/>
        <w:ind w:left="580" w:right="5799"/>
        <w:jc w:val="left"/>
        <w:rPr>
          <w:rFonts w:asciiTheme="minorEastAsia" w:hAnsiTheme="minorEastAsia" w:eastAsiaTheme="minorEastAsia" w:cstheme="minorEastAsia"/>
          <w:b/>
          <w:kern w:val="0"/>
          <w:sz w:val="24"/>
          <w:u w:val="single"/>
        </w:rPr>
      </w:pPr>
      <w:r>
        <w:rPr>
          <w:rFonts w:hint="eastAsia" w:asciiTheme="minorEastAsia" w:hAnsiTheme="minorEastAsia" w:eastAsiaTheme="minorEastAsia" w:cstheme="minorEastAsia"/>
          <w:b/>
          <w:w w:val="99"/>
          <w:kern w:val="0"/>
          <w:sz w:val="24"/>
          <w:u w:val="single"/>
        </w:rPr>
        <w:t xml:space="preserve">                    </w:t>
      </w:r>
      <w:r>
        <w:rPr>
          <w:rFonts w:hint="eastAsia" w:asciiTheme="minorEastAsia" w:hAnsiTheme="minorEastAsia" w:eastAsiaTheme="minorEastAsia" w:cstheme="minorEastAsia"/>
          <w:b/>
          <w:w w:val="99"/>
          <w:kern w:val="0"/>
          <w:sz w:val="24"/>
        </w:rPr>
        <w:t>。</w:t>
      </w:r>
    </w:p>
    <w:p w14:paraId="4C498268">
      <w:pPr>
        <w:autoSpaceDE w:val="0"/>
        <w:autoSpaceDN w:val="0"/>
        <w:spacing w:before="31"/>
        <w:ind w:firstLine="482" w:firstLineChars="200"/>
        <w:jc w:val="left"/>
        <w:outlineLvl w:val="3"/>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 xml:space="preserve">三、工作依据 </w:t>
      </w:r>
    </w:p>
    <w:p w14:paraId="31E610CC">
      <w:pPr>
        <w:autoSpaceDE w:val="0"/>
        <w:autoSpaceDN w:val="0"/>
        <w:spacing w:before="146"/>
        <w:ind w:left="508"/>
        <w:jc w:val="left"/>
        <w:rPr>
          <w:rFonts w:asciiTheme="minorEastAsia" w:hAnsiTheme="minorEastAsia" w:eastAsiaTheme="minorEastAsia" w:cstheme="minorEastAsia"/>
          <w:kern w:val="0"/>
          <w:sz w:val="24"/>
          <w:u w:val="single"/>
        </w:rPr>
      </w:pP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w:t>
      </w:r>
    </w:p>
    <w:p w14:paraId="572933F2">
      <w:pPr>
        <w:autoSpaceDE w:val="0"/>
        <w:autoSpaceDN w:val="0"/>
        <w:spacing w:before="146"/>
        <w:ind w:left="508"/>
        <w:jc w:val="left"/>
        <w:rPr>
          <w:rFonts w:asciiTheme="minorEastAsia" w:hAnsiTheme="minorEastAsia" w:eastAsiaTheme="minorEastAsia" w:cstheme="minorEastAsia"/>
          <w:b/>
          <w:bCs/>
          <w:w w:val="99"/>
          <w:kern w:val="0"/>
          <w:sz w:val="24"/>
        </w:rPr>
      </w:pPr>
      <w:r>
        <w:rPr>
          <w:rFonts w:hint="eastAsia" w:asciiTheme="minorEastAsia" w:hAnsiTheme="minorEastAsia" w:eastAsiaTheme="minorEastAsia" w:cstheme="minorEastAsia"/>
          <w:b/>
          <w:bCs/>
          <w:kern w:val="0"/>
          <w:sz w:val="24"/>
        </w:rPr>
        <w:t>四、</w:t>
      </w:r>
      <w:r>
        <w:rPr>
          <w:rFonts w:hint="eastAsia" w:asciiTheme="minorEastAsia" w:hAnsiTheme="minorEastAsia" w:eastAsiaTheme="minorEastAsia" w:cstheme="minorEastAsia"/>
          <w:b/>
          <w:bCs/>
          <w:w w:val="99"/>
          <w:kern w:val="0"/>
          <w:sz w:val="24"/>
        </w:rPr>
        <w:t>服务期限</w:t>
      </w:r>
    </w:p>
    <w:p w14:paraId="0C018B7F">
      <w:pPr>
        <w:autoSpaceDE w:val="0"/>
        <w:autoSpaceDN w:val="0"/>
        <w:ind w:firstLine="480" w:firstLineChars="2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服务期限：</w:t>
      </w:r>
    </w:p>
    <w:p w14:paraId="70C9020B">
      <w:pPr>
        <w:autoSpaceDE w:val="0"/>
        <w:autoSpaceDN w:val="0"/>
        <w:spacing w:before="146"/>
        <w:ind w:left="100" w:firstLine="482" w:firstLineChars="200"/>
        <w:jc w:val="left"/>
        <w:outlineLvl w:val="3"/>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五、提交成果内容及要求</w:t>
      </w:r>
    </w:p>
    <w:p w14:paraId="7D432D00">
      <w:pPr>
        <w:numPr>
          <w:ilvl w:val="1"/>
          <w:numId w:val="1"/>
        </w:numPr>
        <w:tabs>
          <w:tab w:val="left" w:pos="1000"/>
        </w:tabs>
        <w:autoSpaceDE w:val="0"/>
        <w:autoSpaceDN w:val="0"/>
        <w:spacing w:before="146"/>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lang w:eastAsia="en-US"/>
        </w:rPr>
        <w:t>提交成果内容</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w:t>
      </w:r>
    </w:p>
    <w:p w14:paraId="7094F783">
      <w:pPr>
        <w:numPr>
          <w:ilvl w:val="1"/>
          <w:numId w:val="1"/>
        </w:numPr>
        <w:tabs>
          <w:tab w:val="left" w:pos="1000"/>
        </w:tabs>
        <w:autoSpaceDE w:val="0"/>
        <w:autoSpaceDN w:val="0"/>
        <w:spacing w:before="34"/>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提交成果要求</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w:t>
      </w:r>
    </w:p>
    <w:p w14:paraId="5439592B">
      <w:pPr>
        <w:autoSpaceDE w:val="0"/>
        <w:autoSpaceDN w:val="0"/>
        <w:spacing w:before="34"/>
        <w:ind w:left="100" w:firstLine="241" w:firstLineChars="100"/>
        <w:jc w:val="left"/>
        <w:outlineLvl w:val="3"/>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六、权利和义务</w:t>
      </w:r>
    </w:p>
    <w:p w14:paraId="2E8BF1CA">
      <w:pPr>
        <w:autoSpaceDE w:val="0"/>
        <w:autoSpaceDN w:val="0"/>
        <w:spacing w:before="144"/>
        <w:ind w:left="1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（一）甲方的权利与义务</w:t>
      </w:r>
    </w:p>
    <w:p w14:paraId="0EAC8F53">
      <w:pPr>
        <w:autoSpaceDE w:val="0"/>
        <w:autoSpaceDN w:val="0"/>
        <w:spacing w:before="146"/>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1.权利</w:t>
      </w:r>
    </w:p>
    <w:p w14:paraId="0C2AFEF1">
      <w:pPr>
        <w:autoSpaceDE w:val="0"/>
        <w:autoSpaceDN w:val="0"/>
        <w:spacing w:before="146"/>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（1）确定工作范围，审查技术方案，对项目成果提出具体要求；</w:t>
      </w:r>
    </w:p>
    <w:p w14:paraId="616B4D58">
      <w:pPr>
        <w:autoSpaceDE w:val="0"/>
        <w:autoSpaceDN w:val="0"/>
        <w:spacing w:before="144"/>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（2）甲方有权督促乙方按计划完成项目并提交符合验收标准的成果；</w:t>
      </w:r>
    </w:p>
    <w:p w14:paraId="1103883E">
      <w:pPr>
        <w:autoSpaceDE w:val="0"/>
        <w:autoSpaceDN w:val="0"/>
        <w:spacing w:before="146"/>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（3）甲方有权对乙方承担的项目经费的使用状况进行监督；</w:t>
      </w:r>
    </w:p>
    <w:p w14:paraId="6E574FC0">
      <w:pPr>
        <w:autoSpaceDE w:val="0"/>
        <w:autoSpaceDN w:val="0"/>
        <w:spacing w:before="146"/>
        <w:ind w:left="100" w:right="159" w:firstLine="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（4）甲方有权纠正和制止乙方在项目实施过程中出现的未按工作方案及本合同要求开展工作的情形。</w:t>
      </w:r>
    </w:p>
    <w:p w14:paraId="1F92FC86">
      <w:pPr>
        <w:autoSpaceDE w:val="0"/>
        <w:autoSpaceDN w:val="0"/>
        <w:spacing w:before="36"/>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2.义务</w:t>
      </w:r>
    </w:p>
    <w:p w14:paraId="28590DB4">
      <w:pPr>
        <w:autoSpaceDE w:val="0"/>
        <w:autoSpaceDN w:val="0"/>
        <w:spacing w:before="146"/>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（1）配合乙方做好外业调查和资料收集工作；</w:t>
      </w:r>
    </w:p>
    <w:p w14:paraId="6251905D">
      <w:pPr>
        <w:autoSpaceDE w:val="0"/>
        <w:autoSpaceDN w:val="0"/>
        <w:spacing w:before="144"/>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（2）对项目实施过程中出现的问题进行行政协调；</w:t>
      </w:r>
    </w:p>
    <w:p w14:paraId="04E81ABC">
      <w:pPr>
        <w:autoSpaceDE w:val="0"/>
        <w:autoSpaceDN w:val="0"/>
        <w:spacing w:before="146"/>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（3）按期、足额将项目经费拨付给乙方。</w:t>
      </w:r>
    </w:p>
    <w:p w14:paraId="32F5A8DE">
      <w:pPr>
        <w:autoSpaceDE w:val="0"/>
        <w:autoSpaceDN w:val="0"/>
        <w:spacing w:before="146"/>
        <w:ind w:left="1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（二）乙方的权利与义务</w:t>
      </w:r>
    </w:p>
    <w:p w14:paraId="3C0C2D04">
      <w:pPr>
        <w:autoSpaceDE w:val="0"/>
        <w:autoSpaceDN w:val="0"/>
        <w:spacing w:before="144"/>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1.权利</w:t>
      </w:r>
    </w:p>
    <w:p w14:paraId="2DD3F9F2">
      <w:pPr>
        <w:autoSpaceDE w:val="0"/>
        <w:autoSpaceDN w:val="0"/>
        <w:spacing w:before="146"/>
        <w:ind w:left="100" w:right="159" w:firstLine="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（1）乙方有权按照工作方案和技术方案的要求，自主选择确定具体的工作方式和组织形式；</w:t>
      </w:r>
    </w:p>
    <w:p w14:paraId="1E3A0DAF">
      <w:pPr>
        <w:autoSpaceDE w:val="0"/>
        <w:autoSpaceDN w:val="0"/>
        <w:spacing w:before="146"/>
        <w:ind w:left="100" w:right="159" w:firstLine="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（2）乙方有按合同规定实施项目计划、安排所承担项目经费使用的权利；</w:t>
      </w:r>
    </w:p>
    <w:p w14:paraId="483C1C36">
      <w:pPr>
        <w:autoSpaceDE w:val="0"/>
        <w:autoSpaceDN w:val="0"/>
        <w:spacing w:before="146"/>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（3）乙方对提供的成果具有解释权。</w:t>
      </w:r>
    </w:p>
    <w:p w14:paraId="645E79C3">
      <w:pPr>
        <w:autoSpaceDE w:val="0"/>
        <w:autoSpaceDN w:val="0"/>
        <w:spacing w:before="146"/>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2.义务</w:t>
      </w:r>
    </w:p>
    <w:p w14:paraId="15149A1C">
      <w:pPr>
        <w:autoSpaceDE w:val="0"/>
        <w:autoSpaceDN w:val="0"/>
        <w:spacing w:before="144"/>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（1）乙方负责全部技术工作，包括技术方案编制、级别划分、报告撰写工作；</w:t>
      </w:r>
    </w:p>
    <w:p w14:paraId="353DE75C">
      <w:pPr>
        <w:autoSpaceDE w:val="0"/>
        <w:autoSpaceDN w:val="0"/>
        <w:spacing w:before="146"/>
        <w:ind w:left="100" w:right="239" w:firstLine="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（2）未经甲方同意，不得以任何理由和任何形式向其它单位和个人提供项目成果，包括调查资料，中间成果及最终成果；</w:t>
      </w:r>
    </w:p>
    <w:p w14:paraId="1779FDD3">
      <w:pPr>
        <w:autoSpaceDE w:val="0"/>
        <w:autoSpaceDN w:val="0"/>
        <w:spacing w:before="31"/>
        <w:ind w:left="100" w:right="239" w:firstLine="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（3）按照工作方案和上级部门相关要求，及时提交成果，但由于甲方原因造成不能按时提交成果的除外；</w:t>
      </w:r>
    </w:p>
    <w:p w14:paraId="7A5A1547">
      <w:pPr>
        <w:autoSpaceDE w:val="0"/>
        <w:autoSpaceDN w:val="0"/>
        <w:spacing w:before="34"/>
        <w:ind w:left="100" w:right="239" w:firstLine="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（4）乙方对成果的质量负责，若项目成果因不符合国家相关标准造成验收不合格的，乙方负责返工修改、补充和完善工作，并承担由此引起的一切费用。</w:t>
      </w:r>
    </w:p>
    <w:p w14:paraId="55833DFF">
      <w:pPr>
        <w:autoSpaceDE w:val="0"/>
        <w:autoSpaceDN w:val="0"/>
        <w:spacing w:before="36"/>
        <w:ind w:left="100" w:right="2639" w:firstLine="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（5）乙方协助甲方完成成果的验收工作，并承担成果验收费用。</w:t>
      </w:r>
    </w:p>
    <w:p w14:paraId="3F6FA101">
      <w:pPr>
        <w:autoSpaceDE w:val="0"/>
        <w:autoSpaceDN w:val="0"/>
        <w:spacing w:before="36"/>
        <w:ind w:left="100" w:right="2639" w:firstLine="480"/>
        <w:jc w:val="left"/>
        <w:rPr>
          <w:rFonts w:asciiTheme="minorEastAsia" w:hAnsiTheme="minorEastAsia" w:eastAsiaTheme="minorEastAsia" w:cstheme="minorEastAsia"/>
          <w:b/>
          <w:kern w:val="0"/>
          <w:sz w:val="24"/>
        </w:rPr>
      </w:pPr>
      <w:r>
        <w:rPr>
          <w:rFonts w:hint="eastAsia" w:asciiTheme="minorEastAsia" w:hAnsiTheme="minorEastAsia" w:eastAsiaTheme="minorEastAsia" w:cstheme="minorEastAsia"/>
          <w:b/>
          <w:w w:val="99"/>
          <w:kern w:val="0"/>
          <w:sz w:val="24"/>
        </w:rPr>
        <w:t>七、成</w:t>
      </w:r>
      <w:r>
        <w:rPr>
          <w:rFonts w:hint="eastAsia" w:asciiTheme="minorEastAsia" w:hAnsiTheme="minorEastAsia" w:eastAsiaTheme="minorEastAsia" w:cstheme="minorEastAsia"/>
          <w:b/>
          <w:spacing w:val="2"/>
          <w:w w:val="99"/>
          <w:kern w:val="0"/>
          <w:sz w:val="24"/>
        </w:rPr>
        <w:t>果</w:t>
      </w:r>
      <w:r>
        <w:rPr>
          <w:rFonts w:hint="eastAsia" w:asciiTheme="minorEastAsia" w:hAnsiTheme="minorEastAsia" w:eastAsiaTheme="minorEastAsia" w:cstheme="minorEastAsia"/>
          <w:b/>
          <w:w w:val="99"/>
          <w:kern w:val="0"/>
          <w:sz w:val="24"/>
        </w:rPr>
        <w:t>所</w:t>
      </w:r>
      <w:r>
        <w:rPr>
          <w:rFonts w:hint="eastAsia" w:asciiTheme="minorEastAsia" w:hAnsiTheme="minorEastAsia" w:eastAsiaTheme="minorEastAsia" w:cstheme="minorEastAsia"/>
          <w:b/>
          <w:spacing w:val="2"/>
          <w:w w:val="99"/>
          <w:kern w:val="0"/>
          <w:sz w:val="24"/>
        </w:rPr>
        <w:t>有</w:t>
      </w:r>
      <w:r>
        <w:rPr>
          <w:rFonts w:hint="eastAsia" w:asciiTheme="minorEastAsia" w:hAnsiTheme="minorEastAsia" w:eastAsiaTheme="minorEastAsia" w:cstheme="minorEastAsia"/>
          <w:b/>
          <w:w w:val="99"/>
          <w:kern w:val="0"/>
          <w:sz w:val="24"/>
        </w:rPr>
        <w:t>权：</w:t>
      </w:r>
    </w:p>
    <w:p w14:paraId="5FF441F6">
      <w:pPr>
        <w:autoSpaceDE w:val="0"/>
        <w:autoSpaceDN w:val="0"/>
        <w:spacing w:before="31"/>
        <w:ind w:left="647"/>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1.本次工作产生的成果和产品所有权及相关知识产权归甲方。</w:t>
      </w:r>
    </w:p>
    <w:p w14:paraId="06D4891C">
      <w:pPr>
        <w:autoSpaceDE w:val="0"/>
        <w:autoSpaceDN w:val="0"/>
        <w:spacing w:before="146"/>
        <w:ind w:left="647"/>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2.乙方提供的成果不得侵犯第三方的知识产权。</w:t>
      </w:r>
    </w:p>
    <w:p w14:paraId="6D9E43BF">
      <w:pPr>
        <w:autoSpaceDE w:val="0"/>
        <w:autoSpaceDN w:val="0"/>
        <w:spacing w:before="146"/>
        <w:ind w:left="114" w:right="290" w:firstLine="532"/>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3.乙方未经甲方同意，不得以任何方式向第三方披露、转让和许可本项目的技术成果、技术资料和文件。</w:t>
      </w:r>
    </w:p>
    <w:p w14:paraId="300EC04D">
      <w:pPr>
        <w:autoSpaceDE w:val="0"/>
        <w:autoSpaceDN w:val="0"/>
        <w:spacing w:before="36"/>
        <w:ind w:left="100" w:firstLine="482" w:firstLineChars="200"/>
        <w:jc w:val="left"/>
        <w:outlineLvl w:val="3"/>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八、项目费用</w:t>
      </w:r>
    </w:p>
    <w:p w14:paraId="2E6536A8">
      <w:pPr>
        <w:autoSpaceDE w:val="0"/>
        <w:autoSpaceDN w:val="0"/>
        <w:spacing w:before="146"/>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1.项目费用</w:t>
      </w:r>
    </w:p>
    <w:p w14:paraId="436BD1FD">
      <w:pPr>
        <w:tabs>
          <w:tab w:val="left" w:pos="5739"/>
          <w:tab w:val="left" w:pos="7311"/>
        </w:tabs>
        <w:autoSpaceDE w:val="0"/>
        <w:autoSpaceDN w:val="0"/>
        <w:spacing w:before="144"/>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本次项目服务费中标价为：大写人民币</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，小写¥</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w:t>
      </w:r>
    </w:p>
    <w:p w14:paraId="36DE94EF">
      <w:pPr>
        <w:autoSpaceDE w:val="0"/>
        <w:autoSpaceDN w:val="0"/>
        <w:spacing w:before="129"/>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2.支付条件与方式</w:t>
      </w:r>
    </w:p>
    <w:p w14:paraId="4FD33C18">
      <w:pPr>
        <w:autoSpaceDE w:val="0"/>
        <w:autoSpaceDN w:val="0"/>
        <w:jc w:val="left"/>
        <w:rPr>
          <w:rFonts w:asciiTheme="minorEastAsia" w:hAnsiTheme="minorEastAsia" w:eastAsiaTheme="minorEastAsia" w:cstheme="minorEastAsia"/>
          <w:kern w:val="0"/>
          <w:sz w:val="24"/>
        </w:rPr>
      </w:pPr>
    </w:p>
    <w:p w14:paraId="1DEBE3D2">
      <w:pPr>
        <w:autoSpaceDE w:val="0"/>
        <w:autoSpaceDN w:val="0"/>
        <w:spacing w:before="1"/>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mc:AlternateContent>
          <mc:Choice Requires="wps">
            <w:drawing>
              <wp:anchor distT="0" distB="0" distL="114300" distR="114300" simplePos="0" relativeHeight="251659264" behindDoc="0" locked="0" layoutInCell="1" allowOverlap="1">
                <wp:simplePos x="0" y="0"/>
                <wp:positionH relativeFrom="page">
                  <wp:posOffset>1138555</wp:posOffset>
                </wp:positionH>
                <wp:positionV relativeFrom="paragraph">
                  <wp:posOffset>81280</wp:posOffset>
                </wp:positionV>
                <wp:extent cx="4356100" cy="42545"/>
                <wp:effectExtent l="0" t="4445" r="6350" b="10160"/>
                <wp:wrapTopAndBottom/>
                <wp:docPr id="4" name="直接连接符 4"/>
                <wp:cNvGraphicFramePr/>
                <a:graphic xmlns:a="http://schemas.openxmlformats.org/drawingml/2006/main">
                  <a:graphicData uri="http://schemas.microsoft.com/office/word/2010/wordprocessingShape">
                    <wps:wsp>
                      <wps:cNvCnPr>
                        <a:cxnSpLocks noChangeShapeType="1"/>
                      </wps:cNvCnPr>
                      <wps:spPr bwMode="auto">
                        <a:xfrm flipV="1">
                          <a:off x="0" y="0"/>
                          <a:ext cx="4356100" cy="42545"/>
                        </a:xfrm>
                        <a:prstGeom prst="line">
                          <a:avLst/>
                        </a:prstGeom>
                        <a:noFill/>
                        <a:ln w="7620">
                          <a:solidFill>
                            <a:srgbClr val="000000"/>
                          </a:solidFill>
                          <a:prstDash val="solid"/>
                          <a:round/>
                        </a:ln>
                        <a:effectLst/>
                      </wps:spPr>
                      <wps:bodyPr/>
                    </wps:wsp>
                  </a:graphicData>
                </a:graphic>
              </wp:anchor>
            </w:drawing>
          </mc:Choice>
          <mc:Fallback>
            <w:pict>
              <v:line id="_x0000_s1026" o:spid="_x0000_s1026" o:spt="20" style="position:absolute;left:0pt;flip:y;margin-left:89.65pt;margin-top:6.4pt;height:3.35pt;width:343pt;mso-position-horizontal-relative:page;mso-wrap-distance-bottom:0pt;mso-wrap-distance-top:0pt;z-index:251659264;mso-width-relative:page;mso-height-relative:page;" filled="f" stroked="t" coordsize="21600,21600" o:gfxdata="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er+UbWAAAACQEAAA8AAAAAAAAAAQAgAAAAIgAAAGRycy9kb3ducmV2&#10;LnhtbFBLAQIUABQAAAAIAIdO4kAqR2Gw/gEAAN8DAAAOAAAAAAAAAAEAIAAAACUBAABkcnMvZTJv&#10;RG9jLnhtbFBLBQYAAAAABgAGAFkBAACVBQAAAAA=&#10;">
                <v:fill on="f" focussize="0,0"/>
                <v:stroke weight="0.6pt" color="#000000" joinstyle="round"/>
                <v:imagedata o:title=""/>
                <o:lock v:ext="edit" aspectratio="f"/>
                <w10:wrap type="topAndBottom"/>
              </v:line>
            </w:pict>
          </mc:Fallback>
        </mc:AlternateContent>
      </w:r>
    </w:p>
    <w:p w14:paraId="0AC9EFA6">
      <w:pPr>
        <w:autoSpaceDE w:val="0"/>
        <w:autoSpaceDN w:val="0"/>
        <w:spacing w:before="26"/>
        <w:ind w:left="100"/>
        <w:jc w:val="left"/>
        <w:outlineLvl w:val="3"/>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九、保密</w:t>
      </w:r>
    </w:p>
    <w:p w14:paraId="681611C8">
      <w:pPr>
        <w:autoSpaceDE w:val="0"/>
        <w:autoSpaceDN w:val="0"/>
        <w:spacing w:before="146"/>
        <w:ind w:left="100" w:right="197" w:firstLine="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1.本项目所涉及的保密数据和保密资料</w:t>
      </w:r>
      <w:r>
        <w:rPr>
          <w:rFonts w:hint="eastAsia" w:asciiTheme="minorEastAsia" w:hAnsiTheme="minorEastAsia" w:eastAsiaTheme="minorEastAsia" w:cstheme="minorEastAsia"/>
          <w:spacing w:val="-41"/>
          <w:kern w:val="0"/>
          <w:sz w:val="24"/>
        </w:rPr>
        <w:t>，</w:t>
      </w:r>
      <w:r>
        <w:rPr>
          <w:rFonts w:hint="eastAsia" w:asciiTheme="minorEastAsia" w:hAnsiTheme="minorEastAsia" w:eastAsiaTheme="minorEastAsia" w:cstheme="minorEastAsia"/>
          <w:kern w:val="0"/>
          <w:sz w:val="24"/>
        </w:rPr>
        <w:t>仅限于乙方在本项目合同期内使用</w:t>
      </w:r>
      <w:r>
        <w:rPr>
          <w:rFonts w:hint="eastAsia" w:asciiTheme="minorEastAsia" w:hAnsiTheme="minorEastAsia" w:eastAsiaTheme="minorEastAsia" w:cstheme="minorEastAsia"/>
          <w:spacing w:val="-39"/>
          <w:kern w:val="0"/>
          <w:sz w:val="24"/>
        </w:rPr>
        <w:t>，</w:t>
      </w:r>
      <w:r>
        <w:rPr>
          <w:rFonts w:hint="eastAsia" w:asciiTheme="minorEastAsia" w:hAnsiTheme="minorEastAsia" w:eastAsiaTheme="minorEastAsia" w:cstheme="minorEastAsia"/>
          <w:kern w:val="0"/>
          <w:sz w:val="24"/>
        </w:rPr>
        <w:t>不得向第三方提供及用于其它用途。</w:t>
      </w:r>
    </w:p>
    <w:p w14:paraId="57EFF570">
      <w:pPr>
        <w:autoSpaceDE w:val="0"/>
        <w:autoSpaceDN w:val="0"/>
        <w:spacing w:before="31"/>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2.乙方不得将涉密数据在计算机互联网、政务网等非涉密网络上传输、登载。</w:t>
      </w:r>
    </w:p>
    <w:p w14:paraId="3FF3C898">
      <w:pPr>
        <w:autoSpaceDE w:val="0"/>
        <w:autoSpaceDN w:val="0"/>
        <w:spacing w:before="146"/>
        <w:ind w:left="100" w:right="119" w:firstLine="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3.乙方发生涉密数据外传、丢失、被盗或者造成泄密事故的，应采取有效措施及时补救，并及时向甲方报告，造成的后果，由乙方承担相应责任。</w:t>
      </w:r>
    </w:p>
    <w:p w14:paraId="356967EF">
      <w:pPr>
        <w:autoSpaceDE w:val="0"/>
        <w:autoSpaceDN w:val="0"/>
        <w:spacing w:before="31"/>
        <w:ind w:left="100"/>
        <w:jc w:val="left"/>
        <w:outlineLvl w:val="3"/>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十、违约责任</w:t>
      </w:r>
    </w:p>
    <w:p w14:paraId="09D9BB9F">
      <w:pPr>
        <w:autoSpaceDE w:val="0"/>
        <w:autoSpaceDN w:val="0"/>
        <w:spacing w:before="146"/>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乙方有下列情形之一的，甲方有权解除本合同，并赔偿甲方实际损失。</w:t>
      </w:r>
    </w:p>
    <w:p w14:paraId="16BBDA79">
      <w:pPr>
        <w:autoSpaceDE w:val="0"/>
        <w:autoSpaceDN w:val="0"/>
        <w:spacing w:before="146"/>
        <w:ind w:left="5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1.降低或不执行质量标准和规划要求，不具备完成项目所需的条件和能力的。</w:t>
      </w:r>
    </w:p>
    <w:p w14:paraId="16FB4DE0">
      <w:pPr>
        <w:autoSpaceDE w:val="0"/>
        <w:autoSpaceDN w:val="0"/>
        <w:spacing w:before="146"/>
        <w:ind w:left="141" w:leftChars="67" w:firstLine="477" w:firstLineChars="199"/>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2.在甲方或甲方委托技术支撑单位指定的整改期限内，乙方拒不整改或整改后仍不能满足质量要求的。</w:t>
      </w:r>
    </w:p>
    <w:p w14:paraId="34C36BF8">
      <w:pPr>
        <w:autoSpaceDE w:val="0"/>
        <w:autoSpaceDN w:val="0"/>
        <w:spacing w:before="146"/>
        <w:ind w:left="141" w:leftChars="67" w:firstLine="477" w:firstLineChars="199"/>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3.未经甲方同意，向第三方披露、转让和许可本项目的技术成果、技术资料和文件的，或公开发表与本项目有关的论文、著作等的。</w:t>
      </w:r>
    </w:p>
    <w:p w14:paraId="226B9A19">
      <w:pPr>
        <w:autoSpaceDE w:val="0"/>
        <w:autoSpaceDN w:val="0"/>
        <w:spacing w:before="146"/>
        <w:ind w:left="141" w:leftChars="67" w:firstLine="477" w:firstLineChars="199"/>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4.违反本合同约定的保密义务的。</w:t>
      </w:r>
    </w:p>
    <w:p w14:paraId="0312BC2B">
      <w:pPr>
        <w:autoSpaceDE w:val="0"/>
        <w:autoSpaceDN w:val="0"/>
        <w:spacing w:before="146"/>
        <w:ind w:left="141" w:leftChars="67" w:firstLine="477" w:firstLineChars="199"/>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5.乙方将该项目转让给他人的，未经甲方书面同意将项目的部分非主体、非关键性工作分包给他人的。</w:t>
      </w:r>
    </w:p>
    <w:p w14:paraId="6D9FDB7F">
      <w:pPr>
        <w:autoSpaceDE w:val="0"/>
        <w:autoSpaceDN w:val="0"/>
        <w:spacing w:before="36"/>
        <w:ind w:left="220" w:firstLine="482" w:firstLineChars="200"/>
        <w:jc w:val="left"/>
        <w:outlineLvl w:val="3"/>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十一、合同争议及解决办法</w:t>
      </w:r>
    </w:p>
    <w:p w14:paraId="4DA3914D">
      <w:pPr>
        <w:autoSpaceDE w:val="0"/>
        <w:autoSpaceDN w:val="0"/>
        <w:spacing w:before="146"/>
        <w:ind w:left="220" w:right="237" w:firstLine="48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甲</w:t>
      </w:r>
      <w:r>
        <w:rPr>
          <w:rFonts w:hint="eastAsia" w:asciiTheme="minorEastAsia" w:hAnsiTheme="minorEastAsia" w:eastAsiaTheme="minorEastAsia" w:cstheme="minorEastAsia"/>
          <w:spacing w:val="-20"/>
          <w:kern w:val="0"/>
          <w:sz w:val="24"/>
        </w:rPr>
        <w:t>、</w:t>
      </w:r>
      <w:r>
        <w:rPr>
          <w:rFonts w:hint="eastAsia" w:asciiTheme="minorEastAsia" w:hAnsiTheme="minorEastAsia" w:eastAsiaTheme="minorEastAsia" w:cstheme="minorEastAsia"/>
          <w:kern w:val="0"/>
          <w:sz w:val="24"/>
        </w:rPr>
        <w:t>乙双方应本着友好合作</w:t>
      </w:r>
      <w:r>
        <w:rPr>
          <w:rFonts w:hint="eastAsia" w:asciiTheme="minorEastAsia" w:hAnsiTheme="minorEastAsia" w:eastAsiaTheme="minorEastAsia" w:cstheme="minorEastAsia"/>
          <w:spacing w:val="-22"/>
          <w:kern w:val="0"/>
          <w:sz w:val="24"/>
        </w:rPr>
        <w:t>、</w:t>
      </w:r>
      <w:r>
        <w:rPr>
          <w:rFonts w:hint="eastAsia" w:asciiTheme="minorEastAsia" w:hAnsiTheme="minorEastAsia" w:eastAsiaTheme="minorEastAsia" w:cstheme="minorEastAsia"/>
          <w:kern w:val="0"/>
          <w:sz w:val="24"/>
        </w:rPr>
        <w:t>积极协商的态度</w:t>
      </w:r>
      <w:r>
        <w:rPr>
          <w:rFonts w:hint="eastAsia" w:asciiTheme="minorEastAsia" w:hAnsiTheme="minorEastAsia" w:eastAsiaTheme="minorEastAsia" w:cstheme="minorEastAsia"/>
          <w:spacing w:val="-20"/>
          <w:kern w:val="0"/>
          <w:sz w:val="24"/>
        </w:rPr>
        <w:t>，</w:t>
      </w:r>
      <w:r>
        <w:rPr>
          <w:rFonts w:hint="eastAsia" w:asciiTheme="minorEastAsia" w:hAnsiTheme="minorEastAsia" w:eastAsiaTheme="minorEastAsia" w:cstheme="minorEastAsia"/>
          <w:kern w:val="0"/>
          <w:sz w:val="24"/>
        </w:rPr>
        <w:t>严格履行本合同</w:t>
      </w:r>
      <w:r>
        <w:rPr>
          <w:rFonts w:hint="eastAsia" w:asciiTheme="minorEastAsia" w:hAnsiTheme="minorEastAsia" w:eastAsiaTheme="minorEastAsia" w:cstheme="minorEastAsia"/>
          <w:spacing w:val="-20"/>
          <w:kern w:val="0"/>
          <w:sz w:val="24"/>
        </w:rPr>
        <w:t>，</w:t>
      </w:r>
      <w:r>
        <w:rPr>
          <w:rFonts w:hint="eastAsia" w:asciiTheme="minorEastAsia" w:hAnsiTheme="minorEastAsia" w:eastAsiaTheme="minorEastAsia" w:cstheme="minorEastAsia"/>
          <w:kern w:val="0"/>
          <w:sz w:val="24"/>
        </w:rPr>
        <w:t>因为不可预见因素或本合同未尽事宜发生争议</w:t>
      </w:r>
      <w:r>
        <w:rPr>
          <w:rFonts w:hint="eastAsia" w:asciiTheme="minorEastAsia" w:hAnsiTheme="minorEastAsia" w:eastAsiaTheme="minorEastAsia" w:cstheme="minorEastAsia"/>
          <w:spacing w:val="-27"/>
          <w:kern w:val="0"/>
          <w:sz w:val="24"/>
        </w:rPr>
        <w:t>，</w:t>
      </w:r>
      <w:r>
        <w:rPr>
          <w:rFonts w:hint="eastAsia" w:asciiTheme="minorEastAsia" w:hAnsiTheme="minorEastAsia" w:eastAsiaTheme="minorEastAsia" w:cstheme="minorEastAsia"/>
          <w:kern w:val="0"/>
          <w:sz w:val="24"/>
        </w:rPr>
        <w:t>由双方协商解决</w:t>
      </w:r>
      <w:r>
        <w:rPr>
          <w:rFonts w:hint="eastAsia" w:asciiTheme="minorEastAsia" w:hAnsiTheme="minorEastAsia" w:eastAsiaTheme="minorEastAsia" w:cstheme="minorEastAsia"/>
          <w:spacing w:val="-29"/>
          <w:kern w:val="0"/>
          <w:sz w:val="24"/>
        </w:rPr>
        <w:t>。</w:t>
      </w:r>
      <w:r>
        <w:rPr>
          <w:rFonts w:hint="eastAsia" w:asciiTheme="minorEastAsia" w:hAnsiTheme="minorEastAsia" w:eastAsiaTheme="minorEastAsia" w:cstheme="minorEastAsia"/>
          <w:kern w:val="0"/>
          <w:sz w:val="24"/>
        </w:rPr>
        <w:t>若协商解决不成</w:t>
      </w:r>
      <w:r>
        <w:rPr>
          <w:rFonts w:hint="eastAsia" w:asciiTheme="minorEastAsia" w:hAnsiTheme="minorEastAsia" w:eastAsiaTheme="minorEastAsia" w:cstheme="minorEastAsia"/>
          <w:spacing w:val="-24"/>
          <w:kern w:val="0"/>
          <w:sz w:val="24"/>
        </w:rPr>
        <w:t>，</w:t>
      </w:r>
      <w:r>
        <w:rPr>
          <w:rFonts w:hint="eastAsia" w:asciiTheme="minorEastAsia" w:hAnsiTheme="minorEastAsia" w:eastAsiaTheme="minorEastAsia" w:cstheme="minorEastAsia"/>
          <w:kern w:val="0"/>
          <w:sz w:val="24"/>
        </w:rPr>
        <w:t>可依法向三门峡市人民法院提起诉讼。</w:t>
      </w:r>
    </w:p>
    <w:p w14:paraId="26228147">
      <w:pPr>
        <w:autoSpaceDE w:val="0"/>
        <w:autoSpaceDN w:val="0"/>
        <w:spacing w:before="36"/>
        <w:ind w:left="220" w:firstLine="482" w:firstLineChars="200"/>
        <w:jc w:val="left"/>
        <w:outlineLvl w:val="3"/>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b/>
          <w:bCs/>
          <w:kern w:val="0"/>
          <w:sz w:val="24"/>
        </w:rPr>
        <w:t>十二、其他</w:t>
      </w:r>
    </w:p>
    <w:p w14:paraId="3C3610C2">
      <w:pPr>
        <w:autoSpaceDE w:val="0"/>
        <w:autoSpaceDN w:val="0"/>
        <w:spacing w:before="144"/>
        <w:ind w:left="7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1、对其它有关事项的具体协商意见另立条款，作为本协议书的附件。</w:t>
      </w:r>
    </w:p>
    <w:p w14:paraId="2A581EF1">
      <w:pPr>
        <w:autoSpaceDE w:val="0"/>
        <w:autoSpaceDN w:val="0"/>
        <w:spacing w:before="146"/>
        <w:ind w:left="284" w:firstLine="453" w:firstLineChars="189"/>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2、本协议书一式份，甲方执份，乙方执分，经双方负责人签字之日起生效。</w:t>
      </w:r>
    </w:p>
    <w:p w14:paraId="27EB0012">
      <w:pPr>
        <w:autoSpaceDE w:val="0"/>
        <w:autoSpaceDN w:val="0"/>
        <w:spacing w:before="146"/>
        <w:ind w:left="220" w:right="117" w:firstLine="48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3</w:t>
      </w:r>
      <w:r>
        <w:rPr>
          <w:rFonts w:hint="eastAsia" w:asciiTheme="minorEastAsia" w:hAnsiTheme="minorEastAsia" w:eastAsiaTheme="minorEastAsia" w:cstheme="minorEastAsia"/>
          <w:spacing w:val="-41"/>
          <w:kern w:val="0"/>
          <w:sz w:val="24"/>
        </w:rPr>
        <w:t>、</w:t>
      </w:r>
      <w:r>
        <w:rPr>
          <w:rFonts w:hint="eastAsia" w:asciiTheme="minorEastAsia" w:hAnsiTheme="minorEastAsia" w:eastAsiaTheme="minorEastAsia" w:cstheme="minorEastAsia"/>
          <w:kern w:val="0"/>
          <w:sz w:val="24"/>
        </w:rPr>
        <w:t>其中任何一方若在协议履行过程中对协议有任何变更或修改</w:t>
      </w:r>
      <w:r>
        <w:rPr>
          <w:rFonts w:hint="eastAsia" w:asciiTheme="minorEastAsia" w:hAnsiTheme="minorEastAsia" w:eastAsiaTheme="minorEastAsia" w:cstheme="minorEastAsia"/>
          <w:spacing w:val="-39"/>
          <w:kern w:val="0"/>
          <w:sz w:val="24"/>
        </w:rPr>
        <w:t>，</w:t>
      </w:r>
      <w:r>
        <w:rPr>
          <w:rFonts w:hint="eastAsia" w:asciiTheme="minorEastAsia" w:hAnsiTheme="minorEastAsia" w:eastAsiaTheme="minorEastAsia" w:cstheme="minorEastAsia"/>
          <w:kern w:val="0"/>
          <w:sz w:val="24"/>
        </w:rPr>
        <w:t>应提前1个月通知对方，双方进行协商</w:t>
      </w:r>
      <w:r>
        <w:rPr>
          <w:rFonts w:hint="eastAsia" w:asciiTheme="minorEastAsia" w:hAnsiTheme="minorEastAsia" w:eastAsiaTheme="minorEastAsia" w:cstheme="minorEastAsia"/>
          <w:spacing w:val="-20"/>
          <w:kern w:val="0"/>
          <w:sz w:val="24"/>
        </w:rPr>
        <w:t>，</w:t>
      </w:r>
      <w:r>
        <w:rPr>
          <w:rFonts w:hint="eastAsia" w:asciiTheme="minorEastAsia" w:hAnsiTheme="minorEastAsia" w:eastAsiaTheme="minorEastAsia" w:cstheme="minorEastAsia"/>
          <w:kern w:val="0"/>
          <w:sz w:val="24"/>
        </w:rPr>
        <w:t>若单方面违反协议内容</w:t>
      </w:r>
      <w:r>
        <w:rPr>
          <w:rFonts w:hint="eastAsia" w:asciiTheme="minorEastAsia" w:hAnsiTheme="minorEastAsia" w:eastAsiaTheme="minorEastAsia" w:cstheme="minorEastAsia"/>
          <w:spacing w:val="-22"/>
          <w:kern w:val="0"/>
          <w:sz w:val="24"/>
        </w:rPr>
        <w:t>，</w:t>
      </w:r>
      <w:r>
        <w:rPr>
          <w:rFonts w:hint="eastAsia" w:asciiTheme="minorEastAsia" w:hAnsiTheme="minorEastAsia" w:eastAsiaTheme="minorEastAsia" w:cstheme="minorEastAsia"/>
          <w:kern w:val="0"/>
          <w:sz w:val="24"/>
        </w:rPr>
        <w:t>不履行其职责</w:t>
      </w:r>
      <w:r>
        <w:rPr>
          <w:rFonts w:hint="eastAsia" w:asciiTheme="minorEastAsia" w:hAnsiTheme="minorEastAsia" w:eastAsiaTheme="minorEastAsia" w:cstheme="minorEastAsia"/>
          <w:spacing w:val="-20"/>
          <w:kern w:val="0"/>
          <w:sz w:val="24"/>
        </w:rPr>
        <w:t>，</w:t>
      </w:r>
      <w:r>
        <w:rPr>
          <w:rFonts w:hint="eastAsia" w:asciiTheme="minorEastAsia" w:hAnsiTheme="minorEastAsia" w:eastAsiaTheme="minorEastAsia" w:cstheme="minorEastAsia"/>
          <w:kern w:val="0"/>
          <w:sz w:val="24"/>
        </w:rPr>
        <w:t>视作违约</w:t>
      </w:r>
      <w:r>
        <w:rPr>
          <w:rFonts w:hint="eastAsia" w:asciiTheme="minorEastAsia" w:hAnsiTheme="minorEastAsia" w:eastAsiaTheme="minorEastAsia" w:cstheme="minorEastAsia"/>
          <w:spacing w:val="-20"/>
          <w:kern w:val="0"/>
          <w:sz w:val="24"/>
        </w:rPr>
        <w:t>，</w:t>
      </w:r>
      <w:r>
        <w:rPr>
          <w:rFonts w:hint="eastAsia" w:asciiTheme="minorEastAsia" w:hAnsiTheme="minorEastAsia" w:eastAsiaTheme="minorEastAsia" w:cstheme="minorEastAsia"/>
          <w:kern w:val="0"/>
          <w:sz w:val="24"/>
        </w:rPr>
        <w:t>应根据协议内容承担违约责任。</w:t>
      </w:r>
    </w:p>
    <w:p w14:paraId="59650956">
      <w:pPr>
        <w:autoSpaceDE w:val="0"/>
        <w:autoSpaceDN w:val="0"/>
        <w:spacing w:before="19"/>
        <w:ind w:left="22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（本页为合同签署页，无正文）</w:t>
      </w:r>
    </w:p>
    <w:p w14:paraId="6282BBD3">
      <w:pPr>
        <w:autoSpaceDE w:val="0"/>
        <w:autoSpaceDN w:val="0"/>
        <w:spacing w:before="12"/>
        <w:jc w:val="left"/>
        <w:rPr>
          <w:rFonts w:asciiTheme="minorEastAsia" w:hAnsiTheme="minorEastAsia" w:eastAsiaTheme="minorEastAsia" w:cstheme="minorEastAsia"/>
          <w:kern w:val="0"/>
          <w:sz w:val="24"/>
        </w:rPr>
      </w:pPr>
    </w:p>
    <w:p w14:paraId="2640F92C">
      <w:pPr>
        <w:tabs>
          <w:tab w:val="left" w:pos="1179"/>
          <w:tab w:val="left" w:pos="3699"/>
          <w:tab w:val="left" w:pos="4659"/>
        </w:tabs>
        <w:autoSpaceDE w:val="0"/>
        <w:autoSpaceDN w:val="0"/>
        <w:ind w:left="220"/>
        <w:jc w:val="left"/>
        <w:rPr>
          <w:rFonts w:asciiTheme="minorEastAsia" w:hAnsiTheme="minorEastAsia" w:eastAsiaTheme="minorEastAsia" w:cstheme="minorEastAsia"/>
          <w:kern w:val="0"/>
          <w:sz w:val="24"/>
          <w:lang w:eastAsia="en-US"/>
        </w:rPr>
      </w:pPr>
      <w:r>
        <w:rPr>
          <w:rFonts w:hint="eastAsia" w:asciiTheme="minorEastAsia" w:hAnsiTheme="minorEastAsia" w:eastAsiaTheme="minorEastAsia" w:cstheme="minorEastAsia"/>
          <w:kern w:val="0"/>
          <w:sz w:val="24"/>
          <w:lang w:eastAsia="en-US"/>
        </w:rPr>
        <w:t>甲方：</w:t>
      </w:r>
      <w:r>
        <w:rPr>
          <w:rFonts w:hint="eastAsia" w:asciiTheme="minorEastAsia" w:hAnsiTheme="minorEastAsia" w:eastAsiaTheme="minorEastAsia" w:cstheme="minorEastAsia"/>
          <w:kern w:val="0"/>
          <w:sz w:val="24"/>
          <w:lang w:eastAsia="en-US"/>
        </w:rPr>
        <w:tab/>
      </w:r>
      <w:r>
        <w:rPr>
          <w:rFonts w:hint="eastAsia" w:asciiTheme="minorEastAsia" w:hAnsiTheme="minorEastAsia" w:eastAsiaTheme="minorEastAsia" w:cstheme="minorEastAsia"/>
          <w:kern w:val="0"/>
          <w:sz w:val="24"/>
          <w:lang w:eastAsia="en-US"/>
        </w:rPr>
        <w:t>（公章）</w:t>
      </w:r>
      <w:r>
        <w:rPr>
          <w:rFonts w:hint="eastAsia" w:asciiTheme="minorEastAsia" w:hAnsiTheme="minorEastAsia" w:eastAsiaTheme="minorEastAsia" w:cstheme="minorEastAsia"/>
          <w:kern w:val="0"/>
          <w:sz w:val="24"/>
          <w:lang w:eastAsia="en-US"/>
        </w:rPr>
        <w:tab/>
      </w:r>
      <w:r>
        <w:rPr>
          <w:rFonts w:hint="eastAsia" w:asciiTheme="minorEastAsia" w:hAnsiTheme="minorEastAsia" w:eastAsiaTheme="minorEastAsia" w:cstheme="minorEastAsia"/>
          <w:kern w:val="0"/>
          <w:sz w:val="24"/>
          <w:lang w:eastAsia="en-US"/>
        </w:rPr>
        <w:t>乙方：</w:t>
      </w:r>
      <w:r>
        <w:rPr>
          <w:rFonts w:hint="eastAsia" w:asciiTheme="minorEastAsia" w:hAnsiTheme="minorEastAsia" w:eastAsiaTheme="minorEastAsia" w:cstheme="minorEastAsia"/>
          <w:kern w:val="0"/>
          <w:sz w:val="24"/>
          <w:lang w:eastAsia="en-US"/>
        </w:rPr>
        <w:tab/>
      </w:r>
      <w:r>
        <w:rPr>
          <w:rFonts w:hint="eastAsia" w:asciiTheme="minorEastAsia" w:hAnsiTheme="minorEastAsia" w:eastAsiaTheme="minorEastAsia" w:cstheme="minorEastAsia"/>
          <w:kern w:val="0"/>
          <w:sz w:val="24"/>
          <w:lang w:eastAsia="en-US"/>
        </w:rPr>
        <w:t>（公章）</w:t>
      </w:r>
    </w:p>
    <w:p w14:paraId="2A0BCB82">
      <w:pPr>
        <w:tabs>
          <w:tab w:val="left" w:pos="3579"/>
        </w:tabs>
        <w:autoSpaceDE w:val="0"/>
        <w:autoSpaceDN w:val="0"/>
        <w:spacing w:before="151"/>
        <w:ind w:left="22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法定代表人或其委托代理人：</w:t>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法定代表人或其委托代理人：</w:t>
      </w:r>
    </w:p>
    <w:p w14:paraId="2C3D65D1">
      <w:pPr>
        <w:tabs>
          <w:tab w:val="left" w:pos="3459"/>
        </w:tabs>
        <w:autoSpaceDE w:val="0"/>
        <w:autoSpaceDN w:val="0"/>
        <w:spacing w:before="154"/>
        <w:ind w:left="1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（签字）</w:t>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（签字）</w:t>
      </w:r>
    </w:p>
    <w:p w14:paraId="689D9FAF">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ind w:left="220" w:right="2858"/>
        <w:jc w:val="left"/>
        <w:rPr>
          <w:rFonts w:asciiTheme="minorEastAsia" w:hAnsiTheme="minorEastAsia" w:eastAsiaTheme="minorEastAsia" w:cstheme="minorEastAsia"/>
          <w:kern w:val="0"/>
          <w:sz w:val="24"/>
          <w:u w:val="single"/>
        </w:rPr>
      </w:pPr>
      <w:r>
        <w:rPr>
          <w:rFonts w:hint="eastAsia" w:asciiTheme="minorEastAsia" w:hAnsiTheme="minorEastAsia" w:eastAsiaTheme="minorEastAsia" w:cstheme="minorEastAsia"/>
          <w:kern w:val="0"/>
          <w:sz w:val="24"/>
        </w:rPr>
        <w:t>组织机构代码：</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组织机构代码：</w:t>
      </w:r>
      <w:r>
        <w:rPr>
          <w:rFonts w:hint="eastAsia" w:asciiTheme="minorEastAsia" w:hAnsiTheme="minorEastAsia" w:eastAsiaTheme="minorEastAsia" w:cstheme="minorEastAsia"/>
          <w:kern w:val="0"/>
          <w:sz w:val="24"/>
          <w:u w:val="single"/>
        </w:rPr>
        <w:tab/>
      </w:r>
    </w:p>
    <w:p w14:paraId="42F04C2F">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ind w:left="220" w:right="2858"/>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地</w:t>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 xml:space="preserve"> 址：</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地</w:t>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址：</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ab/>
      </w:r>
    </w:p>
    <w:p w14:paraId="3460F80D">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ind w:left="220" w:right="2858"/>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邮政编码：</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邮政编码：</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ab/>
      </w:r>
    </w:p>
    <w:p w14:paraId="6AC33998">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ind w:left="220" w:right="2858"/>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w:t>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话：</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电</w:t>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话：</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ab/>
      </w:r>
    </w:p>
    <w:p w14:paraId="2A08ABDC">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ind w:left="220" w:right="2858"/>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传</w:t>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真：</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传</w:t>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真：</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ab/>
      </w:r>
    </w:p>
    <w:p w14:paraId="2259B4EB">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ind w:left="220" w:right="2858"/>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电子信箱：</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 xml:space="preserve">电子信箱： </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ab/>
      </w:r>
    </w:p>
    <w:p w14:paraId="4A0C432D">
      <w:pPr>
        <w:tabs>
          <w:tab w:val="left" w:pos="699"/>
          <w:tab w:val="left" w:pos="3519"/>
          <w:tab w:val="left" w:pos="3639"/>
          <w:tab w:val="left" w:pos="3819"/>
          <w:tab w:val="left" w:pos="4179"/>
          <w:tab w:val="left" w:pos="4299"/>
          <w:tab w:val="left" w:pos="7119"/>
          <w:tab w:val="left" w:pos="7239"/>
          <w:tab w:val="left" w:pos="7359"/>
        </w:tabs>
        <w:autoSpaceDE w:val="0"/>
        <w:autoSpaceDN w:val="0"/>
        <w:spacing w:before="151"/>
        <w:ind w:left="220" w:right="2858"/>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开户银行：</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 xml:space="preserve">开户银行： </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rPr>
        <w:tab/>
      </w:r>
    </w:p>
    <w:p w14:paraId="1AB3B273">
      <w:pPr>
        <w:ind w:firstLine="240" w:firstLineChars="100"/>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kern w:val="0"/>
          <w:sz w:val="24"/>
        </w:rPr>
        <w:t>账</w:t>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号：</w:t>
      </w:r>
      <w:r>
        <w:rPr>
          <w:rFonts w:hint="eastAsia" w:asciiTheme="minorEastAsia" w:hAnsiTheme="minorEastAsia" w:eastAsiaTheme="minorEastAsia" w:cstheme="minorEastAsia"/>
          <w:kern w:val="0"/>
          <w:sz w:val="24"/>
          <w:u w:val="single"/>
        </w:rPr>
        <w:tab/>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 xml:space="preserve"> 账</w:t>
      </w:r>
      <w:r>
        <w:rPr>
          <w:rFonts w:hint="eastAsia" w:asciiTheme="minorEastAsia" w:hAnsiTheme="minorEastAsia" w:eastAsiaTheme="minorEastAsia" w:cstheme="minorEastAsia"/>
          <w:kern w:val="0"/>
          <w:sz w:val="24"/>
        </w:rPr>
        <w:tab/>
      </w:r>
      <w:r>
        <w:rPr>
          <w:rFonts w:hint="eastAsia" w:asciiTheme="minorEastAsia" w:hAnsiTheme="minorEastAsia" w:eastAsiaTheme="minorEastAsia" w:cstheme="minorEastAsia"/>
          <w:kern w:val="0"/>
          <w:sz w:val="24"/>
        </w:rPr>
        <w:t>号：</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u w:val="single"/>
        </w:rPr>
        <w:tab/>
      </w:r>
    </w:p>
    <w:p w14:paraId="3EA88429">
      <w:pPr>
        <w:spacing w:line="360" w:lineRule="auto"/>
        <w:jc w:val="center"/>
        <w:rPr>
          <w:rFonts w:ascii="宋体"/>
          <w:b/>
          <w:bCs/>
          <w:color w:val="000000"/>
          <w:sz w:val="24"/>
        </w:rPr>
      </w:pPr>
    </w:p>
    <w:p w14:paraId="5EB15AAA">
      <w:pPr>
        <w:spacing w:line="360" w:lineRule="auto"/>
        <w:jc w:val="center"/>
        <w:rPr>
          <w:rFonts w:ascii="宋体"/>
          <w:b/>
          <w:bCs/>
          <w:color w:val="000000"/>
          <w:sz w:val="24"/>
        </w:rPr>
      </w:pPr>
    </w:p>
    <w:p w14:paraId="71BAFE3F">
      <w:pPr>
        <w:pStyle w:val="5"/>
      </w:pPr>
    </w:p>
    <w:p w14:paraId="62DE70E8"/>
    <w:p w14:paraId="0FFEFEA2">
      <w:pPr>
        <w:pStyle w:val="12"/>
        <w:ind w:firstLine="211"/>
      </w:pPr>
    </w:p>
    <w:p w14:paraId="27987611">
      <w:pPr>
        <w:pStyle w:val="5"/>
      </w:pPr>
    </w:p>
    <w:p w14:paraId="3914BDC7"/>
    <w:p w14:paraId="06D13239">
      <w:pPr>
        <w:pStyle w:val="12"/>
        <w:ind w:firstLine="211"/>
      </w:pPr>
    </w:p>
    <w:p w14:paraId="729DBC10">
      <w:pPr>
        <w:pStyle w:val="5"/>
      </w:pPr>
    </w:p>
    <w:p w14:paraId="0862B952"/>
    <w:p w14:paraId="1871289F">
      <w:pPr>
        <w:pStyle w:val="12"/>
        <w:ind w:firstLine="211"/>
      </w:pPr>
    </w:p>
    <w:p w14:paraId="77E3A5C0">
      <w:pPr>
        <w:pStyle w:val="5"/>
      </w:pPr>
    </w:p>
    <w:p w14:paraId="0827EA16">
      <w:pPr>
        <w:tabs>
          <w:tab w:val="left" w:pos="8280"/>
        </w:tabs>
        <w:spacing w:line="360" w:lineRule="auto"/>
        <w:rPr>
          <w:rFonts w:ascii="宋体" w:hAnsi="宋体" w:cs="宋体"/>
          <w:b/>
          <w:sz w:val="36"/>
          <w:szCs w:val="36"/>
          <w:lang w:bidi="ar"/>
        </w:rPr>
      </w:pPr>
    </w:p>
    <w:p w14:paraId="75513659">
      <w:pPr>
        <w:tabs>
          <w:tab w:val="left" w:pos="8280"/>
        </w:tabs>
        <w:spacing w:line="360" w:lineRule="auto"/>
        <w:jc w:val="center"/>
        <w:rPr>
          <w:rFonts w:ascii="宋体" w:hAnsi="宋体" w:cs="宋体"/>
          <w:b/>
          <w:sz w:val="36"/>
          <w:szCs w:val="36"/>
        </w:rPr>
      </w:pPr>
      <w:r>
        <w:rPr>
          <w:rFonts w:hint="eastAsia" w:ascii="宋体" w:hAnsi="宋体" w:cs="宋体"/>
          <w:b/>
          <w:sz w:val="36"/>
          <w:szCs w:val="36"/>
          <w:lang w:bidi="ar"/>
        </w:rPr>
        <w:t>第六章  响应文件主要内容和格式</w:t>
      </w:r>
    </w:p>
    <w:p w14:paraId="5A3EE4D9">
      <w:pPr>
        <w:tabs>
          <w:tab w:val="left" w:pos="8280"/>
        </w:tabs>
        <w:spacing w:line="360" w:lineRule="auto"/>
        <w:rPr>
          <w:rFonts w:ascii="宋体" w:hAnsi="宋体" w:cs="宋体"/>
          <w:b/>
          <w:sz w:val="32"/>
          <w:szCs w:val="32"/>
        </w:rPr>
      </w:pPr>
    </w:p>
    <w:p w14:paraId="398646D1">
      <w:pPr>
        <w:tabs>
          <w:tab w:val="left" w:pos="450"/>
          <w:tab w:val="left" w:pos="8280"/>
        </w:tabs>
        <w:spacing w:line="360" w:lineRule="auto"/>
        <w:jc w:val="center"/>
        <w:rPr>
          <w:rFonts w:ascii="宋体" w:hAnsi="宋体" w:cs="宋体"/>
          <w:b/>
          <w:sz w:val="40"/>
          <w:szCs w:val="40"/>
        </w:rPr>
      </w:pPr>
      <w:r>
        <w:rPr>
          <w:rFonts w:hint="eastAsia" w:hAnsi="宋体"/>
          <w:b/>
          <w:bCs/>
          <w:sz w:val="48"/>
          <w:szCs w:val="48"/>
        </w:rPr>
        <w:t xml:space="preserve"> （项目名称、标段）</w:t>
      </w:r>
    </w:p>
    <w:p w14:paraId="13291935">
      <w:pPr>
        <w:tabs>
          <w:tab w:val="left" w:pos="450"/>
          <w:tab w:val="left" w:pos="8280"/>
        </w:tabs>
        <w:spacing w:line="360" w:lineRule="auto"/>
        <w:jc w:val="center"/>
        <w:rPr>
          <w:rFonts w:ascii="宋体" w:hAnsi="宋体" w:cs="宋体"/>
          <w:b/>
          <w:sz w:val="44"/>
          <w:szCs w:val="44"/>
        </w:rPr>
      </w:pPr>
    </w:p>
    <w:p w14:paraId="33B6C347"/>
    <w:p w14:paraId="5D6DBA98"/>
    <w:p w14:paraId="6D226BE7">
      <w:pPr>
        <w:tabs>
          <w:tab w:val="left" w:pos="450"/>
          <w:tab w:val="left" w:pos="8280"/>
        </w:tabs>
        <w:spacing w:line="360" w:lineRule="auto"/>
        <w:jc w:val="center"/>
        <w:rPr>
          <w:rFonts w:ascii="宋体" w:hAnsi="宋体" w:cs="宋体"/>
          <w:b/>
          <w:sz w:val="72"/>
          <w:szCs w:val="72"/>
          <w:lang w:bidi="ar"/>
        </w:rPr>
      </w:pPr>
    </w:p>
    <w:p w14:paraId="3C025ABB">
      <w:pPr>
        <w:tabs>
          <w:tab w:val="left" w:pos="450"/>
          <w:tab w:val="left" w:pos="8280"/>
        </w:tabs>
        <w:spacing w:line="360" w:lineRule="auto"/>
        <w:jc w:val="center"/>
        <w:rPr>
          <w:rFonts w:ascii="宋体" w:hAnsi="宋体" w:cs="宋体"/>
          <w:b/>
          <w:sz w:val="72"/>
          <w:szCs w:val="72"/>
          <w:lang w:bidi="ar"/>
        </w:rPr>
      </w:pPr>
    </w:p>
    <w:p w14:paraId="1FB0B64B">
      <w:pPr>
        <w:tabs>
          <w:tab w:val="left" w:pos="450"/>
          <w:tab w:val="left" w:pos="8280"/>
        </w:tabs>
        <w:spacing w:line="360" w:lineRule="auto"/>
        <w:jc w:val="center"/>
        <w:rPr>
          <w:rFonts w:ascii="宋体" w:hAnsi="宋体" w:cs="宋体"/>
          <w:b/>
          <w:sz w:val="72"/>
          <w:szCs w:val="72"/>
        </w:rPr>
      </w:pPr>
      <w:r>
        <w:rPr>
          <w:rFonts w:hint="eastAsia" w:ascii="宋体" w:hAnsi="宋体" w:cs="宋体"/>
          <w:b/>
          <w:sz w:val="72"/>
          <w:szCs w:val="72"/>
          <w:lang w:bidi="ar"/>
        </w:rPr>
        <w:t>响应文件</w:t>
      </w:r>
    </w:p>
    <w:p w14:paraId="2B675D46">
      <w:pPr>
        <w:tabs>
          <w:tab w:val="left" w:pos="8280"/>
        </w:tabs>
        <w:spacing w:line="360" w:lineRule="auto"/>
        <w:jc w:val="center"/>
        <w:rPr>
          <w:rFonts w:ascii="宋体" w:hAnsi="宋体" w:cs="宋体"/>
          <w:b/>
          <w:sz w:val="32"/>
          <w:szCs w:val="32"/>
        </w:rPr>
      </w:pPr>
    </w:p>
    <w:p w14:paraId="7AD17BC0">
      <w:pPr>
        <w:ind w:firstLine="3915" w:firstLineChars="1300"/>
        <w:rPr>
          <w:rFonts w:ascii="宋体" w:hAnsi="宋体"/>
          <w:b/>
          <w:sz w:val="30"/>
          <w:szCs w:val="30"/>
        </w:rPr>
      </w:pPr>
      <w:r>
        <w:rPr>
          <w:rFonts w:hint="eastAsia" w:ascii="宋体" w:hAnsi="宋体"/>
          <w:b/>
          <w:sz w:val="30"/>
          <w:szCs w:val="30"/>
        </w:rPr>
        <w:t>项目编号：</w:t>
      </w:r>
    </w:p>
    <w:p w14:paraId="7E102A43">
      <w:pPr>
        <w:ind w:firstLine="2409" w:firstLineChars="800"/>
        <w:rPr>
          <w:rFonts w:ascii="宋体" w:hAnsi="宋体"/>
          <w:b/>
          <w:sz w:val="30"/>
          <w:szCs w:val="30"/>
        </w:rPr>
      </w:pPr>
      <w:r>
        <w:rPr>
          <w:rFonts w:hint="eastAsia" w:ascii="宋体" w:hAnsi="宋体"/>
          <w:b/>
          <w:sz w:val="30"/>
          <w:szCs w:val="30"/>
        </w:rPr>
        <w:t xml:space="preserve">                </w:t>
      </w:r>
    </w:p>
    <w:p w14:paraId="786D1CB2">
      <w:pPr>
        <w:tabs>
          <w:tab w:val="left" w:pos="765"/>
          <w:tab w:val="left" w:pos="8280"/>
        </w:tabs>
        <w:spacing w:line="360" w:lineRule="auto"/>
        <w:rPr>
          <w:rFonts w:ascii="宋体" w:hAnsi="宋体" w:cs="宋体"/>
          <w:b/>
          <w:sz w:val="28"/>
          <w:szCs w:val="28"/>
          <w:lang w:bidi="ar"/>
        </w:rPr>
      </w:pPr>
    </w:p>
    <w:p w14:paraId="1FEAC1AC">
      <w:pPr>
        <w:tabs>
          <w:tab w:val="left" w:pos="765"/>
          <w:tab w:val="left" w:pos="8280"/>
        </w:tabs>
        <w:spacing w:line="360" w:lineRule="auto"/>
        <w:rPr>
          <w:rFonts w:ascii="宋体" w:hAnsi="宋体" w:cs="宋体"/>
          <w:b/>
          <w:sz w:val="28"/>
          <w:szCs w:val="28"/>
          <w:lang w:bidi="ar"/>
        </w:rPr>
      </w:pPr>
    </w:p>
    <w:p w14:paraId="35DD0F35">
      <w:pPr>
        <w:tabs>
          <w:tab w:val="left" w:pos="765"/>
          <w:tab w:val="left" w:pos="8280"/>
        </w:tabs>
        <w:spacing w:line="360" w:lineRule="auto"/>
        <w:rPr>
          <w:rFonts w:ascii="宋体" w:hAnsi="宋体" w:cs="宋体"/>
          <w:b/>
          <w:sz w:val="28"/>
          <w:szCs w:val="28"/>
          <w:lang w:bidi="ar"/>
        </w:rPr>
      </w:pPr>
    </w:p>
    <w:p w14:paraId="457F325F">
      <w:pPr>
        <w:tabs>
          <w:tab w:val="left" w:pos="765"/>
          <w:tab w:val="left" w:pos="8280"/>
        </w:tabs>
        <w:spacing w:line="360" w:lineRule="auto"/>
        <w:rPr>
          <w:rFonts w:ascii="宋体" w:hAnsi="宋体" w:cs="宋体"/>
          <w:b/>
          <w:sz w:val="28"/>
          <w:szCs w:val="28"/>
          <w:lang w:bidi="ar"/>
        </w:rPr>
      </w:pPr>
    </w:p>
    <w:p w14:paraId="06C17049">
      <w:pPr>
        <w:tabs>
          <w:tab w:val="left" w:pos="765"/>
          <w:tab w:val="left" w:pos="8280"/>
        </w:tabs>
        <w:spacing w:line="360" w:lineRule="auto"/>
        <w:ind w:firstLine="2502" w:firstLineChars="890"/>
        <w:rPr>
          <w:rFonts w:ascii="宋体" w:hAnsi="宋体" w:cs="宋体"/>
          <w:b/>
          <w:sz w:val="28"/>
          <w:szCs w:val="28"/>
        </w:rPr>
      </w:pPr>
      <w:r>
        <w:rPr>
          <w:rFonts w:hint="eastAsia" w:ascii="宋体" w:hAnsi="宋体" w:cs="宋体"/>
          <w:b/>
          <w:sz w:val="28"/>
          <w:szCs w:val="28"/>
          <w:lang w:bidi="ar"/>
        </w:rPr>
        <w:t>响应供应商（公章）：</w:t>
      </w:r>
    </w:p>
    <w:p w14:paraId="1C137544">
      <w:pPr>
        <w:tabs>
          <w:tab w:val="left" w:pos="765"/>
          <w:tab w:val="left" w:pos="8280"/>
        </w:tabs>
        <w:spacing w:line="360" w:lineRule="auto"/>
        <w:ind w:firstLine="2502" w:firstLineChars="890"/>
        <w:rPr>
          <w:rFonts w:ascii="宋体" w:hAnsi="宋体" w:cs="宋体"/>
          <w:b/>
          <w:sz w:val="28"/>
          <w:szCs w:val="28"/>
        </w:rPr>
      </w:pPr>
      <w:r>
        <w:rPr>
          <w:rFonts w:hint="eastAsia" w:ascii="宋体" w:hAnsi="宋体" w:cs="宋体"/>
          <w:b/>
          <w:sz w:val="28"/>
          <w:szCs w:val="28"/>
          <w:lang w:bidi="ar"/>
        </w:rPr>
        <w:t>法定代表人（签章）：</w:t>
      </w:r>
    </w:p>
    <w:p w14:paraId="78EAAA8F">
      <w:pPr>
        <w:tabs>
          <w:tab w:val="left" w:pos="8280"/>
        </w:tabs>
        <w:spacing w:line="360" w:lineRule="auto"/>
        <w:ind w:firstLine="2502" w:firstLineChars="890"/>
        <w:rPr>
          <w:rFonts w:ascii="宋体" w:hAnsi="宋体" w:cs="宋体"/>
          <w:b/>
          <w:sz w:val="28"/>
          <w:szCs w:val="28"/>
          <w:lang w:bidi="ar"/>
        </w:rPr>
      </w:pPr>
      <w:r>
        <w:rPr>
          <w:rFonts w:hint="eastAsia" w:ascii="宋体" w:hAnsi="宋体" w:cs="宋体"/>
          <w:b/>
          <w:sz w:val="28"/>
          <w:szCs w:val="28"/>
          <w:lang w:bidi="ar"/>
        </w:rPr>
        <w:t>日  期：    年   月   日</w:t>
      </w:r>
    </w:p>
    <w:p w14:paraId="0DFE226B">
      <w:pPr>
        <w:spacing w:line="360" w:lineRule="auto"/>
        <w:rPr>
          <w:rFonts w:ascii="宋体" w:hAnsi="宋体"/>
          <w:b/>
          <w:sz w:val="32"/>
          <w:szCs w:val="32"/>
          <w:lang w:val="zh-CN" w:bidi="ar"/>
        </w:rPr>
        <w:sectPr>
          <w:footerReference r:id="rId4" w:type="default"/>
          <w:pgSz w:w="11915" w:h="16840"/>
          <w:pgMar w:top="1021" w:right="964" w:bottom="1021" w:left="964" w:header="964" w:footer="851" w:gutter="0"/>
          <w:cols w:space="720" w:num="1"/>
          <w:docGrid w:type="lines" w:linePitch="312" w:charSpace="0"/>
        </w:sectPr>
      </w:pPr>
    </w:p>
    <w:p w14:paraId="7CF90F0F">
      <w:pPr>
        <w:spacing w:line="360" w:lineRule="auto"/>
        <w:jc w:val="center"/>
        <w:rPr>
          <w:rFonts w:ascii="宋体" w:hAnsi="宋体" w:cs="宋体"/>
          <w:b/>
          <w:color w:val="000000"/>
          <w:sz w:val="44"/>
          <w:szCs w:val="44"/>
          <w:lang w:bidi="ar"/>
        </w:rPr>
      </w:pPr>
      <w:r>
        <w:rPr>
          <w:rFonts w:hint="eastAsia" w:ascii="宋体" w:hAnsi="宋体" w:cs="宋体"/>
          <w:b/>
          <w:color w:val="000000"/>
          <w:sz w:val="44"/>
          <w:szCs w:val="44"/>
          <w:lang w:bidi="ar"/>
        </w:rPr>
        <w:t>目  录</w:t>
      </w:r>
    </w:p>
    <w:p w14:paraId="3125E52C">
      <w:pPr>
        <w:pStyle w:val="2"/>
        <w:rPr>
          <w:sz w:val="28"/>
          <w:szCs w:val="28"/>
          <w:lang w:bidi="ar"/>
        </w:rPr>
      </w:pPr>
      <w:r>
        <w:rPr>
          <w:rFonts w:hint="eastAsia"/>
          <w:sz w:val="28"/>
          <w:szCs w:val="28"/>
          <w:lang w:bidi="ar"/>
        </w:rPr>
        <w:t>（自拟）</w:t>
      </w:r>
    </w:p>
    <w:p w14:paraId="79979927">
      <w:pPr>
        <w:spacing w:line="360" w:lineRule="auto"/>
        <w:ind w:firstLine="480" w:firstLineChars="200"/>
        <w:rPr>
          <w:rFonts w:ascii="宋体" w:hAnsi="宋体" w:cs="宋体"/>
          <w:color w:val="000000"/>
          <w:sz w:val="24"/>
          <w:lang w:bidi="ar"/>
        </w:rPr>
      </w:pPr>
    </w:p>
    <w:p w14:paraId="3EA64BE7">
      <w:pPr>
        <w:ind w:firstLine="560" w:firstLineChars="200"/>
        <w:rPr>
          <w:sz w:val="28"/>
          <w:szCs w:val="28"/>
        </w:rPr>
      </w:pPr>
      <w:r>
        <w:rPr>
          <w:rFonts w:hint="eastAsia"/>
          <w:sz w:val="28"/>
          <w:szCs w:val="28"/>
        </w:rPr>
        <w:t>一、法定代表人身份证明</w:t>
      </w:r>
    </w:p>
    <w:p w14:paraId="18A11373">
      <w:pPr>
        <w:ind w:firstLine="560" w:firstLineChars="200"/>
        <w:rPr>
          <w:sz w:val="28"/>
          <w:szCs w:val="28"/>
        </w:rPr>
      </w:pPr>
      <w:r>
        <w:rPr>
          <w:rFonts w:hint="eastAsia"/>
          <w:sz w:val="28"/>
          <w:szCs w:val="28"/>
        </w:rPr>
        <w:t>二、响应文件签署授权委托书</w:t>
      </w:r>
    </w:p>
    <w:p w14:paraId="725DAD4C">
      <w:pPr>
        <w:ind w:firstLine="560" w:firstLineChars="200"/>
        <w:rPr>
          <w:sz w:val="28"/>
          <w:szCs w:val="28"/>
        </w:rPr>
      </w:pPr>
      <w:r>
        <w:rPr>
          <w:rFonts w:hint="eastAsia"/>
          <w:sz w:val="28"/>
          <w:szCs w:val="28"/>
        </w:rPr>
        <w:t>三、投标函及投标函附录</w:t>
      </w:r>
    </w:p>
    <w:p w14:paraId="4B0A414D">
      <w:pPr>
        <w:ind w:firstLine="560" w:firstLineChars="200"/>
        <w:rPr>
          <w:sz w:val="28"/>
          <w:szCs w:val="28"/>
        </w:rPr>
      </w:pPr>
      <w:r>
        <w:rPr>
          <w:rFonts w:hint="eastAsia"/>
          <w:sz w:val="28"/>
          <w:szCs w:val="28"/>
        </w:rPr>
        <w:t>四、服务方案</w:t>
      </w:r>
    </w:p>
    <w:p w14:paraId="6CB5255A">
      <w:pPr>
        <w:ind w:firstLine="560" w:firstLineChars="200"/>
        <w:rPr>
          <w:sz w:val="28"/>
          <w:szCs w:val="28"/>
        </w:rPr>
      </w:pPr>
      <w:r>
        <w:rPr>
          <w:rFonts w:hint="eastAsia"/>
          <w:sz w:val="28"/>
          <w:szCs w:val="28"/>
        </w:rPr>
        <w:t>五、资格审查资料</w:t>
      </w:r>
    </w:p>
    <w:p w14:paraId="55D3745D">
      <w:pPr>
        <w:ind w:firstLine="560" w:firstLineChars="200"/>
        <w:rPr>
          <w:sz w:val="28"/>
          <w:szCs w:val="28"/>
        </w:rPr>
      </w:pPr>
      <w:r>
        <w:rPr>
          <w:rFonts w:hint="eastAsia"/>
          <w:sz w:val="28"/>
          <w:szCs w:val="28"/>
        </w:rPr>
        <w:t>六、中小微企业声明函</w:t>
      </w:r>
    </w:p>
    <w:p w14:paraId="21C32933">
      <w:pPr>
        <w:ind w:firstLine="560" w:firstLineChars="200"/>
        <w:rPr>
          <w:sz w:val="28"/>
          <w:szCs w:val="28"/>
        </w:rPr>
      </w:pPr>
      <w:r>
        <w:rPr>
          <w:rFonts w:hint="eastAsia"/>
          <w:sz w:val="28"/>
          <w:szCs w:val="28"/>
        </w:rPr>
        <w:t>七、磋商承诺函</w:t>
      </w:r>
    </w:p>
    <w:p w14:paraId="47C7DAA2">
      <w:pPr>
        <w:ind w:firstLine="560" w:firstLineChars="200"/>
        <w:rPr>
          <w:sz w:val="28"/>
          <w:szCs w:val="28"/>
        </w:rPr>
      </w:pPr>
      <w:r>
        <w:rPr>
          <w:rFonts w:hint="eastAsia"/>
          <w:sz w:val="28"/>
          <w:szCs w:val="28"/>
        </w:rPr>
        <w:t>八、其他资料</w:t>
      </w:r>
    </w:p>
    <w:p w14:paraId="47F2F8BD">
      <w:pPr>
        <w:spacing w:line="360" w:lineRule="auto"/>
        <w:rPr>
          <w:rFonts w:ascii="宋体" w:hAnsi="宋体" w:cs="宋体"/>
          <w:color w:val="000000"/>
          <w:sz w:val="24"/>
        </w:rPr>
      </w:pPr>
    </w:p>
    <w:p w14:paraId="3476051A">
      <w:pPr>
        <w:spacing w:line="360" w:lineRule="auto"/>
        <w:rPr>
          <w:rFonts w:ascii="宋体" w:hAnsi="宋体" w:cs="宋体"/>
          <w:b/>
          <w:color w:val="000000"/>
          <w:sz w:val="28"/>
          <w:szCs w:val="28"/>
        </w:rPr>
      </w:pPr>
    </w:p>
    <w:p w14:paraId="1CE3D846">
      <w:pPr>
        <w:jc w:val="center"/>
        <w:rPr>
          <w:b/>
          <w:bCs/>
          <w:sz w:val="32"/>
          <w:szCs w:val="32"/>
        </w:rPr>
      </w:pPr>
      <w:r>
        <w:rPr>
          <w:rFonts w:hint="eastAsia" w:ascii="宋体" w:hAnsi="宋体"/>
          <w:b/>
          <w:color w:val="000000"/>
          <w:sz w:val="28"/>
          <w:szCs w:val="28"/>
          <w:lang w:bidi="ar"/>
        </w:rPr>
        <w:br w:type="page"/>
      </w:r>
      <w:r>
        <w:rPr>
          <w:rFonts w:hint="eastAsia"/>
          <w:b/>
          <w:bCs/>
          <w:sz w:val="32"/>
          <w:szCs w:val="32"/>
        </w:rPr>
        <w:t>一、法定代表人身份证明书</w:t>
      </w:r>
    </w:p>
    <w:p w14:paraId="71D080F6">
      <w:pPr>
        <w:spacing w:line="440" w:lineRule="exact"/>
        <w:rPr>
          <w:b/>
          <w:bCs/>
          <w:sz w:val="32"/>
          <w:szCs w:val="32"/>
        </w:rPr>
      </w:pPr>
    </w:p>
    <w:p w14:paraId="1EDB1FA9">
      <w:pPr>
        <w:spacing w:line="480" w:lineRule="auto"/>
        <w:ind w:firstLine="612"/>
        <w:rPr>
          <w:sz w:val="24"/>
        </w:rPr>
      </w:pPr>
      <w:r>
        <w:rPr>
          <w:rFonts w:hint="eastAsia" w:ascii="宋体" w:hAnsi="宋体" w:cs="宋体"/>
          <w:sz w:val="24"/>
        </w:rPr>
        <w:t>单位名称：</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14:paraId="508D1F26">
      <w:pPr>
        <w:spacing w:line="480" w:lineRule="auto"/>
        <w:ind w:firstLine="610"/>
        <w:rPr>
          <w:sz w:val="24"/>
          <w:u w:val="single"/>
        </w:rPr>
      </w:pPr>
      <w:r>
        <w:rPr>
          <w:rFonts w:hint="eastAsia" w:ascii="宋体" w:hAnsi="宋体" w:cs="宋体"/>
          <w:sz w:val="24"/>
        </w:rPr>
        <w:t>单位性质：</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14:paraId="60ADECD0">
      <w:pPr>
        <w:spacing w:line="480" w:lineRule="auto"/>
        <w:ind w:firstLine="610"/>
        <w:rPr>
          <w:rFonts w:ascii="宋体"/>
          <w:sz w:val="24"/>
          <w:u w:val="single"/>
        </w:rPr>
      </w:pPr>
      <w:r>
        <w:rPr>
          <w:rFonts w:hint="eastAsia" w:ascii="宋体" w:hAnsi="宋体" w:cs="宋体"/>
          <w:sz w:val="24"/>
        </w:rPr>
        <w:t>地    址：</w:t>
      </w:r>
      <w:r>
        <w:rPr>
          <w:sz w:val="24"/>
          <w:u w:val="single"/>
        </w:rPr>
        <w:tab/>
      </w:r>
      <w:r>
        <w:rPr>
          <w:sz w:val="24"/>
          <w:u w:val="single"/>
        </w:rPr>
        <w:tab/>
      </w:r>
      <w:r>
        <w:rPr>
          <w:rFonts w:ascii="宋体"/>
          <w:sz w:val="24"/>
          <w:u w:val="single"/>
        </w:rPr>
        <w:tab/>
      </w:r>
      <w:r>
        <w:rPr>
          <w:rFonts w:ascii="宋体"/>
          <w:sz w:val="24"/>
          <w:u w:val="single"/>
        </w:rPr>
        <w:tab/>
      </w:r>
      <w:r>
        <w:rPr>
          <w:rFonts w:ascii="宋体"/>
          <w:sz w:val="24"/>
          <w:u w:val="single"/>
        </w:rPr>
        <w:tab/>
      </w:r>
      <w:r>
        <w:rPr>
          <w:rFonts w:ascii="宋体"/>
          <w:sz w:val="24"/>
          <w:u w:val="single"/>
        </w:rPr>
        <w:tab/>
      </w:r>
      <w:r>
        <w:rPr>
          <w:rFonts w:ascii="宋体"/>
          <w:sz w:val="24"/>
          <w:u w:val="single"/>
        </w:rPr>
        <w:tab/>
      </w:r>
      <w:r>
        <w:rPr>
          <w:rFonts w:ascii="宋体"/>
          <w:sz w:val="24"/>
          <w:u w:val="single"/>
        </w:rPr>
        <w:tab/>
      </w:r>
      <w:r>
        <w:rPr>
          <w:rFonts w:hint="eastAsia" w:ascii="宋体"/>
          <w:sz w:val="24"/>
          <w:u w:val="single"/>
        </w:rPr>
        <w:t xml:space="preserve">       </w:t>
      </w:r>
    </w:p>
    <w:p w14:paraId="4C0B4D99">
      <w:pPr>
        <w:spacing w:line="480" w:lineRule="auto"/>
        <w:ind w:firstLine="610"/>
        <w:rPr>
          <w:sz w:val="24"/>
        </w:rPr>
      </w:pPr>
      <w:r>
        <w:rPr>
          <w:rFonts w:hint="eastAsia" w:ascii="宋体" w:hAnsi="宋体" w:cs="宋体"/>
          <w:sz w:val="24"/>
        </w:rPr>
        <w:t>成立时间：</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2138E7D0">
      <w:pPr>
        <w:spacing w:line="480" w:lineRule="auto"/>
        <w:ind w:firstLine="610"/>
        <w:rPr>
          <w:rFonts w:ascii="宋体"/>
          <w:sz w:val="24"/>
          <w:u w:val="single"/>
        </w:rPr>
      </w:pPr>
      <w:r>
        <w:rPr>
          <w:rFonts w:hint="eastAsia" w:ascii="宋体" w:hAnsi="宋体" w:cs="宋体"/>
          <w:sz w:val="24"/>
        </w:rPr>
        <w:t>经营期限：</w:t>
      </w:r>
      <w:r>
        <w:rPr>
          <w:sz w:val="24"/>
          <w:u w:val="single"/>
        </w:rPr>
        <w:tab/>
      </w:r>
      <w:r>
        <w:rPr>
          <w:rFonts w:hint="eastAsia"/>
          <w:sz w:val="24"/>
          <w:u w:val="single"/>
        </w:rPr>
        <w:t xml:space="preserve">                            </w:t>
      </w:r>
      <w:r>
        <w:rPr>
          <w:rFonts w:ascii="宋体"/>
          <w:sz w:val="24"/>
          <w:u w:val="single"/>
        </w:rPr>
        <w:tab/>
      </w:r>
    </w:p>
    <w:p w14:paraId="5D948892">
      <w:pPr>
        <w:spacing w:line="480" w:lineRule="auto"/>
        <w:ind w:firstLine="610"/>
        <w:rPr>
          <w:rFonts w:ascii="宋体"/>
          <w:sz w:val="24"/>
          <w:u w:val="single"/>
        </w:rPr>
      </w:pPr>
      <w:r>
        <w:rPr>
          <w:rFonts w:hint="eastAsia" w:ascii="宋体" w:hAnsi="宋体" w:cs="宋体"/>
          <w:sz w:val="24"/>
        </w:rPr>
        <w:t>姓名：</w:t>
      </w:r>
      <w:r>
        <w:rPr>
          <w:rFonts w:hint="eastAsia" w:ascii="宋体" w:hAnsi="宋体" w:cs="宋体"/>
          <w:sz w:val="24"/>
          <w:u w:val="single"/>
        </w:rPr>
        <w:t xml:space="preserve">      </w:t>
      </w:r>
      <w:r>
        <w:rPr>
          <w:rFonts w:hint="eastAsia" w:ascii="宋体" w:hAnsi="宋体" w:cs="宋体"/>
          <w:sz w:val="24"/>
        </w:rPr>
        <w:t>性别：</w:t>
      </w:r>
      <w:r>
        <w:rPr>
          <w:rFonts w:hint="eastAsia" w:ascii="宋体" w:hAnsi="宋体" w:cs="宋体"/>
          <w:sz w:val="24"/>
          <w:u w:val="single"/>
        </w:rPr>
        <w:t xml:space="preserve">       </w:t>
      </w:r>
      <w:r>
        <w:rPr>
          <w:rFonts w:hint="eastAsia" w:ascii="宋体" w:hAnsi="宋体" w:cs="宋体"/>
          <w:sz w:val="24"/>
        </w:rPr>
        <w:t>年龄：</w:t>
      </w:r>
      <w:r>
        <w:rPr>
          <w:rFonts w:hint="eastAsia" w:ascii="宋体" w:hAnsi="宋体" w:cs="宋体"/>
          <w:sz w:val="24"/>
          <w:u w:val="single"/>
        </w:rPr>
        <w:t xml:space="preserve">       </w:t>
      </w:r>
      <w:r>
        <w:rPr>
          <w:rFonts w:hint="eastAsia" w:ascii="宋体" w:hAnsi="宋体" w:cs="宋体"/>
          <w:sz w:val="24"/>
        </w:rPr>
        <w:t>职务：</w:t>
      </w:r>
      <w:r>
        <w:rPr>
          <w:sz w:val="24"/>
          <w:u w:val="single"/>
        </w:rPr>
        <w:tab/>
      </w:r>
      <w:r>
        <w:rPr>
          <w:rFonts w:hint="eastAsia"/>
          <w:sz w:val="24"/>
          <w:u w:val="single"/>
        </w:rPr>
        <w:t xml:space="preserve">    </w:t>
      </w:r>
    </w:p>
    <w:p w14:paraId="2E77E900">
      <w:pPr>
        <w:spacing w:line="480" w:lineRule="auto"/>
        <w:ind w:firstLine="610"/>
        <w:rPr>
          <w:sz w:val="24"/>
        </w:rPr>
      </w:pPr>
      <w:r>
        <w:rPr>
          <w:rFonts w:hint="eastAsia" w:ascii="宋体" w:hAnsi="宋体" w:cs="宋体"/>
          <w:sz w:val="24"/>
        </w:rPr>
        <w:t>系</w:t>
      </w:r>
      <w:r>
        <w:rPr>
          <w:rFonts w:hint="eastAsia" w:ascii="宋体" w:hAnsi="宋体" w:cs="宋体"/>
          <w:sz w:val="24"/>
          <w:u w:val="single"/>
        </w:rPr>
        <w:t>（响应供应商单位名称）</w:t>
      </w:r>
      <w:r>
        <w:rPr>
          <w:rFonts w:hint="eastAsia" w:ascii="宋体" w:hAnsi="宋体" w:cs="宋体"/>
          <w:sz w:val="24"/>
        </w:rPr>
        <w:t>的法定代表人。</w:t>
      </w:r>
    </w:p>
    <w:p w14:paraId="5E5B6027">
      <w:pPr>
        <w:spacing w:line="480" w:lineRule="auto"/>
        <w:ind w:firstLine="610"/>
        <w:rPr>
          <w:sz w:val="24"/>
        </w:rPr>
      </w:pPr>
    </w:p>
    <w:p w14:paraId="57231A15">
      <w:pPr>
        <w:spacing w:line="480" w:lineRule="auto"/>
        <w:ind w:firstLine="1089" w:firstLineChars="454"/>
        <w:rPr>
          <w:sz w:val="24"/>
        </w:rPr>
      </w:pPr>
      <w:r>
        <w:rPr>
          <w:rFonts w:hint="eastAsia" w:ascii="宋体" w:hAnsi="宋体" w:cs="宋体"/>
          <w:sz w:val="24"/>
        </w:rPr>
        <w:t>特此证明。</w:t>
      </w:r>
    </w:p>
    <w:p w14:paraId="58A57BFD">
      <w:pPr>
        <w:tabs>
          <w:tab w:val="left" w:pos="720"/>
          <w:tab w:val="left" w:pos="900"/>
        </w:tabs>
        <w:spacing w:line="480" w:lineRule="auto"/>
        <w:rPr>
          <w:sz w:val="24"/>
        </w:rPr>
      </w:pPr>
    </w:p>
    <w:p w14:paraId="2765486A">
      <w:pPr>
        <w:wordWrap w:val="0"/>
        <w:spacing w:line="480" w:lineRule="auto"/>
        <w:ind w:firstLine="2400" w:firstLineChars="1000"/>
        <w:rPr>
          <w:rFonts w:ascii="宋体" w:hAnsi="宋体"/>
          <w:sz w:val="24"/>
          <w:szCs w:val="22"/>
          <w:u w:val="single"/>
        </w:rPr>
      </w:pPr>
      <w:r>
        <w:rPr>
          <w:rFonts w:hint="eastAsia" w:ascii="宋体" w:hAnsi="宋体"/>
          <w:sz w:val="24"/>
          <w:szCs w:val="22"/>
        </w:rPr>
        <w:t xml:space="preserve">             响应供应商（盖章）：</w:t>
      </w:r>
      <w:r>
        <w:rPr>
          <w:rFonts w:hint="eastAsia" w:ascii="宋体" w:hAnsi="宋体"/>
          <w:sz w:val="24"/>
          <w:szCs w:val="22"/>
          <w:u w:val="single"/>
        </w:rPr>
        <w:t xml:space="preserve">               </w:t>
      </w:r>
    </w:p>
    <w:p w14:paraId="7CD69AD0">
      <w:pPr>
        <w:spacing w:line="480" w:lineRule="auto"/>
        <w:ind w:firstLine="480" w:firstLineChars="200"/>
        <w:rPr>
          <w:rFonts w:ascii="宋体" w:hAnsi="宋体"/>
          <w:sz w:val="24"/>
          <w:szCs w:val="22"/>
          <w:u w:val="single"/>
        </w:rPr>
      </w:pPr>
      <w:r>
        <w:rPr>
          <w:rFonts w:hint="eastAsia" w:ascii="宋体" w:hAnsi="宋体"/>
          <w:sz w:val="24"/>
          <w:szCs w:val="22"/>
        </w:rPr>
        <w:t xml:space="preserve">                             法定代表人（签章）： </w:t>
      </w:r>
      <w:r>
        <w:rPr>
          <w:rFonts w:hint="eastAsia" w:ascii="宋体" w:hAnsi="宋体"/>
          <w:sz w:val="24"/>
          <w:szCs w:val="22"/>
          <w:u w:val="single"/>
        </w:rPr>
        <w:t xml:space="preserve">              </w:t>
      </w:r>
    </w:p>
    <w:p w14:paraId="1DD6A74F">
      <w:pPr>
        <w:spacing w:line="480" w:lineRule="auto"/>
        <w:jc w:val="center"/>
        <w:rPr>
          <w:rFonts w:ascii="宋体" w:hAnsi="宋体"/>
          <w:kern w:val="0"/>
          <w:sz w:val="24"/>
        </w:rPr>
      </w:pPr>
      <w:r>
        <w:rPr>
          <w:rFonts w:ascii="宋体" w:hAnsi="宋体"/>
          <w:sz w:val="24"/>
          <w:szCs w:val="22"/>
        </w:rPr>
        <w:t xml:space="preserve">                </w:t>
      </w:r>
      <w:r>
        <w:rPr>
          <w:rFonts w:hint="eastAsia" w:ascii="宋体" w:hAnsi="宋体"/>
          <w:sz w:val="24"/>
          <w:szCs w:val="22"/>
        </w:rPr>
        <w:t xml:space="preserve">       日   期：</w:t>
      </w:r>
      <w:r>
        <w:rPr>
          <w:rFonts w:ascii="宋体" w:hAnsi="宋体"/>
          <w:sz w:val="24"/>
          <w:szCs w:val="22"/>
          <w:u w:val="single"/>
        </w:rPr>
        <w:t xml:space="preserve">     </w:t>
      </w:r>
      <w:r>
        <w:rPr>
          <w:rFonts w:hint="eastAsia" w:ascii="宋体" w:hAnsi="宋体"/>
          <w:sz w:val="24"/>
          <w:szCs w:val="22"/>
        </w:rPr>
        <w:t>年</w:t>
      </w:r>
      <w:r>
        <w:rPr>
          <w:rFonts w:ascii="宋体" w:hAnsi="宋体"/>
          <w:sz w:val="24"/>
          <w:szCs w:val="22"/>
        </w:rPr>
        <w:t xml:space="preserve"> </w:t>
      </w:r>
      <w:r>
        <w:rPr>
          <w:rFonts w:ascii="宋体" w:hAnsi="宋体"/>
          <w:sz w:val="24"/>
          <w:szCs w:val="22"/>
          <w:u w:val="single"/>
        </w:rPr>
        <w:t xml:space="preserve">    </w:t>
      </w:r>
      <w:r>
        <w:rPr>
          <w:rFonts w:hint="eastAsia" w:ascii="宋体" w:hAnsi="宋体"/>
          <w:sz w:val="24"/>
          <w:szCs w:val="22"/>
        </w:rPr>
        <w:t>月</w:t>
      </w:r>
      <w:r>
        <w:rPr>
          <w:rFonts w:ascii="宋体" w:hAnsi="宋体"/>
          <w:sz w:val="24"/>
          <w:szCs w:val="22"/>
        </w:rPr>
        <w:t xml:space="preserve"> </w:t>
      </w:r>
      <w:r>
        <w:rPr>
          <w:rFonts w:ascii="宋体" w:hAnsi="宋体"/>
          <w:sz w:val="24"/>
          <w:szCs w:val="22"/>
          <w:u w:val="single"/>
        </w:rPr>
        <w:t xml:space="preserve">    </w:t>
      </w:r>
      <w:r>
        <w:rPr>
          <w:rFonts w:hint="eastAsia" w:ascii="宋体" w:hAnsi="宋体"/>
          <w:sz w:val="24"/>
          <w:szCs w:val="22"/>
        </w:rPr>
        <w:t>日</w:t>
      </w:r>
    </w:p>
    <w:tbl>
      <w:tblPr>
        <w:tblStyle w:val="13"/>
        <w:tblpPr w:leftFromText="180" w:rightFromText="180" w:vertAnchor="text" w:horzAnchor="page" w:tblpX="2160" w:tblpY="51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0"/>
      </w:tblGrid>
      <w:tr w14:paraId="3CC2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5" w:hRule="atLeast"/>
        </w:trPr>
        <w:tc>
          <w:tcPr>
            <w:tcW w:w="7880" w:type="dxa"/>
            <w:vAlign w:val="center"/>
          </w:tcPr>
          <w:p w14:paraId="57B97A00">
            <w:pPr>
              <w:jc w:val="center"/>
              <w:rPr>
                <w:rFonts w:ascii="宋体" w:hAnsi="宋体"/>
                <w:color w:val="000000"/>
                <w:sz w:val="28"/>
              </w:rPr>
            </w:pPr>
            <w:r>
              <w:rPr>
                <w:rFonts w:hint="eastAsia" w:ascii="宋体" w:hAnsi="宋体"/>
                <w:sz w:val="24"/>
                <w:szCs w:val="22"/>
              </w:rPr>
              <w:t>法定代表人身份证复印件（或扫描件）</w:t>
            </w:r>
          </w:p>
        </w:tc>
      </w:tr>
    </w:tbl>
    <w:p w14:paraId="00389454">
      <w:pPr>
        <w:spacing w:line="520" w:lineRule="exact"/>
        <w:rPr>
          <w:rFonts w:ascii="宋体" w:hAnsi="宋体" w:cs="宋体"/>
          <w:b/>
          <w:bCs/>
          <w:sz w:val="32"/>
          <w:szCs w:val="32"/>
        </w:rPr>
      </w:pPr>
    </w:p>
    <w:p w14:paraId="504FC745">
      <w:pPr>
        <w:spacing w:line="520" w:lineRule="exact"/>
        <w:jc w:val="center"/>
        <w:rPr>
          <w:rFonts w:ascii="宋体" w:hAnsi="宋体" w:cs="宋体"/>
          <w:b/>
          <w:bCs/>
          <w:sz w:val="32"/>
          <w:szCs w:val="32"/>
        </w:rPr>
      </w:pPr>
      <w:r>
        <w:rPr>
          <w:rFonts w:hint="eastAsia" w:ascii="宋体" w:hAnsi="宋体" w:cs="宋体"/>
          <w:b/>
          <w:bCs/>
          <w:sz w:val="32"/>
          <w:szCs w:val="32"/>
        </w:rPr>
        <w:t>二、响应文件签署授权委托书</w:t>
      </w:r>
    </w:p>
    <w:p w14:paraId="5FC26EF3">
      <w:pPr>
        <w:pStyle w:val="12"/>
        <w:ind w:firstLine="0" w:firstLineChars="0"/>
      </w:pPr>
    </w:p>
    <w:p w14:paraId="00A5A0CD">
      <w:pPr>
        <w:tabs>
          <w:tab w:val="left" w:pos="3240"/>
        </w:tabs>
        <w:spacing w:line="480" w:lineRule="auto"/>
        <w:ind w:firstLine="612"/>
        <w:rPr>
          <w:rFonts w:ascii="宋体" w:hAnsi="宋体" w:cs="宋体"/>
          <w:sz w:val="24"/>
        </w:rPr>
      </w:pPr>
      <w:r>
        <w:rPr>
          <w:rFonts w:hint="eastAsia" w:ascii="宋体" w:hAnsi="宋体" w:cs="宋体"/>
          <w:sz w:val="24"/>
        </w:rPr>
        <w:t>本授权委托书声明：我</w:t>
      </w:r>
      <w:r>
        <w:rPr>
          <w:rFonts w:hint="eastAsia" w:ascii="宋体" w:hAnsi="宋体" w:cs="宋体"/>
          <w:sz w:val="24"/>
          <w:u w:val="single"/>
        </w:rPr>
        <w:t>（法定代表人）</w:t>
      </w:r>
      <w:r>
        <w:rPr>
          <w:rFonts w:hint="eastAsia" w:ascii="宋体" w:hAnsi="宋体" w:cs="宋体"/>
          <w:sz w:val="24"/>
        </w:rPr>
        <w:t>（姓名）系</w:t>
      </w:r>
      <w:r>
        <w:rPr>
          <w:rFonts w:hint="eastAsia" w:ascii="宋体" w:hAnsi="宋体" w:cs="宋体"/>
          <w:sz w:val="24"/>
          <w:u w:val="single"/>
        </w:rPr>
        <w:t>（响应供应商名称）</w:t>
      </w:r>
      <w:r>
        <w:rPr>
          <w:rFonts w:hint="eastAsia" w:ascii="宋体" w:hAnsi="宋体" w:cs="宋体"/>
          <w:sz w:val="24"/>
        </w:rPr>
        <w:t>的法定代表人，现授权委托</w:t>
      </w:r>
      <w:r>
        <w:rPr>
          <w:rFonts w:hint="eastAsia" w:ascii="宋体" w:hAnsi="宋体" w:cs="宋体"/>
          <w:sz w:val="24"/>
          <w:u w:val="single"/>
        </w:rPr>
        <w:t>（单位名称）</w:t>
      </w:r>
      <w:r>
        <w:rPr>
          <w:rFonts w:hint="eastAsia" w:ascii="宋体" w:hAnsi="宋体" w:cs="宋体"/>
          <w:sz w:val="24"/>
        </w:rPr>
        <w:t>的</w:t>
      </w:r>
      <w:r>
        <w:rPr>
          <w:rFonts w:hint="eastAsia" w:ascii="宋体" w:hAnsi="宋体" w:cs="宋体"/>
          <w:sz w:val="24"/>
          <w:u w:val="single"/>
        </w:rPr>
        <w:t>（姓名）</w:t>
      </w:r>
      <w:r>
        <w:rPr>
          <w:rFonts w:hint="eastAsia" w:ascii="宋体" w:hAnsi="宋体" w:cs="宋体"/>
          <w:sz w:val="24"/>
        </w:rPr>
        <w:t>为我公司签署本项目的响应文件的法定代表人授权委托代理人，我承认代理人全权代表我所签署的</w:t>
      </w:r>
      <w:r>
        <w:rPr>
          <w:rFonts w:hint="eastAsia" w:ascii="宋体" w:hAnsi="宋体" w:cs="宋体"/>
          <w:sz w:val="24"/>
          <w:u w:val="single"/>
        </w:rPr>
        <w:t xml:space="preserve">  （项目名称、标段）  </w:t>
      </w:r>
      <w:r>
        <w:rPr>
          <w:rFonts w:hint="eastAsia" w:ascii="宋体" w:hAnsi="宋体" w:cs="宋体"/>
          <w:sz w:val="24"/>
        </w:rPr>
        <w:t>项目的响应文件的内容。同时授权委托该同志代表我公司参加本项目的投标、开标、合同谈判、处理有关事务等并有权签署有关文件。</w:t>
      </w:r>
    </w:p>
    <w:p w14:paraId="38A212CC">
      <w:pPr>
        <w:tabs>
          <w:tab w:val="left" w:pos="3240"/>
        </w:tabs>
        <w:spacing w:line="480" w:lineRule="auto"/>
        <w:ind w:firstLine="612"/>
        <w:rPr>
          <w:rFonts w:ascii="宋体" w:hAnsi="宋体" w:cs="宋体"/>
          <w:sz w:val="24"/>
          <w:u w:val="single"/>
        </w:rPr>
      </w:pPr>
      <w:r>
        <w:rPr>
          <w:rFonts w:hint="eastAsia" w:ascii="宋体" w:hAnsi="宋体" w:cs="宋体"/>
          <w:sz w:val="24"/>
        </w:rPr>
        <w:t>委托期限：</w:t>
      </w:r>
      <w:r>
        <w:rPr>
          <w:rFonts w:hint="eastAsia" w:ascii="宋体" w:hAnsi="宋体" w:cs="宋体"/>
          <w:sz w:val="24"/>
          <w:u w:val="single"/>
        </w:rPr>
        <w:t xml:space="preserve">                 </w:t>
      </w:r>
      <w:r>
        <w:rPr>
          <w:rFonts w:hint="eastAsia" w:ascii="宋体" w:hAnsi="宋体" w:cs="宋体"/>
          <w:sz w:val="24"/>
        </w:rPr>
        <w:t>。</w:t>
      </w:r>
    </w:p>
    <w:p w14:paraId="02A79880">
      <w:pPr>
        <w:spacing w:line="480" w:lineRule="auto"/>
        <w:ind w:firstLine="697"/>
        <w:rPr>
          <w:sz w:val="24"/>
        </w:rPr>
      </w:pPr>
      <w:r>
        <w:rPr>
          <w:rFonts w:hint="eastAsia" w:ascii="宋体" w:hAnsi="宋体" w:cs="宋体"/>
          <w:sz w:val="24"/>
        </w:rPr>
        <w:t>代理人无转委托权，特此委托。</w:t>
      </w:r>
    </w:p>
    <w:p w14:paraId="1CCA809B">
      <w:pPr>
        <w:spacing w:line="480" w:lineRule="auto"/>
        <w:ind w:left="2699"/>
        <w:rPr>
          <w:rFonts w:ascii="宋体" w:hAnsi="宋体" w:cs="宋体"/>
          <w:sz w:val="24"/>
        </w:rPr>
      </w:pPr>
    </w:p>
    <w:p w14:paraId="3592B729">
      <w:pPr>
        <w:spacing w:line="480" w:lineRule="auto"/>
        <w:ind w:left="2699"/>
        <w:rPr>
          <w:rFonts w:ascii="宋体"/>
          <w:sz w:val="24"/>
        </w:rPr>
      </w:pPr>
      <w:r>
        <w:rPr>
          <w:rFonts w:hint="eastAsia" w:ascii="宋体" w:hAnsi="宋体" w:cs="宋体"/>
          <w:sz w:val="24"/>
        </w:rPr>
        <w:t>代理人（签字）：</w:t>
      </w:r>
      <w:r>
        <w:rPr>
          <w:rFonts w:hint="eastAsia" w:ascii="宋体" w:hAnsi="宋体" w:cs="宋体"/>
          <w:sz w:val="24"/>
          <w:u w:val="single"/>
        </w:rPr>
        <w:t xml:space="preserve">                             </w:t>
      </w:r>
      <w:r>
        <w:rPr>
          <w:rFonts w:hint="eastAsia" w:ascii="宋体" w:hAnsi="宋体" w:cs="宋体"/>
          <w:sz w:val="24"/>
        </w:rPr>
        <w:t xml:space="preserve"> </w:t>
      </w:r>
    </w:p>
    <w:p w14:paraId="68D87EE2">
      <w:pPr>
        <w:spacing w:line="480" w:lineRule="auto"/>
        <w:ind w:left="2699"/>
        <w:rPr>
          <w:sz w:val="24"/>
        </w:rPr>
      </w:pPr>
      <w:r>
        <w:rPr>
          <w:rFonts w:hint="eastAsia" w:ascii="宋体" w:hAnsi="宋体" w:cs="宋体"/>
          <w:sz w:val="24"/>
        </w:rPr>
        <w:t>身份证号码：</w:t>
      </w:r>
      <w:r>
        <w:rPr>
          <w:rFonts w:hint="eastAsia" w:ascii="宋体" w:hAnsi="宋体" w:cs="宋体"/>
          <w:sz w:val="24"/>
          <w:u w:val="single"/>
        </w:rPr>
        <w:t xml:space="preserve">                                 </w:t>
      </w:r>
    </w:p>
    <w:p w14:paraId="34450F00">
      <w:pPr>
        <w:spacing w:line="480" w:lineRule="auto"/>
        <w:ind w:left="2699"/>
        <w:rPr>
          <w:sz w:val="24"/>
        </w:rPr>
      </w:pPr>
      <w:r>
        <w:rPr>
          <w:rFonts w:hint="eastAsia" w:ascii="宋体" w:hAnsi="宋体" w:cs="宋体"/>
          <w:sz w:val="24"/>
        </w:rPr>
        <w:t>响应供应商（盖章）：</w:t>
      </w:r>
      <w:r>
        <w:rPr>
          <w:sz w:val="24"/>
        </w:rPr>
        <w:t xml:space="preserve"> </w:t>
      </w:r>
      <w:r>
        <w:rPr>
          <w:rFonts w:hint="eastAsia"/>
          <w:sz w:val="24"/>
          <w:u w:val="single"/>
        </w:rPr>
        <w:t xml:space="preserve">                        </w:t>
      </w:r>
    </w:p>
    <w:p w14:paraId="6DF0637B">
      <w:pPr>
        <w:spacing w:line="480" w:lineRule="auto"/>
        <w:ind w:left="2699"/>
        <w:rPr>
          <w:sz w:val="24"/>
        </w:rPr>
      </w:pPr>
      <w:r>
        <w:rPr>
          <w:rFonts w:hint="eastAsia" w:ascii="宋体" w:hAnsi="宋体" w:cs="宋体"/>
          <w:sz w:val="24"/>
        </w:rPr>
        <w:t>法定代表人（签章）：</w:t>
      </w:r>
      <w:r>
        <w:rPr>
          <w:rFonts w:hint="eastAsia" w:ascii="宋体" w:hAnsi="宋体" w:cs="宋体"/>
          <w:sz w:val="24"/>
          <w:u w:val="single"/>
        </w:rPr>
        <w:t xml:space="preserve">                         </w:t>
      </w:r>
    </w:p>
    <w:p w14:paraId="5F7236DE">
      <w:pPr>
        <w:snapToGrid w:val="0"/>
        <w:spacing w:line="580" w:lineRule="exact"/>
        <w:ind w:right="-817" w:rightChars="-389" w:firstLine="2640" w:firstLineChars="1100"/>
        <w:rPr>
          <w:rFonts w:ascii="宋体" w:hAnsi="宋体"/>
          <w:sz w:val="24"/>
        </w:rPr>
      </w:pPr>
      <w:r>
        <w:rPr>
          <w:rFonts w:hint="eastAsia" w:ascii="宋体" w:hAnsi="宋体" w:cs="宋体"/>
          <w:sz w:val="24"/>
        </w:rPr>
        <w:t>授权委托日期：    年   月   日</w:t>
      </w:r>
    </w:p>
    <w:p w14:paraId="11A740B4">
      <w:pPr>
        <w:pStyle w:val="12"/>
        <w:ind w:firstLine="211"/>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2"/>
      </w:tblGrid>
      <w:tr w14:paraId="52F7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1" w:hRule="atLeast"/>
          <w:jc w:val="center"/>
        </w:trPr>
        <w:tc>
          <w:tcPr>
            <w:tcW w:w="8352" w:type="dxa"/>
            <w:vAlign w:val="center"/>
          </w:tcPr>
          <w:p w14:paraId="4848F1E9">
            <w:pPr>
              <w:jc w:val="center"/>
            </w:pPr>
          </w:p>
          <w:p w14:paraId="292B56A9">
            <w:pPr>
              <w:jc w:val="center"/>
            </w:pPr>
          </w:p>
          <w:p w14:paraId="1DC6E9FB">
            <w:pPr>
              <w:jc w:val="center"/>
            </w:pPr>
          </w:p>
          <w:p w14:paraId="67F50624">
            <w:pPr>
              <w:tabs>
                <w:tab w:val="left" w:pos="3240"/>
              </w:tabs>
              <w:spacing w:line="480" w:lineRule="auto"/>
              <w:jc w:val="center"/>
              <w:rPr>
                <w:rFonts w:ascii="宋体" w:hAnsi="宋体" w:cs="宋体"/>
                <w:sz w:val="24"/>
              </w:rPr>
            </w:pPr>
            <w:r>
              <w:rPr>
                <w:rFonts w:hint="eastAsia" w:ascii="宋体" w:hAnsi="宋体" w:cs="宋体"/>
                <w:sz w:val="24"/>
              </w:rPr>
              <w:t>委托代理人身份证复印件（或扫描件）</w:t>
            </w:r>
          </w:p>
          <w:p w14:paraId="24087FB9">
            <w:pPr>
              <w:jc w:val="center"/>
            </w:pPr>
          </w:p>
          <w:p w14:paraId="1AF77E69">
            <w:pPr>
              <w:jc w:val="center"/>
            </w:pPr>
          </w:p>
          <w:p w14:paraId="1A1835E5">
            <w:pPr>
              <w:jc w:val="center"/>
            </w:pPr>
          </w:p>
        </w:tc>
      </w:tr>
    </w:tbl>
    <w:p w14:paraId="2791EFE5">
      <w:pPr>
        <w:snapToGrid w:val="0"/>
        <w:spacing w:line="580" w:lineRule="exact"/>
        <w:ind w:right="-817" w:rightChars="-389"/>
        <w:rPr>
          <w:rFonts w:ascii="宋体"/>
          <w:sz w:val="24"/>
        </w:rPr>
      </w:pPr>
      <w:r>
        <w:rPr>
          <w:rFonts w:hint="eastAsia" w:ascii="宋体" w:hAnsi="宋体"/>
          <w:bCs/>
          <w:color w:val="000000"/>
          <w:sz w:val="24"/>
        </w:rPr>
        <w:t>因本项目为电子标，委托代理人无法手写签字，可以电脑打印字体为准或以法定代表人签章为准。</w:t>
      </w:r>
    </w:p>
    <w:p w14:paraId="4005F30D">
      <w:pPr>
        <w:keepNext/>
        <w:keepLines/>
        <w:spacing w:before="260" w:after="260" w:line="412" w:lineRule="auto"/>
        <w:jc w:val="center"/>
        <w:outlineLvl w:val="1"/>
        <w:rPr>
          <w:rFonts w:ascii="宋体" w:hAnsi="宋体" w:cs="宋体"/>
          <w:b/>
          <w:bCs/>
          <w:sz w:val="32"/>
          <w:szCs w:val="32"/>
        </w:rPr>
      </w:pPr>
      <w:r>
        <w:rPr>
          <w:rFonts w:hint="eastAsia" w:ascii="宋体" w:hAnsi="宋体" w:cs="宋体"/>
          <w:b/>
          <w:bCs/>
          <w:sz w:val="32"/>
          <w:szCs w:val="32"/>
        </w:rPr>
        <w:t>三、投标函</w:t>
      </w:r>
    </w:p>
    <w:p w14:paraId="0561678D">
      <w:pPr>
        <w:spacing w:line="360" w:lineRule="auto"/>
        <w:jc w:val="left"/>
        <w:rPr>
          <w:spacing w:val="24"/>
          <w:sz w:val="24"/>
        </w:rPr>
      </w:pPr>
      <w:r>
        <w:rPr>
          <w:rFonts w:hint="eastAsia" w:ascii="宋体" w:hAnsi="宋体" w:cs="宋体"/>
          <w:spacing w:val="24"/>
          <w:sz w:val="24"/>
        </w:rPr>
        <w:t>致：</w:t>
      </w:r>
      <w:r>
        <w:rPr>
          <w:rFonts w:hint="eastAsia" w:ascii="宋体" w:hAnsi="宋体" w:cs="宋体"/>
          <w:spacing w:val="24"/>
          <w:sz w:val="24"/>
          <w:u w:val="single"/>
        </w:rPr>
        <w:t>（采购人）</w:t>
      </w:r>
    </w:p>
    <w:p w14:paraId="043AFBB5">
      <w:pPr>
        <w:spacing w:line="360" w:lineRule="auto"/>
        <w:ind w:firstLine="480" w:firstLineChars="200"/>
        <w:jc w:val="left"/>
        <w:rPr>
          <w:sz w:val="24"/>
        </w:rPr>
      </w:pPr>
      <w:r>
        <w:rPr>
          <w:rFonts w:hint="eastAsia" w:ascii="宋体" w:hAnsi="宋体" w:cs="宋体"/>
          <w:sz w:val="24"/>
        </w:rPr>
        <w:t>根据已收到贵方的</w:t>
      </w:r>
      <w:r>
        <w:rPr>
          <w:rFonts w:hint="eastAsia" w:ascii="宋体" w:hAnsi="宋体" w:cs="宋体"/>
          <w:sz w:val="24"/>
          <w:u w:val="single"/>
        </w:rPr>
        <w:t>（项目名称、标段）（项目编号）</w:t>
      </w:r>
      <w:r>
        <w:rPr>
          <w:rFonts w:hint="eastAsia" w:ascii="宋体" w:hAnsi="宋体" w:cs="宋体"/>
          <w:sz w:val="24"/>
        </w:rPr>
        <w:t>的竞争性磋商文件，遵照《中华人民共和国政府采购法》等有关规定，我单位经考察现场和研究上述磋商文件的响应须知、合同条款、采购内容及其它有关文件后，我方愿以人民币（大写）：</w:t>
      </w:r>
      <w:r>
        <w:rPr>
          <w:rFonts w:hint="eastAsia" w:ascii="宋体" w:hAnsi="宋体" w:cs="宋体"/>
          <w:sz w:val="24"/>
          <w:u w:val="single"/>
        </w:rPr>
        <w:t xml:space="preserve">        </w:t>
      </w:r>
      <w:r>
        <w:rPr>
          <w:rFonts w:hint="eastAsia" w:ascii="宋体" w:hAnsi="宋体" w:cs="宋体"/>
          <w:sz w:val="24"/>
        </w:rPr>
        <w:t>元（小写：</w:t>
      </w:r>
      <w:r>
        <w:rPr>
          <w:rFonts w:hint="eastAsia" w:ascii="宋体" w:hAnsi="宋体" w:cs="宋体"/>
          <w:sz w:val="24"/>
          <w:u w:val="single"/>
        </w:rPr>
        <w:t xml:space="preserve">        </w:t>
      </w:r>
      <w:r>
        <w:rPr>
          <w:rFonts w:hint="eastAsia" w:ascii="宋体" w:hAnsi="宋体" w:cs="宋体"/>
          <w:sz w:val="24"/>
        </w:rPr>
        <w:t>元）的报价，服务期限：</w:t>
      </w:r>
      <w:r>
        <w:rPr>
          <w:rFonts w:hint="eastAsia" w:ascii="宋体" w:hAnsi="宋体" w:cs="宋体"/>
          <w:sz w:val="24"/>
          <w:u w:val="single"/>
        </w:rPr>
        <w:t xml:space="preserve">       </w:t>
      </w:r>
      <w:r>
        <w:rPr>
          <w:rFonts w:hint="eastAsia" w:ascii="宋体" w:cs="宋体"/>
          <w:sz w:val="24"/>
        </w:rPr>
        <w:t>，</w:t>
      </w:r>
      <w:r>
        <w:rPr>
          <w:rFonts w:hint="eastAsia" w:ascii="宋体" w:hAnsi="宋体" w:cs="宋体"/>
          <w:sz w:val="24"/>
        </w:rPr>
        <w:t>质量要求：</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color w:val="000000" w:themeColor="text1"/>
          <w:kern w:val="0"/>
          <w:sz w:val="24"/>
          <w14:textFill>
            <w14:solidFill>
              <w14:schemeClr w14:val="tx1"/>
            </w14:solidFill>
          </w14:textFill>
        </w:rPr>
        <w:t>按合同约定完成本项目服务内容，并做出以下承诺：</w:t>
      </w:r>
    </w:p>
    <w:p w14:paraId="3B8C8BE7">
      <w:pPr>
        <w:spacing w:line="360" w:lineRule="auto"/>
        <w:ind w:firstLine="480" w:firstLineChars="200"/>
        <w:jc w:val="left"/>
        <w:rPr>
          <w:sz w:val="24"/>
        </w:rPr>
      </w:pPr>
      <w:r>
        <w:rPr>
          <w:rFonts w:ascii="宋体" w:hAnsi="宋体" w:cs="宋体"/>
          <w:sz w:val="24"/>
        </w:rPr>
        <w:t>1</w:t>
      </w:r>
      <w:r>
        <w:rPr>
          <w:rFonts w:hint="eastAsia" w:ascii="宋体" w:hAnsi="宋体" w:cs="宋体"/>
          <w:sz w:val="24"/>
        </w:rPr>
        <w:t>、我方已详细审核全部磋商文件，包括修改文件（如有）及有关附件，已充分理解并掌握了本次招标项目的全部有关情况，认为磋商文件符合法律、法规的要求，充分体现了公开、公平、公正和诚实信用原则，我方对磋商文件没有任何异议。同意接受磋商文件的全部内容和条件。</w:t>
      </w:r>
    </w:p>
    <w:p w14:paraId="5A0D03A0">
      <w:pPr>
        <w:spacing w:line="360" w:lineRule="auto"/>
        <w:ind w:firstLine="480" w:firstLineChars="200"/>
        <w:jc w:val="left"/>
        <w:rPr>
          <w:sz w:val="24"/>
        </w:rPr>
      </w:pPr>
      <w:r>
        <w:rPr>
          <w:rFonts w:ascii="宋体" w:hAnsi="宋体" w:cs="宋体"/>
          <w:sz w:val="24"/>
        </w:rPr>
        <w:t>2</w:t>
      </w:r>
      <w:r>
        <w:rPr>
          <w:rFonts w:hint="eastAsia" w:ascii="宋体" w:hAnsi="宋体" w:cs="宋体"/>
          <w:sz w:val="24"/>
        </w:rPr>
        <w:t>、我方承认投标函附表是我方投标函的组成部分。</w:t>
      </w:r>
    </w:p>
    <w:p w14:paraId="23CC160F">
      <w:pPr>
        <w:spacing w:line="360" w:lineRule="auto"/>
        <w:ind w:firstLine="480" w:firstLineChars="200"/>
        <w:rPr>
          <w:rFonts w:ascii="宋体"/>
          <w:sz w:val="24"/>
        </w:rPr>
      </w:pPr>
      <w:r>
        <w:rPr>
          <w:rFonts w:ascii="宋体" w:hAnsi="宋体" w:cs="宋体"/>
          <w:sz w:val="24"/>
        </w:rPr>
        <w:t>3</w:t>
      </w:r>
      <w:r>
        <w:rPr>
          <w:rFonts w:hint="eastAsia" w:ascii="宋体" w:hAnsi="宋体" w:cs="宋体"/>
          <w:sz w:val="24"/>
        </w:rPr>
        <w:t>、如我方供应商，我方承诺在收到供应商通知书后，在供应商通知书规定的期限内，根据磋商文件、我方的响应文件及有关澄清承诺书的要求，与采购人订立书面合同，并按照合同约定承担完成合同的责任和义务。</w:t>
      </w:r>
    </w:p>
    <w:p w14:paraId="47001D4E">
      <w:pPr>
        <w:spacing w:line="360" w:lineRule="auto"/>
        <w:ind w:firstLine="480" w:firstLineChars="200"/>
        <w:rPr>
          <w:rFonts w:ascii="宋体"/>
          <w:kern w:val="0"/>
          <w:sz w:val="24"/>
        </w:rPr>
      </w:pPr>
      <w:r>
        <w:rPr>
          <w:rFonts w:hint="eastAsia" w:ascii="宋体" w:hAnsi="宋体" w:cs="宋体"/>
          <w:sz w:val="24"/>
        </w:rPr>
        <w:t>4、</w:t>
      </w:r>
      <w:r>
        <w:rPr>
          <w:rFonts w:hint="eastAsia" w:ascii="宋体" w:hAnsi="宋体" w:cs="宋体"/>
          <w:kern w:val="0"/>
          <w:sz w:val="24"/>
        </w:rPr>
        <w:t>我方同意自本项目</w:t>
      </w:r>
      <w:r>
        <w:rPr>
          <w:rFonts w:hint="eastAsia" w:ascii="宋体" w:hAnsi="宋体" w:cs="宋体"/>
          <w:sz w:val="24"/>
        </w:rPr>
        <w:t>磋商</w:t>
      </w:r>
      <w:r>
        <w:rPr>
          <w:rFonts w:hint="eastAsia" w:ascii="宋体" w:hAnsi="宋体" w:cs="宋体"/>
          <w:kern w:val="0"/>
          <w:sz w:val="24"/>
        </w:rPr>
        <w:t>文件中规定的磋商有效期内有效，并承诺在投标有效期内不修改、撤销响应文件。</w:t>
      </w:r>
    </w:p>
    <w:p w14:paraId="12B6B73E">
      <w:pPr>
        <w:spacing w:line="360" w:lineRule="auto"/>
        <w:ind w:firstLine="480" w:firstLineChars="200"/>
        <w:rPr>
          <w:rFonts w:ascii="宋体"/>
          <w:kern w:val="0"/>
          <w:sz w:val="24"/>
        </w:rPr>
      </w:pPr>
      <w:r>
        <w:rPr>
          <w:rFonts w:hint="eastAsia" w:ascii="宋体" w:hAnsi="宋体" w:cs="宋体"/>
          <w:sz w:val="24"/>
        </w:rPr>
        <w:t>5、</w:t>
      </w:r>
      <w:r>
        <w:rPr>
          <w:rFonts w:hint="eastAsia" w:ascii="宋体" w:hAnsi="宋体" w:cs="宋体"/>
          <w:kern w:val="0"/>
          <w:sz w:val="24"/>
        </w:rPr>
        <w:t>我方完全理解贵方不一定接受投标报价最低的投标供应商为供应商供应商的行为。</w:t>
      </w:r>
    </w:p>
    <w:p w14:paraId="2659B2F1">
      <w:pPr>
        <w:spacing w:line="360" w:lineRule="auto"/>
        <w:ind w:firstLine="480" w:firstLineChars="200"/>
        <w:rPr>
          <w:rFonts w:ascii="宋体"/>
          <w:kern w:val="0"/>
          <w:sz w:val="24"/>
        </w:rPr>
      </w:pPr>
      <w:r>
        <w:rPr>
          <w:rFonts w:hint="eastAsia" w:ascii="宋体" w:hAnsi="宋体" w:cs="宋体"/>
          <w:kern w:val="0"/>
          <w:sz w:val="24"/>
        </w:rPr>
        <w:t>6、我方在此声明，所递交的响应文件及有关资料内容完整、真实和准确。</w:t>
      </w:r>
    </w:p>
    <w:p w14:paraId="1E48791F">
      <w:pPr>
        <w:spacing w:line="360" w:lineRule="auto"/>
        <w:rPr>
          <w:rFonts w:ascii="宋体" w:hAnsi="宋体" w:cs="宋体"/>
          <w:spacing w:val="24"/>
        </w:rPr>
      </w:pPr>
      <w:r>
        <w:rPr>
          <w:rFonts w:hint="eastAsia" w:ascii="宋体" w:hAnsi="宋体" w:cs="宋体"/>
          <w:spacing w:val="24"/>
        </w:rPr>
        <w:t xml:space="preserve">                          </w:t>
      </w:r>
    </w:p>
    <w:p w14:paraId="529B1B21">
      <w:pPr>
        <w:spacing w:line="480" w:lineRule="auto"/>
        <w:ind w:firstLine="3600" w:firstLineChars="1500"/>
        <w:rPr>
          <w:rFonts w:ascii="宋体" w:hAnsi="宋体" w:cs="宋体"/>
          <w:kern w:val="0"/>
          <w:sz w:val="24"/>
        </w:rPr>
      </w:pPr>
      <w:r>
        <w:rPr>
          <w:rFonts w:hint="eastAsia" w:ascii="宋体" w:hAnsi="宋体" w:cs="宋体"/>
          <w:kern w:val="0"/>
          <w:sz w:val="24"/>
        </w:rPr>
        <w:t>响应供应商(盖章)：</w:t>
      </w:r>
      <w:r>
        <w:rPr>
          <w:rFonts w:hint="eastAsia" w:ascii="宋体" w:hAnsi="宋体" w:cs="宋体"/>
          <w:kern w:val="0"/>
          <w:sz w:val="24"/>
          <w:u w:val="single"/>
        </w:rPr>
        <w:t xml:space="preserve">              </w:t>
      </w:r>
      <w:r>
        <w:rPr>
          <w:rFonts w:hint="eastAsia" w:ascii="宋体" w:hAnsi="宋体" w:cs="宋体"/>
          <w:kern w:val="0"/>
          <w:sz w:val="24"/>
        </w:rPr>
        <w:t xml:space="preserve"> </w:t>
      </w:r>
    </w:p>
    <w:p w14:paraId="603E290B">
      <w:pPr>
        <w:spacing w:line="480" w:lineRule="auto"/>
        <w:ind w:firstLine="3600" w:firstLineChars="1500"/>
        <w:rPr>
          <w:rFonts w:ascii="宋体" w:hAnsi="宋体" w:cs="宋体"/>
          <w:kern w:val="0"/>
          <w:sz w:val="24"/>
          <w:u w:val="single"/>
        </w:rPr>
      </w:pPr>
      <w:r>
        <w:rPr>
          <w:rFonts w:hint="eastAsia" w:ascii="宋体" w:hAnsi="宋体" w:cs="宋体"/>
          <w:kern w:val="0"/>
          <w:sz w:val="24"/>
        </w:rPr>
        <w:t>法定代表人或其委托代理人(签字或盖章)：</w:t>
      </w:r>
      <w:r>
        <w:rPr>
          <w:rFonts w:hint="eastAsia" w:ascii="宋体" w:hAnsi="宋体" w:cs="宋体"/>
          <w:kern w:val="0"/>
          <w:sz w:val="24"/>
          <w:u w:val="single"/>
        </w:rPr>
        <w:t xml:space="preserve">     </w:t>
      </w:r>
    </w:p>
    <w:p w14:paraId="7153F4B6">
      <w:pPr>
        <w:spacing w:line="480" w:lineRule="auto"/>
        <w:ind w:firstLine="3600" w:firstLineChars="1500"/>
        <w:rPr>
          <w:rFonts w:ascii="宋体" w:hAnsi="宋体" w:cs="宋体"/>
          <w:kern w:val="0"/>
          <w:sz w:val="24"/>
        </w:rPr>
      </w:pPr>
      <w:r>
        <w:rPr>
          <w:rFonts w:hint="eastAsia" w:ascii="宋体" w:hAnsi="宋体" w:cs="宋体"/>
          <w:kern w:val="0"/>
          <w:sz w:val="24"/>
        </w:rPr>
        <w:t>日    期：    年   月   日</w:t>
      </w:r>
    </w:p>
    <w:p w14:paraId="591FC124">
      <w:pPr>
        <w:spacing w:line="360" w:lineRule="auto"/>
        <w:rPr>
          <w:rFonts w:ascii="宋体" w:hAnsi="宋体" w:cs="宋体"/>
          <w:kern w:val="0"/>
          <w:sz w:val="24"/>
        </w:rPr>
      </w:pPr>
    </w:p>
    <w:p w14:paraId="3D6BD486">
      <w:pPr>
        <w:rPr>
          <w:rFonts w:ascii="宋体" w:hAnsi="宋体" w:cs="宋体"/>
          <w:b/>
          <w:bCs/>
          <w:sz w:val="32"/>
          <w:szCs w:val="32"/>
        </w:rPr>
      </w:pPr>
      <w:bookmarkStart w:id="2" w:name="_Toc492537568"/>
      <w:bookmarkStart w:id="3" w:name="_Toc383433763"/>
      <w:bookmarkStart w:id="4" w:name="_Toc432431877"/>
      <w:bookmarkStart w:id="5" w:name="_Toc397244497"/>
      <w:bookmarkStart w:id="6" w:name="_Toc381941237"/>
      <w:bookmarkStart w:id="7" w:name="_Toc397244569"/>
      <w:bookmarkStart w:id="8" w:name="_Toc383433665"/>
      <w:bookmarkStart w:id="9" w:name="_Toc375233604"/>
    </w:p>
    <w:p w14:paraId="05D0E1CD">
      <w:pPr>
        <w:jc w:val="center"/>
        <w:rPr>
          <w:rFonts w:ascii="宋体" w:hAnsi="宋体" w:cs="宋体"/>
          <w:b/>
          <w:bCs/>
          <w:sz w:val="32"/>
          <w:szCs w:val="32"/>
        </w:rPr>
      </w:pPr>
    </w:p>
    <w:p w14:paraId="467817DE">
      <w:pPr>
        <w:jc w:val="center"/>
        <w:rPr>
          <w:rFonts w:ascii="宋体" w:hAnsi="宋体" w:cs="宋体"/>
          <w:b/>
          <w:bCs/>
          <w:sz w:val="32"/>
          <w:szCs w:val="32"/>
        </w:rPr>
      </w:pPr>
      <w:r>
        <w:rPr>
          <w:rFonts w:hint="eastAsia" w:ascii="宋体" w:hAnsi="宋体" w:cs="宋体"/>
          <w:b/>
          <w:bCs/>
          <w:sz w:val="32"/>
          <w:szCs w:val="32"/>
        </w:rPr>
        <w:t>投标函附表</w:t>
      </w:r>
    </w:p>
    <w:p w14:paraId="0C1F2B51">
      <w:pPr>
        <w:jc w:val="center"/>
        <w:rPr>
          <w:rFonts w:ascii="宋体" w:hAnsi="宋体" w:cs="宋体"/>
          <w:b/>
          <w:bCs/>
          <w:sz w:val="32"/>
          <w:szCs w:val="32"/>
        </w:rPr>
      </w:pPr>
    </w:p>
    <w:tbl>
      <w:tblPr>
        <w:tblStyle w:val="13"/>
        <w:tblW w:w="913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7"/>
        <w:gridCol w:w="6478"/>
      </w:tblGrid>
      <w:tr w14:paraId="3F27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exact"/>
        </w:trPr>
        <w:tc>
          <w:tcPr>
            <w:tcW w:w="2657" w:type="dxa"/>
            <w:vAlign w:val="center"/>
          </w:tcPr>
          <w:p w14:paraId="1A7C33CA">
            <w:pPr>
              <w:spacing w:line="400" w:lineRule="exact"/>
              <w:jc w:val="center"/>
              <w:rPr>
                <w:rFonts w:ascii="宋体"/>
                <w:sz w:val="24"/>
              </w:rPr>
            </w:pPr>
            <w:r>
              <w:rPr>
                <w:rFonts w:hint="eastAsia" w:ascii="宋体" w:hAnsi="宋体" w:cs="宋体"/>
                <w:sz w:val="24"/>
              </w:rPr>
              <w:t>项目名称、标段</w:t>
            </w:r>
          </w:p>
        </w:tc>
        <w:tc>
          <w:tcPr>
            <w:tcW w:w="6478" w:type="dxa"/>
            <w:vAlign w:val="center"/>
          </w:tcPr>
          <w:p w14:paraId="327E04B0">
            <w:pPr>
              <w:spacing w:line="400" w:lineRule="exact"/>
              <w:rPr>
                <w:rFonts w:ascii="宋体"/>
                <w:sz w:val="24"/>
              </w:rPr>
            </w:pPr>
          </w:p>
        </w:tc>
      </w:tr>
      <w:tr w14:paraId="2EA9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exact"/>
        </w:trPr>
        <w:tc>
          <w:tcPr>
            <w:tcW w:w="2657" w:type="dxa"/>
            <w:vAlign w:val="center"/>
          </w:tcPr>
          <w:p w14:paraId="06D23498">
            <w:pPr>
              <w:spacing w:line="400" w:lineRule="exact"/>
              <w:jc w:val="center"/>
              <w:rPr>
                <w:rFonts w:ascii="宋体"/>
                <w:sz w:val="24"/>
              </w:rPr>
            </w:pPr>
            <w:r>
              <w:rPr>
                <w:rFonts w:hint="eastAsia" w:ascii="宋体" w:hAnsi="宋体" w:cs="宋体"/>
                <w:sz w:val="24"/>
              </w:rPr>
              <w:t>项目编号</w:t>
            </w:r>
          </w:p>
        </w:tc>
        <w:tc>
          <w:tcPr>
            <w:tcW w:w="6478" w:type="dxa"/>
            <w:vAlign w:val="center"/>
          </w:tcPr>
          <w:p w14:paraId="696902F9">
            <w:pPr>
              <w:spacing w:line="400" w:lineRule="exact"/>
              <w:rPr>
                <w:rFonts w:ascii="宋体"/>
                <w:sz w:val="24"/>
              </w:rPr>
            </w:pPr>
          </w:p>
        </w:tc>
      </w:tr>
      <w:tr w14:paraId="7770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exact"/>
        </w:trPr>
        <w:tc>
          <w:tcPr>
            <w:tcW w:w="2657" w:type="dxa"/>
            <w:vAlign w:val="center"/>
          </w:tcPr>
          <w:p w14:paraId="2CC524F7">
            <w:pPr>
              <w:spacing w:line="400" w:lineRule="exact"/>
              <w:jc w:val="center"/>
              <w:rPr>
                <w:rFonts w:ascii="宋体" w:hAnsi="宋体" w:cs="宋体"/>
                <w:sz w:val="24"/>
              </w:rPr>
            </w:pPr>
            <w:r>
              <w:rPr>
                <w:rFonts w:hint="eastAsia" w:ascii="宋体" w:hAnsi="宋体" w:cs="宋体"/>
                <w:sz w:val="24"/>
              </w:rPr>
              <w:t>供应商名称</w:t>
            </w:r>
          </w:p>
        </w:tc>
        <w:tc>
          <w:tcPr>
            <w:tcW w:w="6478" w:type="dxa"/>
            <w:vAlign w:val="center"/>
          </w:tcPr>
          <w:p w14:paraId="30D1549C">
            <w:pPr>
              <w:spacing w:line="400" w:lineRule="exact"/>
              <w:rPr>
                <w:rFonts w:ascii="宋体"/>
                <w:sz w:val="24"/>
              </w:rPr>
            </w:pPr>
          </w:p>
        </w:tc>
      </w:tr>
      <w:tr w14:paraId="1125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exact"/>
        </w:trPr>
        <w:tc>
          <w:tcPr>
            <w:tcW w:w="2657" w:type="dxa"/>
            <w:vAlign w:val="center"/>
          </w:tcPr>
          <w:p w14:paraId="12DA5C6F">
            <w:pPr>
              <w:spacing w:line="400" w:lineRule="exact"/>
              <w:jc w:val="center"/>
              <w:rPr>
                <w:rFonts w:ascii="宋体" w:hAnsi="宋体" w:cs="宋体"/>
                <w:sz w:val="24"/>
              </w:rPr>
            </w:pPr>
            <w:r>
              <w:rPr>
                <w:rFonts w:hint="eastAsia" w:ascii="宋体" w:hAnsi="宋体" w:cs="宋体"/>
                <w:sz w:val="24"/>
              </w:rPr>
              <w:t>磋商报价</w:t>
            </w:r>
          </w:p>
        </w:tc>
        <w:tc>
          <w:tcPr>
            <w:tcW w:w="6478" w:type="dxa"/>
            <w:vAlign w:val="center"/>
          </w:tcPr>
          <w:p w14:paraId="6B17DC37">
            <w:pPr>
              <w:spacing w:line="400" w:lineRule="exact"/>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p>
          <w:p w14:paraId="4E190D42">
            <w:pPr>
              <w:spacing w:line="400" w:lineRule="exact"/>
              <w:rPr>
                <w:rFonts w:ascii="宋体"/>
                <w:sz w:val="24"/>
              </w:rPr>
            </w:pPr>
            <w:r>
              <w:rPr>
                <w:rFonts w:hint="eastAsia" w:ascii="宋体" w:hAnsi="宋体" w:cs="宋体"/>
                <w:sz w:val="24"/>
              </w:rPr>
              <w:t>小写：</w:t>
            </w:r>
            <w:r>
              <w:rPr>
                <w:rFonts w:ascii="宋体" w:hAnsi="宋体" w:cs="宋体"/>
                <w:sz w:val="24"/>
              </w:rPr>
              <w:t xml:space="preserve"> </w:t>
            </w:r>
            <w:r>
              <w:rPr>
                <w:rFonts w:hint="eastAsia" w:ascii="宋体" w:hAnsi="宋体" w:cs="宋体"/>
                <w:sz w:val="24"/>
              </w:rPr>
              <w:t xml:space="preserve">    元</w:t>
            </w:r>
          </w:p>
        </w:tc>
      </w:tr>
      <w:tr w14:paraId="1E0F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exact"/>
        </w:trPr>
        <w:tc>
          <w:tcPr>
            <w:tcW w:w="2657" w:type="dxa"/>
            <w:vAlign w:val="center"/>
          </w:tcPr>
          <w:p w14:paraId="1797C375">
            <w:pPr>
              <w:spacing w:line="400" w:lineRule="exact"/>
              <w:jc w:val="center"/>
              <w:rPr>
                <w:rFonts w:ascii="宋体" w:hAnsi="宋体" w:cs="宋体"/>
                <w:sz w:val="24"/>
              </w:rPr>
            </w:pPr>
            <w:r>
              <w:rPr>
                <w:rFonts w:hint="eastAsia" w:ascii="宋体" w:hAnsi="宋体" w:cs="宋体"/>
                <w:sz w:val="24"/>
              </w:rPr>
              <w:t>项目负责人</w:t>
            </w:r>
          </w:p>
        </w:tc>
        <w:tc>
          <w:tcPr>
            <w:tcW w:w="6478" w:type="dxa"/>
            <w:vAlign w:val="center"/>
          </w:tcPr>
          <w:p w14:paraId="2C9793B8">
            <w:pPr>
              <w:spacing w:line="400" w:lineRule="exact"/>
              <w:rPr>
                <w:rFonts w:ascii="宋体" w:hAnsi="宋体" w:cs="宋体"/>
                <w:sz w:val="24"/>
              </w:rPr>
            </w:pPr>
            <w:r>
              <w:rPr>
                <w:rFonts w:hint="eastAsia" w:ascii="宋体" w:hAnsi="宋体" w:cs="宋体"/>
                <w:sz w:val="24"/>
              </w:rPr>
              <w:t>姓名：</w:t>
            </w:r>
          </w:p>
          <w:p w14:paraId="12702C3F">
            <w:pPr>
              <w:spacing w:line="400" w:lineRule="exact"/>
              <w:rPr>
                <w:rFonts w:ascii="宋体" w:hAnsi="宋体" w:cs="宋体"/>
                <w:sz w:val="24"/>
              </w:rPr>
            </w:pPr>
            <w:r>
              <w:rPr>
                <w:rFonts w:hint="eastAsia" w:ascii="宋体" w:hAnsi="宋体" w:cs="宋体"/>
                <w:sz w:val="24"/>
              </w:rPr>
              <w:t>证书级别：</w:t>
            </w:r>
          </w:p>
          <w:p w14:paraId="2F6228D0">
            <w:pPr>
              <w:spacing w:line="400" w:lineRule="exact"/>
              <w:rPr>
                <w:rFonts w:ascii="宋体" w:hAnsi="宋体" w:cs="宋体"/>
                <w:sz w:val="24"/>
              </w:rPr>
            </w:pPr>
            <w:r>
              <w:rPr>
                <w:rFonts w:hint="eastAsia" w:ascii="宋体" w:hAnsi="宋体" w:cs="宋体"/>
                <w:sz w:val="24"/>
              </w:rPr>
              <w:t>证书编号：</w:t>
            </w:r>
          </w:p>
        </w:tc>
      </w:tr>
      <w:tr w14:paraId="7E2E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exact"/>
        </w:trPr>
        <w:tc>
          <w:tcPr>
            <w:tcW w:w="2657" w:type="dxa"/>
            <w:vAlign w:val="center"/>
          </w:tcPr>
          <w:p w14:paraId="07F31692">
            <w:pPr>
              <w:spacing w:line="400" w:lineRule="exact"/>
              <w:jc w:val="center"/>
              <w:rPr>
                <w:rFonts w:ascii="宋体"/>
                <w:sz w:val="24"/>
              </w:rPr>
            </w:pPr>
            <w:r>
              <w:rPr>
                <w:rFonts w:hint="eastAsia" w:ascii="宋体" w:hAnsi="宋体" w:cs="宋体"/>
                <w:sz w:val="24"/>
              </w:rPr>
              <w:t>服务期限</w:t>
            </w:r>
          </w:p>
        </w:tc>
        <w:tc>
          <w:tcPr>
            <w:tcW w:w="6478" w:type="dxa"/>
            <w:vAlign w:val="center"/>
          </w:tcPr>
          <w:p w14:paraId="507869BB">
            <w:pPr>
              <w:spacing w:line="400" w:lineRule="exact"/>
              <w:ind w:firstLine="840" w:firstLineChars="350"/>
              <w:rPr>
                <w:rFonts w:ascii="宋体"/>
                <w:sz w:val="24"/>
              </w:rPr>
            </w:pPr>
          </w:p>
        </w:tc>
      </w:tr>
      <w:tr w14:paraId="7D3C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exact"/>
        </w:trPr>
        <w:tc>
          <w:tcPr>
            <w:tcW w:w="2657" w:type="dxa"/>
            <w:vAlign w:val="center"/>
          </w:tcPr>
          <w:p w14:paraId="7378F873">
            <w:pPr>
              <w:spacing w:line="400" w:lineRule="exact"/>
              <w:jc w:val="center"/>
              <w:rPr>
                <w:rFonts w:ascii="宋体" w:hAnsi="宋体" w:cs="宋体"/>
                <w:sz w:val="24"/>
              </w:rPr>
            </w:pPr>
            <w:r>
              <w:rPr>
                <w:rFonts w:hint="eastAsia" w:ascii="宋体" w:hAnsi="宋体" w:cs="宋体"/>
                <w:sz w:val="24"/>
              </w:rPr>
              <w:t>质量要求</w:t>
            </w:r>
          </w:p>
        </w:tc>
        <w:tc>
          <w:tcPr>
            <w:tcW w:w="6478" w:type="dxa"/>
            <w:vAlign w:val="center"/>
          </w:tcPr>
          <w:p w14:paraId="0BA97D45">
            <w:pPr>
              <w:spacing w:line="400" w:lineRule="exact"/>
              <w:jc w:val="center"/>
              <w:rPr>
                <w:rFonts w:ascii="宋体"/>
                <w:sz w:val="24"/>
              </w:rPr>
            </w:pPr>
          </w:p>
        </w:tc>
      </w:tr>
      <w:tr w14:paraId="1153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exact"/>
        </w:trPr>
        <w:tc>
          <w:tcPr>
            <w:tcW w:w="2657" w:type="dxa"/>
            <w:vAlign w:val="center"/>
          </w:tcPr>
          <w:p w14:paraId="20227FBD">
            <w:pPr>
              <w:spacing w:line="400" w:lineRule="exact"/>
              <w:jc w:val="center"/>
              <w:rPr>
                <w:rFonts w:ascii="宋体" w:hAnsi="宋体" w:cs="宋体"/>
                <w:sz w:val="24"/>
              </w:rPr>
            </w:pPr>
            <w:r>
              <w:rPr>
                <w:rFonts w:hint="eastAsia" w:ascii="宋体" w:hAnsi="宋体" w:cs="宋体"/>
                <w:sz w:val="24"/>
              </w:rPr>
              <w:t>磋商有效期</w:t>
            </w:r>
          </w:p>
        </w:tc>
        <w:tc>
          <w:tcPr>
            <w:tcW w:w="6478" w:type="dxa"/>
            <w:vAlign w:val="center"/>
          </w:tcPr>
          <w:p w14:paraId="7E901E06">
            <w:pPr>
              <w:spacing w:line="400" w:lineRule="exact"/>
              <w:jc w:val="center"/>
              <w:rPr>
                <w:rFonts w:ascii="宋体"/>
                <w:sz w:val="24"/>
              </w:rPr>
            </w:pPr>
          </w:p>
        </w:tc>
      </w:tr>
      <w:tr w14:paraId="6F5E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exact"/>
        </w:trPr>
        <w:tc>
          <w:tcPr>
            <w:tcW w:w="2657" w:type="dxa"/>
            <w:vAlign w:val="center"/>
          </w:tcPr>
          <w:p w14:paraId="7E1C6B1B">
            <w:pPr>
              <w:spacing w:line="400" w:lineRule="exact"/>
              <w:jc w:val="center"/>
              <w:rPr>
                <w:rFonts w:ascii="宋体" w:hAnsi="宋体" w:cs="宋体"/>
                <w:sz w:val="24"/>
              </w:rPr>
            </w:pPr>
            <w:r>
              <w:rPr>
                <w:rFonts w:hint="eastAsia" w:ascii="宋体" w:hAnsi="宋体" w:cs="宋体"/>
                <w:sz w:val="24"/>
              </w:rPr>
              <w:t>项目联系人及联系方式</w:t>
            </w:r>
          </w:p>
        </w:tc>
        <w:tc>
          <w:tcPr>
            <w:tcW w:w="6478" w:type="dxa"/>
            <w:vAlign w:val="center"/>
          </w:tcPr>
          <w:p w14:paraId="32E72542">
            <w:pPr>
              <w:spacing w:line="400" w:lineRule="exact"/>
              <w:jc w:val="center"/>
              <w:rPr>
                <w:rFonts w:ascii="宋体"/>
                <w:sz w:val="24"/>
              </w:rPr>
            </w:pPr>
          </w:p>
        </w:tc>
      </w:tr>
      <w:tr w14:paraId="6F9C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exact"/>
        </w:trPr>
        <w:tc>
          <w:tcPr>
            <w:tcW w:w="2657" w:type="dxa"/>
            <w:vAlign w:val="center"/>
          </w:tcPr>
          <w:p w14:paraId="142E8CAA">
            <w:pPr>
              <w:spacing w:line="400" w:lineRule="exact"/>
              <w:jc w:val="center"/>
              <w:rPr>
                <w:rFonts w:ascii="宋体" w:hAnsi="宋体" w:cs="宋体"/>
                <w:sz w:val="24"/>
              </w:rPr>
            </w:pPr>
            <w:r>
              <w:rPr>
                <w:rFonts w:hint="eastAsia" w:ascii="宋体" w:hAnsi="宋体" w:cs="宋体"/>
                <w:sz w:val="24"/>
              </w:rPr>
              <w:t>备注</w:t>
            </w:r>
          </w:p>
        </w:tc>
        <w:tc>
          <w:tcPr>
            <w:tcW w:w="6478" w:type="dxa"/>
            <w:vAlign w:val="center"/>
          </w:tcPr>
          <w:p w14:paraId="7ACBF161">
            <w:pPr>
              <w:spacing w:line="400" w:lineRule="exact"/>
              <w:jc w:val="center"/>
              <w:rPr>
                <w:rFonts w:ascii="宋体"/>
                <w:sz w:val="24"/>
              </w:rPr>
            </w:pPr>
          </w:p>
        </w:tc>
      </w:tr>
    </w:tbl>
    <w:p w14:paraId="68B686EF">
      <w:pPr>
        <w:snapToGrid w:val="0"/>
        <w:spacing w:line="580" w:lineRule="exact"/>
        <w:ind w:left="-18" w:leftChars="-22" w:right="-817" w:rightChars="-389" w:hanging="28" w:hangingChars="12"/>
        <w:rPr>
          <w:rFonts w:ascii="宋体" w:hAnsi="宋体" w:cs="宋体"/>
          <w:sz w:val="24"/>
        </w:rPr>
      </w:pPr>
    </w:p>
    <w:p w14:paraId="1A37B117">
      <w:pPr>
        <w:spacing w:line="360" w:lineRule="auto"/>
        <w:ind w:firstLine="3360" w:firstLineChars="1400"/>
        <w:rPr>
          <w:rFonts w:ascii="宋体" w:hAnsi="宋体" w:cs="宋体"/>
          <w:sz w:val="24"/>
        </w:rPr>
      </w:pPr>
    </w:p>
    <w:p w14:paraId="22105F50">
      <w:pPr>
        <w:spacing w:line="360" w:lineRule="auto"/>
        <w:ind w:firstLine="3360" w:firstLineChars="1400"/>
        <w:rPr>
          <w:rFonts w:ascii="宋体" w:hAnsi="宋体" w:cs="宋体"/>
          <w:sz w:val="24"/>
        </w:rPr>
      </w:pPr>
    </w:p>
    <w:p w14:paraId="084CECEC">
      <w:pPr>
        <w:spacing w:line="480" w:lineRule="auto"/>
        <w:ind w:firstLine="3120" w:firstLineChars="1300"/>
        <w:rPr>
          <w:rFonts w:ascii="宋体" w:hAnsi="宋体" w:cs="宋体"/>
          <w:kern w:val="0"/>
          <w:sz w:val="24"/>
        </w:rPr>
      </w:pPr>
      <w:r>
        <w:rPr>
          <w:rFonts w:hint="eastAsia" w:ascii="宋体" w:hAnsi="宋体" w:cs="宋体"/>
          <w:kern w:val="0"/>
          <w:sz w:val="24"/>
        </w:rPr>
        <w:t>响应供应商(盖章)：</w:t>
      </w:r>
      <w:r>
        <w:rPr>
          <w:rFonts w:hint="eastAsia" w:ascii="宋体" w:hAnsi="宋体" w:cs="宋体"/>
          <w:kern w:val="0"/>
          <w:sz w:val="24"/>
          <w:u w:val="single"/>
        </w:rPr>
        <w:t xml:space="preserve">              </w:t>
      </w:r>
      <w:r>
        <w:rPr>
          <w:rFonts w:hint="eastAsia" w:ascii="宋体" w:hAnsi="宋体" w:cs="宋体"/>
          <w:kern w:val="0"/>
          <w:sz w:val="24"/>
        </w:rPr>
        <w:t xml:space="preserve"> </w:t>
      </w:r>
    </w:p>
    <w:p w14:paraId="71147F9B">
      <w:pPr>
        <w:spacing w:line="480" w:lineRule="auto"/>
        <w:ind w:firstLine="3120" w:firstLineChars="1300"/>
        <w:rPr>
          <w:rFonts w:ascii="宋体" w:hAnsi="宋体" w:cs="宋体"/>
          <w:kern w:val="0"/>
          <w:sz w:val="24"/>
          <w:u w:val="single"/>
        </w:rPr>
      </w:pPr>
      <w:r>
        <w:rPr>
          <w:rFonts w:hint="eastAsia" w:ascii="宋体" w:hAnsi="宋体" w:cs="宋体"/>
          <w:kern w:val="0"/>
          <w:sz w:val="24"/>
        </w:rPr>
        <w:t>法定代表人或其委托代理人(签字或盖章)：</w:t>
      </w:r>
      <w:r>
        <w:rPr>
          <w:rFonts w:hint="eastAsia" w:ascii="宋体" w:hAnsi="宋体" w:cs="宋体"/>
          <w:kern w:val="0"/>
          <w:sz w:val="24"/>
          <w:u w:val="single"/>
        </w:rPr>
        <w:t xml:space="preserve">       </w:t>
      </w:r>
    </w:p>
    <w:p w14:paraId="5F4DA88C">
      <w:pPr>
        <w:spacing w:line="480" w:lineRule="auto"/>
        <w:ind w:right="480" w:firstLine="3120" w:firstLineChars="1300"/>
        <w:rPr>
          <w:sz w:val="24"/>
        </w:rPr>
      </w:pPr>
      <w:r>
        <w:rPr>
          <w:rFonts w:hint="eastAsia" w:ascii="宋体" w:hAnsi="宋体" w:cs="宋体"/>
          <w:kern w:val="0"/>
          <w:sz w:val="24"/>
        </w:rPr>
        <w:t>日    期：      年   月   日</w:t>
      </w:r>
    </w:p>
    <w:p w14:paraId="7E34291A"/>
    <w:p w14:paraId="3620DF0D">
      <w:pPr>
        <w:wordWrap w:val="0"/>
        <w:spacing w:line="520" w:lineRule="exact"/>
        <w:jc w:val="center"/>
        <w:rPr>
          <w:rFonts w:ascii="宋体" w:hAnsi="宋体" w:cs="宋体"/>
          <w:b/>
          <w:bCs/>
          <w:sz w:val="32"/>
          <w:szCs w:val="32"/>
        </w:rPr>
      </w:pPr>
      <w:r>
        <w:rPr>
          <w:rFonts w:hint="eastAsia" w:ascii="宋体" w:hAnsi="宋体" w:cs="宋体"/>
          <w:b/>
          <w:bCs/>
          <w:sz w:val="32"/>
          <w:szCs w:val="32"/>
        </w:rPr>
        <w:t>四、服务方案</w:t>
      </w:r>
    </w:p>
    <w:p w14:paraId="2D6C41DE">
      <w:pPr>
        <w:spacing w:line="360" w:lineRule="auto"/>
        <w:jc w:val="center"/>
        <w:rPr>
          <w:rFonts w:ascii="宋体" w:hAnsi="宋体"/>
          <w:b/>
          <w:sz w:val="30"/>
          <w:szCs w:val="30"/>
        </w:rPr>
      </w:pPr>
    </w:p>
    <w:p w14:paraId="316C68B8">
      <w:pPr>
        <w:spacing w:line="360" w:lineRule="auto"/>
        <w:jc w:val="center"/>
        <w:rPr>
          <w:rFonts w:ascii="宋体" w:hAnsi="宋体"/>
          <w:sz w:val="24"/>
        </w:rPr>
      </w:pPr>
      <w:r>
        <w:rPr>
          <w:rFonts w:hint="eastAsia" w:ascii="宋体" w:hAnsi="宋体"/>
          <w:b/>
          <w:sz w:val="30"/>
          <w:szCs w:val="30"/>
        </w:rPr>
        <w:t>格式自拟</w:t>
      </w:r>
    </w:p>
    <w:p w14:paraId="38E5505D">
      <w:pPr>
        <w:spacing w:line="360" w:lineRule="auto"/>
        <w:ind w:firstLine="3120" w:firstLineChars="1300"/>
        <w:rPr>
          <w:rFonts w:ascii="宋体" w:hAnsi="宋体"/>
          <w:sz w:val="24"/>
        </w:rPr>
      </w:pPr>
    </w:p>
    <w:p w14:paraId="03185ABF">
      <w:pPr>
        <w:spacing w:line="360" w:lineRule="auto"/>
        <w:ind w:firstLine="3120" w:firstLineChars="1300"/>
        <w:rPr>
          <w:rFonts w:ascii="宋体" w:hAnsi="宋体"/>
          <w:sz w:val="24"/>
        </w:rPr>
      </w:pPr>
    </w:p>
    <w:p w14:paraId="7D7A8217">
      <w:pPr>
        <w:spacing w:line="360" w:lineRule="auto"/>
        <w:ind w:firstLine="3120" w:firstLineChars="1300"/>
        <w:rPr>
          <w:rFonts w:ascii="宋体" w:hAnsi="宋体"/>
          <w:sz w:val="24"/>
        </w:rPr>
      </w:pPr>
    </w:p>
    <w:p w14:paraId="0BDD8F42">
      <w:pPr>
        <w:spacing w:line="360" w:lineRule="auto"/>
        <w:ind w:firstLine="3120" w:firstLineChars="1300"/>
        <w:rPr>
          <w:rFonts w:ascii="宋体" w:hAnsi="宋体"/>
          <w:sz w:val="24"/>
        </w:rPr>
      </w:pPr>
    </w:p>
    <w:p w14:paraId="1BDB9E5C">
      <w:pPr>
        <w:spacing w:line="360" w:lineRule="auto"/>
        <w:ind w:firstLine="3120" w:firstLineChars="1300"/>
        <w:rPr>
          <w:rFonts w:ascii="宋体" w:hAnsi="宋体"/>
          <w:sz w:val="24"/>
        </w:rPr>
      </w:pPr>
    </w:p>
    <w:p w14:paraId="7484AFA1">
      <w:pPr>
        <w:spacing w:line="360" w:lineRule="auto"/>
        <w:ind w:firstLine="3120" w:firstLineChars="1300"/>
        <w:rPr>
          <w:rFonts w:ascii="宋体" w:hAnsi="宋体"/>
          <w:sz w:val="24"/>
        </w:rPr>
      </w:pPr>
    </w:p>
    <w:p w14:paraId="0ACC3C24">
      <w:pPr>
        <w:spacing w:line="360" w:lineRule="auto"/>
        <w:ind w:firstLine="3120" w:firstLineChars="1300"/>
        <w:rPr>
          <w:rFonts w:ascii="宋体" w:hAnsi="宋体"/>
          <w:sz w:val="24"/>
        </w:rPr>
      </w:pPr>
    </w:p>
    <w:p w14:paraId="2D9294E1">
      <w:pPr>
        <w:spacing w:line="360" w:lineRule="auto"/>
        <w:ind w:firstLine="3120" w:firstLineChars="1300"/>
        <w:rPr>
          <w:rFonts w:ascii="宋体" w:hAnsi="宋体"/>
          <w:sz w:val="24"/>
        </w:rPr>
      </w:pPr>
    </w:p>
    <w:p w14:paraId="264F9FA0">
      <w:pPr>
        <w:spacing w:line="360" w:lineRule="auto"/>
        <w:ind w:firstLine="3120" w:firstLineChars="1300"/>
        <w:rPr>
          <w:rFonts w:ascii="宋体" w:hAnsi="宋体"/>
          <w:sz w:val="24"/>
        </w:rPr>
      </w:pPr>
    </w:p>
    <w:p w14:paraId="50DEDAC7">
      <w:pPr>
        <w:spacing w:line="480" w:lineRule="auto"/>
        <w:ind w:firstLine="3360" w:firstLineChars="1400"/>
        <w:rPr>
          <w:rFonts w:ascii="宋体" w:hAnsi="宋体" w:cs="宋体"/>
          <w:kern w:val="0"/>
          <w:sz w:val="24"/>
        </w:rPr>
      </w:pPr>
      <w:r>
        <w:rPr>
          <w:rFonts w:hint="eastAsia" w:ascii="宋体" w:hAnsi="宋体" w:cs="宋体"/>
          <w:kern w:val="0"/>
          <w:sz w:val="24"/>
        </w:rPr>
        <w:t>响应供应商(盖章)：</w:t>
      </w:r>
      <w:r>
        <w:rPr>
          <w:rFonts w:hint="eastAsia" w:ascii="宋体" w:hAnsi="宋体" w:cs="宋体"/>
          <w:kern w:val="0"/>
          <w:sz w:val="24"/>
          <w:u w:val="single"/>
        </w:rPr>
        <w:t xml:space="preserve">              </w:t>
      </w:r>
      <w:r>
        <w:rPr>
          <w:rFonts w:hint="eastAsia" w:ascii="宋体" w:hAnsi="宋体" w:cs="宋体"/>
          <w:kern w:val="0"/>
          <w:sz w:val="24"/>
        </w:rPr>
        <w:t xml:space="preserve"> </w:t>
      </w:r>
    </w:p>
    <w:p w14:paraId="27143315">
      <w:pPr>
        <w:spacing w:line="480" w:lineRule="auto"/>
        <w:ind w:firstLine="3360" w:firstLineChars="1400"/>
        <w:rPr>
          <w:rFonts w:ascii="宋体" w:hAnsi="宋体" w:cs="宋体"/>
          <w:kern w:val="0"/>
          <w:sz w:val="24"/>
          <w:u w:val="single"/>
        </w:rPr>
      </w:pPr>
      <w:r>
        <w:rPr>
          <w:rFonts w:hint="eastAsia" w:ascii="宋体" w:hAnsi="宋体" w:cs="宋体"/>
          <w:kern w:val="0"/>
          <w:sz w:val="24"/>
        </w:rPr>
        <w:t>法定代表人或其委托代理人(签字或盖章)：</w:t>
      </w:r>
      <w:r>
        <w:rPr>
          <w:rFonts w:hint="eastAsia" w:ascii="宋体" w:hAnsi="宋体" w:cs="宋体"/>
          <w:kern w:val="0"/>
          <w:sz w:val="24"/>
          <w:u w:val="single"/>
        </w:rPr>
        <w:t xml:space="preserve">       </w:t>
      </w:r>
    </w:p>
    <w:p w14:paraId="64D35765">
      <w:pPr>
        <w:spacing w:line="360" w:lineRule="auto"/>
        <w:ind w:firstLine="3360" w:firstLineChars="1400"/>
        <w:rPr>
          <w:rFonts w:ascii="宋体" w:hAnsi="宋体" w:cs="宋体"/>
          <w:b/>
          <w:bCs/>
          <w:sz w:val="30"/>
          <w:szCs w:val="30"/>
        </w:rPr>
      </w:pPr>
      <w:r>
        <w:rPr>
          <w:rFonts w:hint="eastAsia" w:ascii="宋体" w:hAnsi="宋体" w:cs="宋体"/>
          <w:kern w:val="0"/>
          <w:sz w:val="24"/>
        </w:rPr>
        <w:t>日    期：      年   月   日</w:t>
      </w:r>
    </w:p>
    <w:p w14:paraId="0B60859B">
      <w:pPr>
        <w:wordWrap w:val="0"/>
        <w:spacing w:line="520" w:lineRule="exact"/>
        <w:jc w:val="center"/>
        <w:rPr>
          <w:rFonts w:ascii="宋体" w:hAnsi="宋体" w:cs="宋体"/>
          <w:b/>
          <w:bCs/>
          <w:sz w:val="30"/>
          <w:szCs w:val="30"/>
        </w:rPr>
      </w:pPr>
    </w:p>
    <w:p w14:paraId="0341F82D">
      <w:pPr>
        <w:wordWrap w:val="0"/>
        <w:spacing w:line="520" w:lineRule="exact"/>
        <w:jc w:val="center"/>
        <w:rPr>
          <w:rFonts w:ascii="宋体" w:hAnsi="宋体" w:cs="宋体"/>
          <w:b/>
          <w:bCs/>
          <w:sz w:val="30"/>
          <w:szCs w:val="30"/>
        </w:rPr>
      </w:pPr>
    </w:p>
    <w:p w14:paraId="62F04C0E">
      <w:pPr>
        <w:wordWrap w:val="0"/>
        <w:spacing w:line="520" w:lineRule="exact"/>
        <w:jc w:val="center"/>
        <w:rPr>
          <w:rFonts w:ascii="宋体" w:hAnsi="宋体" w:cs="宋体"/>
          <w:b/>
          <w:bCs/>
          <w:sz w:val="30"/>
          <w:szCs w:val="30"/>
        </w:rPr>
      </w:pPr>
    </w:p>
    <w:p w14:paraId="394F8D07">
      <w:pPr>
        <w:wordWrap w:val="0"/>
        <w:spacing w:line="520" w:lineRule="exact"/>
        <w:jc w:val="center"/>
        <w:rPr>
          <w:rFonts w:ascii="宋体" w:hAnsi="宋体" w:cs="宋体"/>
          <w:b/>
          <w:bCs/>
          <w:sz w:val="30"/>
          <w:szCs w:val="30"/>
        </w:rPr>
      </w:pPr>
    </w:p>
    <w:p w14:paraId="7B8C33AF">
      <w:pPr>
        <w:wordWrap w:val="0"/>
        <w:spacing w:line="520" w:lineRule="exact"/>
        <w:jc w:val="center"/>
        <w:rPr>
          <w:rFonts w:ascii="宋体" w:hAnsi="宋体" w:cs="宋体"/>
          <w:b/>
          <w:bCs/>
          <w:sz w:val="30"/>
          <w:szCs w:val="30"/>
        </w:rPr>
      </w:pPr>
    </w:p>
    <w:p w14:paraId="07AEEA1A">
      <w:pPr>
        <w:wordWrap w:val="0"/>
        <w:spacing w:line="520" w:lineRule="exact"/>
        <w:jc w:val="center"/>
        <w:rPr>
          <w:rFonts w:ascii="宋体" w:hAnsi="宋体" w:cs="宋体"/>
          <w:b/>
          <w:bCs/>
          <w:sz w:val="30"/>
          <w:szCs w:val="30"/>
        </w:rPr>
      </w:pPr>
    </w:p>
    <w:p w14:paraId="31CAF4ED">
      <w:pPr>
        <w:wordWrap w:val="0"/>
        <w:spacing w:line="520" w:lineRule="exact"/>
        <w:jc w:val="center"/>
        <w:rPr>
          <w:rFonts w:ascii="宋体" w:hAnsi="宋体" w:cs="宋体"/>
          <w:b/>
          <w:bCs/>
          <w:sz w:val="30"/>
          <w:szCs w:val="30"/>
        </w:rPr>
      </w:pPr>
    </w:p>
    <w:p w14:paraId="41A035E7">
      <w:pPr>
        <w:wordWrap w:val="0"/>
        <w:spacing w:line="520" w:lineRule="exact"/>
        <w:jc w:val="center"/>
        <w:rPr>
          <w:rFonts w:ascii="宋体" w:hAnsi="宋体" w:cs="宋体"/>
          <w:b/>
          <w:bCs/>
          <w:sz w:val="30"/>
          <w:szCs w:val="30"/>
        </w:rPr>
      </w:pPr>
    </w:p>
    <w:p w14:paraId="6057F510">
      <w:pPr>
        <w:wordWrap w:val="0"/>
        <w:spacing w:line="520" w:lineRule="exact"/>
        <w:jc w:val="center"/>
        <w:rPr>
          <w:rFonts w:ascii="宋体" w:hAnsi="宋体" w:cs="宋体"/>
          <w:b/>
          <w:bCs/>
          <w:sz w:val="30"/>
          <w:szCs w:val="30"/>
        </w:rPr>
      </w:pPr>
    </w:p>
    <w:p w14:paraId="395A30BA">
      <w:pPr>
        <w:wordWrap w:val="0"/>
        <w:spacing w:line="520" w:lineRule="exact"/>
        <w:jc w:val="center"/>
        <w:rPr>
          <w:rFonts w:ascii="宋体" w:hAnsi="宋体" w:cs="宋体"/>
          <w:b/>
          <w:bCs/>
          <w:sz w:val="30"/>
          <w:szCs w:val="30"/>
        </w:rPr>
      </w:pPr>
    </w:p>
    <w:p w14:paraId="0E7D87F6">
      <w:pPr>
        <w:wordWrap w:val="0"/>
        <w:spacing w:line="520" w:lineRule="exact"/>
        <w:jc w:val="center"/>
        <w:rPr>
          <w:rFonts w:ascii="宋体" w:hAnsi="宋体" w:cs="宋体"/>
          <w:b/>
          <w:bCs/>
          <w:sz w:val="30"/>
          <w:szCs w:val="30"/>
        </w:rPr>
      </w:pPr>
    </w:p>
    <w:p w14:paraId="568360D8">
      <w:pPr>
        <w:wordWrap w:val="0"/>
        <w:spacing w:line="520" w:lineRule="exact"/>
        <w:rPr>
          <w:rFonts w:ascii="宋体" w:hAnsi="宋体" w:cs="宋体"/>
          <w:b/>
          <w:bCs/>
          <w:sz w:val="30"/>
          <w:szCs w:val="30"/>
        </w:rPr>
      </w:pPr>
    </w:p>
    <w:bookmarkEnd w:id="2"/>
    <w:bookmarkEnd w:id="3"/>
    <w:bookmarkEnd w:id="4"/>
    <w:bookmarkEnd w:id="5"/>
    <w:bookmarkEnd w:id="6"/>
    <w:bookmarkEnd w:id="7"/>
    <w:bookmarkEnd w:id="8"/>
    <w:bookmarkEnd w:id="9"/>
    <w:p w14:paraId="0DB35208">
      <w:pPr>
        <w:pStyle w:val="3"/>
        <w:widowControl/>
        <w:spacing w:line="360" w:lineRule="auto"/>
        <w:jc w:val="center"/>
        <w:rPr>
          <w:rFonts w:ascii="宋体" w:hAnsi="宋体" w:cs="宋体"/>
          <w:color w:val="000000"/>
        </w:rPr>
      </w:pPr>
      <w:r>
        <w:rPr>
          <w:rFonts w:hint="eastAsia" w:ascii="宋体" w:hAnsi="宋体" w:cs="宋体"/>
          <w:color w:val="000000"/>
        </w:rPr>
        <w:t>五、资格审查资料</w:t>
      </w:r>
    </w:p>
    <w:p w14:paraId="2F3AF62E">
      <w:pPr>
        <w:spacing w:line="360" w:lineRule="auto"/>
        <w:jc w:val="center"/>
        <w:rPr>
          <w:sz w:val="24"/>
          <w:szCs w:val="18"/>
        </w:rPr>
      </w:pPr>
      <w:bookmarkStart w:id="10" w:name="_Toc10295_WPSOffice_Level2"/>
      <w:bookmarkStart w:id="11" w:name="_Toc383433666"/>
      <w:bookmarkStart w:id="12" w:name="_Toc375233607"/>
      <w:bookmarkStart w:id="13" w:name="_Toc381941238"/>
      <w:bookmarkStart w:id="14" w:name="_Toc492537570"/>
      <w:bookmarkStart w:id="15" w:name="_Toc397244498"/>
      <w:bookmarkStart w:id="16" w:name="_Toc383433764"/>
      <w:bookmarkStart w:id="17" w:name="_Toc397244570"/>
      <w:bookmarkStart w:id="18" w:name="_Toc432431878"/>
      <w:r>
        <w:rPr>
          <w:rFonts w:hint="eastAsia"/>
          <w:sz w:val="24"/>
          <w:szCs w:val="18"/>
        </w:rPr>
        <w:t>（一）供应商基本情况表</w:t>
      </w:r>
      <w:bookmarkEnd w:id="10"/>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970"/>
        <w:gridCol w:w="1548"/>
        <w:gridCol w:w="1116"/>
        <w:gridCol w:w="1129"/>
        <w:gridCol w:w="234"/>
        <w:gridCol w:w="1676"/>
      </w:tblGrid>
      <w:tr w14:paraId="388A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726" w:type="dxa"/>
            <w:tcBorders>
              <w:top w:val="single" w:color="auto" w:sz="4" w:space="0"/>
              <w:left w:val="single" w:color="auto" w:sz="4" w:space="0"/>
              <w:bottom w:val="single" w:color="auto" w:sz="4" w:space="0"/>
              <w:right w:val="single" w:color="auto" w:sz="4" w:space="0"/>
            </w:tcBorders>
            <w:noWrap/>
            <w:vAlign w:val="center"/>
          </w:tcPr>
          <w:p w14:paraId="47DB8A24">
            <w:pPr>
              <w:spacing w:line="360" w:lineRule="auto"/>
              <w:rPr>
                <w:sz w:val="24"/>
              </w:rPr>
            </w:pPr>
            <w:r>
              <w:rPr>
                <w:rFonts w:hint="eastAsia"/>
                <w:sz w:val="24"/>
              </w:rPr>
              <w:t>供应商名称</w:t>
            </w:r>
          </w:p>
        </w:tc>
        <w:tc>
          <w:tcPr>
            <w:tcW w:w="6673" w:type="dxa"/>
            <w:gridSpan w:val="6"/>
            <w:tcBorders>
              <w:top w:val="single" w:color="auto" w:sz="4" w:space="0"/>
              <w:left w:val="single" w:color="auto" w:sz="4" w:space="0"/>
              <w:bottom w:val="single" w:color="auto" w:sz="4" w:space="0"/>
              <w:right w:val="single" w:color="auto" w:sz="4" w:space="0"/>
            </w:tcBorders>
            <w:noWrap/>
            <w:vAlign w:val="center"/>
          </w:tcPr>
          <w:p w14:paraId="2F5AD751">
            <w:pPr>
              <w:spacing w:line="360" w:lineRule="auto"/>
              <w:rPr>
                <w:sz w:val="24"/>
              </w:rPr>
            </w:pPr>
          </w:p>
        </w:tc>
      </w:tr>
      <w:tr w14:paraId="7853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1726" w:type="dxa"/>
            <w:tcBorders>
              <w:top w:val="single" w:color="auto" w:sz="4" w:space="0"/>
              <w:left w:val="single" w:color="auto" w:sz="4" w:space="0"/>
              <w:bottom w:val="single" w:color="auto" w:sz="4" w:space="0"/>
              <w:right w:val="single" w:color="auto" w:sz="4" w:space="0"/>
            </w:tcBorders>
            <w:noWrap/>
            <w:vAlign w:val="center"/>
          </w:tcPr>
          <w:p w14:paraId="7E553F3D">
            <w:pPr>
              <w:spacing w:line="360" w:lineRule="auto"/>
              <w:rPr>
                <w:sz w:val="24"/>
              </w:rPr>
            </w:pPr>
            <w:r>
              <w:rPr>
                <w:rFonts w:hint="eastAsia"/>
                <w:sz w:val="24"/>
              </w:rPr>
              <w:t>注册地址</w:t>
            </w:r>
          </w:p>
        </w:tc>
        <w:tc>
          <w:tcPr>
            <w:tcW w:w="3634" w:type="dxa"/>
            <w:gridSpan w:val="3"/>
            <w:tcBorders>
              <w:top w:val="single" w:color="auto" w:sz="4" w:space="0"/>
              <w:left w:val="single" w:color="auto" w:sz="4" w:space="0"/>
              <w:bottom w:val="single" w:color="auto" w:sz="4" w:space="0"/>
              <w:right w:val="single" w:color="auto" w:sz="4" w:space="0"/>
            </w:tcBorders>
            <w:noWrap/>
            <w:vAlign w:val="center"/>
          </w:tcPr>
          <w:p w14:paraId="58128F89">
            <w:pPr>
              <w:spacing w:line="360" w:lineRule="auto"/>
              <w:rPr>
                <w:sz w:val="24"/>
              </w:rPr>
            </w:pPr>
          </w:p>
        </w:tc>
        <w:tc>
          <w:tcPr>
            <w:tcW w:w="1363" w:type="dxa"/>
            <w:gridSpan w:val="2"/>
            <w:tcBorders>
              <w:top w:val="single" w:color="auto" w:sz="4" w:space="0"/>
              <w:left w:val="single" w:color="auto" w:sz="4" w:space="0"/>
              <w:bottom w:val="single" w:color="auto" w:sz="4" w:space="0"/>
              <w:right w:val="single" w:color="auto" w:sz="4" w:space="0"/>
            </w:tcBorders>
            <w:noWrap/>
            <w:vAlign w:val="center"/>
          </w:tcPr>
          <w:p w14:paraId="69110AB3">
            <w:pPr>
              <w:spacing w:line="360" w:lineRule="auto"/>
              <w:rPr>
                <w:sz w:val="24"/>
              </w:rPr>
            </w:pPr>
            <w:r>
              <w:rPr>
                <w:rFonts w:hint="eastAsia"/>
                <w:sz w:val="24"/>
              </w:rPr>
              <w:t>邮政编码</w:t>
            </w:r>
          </w:p>
        </w:tc>
        <w:tc>
          <w:tcPr>
            <w:tcW w:w="1676" w:type="dxa"/>
            <w:tcBorders>
              <w:top w:val="single" w:color="auto" w:sz="4" w:space="0"/>
              <w:left w:val="single" w:color="auto" w:sz="4" w:space="0"/>
              <w:bottom w:val="single" w:color="auto" w:sz="4" w:space="0"/>
              <w:right w:val="single" w:color="auto" w:sz="4" w:space="0"/>
            </w:tcBorders>
            <w:noWrap/>
            <w:vAlign w:val="center"/>
          </w:tcPr>
          <w:p w14:paraId="66DDDF42">
            <w:pPr>
              <w:spacing w:line="360" w:lineRule="auto"/>
              <w:rPr>
                <w:sz w:val="24"/>
              </w:rPr>
            </w:pPr>
          </w:p>
        </w:tc>
      </w:tr>
      <w:tr w14:paraId="37D2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726" w:type="dxa"/>
            <w:vMerge w:val="restart"/>
            <w:tcBorders>
              <w:top w:val="single" w:color="auto" w:sz="4" w:space="0"/>
              <w:left w:val="single" w:color="auto" w:sz="4" w:space="0"/>
              <w:bottom w:val="single" w:color="auto" w:sz="4" w:space="0"/>
              <w:right w:val="single" w:color="auto" w:sz="4" w:space="0"/>
            </w:tcBorders>
            <w:noWrap/>
            <w:vAlign w:val="center"/>
          </w:tcPr>
          <w:p w14:paraId="7BCDEDAB">
            <w:pPr>
              <w:spacing w:line="360" w:lineRule="auto"/>
              <w:rPr>
                <w:sz w:val="24"/>
              </w:rPr>
            </w:pPr>
            <w:r>
              <w:rPr>
                <w:rFonts w:hint="eastAsia"/>
                <w:sz w:val="24"/>
              </w:rPr>
              <w:t>联系方式</w:t>
            </w:r>
          </w:p>
        </w:tc>
        <w:tc>
          <w:tcPr>
            <w:tcW w:w="970" w:type="dxa"/>
            <w:tcBorders>
              <w:top w:val="single" w:color="auto" w:sz="4" w:space="0"/>
              <w:left w:val="single" w:color="auto" w:sz="4" w:space="0"/>
              <w:bottom w:val="single" w:color="auto" w:sz="4" w:space="0"/>
              <w:right w:val="single" w:color="auto" w:sz="4" w:space="0"/>
            </w:tcBorders>
            <w:noWrap/>
            <w:vAlign w:val="center"/>
          </w:tcPr>
          <w:p w14:paraId="15732FC1">
            <w:pPr>
              <w:spacing w:line="360" w:lineRule="auto"/>
              <w:rPr>
                <w:sz w:val="24"/>
              </w:rPr>
            </w:pPr>
            <w:r>
              <w:rPr>
                <w:rFonts w:hint="eastAsia"/>
                <w:sz w:val="24"/>
              </w:rPr>
              <w:t>联系人</w:t>
            </w:r>
          </w:p>
        </w:tc>
        <w:tc>
          <w:tcPr>
            <w:tcW w:w="2664" w:type="dxa"/>
            <w:gridSpan w:val="2"/>
            <w:tcBorders>
              <w:top w:val="single" w:color="auto" w:sz="4" w:space="0"/>
              <w:left w:val="single" w:color="auto" w:sz="4" w:space="0"/>
              <w:bottom w:val="single" w:color="auto" w:sz="4" w:space="0"/>
              <w:right w:val="single" w:color="auto" w:sz="4" w:space="0"/>
            </w:tcBorders>
            <w:noWrap/>
            <w:vAlign w:val="center"/>
          </w:tcPr>
          <w:p w14:paraId="6B1CF43B">
            <w:pPr>
              <w:spacing w:line="360" w:lineRule="auto"/>
              <w:rPr>
                <w:sz w:val="24"/>
              </w:rPr>
            </w:pPr>
          </w:p>
        </w:tc>
        <w:tc>
          <w:tcPr>
            <w:tcW w:w="1363" w:type="dxa"/>
            <w:gridSpan w:val="2"/>
            <w:tcBorders>
              <w:top w:val="single" w:color="auto" w:sz="4" w:space="0"/>
              <w:left w:val="single" w:color="auto" w:sz="4" w:space="0"/>
              <w:bottom w:val="single" w:color="auto" w:sz="4" w:space="0"/>
              <w:right w:val="single" w:color="auto" w:sz="4" w:space="0"/>
            </w:tcBorders>
            <w:noWrap/>
            <w:vAlign w:val="center"/>
          </w:tcPr>
          <w:p w14:paraId="24BC0562">
            <w:pPr>
              <w:spacing w:line="360" w:lineRule="auto"/>
              <w:rPr>
                <w:sz w:val="24"/>
              </w:rPr>
            </w:pPr>
            <w:r>
              <w:rPr>
                <w:rFonts w:hint="eastAsia"/>
                <w:sz w:val="24"/>
              </w:rPr>
              <w:t>电话</w:t>
            </w:r>
          </w:p>
        </w:tc>
        <w:tc>
          <w:tcPr>
            <w:tcW w:w="1676" w:type="dxa"/>
            <w:tcBorders>
              <w:top w:val="single" w:color="auto" w:sz="4" w:space="0"/>
              <w:left w:val="single" w:color="auto" w:sz="4" w:space="0"/>
              <w:bottom w:val="single" w:color="auto" w:sz="4" w:space="0"/>
              <w:right w:val="single" w:color="auto" w:sz="4" w:space="0"/>
            </w:tcBorders>
            <w:noWrap/>
            <w:vAlign w:val="center"/>
          </w:tcPr>
          <w:p w14:paraId="494D49AE">
            <w:pPr>
              <w:spacing w:line="360" w:lineRule="auto"/>
              <w:rPr>
                <w:sz w:val="24"/>
              </w:rPr>
            </w:pPr>
          </w:p>
        </w:tc>
      </w:tr>
      <w:tr w14:paraId="1574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726" w:type="dxa"/>
            <w:vMerge w:val="continue"/>
            <w:tcBorders>
              <w:top w:val="single" w:color="auto" w:sz="4" w:space="0"/>
              <w:left w:val="single" w:color="auto" w:sz="4" w:space="0"/>
              <w:bottom w:val="single" w:color="auto" w:sz="4" w:space="0"/>
              <w:right w:val="single" w:color="auto" w:sz="4" w:space="0"/>
            </w:tcBorders>
            <w:noWrap/>
            <w:vAlign w:val="center"/>
          </w:tcPr>
          <w:p w14:paraId="713341F4">
            <w:pPr>
              <w:rPr>
                <w:sz w:val="20"/>
                <w:szCs w:val="20"/>
              </w:rPr>
            </w:pPr>
          </w:p>
        </w:tc>
        <w:tc>
          <w:tcPr>
            <w:tcW w:w="970" w:type="dxa"/>
            <w:tcBorders>
              <w:top w:val="single" w:color="auto" w:sz="4" w:space="0"/>
              <w:left w:val="single" w:color="auto" w:sz="4" w:space="0"/>
              <w:bottom w:val="single" w:color="auto" w:sz="4" w:space="0"/>
              <w:right w:val="single" w:color="auto" w:sz="4" w:space="0"/>
            </w:tcBorders>
            <w:noWrap/>
            <w:vAlign w:val="center"/>
          </w:tcPr>
          <w:p w14:paraId="5150D30B">
            <w:pPr>
              <w:spacing w:line="360" w:lineRule="auto"/>
              <w:rPr>
                <w:sz w:val="24"/>
              </w:rPr>
            </w:pPr>
            <w:r>
              <w:rPr>
                <w:rFonts w:hint="eastAsia"/>
                <w:sz w:val="24"/>
              </w:rPr>
              <w:t>传真</w:t>
            </w:r>
          </w:p>
        </w:tc>
        <w:tc>
          <w:tcPr>
            <w:tcW w:w="2664" w:type="dxa"/>
            <w:gridSpan w:val="2"/>
            <w:tcBorders>
              <w:top w:val="single" w:color="auto" w:sz="4" w:space="0"/>
              <w:left w:val="single" w:color="auto" w:sz="4" w:space="0"/>
              <w:bottom w:val="single" w:color="auto" w:sz="4" w:space="0"/>
              <w:right w:val="single" w:color="auto" w:sz="4" w:space="0"/>
            </w:tcBorders>
            <w:noWrap/>
            <w:vAlign w:val="center"/>
          </w:tcPr>
          <w:p w14:paraId="7C231C6E">
            <w:pPr>
              <w:spacing w:line="360" w:lineRule="auto"/>
              <w:rPr>
                <w:sz w:val="24"/>
              </w:rPr>
            </w:pPr>
          </w:p>
        </w:tc>
        <w:tc>
          <w:tcPr>
            <w:tcW w:w="1363" w:type="dxa"/>
            <w:gridSpan w:val="2"/>
            <w:tcBorders>
              <w:top w:val="single" w:color="auto" w:sz="4" w:space="0"/>
              <w:left w:val="single" w:color="auto" w:sz="4" w:space="0"/>
              <w:bottom w:val="single" w:color="auto" w:sz="4" w:space="0"/>
              <w:right w:val="single" w:color="auto" w:sz="4" w:space="0"/>
            </w:tcBorders>
            <w:noWrap/>
            <w:vAlign w:val="center"/>
          </w:tcPr>
          <w:p w14:paraId="534806F7">
            <w:pPr>
              <w:spacing w:line="360" w:lineRule="auto"/>
              <w:rPr>
                <w:sz w:val="24"/>
              </w:rPr>
            </w:pPr>
            <w:r>
              <w:rPr>
                <w:rFonts w:hint="eastAsia"/>
                <w:sz w:val="24"/>
              </w:rPr>
              <w:t>网址</w:t>
            </w:r>
          </w:p>
        </w:tc>
        <w:tc>
          <w:tcPr>
            <w:tcW w:w="1676" w:type="dxa"/>
            <w:tcBorders>
              <w:top w:val="single" w:color="auto" w:sz="4" w:space="0"/>
              <w:left w:val="single" w:color="auto" w:sz="4" w:space="0"/>
              <w:bottom w:val="single" w:color="auto" w:sz="4" w:space="0"/>
              <w:right w:val="single" w:color="auto" w:sz="4" w:space="0"/>
            </w:tcBorders>
            <w:noWrap/>
            <w:vAlign w:val="center"/>
          </w:tcPr>
          <w:p w14:paraId="0A427B20">
            <w:pPr>
              <w:spacing w:line="360" w:lineRule="auto"/>
              <w:rPr>
                <w:sz w:val="24"/>
              </w:rPr>
            </w:pPr>
          </w:p>
        </w:tc>
      </w:tr>
      <w:tr w14:paraId="187B5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726" w:type="dxa"/>
            <w:tcBorders>
              <w:top w:val="single" w:color="auto" w:sz="4" w:space="0"/>
              <w:left w:val="single" w:color="auto" w:sz="4" w:space="0"/>
              <w:bottom w:val="single" w:color="auto" w:sz="4" w:space="0"/>
              <w:right w:val="single" w:color="auto" w:sz="4" w:space="0"/>
            </w:tcBorders>
            <w:noWrap/>
            <w:vAlign w:val="center"/>
          </w:tcPr>
          <w:p w14:paraId="116DE44D">
            <w:pPr>
              <w:spacing w:line="360" w:lineRule="auto"/>
              <w:rPr>
                <w:sz w:val="24"/>
              </w:rPr>
            </w:pPr>
            <w:r>
              <w:rPr>
                <w:rFonts w:hint="eastAsia"/>
                <w:sz w:val="24"/>
              </w:rPr>
              <w:t>组织结构</w:t>
            </w:r>
          </w:p>
        </w:tc>
        <w:tc>
          <w:tcPr>
            <w:tcW w:w="6673" w:type="dxa"/>
            <w:gridSpan w:val="6"/>
            <w:tcBorders>
              <w:top w:val="single" w:color="auto" w:sz="4" w:space="0"/>
              <w:left w:val="single" w:color="auto" w:sz="4" w:space="0"/>
              <w:bottom w:val="single" w:color="auto" w:sz="4" w:space="0"/>
              <w:right w:val="single" w:color="auto" w:sz="4" w:space="0"/>
            </w:tcBorders>
            <w:noWrap/>
            <w:vAlign w:val="center"/>
          </w:tcPr>
          <w:p w14:paraId="2F85E273">
            <w:pPr>
              <w:tabs>
                <w:tab w:val="left" w:pos="4776"/>
              </w:tabs>
              <w:spacing w:line="360" w:lineRule="auto"/>
              <w:rPr>
                <w:sz w:val="24"/>
              </w:rPr>
            </w:pPr>
          </w:p>
        </w:tc>
      </w:tr>
      <w:tr w14:paraId="3491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726" w:type="dxa"/>
            <w:tcBorders>
              <w:top w:val="single" w:color="auto" w:sz="4" w:space="0"/>
              <w:left w:val="single" w:color="auto" w:sz="4" w:space="0"/>
              <w:bottom w:val="single" w:color="auto" w:sz="4" w:space="0"/>
              <w:right w:val="single" w:color="auto" w:sz="4" w:space="0"/>
            </w:tcBorders>
            <w:noWrap/>
            <w:vAlign w:val="center"/>
          </w:tcPr>
          <w:p w14:paraId="518519AA">
            <w:pPr>
              <w:spacing w:line="360" w:lineRule="auto"/>
              <w:rPr>
                <w:sz w:val="24"/>
              </w:rPr>
            </w:pPr>
            <w:r>
              <w:rPr>
                <w:rFonts w:hint="eastAsia"/>
                <w:sz w:val="24"/>
              </w:rPr>
              <w:t>法定代表人</w:t>
            </w:r>
          </w:p>
        </w:tc>
        <w:tc>
          <w:tcPr>
            <w:tcW w:w="970" w:type="dxa"/>
            <w:tcBorders>
              <w:top w:val="single" w:color="auto" w:sz="4" w:space="0"/>
              <w:left w:val="single" w:color="auto" w:sz="4" w:space="0"/>
              <w:bottom w:val="single" w:color="auto" w:sz="4" w:space="0"/>
              <w:right w:val="single" w:color="auto" w:sz="4" w:space="0"/>
            </w:tcBorders>
            <w:noWrap/>
            <w:vAlign w:val="center"/>
          </w:tcPr>
          <w:p w14:paraId="233139E7">
            <w:pPr>
              <w:spacing w:line="360" w:lineRule="auto"/>
              <w:rPr>
                <w:sz w:val="24"/>
              </w:rPr>
            </w:pPr>
            <w:r>
              <w:rPr>
                <w:rFonts w:hint="eastAsia"/>
                <w:sz w:val="24"/>
              </w:rPr>
              <w:t>姓名</w:t>
            </w:r>
          </w:p>
        </w:tc>
        <w:tc>
          <w:tcPr>
            <w:tcW w:w="2664" w:type="dxa"/>
            <w:gridSpan w:val="2"/>
            <w:tcBorders>
              <w:top w:val="single" w:color="auto" w:sz="4" w:space="0"/>
              <w:left w:val="single" w:color="auto" w:sz="4" w:space="0"/>
              <w:bottom w:val="single" w:color="auto" w:sz="4" w:space="0"/>
              <w:right w:val="single" w:color="auto" w:sz="4" w:space="0"/>
            </w:tcBorders>
            <w:noWrap/>
            <w:vAlign w:val="center"/>
          </w:tcPr>
          <w:p w14:paraId="05316DE4">
            <w:pPr>
              <w:spacing w:line="360" w:lineRule="auto"/>
              <w:rPr>
                <w:sz w:val="24"/>
              </w:rPr>
            </w:pPr>
          </w:p>
        </w:tc>
        <w:tc>
          <w:tcPr>
            <w:tcW w:w="1129" w:type="dxa"/>
            <w:tcBorders>
              <w:top w:val="single" w:color="auto" w:sz="4" w:space="0"/>
              <w:left w:val="single" w:color="auto" w:sz="4" w:space="0"/>
              <w:bottom w:val="single" w:color="auto" w:sz="4" w:space="0"/>
              <w:right w:val="single" w:color="auto" w:sz="4" w:space="0"/>
            </w:tcBorders>
            <w:noWrap/>
            <w:vAlign w:val="center"/>
          </w:tcPr>
          <w:p w14:paraId="602E5E98">
            <w:pPr>
              <w:spacing w:line="360" w:lineRule="auto"/>
              <w:rPr>
                <w:sz w:val="24"/>
              </w:rPr>
            </w:pPr>
            <w:r>
              <w:rPr>
                <w:rFonts w:hint="eastAsia"/>
                <w:sz w:val="24"/>
              </w:rPr>
              <w:t>电话</w:t>
            </w:r>
          </w:p>
        </w:tc>
        <w:tc>
          <w:tcPr>
            <w:tcW w:w="1910" w:type="dxa"/>
            <w:gridSpan w:val="2"/>
            <w:tcBorders>
              <w:top w:val="single" w:color="auto" w:sz="4" w:space="0"/>
              <w:left w:val="single" w:color="auto" w:sz="4" w:space="0"/>
              <w:bottom w:val="single" w:color="auto" w:sz="4" w:space="0"/>
              <w:right w:val="single" w:color="auto" w:sz="4" w:space="0"/>
            </w:tcBorders>
            <w:noWrap/>
            <w:vAlign w:val="center"/>
          </w:tcPr>
          <w:p w14:paraId="0243B48D">
            <w:pPr>
              <w:spacing w:line="360" w:lineRule="auto"/>
              <w:rPr>
                <w:sz w:val="24"/>
              </w:rPr>
            </w:pPr>
          </w:p>
        </w:tc>
      </w:tr>
      <w:tr w14:paraId="0943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1726" w:type="dxa"/>
            <w:tcBorders>
              <w:top w:val="single" w:color="auto" w:sz="4" w:space="0"/>
              <w:left w:val="single" w:color="auto" w:sz="4" w:space="0"/>
              <w:bottom w:val="single" w:color="auto" w:sz="4" w:space="0"/>
              <w:right w:val="single" w:color="auto" w:sz="4" w:space="0"/>
            </w:tcBorders>
            <w:noWrap/>
            <w:vAlign w:val="center"/>
          </w:tcPr>
          <w:p w14:paraId="64BC466B">
            <w:pPr>
              <w:spacing w:line="360" w:lineRule="auto"/>
              <w:rPr>
                <w:sz w:val="24"/>
              </w:rPr>
            </w:pPr>
            <w:r>
              <w:rPr>
                <w:rFonts w:hint="eastAsia"/>
                <w:sz w:val="24"/>
              </w:rPr>
              <w:t>成立时间</w:t>
            </w:r>
          </w:p>
        </w:tc>
        <w:tc>
          <w:tcPr>
            <w:tcW w:w="2518" w:type="dxa"/>
            <w:gridSpan w:val="2"/>
            <w:tcBorders>
              <w:top w:val="single" w:color="auto" w:sz="4" w:space="0"/>
              <w:left w:val="single" w:color="auto" w:sz="4" w:space="0"/>
              <w:bottom w:val="single" w:color="auto" w:sz="4" w:space="0"/>
              <w:right w:val="single" w:color="auto" w:sz="4" w:space="0"/>
            </w:tcBorders>
            <w:noWrap/>
            <w:vAlign w:val="center"/>
          </w:tcPr>
          <w:p w14:paraId="6D11A440">
            <w:pPr>
              <w:spacing w:line="360" w:lineRule="auto"/>
              <w:rPr>
                <w:sz w:val="24"/>
              </w:rPr>
            </w:pPr>
          </w:p>
        </w:tc>
        <w:tc>
          <w:tcPr>
            <w:tcW w:w="4155" w:type="dxa"/>
            <w:gridSpan w:val="4"/>
            <w:tcBorders>
              <w:top w:val="single" w:color="auto" w:sz="4" w:space="0"/>
              <w:left w:val="single" w:color="auto" w:sz="4" w:space="0"/>
              <w:bottom w:val="single" w:color="auto" w:sz="4" w:space="0"/>
              <w:right w:val="single" w:color="auto" w:sz="4" w:space="0"/>
            </w:tcBorders>
            <w:noWrap/>
            <w:vAlign w:val="center"/>
          </w:tcPr>
          <w:p w14:paraId="0A2FB053">
            <w:pPr>
              <w:spacing w:line="360" w:lineRule="auto"/>
              <w:rPr>
                <w:sz w:val="24"/>
              </w:rPr>
            </w:pPr>
            <w:r>
              <w:rPr>
                <w:rFonts w:hint="eastAsia"/>
                <w:sz w:val="24"/>
              </w:rPr>
              <w:t>员工总人数：</w:t>
            </w:r>
          </w:p>
        </w:tc>
      </w:tr>
      <w:tr w14:paraId="7B91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726" w:type="dxa"/>
            <w:tcBorders>
              <w:top w:val="single" w:color="auto" w:sz="4" w:space="0"/>
              <w:left w:val="single" w:color="auto" w:sz="4" w:space="0"/>
              <w:bottom w:val="single" w:color="auto" w:sz="4" w:space="0"/>
              <w:right w:val="single" w:color="auto" w:sz="4" w:space="0"/>
            </w:tcBorders>
            <w:noWrap/>
            <w:vAlign w:val="center"/>
          </w:tcPr>
          <w:p w14:paraId="05AD0B1C">
            <w:pPr>
              <w:spacing w:line="360" w:lineRule="auto"/>
              <w:rPr>
                <w:sz w:val="24"/>
              </w:rPr>
            </w:pPr>
            <w:r>
              <w:rPr>
                <w:rFonts w:hint="eastAsia"/>
                <w:sz w:val="24"/>
              </w:rPr>
              <w:t>营业执照号</w:t>
            </w:r>
          </w:p>
        </w:tc>
        <w:tc>
          <w:tcPr>
            <w:tcW w:w="6673" w:type="dxa"/>
            <w:gridSpan w:val="6"/>
            <w:tcBorders>
              <w:top w:val="single" w:color="auto" w:sz="4" w:space="0"/>
              <w:left w:val="single" w:color="auto" w:sz="4" w:space="0"/>
              <w:bottom w:val="single" w:color="auto" w:sz="4" w:space="0"/>
              <w:right w:val="single" w:color="auto" w:sz="4" w:space="0"/>
            </w:tcBorders>
            <w:noWrap/>
            <w:vAlign w:val="center"/>
          </w:tcPr>
          <w:p w14:paraId="5AF3C197">
            <w:pPr>
              <w:spacing w:line="360" w:lineRule="auto"/>
              <w:rPr>
                <w:sz w:val="24"/>
              </w:rPr>
            </w:pPr>
          </w:p>
        </w:tc>
      </w:tr>
      <w:tr w14:paraId="3F903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726" w:type="dxa"/>
            <w:tcBorders>
              <w:top w:val="single" w:color="auto" w:sz="4" w:space="0"/>
              <w:left w:val="single" w:color="auto" w:sz="4" w:space="0"/>
              <w:bottom w:val="single" w:color="auto" w:sz="4" w:space="0"/>
              <w:right w:val="single" w:color="auto" w:sz="4" w:space="0"/>
            </w:tcBorders>
            <w:noWrap/>
            <w:vAlign w:val="center"/>
          </w:tcPr>
          <w:p w14:paraId="0CECB9A0">
            <w:pPr>
              <w:spacing w:line="360" w:lineRule="auto"/>
              <w:rPr>
                <w:sz w:val="24"/>
              </w:rPr>
            </w:pPr>
            <w:r>
              <w:rPr>
                <w:rFonts w:hint="eastAsia"/>
                <w:sz w:val="24"/>
              </w:rPr>
              <w:t>注册资金</w:t>
            </w:r>
          </w:p>
        </w:tc>
        <w:tc>
          <w:tcPr>
            <w:tcW w:w="6673" w:type="dxa"/>
            <w:gridSpan w:val="6"/>
            <w:tcBorders>
              <w:top w:val="single" w:color="auto" w:sz="4" w:space="0"/>
              <w:left w:val="single" w:color="auto" w:sz="4" w:space="0"/>
              <w:bottom w:val="single" w:color="auto" w:sz="4" w:space="0"/>
              <w:right w:val="single" w:color="auto" w:sz="4" w:space="0"/>
            </w:tcBorders>
            <w:noWrap/>
            <w:vAlign w:val="center"/>
          </w:tcPr>
          <w:p w14:paraId="3E257EC3">
            <w:pPr>
              <w:spacing w:line="360" w:lineRule="auto"/>
              <w:rPr>
                <w:sz w:val="24"/>
              </w:rPr>
            </w:pPr>
          </w:p>
        </w:tc>
      </w:tr>
      <w:tr w14:paraId="103F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726" w:type="dxa"/>
            <w:tcBorders>
              <w:top w:val="single" w:color="auto" w:sz="4" w:space="0"/>
              <w:left w:val="single" w:color="auto" w:sz="4" w:space="0"/>
              <w:bottom w:val="single" w:color="auto" w:sz="4" w:space="0"/>
              <w:right w:val="single" w:color="auto" w:sz="4" w:space="0"/>
            </w:tcBorders>
            <w:noWrap/>
            <w:vAlign w:val="center"/>
          </w:tcPr>
          <w:p w14:paraId="5EAE2743">
            <w:pPr>
              <w:spacing w:line="360" w:lineRule="auto"/>
              <w:rPr>
                <w:sz w:val="24"/>
              </w:rPr>
            </w:pPr>
            <w:r>
              <w:rPr>
                <w:rFonts w:hint="eastAsia"/>
                <w:sz w:val="24"/>
              </w:rPr>
              <w:t>经营范围备注</w:t>
            </w:r>
          </w:p>
        </w:tc>
        <w:tc>
          <w:tcPr>
            <w:tcW w:w="6673" w:type="dxa"/>
            <w:gridSpan w:val="6"/>
            <w:tcBorders>
              <w:top w:val="single" w:color="auto" w:sz="4" w:space="0"/>
              <w:left w:val="single" w:color="auto" w:sz="4" w:space="0"/>
              <w:bottom w:val="single" w:color="auto" w:sz="4" w:space="0"/>
              <w:right w:val="single" w:color="auto" w:sz="4" w:space="0"/>
            </w:tcBorders>
            <w:noWrap/>
            <w:vAlign w:val="center"/>
          </w:tcPr>
          <w:p w14:paraId="059D570B">
            <w:pPr>
              <w:spacing w:line="360" w:lineRule="auto"/>
              <w:rPr>
                <w:sz w:val="24"/>
              </w:rPr>
            </w:pPr>
          </w:p>
        </w:tc>
      </w:tr>
    </w:tbl>
    <w:p w14:paraId="7043EB6A">
      <w:pPr>
        <w:wordWrap w:val="0"/>
        <w:spacing w:line="360" w:lineRule="auto"/>
        <w:ind w:firstLine="480" w:firstLineChars="200"/>
        <w:rPr>
          <w:rFonts w:ascii="宋体" w:hAnsi="宋体" w:cs="宋体"/>
          <w:sz w:val="24"/>
        </w:rPr>
      </w:pPr>
    </w:p>
    <w:p w14:paraId="15DC7548">
      <w:pPr>
        <w:wordWrap w:val="0"/>
        <w:spacing w:line="360" w:lineRule="auto"/>
        <w:ind w:firstLine="480" w:firstLineChars="200"/>
        <w:rPr>
          <w:rFonts w:ascii="宋体" w:hAnsi="宋体" w:cs="宋体"/>
          <w:sz w:val="24"/>
        </w:rPr>
      </w:pPr>
    </w:p>
    <w:p w14:paraId="7A3EE9A4">
      <w:pPr>
        <w:spacing w:line="480" w:lineRule="auto"/>
        <w:jc w:val="center"/>
        <w:rPr>
          <w:b/>
          <w:sz w:val="28"/>
          <w:szCs w:val="28"/>
        </w:rPr>
      </w:pPr>
    </w:p>
    <w:p w14:paraId="1550C3AB">
      <w:pPr>
        <w:spacing w:line="480" w:lineRule="auto"/>
        <w:jc w:val="center"/>
        <w:rPr>
          <w:b/>
          <w:sz w:val="28"/>
          <w:szCs w:val="28"/>
        </w:rPr>
      </w:pPr>
    </w:p>
    <w:p w14:paraId="5848CB03">
      <w:pPr>
        <w:jc w:val="center"/>
        <w:rPr>
          <w:b/>
          <w:sz w:val="28"/>
          <w:szCs w:val="28"/>
        </w:rPr>
      </w:pPr>
    </w:p>
    <w:p w14:paraId="477CA16D">
      <w:pPr>
        <w:wordWrap w:val="0"/>
        <w:spacing w:line="360" w:lineRule="auto"/>
        <w:rPr>
          <w:rFonts w:ascii="宋体" w:hAnsi="宋体" w:cs="宋体"/>
          <w:b/>
          <w:bCs/>
          <w:sz w:val="30"/>
          <w:szCs w:val="30"/>
        </w:rPr>
      </w:pPr>
    </w:p>
    <w:p w14:paraId="598FCD52">
      <w:pPr>
        <w:wordWrap w:val="0"/>
        <w:spacing w:line="360" w:lineRule="auto"/>
        <w:jc w:val="center"/>
        <w:rPr>
          <w:rFonts w:ascii="宋体" w:hAnsi="宋体" w:cs="宋体"/>
          <w:b/>
          <w:bCs/>
          <w:sz w:val="30"/>
          <w:szCs w:val="30"/>
        </w:rPr>
      </w:pPr>
      <w:bookmarkStart w:id="19" w:name="_Toc13068_WPSOffice_Level2"/>
      <w:r>
        <w:rPr>
          <w:rFonts w:hint="eastAsia"/>
          <w:sz w:val="28"/>
          <w:szCs w:val="20"/>
        </w:rPr>
        <w:t>（二）竞争性磋商文件规定的资格审查资料</w:t>
      </w:r>
      <w:bookmarkEnd w:id="19"/>
    </w:p>
    <w:p w14:paraId="1DCB714F">
      <w:pPr>
        <w:wordWrap w:val="0"/>
        <w:spacing w:line="360" w:lineRule="auto"/>
        <w:jc w:val="center"/>
        <w:rPr>
          <w:rFonts w:ascii="宋体" w:hAnsi="宋体" w:cs="宋体"/>
          <w:b/>
          <w:bCs/>
          <w:sz w:val="30"/>
          <w:szCs w:val="30"/>
        </w:rPr>
      </w:pPr>
    </w:p>
    <w:p w14:paraId="53E6413B">
      <w:pPr>
        <w:wordWrap w:val="0"/>
        <w:spacing w:line="360" w:lineRule="auto"/>
        <w:jc w:val="center"/>
        <w:rPr>
          <w:rFonts w:ascii="宋体" w:hAnsi="宋体" w:cs="宋体"/>
          <w:b/>
          <w:bCs/>
          <w:sz w:val="30"/>
          <w:szCs w:val="30"/>
        </w:rPr>
      </w:pPr>
    </w:p>
    <w:p w14:paraId="5F0F4BA5">
      <w:pPr>
        <w:wordWrap w:val="0"/>
        <w:spacing w:line="360" w:lineRule="auto"/>
        <w:rPr>
          <w:rFonts w:ascii="宋体" w:hAnsi="宋体" w:cs="宋体"/>
          <w:b/>
          <w:bCs/>
          <w:sz w:val="30"/>
          <w:szCs w:val="30"/>
        </w:rPr>
      </w:pPr>
    </w:p>
    <w:p w14:paraId="3FC60418">
      <w:pPr>
        <w:wordWrap w:val="0"/>
        <w:spacing w:line="360" w:lineRule="auto"/>
        <w:jc w:val="center"/>
        <w:rPr>
          <w:rFonts w:ascii="宋体" w:hAnsi="宋体" w:cs="宋体"/>
          <w:b/>
          <w:bCs/>
          <w:sz w:val="32"/>
          <w:szCs w:val="32"/>
          <w:highlight w:val="yellow"/>
        </w:rPr>
      </w:pPr>
    </w:p>
    <w:p w14:paraId="49352608">
      <w:pPr>
        <w:wordWrap w:val="0"/>
        <w:spacing w:line="360" w:lineRule="auto"/>
        <w:jc w:val="center"/>
        <w:rPr>
          <w:rFonts w:ascii="宋体" w:hAnsi="宋体" w:cs="宋体"/>
          <w:b/>
          <w:bCs/>
          <w:sz w:val="32"/>
          <w:szCs w:val="32"/>
          <w:highlight w:val="yellow"/>
        </w:rPr>
      </w:pPr>
    </w:p>
    <w:p w14:paraId="7711716F">
      <w:pPr>
        <w:wordWrap w:val="0"/>
        <w:spacing w:line="360" w:lineRule="auto"/>
        <w:jc w:val="center"/>
        <w:rPr>
          <w:rFonts w:ascii="宋体" w:hAnsi="宋体" w:cs="宋体"/>
          <w:b/>
          <w:bCs/>
          <w:sz w:val="32"/>
          <w:szCs w:val="32"/>
          <w:highlight w:val="yellow"/>
        </w:rPr>
      </w:pPr>
    </w:p>
    <w:p w14:paraId="3561F2A6">
      <w:pPr>
        <w:wordWrap w:val="0"/>
        <w:spacing w:line="360" w:lineRule="auto"/>
        <w:jc w:val="center"/>
        <w:rPr>
          <w:rFonts w:ascii="宋体" w:hAnsi="宋体" w:cs="宋体"/>
          <w:b/>
          <w:bCs/>
          <w:sz w:val="32"/>
          <w:szCs w:val="32"/>
          <w:highlight w:val="yellow"/>
        </w:rPr>
      </w:pPr>
    </w:p>
    <w:p w14:paraId="0CD26625">
      <w:pPr>
        <w:wordWrap w:val="0"/>
        <w:spacing w:line="360" w:lineRule="auto"/>
        <w:jc w:val="center"/>
        <w:rPr>
          <w:rFonts w:ascii="宋体" w:hAnsi="宋体" w:cs="宋体"/>
          <w:b/>
          <w:bCs/>
          <w:sz w:val="32"/>
          <w:szCs w:val="32"/>
          <w:highlight w:val="yellow"/>
        </w:rPr>
      </w:pPr>
    </w:p>
    <w:p w14:paraId="2E777F44">
      <w:pPr>
        <w:wordWrap w:val="0"/>
        <w:spacing w:line="360" w:lineRule="auto"/>
        <w:jc w:val="center"/>
        <w:rPr>
          <w:rFonts w:ascii="宋体" w:hAnsi="宋体" w:cs="宋体"/>
          <w:b/>
          <w:bCs/>
          <w:sz w:val="32"/>
          <w:szCs w:val="32"/>
          <w:highlight w:val="yellow"/>
        </w:rPr>
      </w:pPr>
    </w:p>
    <w:p w14:paraId="4DAD5D6B">
      <w:pPr>
        <w:wordWrap w:val="0"/>
        <w:spacing w:line="360" w:lineRule="auto"/>
        <w:jc w:val="center"/>
        <w:rPr>
          <w:rFonts w:ascii="宋体" w:hAnsi="宋体" w:cs="宋体"/>
          <w:b/>
          <w:bCs/>
          <w:sz w:val="32"/>
          <w:szCs w:val="32"/>
          <w:highlight w:val="yellow"/>
        </w:rPr>
      </w:pPr>
    </w:p>
    <w:p w14:paraId="01D3F509">
      <w:pPr>
        <w:wordWrap w:val="0"/>
        <w:spacing w:line="360" w:lineRule="auto"/>
        <w:jc w:val="center"/>
        <w:rPr>
          <w:rFonts w:ascii="宋体" w:hAnsi="宋体" w:cs="宋体"/>
          <w:b/>
          <w:bCs/>
          <w:sz w:val="32"/>
          <w:szCs w:val="32"/>
          <w:highlight w:val="yellow"/>
        </w:rPr>
      </w:pPr>
    </w:p>
    <w:p w14:paraId="53BC5BB3">
      <w:pPr>
        <w:wordWrap w:val="0"/>
        <w:spacing w:line="360" w:lineRule="auto"/>
        <w:jc w:val="center"/>
        <w:rPr>
          <w:rFonts w:ascii="宋体" w:hAnsi="宋体" w:cs="宋体"/>
          <w:b/>
          <w:bCs/>
          <w:sz w:val="32"/>
          <w:szCs w:val="32"/>
          <w:highlight w:val="yellow"/>
        </w:rPr>
      </w:pPr>
    </w:p>
    <w:p w14:paraId="50DFA268">
      <w:pPr>
        <w:wordWrap w:val="0"/>
        <w:spacing w:line="360" w:lineRule="auto"/>
        <w:jc w:val="center"/>
        <w:rPr>
          <w:rFonts w:ascii="宋体" w:hAnsi="宋体" w:cs="宋体"/>
          <w:b/>
          <w:bCs/>
          <w:sz w:val="32"/>
          <w:szCs w:val="32"/>
          <w:highlight w:val="yellow"/>
        </w:rPr>
      </w:pPr>
    </w:p>
    <w:p w14:paraId="4DAE45FE">
      <w:pPr>
        <w:wordWrap w:val="0"/>
        <w:spacing w:line="360" w:lineRule="auto"/>
        <w:jc w:val="center"/>
        <w:rPr>
          <w:rFonts w:ascii="宋体" w:hAnsi="宋体" w:cs="宋体"/>
          <w:b/>
          <w:bCs/>
          <w:sz w:val="32"/>
          <w:szCs w:val="32"/>
          <w:highlight w:val="yellow"/>
        </w:rPr>
      </w:pPr>
    </w:p>
    <w:p w14:paraId="28C46476">
      <w:pPr>
        <w:wordWrap w:val="0"/>
        <w:spacing w:line="360" w:lineRule="auto"/>
        <w:jc w:val="center"/>
        <w:rPr>
          <w:rFonts w:ascii="宋体" w:hAnsi="宋体" w:cs="宋体"/>
          <w:b/>
          <w:bCs/>
          <w:sz w:val="32"/>
          <w:szCs w:val="32"/>
          <w:highlight w:val="yellow"/>
        </w:rPr>
      </w:pPr>
    </w:p>
    <w:p w14:paraId="2992E666">
      <w:pPr>
        <w:wordWrap w:val="0"/>
        <w:spacing w:line="360" w:lineRule="auto"/>
        <w:jc w:val="center"/>
        <w:rPr>
          <w:rFonts w:ascii="宋体" w:hAnsi="宋体" w:cs="宋体"/>
          <w:b/>
          <w:bCs/>
          <w:sz w:val="32"/>
          <w:szCs w:val="32"/>
          <w:highlight w:val="yellow"/>
        </w:rPr>
      </w:pPr>
    </w:p>
    <w:p w14:paraId="25721A32">
      <w:pPr>
        <w:wordWrap w:val="0"/>
        <w:spacing w:line="360" w:lineRule="auto"/>
        <w:jc w:val="center"/>
        <w:rPr>
          <w:rFonts w:ascii="宋体" w:hAnsi="宋体" w:cs="宋体"/>
          <w:b/>
          <w:bCs/>
          <w:sz w:val="32"/>
          <w:szCs w:val="32"/>
          <w:highlight w:val="yellow"/>
        </w:rPr>
      </w:pPr>
    </w:p>
    <w:p w14:paraId="6CE108D7">
      <w:pPr>
        <w:wordWrap w:val="0"/>
        <w:spacing w:line="360" w:lineRule="auto"/>
        <w:jc w:val="center"/>
        <w:rPr>
          <w:rFonts w:ascii="宋体" w:hAnsi="宋体" w:cs="宋体"/>
          <w:b/>
          <w:bCs/>
          <w:sz w:val="32"/>
          <w:szCs w:val="32"/>
          <w:highlight w:val="yellow"/>
        </w:rPr>
      </w:pPr>
    </w:p>
    <w:p w14:paraId="5DA31D81">
      <w:pPr>
        <w:wordWrap w:val="0"/>
        <w:spacing w:line="360" w:lineRule="auto"/>
        <w:jc w:val="center"/>
        <w:rPr>
          <w:rFonts w:ascii="宋体" w:hAnsi="宋体" w:cs="宋体"/>
          <w:b/>
          <w:bCs/>
          <w:sz w:val="32"/>
          <w:szCs w:val="32"/>
          <w:highlight w:val="yellow"/>
        </w:rPr>
      </w:pPr>
    </w:p>
    <w:p w14:paraId="4AA8FDCA">
      <w:pPr>
        <w:wordWrap w:val="0"/>
        <w:spacing w:line="360" w:lineRule="auto"/>
        <w:jc w:val="center"/>
        <w:rPr>
          <w:rFonts w:ascii="宋体" w:hAnsi="宋体" w:cs="宋体"/>
          <w:b/>
          <w:bCs/>
          <w:sz w:val="32"/>
          <w:szCs w:val="32"/>
          <w:highlight w:val="yellow"/>
        </w:rPr>
      </w:pPr>
    </w:p>
    <w:p w14:paraId="4615C48F">
      <w:pPr>
        <w:wordWrap w:val="0"/>
        <w:spacing w:line="360" w:lineRule="auto"/>
        <w:jc w:val="center"/>
        <w:rPr>
          <w:rFonts w:ascii="宋体" w:hAnsi="宋体" w:cs="宋体"/>
          <w:b/>
          <w:bCs/>
          <w:sz w:val="32"/>
          <w:szCs w:val="32"/>
          <w:highlight w:val="yellow"/>
        </w:rPr>
      </w:pPr>
    </w:p>
    <w:p w14:paraId="40E266E8">
      <w:pPr>
        <w:wordWrap w:val="0"/>
        <w:spacing w:line="360" w:lineRule="auto"/>
        <w:jc w:val="center"/>
        <w:rPr>
          <w:rFonts w:ascii="宋体" w:hAnsi="宋体"/>
          <w:b/>
          <w:sz w:val="32"/>
          <w:szCs w:val="32"/>
        </w:rPr>
      </w:pPr>
      <w:r>
        <w:rPr>
          <w:rFonts w:hint="eastAsia" w:ascii="宋体" w:hAnsi="宋体" w:cs="宋体"/>
          <w:b/>
          <w:bCs/>
          <w:sz w:val="32"/>
          <w:szCs w:val="32"/>
        </w:rPr>
        <w:t>六、</w:t>
      </w:r>
      <w:r>
        <w:rPr>
          <w:rFonts w:hint="eastAsia" w:ascii="宋体" w:hAnsi="宋体"/>
          <w:b/>
          <w:sz w:val="32"/>
          <w:szCs w:val="32"/>
        </w:rPr>
        <w:t>中小微企业声明函</w:t>
      </w:r>
    </w:p>
    <w:p w14:paraId="6F36C610">
      <w:pPr>
        <w:pStyle w:val="37"/>
        <w:jc w:val="center"/>
        <w:rPr>
          <w:rFonts w:ascii="宋体" w:hAnsi="宋体" w:cs="宋体"/>
          <w:color w:val="000000"/>
          <w:spacing w:val="14"/>
          <w:sz w:val="28"/>
          <w:szCs w:val="28"/>
        </w:rPr>
      </w:pPr>
      <w:r>
        <w:rPr>
          <w:rFonts w:hint="eastAsia" w:ascii="宋体" w:hAnsi="宋体" w:cs="宋体"/>
          <w:b/>
          <w:bCs/>
          <w:color w:val="000000"/>
          <w:spacing w:val="14"/>
          <w:sz w:val="28"/>
          <w:szCs w:val="28"/>
        </w:rPr>
        <w:t>（1）中小企业声明函（工程、服务）</w:t>
      </w:r>
    </w:p>
    <w:p w14:paraId="108D7243">
      <w:pPr>
        <w:spacing w:line="360" w:lineRule="auto"/>
        <w:ind w:firstLine="638" w:firstLineChars="266"/>
        <w:rPr>
          <w:rFonts w:ascii="宋体" w:hAnsi="宋体" w:cs="宋体"/>
          <w:bCs/>
          <w:kern w:val="0"/>
          <w:sz w:val="24"/>
        </w:rPr>
      </w:pPr>
      <w:r>
        <w:rPr>
          <w:rFonts w:hint="eastAsia" w:ascii="宋体" w:hAnsi="宋体" w:cs="宋体"/>
          <w:bCs/>
          <w:kern w:val="0"/>
          <w:sz w:val="24"/>
        </w:rPr>
        <w:t>本公司（联合体）郑重声明，根据《政府采购促进中小企业发展管理办法》（财库﹝2020﹞46 号）的规定，本公司（联合体）参加</w:t>
      </w:r>
      <w:r>
        <w:rPr>
          <w:rFonts w:hint="eastAsia" w:ascii="宋体" w:hAnsi="宋体" w:cs="宋体"/>
          <w:bCs/>
          <w:kern w:val="0"/>
          <w:sz w:val="24"/>
          <w:u w:val="single"/>
        </w:rPr>
        <w:t>（单位名称）</w:t>
      </w:r>
      <w:r>
        <w:rPr>
          <w:rFonts w:hint="eastAsia" w:ascii="宋体" w:hAnsi="宋体" w:cs="宋体"/>
          <w:bCs/>
          <w:kern w:val="0"/>
          <w:sz w:val="24"/>
        </w:rPr>
        <w:t>的</w:t>
      </w:r>
      <w:r>
        <w:rPr>
          <w:rFonts w:hint="eastAsia" w:ascii="宋体" w:hAnsi="宋体" w:cs="宋体"/>
          <w:bCs/>
          <w:kern w:val="0"/>
          <w:sz w:val="24"/>
          <w:u w:val="single"/>
        </w:rPr>
        <w:t>（项目名称）</w:t>
      </w:r>
      <w:r>
        <w:rPr>
          <w:rFonts w:hint="eastAsia" w:ascii="宋体" w:hAnsi="宋体" w:cs="宋体"/>
          <w:bCs/>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035A2561">
      <w:pPr>
        <w:spacing w:line="360" w:lineRule="auto"/>
        <w:ind w:firstLine="638" w:firstLineChars="266"/>
        <w:rPr>
          <w:rFonts w:ascii="宋体" w:hAnsi="宋体" w:cs="宋体"/>
          <w:bCs/>
          <w:kern w:val="0"/>
          <w:sz w:val="24"/>
        </w:rPr>
      </w:pPr>
      <w:r>
        <w:rPr>
          <w:rFonts w:hint="eastAsia" w:ascii="宋体" w:hAnsi="宋体" w:cs="宋体"/>
          <w:bCs/>
          <w:kern w:val="0"/>
          <w:sz w:val="24"/>
        </w:rPr>
        <w:t xml:space="preserve">1. </w:t>
      </w:r>
      <w:r>
        <w:rPr>
          <w:rFonts w:hint="eastAsia" w:ascii="宋体" w:hAnsi="宋体" w:cs="宋体"/>
          <w:bCs/>
          <w:kern w:val="0"/>
          <w:sz w:val="24"/>
          <w:u w:val="single"/>
        </w:rPr>
        <w:t>（标的名称）</w:t>
      </w:r>
      <w:r>
        <w:rPr>
          <w:rFonts w:hint="eastAsia" w:ascii="宋体" w:hAnsi="宋体" w:cs="宋体"/>
          <w:bCs/>
          <w:kern w:val="0"/>
          <w:sz w:val="24"/>
        </w:rPr>
        <w:t xml:space="preserve"> ，属于</w:t>
      </w:r>
      <w:r>
        <w:rPr>
          <w:rFonts w:hint="eastAsia" w:ascii="宋体" w:hAnsi="宋体" w:cs="宋体"/>
          <w:bCs/>
          <w:kern w:val="0"/>
          <w:sz w:val="24"/>
          <w:u w:val="single"/>
        </w:rPr>
        <w:t>（采购文件中明确的所属行业）</w:t>
      </w:r>
      <w:r>
        <w:rPr>
          <w:rFonts w:hint="eastAsia" w:ascii="宋体" w:hAnsi="宋体" w:cs="宋体"/>
          <w:bCs/>
          <w:kern w:val="0"/>
          <w:sz w:val="24"/>
        </w:rPr>
        <w:t>行业；承建（承接）企业为</w:t>
      </w:r>
      <w:r>
        <w:rPr>
          <w:rFonts w:hint="eastAsia" w:ascii="宋体" w:hAnsi="宋体" w:cs="宋体"/>
          <w:bCs/>
          <w:kern w:val="0"/>
          <w:sz w:val="24"/>
          <w:u w:val="single"/>
        </w:rPr>
        <w:t>（企业名称）</w:t>
      </w:r>
      <w:r>
        <w:rPr>
          <w:rFonts w:hint="eastAsia" w:ascii="宋体" w:hAnsi="宋体" w:cs="宋体"/>
          <w:bCs/>
          <w:kern w:val="0"/>
          <w:sz w:val="24"/>
        </w:rPr>
        <w:t>，从业人员人，营业收入为万元，资产总额为万元，属于（中型企业、小型企业、微型企业）；</w:t>
      </w:r>
    </w:p>
    <w:p w14:paraId="636B1589">
      <w:pPr>
        <w:spacing w:line="360" w:lineRule="auto"/>
        <w:ind w:firstLine="638" w:firstLineChars="266"/>
        <w:rPr>
          <w:rFonts w:ascii="宋体" w:hAnsi="宋体" w:cs="宋体"/>
          <w:bCs/>
          <w:kern w:val="0"/>
          <w:sz w:val="24"/>
        </w:rPr>
      </w:pPr>
      <w:r>
        <w:rPr>
          <w:rFonts w:hint="eastAsia" w:ascii="宋体" w:hAnsi="宋体" w:cs="宋体"/>
          <w:bCs/>
          <w:kern w:val="0"/>
          <w:sz w:val="24"/>
        </w:rPr>
        <w:t xml:space="preserve">2. </w:t>
      </w:r>
      <w:r>
        <w:rPr>
          <w:rFonts w:hint="eastAsia" w:ascii="宋体" w:hAnsi="宋体" w:cs="宋体"/>
          <w:bCs/>
          <w:kern w:val="0"/>
          <w:sz w:val="24"/>
          <w:u w:val="single"/>
        </w:rPr>
        <w:t>（标的名称）</w:t>
      </w:r>
      <w:r>
        <w:rPr>
          <w:rFonts w:hint="eastAsia" w:ascii="宋体" w:hAnsi="宋体" w:cs="宋体"/>
          <w:bCs/>
          <w:kern w:val="0"/>
          <w:sz w:val="24"/>
        </w:rPr>
        <w:t xml:space="preserve"> ，属于</w:t>
      </w:r>
      <w:r>
        <w:rPr>
          <w:rFonts w:hint="eastAsia" w:ascii="宋体" w:hAnsi="宋体" w:cs="宋体"/>
          <w:bCs/>
          <w:kern w:val="0"/>
          <w:sz w:val="24"/>
          <w:u w:val="single"/>
        </w:rPr>
        <w:t>（采购文件中明确的所属行业）</w:t>
      </w:r>
      <w:r>
        <w:rPr>
          <w:rFonts w:hint="eastAsia" w:ascii="宋体" w:hAnsi="宋体" w:cs="宋体"/>
          <w:bCs/>
          <w:kern w:val="0"/>
          <w:sz w:val="24"/>
        </w:rPr>
        <w:t>行业；承建（承接）企业为</w:t>
      </w:r>
      <w:r>
        <w:rPr>
          <w:rFonts w:hint="eastAsia" w:ascii="宋体" w:hAnsi="宋体" w:cs="宋体"/>
          <w:bCs/>
          <w:kern w:val="0"/>
          <w:sz w:val="24"/>
          <w:u w:val="single"/>
        </w:rPr>
        <w:t>（企业名称）</w:t>
      </w:r>
      <w:r>
        <w:rPr>
          <w:rFonts w:hint="eastAsia" w:ascii="宋体" w:hAnsi="宋体" w:cs="宋体"/>
          <w:bCs/>
          <w:kern w:val="0"/>
          <w:sz w:val="24"/>
        </w:rPr>
        <w:t>，从业人员人，营业收入为万元，资产总额为万元，属于（中型企业、小型企业、微型企业）；</w:t>
      </w:r>
    </w:p>
    <w:p w14:paraId="0D94716D">
      <w:pPr>
        <w:snapToGrid w:val="0"/>
        <w:spacing w:line="360" w:lineRule="auto"/>
        <w:ind w:right="482" w:firstLine="480" w:firstLineChars="200"/>
        <w:jc w:val="left"/>
        <w:rPr>
          <w:rFonts w:ascii="宋体" w:hAnsi="宋体" w:cs="宋体"/>
          <w:sz w:val="24"/>
        </w:rPr>
      </w:pPr>
      <w:r>
        <w:rPr>
          <w:rFonts w:hint="eastAsia" w:ascii="宋体" w:hAnsi="宋体" w:cs="宋体"/>
          <w:sz w:val="24"/>
        </w:rPr>
        <w:t>……</w:t>
      </w:r>
    </w:p>
    <w:p w14:paraId="4C33972B">
      <w:pPr>
        <w:snapToGrid w:val="0"/>
        <w:spacing w:line="360" w:lineRule="auto"/>
        <w:ind w:right="482" w:firstLine="480" w:firstLineChars="200"/>
        <w:jc w:val="left"/>
        <w:rPr>
          <w:rFonts w:ascii="宋体" w:hAnsi="宋体"/>
          <w:sz w:val="24"/>
          <w:szCs w:val="20"/>
        </w:rPr>
      </w:pPr>
      <w:r>
        <w:rPr>
          <w:rFonts w:hint="eastAsia" w:ascii="宋体" w:hAnsi="宋体"/>
          <w:sz w:val="24"/>
          <w:szCs w:val="20"/>
        </w:rPr>
        <w:t>以上企业，不属于大企业的分支机构，不存在控股股东为大企业的情形，也不存在与大企业的负责人为同一人的情形。</w:t>
      </w:r>
    </w:p>
    <w:p w14:paraId="630C24B3">
      <w:pPr>
        <w:snapToGrid w:val="0"/>
        <w:spacing w:line="360" w:lineRule="auto"/>
        <w:ind w:right="482" w:firstLine="480" w:firstLineChars="200"/>
        <w:jc w:val="left"/>
        <w:rPr>
          <w:rFonts w:ascii="宋体" w:hAnsi="宋体"/>
          <w:sz w:val="24"/>
          <w:szCs w:val="20"/>
        </w:rPr>
      </w:pPr>
      <w:r>
        <w:rPr>
          <w:rFonts w:hint="eastAsia" w:ascii="宋体" w:hAnsi="宋体"/>
          <w:sz w:val="24"/>
          <w:szCs w:val="20"/>
        </w:rPr>
        <w:t>本企业对上述声明内容的真实性负责。如有虚假，将依法承担相应责任。</w:t>
      </w:r>
    </w:p>
    <w:p w14:paraId="3C2CCEC8">
      <w:pPr>
        <w:snapToGrid w:val="0"/>
        <w:spacing w:line="360" w:lineRule="auto"/>
        <w:ind w:right="482" w:firstLine="480" w:firstLineChars="200"/>
        <w:jc w:val="left"/>
        <w:rPr>
          <w:rFonts w:ascii="宋体" w:hAnsi="宋体"/>
          <w:sz w:val="24"/>
          <w:szCs w:val="20"/>
        </w:rPr>
      </w:pPr>
    </w:p>
    <w:p w14:paraId="7BD507D7">
      <w:pPr>
        <w:snapToGrid w:val="0"/>
        <w:spacing w:line="360" w:lineRule="auto"/>
        <w:ind w:right="482" w:firstLine="480" w:firstLineChars="200"/>
        <w:jc w:val="left"/>
        <w:rPr>
          <w:rFonts w:ascii="宋体" w:hAnsi="宋体"/>
          <w:sz w:val="24"/>
          <w:szCs w:val="20"/>
        </w:rPr>
      </w:pPr>
    </w:p>
    <w:p w14:paraId="2903A54F">
      <w:pPr>
        <w:snapToGrid w:val="0"/>
        <w:spacing w:line="360" w:lineRule="auto"/>
        <w:ind w:right="482" w:firstLine="480" w:firstLineChars="200"/>
        <w:jc w:val="left"/>
        <w:rPr>
          <w:rFonts w:ascii="宋体" w:hAnsi="宋体"/>
          <w:sz w:val="24"/>
          <w:szCs w:val="20"/>
        </w:rPr>
      </w:pPr>
    </w:p>
    <w:p w14:paraId="23D0D5B5">
      <w:pPr>
        <w:snapToGrid w:val="0"/>
        <w:spacing w:line="360" w:lineRule="auto"/>
        <w:ind w:right="482" w:firstLine="5527" w:firstLineChars="2303"/>
        <w:rPr>
          <w:rFonts w:ascii="宋体" w:hAnsi="宋体"/>
          <w:sz w:val="24"/>
          <w:szCs w:val="20"/>
        </w:rPr>
      </w:pPr>
      <w:r>
        <w:rPr>
          <w:rFonts w:hint="eastAsia" w:ascii="宋体" w:hAnsi="宋体"/>
          <w:sz w:val="24"/>
          <w:szCs w:val="20"/>
        </w:rPr>
        <w:t>企业名称（盖章）：</w:t>
      </w:r>
    </w:p>
    <w:p w14:paraId="60A85181">
      <w:pPr>
        <w:snapToGrid w:val="0"/>
        <w:spacing w:line="360" w:lineRule="auto"/>
        <w:ind w:right="482" w:firstLine="5527" w:firstLineChars="2303"/>
        <w:rPr>
          <w:rFonts w:ascii="宋体" w:hAnsi="宋体"/>
          <w:sz w:val="24"/>
          <w:szCs w:val="20"/>
        </w:rPr>
      </w:pPr>
      <w:r>
        <w:rPr>
          <w:rFonts w:hint="eastAsia" w:ascii="宋体" w:hAnsi="宋体"/>
          <w:sz w:val="24"/>
          <w:szCs w:val="20"/>
        </w:rPr>
        <w:t>日期：</w:t>
      </w:r>
    </w:p>
    <w:p w14:paraId="0D32D935">
      <w:pPr>
        <w:spacing w:line="480" w:lineRule="auto"/>
        <w:jc w:val="center"/>
        <w:rPr>
          <w:rFonts w:ascii="宋体" w:hAnsi="宋体"/>
          <w:sz w:val="24"/>
          <w:szCs w:val="20"/>
        </w:rPr>
      </w:pPr>
    </w:p>
    <w:p w14:paraId="71C2E48E">
      <w:pPr>
        <w:spacing w:line="360" w:lineRule="auto"/>
        <w:jc w:val="left"/>
        <w:rPr>
          <w:rFonts w:ascii="宋体" w:hAnsi="宋体" w:cs="宋体"/>
          <w:b/>
          <w:bCs/>
          <w:sz w:val="24"/>
          <w:szCs w:val="20"/>
        </w:rPr>
      </w:pPr>
      <w:r>
        <w:rPr>
          <w:rFonts w:hint="eastAsia" w:ascii="宋体" w:hAnsi="宋体" w:cs="宋体"/>
          <w:b/>
          <w:bCs/>
          <w:sz w:val="24"/>
          <w:szCs w:val="20"/>
        </w:rPr>
        <w:t>注：1、从业人员、营业收入、资产总额填报上一年度数据，无上一年度数据的新成立企业可不填报。</w:t>
      </w:r>
    </w:p>
    <w:p w14:paraId="125A776D">
      <w:pPr>
        <w:numPr>
          <w:ilvl w:val="0"/>
          <w:numId w:val="2"/>
        </w:numPr>
        <w:spacing w:line="360" w:lineRule="auto"/>
        <w:jc w:val="left"/>
        <w:rPr>
          <w:rFonts w:ascii="宋体" w:hAnsi="宋体" w:cs="宋体"/>
          <w:b/>
          <w:bCs/>
          <w:sz w:val="24"/>
          <w:szCs w:val="20"/>
        </w:rPr>
      </w:pPr>
      <w:r>
        <w:rPr>
          <w:rFonts w:hint="eastAsia" w:ascii="宋体" w:hAnsi="宋体" w:cs="宋体"/>
          <w:b/>
          <w:bCs/>
          <w:sz w:val="24"/>
          <w:szCs w:val="20"/>
        </w:rPr>
        <w:t>中小企业划分标准见工业和信息化部国家统计局国家发展和改革委员财政部《关于印发中小企业划型标准规定的通知》（工信部联企业【2011】300号）。</w:t>
      </w:r>
    </w:p>
    <w:p w14:paraId="6BD2B066">
      <w:pPr>
        <w:numPr>
          <w:ilvl w:val="0"/>
          <w:numId w:val="2"/>
        </w:numPr>
        <w:spacing w:line="360" w:lineRule="auto"/>
        <w:jc w:val="left"/>
        <w:rPr>
          <w:rFonts w:ascii="宋体" w:hAnsi="宋体" w:cs="宋体"/>
          <w:b/>
          <w:bCs/>
          <w:sz w:val="24"/>
          <w:szCs w:val="20"/>
        </w:rPr>
      </w:pPr>
      <w:r>
        <w:rPr>
          <w:rFonts w:hint="eastAsia" w:ascii="宋体" w:hAnsi="宋体" w:cs="宋体"/>
          <w:b/>
          <w:bCs/>
          <w:sz w:val="24"/>
        </w:rPr>
        <w:t>本次采购标的对应的中小企业划分标准所属行业：其他未列明行业</w:t>
      </w:r>
    </w:p>
    <w:p w14:paraId="1C2424FE">
      <w:pPr>
        <w:spacing w:line="360" w:lineRule="auto"/>
        <w:jc w:val="center"/>
        <w:rPr>
          <w:b/>
          <w:sz w:val="28"/>
          <w:szCs w:val="28"/>
        </w:rPr>
      </w:pPr>
      <w:r>
        <w:rPr>
          <w:rFonts w:hint="eastAsia" w:ascii="宋体" w:hAnsi="宋体" w:cs="宋体"/>
          <w:b/>
          <w:sz w:val="28"/>
          <w:szCs w:val="28"/>
        </w:rPr>
        <w:t>（2）</w:t>
      </w:r>
      <w:r>
        <w:rPr>
          <w:rFonts w:hint="eastAsia"/>
          <w:b/>
          <w:sz w:val="28"/>
          <w:szCs w:val="28"/>
        </w:rPr>
        <w:t>残疾人福利性单位声明函</w:t>
      </w:r>
    </w:p>
    <w:p w14:paraId="7E502E10">
      <w:pPr>
        <w:spacing w:line="360" w:lineRule="auto"/>
        <w:jc w:val="center"/>
        <w:rPr>
          <w:rFonts w:ascii="宋体" w:hAnsi="宋体" w:cs="宋体"/>
          <w:sz w:val="24"/>
        </w:rPr>
      </w:pPr>
      <w:r>
        <w:rPr>
          <w:rFonts w:ascii="宋体" w:hAnsi="宋体" w:cs="宋体"/>
          <w:sz w:val="24"/>
        </w:rPr>
        <w:t>（属于残疾人福利性单位的填写，不属于的无需填写此项内容）</w:t>
      </w:r>
    </w:p>
    <w:p w14:paraId="71AA922F">
      <w:pPr>
        <w:spacing w:line="360" w:lineRule="auto"/>
        <w:ind w:firstLine="480" w:firstLineChars="200"/>
        <w:rPr>
          <w:rFonts w:ascii="宋体" w:hAnsi="宋体" w:cs="宋体"/>
          <w:sz w:val="24"/>
        </w:rPr>
      </w:pPr>
    </w:p>
    <w:p w14:paraId="484F4A7B">
      <w:pPr>
        <w:spacing w:line="360" w:lineRule="auto"/>
        <w:ind w:firstLine="480" w:firstLineChars="200"/>
        <w:rPr>
          <w:rFonts w:ascii="宋体" w:hAnsi="宋体" w:cs="宋体"/>
          <w:sz w:val="24"/>
        </w:rPr>
      </w:pPr>
      <w:r>
        <w:rPr>
          <w:rFonts w:ascii="宋体" w:hAnsi="宋体" w:cs="宋体"/>
          <w:sz w:val="24"/>
        </w:rPr>
        <w:t>本单位郑重声明，根据《财政部</w:t>
      </w:r>
      <w:r>
        <w:rPr>
          <w:rFonts w:hint="eastAsia" w:ascii="宋体" w:hAnsi="宋体" w:cs="宋体"/>
          <w:sz w:val="24"/>
        </w:rPr>
        <w:t xml:space="preserve"> </w:t>
      </w:r>
      <w:r>
        <w:rPr>
          <w:rFonts w:ascii="宋体" w:hAnsi="宋体" w:cs="宋体"/>
          <w:sz w:val="24"/>
        </w:rPr>
        <w:t>民政部</w:t>
      </w:r>
      <w:r>
        <w:rPr>
          <w:rFonts w:hint="eastAsia" w:ascii="宋体" w:hAnsi="宋体" w:cs="宋体"/>
          <w:sz w:val="24"/>
        </w:rPr>
        <w:t xml:space="preserve"> </w:t>
      </w:r>
      <w:r>
        <w:rPr>
          <w:rFonts w:ascii="宋体" w:hAnsi="宋体" w:cs="宋体"/>
          <w:sz w:val="24"/>
        </w:rPr>
        <w:t>中国残疾人联合会关于促进残疾人就业政府采购政策的通知》（财库〔2017〕141号）的规定，本单位为符合条件的残疾人福利性单位，且本单位参加</w:t>
      </w:r>
      <w:r>
        <w:rPr>
          <w:rFonts w:hint="eastAsia" w:ascii="宋体" w:hAnsi="宋体" w:cs="宋体"/>
          <w:sz w:val="24"/>
          <w:u w:val="single"/>
        </w:rPr>
        <w:t xml:space="preserve">          </w:t>
      </w:r>
      <w:r>
        <w:rPr>
          <w:rFonts w:ascii="宋体" w:hAnsi="宋体" w:cs="宋体"/>
          <w:sz w:val="24"/>
        </w:rPr>
        <w:t>单位的</w:t>
      </w:r>
      <w:r>
        <w:rPr>
          <w:rFonts w:hint="eastAsia" w:ascii="宋体" w:hAnsi="宋体" w:cs="宋体"/>
          <w:sz w:val="24"/>
          <w:u w:val="single"/>
        </w:rPr>
        <w:t xml:space="preserve">          </w:t>
      </w:r>
      <w:r>
        <w:rPr>
          <w:rFonts w:ascii="宋体" w:hAnsi="宋体" w:cs="宋体"/>
          <w:sz w:val="24"/>
        </w:rPr>
        <w:t>项目采购活动提供本单位制造的货物（由本单位承担工程/提供服务），或者提供其他残疾人福利性单位制造的货物（不包括使用非残疾人福利性单位注册商标的货物）。</w:t>
      </w:r>
    </w:p>
    <w:p w14:paraId="772F9212">
      <w:pPr>
        <w:spacing w:line="360" w:lineRule="auto"/>
        <w:ind w:firstLine="480" w:firstLineChars="200"/>
        <w:rPr>
          <w:rFonts w:ascii="宋体" w:hAnsi="宋体" w:cs="宋体"/>
          <w:sz w:val="24"/>
        </w:rPr>
      </w:pPr>
      <w:r>
        <w:rPr>
          <w:rFonts w:ascii="宋体" w:hAnsi="宋体" w:cs="宋体"/>
          <w:sz w:val="24"/>
        </w:rPr>
        <w:t>本单位对上述声明的真实性负责。如有虚假，将依法承担相应责任。</w:t>
      </w:r>
    </w:p>
    <w:p w14:paraId="390DA72A">
      <w:pPr>
        <w:spacing w:line="360" w:lineRule="auto"/>
        <w:ind w:firstLine="480" w:firstLineChars="200"/>
        <w:rPr>
          <w:rFonts w:ascii="宋体" w:hAnsi="宋体" w:cs="宋体"/>
          <w:sz w:val="24"/>
        </w:rPr>
      </w:pPr>
    </w:p>
    <w:p w14:paraId="25694596">
      <w:pPr>
        <w:spacing w:line="360" w:lineRule="auto"/>
        <w:ind w:firstLine="480" w:firstLineChars="200"/>
        <w:rPr>
          <w:rFonts w:ascii="宋体" w:hAnsi="宋体" w:cs="宋体"/>
          <w:sz w:val="24"/>
        </w:rPr>
      </w:pPr>
      <w:r>
        <w:rPr>
          <w:rFonts w:hint="eastAsia" w:ascii="宋体" w:hAnsi="宋体" w:cs="宋体"/>
          <w:sz w:val="24"/>
        </w:rPr>
        <w:t>企业名称（盖章）：</w:t>
      </w:r>
    </w:p>
    <w:p w14:paraId="3CE1090E">
      <w:pPr>
        <w:spacing w:line="360" w:lineRule="auto"/>
        <w:ind w:firstLine="480" w:firstLineChars="200"/>
        <w:rPr>
          <w:rFonts w:ascii="宋体" w:hAnsi="宋体" w:cs="宋体"/>
          <w:sz w:val="24"/>
        </w:rPr>
      </w:pPr>
      <w:r>
        <w:rPr>
          <w:rFonts w:hint="eastAsia" w:ascii="宋体" w:hAnsi="宋体" w:cs="宋体"/>
          <w:sz w:val="24"/>
        </w:rPr>
        <w:t>日 期：</w:t>
      </w:r>
    </w:p>
    <w:p w14:paraId="38E0BE07">
      <w:pPr>
        <w:rPr>
          <w:rFonts w:ascii="宋体" w:hAnsi="宋体" w:cs="宋体"/>
          <w:b/>
          <w:sz w:val="28"/>
          <w:szCs w:val="28"/>
        </w:rPr>
      </w:pPr>
      <w:r>
        <w:rPr>
          <w:rFonts w:ascii="宋体" w:hAnsi="宋体" w:cs="宋体"/>
          <w:b/>
          <w:sz w:val="28"/>
          <w:szCs w:val="28"/>
        </w:rPr>
        <w:br w:type="page"/>
      </w:r>
    </w:p>
    <w:p w14:paraId="0DF81388">
      <w:pPr>
        <w:spacing w:line="360" w:lineRule="auto"/>
        <w:jc w:val="center"/>
        <w:rPr>
          <w:rFonts w:ascii="宋体" w:hAnsi="宋体" w:cs="宋体"/>
          <w:b/>
          <w:sz w:val="28"/>
          <w:szCs w:val="28"/>
        </w:rPr>
      </w:pPr>
      <w:r>
        <w:rPr>
          <w:rFonts w:ascii="宋体" w:hAnsi="宋体" w:cs="宋体"/>
          <w:b/>
          <w:sz w:val="28"/>
          <w:szCs w:val="28"/>
        </w:rPr>
        <w:t>（3）监狱企业</w:t>
      </w:r>
      <w:r>
        <w:rPr>
          <w:rFonts w:hint="eastAsia" w:ascii="宋体" w:hAnsi="宋体" w:cs="宋体"/>
          <w:b/>
          <w:sz w:val="28"/>
          <w:szCs w:val="28"/>
        </w:rPr>
        <w:t>证明文件</w:t>
      </w:r>
    </w:p>
    <w:p w14:paraId="09DF63FF">
      <w:pPr>
        <w:spacing w:line="360" w:lineRule="auto"/>
        <w:jc w:val="center"/>
        <w:rPr>
          <w:rFonts w:ascii="宋体" w:hAnsi="宋体" w:cs="宋体"/>
          <w:sz w:val="24"/>
        </w:rPr>
      </w:pPr>
      <w:r>
        <w:rPr>
          <w:rFonts w:ascii="宋体" w:hAnsi="宋体" w:cs="宋体"/>
          <w:sz w:val="24"/>
        </w:rPr>
        <w:t>（属于</w:t>
      </w:r>
      <w:r>
        <w:rPr>
          <w:rFonts w:hint="eastAsia" w:ascii="宋体" w:hAnsi="宋体" w:cs="宋体"/>
          <w:sz w:val="24"/>
        </w:rPr>
        <w:t>监狱企业</w:t>
      </w:r>
      <w:r>
        <w:rPr>
          <w:rFonts w:ascii="宋体" w:hAnsi="宋体" w:cs="宋体"/>
          <w:sz w:val="24"/>
        </w:rPr>
        <w:t>的填写，不属于的无需填写此项内容）</w:t>
      </w:r>
    </w:p>
    <w:p w14:paraId="5E73CF82">
      <w:pPr>
        <w:spacing w:line="360" w:lineRule="auto"/>
        <w:jc w:val="center"/>
      </w:pPr>
      <w:r>
        <w:rPr>
          <w:sz w:val="24"/>
          <w:szCs w:val="32"/>
        </w:rPr>
        <w:t>监狱企业证明文件（参考格式）</w:t>
      </w:r>
    </w:p>
    <w:p w14:paraId="12EA5043">
      <w:pPr>
        <w:spacing w:line="360" w:lineRule="auto"/>
        <w:ind w:firstLine="480" w:firstLineChars="200"/>
        <w:rPr>
          <w:rFonts w:ascii="宋体" w:hAnsi="宋体" w:cs="宋体"/>
          <w:sz w:val="24"/>
        </w:rPr>
      </w:pPr>
      <w:r>
        <w:rPr>
          <w:rFonts w:hint="eastAsia" w:ascii="宋体" w:hAnsi="宋体" w:cs="宋体"/>
          <w:sz w:val="24"/>
        </w:rPr>
        <w:t>省级以上监狱管理局、戒毒管理局（含新疆生产建设兵团）出具的属于监狱企业的证明文件。</w:t>
      </w:r>
    </w:p>
    <w:p w14:paraId="385D0EFB">
      <w:pPr>
        <w:spacing w:line="360" w:lineRule="auto"/>
        <w:ind w:firstLine="480" w:firstLineChars="200"/>
        <w:rPr>
          <w:rFonts w:ascii="宋体" w:hAnsi="宋体" w:cs="宋体"/>
          <w:sz w:val="24"/>
        </w:rPr>
      </w:pPr>
      <w:r>
        <w:rPr>
          <w:rFonts w:hint="eastAsia" w:ascii="宋体" w:hAnsi="宋体" w:cs="宋体"/>
          <w:sz w:val="24"/>
        </w:rPr>
        <w:t>注：在响应文件中附扫描件。</w:t>
      </w:r>
    </w:p>
    <w:p w14:paraId="73D98866">
      <w:pPr>
        <w:spacing w:line="360" w:lineRule="auto"/>
        <w:ind w:firstLine="480" w:firstLineChars="200"/>
        <w:rPr>
          <w:rFonts w:ascii="宋体" w:hAnsi="宋体" w:cs="宋体"/>
          <w:sz w:val="24"/>
        </w:rPr>
      </w:pPr>
    </w:p>
    <w:p w14:paraId="04B2666C">
      <w:pPr>
        <w:spacing w:line="360" w:lineRule="auto"/>
        <w:ind w:firstLine="480" w:firstLineChars="200"/>
        <w:rPr>
          <w:rFonts w:ascii="宋体" w:hAnsi="宋体" w:cs="宋体"/>
          <w:sz w:val="24"/>
        </w:rPr>
      </w:pPr>
      <w:r>
        <w:rPr>
          <w:rFonts w:hint="eastAsia" w:ascii="宋体" w:hAnsi="宋体" w:cs="宋体"/>
          <w:sz w:val="24"/>
        </w:rPr>
        <w:t>企业名称（盖章）：</w:t>
      </w:r>
    </w:p>
    <w:p w14:paraId="74A37BEC">
      <w:pPr>
        <w:spacing w:line="360" w:lineRule="auto"/>
        <w:ind w:firstLine="480" w:firstLineChars="200"/>
        <w:rPr>
          <w:rFonts w:ascii="宋体" w:hAnsi="宋体" w:cs="宋体"/>
          <w:sz w:val="24"/>
        </w:rPr>
      </w:pPr>
      <w:r>
        <w:rPr>
          <w:rFonts w:hint="eastAsia" w:ascii="宋体" w:hAnsi="宋体" w:cs="宋体"/>
          <w:sz w:val="24"/>
        </w:rPr>
        <w:t>日 期：</w:t>
      </w:r>
    </w:p>
    <w:p w14:paraId="1AA85336">
      <w:pPr>
        <w:spacing w:line="360" w:lineRule="auto"/>
        <w:ind w:firstLine="480" w:firstLineChars="200"/>
        <w:rPr>
          <w:rFonts w:ascii="宋体" w:hAnsi="宋体" w:cs="宋体"/>
          <w:sz w:val="24"/>
        </w:rPr>
      </w:pPr>
    </w:p>
    <w:p w14:paraId="34C79793">
      <w:pPr>
        <w:jc w:val="center"/>
        <w:rPr>
          <w:b/>
          <w:sz w:val="28"/>
          <w:szCs w:val="28"/>
        </w:rPr>
      </w:pPr>
      <w:r>
        <w:rPr>
          <w:rFonts w:ascii="宋体" w:hAnsi="宋体" w:cs="宋体"/>
          <w:b/>
          <w:bCs/>
          <w:sz w:val="24"/>
        </w:rPr>
        <w:t>说明：符合要求的单位，按照上述格式进行填写；不属于监狱企业的无需填写此表。</w:t>
      </w:r>
    </w:p>
    <w:p w14:paraId="71D3E830">
      <w:pPr>
        <w:jc w:val="center"/>
        <w:rPr>
          <w:b/>
          <w:sz w:val="28"/>
          <w:szCs w:val="28"/>
        </w:rPr>
      </w:pPr>
    </w:p>
    <w:p w14:paraId="676571E5">
      <w:pPr>
        <w:jc w:val="center"/>
        <w:rPr>
          <w:b/>
          <w:sz w:val="28"/>
          <w:szCs w:val="28"/>
        </w:rPr>
      </w:pPr>
    </w:p>
    <w:p w14:paraId="76E1116C">
      <w:pPr>
        <w:jc w:val="center"/>
        <w:rPr>
          <w:b/>
          <w:sz w:val="28"/>
          <w:szCs w:val="28"/>
        </w:rPr>
      </w:pPr>
    </w:p>
    <w:p w14:paraId="15FD038C">
      <w:pPr>
        <w:jc w:val="center"/>
        <w:rPr>
          <w:b/>
          <w:sz w:val="28"/>
          <w:szCs w:val="28"/>
        </w:rPr>
      </w:pPr>
    </w:p>
    <w:p w14:paraId="670CE397">
      <w:pPr>
        <w:jc w:val="center"/>
        <w:rPr>
          <w:b/>
          <w:sz w:val="28"/>
          <w:szCs w:val="28"/>
        </w:rPr>
      </w:pPr>
    </w:p>
    <w:p w14:paraId="6B91E0C2">
      <w:pPr>
        <w:jc w:val="center"/>
        <w:rPr>
          <w:b/>
          <w:sz w:val="28"/>
          <w:szCs w:val="28"/>
        </w:rPr>
      </w:pPr>
    </w:p>
    <w:p w14:paraId="4D67875F">
      <w:pPr>
        <w:jc w:val="center"/>
        <w:rPr>
          <w:b/>
          <w:sz w:val="28"/>
          <w:szCs w:val="28"/>
        </w:rPr>
      </w:pPr>
    </w:p>
    <w:p w14:paraId="5335BF5E">
      <w:pPr>
        <w:jc w:val="center"/>
        <w:rPr>
          <w:b/>
          <w:sz w:val="28"/>
          <w:szCs w:val="28"/>
        </w:rPr>
      </w:pPr>
    </w:p>
    <w:p w14:paraId="0C55E089">
      <w:pPr>
        <w:jc w:val="center"/>
        <w:rPr>
          <w:b/>
          <w:sz w:val="28"/>
          <w:szCs w:val="28"/>
        </w:rPr>
      </w:pPr>
    </w:p>
    <w:p w14:paraId="56F91601">
      <w:pPr>
        <w:jc w:val="center"/>
        <w:rPr>
          <w:b/>
          <w:sz w:val="28"/>
          <w:szCs w:val="28"/>
        </w:rPr>
      </w:pPr>
    </w:p>
    <w:p w14:paraId="35BAA55D">
      <w:pPr>
        <w:jc w:val="center"/>
        <w:rPr>
          <w:b/>
          <w:sz w:val="28"/>
          <w:szCs w:val="28"/>
        </w:rPr>
      </w:pPr>
    </w:p>
    <w:p w14:paraId="7834AEEE">
      <w:pPr>
        <w:jc w:val="center"/>
        <w:rPr>
          <w:b/>
          <w:sz w:val="28"/>
          <w:szCs w:val="28"/>
        </w:rPr>
      </w:pPr>
    </w:p>
    <w:p w14:paraId="4276E0C7">
      <w:pPr>
        <w:jc w:val="center"/>
        <w:rPr>
          <w:b/>
          <w:sz w:val="28"/>
          <w:szCs w:val="28"/>
        </w:rPr>
      </w:pPr>
    </w:p>
    <w:p w14:paraId="712A13DE">
      <w:pPr>
        <w:jc w:val="center"/>
        <w:rPr>
          <w:b/>
          <w:sz w:val="28"/>
          <w:szCs w:val="28"/>
        </w:rPr>
      </w:pPr>
    </w:p>
    <w:p w14:paraId="40485E6F">
      <w:pPr>
        <w:jc w:val="center"/>
        <w:rPr>
          <w:b/>
          <w:sz w:val="32"/>
          <w:szCs w:val="32"/>
        </w:rPr>
      </w:pPr>
      <w:r>
        <w:rPr>
          <w:rFonts w:hint="eastAsia"/>
          <w:b/>
          <w:sz w:val="32"/>
          <w:szCs w:val="32"/>
        </w:rPr>
        <w:t>七、</w:t>
      </w:r>
      <w:bookmarkEnd w:id="11"/>
      <w:bookmarkEnd w:id="12"/>
      <w:bookmarkEnd w:id="13"/>
      <w:bookmarkEnd w:id="14"/>
      <w:bookmarkEnd w:id="15"/>
      <w:bookmarkEnd w:id="16"/>
      <w:bookmarkEnd w:id="17"/>
      <w:bookmarkEnd w:id="18"/>
      <w:r>
        <w:rPr>
          <w:rFonts w:hint="eastAsia"/>
          <w:b/>
          <w:sz w:val="32"/>
          <w:szCs w:val="32"/>
        </w:rPr>
        <w:t>磋商承诺函</w:t>
      </w:r>
    </w:p>
    <w:p w14:paraId="31ED5274">
      <w:pPr>
        <w:spacing w:line="360" w:lineRule="auto"/>
        <w:rPr>
          <w:rFonts w:ascii="宋体" w:hAnsi="宋体"/>
          <w:sz w:val="24"/>
          <w:u w:val="single"/>
        </w:rPr>
      </w:pPr>
      <w:r>
        <w:rPr>
          <w:rFonts w:hint="eastAsia" w:ascii="宋体" w:hAnsi="宋体"/>
          <w:sz w:val="24"/>
        </w:rPr>
        <w:t>致：</w:t>
      </w:r>
      <w:r>
        <w:rPr>
          <w:rFonts w:hint="eastAsia" w:ascii="宋体" w:hAnsi="宋体"/>
          <w:sz w:val="24"/>
          <w:u w:val="single"/>
        </w:rPr>
        <w:t>(采购人名称)</w:t>
      </w:r>
    </w:p>
    <w:p w14:paraId="1A7CC72E">
      <w:pPr>
        <w:spacing w:line="360" w:lineRule="auto"/>
        <w:ind w:firstLine="480" w:firstLineChars="200"/>
        <w:rPr>
          <w:rFonts w:ascii="宋体" w:hAnsi="宋体"/>
          <w:sz w:val="24"/>
        </w:rPr>
      </w:pPr>
      <w:r>
        <w:rPr>
          <w:rFonts w:hint="eastAsia" w:ascii="宋体" w:hAnsi="宋体"/>
          <w:sz w:val="24"/>
        </w:rPr>
        <w:t>我方根据本项目磋商文件，自愿参加</w:t>
      </w:r>
      <w:r>
        <w:rPr>
          <w:rFonts w:hint="eastAsia" w:ascii="宋体" w:hAnsi="宋体"/>
          <w:sz w:val="24"/>
          <w:u w:val="single"/>
        </w:rPr>
        <w:t xml:space="preserve">                     </w:t>
      </w:r>
      <w:r>
        <w:rPr>
          <w:rFonts w:hint="eastAsia" w:ascii="宋体" w:hAnsi="宋体"/>
          <w:sz w:val="24"/>
        </w:rPr>
        <w:t>项目竞争性磋商，并作如下承诺：</w:t>
      </w:r>
    </w:p>
    <w:p w14:paraId="13F7A70C">
      <w:pPr>
        <w:spacing w:line="360" w:lineRule="auto"/>
        <w:ind w:firstLine="480" w:firstLineChars="200"/>
        <w:rPr>
          <w:rFonts w:ascii="宋体" w:hAnsi="宋体"/>
          <w:sz w:val="24"/>
        </w:rPr>
      </w:pPr>
      <w:r>
        <w:rPr>
          <w:rFonts w:hint="eastAsia" w:ascii="宋体" w:hAnsi="宋体"/>
          <w:sz w:val="24"/>
        </w:rPr>
        <w:t>1、我方本着公平竞争的原则,参加本次投标活动。我方严格遵守国家相关法律法规,不出借、挂靠资质投标,不围标、串标,不使用违法或其它不正当行为谋求供应商。</w:t>
      </w:r>
    </w:p>
    <w:p w14:paraId="07FAF36F">
      <w:pPr>
        <w:spacing w:line="360" w:lineRule="auto"/>
        <w:ind w:firstLine="480" w:firstLineChars="200"/>
        <w:rPr>
          <w:rFonts w:ascii="宋体" w:hAnsi="宋体"/>
          <w:sz w:val="24"/>
        </w:rPr>
      </w:pPr>
      <w:r>
        <w:rPr>
          <w:rFonts w:hint="eastAsia" w:ascii="宋体" w:hAnsi="宋体"/>
          <w:sz w:val="24"/>
        </w:rPr>
        <w:t>2、保证不向、代理机构、行政监督部门等工作人员、评标专家及其亲属赠送礼品、扎金、有价证券、支付凭证；不为其旅游及其它消费行为报销费用。</w:t>
      </w:r>
    </w:p>
    <w:p w14:paraId="7D6C2F55">
      <w:pPr>
        <w:spacing w:line="360" w:lineRule="auto"/>
        <w:ind w:firstLine="480" w:firstLineChars="200"/>
        <w:rPr>
          <w:rFonts w:ascii="宋体" w:hAnsi="宋体"/>
          <w:sz w:val="24"/>
        </w:rPr>
      </w:pPr>
      <w:r>
        <w:rPr>
          <w:rFonts w:hint="eastAsia" w:ascii="宋体" w:hAnsi="宋体"/>
          <w:sz w:val="24"/>
        </w:rPr>
        <w:t>3、我方严格按照本项目竞争性磋商文件规定递交全部响应文件,保证在竞争性磋商文件规定的投标有效期内不修改、撤回已递交的响应文件。</w:t>
      </w:r>
    </w:p>
    <w:p w14:paraId="19B34530">
      <w:pPr>
        <w:spacing w:line="360" w:lineRule="auto"/>
        <w:ind w:firstLine="480" w:firstLineChars="200"/>
        <w:rPr>
          <w:rFonts w:ascii="宋体" w:hAnsi="宋体"/>
          <w:sz w:val="24"/>
        </w:rPr>
      </w:pPr>
      <w:r>
        <w:rPr>
          <w:rFonts w:hint="eastAsia" w:ascii="宋体" w:hAnsi="宋体"/>
          <w:sz w:val="24"/>
        </w:rPr>
        <w:t>4、如我方供应商,我方将按规定及时履行合同义务,及时与建设单位签订合同,并严格按照合同、响应文件及投标过程中所做出的承诺资料等组织项目实施。</w:t>
      </w:r>
    </w:p>
    <w:p w14:paraId="5B2F3424">
      <w:pPr>
        <w:spacing w:line="360" w:lineRule="auto"/>
        <w:ind w:firstLine="480" w:firstLineChars="200"/>
        <w:rPr>
          <w:rFonts w:ascii="宋体" w:hAnsi="宋体"/>
          <w:sz w:val="24"/>
        </w:rPr>
      </w:pPr>
      <w:r>
        <w:rPr>
          <w:rFonts w:hint="eastAsia" w:ascii="宋体" w:hAnsi="宋体"/>
          <w:sz w:val="24"/>
        </w:rPr>
        <w:t>5、我方严格履行以上承诺,否则,我公司及参与投标的工作人员将自愿接受国家法律、法规、规章规定给予的经济、党纪、政纪乃至刑事的处罚；自觉接受行政监管部门给予公司和个人的不良行为记录。</w:t>
      </w:r>
    </w:p>
    <w:p w14:paraId="412A234E">
      <w:pPr>
        <w:spacing w:line="360" w:lineRule="auto"/>
        <w:ind w:firstLine="480" w:firstLineChars="200"/>
        <w:rPr>
          <w:rFonts w:ascii="宋体" w:hAnsi="宋体"/>
          <w:sz w:val="24"/>
          <w:u w:val="single"/>
        </w:rPr>
      </w:pPr>
      <w:r>
        <w:rPr>
          <w:rFonts w:hint="eastAsia" w:ascii="宋体" w:hAnsi="宋体"/>
          <w:sz w:val="24"/>
        </w:rPr>
        <w:t>6、供应商认为应做的其他承诺：</w:t>
      </w:r>
      <w:r>
        <w:rPr>
          <w:rFonts w:hint="eastAsia" w:ascii="宋体" w:hAnsi="宋体"/>
          <w:sz w:val="24"/>
          <w:u w:val="single"/>
        </w:rPr>
        <w:t xml:space="preserve">                      </w:t>
      </w:r>
    </w:p>
    <w:p w14:paraId="1B686C50">
      <w:pPr>
        <w:spacing w:line="360" w:lineRule="auto"/>
        <w:ind w:firstLine="480" w:firstLineChars="200"/>
        <w:rPr>
          <w:rFonts w:ascii="宋体" w:hAnsi="宋体"/>
          <w:sz w:val="24"/>
        </w:rPr>
      </w:pPr>
      <w:r>
        <w:rPr>
          <w:rFonts w:hint="eastAsia" w:ascii="宋体" w:hAnsi="宋体"/>
          <w:sz w:val="24"/>
        </w:rPr>
        <w:t>特此承诺。</w:t>
      </w:r>
    </w:p>
    <w:p w14:paraId="55C7AA20">
      <w:pPr>
        <w:spacing w:line="360" w:lineRule="auto"/>
        <w:ind w:firstLine="3360" w:firstLineChars="1400"/>
        <w:rPr>
          <w:rFonts w:ascii="宋体" w:hAnsi="宋体"/>
          <w:sz w:val="24"/>
        </w:rPr>
      </w:pPr>
    </w:p>
    <w:p w14:paraId="349007E3">
      <w:pPr>
        <w:spacing w:line="360" w:lineRule="auto"/>
        <w:ind w:firstLine="3360" w:firstLineChars="1400"/>
        <w:rPr>
          <w:rFonts w:ascii="宋体" w:hAnsi="宋体"/>
          <w:sz w:val="24"/>
        </w:rPr>
      </w:pPr>
    </w:p>
    <w:p w14:paraId="25162AE1">
      <w:pPr>
        <w:spacing w:line="360" w:lineRule="auto"/>
        <w:ind w:firstLine="3360" w:firstLineChars="1400"/>
        <w:rPr>
          <w:rFonts w:ascii="宋体" w:hAnsi="宋体"/>
          <w:sz w:val="24"/>
        </w:rPr>
      </w:pPr>
    </w:p>
    <w:p w14:paraId="2EF5B83B">
      <w:pPr>
        <w:spacing w:line="360" w:lineRule="auto"/>
        <w:ind w:firstLine="3360" w:firstLineChars="1400"/>
        <w:rPr>
          <w:rFonts w:ascii="宋体" w:hAnsi="宋体"/>
          <w:sz w:val="24"/>
        </w:rPr>
      </w:pPr>
    </w:p>
    <w:p w14:paraId="78601B4D">
      <w:pPr>
        <w:spacing w:line="360" w:lineRule="auto"/>
        <w:ind w:firstLine="2640" w:firstLineChars="1100"/>
        <w:rPr>
          <w:rFonts w:ascii="宋体" w:hAnsi="宋体" w:cs="宋体"/>
          <w:kern w:val="0"/>
          <w:sz w:val="24"/>
        </w:rPr>
      </w:pPr>
      <w:r>
        <w:rPr>
          <w:rFonts w:hint="eastAsia" w:ascii="宋体" w:hAnsi="宋体" w:cs="宋体"/>
          <w:kern w:val="0"/>
          <w:sz w:val="24"/>
        </w:rPr>
        <w:t>响应供应商(盖章)：</w:t>
      </w:r>
      <w:r>
        <w:rPr>
          <w:rFonts w:hint="eastAsia" w:ascii="宋体" w:hAnsi="宋体" w:cs="宋体"/>
          <w:kern w:val="0"/>
          <w:sz w:val="24"/>
          <w:u w:val="single"/>
        </w:rPr>
        <w:t xml:space="preserve">              </w:t>
      </w:r>
      <w:r>
        <w:rPr>
          <w:rFonts w:hint="eastAsia" w:ascii="宋体" w:hAnsi="宋体" w:cs="宋体"/>
          <w:kern w:val="0"/>
          <w:sz w:val="24"/>
        </w:rPr>
        <w:t xml:space="preserve"> </w:t>
      </w:r>
    </w:p>
    <w:p w14:paraId="580BF515">
      <w:pPr>
        <w:spacing w:line="360" w:lineRule="auto"/>
        <w:ind w:firstLine="2640" w:firstLineChars="1100"/>
        <w:rPr>
          <w:rFonts w:ascii="宋体" w:hAnsi="宋体" w:cs="宋体"/>
          <w:kern w:val="0"/>
          <w:sz w:val="24"/>
        </w:rPr>
      </w:pPr>
      <w:r>
        <w:rPr>
          <w:rFonts w:hint="eastAsia" w:ascii="宋体" w:hAnsi="宋体" w:cs="宋体"/>
          <w:kern w:val="0"/>
          <w:sz w:val="24"/>
        </w:rPr>
        <w:t>法定代表人或其委托代理人(签字或盖章)：</w:t>
      </w:r>
      <w:r>
        <w:rPr>
          <w:rFonts w:hint="eastAsia" w:ascii="宋体" w:hAnsi="宋体" w:cs="宋体"/>
          <w:kern w:val="0"/>
          <w:sz w:val="24"/>
          <w:u w:val="single"/>
        </w:rPr>
        <w:t xml:space="preserve">          </w:t>
      </w:r>
    </w:p>
    <w:p w14:paraId="62BDC271">
      <w:pPr>
        <w:ind w:firstLine="2640" w:firstLineChars="1100"/>
        <w:rPr>
          <w:rFonts w:ascii="宋体" w:hAnsi="宋体"/>
          <w:b/>
          <w:sz w:val="24"/>
        </w:rPr>
      </w:pPr>
      <w:r>
        <w:rPr>
          <w:rFonts w:hint="eastAsia" w:ascii="宋体" w:hAnsi="宋体" w:cs="宋体"/>
          <w:kern w:val="0"/>
          <w:sz w:val="24"/>
        </w:rPr>
        <w:t>日    期：      年   月   日</w:t>
      </w:r>
    </w:p>
    <w:p w14:paraId="6AA80304">
      <w:pPr>
        <w:jc w:val="center"/>
        <w:rPr>
          <w:b/>
          <w:sz w:val="36"/>
          <w:szCs w:val="36"/>
        </w:rPr>
      </w:pPr>
    </w:p>
    <w:p w14:paraId="72F4CD36">
      <w:pPr>
        <w:jc w:val="center"/>
        <w:rPr>
          <w:b/>
          <w:sz w:val="36"/>
          <w:szCs w:val="36"/>
        </w:rPr>
      </w:pPr>
    </w:p>
    <w:p w14:paraId="1D33E66A">
      <w:pPr>
        <w:jc w:val="center"/>
        <w:rPr>
          <w:b/>
          <w:sz w:val="36"/>
          <w:szCs w:val="36"/>
        </w:rPr>
      </w:pPr>
    </w:p>
    <w:p w14:paraId="706785DC">
      <w:pPr>
        <w:rPr>
          <w:b/>
          <w:bCs/>
          <w:color w:val="000000"/>
          <w:sz w:val="32"/>
          <w:szCs w:val="32"/>
        </w:rPr>
      </w:pPr>
    </w:p>
    <w:p w14:paraId="72626CAE">
      <w:pPr>
        <w:numPr>
          <w:ilvl w:val="0"/>
          <w:numId w:val="3"/>
        </w:numPr>
        <w:adjustRightInd w:val="0"/>
        <w:snapToGrid w:val="0"/>
        <w:spacing w:line="360" w:lineRule="auto"/>
        <w:jc w:val="center"/>
        <w:rPr>
          <w:b/>
          <w:sz w:val="32"/>
          <w:szCs w:val="32"/>
        </w:rPr>
      </w:pPr>
      <w:r>
        <w:rPr>
          <w:rFonts w:hint="eastAsia"/>
          <w:b/>
          <w:sz w:val="32"/>
          <w:szCs w:val="32"/>
        </w:rPr>
        <w:t>拟投入本项目的人员情况</w:t>
      </w:r>
    </w:p>
    <w:p w14:paraId="13192F84">
      <w:pPr>
        <w:adjustRightInd w:val="0"/>
        <w:snapToGrid w:val="0"/>
        <w:spacing w:line="360" w:lineRule="auto"/>
        <w:jc w:val="center"/>
        <w:rPr>
          <w:rFonts w:ascii="宋体" w:hAnsi="宋体" w:cs="宋体"/>
          <w:bCs/>
          <w:kern w:val="0"/>
          <w:sz w:val="28"/>
          <w:szCs w:val="28"/>
          <w:lang w:val="zh-CN"/>
        </w:rPr>
      </w:pPr>
      <w:r>
        <w:rPr>
          <w:rFonts w:hint="eastAsia" w:ascii="宋体" w:hAnsi="宋体" w:cs="宋体"/>
          <w:b/>
          <w:kern w:val="0"/>
          <w:sz w:val="28"/>
          <w:szCs w:val="28"/>
          <w:lang w:val="zh-CN"/>
        </w:rPr>
        <w:t>（一）拟投入本项目的主要人员汇总表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661"/>
        <w:gridCol w:w="1189"/>
        <w:gridCol w:w="1381"/>
        <w:gridCol w:w="1600"/>
        <w:gridCol w:w="1331"/>
      </w:tblGrid>
      <w:tr w14:paraId="7C6A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14DC383B">
            <w:pPr>
              <w:adjustRightInd w:val="0"/>
              <w:snapToGrid w:val="0"/>
              <w:spacing w:line="360" w:lineRule="auto"/>
              <w:jc w:val="center"/>
              <w:rPr>
                <w:rFonts w:ascii="宋体"/>
                <w:bCs/>
                <w:sz w:val="24"/>
              </w:rPr>
            </w:pPr>
            <w:r>
              <w:rPr>
                <w:rFonts w:hint="eastAsia" w:ascii="宋体" w:hAnsi="宋体"/>
                <w:bCs/>
                <w:sz w:val="24"/>
              </w:rPr>
              <w:t>姓名</w:t>
            </w:r>
          </w:p>
        </w:tc>
        <w:tc>
          <w:tcPr>
            <w:tcW w:w="1661" w:type="dxa"/>
            <w:tcBorders>
              <w:top w:val="single" w:color="auto" w:sz="4" w:space="0"/>
              <w:left w:val="single" w:color="auto" w:sz="4" w:space="0"/>
              <w:bottom w:val="single" w:color="auto" w:sz="4" w:space="0"/>
              <w:right w:val="single" w:color="auto" w:sz="4" w:space="0"/>
            </w:tcBorders>
            <w:vAlign w:val="center"/>
          </w:tcPr>
          <w:p w14:paraId="4FC86DD7">
            <w:pPr>
              <w:adjustRightInd w:val="0"/>
              <w:snapToGrid w:val="0"/>
              <w:spacing w:line="360" w:lineRule="auto"/>
              <w:jc w:val="center"/>
              <w:rPr>
                <w:rFonts w:ascii="宋体"/>
                <w:bCs/>
                <w:sz w:val="24"/>
              </w:rPr>
            </w:pPr>
            <w:r>
              <w:rPr>
                <w:rFonts w:hint="eastAsia" w:ascii="宋体" w:hAnsi="宋体"/>
                <w:bCs/>
                <w:sz w:val="24"/>
              </w:rPr>
              <w:t>本项目中职务</w:t>
            </w:r>
          </w:p>
        </w:tc>
        <w:tc>
          <w:tcPr>
            <w:tcW w:w="1189" w:type="dxa"/>
            <w:tcBorders>
              <w:top w:val="single" w:color="auto" w:sz="4" w:space="0"/>
              <w:left w:val="single" w:color="auto" w:sz="4" w:space="0"/>
              <w:bottom w:val="single" w:color="auto" w:sz="4" w:space="0"/>
              <w:right w:val="single" w:color="auto" w:sz="4" w:space="0"/>
            </w:tcBorders>
            <w:vAlign w:val="center"/>
          </w:tcPr>
          <w:p w14:paraId="63DFB030">
            <w:pPr>
              <w:adjustRightInd w:val="0"/>
              <w:snapToGrid w:val="0"/>
              <w:spacing w:line="360" w:lineRule="auto"/>
              <w:jc w:val="center"/>
              <w:rPr>
                <w:rFonts w:ascii="宋体"/>
                <w:bCs/>
                <w:sz w:val="24"/>
              </w:rPr>
            </w:pPr>
            <w:r>
              <w:rPr>
                <w:rFonts w:hint="eastAsia" w:ascii="宋体"/>
                <w:bCs/>
                <w:sz w:val="24"/>
              </w:rPr>
              <w:t>职称</w:t>
            </w:r>
          </w:p>
        </w:tc>
        <w:tc>
          <w:tcPr>
            <w:tcW w:w="1381" w:type="dxa"/>
            <w:tcBorders>
              <w:top w:val="single" w:color="auto" w:sz="4" w:space="0"/>
              <w:left w:val="single" w:color="auto" w:sz="4" w:space="0"/>
              <w:bottom w:val="single" w:color="auto" w:sz="4" w:space="0"/>
              <w:right w:val="single" w:color="auto" w:sz="4" w:space="0"/>
            </w:tcBorders>
            <w:vAlign w:val="center"/>
          </w:tcPr>
          <w:p w14:paraId="439D2751">
            <w:pPr>
              <w:adjustRightInd w:val="0"/>
              <w:snapToGrid w:val="0"/>
              <w:spacing w:line="360" w:lineRule="auto"/>
              <w:jc w:val="center"/>
              <w:rPr>
                <w:rFonts w:ascii="宋体"/>
                <w:bCs/>
                <w:sz w:val="24"/>
              </w:rPr>
            </w:pPr>
            <w:r>
              <w:rPr>
                <w:rFonts w:hint="eastAsia" w:ascii="宋体" w:hAnsi="宋体"/>
                <w:bCs/>
                <w:sz w:val="24"/>
              </w:rPr>
              <w:t>证件名称</w:t>
            </w:r>
          </w:p>
        </w:tc>
        <w:tc>
          <w:tcPr>
            <w:tcW w:w="1600" w:type="dxa"/>
            <w:tcBorders>
              <w:top w:val="single" w:color="auto" w:sz="4" w:space="0"/>
              <w:left w:val="single" w:color="auto" w:sz="4" w:space="0"/>
              <w:bottom w:val="single" w:color="auto" w:sz="4" w:space="0"/>
              <w:right w:val="single" w:color="auto" w:sz="4" w:space="0"/>
            </w:tcBorders>
            <w:vAlign w:val="center"/>
          </w:tcPr>
          <w:p w14:paraId="4BA6C97D">
            <w:pPr>
              <w:adjustRightInd w:val="0"/>
              <w:snapToGrid w:val="0"/>
              <w:spacing w:line="360" w:lineRule="auto"/>
              <w:jc w:val="center"/>
              <w:rPr>
                <w:rFonts w:ascii="宋体"/>
                <w:bCs/>
                <w:sz w:val="24"/>
              </w:rPr>
            </w:pPr>
            <w:r>
              <w:rPr>
                <w:rFonts w:hint="eastAsia" w:ascii="宋体"/>
                <w:bCs/>
                <w:sz w:val="24"/>
              </w:rPr>
              <w:t>证件编号</w:t>
            </w:r>
          </w:p>
        </w:tc>
        <w:tc>
          <w:tcPr>
            <w:tcW w:w="1331" w:type="dxa"/>
            <w:tcBorders>
              <w:top w:val="single" w:color="auto" w:sz="4" w:space="0"/>
              <w:left w:val="single" w:color="auto" w:sz="4" w:space="0"/>
              <w:bottom w:val="single" w:color="auto" w:sz="4" w:space="0"/>
              <w:right w:val="single" w:color="auto" w:sz="4" w:space="0"/>
            </w:tcBorders>
            <w:vAlign w:val="center"/>
          </w:tcPr>
          <w:p w14:paraId="02113F30">
            <w:pPr>
              <w:adjustRightInd w:val="0"/>
              <w:snapToGrid w:val="0"/>
              <w:spacing w:line="360" w:lineRule="auto"/>
              <w:jc w:val="center"/>
              <w:rPr>
                <w:rFonts w:ascii="宋体"/>
                <w:bCs/>
                <w:sz w:val="24"/>
              </w:rPr>
            </w:pPr>
            <w:r>
              <w:rPr>
                <w:rFonts w:hint="eastAsia" w:ascii="宋体" w:hAnsi="宋体"/>
                <w:bCs/>
                <w:sz w:val="24"/>
              </w:rPr>
              <w:t>备注</w:t>
            </w:r>
          </w:p>
        </w:tc>
      </w:tr>
      <w:tr w14:paraId="1964C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6AEAD90F">
            <w:pPr>
              <w:adjustRightInd w:val="0"/>
              <w:snapToGrid w:val="0"/>
              <w:spacing w:line="360" w:lineRule="auto"/>
              <w:jc w:val="center"/>
              <w:rPr>
                <w:rFonts w:ascii="宋体"/>
                <w:sz w:val="24"/>
              </w:rPr>
            </w:pPr>
          </w:p>
        </w:tc>
        <w:tc>
          <w:tcPr>
            <w:tcW w:w="1661" w:type="dxa"/>
            <w:tcBorders>
              <w:top w:val="single" w:color="auto" w:sz="4" w:space="0"/>
              <w:left w:val="single" w:color="auto" w:sz="4" w:space="0"/>
              <w:bottom w:val="single" w:color="auto" w:sz="4" w:space="0"/>
              <w:right w:val="single" w:color="auto" w:sz="4" w:space="0"/>
            </w:tcBorders>
            <w:vAlign w:val="center"/>
          </w:tcPr>
          <w:p w14:paraId="6BB0BBEF">
            <w:pPr>
              <w:adjustRightInd w:val="0"/>
              <w:snapToGrid w:val="0"/>
              <w:spacing w:line="360" w:lineRule="auto"/>
              <w:jc w:val="center"/>
              <w:rPr>
                <w:rFonts w:ascii="宋体"/>
                <w:sz w:val="24"/>
              </w:rPr>
            </w:pPr>
          </w:p>
        </w:tc>
        <w:tc>
          <w:tcPr>
            <w:tcW w:w="1189" w:type="dxa"/>
            <w:tcBorders>
              <w:top w:val="single" w:color="auto" w:sz="4" w:space="0"/>
              <w:left w:val="single" w:color="auto" w:sz="4" w:space="0"/>
              <w:bottom w:val="single" w:color="auto" w:sz="4" w:space="0"/>
              <w:right w:val="single" w:color="auto" w:sz="4" w:space="0"/>
            </w:tcBorders>
            <w:vAlign w:val="center"/>
          </w:tcPr>
          <w:p w14:paraId="07BF5F64">
            <w:pPr>
              <w:adjustRightInd w:val="0"/>
              <w:snapToGrid w:val="0"/>
              <w:spacing w:line="360" w:lineRule="auto"/>
              <w:jc w:val="center"/>
              <w:rPr>
                <w:rFonts w:ascii="宋体"/>
                <w:sz w:val="24"/>
              </w:rPr>
            </w:pPr>
          </w:p>
        </w:tc>
        <w:tc>
          <w:tcPr>
            <w:tcW w:w="1381" w:type="dxa"/>
            <w:tcBorders>
              <w:top w:val="single" w:color="auto" w:sz="4" w:space="0"/>
              <w:left w:val="single" w:color="auto" w:sz="4" w:space="0"/>
              <w:bottom w:val="single" w:color="auto" w:sz="4" w:space="0"/>
              <w:right w:val="single" w:color="auto" w:sz="4" w:space="0"/>
            </w:tcBorders>
            <w:vAlign w:val="center"/>
          </w:tcPr>
          <w:p w14:paraId="5619BA0A">
            <w:pPr>
              <w:adjustRightInd w:val="0"/>
              <w:snapToGrid w:val="0"/>
              <w:spacing w:line="360" w:lineRule="auto"/>
              <w:jc w:val="center"/>
              <w:rPr>
                <w:rFonts w:ascii="宋体"/>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08C84133">
            <w:pPr>
              <w:adjustRightInd w:val="0"/>
              <w:snapToGrid w:val="0"/>
              <w:spacing w:line="360" w:lineRule="auto"/>
              <w:jc w:val="center"/>
              <w:rPr>
                <w:rFonts w:ascii="宋体"/>
                <w:sz w:val="24"/>
              </w:rPr>
            </w:pPr>
          </w:p>
        </w:tc>
        <w:tc>
          <w:tcPr>
            <w:tcW w:w="1331" w:type="dxa"/>
            <w:tcBorders>
              <w:top w:val="single" w:color="auto" w:sz="4" w:space="0"/>
              <w:left w:val="single" w:color="auto" w:sz="4" w:space="0"/>
              <w:bottom w:val="single" w:color="auto" w:sz="4" w:space="0"/>
              <w:right w:val="single" w:color="auto" w:sz="4" w:space="0"/>
            </w:tcBorders>
            <w:vAlign w:val="center"/>
          </w:tcPr>
          <w:p w14:paraId="22D24757">
            <w:pPr>
              <w:adjustRightInd w:val="0"/>
              <w:snapToGrid w:val="0"/>
              <w:spacing w:line="360" w:lineRule="auto"/>
              <w:jc w:val="center"/>
              <w:rPr>
                <w:rFonts w:ascii="宋体"/>
                <w:sz w:val="24"/>
              </w:rPr>
            </w:pPr>
          </w:p>
        </w:tc>
      </w:tr>
      <w:tr w14:paraId="5394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362CA012">
            <w:pPr>
              <w:adjustRightInd w:val="0"/>
              <w:snapToGrid w:val="0"/>
              <w:spacing w:line="360" w:lineRule="auto"/>
              <w:jc w:val="center"/>
              <w:rPr>
                <w:rFonts w:ascii="宋体"/>
                <w:sz w:val="24"/>
              </w:rPr>
            </w:pPr>
          </w:p>
        </w:tc>
        <w:tc>
          <w:tcPr>
            <w:tcW w:w="1661" w:type="dxa"/>
            <w:tcBorders>
              <w:top w:val="single" w:color="auto" w:sz="4" w:space="0"/>
              <w:left w:val="single" w:color="auto" w:sz="4" w:space="0"/>
              <w:bottom w:val="single" w:color="auto" w:sz="4" w:space="0"/>
              <w:right w:val="single" w:color="auto" w:sz="4" w:space="0"/>
            </w:tcBorders>
            <w:vAlign w:val="center"/>
          </w:tcPr>
          <w:p w14:paraId="4EC5BB6C">
            <w:pPr>
              <w:adjustRightInd w:val="0"/>
              <w:snapToGrid w:val="0"/>
              <w:spacing w:line="360" w:lineRule="auto"/>
              <w:jc w:val="center"/>
              <w:rPr>
                <w:rFonts w:ascii="宋体"/>
                <w:sz w:val="24"/>
              </w:rPr>
            </w:pPr>
          </w:p>
        </w:tc>
        <w:tc>
          <w:tcPr>
            <w:tcW w:w="1189" w:type="dxa"/>
            <w:tcBorders>
              <w:top w:val="single" w:color="auto" w:sz="4" w:space="0"/>
              <w:left w:val="single" w:color="auto" w:sz="4" w:space="0"/>
              <w:bottom w:val="single" w:color="auto" w:sz="4" w:space="0"/>
              <w:right w:val="single" w:color="auto" w:sz="4" w:space="0"/>
            </w:tcBorders>
            <w:vAlign w:val="center"/>
          </w:tcPr>
          <w:p w14:paraId="3B9CFA9E">
            <w:pPr>
              <w:adjustRightInd w:val="0"/>
              <w:snapToGrid w:val="0"/>
              <w:spacing w:line="360" w:lineRule="auto"/>
              <w:jc w:val="center"/>
              <w:rPr>
                <w:rFonts w:ascii="宋体"/>
                <w:sz w:val="24"/>
              </w:rPr>
            </w:pPr>
          </w:p>
        </w:tc>
        <w:tc>
          <w:tcPr>
            <w:tcW w:w="1381" w:type="dxa"/>
            <w:tcBorders>
              <w:top w:val="single" w:color="auto" w:sz="4" w:space="0"/>
              <w:left w:val="single" w:color="auto" w:sz="4" w:space="0"/>
              <w:bottom w:val="single" w:color="auto" w:sz="4" w:space="0"/>
              <w:right w:val="single" w:color="auto" w:sz="4" w:space="0"/>
            </w:tcBorders>
            <w:vAlign w:val="center"/>
          </w:tcPr>
          <w:p w14:paraId="049AF25B">
            <w:pPr>
              <w:adjustRightInd w:val="0"/>
              <w:snapToGrid w:val="0"/>
              <w:spacing w:line="360" w:lineRule="auto"/>
              <w:jc w:val="center"/>
              <w:rPr>
                <w:rFonts w:ascii="宋体"/>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2DA9EDD5">
            <w:pPr>
              <w:adjustRightInd w:val="0"/>
              <w:snapToGrid w:val="0"/>
              <w:spacing w:line="360" w:lineRule="auto"/>
              <w:jc w:val="center"/>
              <w:rPr>
                <w:rFonts w:ascii="宋体"/>
                <w:sz w:val="24"/>
              </w:rPr>
            </w:pPr>
          </w:p>
        </w:tc>
        <w:tc>
          <w:tcPr>
            <w:tcW w:w="1331" w:type="dxa"/>
            <w:tcBorders>
              <w:top w:val="single" w:color="auto" w:sz="4" w:space="0"/>
              <w:left w:val="single" w:color="auto" w:sz="4" w:space="0"/>
              <w:bottom w:val="single" w:color="auto" w:sz="4" w:space="0"/>
              <w:right w:val="single" w:color="auto" w:sz="4" w:space="0"/>
            </w:tcBorders>
            <w:vAlign w:val="center"/>
          </w:tcPr>
          <w:p w14:paraId="1A931699">
            <w:pPr>
              <w:adjustRightInd w:val="0"/>
              <w:snapToGrid w:val="0"/>
              <w:spacing w:line="360" w:lineRule="auto"/>
              <w:jc w:val="center"/>
              <w:rPr>
                <w:rFonts w:ascii="宋体"/>
                <w:sz w:val="24"/>
              </w:rPr>
            </w:pPr>
          </w:p>
        </w:tc>
      </w:tr>
      <w:tr w14:paraId="199A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3DFD5F94">
            <w:pPr>
              <w:adjustRightInd w:val="0"/>
              <w:snapToGrid w:val="0"/>
              <w:spacing w:line="360" w:lineRule="auto"/>
              <w:jc w:val="center"/>
              <w:rPr>
                <w:rFonts w:ascii="宋体"/>
                <w:sz w:val="24"/>
              </w:rPr>
            </w:pPr>
          </w:p>
        </w:tc>
        <w:tc>
          <w:tcPr>
            <w:tcW w:w="1661" w:type="dxa"/>
            <w:tcBorders>
              <w:top w:val="single" w:color="auto" w:sz="4" w:space="0"/>
              <w:left w:val="single" w:color="auto" w:sz="4" w:space="0"/>
              <w:bottom w:val="single" w:color="auto" w:sz="4" w:space="0"/>
              <w:right w:val="single" w:color="auto" w:sz="4" w:space="0"/>
            </w:tcBorders>
            <w:vAlign w:val="center"/>
          </w:tcPr>
          <w:p w14:paraId="03E6637B">
            <w:pPr>
              <w:adjustRightInd w:val="0"/>
              <w:snapToGrid w:val="0"/>
              <w:spacing w:line="360" w:lineRule="auto"/>
              <w:jc w:val="center"/>
              <w:rPr>
                <w:rFonts w:ascii="宋体"/>
                <w:sz w:val="24"/>
              </w:rPr>
            </w:pPr>
          </w:p>
        </w:tc>
        <w:tc>
          <w:tcPr>
            <w:tcW w:w="1189" w:type="dxa"/>
            <w:tcBorders>
              <w:top w:val="single" w:color="auto" w:sz="4" w:space="0"/>
              <w:left w:val="single" w:color="auto" w:sz="4" w:space="0"/>
              <w:bottom w:val="single" w:color="auto" w:sz="4" w:space="0"/>
              <w:right w:val="single" w:color="auto" w:sz="4" w:space="0"/>
            </w:tcBorders>
            <w:vAlign w:val="center"/>
          </w:tcPr>
          <w:p w14:paraId="4BA868CC">
            <w:pPr>
              <w:adjustRightInd w:val="0"/>
              <w:snapToGrid w:val="0"/>
              <w:spacing w:line="360" w:lineRule="auto"/>
              <w:jc w:val="center"/>
              <w:rPr>
                <w:rFonts w:ascii="宋体"/>
                <w:sz w:val="24"/>
              </w:rPr>
            </w:pPr>
          </w:p>
        </w:tc>
        <w:tc>
          <w:tcPr>
            <w:tcW w:w="1381" w:type="dxa"/>
            <w:tcBorders>
              <w:top w:val="single" w:color="auto" w:sz="4" w:space="0"/>
              <w:left w:val="single" w:color="auto" w:sz="4" w:space="0"/>
              <w:bottom w:val="single" w:color="auto" w:sz="4" w:space="0"/>
              <w:right w:val="single" w:color="auto" w:sz="4" w:space="0"/>
            </w:tcBorders>
            <w:vAlign w:val="center"/>
          </w:tcPr>
          <w:p w14:paraId="61F26941">
            <w:pPr>
              <w:adjustRightInd w:val="0"/>
              <w:snapToGrid w:val="0"/>
              <w:spacing w:line="360" w:lineRule="auto"/>
              <w:jc w:val="center"/>
              <w:rPr>
                <w:rFonts w:ascii="宋体"/>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32B57286">
            <w:pPr>
              <w:adjustRightInd w:val="0"/>
              <w:snapToGrid w:val="0"/>
              <w:spacing w:line="360" w:lineRule="auto"/>
              <w:jc w:val="center"/>
              <w:rPr>
                <w:rFonts w:ascii="宋体"/>
                <w:sz w:val="24"/>
              </w:rPr>
            </w:pPr>
          </w:p>
        </w:tc>
        <w:tc>
          <w:tcPr>
            <w:tcW w:w="1331" w:type="dxa"/>
            <w:tcBorders>
              <w:top w:val="single" w:color="auto" w:sz="4" w:space="0"/>
              <w:left w:val="single" w:color="auto" w:sz="4" w:space="0"/>
              <w:bottom w:val="single" w:color="auto" w:sz="4" w:space="0"/>
              <w:right w:val="single" w:color="auto" w:sz="4" w:space="0"/>
            </w:tcBorders>
            <w:vAlign w:val="center"/>
          </w:tcPr>
          <w:p w14:paraId="19D539D3">
            <w:pPr>
              <w:adjustRightInd w:val="0"/>
              <w:snapToGrid w:val="0"/>
              <w:spacing w:line="360" w:lineRule="auto"/>
              <w:jc w:val="center"/>
              <w:rPr>
                <w:rFonts w:ascii="宋体"/>
                <w:sz w:val="24"/>
              </w:rPr>
            </w:pPr>
          </w:p>
        </w:tc>
      </w:tr>
      <w:tr w14:paraId="2228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3D6205BF">
            <w:pPr>
              <w:adjustRightInd w:val="0"/>
              <w:snapToGrid w:val="0"/>
              <w:spacing w:line="360" w:lineRule="auto"/>
              <w:jc w:val="center"/>
              <w:rPr>
                <w:rFonts w:ascii="宋体"/>
                <w:sz w:val="24"/>
              </w:rPr>
            </w:pPr>
          </w:p>
        </w:tc>
        <w:tc>
          <w:tcPr>
            <w:tcW w:w="1661" w:type="dxa"/>
            <w:tcBorders>
              <w:top w:val="single" w:color="auto" w:sz="4" w:space="0"/>
              <w:left w:val="single" w:color="auto" w:sz="4" w:space="0"/>
              <w:bottom w:val="single" w:color="auto" w:sz="4" w:space="0"/>
              <w:right w:val="single" w:color="auto" w:sz="4" w:space="0"/>
            </w:tcBorders>
            <w:vAlign w:val="center"/>
          </w:tcPr>
          <w:p w14:paraId="308F1786">
            <w:pPr>
              <w:adjustRightInd w:val="0"/>
              <w:snapToGrid w:val="0"/>
              <w:spacing w:line="360" w:lineRule="auto"/>
              <w:jc w:val="center"/>
              <w:rPr>
                <w:rFonts w:ascii="宋体"/>
                <w:sz w:val="24"/>
              </w:rPr>
            </w:pPr>
          </w:p>
        </w:tc>
        <w:tc>
          <w:tcPr>
            <w:tcW w:w="1189" w:type="dxa"/>
            <w:tcBorders>
              <w:top w:val="single" w:color="auto" w:sz="4" w:space="0"/>
              <w:left w:val="single" w:color="auto" w:sz="4" w:space="0"/>
              <w:bottom w:val="single" w:color="auto" w:sz="4" w:space="0"/>
              <w:right w:val="single" w:color="auto" w:sz="4" w:space="0"/>
            </w:tcBorders>
            <w:vAlign w:val="center"/>
          </w:tcPr>
          <w:p w14:paraId="71F0C94D">
            <w:pPr>
              <w:adjustRightInd w:val="0"/>
              <w:snapToGrid w:val="0"/>
              <w:spacing w:line="360" w:lineRule="auto"/>
              <w:jc w:val="center"/>
              <w:rPr>
                <w:rFonts w:ascii="宋体"/>
                <w:sz w:val="24"/>
              </w:rPr>
            </w:pPr>
          </w:p>
        </w:tc>
        <w:tc>
          <w:tcPr>
            <w:tcW w:w="1381" w:type="dxa"/>
            <w:tcBorders>
              <w:top w:val="single" w:color="auto" w:sz="4" w:space="0"/>
              <w:left w:val="single" w:color="auto" w:sz="4" w:space="0"/>
              <w:bottom w:val="single" w:color="auto" w:sz="4" w:space="0"/>
              <w:right w:val="single" w:color="auto" w:sz="4" w:space="0"/>
            </w:tcBorders>
            <w:vAlign w:val="center"/>
          </w:tcPr>
          <w:p w14:paraId="64A0C427">
            <w:pPr>
              <w:adjustRightInd w:val="0"/>
              <w:snapToGrid w:val="0"/>
              <w:spacing w:line="360" w:lineRule="auto"/>
              <w:jc w:val="center"/>
              <w:rPr>
                <w:rFonts w:ascii="宋体"/>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14CFC31F">
            <w:pPr>
              <w:adjustRightInd w:val="0"/>
              <w:snapToGrid w:val="0"/>
              <w:spacing w:line="360" w:lineRule="auto"/>
              <w:jc w:val="center"/>
              <w:rPr>
                <w:rFonts w:ascii="宋体"/>
                <w:sz w:val="24"/>
              </w:rPr>
            </w:pPr>
          </w:p>
        </w:tc>
        <w:tc>
          <w:tcPr>
            <w:tcW w:w="1331" w:type="dxa"/>
            <w:tcBorders>
              <w:top w:val="single" w:color="auto" w:sz="4" w:space="0"/>
              <w:left w:val="single" w:color="auto" w:sz="4" w:space="0"/>
              <w:bottom w:val="single" w:color="auto" w:sz="4" w:space="0"/>
              <w:right w:val="single" w:color="auto" w:sz="4" w:space="0"/>
            </w:tcBorders>
            <w:vAlign w:val="center"/>
          </w:tcPr>
          <w:p w14:paraId="0BA433AF">
            <w:pPr>
              <w:adjustRightInd w:val="0"/>
              <w:snapToGrid w:val="0"/>
              <w:spacing w:line="360" w:lineRule="auto"/>
              <w:jc w:val="center"/>
              <w:rPr>
                <w:rFonts w:ascii="宋体"/>
                <w:sz w:val="24"/>
              </w:rPr>
            </w:pPr>
          </w:p>
        </w:tc>
      </w:tr>
      <w:tr w14:paraId="6DE6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54E210C6">
            <w:pPr>
              <w:adjustRightInd w:val="0"/>
              <w:snapToGrid w:val="0"/>
              <w:spacing w:line="360" w:lineRule="auto"/>
              <w:jc w:val="center"/>
              <w:rPr>
                <w:rFonts w:ascii="宋体"/>
                <w:sz w:val="24"/>
              </w:rPr>
            </w:pPr>
          </w:p>
        </w:tc>
        <w:tc>
          <w:tcPr>
            <w:tcW w:w="1661" w:type="dxa"/>
            <w:tcBorders>
              <w:top w:val="single" w:color="auto" w:sz="4" w:space="0"/>
              <w:left w:val="single" w:color="auto" w:sz="4" w:space="0"/>
              <w:bottom w:val="single" w:color="auto" w:sz="4" w:space="0"/>
              <w:right w:val="single" w:color="auto" w:sz="4" w:space="0"/>
            </w:tcBorders>
            <w:vAlign w:val="center"/>
          </w:tcPr>
          <w:p w14:paraId="11A0D189">
            <w:pPr>
              <w:adjustRightInd w:val="0"/>
              <w:snapToGrid w:val="0"/>
              <w:spacing w:line="360" w:lineRule="auto"/>
              <w:jc w:val="center"/>
              <w:rPr>
                <w:rFonts w:ascii="宋体"/>
                <w:sz w:val="24"/>
              </w:rPr>
            </w:pPr>
          </w:p>
        </w:tc>
        <w:tc>
          <w:tcPr>
            <w:tcW w:w="1189" w:type="dxa"/>
            <w:tcBorders>
              <w:top w:val="single" w:color="auto" w:sz="4" w:space="0"/>
              <w:left w:val="single" w:color="auto" w:sz="4" w:space="0"/>
              <w:bottom w:val="single" w:color="auto" w:sz="4" w:space="0"/>
              <w:right w:val="single" w:color="auto" w:sz="4" w:space="0"/>
            </w:tcBorders>
            <w:vAlign w:val="center"/>
          </w:tcPr>
          <w:p w14:paraId="77DC35FE">
            <w:pPr>
              <w:adjustRightInd w:val="0"/>
              <w:snapToGrid w:val="0"/>
              <w:spacing w:line="360" w:lineRule="auto"/>
              <w:jc w:val="center"/>
              <w:rPr>
                <w:rFonts w:ascii="宋体"/>
                <w:sz w:val="24"/>
              </w:rPr>
            </w:pPr>
          </w:p>
        </w:tc>
        <w:tc>
          <w:tcPr>
            <w:tcW w:w="1381" w:type="dxa"/>
            <w:tcBorders>
              <w:top w:val="single" w:color="auto" w:sz="4" w:space="0"/>
              <w:left w:val="single" w:color="auto" w:sz="4" w:space="0"/>
              <w:bottom w:val="single" w:color="auto" w:sz="4" w:space="0"/>
              <w:right w:val="single" w:color="auto" w:sz="4" w:space="0"/>
            </w:tcBorders>
            <w:vAlign w:val="center"/>
          </w:tcPr>
          <w:p w14:paraId="3A911290">
            <w:pPr>
              <w:adjustRightInd w:val="0"/>
              <w:snapToGrid w:val="0"/>
              <w:spacing w:line="360" w:lineRule="auto"/>
              <w:jc w:val="center"/>
              <w:rPr>
                <w:rFonts w:ascii="宋体"/>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700E9AD9">
            <w:pPr>
              <w:adjustRightInd w:val="0"/>
              <w:snapToGrid w:val="0"/>
              <w:spacing w:line="360" w:lineRule="auto"/>
              <w:jc w:val="center"/>
              <w:rPr>
                <w:rFonts w:ascii="宋体"/>
                <w:sz w:val="24"/>
              </w:rPr>
            </w:pPr>
          </w:p>
        </w:tc>
        <w:tc>
          <w:tcPr>
            <w:tcW w:w="1331" w:type="dxa"/>
            <w:tcBorders>
              <w:top w:val="single" w:color="auto" w:sz="4" w:space="0"/>
              <w:left w:val="single" w:color="auto" w:sz="4" w:space="0"/>
              <w:bottom w:val="single" w:color="auto" w:sz="4" w:space="0"/>
              <w:right w:val="single" w:color="auto" w:sz="4" w:space="0"/>
            </w:tcBorders>
            <w:vAlign w:val="center"/>
          </w:tcPr>
          <w:p w14:paraId="7E19691D">
            <w:pPr>
              <w:adjustRightInd w:val="0"/>
              <w:snapToGrid w:val="0"/>
              <w:spacing w:line="360" w:lineRule="auto"/>
              <w:jc w:val="center"/>
              <w:rPr>
                <w:rFonts w:ascii="宋体"/>
                <w:sz w:val="24"/>
              </w:rPr>
            </w:pPr>
          </w:p>
        </w:tc>
      </w:tr>
      <w:tr w14:paraId="6BA4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69501E2D">
            <w:pPr>
              <w:adjustRightInd w:val="0"/>
              <w:snapToGrid w:val="0"/>
              <w:spacing w:line="360" w:lineRule="auto"/>
              <w:jc w:val="center"/>
              <w:rPr>
                <w:rFonts w:ascii="宋体"/>
                <w:sz w:val="24"/>
              </w:rPr>
            </w:pPr>
          </w:p>
        </w:tc>
        <w:tc>
          <w:tcPr>
            <w:tcW w:w="1661" w:type="dxa"/>
            <w:tcBorders>
              <w:top w:val="single" w:color="auto" w:sz="4" w:space="0"/>
              <w:left w:val="single" w:color="auto" w:sz="4" w:space="0"/>
              <w:bottom w:val="single" w:color="auto" w:sz="4" w:space="0"/>
              <w:right w:val="single" w:color="auto" w:sz="4" w:space="0"/>
            </w:tcBorders>
            <w:vAlign w:val="center"/>
          </w:tcPr>
          <w:p w14:paraId="4E841402">
            <w:pPr>
              <w:adjustRightInd w:val="0"/>
              <w:snapToGrid w:val="0"/>
              <w:spacing w:line="360" w:lineRule="auto"/>
              <w:jc w:val="center"/>
              <w:rPr>
                <w:rFonts w:ascii="宋体"/>
                <w:sz w:val="24"/>
              </w:rPr>
            </w:pPr>
          </w:p>
        </w:tc>
        <w:tc>
          <w:tcPr>
            <w:tcW w:w="1189" w:type="dxa"/>
            <w:tcBorders>
              <w:top w:val="single" w:color="auto" w:sz="4" w:space="0"/>
              <w:left w:val="single" w:color="auto" w:sz="4" w:space="0"/>
              <w:bottom w:val="single" w:color="auto" w:sz="4" w:space="0"/>
              <w:right w:val="single" w:color="auto" w:sz="4" w:space="0"/>
            </w:tcBorders>
            <w:vAlign w:val="center"/>
          </w:tcPr>
          <w:p w14:paraId="1E55DC73">
            <w:pPr>
              <w:adjustRightInd w:val="0"/>
              <w:snapToGrid w:val="0"/>
              <w:spacing w:line="360" w:lineRule="auto"/>
              <w:jc w:val="center"/>
              <w:rPr>
                <w:rFonts w:ascii="宋体"/>
                <w:sz w:val="24"/>
              </w:rPr>
            </w:pPr>
          </w:p>
        </w:tc>
        <w:tc>
          <w:tcPr>
            <w:tcW w:w="1381" w:type="dxa"/>
            <w:tcBorders>
              <w:top w:val="single" w:color="auto" w:sz="4" w:space="0"/>
              <w:left w:val="single" w:color="auto" w:sz="4" w:space="0"/>
              <w:bottom w:val="single" w:color="auto" w:sz="4" w:space="0"/>
              <w:right w:val="single" w:color="auto" w:sz="4" w:space="0"/>
            </w:tcBorders>
            <w:vAlign w:val="center"/>
          </w:tcPr>
          <w:p w14:paraId="1713EC2F">
            <w:pPr>
              <w:adjustRightInd w:val="0"/>
              <w:snapToGrid w:val="0"/>
              <w:spacing w:line="360" w:lineRule="auto"/>
              <w:jc w:val="center"/>
              <w:rPr>
                <w:rFonts w:ascii="宋体"/>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24C050D2">
            <w:pPr>
              <w:adjustRightInd w:val="0"/>
              <w:snapToGrid w:val="0"/>
              <w:spacing w:line="360" w:lineRule="auto"/>
              <w:jc w:val="center"/>
              <w:rPr>
                <w:rFonts w:ascii="宋体"/>
                <w:sz w:val="24"/>
              </w:rPr>
            </w:pPr>
          </w:p>
        </w:tc>
        <w:tc>
          <w:tcPr>
            <w:tcW w:w="1331" w:type="dxa"/>
            <w:tcBorders>
              <w:top w:val="single" w:color="auto" w:sz="4" w:space="0"/>
              <w:left w:val="single" w:color="auto" w:sz="4" w:space="0"/>
              <w:bottom w:val="single" w:color="auto" w:sz="4" w:space="0"/>
              <w:right w:val="single" w:color="auto" w:sz="4" w:space="0"/>
            </w:tcBorders>
            <w:vAlign w:val="center"/>
          </w:tcPr>
          <w:p w14:paraId="6073348F">
            <w:pPr>
              <w:adjustRightInd w:val="0"/>
              <w:snapToGrid w:val="0"/>
              <w:spacing w:line="360" w:lineRule="auto"/>
              <w:jc w:val="center"/>
              <w:rPr>
                <w:rFonts w:ascii="宋体"/>
                <w:sz w:val="24"/>
              </w:rPr>
            </w:pPr>
          </w:p>
        </w:tc>
      </w:tr>
      <w:tr w14:paraId="42B3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vAlign w:val="center"/>
          </w:tcPr>
          <w:p w14:paraId="61C77865">
            <w:pPr>
              <w:adjustRightInd w:val="0"/>
              <w:snapToGrid w:val="0"/>
              <w:spacing w:line="360" w:lineRule="auto"/>
              <w:jc w:val="center"/>
              <w:rPr>
                <w:rFonts w:ascii="宋体"/>
                <w:sz w:val="24"/>
              </w:rPr>
            </w:pPr>
          </w:p>
        </w:tc>
        <w:tc>
          <w:tcPr>
            <w:tcW w:w="1661" w:type="dxa"/>
            <w:tcBorders>
              <w:top w:val="single" w:color="auto" w:sz="4" w:space="0"/>
              <w:left w:val="single" w:color="auto" w:sz="4" w:space="0"/>
              <w:bottom w:val="single" w:color="auto" w:sz="4" w:space="0"/>
              <w:right w:val="single" w:color="auto" w:sz="4" w:space="0"/>
            </w:tcBorders>
            <w:vAlign w:val="center"/>
          </w:tcPr>
          <w:p w14:paraId="1743CE32">
            <w:pPr>
              <w:adjustRightInd w:val="0"/>
              <w:snapToGrid w:val="0"/>
              <w:spacing w:line="360" w:lineRule="auto"/>
              <w:jc w:val="center"/>
              <w:rPr>
                <w:rFonts w:ascii="宋体"/>
                <w:sz w:val="24"/>
              </w:rPr>
            </w:pPr>
          </w:p>
        </w:tc>
        <w:tc>
          <w:tcPr>
            <w:tcW w:w="1189" w:type="dxa"/>
            <w:tcBorders>
              <w:top w:val="single" w:color="auto" w:sz="4" w:space="0"/>
              <w:left w:val="single" w:color="auto" w:sz="4" w:space="0"/>
              <w:bottom w:val="single" w:color="auto" w:sz="4" w:space="0"/>
              <w:right w:val="single" w:color="auto" w:sz="4" w:space="0"/>
            </w:tcBorders>
            <w:vAlign w:val="center"/>
          </w:tcPr>
          <w:p w14:paraId="58B8E313">
            <w:pPr>
              <w:adjustRightInd w:val="0"/>
              <w:snapToGrid w:val="0"/>
              <w:spacing w:line="360" w:lineRule="auto"/>
              <w:jc w:val="center"/>
              <w:rPr>
                <w:rFonts w:ascii="宋体"/>
                <w:sz w:val="24"/>
              </w:rPr>
            </w:pPr>
          </w:p>
        </w:tc>
        <w:tc>
          <w:tcPr>
            <w:tcW w:w="1381" w:type="dxa"/>
            <w:tcBorders>
              <w:top w:val="single" w:color="auto" w:sz="4" w:space="0"/>
              <w:left w:val="single" w:color="auto" w:sz="4" w:space="0"/>
              <w:bottom w:val="single" w:color="auto" w:sz="4" w:space="0"/>
              <w:right w:val="single" w:color="auto" w:sz="4" w:space="0"/>
            </w:tcBorders>
            <w:vAlign w:val="center"/>
          </w:tcPr>
          <w:p w14:paraId="7AF541F2">
            <w:pPr>
              <w:adjustRightInd w:val="0"/>
              <w:snapToGrid w:val="0"/>
              <w:spacing w:line="360" w:lineRule="auto"/>
              <w:jc w:val="center"/>
              <w:rPr>
                <w:rFonts w:ascii="宋体"/>
                <w:sz w:val="24"/>
              </w:rPr>
            </w:pPr>
          </w:p>
        </w:tc>
        <w:tc>
          <w:tcPr>
            <w:tcW w:w="1600" w:type="dxa"/>
            <w:tcBorders>
              <w:top w:val="single" w:color="auto" w:sz="4" w:space="0"/>
              <w:left w:val="single" w:color="auto" w:sz="4" w:space="0"/>
              <w:bottom w:val="single" w:color="auto" w:sz="4" w:space="0"/>
              <w:right w:val="single" w:color="auto" w:sz="4" w:space="0"/>
            </w:tcBorders>
            <w:vAlign w:val="center"/>
          </w:tcPr>
          <w:p w14:paraId="15511FA4">
            <w:pPr>
              <w:adjustRightInd w:val="0"/>
              <w:snapToGrid w:val="0"/>
              <w:spacing w:line="360" w:lineRule="auto"/>
              <w:jc w:val="center"/>
              <w:rPr>
                <w:rFonts w:ascii="宋体"/>
                <w:sz w:val="24"/>
              </w:rPr>
            </w:pPr>
          </w:p>
        </w:tc>
        <w:tc>
          <w:tcPr>
            <w:tcW w:w="1331" w:type="dxa"/>
            <w:tcBorders>
              <w:top w:val="single" w:color="auto" w:sz="4" w:space="0"/>
              <w:left w:val="single" w:color="auto" w:sz="4" w:space="0"/>
              <w:bottom w:val="single" w:color="auto" w:sz="4" w:space="0"/>
              <w:right w:val="single" w:color="auto" w:sz="4" w:space="0"/>
            </w:tcBorders>
            <w:vAlign w:val="center"/>
          </w:tcPr>
          <w:p w14:paraId="089FB9F9">
            <w:pPr>
              <w:adjustRightInd w:val="0"/>
              <w:snapToGrid w:val="0"/>
              <w:spacing w:line="360" w:lineRule="auto"/>
              <w:jc w:val="center"/>
              <w:rPr>
                <w:rFonts w:ascii="宋体"/>
                <w:sz w:val="24"/>
              </w:rPr>
            </w:pPr>
          </w:p>
        </w:tc>
      </w:tr>
    </w:tbl>
    <w:p w14:paraId="5418D603">
      <w:pPr>
        <w:widowControl/>
        <w:adjustRightInd w:val="0"/>
        <w:snapToGrid w:val="0"/>
        <w:spacing w:line="360" w:lineRule="auto"/>
        <w:ind w:firstLine="723" w:firstLineChars="300"/>
        <w:jc w:val="left"/>
        <w:rPr>
          <w:rFonts w:ascii="宋体" w:hAnsi="宋体" w:cs="宋体"/>
          <w:b/>
          <w:bCs/>
          <w:sz w:val="24"/>
        </w:rPr>
      </w:pPr>
      <w:r>
        <w:rPr>
          <w:rFonts w:hint="eastAsia" w:ascii="宋体" w:hAnsi="宋体" w:cs="宋体"/>
          <w:b/>
          <w:bCs/>
          <w:sz w:val="24"/>
        </w:rPr>
        <w:t>注：后附身份证、职称证等相关证件资料。</w:t>
      </w:r>
    </w:p>
    <w:p w14:paraId="2925F6CB">
      <w:pPr>
        <w:adjustRightInd w:val="0"/>
        <w:snapToGrid w:val="0"/>
        <w:spacing w:line="360" w:lineRule="auto"/>
        <w:jc w:val="center"/>
        <w:rPr>
          <w:rFonts w:ascii="宋体" w:hAnsi="宋体" w:cs="宋体"/>
          <w:b/>
          <w:kern w:val="0"/>
          <w:sz w:val="28"/>
          <w:szCs w:val="28"/>
          <w:lang w:val="zh-CN"/>
        </w:rPr>
      </w:pPr>
      <w:r>
        <w:rPr>
          <w:rFonts w:hint="eastAsia" w:ascii="宋体" w:hAnsi="宋体" w:cs="宋体"/>
          <w:b/>
          <w:kern w:val="0"/>
          <w:sz w:val="28"/>
          <w:szCs w:val="28"/>
        </w:rPr>
        <w:br w:type="page"/>
      </w:r>
      <w:r>
        <w:rPr>
          <w:rFonts w:hint="eastAsia" w:ascii="宋体" w:hAnsi="宋体" w:cs="宋体"/>
          <w:b/>
          <w:kern w:val="0"/>
          <w:sz w:val="28"/>
          <w:szCs w:val="28"/>
        </w:rPr>
        <w:t>（二）项目负责人</w:t>
      </w:r>
      <w:r>
        <w:rPr>
          <w:rFonts w:hint="eastAsia" w:ascii="宋体" w:hAnsi="宋体" w:cs="宋体"/>
          <w:b/>
          <w:kern w:val="0"/>
          <w:sz w:val="28"/>
          <w:szCs w:val="28"/>
          <w:lang w:val="zh-CN"/>
        </w:rPr>
        <w:t>简历表</w:t>
      </w:r>
    </w:p>
    <w:tbl>
      <w:tblPr>
        <w:tblStyle w:val="13"/>
        <w:tblW w:w="0" w:type="auto"/>
        <w:tblInd w:w="5" w:type="dxa"/>
        <w:tblLayout w:type="fixed"/>
        <w:tblCellMar>
          <w:top w:w="0" w:type="dxa"/>
          <w:left w:w="0" w:type="dxa"/>
          <w:bottom w:w="0" w:type="dxa"/>
          <w:right w:w="0" w:type="dxa"/>
        </w:tblCellMar>
      </w:tblPr>
      <w:tblGrid>
        <w:gridCol w:w="1438"/>
        <w:gridCol w:w="369"/>
        <w:gridCol w:w="740"/>
        <w:gridCol w:w="950"/>
        <w:gridCol w:w="1094"/>
        <w:gridCol w:w="725"/>
        <w:gridCol w:w="1293"/>
        <w:gridCol w:w="167"/>
        <w:gridCol w:w="2192"/>
      </w:tblGrid>
      <w:tr w14:paraId="16788F0D">
        <w:tblPrEx>
          <w:tblCellMar>
            <w:top w:w="0" w:type="dxa"/>
            <w:left w:w="0" w:type="dxa"/>
            <w:bottom w:w="0" w:type="dxa"/>
            <w:right w:w="0" w:type="dxa"/>
          </w:tblCellMar>
        </w:tblPrEx>
        <w:trPr>
          <w:trHeight w:val="903"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0E269689">
            <w:pPr>
              <w:autoSpaceDE w:val="0"/>
              <w:autoSpaceDN w:val="0"/>
              <w:adjustRightInd w:val="0"/>
              <w:snapToGrid w:val="0"/>
              <w:spacing w:line="360" w:lineRule="auto"/>
              <w:ind w:firstLine="59" w:firstLineChars="28"/>
              <w:jc w:val="center"/>
              <w:rPr>
                <w:rFonts w:ascii="宋体" w:hAnsi="宋体"/>
                <w:spacing w:val="1"/>
                <w:kern w:val="0"/>
                <w:szCs w:val="21"/>
              </w:rPr>
            </w:pPr>
            <w:r>
              <w:rPr>
                <w:rFonts w:hint="eastAsia" w:ascii="宋体" w:hAnsi="宋体"/>
                <w:spacing w:val="1"/>
                <w:kern w:val="0"/>
                <w:szCs w:val="21"/>
              </w:rPr>
              <w:t>姓</w:t>
            </w:r>
            <w:r>
              <w:tab/>
            </w:r>
            <w:r>
              <w:rPr>
                <w:rFonts w:hint="eastAsia" w:ascii="宋体" w:hAnsi="宋体"/>
                <w:spacing w:val="1"/>
                <w:kern w:val="0"/>
                <w:szCs w:val="21"/>
              </w:rPr>
              <w:t>名</w:t>
            </w:r>
          </w:p>
        </w:tc>
        <w:tc>
          <w:tcPr>
            <w:tcW w:w="1109" w:type="dxa"/>
            <w:gridSpan w:val="2"/>
            <w:tcBorders>
              <w:top w:val="single" w:color="000000" w:sz="4" w:space="0"/>
              <w:left w:val="nil"/>
              <w:bottom w:val="single" w:color="000000" w:sz="4" w:space="0"/>
              <w:right w:val="single" w:color="000000" w:sz="4" w:space="0"/>
            </w:tcBorders>
            <w:vAlign w:val="center"/>
          </w:tcPr>
          <w:p w14:paraId="217208B7">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950" w:type="dxa"/>
            <w:tcBorders>
              <w:top w:val="single" w:color="000000" w:sz="4" w:space="0"/>
              <w:left w:val="nil"/>
              <w:bottom w:val="single" w:color="000000" w:sz="4" w:space="0"/>
              <w:right w:val="single" w:color="000000" w:sz="4" w:space="0"/>
            </w:tcBorders>
            <w:vAlign w:val="center"/>
          </w:tcPr>
          <w:p w14:paraId="0BFA883C">
            <w:pPr>
              <w:autoSpaceDE w:val="0"/>
              <w:autoSpaceDN w:val="0"/>
              <w:adjustRightInd w:val="0"/>
              <w:snapToGrid w:val="0"/>
              <w:spacing w:line="360" w:lineRule="auto"/>
              <w:ind w:firstLine="59" w:firstLineChars="28"/>
              <w:jc w:val="center"/>
              <w:rPr>
                <w:rFonts w:ascii="宋体" w:hAnsi="宋体"/>
                <w:spacing w:val="1"/>
                <w:kern w:val="0"/>
                <w:szCs w:val="21"/>
              </w:rPr>
            </w:pPr>
            <w:r>
              <w:rPr>
                <w:rFonts w:hint="eastAsia" w:ascii="宋体" w:hAnsi="宋体"/>
                <w:spacing w:val="1"/>
                <w:kern w:val="0"/>
                <w:szCs w:val="21"/>
              </w:rPr>
              <w:t>年  龄</w:t>
            </w:r>
          </w:p>
        </w:tc>
        <w:tc>
          <w:tcPr>
            <w:tcW w:w="1094" w:type="dxa"/>
            <w:tcBorders>
              <w:top w:val="single" w:color="000000" w:sz="4" w:space="0"/>
              <w:left w:val="nil"/>
              <w:bottom w:val="single" w:color="000000" w:sz="4" w:space="0"/>
              <w:right w:val="single" w:color="000000" w:sz="4" w:space="0"/>
            </w:tcBorders>
            <w:vAlign w:val="center"/>
          </w:tcPr>
          <w:p w14:paraId="07121E47">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2185" w:type="dxa"/>
            <w:gridSpan w:val="3"/>
            <w:tcBorders>
              <w:top w:val="single" w:color="000000" w:sz="4" w:space="0"/>
              <w:left w:val="nil"/>
              <w:bottom w:val="single" w:color="000000" w:sz="4" w:space="0"/>
              <w:right w:val="single" w:color="000000" w:sz="4" w:space="0"/>
            </w:tcBorders>
            <w:vAlign w:val="center"/>
          </w:tcPr>
          <w:p w14:paraId="1789D92A">
            <w:pPr>
              <w:autoSpaceDE w:val="0"/>
              <w:autoSpaceDN w:val="0"/>
              <w:adjustRightInd w:val="0"/>
              <w:snapToGrid w:val="0"/>
              <w:spacing w:line="360" w:lineRule="auto"/>
              <w:ind w:firstLine="59" w:firstLineChars="28"/>
              <w:jc w:val="center"/>
              <w:rPr>
                <w:rFonts w:ascii="宋体" w:hAnsi="宋体"/>
                <w:spacing w:val="1"/>
                <w:kern w:val="0"/>
                <w:szCs w:val="21"/>
              </w:rPr>
            </w:pPr>
            <w:bookmarkStart w:id="20" w:name="_GoBack"/>
            <w:bookmarkEnd w:id="20"/>
            <w:r>
              <w:rPr>
                <w:rFonts w:hint="eastAsia" w:ascii="宋体" w:hAnsi="宋体"/>
                <w:spacing w:val="1"/>
                <w:kern w:val="0"/>
                <w:szCs w:val="21"/>
              </w:rPr>
              <w:t>学历</w:t>
            </w:r>
          </w:p>
        </w:tc>
        <w:tc>
          <w:tcPr>
            <w:tcW w:w="2192" w:type="dxa"/>
            <w:tcBorders>
              <w:top w:val="single" w:color="000000" w:sz="4" w:space="0"/>
              <w:left w:val="nil"/>
              <w:bottom w:val="single" w:color="000000" w:sz="4" w:space="0"/>
              <w:right w:val="single" w:color="000000" w:sz="4" w:space="0"/>
            </w:tcBorders>
            <w:vAlign w:val="center"/>
          </w:tcPr>
          <w:p w14:paraId="5C3AB68F">
            <w:pPr>
              <w:autoSpaceDE w:val="0"/>
              <w:autoSpaceDN w:val="0"/>
              <w:adjustRightInd w:val="0"/>
              <w:snapToGrid w:val="0"/>
              <w:spacing w:line="360" w:lineRule="auto"/>
              <w:ind w:firstLine="59" w:firstLineChars="28"/>
              <w:jc w:val="center"/>
              <w:rPr>
                <w:rFonts w:ascii="宋体" w:hAnsi="宋体"/>
                <w:spacing w:val="1"/>
                <w:kern w:val="0"/>
                <w:szCs w:val="21"/>
              </w:rPr>
            </w:pPr>
          </w:p>
        </w:tc>
      </w:tr>
      <w:tr w14:paraId="2B547142">
        <w:tblPrEx>
          <w:tblCellMar>
            <w:top w:w="0" w:type="dxa"/>
            <w:left w:w="0" w:type="dxa"/>
            <w:bottom w:w="0" w:type="dxa"/>
            <w:right w:w="0" w:type="dxa"/>
          </w:tblCellMar>
        </w:tblPrEx>
        <w:trPr>
          <w:trHeight w:val="903"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3328383C">
            <w:pPr>
              <w:autoSpaceDE w:val="0"/>
              <w:autoSpaceDN w:val="0"/>
              <w:adjustRightInd w:val="0"/>
              <w:snapToGrid w:val="0"/>
              <w:spacing w:line="360" w:lineRule="auto"/>
              <w:ind w:firstLine="59" w:firstLineChars="28"/>
              <w:jc w:val="center"/>
              <w:rPr>
                <w:rFonts w:ascii="宋体" w:hAnsi="宋体"/>
                <w:spacing w:val="1"/>
                <w:kern w:val="0"/>
                <w:szCs w:val="21"/>
              </w:rPr>
            </w:pPr>
            <w:r>
              <w:rPr>
                <w:rFonts w:hint="eastAsia" w:ascii="宋体" w:hAnsi="宋体"/>
                <w:spacing w:val="1"/>
                <w:kern w:val="0"/>
                <w:szCs w:val="21"/>
              </w:rPr>
              <w:t>职</w:t>
            </w:r>
            <w:r>
              <w:tab/>
            </w:r>
            <w:r>
              <w:rPr>
                <w:rFonts w:hint="eastAsia" w:ascii="宋体" w:hAnsi="宋体"/>
                <w:spacing w:val="1"/>
                <w:kern w:val="0"/>
                <w:szCs w:val="21"/>
              </w:rPr>
              <w:t>称</w:t>
            </w:r>
          </w:p>
        </w:tc>
        <w:tc>
          <w:tcPr>
            <w:tcW w:w="1109" w:type="dxa"/>
            <w:gridSpan w:val="2"/>
            <w:tcBorders>
              <w:top w:val="single" w:color="000000" w:sz="4" w:space="0"/>
              <w:left w:val="nil"/>
              <w:bottom w:val="single" w:color="000000" w:sz="4" w:space="0"/>
              <w:right w:val="single" w:color="000000" w:sz="4" w:space="0"/>
            </w:tcBorders>
            <w:vAlign w:val="center"/>
          </w:tcPr>
          <w:p w14:paraId="079A4444">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950" w:type="dxa"/>
            <w:tcBorders>
              <w:top w:val="single" w:color="000000" w:sz="4" w:space="0"/>
              <w:left w:val="nil"/>
              <w:bottom w:val="single" w:color="000000" w:sz="4" w:space="0"/>
              <w:right w:val="single" w:color="000000" w:sz="4" w:space="0"/>
            </w:tcBorders>
            <w:vAlign w:val="center"/>
          </w:tcPr>
          <w:p w14:paraId="4F940800">
            <w:pPr>
              <w:autoSpaceDE w:val="0"/>
              <w:autoSpaceDN w:val="0"/>
              <w:adjustRightInd w:val="0"/>
              <w:snapToGrid w:val="0"/>
              <w:spacing w:line="360" w:lineRule="auto"/>
              <w:ind w:firstLine="59" w:firstLineChars="28"/>
              <w:jc w:val="center"/>
              <w:rPr>
                <w:rFonts w:ascii="宋体" w:hAnsi="宋体"/>
                <w:spacing w:val="1"/>
                <w:kern w:val="0"/>
                <w:szCs w:val="21"/>
              </w:rPr>
            </w:pPr>
            <w:r>
              <w:rPr>
                <w:rFonts w:hint="eastAsia" w:ascii="宋体" w:hAnsi="宋体"/>
                <w:spacing w:val="1"/>
                <w:kern w:val="0"/>
                <w:szCs w:val="21"/>
              </w:rPr>
              <w:t>职  务</w:t>
            </w:r>
          </w:p>
        </w:tc>
        <w:tc>
          <w:tcPr>
            <w:tcW w:w="1094" w:type="dxa"/>
            <w:tcBorders>
              <w:top w:val="single" w:color="000000" w:sz="4" w:space="0"/>
              <w:left w:val="nil"/>
              <w:bottom w:val="single" w:color="000000" w:sz="4" w:space="0"/>
              <w:right w:val="single" w:color="000000" w:sz="4" w:space="0"/>
            </w:tcBorders>
            <w:vAlign w:val="center"/>
          </w:tcPr>
          <w:p w14:paraId="7CC25240">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2185" w:type="dxa"/>
            <w:gridSpan w:val="3"/>
            <w:tcBorders>
              <w:top w:val="single" w:color="000000" w:sz="4" w:space="0"/>
              <w:left w:val="nil"/>
              <w:bottom w:val="single" w:color="000000" w:sz="4" w:space="0"/>
              <w:right w:val="single" w:color="000000" w:sz="4" w:space="0"/>
            </w:tcBorders>
            <w:vAlign w:val="center"/>
          </w:tcPr>
          <w:p w14:paraId="69D9FDA4">
            <w:pPr>
              <w:autoSpaceDE w:val="0"/>
              <w:autoSpaceDN w:val="0"/>
              <w:adjustRightInd w:val="0"/>
              <w:snapToGrid w:val="0"/>
              <w:spacing w:line="360" w:lineRule="auto"/>
              <w:ind w:firstLine="59" w:firstLineChars="28"/>
              <w:jc w:val="center"/>
              <w:rPr>
                <w:rFonts w:ascii="宋体" w:hAnsi="宋体"/>
                <w:spacing w:val="1"/>
                <w:kern w:val="0"/>
                <w:szCs w:val="21"/>
              </w:rPr>
            </w:pPr>
            <w:r>
              <w:rPr>
                <w:rFonts w:hint="eastAsia" w:ascii="宋体" w:hAnsi="宋体"/>
                <w:spacing w:val="1"/>
                <w:kern w:val="0"/>
                <w:szCs w:val="21"/>
              </w:rPr>
              <w:t>拟在本项目任职</w:t>
            </w:r>
          </w:p>
        </w:tc>
        <w:tc>
          <w:tcPr>
            <w:tcW w:w="2192" w:type="dxa"/>
            <w:tcBorders>
              <w:top w:val="single" w:color="000000" w:sz="4" w:space="0"/>
              <w:left w:val="nil"/>
              <w:bottom w:val="single" w:color="000000" w:sz="4" w:space="0"/>
              <w:right w:val="single" w:color="000000" w:sz="4" w:space="0"/>
            </w:tcBorders>
            <w:vAlign w:val="center"/>
          </w:tcPr>
          <w:p w14:paraId="7CA94E2A">
            <w:pPr>
              <w:autoSpaceDE w:val="0"/>
              <w:autoSpaceDN w:val="0"/>
              <w:adjustRightInd w:val="0"/>
              <w:snapToGrid w:val="0"/>
              <w:spacing w:line="360" w:lineRule="auto"/>
              <w:ind w:firstLine="59" w:firstLineChars="28"/>
              <w:jc w:val="center"/>
              <w:rPr>
                <w:rFonts w:ascii="宋体" w:hAnsi="宋体"/>
                <w:spacing w:val="1"/>
                <w:kern w:val="0"/>
                <w:szCs w:val="21"/>
              </w:rPr>
            </w:pPr>
          </w:p>
        </w:tc>
      </w:tr>
      <w:tr w14:paraId="46E5C05F">
        <w:tblPrEx>
          <w:tblCellMar>
            <w:top w:w="0" w:type="dxa"/>
            <w:left w:w="0" w:type="dxa"/>
            <w:bottom w:w="0" w:type="dxa"/>
            <w:right w:w="0" w:type="dxa"/>
          </w:tblCellMar>
        </w:tblPrEx>
        <w:trPr>
          <w:trHeight w:val="903"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37745D7B">
            <w:pPr>
              <w:autoSpaceDE w:val="0"/>
              <w:autoSpaceDN w:val="0"/>
              <w:adjustRightInd w:val="0"/>
              <w:snapToGrid w:val="0"/>
              <w:spacing w:line="360" w:lineRule="auto"/>
              <w:ind w:firstLine="59" w:firstLineChars="28"/>
              <w:jc w:val="center"/>
              <w:rPr>
                <w:rFonts w:ascii="宋体" w:hAnsi="宋体"/>
                <w:spacing w:val="1"/>
                <w:kern w:val="0"/>
                <w:szCs w:val="21"/>
              </w:rPr>
            </w:pPr>
            <w:r>
              <w:rPr>
                <w:rFonts w:hint="eastAsia" w:ascii="宋体" w:hAnsi="宋体"/>
                <w:spacing w:val="1"/>
                <w:kern w:val="0"/>
                <w:szCs w:val="21"/>
              </w:rPr>
              <w:t>毕业学校</w:t>
            </w:r>
          </w:p>
        </w:tc>
        <w:tc>
          <w:tcPr>
            <w:tcW w:w="7530" w:type="dxa"/>
            <w:gridSpan w:val="8"/>
            <w:tcBorders>
              <w:top w:val="single" w:color="000000" w:sz="4" w:space="0"/>
              <w:left w:val="nil"/>
              <w:bottom w:val="single" w:color="000000" w:sz="4" w:space="0"/>
              <w:right w:val="single" w:color="000000" w:sz="4" w:space="0"/>
            </w:tcBorders>
            <w:vAlign w:val="center"/>
          </w:tcPr>
          <w:p w14:paraId="1FCF0085">
            <w:pPr>
              <w:autoSpaceDE w:val="0"/>
              <w:autoSpaceDN w:val="0"/>
              <w:adjustRightInd w:val="0"/>
              <w:snapToGrid w:val="0"/>
              <w:spacing w:line="360" w:lineRule="auto"/>
              <w:ind w:firstLine="59" w:firstLineChars="28"/>
              <w:jc w:val="center"/>
              <w:rPr>
                <w:rFonts w:ascii="宋体" w:hAnsi="宋体"/>
                <w:spacing w:val="1"/>
                <w:kern w:val="0"/>
                <w:szCs w:val="21"/>
              </w:rPr>
            </w:pPr>
            <w:r>
              <w:rPr>
                <w:rFonts w:hint="eastAsia" w:ascii="宋体" w:hAnsi="宋体"/>
                <w:spacing w:val="1"/>
                <w:kern w:val="0"/>
                <w:szCs w:val="21"/>
              </w:rPr>
              <w:t>年毕业于</w:t>
            </w:r>
            <w:r>
              <w:tab/>
            </w:r>
            <w:r>
              <w:rPr>
                <w:rFonts w:hint="eastAsia" w:ascii="宋体" w:hAnsi="宋体"/>
                <w:spacing w:val="1"/>
                <w:kern w:val="0"/>
                <w:szCs w:val="21"/>
              </w:rPr>
              <w:t>学校</w:t>
            </w:r>
            <w:r>
              <w:tab/>
            </w:r>
            <w:r>
              <w:rPr>
                <w:rFonts w:hint="eastAsia" w:ascii="宋体" w:hAnsi="宋体"/>
                <w:spacing w:val="1"/>
                <w:kern w:val="0"/>
                <w:szCs w:val="21"/>
              </w:rPr>
              <w:t>专业</w:t>
            </w:r>
          </w:p>
        </w:tc>
      </w:tr>
      <w:tr w14:paraId="7AC4D9E9">
        <w:tblPrEx>
          <w:tblCellMar>
            <w:top w:w="0" w:type="dxa"/>
            <w:left w:w="0" w:type="dxa"/>
            <w:bottom w:w="0" w:type="dxa"/>
            <w:right w:w="0" w:type="dxa"/>
          </w:tblCellMar>
        </w:tblPrEx>
        <w:trPr>
          <w:trHeight w:val="865" w:hRule="atLeast"/>
        </w:trPr>
        <w:tc>
          <w:tcPr>
            <w:tcW w:w="8968" w:type="dxa"/>
            <w:gridSpan w:val="9"/>
            <w:tcBorders>
              <w:top w:val="single" w:color="000000" w:sz="4" w:space="0"/>
              <w:left w:val="single" w:color="000000" w:sz="4" w:space="0"/>
              <w:bottom w:val="single" w:color="000000" w:sz="4" w:space="0"/>
              <w:right w:val="single" w:color="000000" w:sz="4" w:space="0"/>
            </w:tcBorders>
            <w:vAlign w:val="center"/>
          </w:tcPr>
          <w:p w14:paraId="55DA35CD">
            <w:pPr>
              <w:autoSpaceDE w:val="0"/>
              <w:autoSpaceDN w:val="0"/>
              <w:adjustRightInd w:val="0"/>
              <w:snapToGrid w:val="0"/>
              <w:spacing w:line="360" w:lineRule="auto"/>
              <w:ind w:firstLine="59" w:firstLineChars="28"/>
              <w:jc w:val="center"/>
              <w:rPr>
                <w:rFonts w:ascii="宋体" w:hAnsi="宋体"/>
                <w:spacing w:val="1"/>
                <w:kern w:val="0"/>
                <w:szCs w:val="21"/>
              </w:rPr>
            </w:pPr>
            <w:r>
              <w:rPr>
                <w:rFonts w:hint="eastAsia" w:ascii="宋体" w:hAnsi="宋体"/>
                <w:spacing w:val="1"/>
                <w:kern w:val="0"/>
                <w:szCs w:val="21"/>
              </w:rPr>
              <w:t>主要工作经历</w:t>
            </w:r>
          </w:p>
        </w:tc>
      </w:tr>
      <w:tr w14:paraId="113D8B5C">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2BAF8D72">
            <w:pPr>
              <w:autoSpaceDE w:val="0"/>
              <w:autoSpaceDN w:val="0"/>
              <w:adjustRightInd w:val="0"/>
              <w:snapToGrid w:val="0"/>
              <w:spacing w:line="360" w:lineRule="auto"/>
              <w:ind w:firstLine="59" w:firstLineChars="28"/>
              <w:jc w:val="center"/>
              <w:rPr>
                <w:rFonts w:ascii="宋体" w:hAnsi="宋体"/>
                <w:spacing w:val="1"/>
                <w:kern w:val="0"/>
                <w:szCs w:val="21"/>
              </w:rPr>
            </w:pPr>
            <w:r>
              <w:rPr>
                <w:rFonts w:hint="eastAsia" w:ascii="宋体" w:hAnsi="宋体"/>
                <w:spacing w:val="1"/>
                <w:kern w:val="0"/>
                <w:szCs w:val="21"/>
              </w:rPr>
              <w:t>时</w:t>
            </w:r>
            <w:r>
              <w:tab/>
            </w:r>
            <w:r>
              <w:rPr>
                <w:rFonts w:hint="eastAsia" w:ascii="宋体" w:hAnsi="宋体"/>
                <w:spacing w:val="1"/>
                <w:kern w:val="0"/>
                <w:szCs w:val="21"/>
              </w:rPr>
              <w:t>间</w:t>
            </w:r>
          </w:p>
        </w:tc>
        <w:tc>
          <w:tcPr>
            <w:tcW w:w="3509" w:type="dxa"/>
            <w:gridSpan w:val="4"/>
            <w:tcBorders>
              <w:top w:val="single" w:color="000000" w:sz="4" w:space="0"/>
              <w:left w:val="nil"/>
              <w:bottom w:val="single" w:color="000000" w:sz="4" w:space="0"/>
              <w:right w:val="single" w:color="000000" w:sz="4" w:space="0"/>
            </w:tcBorders>
            <w:vAlign w:val="center"/>
          </w:tcPr>
          <w:p w14:paraId="2D42EF43">
            <w:pPr>
              <w:autoSpaceDE w:val="0"/>
              <w:autoSpaceDN w:val="0"/>
              <w:adjustRightInd w:val="0"/>
              <w:snapToGrid w:val="0"/>
              <w:spacing w:line="360" w:lineRule="auto"/>
              <w:ind w:firstLine="148" w:firstLineChars="70"/>
              <w:jc w:val="center"/>
              <w:rPr>
                <w:rFonts w:ascii="宋体" w:hAnsi="宋体"/>
                <w:spacing w:val="1"/>
                <w:kern w:val="0"/>
                <w:szCs w:val="21"/>
              </w:rPr>
            </w:pPr>
            <w:r>
              <w:rPr>
                <w:rFonts w:hint="eastAsia" w:ascii="宋体" w:hAnsi="宋体"/>
                <w:spacing w:val="1"/>
                <w:kern w:val="0"/>
                <w:szCs w:val="21"/>
              </w:rPr>
              <w:t>参加过的类似项目</w:t>
            </w:r>
          </w:p>
        </w:tc>
        <w:tc>
          <w:tcPr>
            <w:tcW w:w="1293" w:type="dxa"/>
            <w:tcBorders>
              <w:top w:val="single" w:color="000000" w:sz="4" w:space="0"/>
              <w:left w:val="nil"/>
              <w:bottom w:val="single" w:color="000000" w:sz="4" w:space="0"/>
              <w:right w:val="single" w:color="000000" w:sz="4" w:space="0"/>
            </w:tcBorders>
            <w:vAlign w:val="center"/>
          </w:tcPr>
          <w:p w14:paraId="000D72B5">
            <w:pPr>
              <w:autoSpaceDE w:val="0"/>
              <w:autoSpaceDN w:val="0"/>
              <w:adjustRightInd w:val="0"/>
              <w:snapToGrid w:val="0"/>
              <w:spacing w:line="360" w:lineRule="auto"/>
              <w:ind w:firstLine="59" w:firstLineChars="28"/>
              <w:jc w:val="center"/>
              <w:rPr>
                <w:rFonts w:ascii="宋体" w:hAnsi="宋体"/>
                <w:spacing w:val="1"/>
                <w:kern w:val="0"/>
                <w:szCs w:val="21"/>
              </w:rPr>
            </w:pPr>
            <w:r>
              <w:rPr>
                <w:rFonts w:hint="eastAsia" w:ascii="宋体" w:hAnsi="宋体"/>
                <w:spacing w:val="1"/>
                <w:kern w:val="0"/>
                <w:szCs w:val="21"/>
              </w:rPr>
              <w:t>担任职务</w:t>
            </w:r>
          </w:p>
        </w:tc>
        <w:tc>
          <w:tcPr>
            <w:tcW w:w="2359" w:type="dxa"/>
            <w:gridSpan w:val="2"/>
            <w:tcBorders>
              <w:top w:val="single" w:color="000000" w:sz="4" w:space="0"/>
              <w:left w:val="nil"/>
              <w:bottom w:val="single" w:color="000000" w:sz="4" w:space="0"/>
              <w:right w:val="single" w:color="000000" w:sz="4" w:space="0"/>
            </w:tcBorders>
            <w:vAlign w:val="center"/>
          </w:tcPr>
          <w:p w14:paraId="285006E5">
            <w:pPr>
              <w:autoSpaceDE w:val="0"/>
              <w:autoSpaceDN w:val="0"/>
              <w:adjustRightInd w:val="0"/>
              <w:snapToGrid w:val="0"/>
              <w:spacing w:line="360" w:lineRule="auto"/>
              <w:ind w:firstLine="59" w:firstLineChars="28"/>
              <w:jc w:val="center"/>
              <w:rPr>
                <w:rFonts w:ascii="宋体" w:hAnsi="宋体"/>
                <w:spacing w:val="1"/>
                <w:kern w:val="0"/>
                <w:szCs w:val="21"/>
              </w:rPr>
            </w:pPr>
            <w:r>
              <w:rPr>
                <w:rFonts w:hint="eastAsia" w:ascii="宋体" w:hAnsi="宋体"/>
                <w:spacing w:val="1"/>
                <w:kern w:val="0"/>
                <w:szCs w:val="21"/>
              </w:rPr>
              <w:t>证明人</w:t>
            </w:r>
          </w:p>
        </w:tc>
      </w:tr>
      <w:tr w14:paraId="3C73C401">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44B5F769">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3509" w:type="dxa"/>
            <w:gridSpan w:val="4"/>
            <w:tcBorders>
              <w:top w:val="single" w:color="000000" w:sz="4" w:space="0"/>
              <w:left w:val="nil"/>
              <w:bottom w:val="single" w:color="000000" w:sz="4" w:space="0"/>
              <w:right w:val="single" w:color="000000" w:sz="4" w:space="0"/>
            </w:tcBorders>
            <w:vAlign w:val="center"/>
          </w:tcPr>
          <w:p w14:paraId="44BC9D61">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1293" w:type="dxa"/>
            <w:tcBorders>
              <w:top w:val="single" w:color="000000" w:sz="4" w:space="0"/>
              <w:left w:val="nil"/>
              <w:bottom w:val="single" w:color="000000" w:sz="4" w:space="0"/>
              <w:right w:val="single" w:color="000000" w:sz="4" w:space="0"/>
            </w:tcBorders>
            <w:vAlign w:val="center"/>
          </w:tcPr>
          <w:p w14:paraId="45616ABB">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2359" w:type="dxa"/>
            <w:gridSpan w:val="2"/>
            <w:tcBorders>
              <w:top w:val="single" w:color="000000" w:sz="4" w:space="0"/>
              <w:left w:val="nil"/>
              <w:bottom w:val="single" w:color="000000" w:sz="4" w:space="0"/>
              <w:right w:val="single" w:color="000000" w:sz="4" w:space="0"/>
            </w:tcBorders>
            <w:vAlign w:val="center"/>
          </w:tcPr>
          <w:p w14:paraId="0811F94A">
            <w:pPr>
              <w:autoSpaceDE w:val="0"/>
              <w:autoSpaceDN w:val="0"/>
              <w:adjustRightInd w:val="0"/>
              <w:snapToGrid w:val="0"/>
              <w:spacing w:line="360" w:lineRule="auto"/>
              <w:ind w:firstLine="59" w:firstLineChars="28"/>
              <w:jc w:val="center"/>
              <w:rPr>
                <w:rFonts w:ascii="宋体" w:hAnsi="宋体"/>
                <w:spacing w:val="1"/>
                <w:kern w:val="0"/>
                <w:szCs w:val="21"/>
              </w:rPr>
            </w:pPr>
          </w:p>
        </w:tc>
      </w:tr>
      <w:tr w14:paraId="6AD7620F">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3F59E15B">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3509" w:type="dxa"/>
            <w:gridSpan w:val="4"/>
            <w:tcBorders>
              <w:top w:val="single" w:color="000000" w:sz="4" w:space="0"/>
              <w:left w:val="nil"/>
              <w:bottom w:val="single" w:color="000000" w:sz="4" w:space="0"/>
              <w:right w:val="single" w:color="000000" w:sz="4" w:space="0"/>
            </w:tcBorders>
            <w:vAlign w:val="center"/>
          </w:tcPr>
          <w:p w14:paraId="625AE82E">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1293" w:type="dxa"/>
            <w:tcBorders>
              <w:top w:val="single" w:color="000000" w:sz="4" w:space="0"/>
              <w:left w:val="nil"/>
              <w:bottom w:val="single" w:color="000000" w:sz="4" w:space="0"/>
              <w:right w:val="single" w:color="000000" w:sz="4" w:space="0"/>
            </w:tcBorders>
            <w:vAlign w:val="center"/>
          </w:tcPr>
          <w:p w14:paraId="4C8B24C1">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2359" w:type="dxa"/>
            <w:gridSpan w:val="2"/>
            <w:tcBorders>
              <w:top w:val="single" w:color="000000" w:sz="4" w:space="0"/>
              <w:left w:val="nil"/>
              <w:bottom w:val="single" w:color="000000" w:sz="4" w:space="0"/>
              <w:right w:val="single" w:color="000000" w:sz="4" w:space="0"/>
            </w:tcBorders>
            <w:vAlign w:val="center"/>
          </w:tcPr>
          <w:p w14:paraId="771F2BC6">
            <w:pPr>
              <w:autoSpaceDE w:val="0"/>
              <w:autoSpaceDN w:val="0"/>
              <w:adjustRightInd w:val="0"/>
              <w:snapToGrid w:val="0"/>
              <w:spacing w:line="360" w:lineRule="auto"/>
              <w:ind w:firstLine="59" w:firstLineChars="28"/>
              <w:jc w:val="center"/>
              <w:rPr>
                <w:rFonts w:ascii="宋体" w:hAnsi="宋体"/>
                <w:spacing w:val="1"/>
                <w:kern w:val="0"/>
                <w:szCs w:val="21"/>
              </w:rPr>
            </w:pPr>
          </w:p>
        </w:tc>
      </w:tr>
      <w:tr w14:paraId="2F6C112F">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274444C8">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3509" w:type="dxa"/>
            <w:gridSpan w:val="4"/>
            <w:tcBorders>
              <w:top w:val="single" w:color="000000" w:sz="4" w:space="0"/>
              <w:left w:val="nil"/>
              <w:bottom w:val="single" w:color="000000" w:sz="4" w:space="0"/>
              <w:right w:val="single" w:color="000000" w:sz="4" w:space="0"/>
            </w:tcBorders>
            <w:vAlign w:val="center"/>
          </w:tcPr>
          <w:p w14:paraId="18D33E38">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1293" w:type="dxa"/>
            <w:tcBorders>
              <w:top w:val="single" w:color="000000" w:sz="4" w:space="0"/>
              <w:left w:val="nil"/>
              <w:bottom w:val="single" w:color="000000" w:sz="4" w:space="0"/>
              <w:right w:val="single" w:color="000000" w:sz="4" w:space="0"/>
            </w:tcBorders>
            <w:vAlign w:val="center"/>
          </w:tcPr>
          <w:p w14:paraId="785E921F">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2359" w:type="dxa"/>
            <w:gridSpan w:val="2"/>
            <w:tcBorders>
              <w:top w:val="single" w:color="000000" w:sz="4" w:space="0"/>
              <w:left w:val="nil"/>
              <w:bottom w:val="single" w:color="000000" w:sz="4" w:space="0"/>
              <w:right w:val="single" w:color="000000" w:sz="4" w:space="0"/>
            </w:tcBorders>
            <w:vAlign w:val="center"/>
          </w:tcPr>
          <w:p w14:paraId="78C0822E">
            <w:pPr>
              <w:autoSpaceDE w:val="0"/>
              <w:autoSpaceDN w:val="0"/>
              <w:adjustRightInd w:val="0"/>
              <w:snapToGrid w:val="0"/>
              <w:spacing w:line="360" w:lineRule="auto"/>
              <w:ind w:firstLine="59" w:firstLineChars="28"/>
              <w:jc w:val="center"/>
              <w:rPr>
                <w:rFonts w:ascii="宋体" w:hAnsi="宋体"/>
                <w:spacing w:val="1"/>
                <w:kern w:val="0"/>
                <w:szCs w:val="21"/>
              </w:rPr>
            </w:pPr>
          </w:p>
        </w:tc>
      </w:tr>
      <w:tr w14:paraId="2900EC89">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3ACCE291">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3509" w:type="dxa"/>
            <w:gridSpan w:val="4"/>
            <w:tcBorders>
              <w:top w:val="single" w:color="000000" w:sz="4" w:space="0"/>
              <w:left w:val="nil"/>
              <w:bottom w:val="single" w:color="000000" w:sz="4" w:space="0"/>
              <w:right w:val="single" w:color="000000" w:sz="4" w:space="0"/>
            </w:tcBorders>
            <w:vAlign w:val="center"/>
          </w:tcPr>
          <w:p w14:paraId="21DF7B7F">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1293" w:type="dxa"/>
            <w:tcBorders>
              <w:top w:val="single" w:color="000000" w:sz="4" w:space="0"/>
              <w:left w:val="nil"/>
              <w:bottom w:val="single" w:color="000000" w:sz="4" w:space="0"/>
              <w:right w:val="single" w:color="000000" w:sz="4" w:space="0"/>
            </w:tcBorders>
            <w:vAlign w:val="center"/>
          </w:tcPr>
          <w:p w14:paraId="3E45986A">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2359" w:type="dxa"/>
            <w:gridSpan w:val="2"/>
            <w:tcBorders>
              <w:top w:val="single" w:color="000000" w:sz="4" w:space="0"/>
              <w:left w:val="nil"/>
              <w:bottom w:val="single" w:color="000000" w:sz="4" w:space="0"/>
              <w:right w:val="single" w:color="000000" w:sz="4" w:space="0"/>
            </w:tcBorders>
            <w:vAlign w:val="center"/>
          </w:tcPr>
          <w:p w14:paraId="3B54F424">
            <w:pPr>
              <w:autoSpaceDE w:val="0"/>
              <w:autoSpaceDN w:val="0"/>
              <w:adjustRightInd w:val="0"/>
              <w:snapToGrid w:val="0"/>
              <w:spacing w:line="360" w:lineRule="auto"/>
              <w:ind w:firstLine="59" w:firstLineChars="28"/>
              <w:jc w:val="center"/>
              <w:rPr>
                <w:rFonts w:ascii="宋体" w:hAnsi="宋体"/>
                <w:spacing w:val="1"/>
                <w:kern w:val="0"/>
                <w:szCs w:val="21"/>
              </w:rPr>
            </w:pPr>
          </w:p>
        </w:tc>
      </w:tr>
      <w:tr w14:paraId="161025A2">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47FA04E6">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3509" w:type="dxa"/>
            <w:gridSpan w:val="4"/>
            <w:tcBorders>
              <w:top w:val="single" w:color="000000" w:sz="4" w:space="0"/>
              <w:left w:val="nil"/>
              <w:bottom w:val="single" w:color="000000" w:sz="4" w:space="0"/>
              <w:right w:val="single" w:color="000000" w:sz="4" w:space="0"/>
            </w:tcBorders>
            <w:vAlign w:val="center"/>
          </w:tcPr>
          <w:p w14:paraId="66AE0919">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1293" w:type="dxa"/>
            <w:tcBorders>
              <w:top w:val="single" w:color="000000" w:sz="4" w:space="0"/>
              <w:left w:val="nil"/>
              <w:bottom w:val="single" w:color="000000" w:sz="4" w:space="0"/>
              <w:right w:val="single" w:color="000000" w:sz="4" w:space="0"/>
            </w:tcBorders>
            <w:vAlign w:val="center"/>
          </w:tcPr>
          <w:p w14:paraId="0DDB02EC">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2359" w:type="dxa"/>
            <w:gridSpan w:val="2"/>
            <w:tcBorders>
              <w:top w:val="single" w:color="000000" w:sz="4" w:space="0"/>
              <w:left w:val="nil"/>
              <w:bottom w:val="single" w:color="000000" w:sz="4" w:space="0"/>
              <w:right w:val="single" w:color="000000" w:sz="4" w:space="0"/>
            </w:tcBorders>
            <w:vAlign w:val="center"/>
          </w:tcPr>
          <w:p w14:paraId="214604B4">
            <w:pPr>
              <w:autoSpaceDE w:val="0"/>
              <w:autoSpaceDN w:val="0"/>
              <w:adjustRightInd w:val="0"/>
              <w:snapToGrid w:val="0"/>
              <w:spacing w:line="360" w:lineRule="auto"/>
              <w:ind w:firstLine="59" w:firstLineChars="28"/>
              <w:jc w:val="center"/>
              <w:rPr>
                <w:rFonts w:ascii="宋体" w:hAnsi="宋体"/>
                <w:spacing w:val="1"/>
                <w:kern w:val="0"/>
                <w:szCs w:val="21"/>
              </w:rPr>
            </w:pPr>
          </w:p>
        </w:tc>
      </w:tr>
      <w:tr w14:paraId="017517F9">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3F406929">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3509" w:type="dxa"/>
            <w:gridSpan w:val="4"/>
            <w:tcBorders>
              <w:top w:val="single" w:color="000000" w:sz="4" w:space="0"/>
              <w:left w:val="nil"/>
              <w:bottom w:val="single" w:color="000000" w:sz="4" w:space="0"/>
              <w:right w:val="single" w:color="000000" w:sz="4" w:space="0"/>
            </w:tcBorders>
            <w:vAlign w:val="center"/>
          </w:tcPr>
          <w:p w14:paraId="179457E6">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1293" w:type="dxa"/>
            <w:tcBorders>
              <w:top w:val="single" w:color="000000" w:sz="4" w:space="0"/>
              <w:left w:val="nil"/>
              <w:bottom w:val="single" w:color="000000" w:sz="4" w:space="0"/>
              <w:right w:val="single" w:color="000000" w:sz="4" w:space="0"/>
            </w:tcBorders>
            <w:vAlign w:val="center"/>
          </w:tcPr>
          <w:p w14:paraId="0D1BB809">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2359" w:type="dxa"/>
            <w:gridSpan w:val="2"/>
            <w:tcBorders>
              <w:top w:val="single" w:color="000000" w:sz="4" w:space="0"/>
              <w:left w:val="nil"/>
              <w:bottom w:val="single" w:color="000000" w:sz="4" w:space="0"/>
              <w:right w:val="single" w:color="000000" w:sz="4" w:space="0"/>
            </w:tcBorders>
            <w:vAlign w:val="center"/>
          </w:tcPr>
          <w:p w14:paraId="35BEBD6B">
            <w:pPr>
              <w:autoSpaceDE w:val="0"/>
              <w:autoSpaceDN w:val="0"/>
              <w:adjustRightInd w:val="0"/>
              <w:snapToGrid w:val="0"/>
              <w:spacing w:line="360" w:lineRule="auto"/>
              <w:ind w:firstLine="59" w:firstLineChars="28"/>
              <w:jc w:val="center"/>
              <w:rPr>
                <w:rFonts w:ascii="宋体" w:hAnsi="宋体"/>
                <w:spacing w:val="1"/>
                <w:kern w:val="0"/>
                <w:szCs w:val="21"/>
              </w:rPr>
            </w:pPr>
          </w:p>
        </w:tc>
      </w:tr>
      <w:tr w14:paraId="5F187EF6">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vAlign w:val="center"/>
          </w:tcPr>
          <w:p w14:paraId="6B1F94ED">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3509" w:type="dxa"/>
            <w:gridSpan w:val="4"/>
            <w:tcBorders>
              <w:top w:val="single" w:color="000000" w:sz="4" w:space="0"/>
              <w:left w:val="nil"/>
              <w:bottom w:val="single" w:color="000000" w:sz="4" w:space="0"/>
              <w:right w:val="single" w:color="000000" w:sz="4" w:space="0"/>
            </w:tcBorders>
            <w:vAlign w:val="center"/>
          </w:tcPr>
          <w:p w14:paraId="4F341499">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1293" w:type="dxa"/>
            <w:tcBorders>
              <w:top w:val="single" w:color="000000" w:sz="4" w:space="0"/>
              <w:left w:val="nil"/>
              <w:bottom w:val="single" w:color="000000" w:sz="4" w:space="0"/>
              <w:right w:val="single" w:color="000000" w:sz="4" w:space="0"/>
            </w:tcBorders>
            <w:vAlign w:val="center"/>
          </w:tcPr>
          <w:p w14:paraId="37805F42">
            <w:pPr>
              <w:autoSpaceDE w:val="0"/>
              <w:autoSpaceDN w:val="0"/>
              <w:adjustRightInd w:val="0"/>
              <w:snapToGrid w:val="0"/>
              <w:spacing w:line="360" w:lineRule="auto"/>
              <w:ind w:firstLine="59" w:firstLineChars="28"/>
              <w:jc w:val="center"/>
              <w:rPr>
                <w:rFonts w:ascii="宋体" w:hAnsi="宋体"/>
                <w:spacing w:val="1"/>
                <w:kern w:val="0"/>
                <w:szCs w:val="21"/>
              </w:rPr>
            </w:pPr>
          </w:p>
        </w:tc>
        <w:tc>
          <w:tcPr>
            <w:tcW w:w="2359" w:type="dxa"/>
            <w:gridSpan w:val="2"/>
            <w:tcBorders>
              <w:top w:val="single" w:color="000000" w:sz="4" w:space="0"/>
              <w:left w:val="nil"/>
              <w:bottom w:val="single" w:color="000000" w:sz="4" w:space="0"/>
              <w:right w:val="single" w:color="000000" w:sz="4" w:space="0"/>
            </w:tcBorders>
            <w:vAlign w:val="center"/>
          </w:tcPr>
          <w:p w14:paraId="0432F6D7">
            <w:pPr>
              <w:autoSpaceDE w:val="0"/>
              <w:autoSpaceDN w:val="0"/>
              <w:adjustRightInd w:val="0"/>
              <w:snapToGrid w:val="0"/>
              <w:spacing w:line="360" w:lineRule="auto"/>
              <w:ind w:firstLine="59" w:firstLineChars="28"/>
              <w:jc w:val="center"/>
              <w:rPr>
                <w:rFonts w:ascii="宋体" w:hAnsi="宋体"/>
                <w:spacing w:val="1"/>
                <w:kern w:val="0"/>
                <w:szCs w:val="21"/>
              </w:rPr>
            </w:pPr>
          </w:p>
        </w:tc>
      </w:tr>
    </w:tbl>
    <w:p w14:paraId="78B631DD">
      <w:pPr>
        <w:rPr>
          <w:b/>
          <w:bCs/>
          <w:color w:val="000000"/>
          <w:sz w:val="32"/>
          <w:szCs w:val="32"/>
        </w:rPr>
      </w:pPr>
    </w:p>
    <w:p w14:paraId="6016DDDF">
      <w:pPr>
        <w:rPr>
          <w:b/>
          <w:bCs/>
          <w:color w:val="000000"/>
          <w:sz w:val="32"/>
          <w:szCs w:val="32"/>
        </w:rPr>
      </w:pPr>
      <w:r>
        <w:rPr>
          <w:rFonts w:hint="eastAsia"/>
          <w:b/>
          <w:bCs/>
          <w:color w:val="000000"/>
          <w:sz w:val="32"/>
          <w:szCs w:val="32"/>
        </w:rPr>
        <w:br w:type="page"/>
      </w:r>
    </w:p>
    <w:p w14:paraId="0DDA5CA3">
      <w:pPr>
        <w:pStyle w:val="11"/>
        <w:spacing w:line="360" w:lineRule="auto"/>
        <w:jc w:val="center"/>
        <w:rPr>
          <w:b/>
          <w:bCs/>
          <w:color w:val="000000"/>
          <w:sz w:val="32"/>
          <w:szCs w:val="32"/>
        </w:rPr>
      </w:pPr>
      <w:r>
        <w:rPr>
          <w:rFonts w:hint="eastAsia"/>
          <w:b/>
          <w:bCs/>
          <w:color w:val="000000"/>
          <w:sz w:val="32"/>
          <w:szCs w:val="32"/>
        </w:rPr>
        <w:t>九、</w:t>
      </w:r>
      <w:r>
        <w:rPr>
          <w:rFonts w:hint="eastAsia"/>
          <w:b/>
          <w:sz w:val="32"/>
          <w:szCs w:val="32"/>
        </w:rPr>
        <w:t>其他资料</w:t>
      </w:r>
    </w:p>
    <w:p w14:paraId="008742AE">
      <w:pPr>
        <w:pStyle w:val="11"/>
        <w:spacing w:line="360" w:lineRule="auto"/>
        <w:jc w:val="center"/>
        <w:rPr>
          <w:b/>
          <w:bCs/>
          <w:color w:val="000000"/>
          <w:sz w:val="32"/>
          <w:szCs w:val="32"/>
        </w:rPr>
      </w:pPr>
    </w:p>
    <w:p w14:paraId="52902CF6">
      <w:pPr>
        <w:pStyle w:val="11"/>
        <w:spacing w:line="360" w:lineRule="auto"/>
        <w:jc w:val="center"/>
        <w:rPr>
          <w:b/>
          <w:bCs/>
          <w:color w:val="000000"/>
          <w:sz w:val="32"/>
          <w:szCs w:val="32"/>
        </w:rPr>
      </w:pPr>
    </w:p>
    <w:p w14:paraId="65688FE4">
      <w:pPr>
        <w:pStyle w:val="11"/>
        <w:spacing w:line="360" w:lineRule="auto"/>
        <w:jc w:val="center"/>
        <w:rPr>
          <w:b/>
          <w:bCs/>
          <w:color w:val="000000"/>
          <w:sz w:val="32"/>
          <w:szCs w:val="32"/>
        </w:rPr>
      </w:pPr>
    </w:p>
    <w:p w14:paraId="0A62277F">
      <w:pPr>
        <w:pStyle w:val="11"/>
        <w:spacing w:line="360" w:lineRule="auto"/>
        <w:jc w:val="center"/>
        <w:rPr>
          <w:b/>
          <w:bCs/>
          <w:color w:val="000000"/>
          <w:sz w:val="32"/>
          <w:szCs w:val="32"/>
        </w:rPr>
      </w:pPr>
    </w:p>
    <w:p w14:paraId="5BC4A180">
      <w:pPr>
        <w:pStyle w:val="11"/>
        <w:spacing w:line="360" w:lineRule="auto"/>
        <w:jc w:val="center"/>
        <w:rPr>
          <w:b/>
          <w:bCs/>
          <w:color w:val="000000"/>
          <w:sz w:val="32"/>
          <w:szCs w:val="32"/>
        </w:rPr>
      </w:pPr>
    </w:p>
    <w:p w14:paraId="135170F3">
      <w:pPr>
        <w:pStyle w:val="11"/>
        <w:spacing w:line="360" w:lineRule="auto"/>
        <w:jc w:val="center"/>
        <w:rPr>
          <w:b/>
          <w:bCs/>
          <w:color w:val="000000"/>
          <w:sz w:val="32"/>
          <w:szCs w:val="32"/>
        </w:rPr>
      </w:pPr>
    </w:p>
    <w:p w14:paraId="41FB58EE">
      <w:pPr>
        <w:pStyle w:val="11"/>
        <w:spacing w:line="360" w:lineRule="auto"/>
        <w:jc w:val="center"/>
        <w:rPr>
          <w:b/>
          <w:bCs/>
          <w:color w:val="000000"/>
          <w:sz w:val="32"/>
          <w:szCs w:val="32"/>
        </w:rPr>
      </w:pPr>
    </w:p>
    <w:p w14:paraId="3DCAD3A0">
      <w:pPr>
        <w:pStyle w:val="11"/>
        <w:spacing w:line="360" w:lineRule="auto"/>
        <w:jc w:val="center"/>
        <w:rPr>
          <w:b/>
          <w:bCs/>
          <w:color w:val="000000"/>
          <w:sz w:val="32"/>
          <w:szCs w:val="32"/>
        </w:rPr>
      </w:pPr>
    </w:p>
    <w:p w14:paraId="41177929">
      <w:pPr>
        <w:pStyle w:val="11"/>
        <w:spacing w:line="360" w:lineRule="auto"/>
        <w:jc w:val="center"/>
        <w:rPr>
          <w:b/>
          <w:bCs/>
          <w:color w:val="000000"/>
          <w:sz w:val="32"/>
          <w:szCs w:val="32"/>
        </w:rPr>
      </w:pPr>
    </w:p>
    <w:p w14:paraId="7D5B261B">
      <w:pPr>
        <w:pStyle w:val="11"/>
        <w:spacing w:line="360" w:lineRule="auto"/>
        <w:jc w:val="center"/>
        <w:rPr>
          <w:b/>
          <w:bCs/>
          <w:color w:val="000000"/>
          <w:sz w:val="32"/>
          <w:szCs w:val="32"/>
        </w:rPr>
      </w:pPr>
    </w:p>
    <w:p w14:paraId="70E2BF84">
      <w:pPr>
        <w:pStyle w:val="11"/>
        <w:spacing w:line="360" w:lineRule="auto"/>
        <w:jc w:val="center"/>
        <w:rPr>
          <w:b/>
          <w:bCs/>
          <w:color w:val="000000"/>
          <w:sz w:val="32"/>
          <w:szCs w:val="32"/>
        </w:rPr>
      </w:pPr>
    </w:p>
    <w:p w14:paraId="79194E6B">
      <w:pPr>
        <w:spacing w:line="360" w:lineRule="auto"/>
      </w:pPr>
    </w:p>
    <w:p w14:paraId="60BCAE5F"/>
    <w:sectPr>
      <w:footerReference r:id="rId5" w:type="default"/>
      <w:pgSz w:w="11906" w:h="16838"/>
      <w:pgMar w:top="1383" w:right="1514" w:bottom="1383" w:left="151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E868D">
    <w:pPr>
      <w:pStyle w:val="8"/>
      <w:jc w:val="center"/>
    </w:pPr>
    <w:r>
      <w:fldChar w:fldCharType="begin"/>
    </w:r>
    <w:r>
      <w:instrText xml:space="preserve"> PAGE   \* MERGEFORMAT </w:instrText>
    </w:r>
    <w:r>
      <w:fldChar w:fldCharType="separate"/>
    </w:r>
    <w:r>
      <w:rPr>
        <w:lang w:val="zh-CN"/>
      </w:rPr>
      <w:t>34</w:t>
    </w:r>
    <w:r>
      <w:rPr>
        <w:lang w:val="zh-CN"/>
      </w:rPr>
      <w:fldChar w:fldCharType="end"/>
    </w:r>
  </w:p>
  <w:p w14:paraId="094B3B52">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6AD64">
    <w:pPr>
      <w:pStyle w:val="8"/>
      <w:jc w:val="center"/>
    </w:pPr>
    <w:r>
      <w:fldChar w:fldCharType="begin"/>
    </w:r>
    <w:r>
      <w:instrText xml:space="preserve">PAGE   \* MERGEFORMAT</w:instrText>
    </w:r>
    <w:r>
      <w:fldChar w:fldCharType="separate"/>
    </w:r>
    <w:r>
      <w:rPr>
        <w:lang w:val="zh-CN"/>
      </w:rPr>
      <w:t>38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60B31">
    <w:pPr>
      <w:pStyle w:val="8"/>
      <w:jc w:val="center"/>
    </w:pPr>
    <w:r>
      <w:fldChar w:fldCharType="begin"/>
    </w:r>
    <w:r>
      <w:instrText xml:space="preserve">PAGE   \* MERGEFORMAT</w:instrText>
    </w:r>
    <w:r>
      <w:fldChar w:fldCharType="separate"/>
    </w:r>
    <w:r>
      <w:rPr>
        <w:lang w:val="zh-CN"/>
      </w:rPr>
      <w:t>53</w:t>
    </w:r>
    <w:r>
      <w:fldChar w:fldCharType="end"/>
    </w:r>
  </w:p>
  <w:p w14:paraId="77595337">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8AC14A"/>
    <w:multiLevelType w:val="singleLevel"/>
    <w:tmpl w:val="C78AC14A"/>
    <w:lvl w:ilvl="0" w:tentative="0">
      <w:start w:val="8"/>
      <w:numFmt w:val="chineseCounting"/>
      <w:suff w:val="nothing"/>
      <w:lvlText w:val="%1、"/>
      <w:lvlJc w:val="left"/>
      <w:rPr>
        <w:rFonts w:hint="eastAsia"/>
      </w:rPr>
    </w:lvl>
  </w:abstractNum>
  <w:abstractNum w:abstractNumId="1">
    <w:nsid w:val="1067659F"/>
    <w:multiLevelType w:val="multilevel"/>
    <w:tmpl w:val="1067659F"/>
    <w:lvl w:ilvl="0" w:tentative="0">
      <w:start w:val="5"/>
      <w:numFmt w:val="decimal"/>
      <w:lvlText w:val="%1"/>
      <w:lvlJc w:val="left"/>
      <w:pPr>
        <w:ind w:left="1000" w:hanging="420"/>
      </w:pPr>
      <w:rPr>
        <w:rFonts w:hint="default"/>
      </w:rPr>
    </w:lvl>
    <w:lvl w:ilvl="1" w:tentative="0">
      <w:start w:val="1"/>
      <w:numFmt w:val="decimal"/>
      <w:lvlText w:val="%1.%2"/>
      <w:lvlJc w:val="left"/>
      <w:pPr>
        <w:ind w:left="1000" w:hanging="420"/>
      </w:pPr>
      <w:rPr>
        <w:rFonts w:hint="default" w:ascii="仿宋" w:hAnsi="仿宋" w:eastAsia="仿宋" w:cs="仿宋"/>
        <w:w w:val="100"/>
        <w:sz w:val="24"/>
        <w:szCs w:val="24"/>
      </w:rPr>
    </w:lvl>
    <w:lvl w:ilvl="2" w:tentative="0">
      <w:start w:val="0"/>
      <w:numFmt w:val="bullet"/>
      <w:lvlText w:val="•"/>
      <w:lvlJc w:val="left"/>
      <w:pPr>
        <w:ind w:left="2796" w:hanging="420"/>
      </w:pPr>
      <w:rPr>
        <w:rFonts w:hint="default"/>
      </w:rPr>
    </w:lvl>
    <w:lvl w:ilvl="3" w:tentative="0">
      <w:start w:val="0"/>
      <w:numFmt w:val="bullet"/>
      <w:lvlText w:val="•"/>
      <w:lvlJc w:val="left"/>
      <w:pPr>
        <w:ind w:left="3694" w:hanging="420"/>
      </w:pPr>
      <w:rPr>
        <w:rFonts w:hint="default"/>
      </w:rPr>
    </w:lvl>
    <w:lvl w:ilvl="4" w:tentative="0">
      <w:start w:val="0"/>
      <w:numFmt w:val="bullet"/>
      <w:lvlText w:val="•"/>
      <w:lvlJc w:val="left"/>
      <w:pPr>
        <w:ind w:left="4592" w:hanging="420"/>
      </w:pPr>
      <w:rPr>
        <w:rFonts w:hint="default"/>
      </w:rPr>
    </w:lvl>
    <w:lvl w:ilvl="5" w:tentative="0">
      <w:start w:val="0"/>
      <w:numFmt w:val="bullet"/>
      <w:lvlText w:val="•"/>
      <w:lvlJc w:val="left"/>
      <w:pPr>
        <w:ind w:left="5490" w:hanging="420"/>
      </w:pPr>
      <w:rPr>
        <w:rFonts w:hint="default"/>
      </w:rPr>
    </w:lvl>
    <w:lvl w:ilvl="6" w:tentative="0">
      <w:start w:val="0"/>
      <w:numFmt w:val="bullet"/>
      <w:lvlText w:val="•"/>
      <w:lvlJc w:val="left"/>
      <w:pPr>
        <w:ind w:left="6388" w:hanging="420"/>
      </w:pPr>
      <w:rPr>
        <w:rFonts w:hint="default"/>
      </w:rPr>
    </w:lvl>
    <w:lvl w:ilvl="7" w:tentative="0">
      <w:start w:val="0"/>
      <w:numFmt w:val="bullet"/>
      <w:lvlText w:val="•"/>
      <w:lvlJc w:val="left"/>
      <w:pPr>
        <w:ind w:left="7286" w:hanging="420"/>
      </w:pPr>
      <w:rPr>
        <w:rFonts w:hint="default"/>
      </w:rPr>
    </w:lvl>
    <w:lvl w:ilvl="8" w:tentative="0">
      <w:start w:val="0"/>
      <w:numFmt w:val="bullet"/>
      <w:lvlText w:val="•"/>
      <w:lvlJc w:val="left"/>
      <w:pPr>
        <w:ind w:left="8184" w:hanging="420"/>
      </w:pPr>
      <w:rPr>
        <w:rFonts w:hint="default"/>
      </w:rPr>
    </w:lvl>
  </w:abstractNum>
  <w:abstractNum w:abstractNumId="2">
    <w:nsid w:val="6D11B65A"/>
    <w:multiLevelType w:val="singleLevel"/>
    <w:tmpl w:val="6D11B65A"/>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A1BA6"/>
    <w:rsid w:val="00012B6E"/>
    <w:rsid w:val="001500FC"/>
    <w:rsid w:val="007F25D4"/>
    <w:rsid w:val="00EB3550"/>
    <w:rsid w:val="02104022"/>
    <w:rsid w:val="04F94480"/>
    <w:rsid w:val="055C757F"/>
    <w:rsid w:val="07644A20"/>
    <w:rsid w:val="08E04023"/>
    <w:rsid w:val="0B693C6A"/>
    <w:rsid w:val="0D7850D4"/>
    <w:rsid w:val="0E620D70"/>
    <w:rsid w:val="10501A8E"/>
    <w:rsid w:val="10C304B2"/>
    <w:rsid w:val="11A5378B"/>
    <w:rsid w:val="1387397E"/>
    <w:rsid w:val="139C7F7D"/>
    <w:rsid w:val="14435ECB"/>
    <w:rsid w:val="145F3F5E"/>
    <w:rsid w:val="1588094F"/>
    <w:rsid w:val="15897F1C"/>
    <w:rsid w:val="158D340A"/>
    <w:rsid w:val="16A31AC8"/>
    <w:rsid w:val="193559DC"/>
    <w:rsid w:val="1B4D485A"/>
    <w:rsid w:val="20D707DB"/>
    <w:rsid w:val="214A4C5A"/>
    <w:rsid w:val="23015062"/>
    <w:rsid w:val="2304158E"/>
    <w:rsid w:val="230B6414"/>
    <w:rsid w:val="24996528"/>
    <w:rsid w:val="24C859F7"/>
    <w:rsid w:val="278B7E3F"/>
    <w:rsid w:val="2A13795C"/>
    <w:rsid w:val="2A1C3D55"/>
    <w:rsid w:val="2BBD04C8"/>
    <w:rsid w:val="2CBE0107"/>
    <w:rsid w:val="2D9B0342"/>
    <w:rsid w:val="2E0A551A"/>
    <w:rsid w:val="2E816C8A"/>
    <w:rsid w:val="2F324D29"/>
    <w:rsid w:val="30021E75"/>
    <w:rsid w:val="314D1797"/>
    <w:rsid w:val="33633504"/>
    <w:rsid w:val="33C21A72"/>
    <w:rsid w:val="36E860CD"/>
    <w:rsid w:val="377075C9"/>
    <w:rsid w:val="382D2531"/>
    <w:rsid w:val="387E0FB5"/>
    <w:rsid w:val="393F42CA"/>
    <w:rsid w:val="39506AF0"/>
    <w:rsid w:val="3A042647"/>
    <w:rsid w:val="3D40300B"/>
    <w:rsid w:val="3FDB29B2"/>
    <w:rsid w:val="40580367"/>
    <w:rsid w:val="40962C5C"/>
    <w:rsid w:val="465F393C"/>
    <w:rsid w:val="467248DA"/>
    <w:rsid w:val="46DF3975"/>
    <w:rsid w:val="48317876"/>
    <w:rsid w:val="49A36295"/>
    <w:rsid w:val="4A6E1F94"/>
    <w:rsid w:val="4BAB275C"/>
    <w:rsid w:val="4C48137E"/>
    <w:rsid w:val="4CF149F0"/>
    <w:rsid w:val="505F0812"/>
    <w:rsid w:val="50C54E74"/>
    <w:rsid w:val="53BD6AEA"/>
    <w:rsid w:val="549B0DEB"/>
    <w:rsid w:val="553857AD"/>
    <w:rsid w:val="56A75637"/>
    <w:rsid w:val="57CC6F5B"/>
    <w:rsid w:val="597F2FE0"/>
    <w:rsid w:val="5CC97269"/>
    <w:rsid w:val="5D0E502C"/>
    <w:rsid w:val="5D121B72"/>
    <w:rsid w:val="5DAE4E3A"/>
    <w:rsid w:val="5DD75DE5"/>
    <w:rsid w:val="5DDF5EEB"/>
    <w:rsid w:val="5E127950"/>
    <w:rsid w:val="5F2B491D"/>
    <w:rsid w:val="60A46F91"/>
    <w:rsid w:val="610D760B"/>
    <w:rsid w:val="631B00C2"/>
    <w:rsid w:val="66264581"/>
    <w:rsid w:val="67252CD4"/>
    <w:rsid w:val="68060412"/>
    <w:rsid w:val="681C0B40"/>
    <w:rsid w:val="6B663825"/>
    <w:rsid w:val="6B724E0D"/>
    <w:rsid w:val="6BE97F42"/>
    <w:rsid w:val="6E001573"/>
    <w:rsid w:val="6F23376B"/>
    <w:rsid w:val="6FFD4EBE"/>
    <w:rsid w:val="706202C3"/>
    <w:rsid w:val="738D6D41"/>
    <w:rsid w:val="73D430B2"/>
    <w:rsid w:val="74181D1F"/>
    <w:rsid w:val="747C5C96"/>
    <w:rsid w:val="766B4DB6"/>
    <w:rsid w:val="77CA0A7C"/>
    <w:rsid w:val="77FA1BA6"/>
    <w:rsid w:val="78DE5133"/>
    <w:rsid w:val="7BAA5BC0"/>
    <w:rsid w:val="7C041E26"/>
    <w:rsid w:val="7D8260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after="260" w:line="415" w:lineRule="auto"/>
      <w:outlineLvl w:val="2"/>
    </w:pPr>
    <w:rPr>
      <w:b/>
      <w:kern w:val="0"/>
      <w:sz w:val="32"/>
      <w:szCs w:val="32"/>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480" w:lineRule="auto"/>
      <w:jc w:val="center"/>
    </w:pPr>
    <w:rPr>
      <w:rFonts w:ascii="宋体"/>
      <w:b/>
      <w:kern w:val="0"/>
      <w:sz w:val="72"/>
      <w:szCs w:val="20"/>
    </w:rPr>
  </w:style>
  <w:style w:type="paragraph" w:styleId="4">
    <w:name w:val="Body Text Indent"/>
    <w:basedOn w:val="1"/>
    <w:next w:val="5"/>
    <w:qFormat/>
    <w:uiPriority w:val="0"/>
    <w:pPr>
      <w:spacing w:line="360" w:lineRule="auto"/>
      <w:ind w:firstLine="482" w:firstLineChars="100"/>
      <w:jc w:val="center"/>
    </w:pPr>
    <w:rPr>
      <w:rFonts w:ascii="黑体" w:eastAsia="黑体"/>
      <w:b/>
      <w:sz w:val="48"/>
      <w:szCs w:val="28"/>
    </w:rPr>
  </w:style>
  <w:style w:type="paragraph" w:styleId="5">
    <w:name w:val="Body Text First Indent 2"/>
    <w:basedOn w:val="4"/>
    <w:next w:val="6"/>
    <w:qFormat/>
    <w:uiPriority w:val="0"/>
    <w:pPr>
      <w:widowControl/>
      <w:spacing w:after="120"/>
      <w:ind w:left="420" w:leftChars="200" w:firstLine="420" w:firstLineChars="200"/>
    </w:pPr>
    <w:rPr>
      <w:b w:val="0"/>
      <w:sz w:val="21"/>
      <w:szCs w:val="21"/>
    </w:rPr>
  </w:style>
  <w:style w:type="paragraph" w:customStyle="1" w:styleId="6">
    <w:name w:val="样式 正文首行缩进 2 + Arial"/>
    <w:basedOn w:val="1"/>
    <w:next w:val="1"/>
    <w:qFormat/>
    <w:uiPriority w:val="0"/>
    <w:pPr>
      <w:spacing w:after="120" w:line="320" w:lineRule="atLeast"/>
      <w:ind w:firstLine="200" w:firstLineChars="200"/>
    </w:pPr>
    <w:rPr>
      <w:rFonts w:ascii="Arial" w:hAnsi="Arial"/>
    </w:rPr>
  </w:style>
  <w:style w:type="paragraph" w:styleId="7">
    <w:name w:val="Balloon Text"/>
    <w:basedOn w:val="1"/>
    <w:link w:val="45"/>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envelope return"/>
    <w:basedOn w:val="1"/>
    <w:unhideWhenUsed/>
    <w:qFormat/>
    <w:uiPriority w:val="99"/>
    <w:pPr>
      <w:snapToGrid w:val="0"/>
    </w:pPr>
    <w:rPr>
      <w:rFonts w:ascii="等线 Light" w:hAnsi="等线 Light" w:eastAsia="等线 Light"/>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w:basedOn w:val="2"/>
    <w:next w:val="5"/>
    <w:unhideWhenUsed/>
    <w:qFormat/>
    <w:uiPriority w:val="99"/>
    <w:pPr>
      <w:spacing w:after="120" w:line="240" w:lineRule="auto"/>
      <w:ind w:firstLine="420" w:firstLineChars="100"/>
      <w:jc w:val="both"/>
    </w:pPr>
    <w:rPr>
      <w:kern w:val="2"/>
      <w:sz w:val="21"/>
      <w:szCs w:val="24"/>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bCs/>
    </w:rPr>
  </w:style>
  <w:style w:type="character" w:styleId="17">
    <w:name w:val="FollowedHyperlink"/>
    <w:basedOn w:val="15"/>
    <w:qFormat/>
    <w:uiPriority w:val="0"/>
    <w:rPr>
      <w:color w:val="800080"/>
      <w:u w:val="none"/>
    </w:rPr>
  </w:style>
  <w:style w:type="character" w:styleId="18">
    <w:name w:val="Emphasis"/>
    <w:basedOn w:val="15"/>
    <w:qFormat/>
    <w:uiPriority w:val="0"/>
    <w:rPr>
      <w:b/>
      <w:b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rPr>
      <w:bdr w:val="single" w:color="D2D2D2" w:sz="2" w:space="0"/>
      <w:shd w:val="clear" w:color="auto" w:fill="FFFFFF"/>
    </w:rPr>
  </w:style>
  <w:style w:type="character" w:styleId="22">
    <w:name w:val="HTML Variable"/>
    <w:basedOn w:val="15"/>
    <w:qFormat/>
    <w:uiPriority w:val="0"/>
  </w:style>
  <w:style w:type="character" w:styleId="23">
    <w:name w:val="Hyperlink"/>
    <w:basedOn w:val="15"/>
    <w:qFormat/>
    <w:uiPriority w:val="0"/>
    <w:rPr>
      <w:color w:val="0000FF"/>
      <w:u w:val="none"/>
    </w:rPr>
  </w:style>
  <w:style w:type="character" w:styleId="24">
    <w:name w:val="HTML Code"/>
    <w:basedOn w:val="15"/>
    <w:qFormat/>
    <w:uiPriority w:val="0"/>
    <w:rPr>
      <w:rFonts w:hint="default" w:ascii="monospace" w:hAnsi="monospace" w:eastAsia="monospace" w:cs="monospace"/>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next w:val="10"/>
    <w:qFormat/>
    <w:uiPriority w:val="0"/>
    <w:pPr>
      <w:spacing w:line="360" w:lineRule="auto"/>
    </w:pPr>
    <w:rPr>
      <w:rFonts w:ascii="宋体" w:hAnsi="宋体" w:eastAsia="宋体" w:cs="宋体"/>
      <w:kern w:val="2"/>
      <w:sz w:val="24"/>
      <w:szCs w:val="24"/>
      <w:lang w:val="en-US" w:eastAsia="zh-CN" w:bidi="ar-SA"/>
    </w:rPr>
  </w:style>
  <w:style w:type="character" w:customStyle="1" w:styleId="29">
    <w:name w:val="NormalCharacter"/>
    <w:qFormat/>
    <w:uiPriority w:val="0"/>
  </w:style>
  <w:style w:type="character" w:customStyle="1" w:styleId="30">
    <w:name w:val="font21"/>
    <w:basedOn w:val="15"/>
    <w:qFormat/>
    <w:uiPriority w:val="0"/>
    <w:rPr>
      <w:rFonts w:hint="eastAsia" w:ascii="宋体" w:hAnsi="宋体" w:eastAsia="宋体" w:cs="宋体"/>
      <w:color w:val="000000"/>
      <w:sz w:val="20"/>
      <w:szCs w:val="20"/>
      <w:u w:val="none"/>
    </w:rPr>
  </w:style>
  <w:style w:type="character" w:customStyle="1" w:styleId="31">
    <w:name w:val="font71"/>
    <w:basedOn w:val="15"/>
    <w:qFormat/>
    <w:uiPriority w:val="0"/>
    <w:rPr>
      <w:rFonts w:hint="eastAsia" w:ascii="宋体" w:hAnsi="宋体" w:eastAsia="宋体" w:cs="宋体"/>
      <w:color w:val="000000"/>
      <w:sz w:val="20"/>
      <w:szCs w:val="20"/>
      <w:u w:val="none"/>
    </w:rPr>
  </w:style>
  <w:style w:type="paragraph" w:customStyle="1" w:styleId="32">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33">
    <w:name w:val="大标题"/>
    <w:basedOn w:val="1"/>
    <w:next w:val="5"/>
    <w:qFormat/>
    <w:uiPriority w:val="0"/>
    <w:pPr>
      <w:pageBreakBefore/>
      <w:spacing w:after="200" w:line="720" w:lineRule="auto"/>
      <w:jc w:val="center"/>
      <w:outlineLvl w:val="0"/>
    </w:pPr>
    <w:rPr>
      <w:rFonts w:ascii="黑体" w:hAnsi="Calibri" w:eastAsia="黑体"/>
      <w:sz w:val="32"/>
      <w:szCs w:val="30"/>
      <w:lang w:eastAsia="en-US" w:bidi="en-US"/>
    </w:rPr>
  </w:style>
  <w:style w:type="paragraph" w:customStyle="1" w:styleId="34">
    <w:name w:val="Body Text 21"/>
    <w:basedOn w:val="1"/>
    <w:next w:val="2"/>
    <w:qFormat/>
    <w:uiPriority w:val="0"/>
    <w:pPr>
      <w:spacing w:after="120" w:line="480" w:lineRule="auto"/>
    </w:pPr>
  </w:style>
  <w:style w:type="paragraph" w:customStyle="1" w:styleId="35">
    <w:name w:val="Table Text"/>
    <w:basedOn w:val="1"/>
    <w:semiHidden/>
    <w:qFormat/>
    <w:uiPriority w:val="0"/>
    <w:rPr>
      <w:rFonts w:ascii="宋体" w:hAnsi="宋体" w:cs="宋体"/>
      <w:szCs w:val="21"/>
      <w:lang w:eastAsia="en-US"/>
    </w:rPr>
  </w:style>
  <w:style w:type="table" w:customStyle="1" w:styleId="36">
    <w:name w:val="Table Normal"/>
    <w:semiHidden/>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37">
    <w:name w:val="正文_6_0"/>
    <w:next w:val="38"/>
    <w:qFormat/>
    <w:uiPriority w:val="0"/>
    <w:pPr>
      <w:widowControl w:val="0"/>
      <w:jc w:val="both"/>
    </w:pPr>
    <w:rPr>
      <w:rFonts w:ascii="Times New Roman" w:hAnsi="Times New Roman" w:eastAsia="宋体" w:cs="Times New Roman"/>
      <w:lang w:val="en-US" w:eastAsia="zh-CN" w:bidi="ar-SA"/>
    </w:rPr>
  </w:style>
  <w:style w:type="paragraph" w:customStyle="1" w:styleId="38">
    <w:name w:val="无间隔1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正文_6_1"/>
    <w:next w:val="38"/>
    <w:qFormat/>
    <w:uiPriority w:val="0"/>
    <w:pPr>
      <w:widowControl w:val="0"/>
      <w:jc w:val="both"/>
    </w:pPr>
    <w:rPr>
      <w:rFonts w:ascii="Calibri" w:hAnsi="Calibri" w:eastAsia="宋体" w:cs="Times New Roman"/>
      <w:kern w:val="2"/>
      <w:sz w:val="21"/>
      <w:szCs w:val="22"/>
      <w:lang w:val="en-US" w:eastAsia="zh-CN" w:bidi="ar-SA"/>
    </w:rPr>
  </w:style>
  <w:style w:type="character" w:customStyle="1" w:styleId="40">
    <w:name w:val="hover"/>
    <w:basedOn w:val="15"/>
    <w:qFormat/>
    <w:uiPriority w:val="0"/>
  </w:style>
  <w:style w:type="character" w:customStyle="1" w:styleId="41">
    <w:name w:val="hover1"/>
    <w:basedOn w:val="15"/>
    <w:qFormat/>
    <w:uiPriority w:val="0"/>
    <w:rPr>
      <w:color w:val="2590EB"/>
    </w:rPr>
  </w:style>
  <w:style w:type="character" w:customStyle="1" w:styleId="42">
    <w:name w:val="hover2"/>
    <w:basedOn w:val="15"/>
    <w:qFormat/>
    <w:uiPriority w:val="0"/>
    <w:rPr>
      <w:color w:val="2590EB"/>
    </w:rPr>
  </w:style>
  <w:style w:type="character" w:customStyle="1" w:styleId="43">
    <w:name w:val="mini-outputtext1"/>
    <w:basedOn w:val="15"/>
    <w:qFormat/>
    <w:uiPriority w:val="0"/>
  </w:style>
  <w:style w:type="character" w:customStyle="1" w:styleId="44">
    <w:name w:val="hover3"/>
    <w:basedOn w:val="15"/>
    <w:qFormat/>
    <w:uiPriority w:val="0"/>
  </w:style>
  <w:style w:type="character" w:customStyle="1" w:styleId="45">
    <w:name w:val="批注框文本 Char"/>
    <w:basedOn w:val="15"/>
    <w:link w:val="7"/>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52</Pages>
  <Words>22478</Words>
  <Characters>24317</Characters>
  <Lines>198</Lines>
  <Paragraphs>55</Paragraphs>
  <TotalTime>4</TotalTime>
  <ScaleCrop>false</ScaleCrop>
  <LinksUpToDate>false</LinksUpToDate>
  <CharactersWithSpaces>25156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2025-12-15T09:34:00Z</dcterms:created>
  <dc:creator>一朝一夕</dc:creator>
  <cp:lastModifiedBy>雷雨涵</cp:lastModifiedBy>
  <dcterms:modified xsi:type="dcterms:W3CDTF">2026-07-23T15:26:01Z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6EEEC1F0D6CF4299A4E433E764CE6C41_11</vt:lpwstr>
  </property>
  <property fmtid="{D5CDD505-2E9C-101B-9397-08002B2CF9AE}" pid="4" name="KSOTemplateDocerSaveRecord">
    <vt:lpwstr>eyJoZGlkIjoiZTM5ODk0ZDdjNjZjYmE1MzlmNzI2YjZjNzdjYWM0MTYiLCJ1c2VySWQiOiIzNjgzNTc2NjEifQ==</vt:lpwstr>
  </property>
</Properties>
</file>